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62A70" w14:textId="77777777" w:rsidR="00641A5B" w:rsidRDefault="004928CC" w:rsidP="00641A5B">
      <w:pPr>
        <w:pStyle w:val="TechnicalBlock"/>
        <w:ind w:left="-1134" w:right="-1134"/>
      </w:pPr>
      <w:bookmarkStart w:id="0" w:name="DW_BM_COVERPAGE"/>
      <w:bookmarkStart w:id="1" w:name="LW_BM_COVERPAGE"/>
      <w:r>
        <w:pict w14:anchorId="3DE32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1624/23 ADD 6.&#10;Subject Codes: ENV 826 COMPET 739 SAN 448 MI 600 IND 374 CONSOM 267 ENT 158 FOOD 57 AGRI 383 CODEC 1320.&#10;Heading: COVER NOTE.&#10;Originator: Secretary-General of the European Commission, signed by Ms Martine DEPREZ, Director.&#10;Recipient: Ms Thérèse BLANCHET, Secretary-General of the Council of the European Union.&#10;Subject: COMMISSION STAFF WORKING DOCUMENT  IMPACT ASSESSMENT REPORT Accompanying the document Directive of the European Parliament and of the Council amending Directive 2008/98/EC on waste.&#10;Commission Document Number: SWD(2023) 421 final - part 4/4.&#10;Preceeding Document Number: Not Set.&#10;Location: Brussels.&#10;Date: 7 July 2023.&#10;Interinstitutional Files: 2023/0234(COD).&#10;Institutional Framework: Council of the European Union.&#10;Language: EN.&#10;Distribution Code: PUBLIC.&#10;GUID: 5553816584550224551_0" style="width:568.55pt;height:491.3pt">
            <v:imagedata r:id="rId11" o:title=""/>
          </v:shape>
        </w:pict>
      </w:r>
      <w:bookmarkEnd w:id="0"/>
    </w:p>
    <w:p w14:paraId="0FA7324D" w14:textId="258D9951" w:rsidR="00641A5B" w:rsidRDefault="00641A5B" w:rsidP="00641A5B">
      <w:pPr>
        <w:pStyle w:val="EntText"/>
        <w:spacing w:before="480"/>
      </w:pPr>
      <w:r w:rsidRPr="00641A5B">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641A5B">
        <w:instrText>SWD(2023) 421 final - part 4/4</w:instrText>
      </w:r>
      <w:r>
        <w:instrText xml:space="preserve">" </w:instrText>
      </w:r>
      <w:r>
        <w:fldChar w:fldCharType="separate"/>
      </w:r>
      <w:r w:rsidRPr="00641A5B">
        <w:t>SWD(2023) 421 final - part 4/4</w:t>
      </w:r>
      <w:r>
        <w:fldChar w:fldCharType="end"/>
      </w:r>
      <w:r w:rsidRPr="00641A5B">
        <w:t>.</w:t>
      </w:r>
    </w:p>
    <w:p w14:paraId="3B33801F" w14:textId="77777777" w:rsidR="00641A5B" w:rsidRDefault="00641A5B" w:rsidP="00641A5B">
      <w:pPr>
        <w:pStyle w:val="Lignefinal"/>
      </w:pPr>
    </w:p>
    <w:p w14:paraId="70B2B130" w14:textId="20BE23F5" w:rsidR="00641A5B" w:rsidRDefault="00641A5B" w:rsidP="00641A5B">
      <w:pPr>
        <w:pStyle w:val="pj"/>
        <w:spacing w:before="120"/>
      </w:pPr>
      <w:r w:rsidRPr="00641A5B">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641A5B">
        <w:instrText>SWD(2023) 421 final - part 4/4</w:instrText>
      </w:r>
      <w:r>
        <w:instrText xml:space="preserve">" </w:instrText>
      </w:r>
      <w:r>
        <w:fldChar w:fldCharType="separate"/>
      </w:r>
      <w:r w:rsidRPr="00641A5B">
        <w:t>SWD(2023) 421 final - part 4/4</w:t>
      </w:r>
      <w:r>
        <w:fldChar w:fldCharType="end"/>
      </w:r>
    </w:p>
    <w:p w14:paraId="4CA3FE5F" w14:textId="77777777" w:rsidR="00641A5B" w:rsidRDefault="00641A5B" w:rsidP="00641A5B">
      <w:pPr>
        <w:rPr>
          <w:noProof/>
          <w:lang w:val="en-IE"/>
        </w:rPr>
        <w:sectPr w:rsidR="00641A5B" w:rsidSect="00641A5B">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26"/>
        </w:sectPr>
      </w:pPr>
    </w:p>
    <w:p w14:paraId="0C81BF50" w14:textId="4EC4A16E" w:rsidR="00971C7A" w:rsidRPr="005B4339" w:rsidRDefault="00641A5B" w:rsidP="0015087B">
      <w:pPr>
        <w:pStyle w:val="Pagedecouverture"/>
        <w:rPr>
          <w:noProof/>
          <w:lang w:val="en-IE"/>
        </w:rPr>
      </w:pPr>
      <w:r>
        <w:rPr>
          <w:noProof/>
          <w:lang w:val="en-IE"/>
        </w:rPr>
        <w:lastRenderedPageBreak/>
        <w:drawing>
          <wp:inline distT="0" distB="0" distL="0" distR="0" wp14:anchorId="75F73144" wp14:editId="07C2EDF7">
            <wp:extent cx="5781675" cy="5400675"/>
            <wp:effectExtent l="0" t="0" r="0" b="9525"/>
            <wp:docPr id="9" name="Picture 1" descr="A2D57099-D64D-4A57-9137-0B304B60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D57099-D64D-4A57-9137-0B304B6090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5400675"/>
                    </a:xfrm>
                    <a:prstGeom prst="rect">
                      <a:avLst/>
                    </a:prstGeom>
                    <a:noFill/>
                    <a:ln>
                      <a:noFill/>
                    </a:ln>
                  </pic:spPr>
                </pic:pic>
              </a:graphicData>
            </a:graphic>
          </wp:inline>
        </w:drawing>
      </w:r>
    </w:p>
    <w:bookmarkEnd w:id="1"/>
    <w:p w14:paraId="776E9A23" w14:textId="77777777" w:rsidR="00971C7A" w:rsidRPr="005B4339" w:rsidRDefault="00971C7A" w:rsidP="00971C7A">
      <w:pPr>
        <w:rPr>
          <w:noProof/>
          <w:lang w:val="en-IE"/>
        </w:rPr>
        <w:sectPr w:rsidR="00971C7A" w:rsidRPr="005B4339" w:rsidSect="0015087B">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26"/>
        </w:sectPr>
      </w:pPr>
    </w:p>
    <w:p w14:paraId="31DCA1BE" w14:textId="36042BCB" w:rsidR="000F1D8A" w:rsidRDefault="128DF35F">
      <w:pPr>
        <w:pStyle w:val="TOC1"/>
        <w:rPr>
          <w:rFonts w:asciiTheme="minorHAnsi" w:eastAsiaTheme="minorEastAsia" w:hAnsiTheme="minorHAnsi" w:cstheme="minorBidi"/>
          <w:caps w:val="0"/>
          <w:noProof/>
          <w:sz w:val="22"/>
          <w:szCs w:val="22"/>
          <w:lang w:val="en-IE" w:eastAsia="en-IE"/>
        </w:rPr>
      </w:pPr>
      <w:r w:rsidRPr="005B4339">
        <w:rPr>
          <w:noProof/>
          <w:sz w:val="22"/>
          <w:szCs w:val="22"/>
          <w:lang w:val="en-IE"/>
        </w:rPr>
        <w:lastRenderedPageBreak/>
        <w:fldChar w:fldCharType="begin"/>
      </w:r>
      <w:r w:rsidRPr="005B4339">
        <w:rPr>
          <w:noProof/>
          <w:sz w:val="22"/>
          <w:szCs w:val="22"/>
        </w:rPr>
        <w:instrText>TOC \o \z \u \h</w:instrText>
      </w:r>
      <w:r w:rsidRPr="005B4339">
        <w:rPr>
          <w:noProof/>
          <w:sz w:val="22"/>
          <w:szCs w:val="22"/>
          <w:lang w:val="en-IE"/>
        </w:rPr>
        <w:fldChar w:fldCharType="separate"/>
      </w:r>
      <w:hyperlink w:anchor="_Toc139032086" w:history="1">
        <w:r w:rsidR="000F1D8A" w:rsidRPr="00E82A25">
          <w:rPr>
            <w:rStyle w:val="Hyperlink"/>
            <w:noProof/>
            <w:lang w:val="en-IE"/>
          </w:rPr>
          <w:t>Annex 11: Impacts of the policy measures/options</w:t>
        </w:r>
        <w:r w:rsidR="000F1D8A">
          <w:rPr>
            <w:noProof/>
            <w:webHidden/>
          </w:rPr>
          <w:tab/>
        </w:r>
        <w:r w:rsidR="00393DFA">
          <w:rPr>
            <w:noProof/>
            <w:webHidden/>
          </w:rPr>
          <w:t>3</w:t>
        </w:r>
      </w:hyperlink>
    </w:p>
    <w:p w14:paraId="7835C957" w14:textId="77AE0534"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087"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Textiles</w:t>
        </w:r>
        <w:r w:rsidR="000F1D8A">
          <w:rPr>
            <w:noProof/>
            <w:webHidden/>
          </w:rPr>
          <w:tab/>
        </w:r>
        <w:r w:rsidR="00393DFA">
          <w:rPr>
            <w:noProof/>
            <w:webHidden/>
          </w:rPr>
          <w:t>3</w:t>
        </w:r>
      </w:hyperlink>
    </w:p>
    <w:p w14:paraId="427A0E35" w14:textId="3518AAC6" w:rsidR="000F1D8A" w:rsidRDefault="004928CC">
      <w:pPr>
        <w:pStyle w:val="TOC2"/>
        <w:rPr>
          <w:rFonts w:asciiTheme="minorHAnsi" w:eastAsiaTheme="minorEastAsia" w:hAnsiTheme="minorHAnsi" w:cstheme="minorBidi"/>
          <w:noProof/>
          <w:sz w:val="22"/>
          <w:szCs w:val="22"/>
          <w:lang w:val="en-IE" w:eastAsia="en-IE"/>
        </w:rPr>
      </w:pPr>
      <w:hyperlink w:anchor="_Toc139032088" w:history="1">
        <w:r w:rsidR="000F1D8A" w:rsidRPr="00E82A25">
          <w:rPr>
            <w:rStyle w:val="Hyperlink"/>
            <w:noProof/>
            <w:lang w:val="en-IE"/>
          </w:rPr>
          <w:t>Option 1: Supporting Member States to implement and enforce current provisions</w:t>
        </w:r>
        <w:r w:rsidR="000F1D8A">
          <w:rPr>
            <w:noProof/>
            <w:webHidden/>
          </w:rPr>
          <w:tab/>
        </w:r>
        <w:r w:rsidR="00393DFA">
          <w:rPr>
            <w:noProof/>
            <w:webHidden/>
          </w:rPr>
          <w:t>3</w:t>
        </w:r>
      </w:hyperlink>
    </w:p>
    <w:p w14:paraId="5F7FEDFB" w14:textId="02CA5E4E" w:rsidR="000F1D8A" w:rsidRDefault="004928CC">
      <w:pPr>
        <w:pStyle w:val="TOC3"/>
        <w:rPr>
          <w:rFonts w:asciiTheme="minorHAnsi" w:eastAsiaTheme="minorEastAsia" w:hAnsiTheme="minorHAnsi"/>
          <w:noProof/>
          <w:color w:val="auto"/>
          <w:sz w:val="22"/>
          <w:lang w:val="en-IE" w:eastAsia="en-IE"/>
        </w:rPr>
      </w:pPr>
      <w:hyperlink w:anchor="_Toc139032089" w:history="1">
        <w:r w:rsidR="000F1D8A" w:rsidRPr="00E82A25">
          <w:rPr>
            <w:rStyle w:val="Hyperlink"/>
            <w:rFonts w:eastAsia="Calibri"/>
            <w:noProof/>
            <w:lang w:val="en-IE"/>
          </w:rPr>
          <w:t>Measure 1.1 – Clarifying definitions in relation to textiles and textile waste</w:t>
        </w:r>
        <w:r w:rsidR="000F1D8A">
          <w:rPr>
            <w:noProof/>
            <w:webHidden/>
          </w:rPr>
          <w:tab/>
        </w:r>
        <w:r w:rsidR="00393DFA">
          <w:rPr>
            <w:noProof/>
            <w:webHidden/>
          </w:rPr>
          <w:t>3</w:t>
        </w:r>
      </w:hyperlink>
    </w:p>
    <w:p w14:paraId="49D99125" w14:textId="4DBB8E73" w:rsidR="000F1D8A" w:rsidRDefault="004928CC">
      <w:pPr>
        <w:pStyle w:val="TOC3"/>
        <w:rPr>
          <w:rFonts w:asciiTheme="minorHAnsi" w:eastAsiaTheme="minorEastAsia" w:hAnsiTheme="minorHAnsi"/>
          <w:noProof/>
          <w:color w:val="auto"/>
          <w:sz w:val="22"/>
          <w:lang w:val="en-IE" w:eastAsia="en-IE"/>
        </w:rPr>
      </w:pPr>
      <w:hyperlink w:anchor="_Toc139032090" w:history="1">
        <w:r w:rsidR="000F1D8A" w:rsidRPr="00E82A25">
          <w:rPr>
            <w:rStyle w:val="Hyperlink"/>
            <w:rFonts w:eastAsia="Calibri"/>
            <w:noProof/>
            <w:lang w:val="en-IE"/>
          </w:rPr>
          <w:t>Measure 1.2 – Adopting EU wide waste prevention indicators for textiles</w:t>
        </w:r>
        <w:r w:rsidR="000F1D8A">
          <w:rPr>
            <w:noProof/>
            <w:webHidden/>
          </w:rPr>
          <w:tab/>
        </w:r>
        <w:r w:rsidR="00393DFA">
          <w:rPr>
            <w:noProof/>
            <w:webHidden/>
          </w:rPr>
          <w:t>27</w:t>
        </w:r>
      </w:hyperlink>
    </w:p>
    <w:p w14:paraId="3AA225EA" w14:textId="5F28D3FB" w:rsidR="000F1D8A" w:rsidRDefault="004928CC">
      <w:pPr>
        <w:pStyle w:val="TOC3"/>
        <w:rPr>
          <w:rFonts w:asciiTheme="minorHAnsi" w:eastAsiaTheme="minorEastAsia" w:hAnsiTheme="minorHAnsi"/>
          <w:noProof/>
          <w:color w:val="auto"/>
          <w:sz w:val="22"/>
          <w:lang w:val="en-IE" w:eastAsia="en-IE"/>
        </w:rPr>
      </w:pPr>
      <w:hyperlink w:anchor="_Toc139032091" w:history="1">
        <w:r w:rsidR="000F1D8A" w:rsidRPr="00E82A25">
          <w:rPr>
            <w:rStyle w:val="Hyperlink"/>
            <w:rFonts w:eastAsia="Calibri"/>
            <w:noProof/>
            <w:lang w:val="en-IE"/>
          </w:rPr>
          <w:t>Measure 1.3 – Providing Member States with guidance and support in dialogue on the management of textile waste between actors involved</w:t>
        </w:r>
        <w:r w:rsidR="000F1D8A">
          <w:rPr>
            <w:noProof/>
            <w:webHidden/>
          </w:rPr>
          <w:tab/>
        </w:r>
        <w:r w:rsidR="00393DFA">
          <w:rPr>
            <w:noProof/>
            <w:webHidden/>
          </w:rPr>
          <w:t>32</w:t>
        </w:r>
      </w:hyperlink>
    </w:p>
    <w:p w14:paraId="799543F1" w14:textId="45627580" w:rsidR="000F1D8A" w:rsidRDefault="004928CC">
      <w:pPr>
        <w:pStyle w:val="TOC2"/>
        <w:rPr>
          <w:rFonts w:asciiTheme="minorHAnsi" w:eastAsiaTheme="minorEastAsia" w:hAnsiTheme="minorHAnsi" w:cstheme="minorBidi"/>
          <w:noProof/>
          <w:sz w:val="22"/>
          <w:szCs w:val="22"/>
          <w:lang w:val="en-IE" w:eastAsia="en-IE"/>
        </w:rPr>
      </w:pPr>
      <w:hyperlink w:anchor="_Toc139032092" w:history="1">
        <w:r w:rsidR="000F1D8A" w:rsidRPr="00E82A25">
          <w:rPr>
            <w:rStyle w:val="Hyperlink"/>
            <w:noProof/>
            <w:lang w:val="en-IE"/>
          </w:rPr>
          <w:t>Option 2: Setting additional regulatory requirements to improve performance</w:t>
        </w:r>
        <w:r w:rsidR="000F1D8A">
          <w:rPr>
            <w:noProof/>
            <w:webHidden/>
          </w:rPr>
          <w:tab/>
        </w:r>
        <w:r w:rsidR="00393DFA">
          <w:rPr>
            <w:noProof/>
            <w:webHidden/>
          </w:rPr>
          <w:t>37</w:t>
        </w:r>
      </w:hyperlink>
    </w:p>
    <w:p w14:paraId="6E5C6EC2" w14:textId="2F5340FB" w:rsidR="000F1D8A" w:rsidRDefault="004928CC">
      <w:pPr>
        <w:pStyle w:val="TOC3"/>
        <w:rPr>
          <w:rFonts w:asciiTheme="minorHAnsi" w:eastAsiaTheme="minorEastAsia" w:hAnsiTheme="minorHAnsi"/>
          <w:noProof/>
          <w:color w:val="auto"/>
          <w:sz w:val="22"/>
          <w:lang w:val="en-IE" w:eastAsia="en-IE"/>
        </w:rPr>
      </w:pPr>
      <w:hyperlink w:anchor="_Toc139032093" w:history="1">
        <w:r w:rsidR="000F1D8A" w:rsidRPr="00E82A25">
          <w:rPr>
            <w:rStyle w:val="Hyperlink"/>
            <w:noProof/>
            <w:lang w:val="en-IE"/>
          </w:rPr>
          <w:t>Measure 2.5 – Setting sorting obligations for separately collected textiles and textiles waste</w:t>
        </w:r>
        <w:r w:rsidR="000F1D8A">
          <w:rPr>
            <w:noProof/>
            <w:webHidden/>
          </w:rPr>
          <w:tab/>
        </w:r>
        <w:r w:rsidR="00393DFA">
          <w:rPr>
            <w:noProof/>
            <w:webHidden/>
          </w:rPr>
          <w:t>37</w:t>
        </w:r>
      </w:hyperlink>
    </w:p>
    <w:p w14:paraId="6B11EC34" w14:textId="589EB35E" w:rsidR="000F1D8A" w:rsidRDefault="004928CC">
      <w:pPr>
        <w:pStyle w:val="TOC3"/>
        <w:rPr>
          <w:rFonts w:asciiTheme="minorHAnsi" w:eastAsiaTheme="minorEastAsia" w:hAnsiTheme="minorHAnsi"/>
          <w:noProof/>
          <w:color w:val="auto"/>
          <w:sz w:val="22"/>
          <w:lang w:val="en-IE" w:eastAsia="en-IE"/>
        </w:rPr>
      </w:pPr>
      <w:hyperlink w:anchor="_Toc139032094" w:history="1">
        <w:r w:rsidR="000F1D8A" w:rsidRPr="00E82A25">
          <w:rPr>
            <w:rStyle w:val="Hyperlink"/>
            <w:noProof/>
            <w:lang w:val="en-IE"/>
          </w:rPr>
          <w:t>Measure 2.6 – Adopting end of waste criteria</w:t>
        </w:r>
        <w:r w:rsidR="000F1D8A">
          <w:rPr>
            <w:noProof/>
            <w:webHidden/>
          </w:rPr>
          <w:tab/>
        </w:r>
        <w:r w:rsidR="00393DFA">
          <w:rPr>
            <w:noProof/>
            <w:webHidden/>
          </w:rPr>
          <w:t>47</w:t>
        </w:r>
      </w:hyperlink>
    </w:p>
    <w:p w14:paraId="299F7E1A" w14:textId="419E3DE8" w:rsidR="000F1D8A" w:rsidRDefault="004928CC">
      <w:pPr>
        <w:pStyle w:val="TOC3"/>
        <w:rPr>
          <w:rFonts w:asciiTheme="minorHAnsi" w:eastAsiaTheme="minorEastAsia" w:hAnsiTheme="minorHAnsi"/>
          <w:noProof/>
          <w:color w:val="auto"/>
          <w:sz w:val="22"/>
          <w:lang w:val="en-IE" w:eastAsia="en-IE"/>
        </w:rPr>
      </w:pPr>
      <w:hyperlink w:anchor="_Toc139032095" w:history="1">
        <w:r w:rsidR="000F1D8A" w:rsidRPr="00E82A25">
          <w:rPr>
            <w:rStyle w:val="Hyperlink"/>
            <w:noProof/>
            <w:lang w:val="en-IE"/>
          </w:rPr>
          <w:t>Measure 2.8 – Setting requirements for shipments of textiles for reuse</w:t>
        </w:r>
        <w:r w:rsidR="000F1D8A">
          <w:rPr>
            <w:noProof/>
            <w:webHidden/>
          </w:rPr>
          <w:tab/>
        </w:r>
        <w:r w:rsidR="00393DFA">
          <w:rPr>
            <w:noProof/>
            <w:webHidden/>
          </w:rPr>
          <w:t>52</w:t>
        </w:r>
      </w:hyperlink>
    </w:p>
    <w:p w14:paraId="66B584FC" w14:textId="6818C1EE" w:rsidR="000F1D8A" w:rsidRDefault="004928CC">
      <w:pPr>
        <w:pStyle w:val="TOC3"/>
        <w:rPr>
          <w:rFonts w:asciiTheme="minorHAnsi" w:eastAsiaTheme="minorEastAsia" w:hAnsiTheme="minorHAnsi"/>
          <w:noProof/>
          <w:color w:val="auto"/>
          <w:sz w:val="22"/>
          <w:lang w:val="en-IE" w:eastAsia="en-IE"/>
        </w:rPr>
      </w:pPr>
      <w:hyperlink w:anchor="_Toc139032096" w:history="1">
        <w:r w:rsidR="000F1D8A" w:rsidRPr="00E82A25">
          <w:rPr>
            <w:rStyle w:val="Hyperlink"/>
            <w:noProof/>
            <w:lang w:val="en-IE"/>
          </w:rPr>
          <w:t>Measure 2.9 – Mandating the use of EPR</w:t>
        </w:r>
        <w:r w:rsidR="000F1D8A">
          <w:rPr>
            <w:noProof/>
            <w:webHidden/>
          </w:rPr>
          <w:tab/>
        </w:r>
        <w:r w:rsidR="00393DFA">
          <w:rPr>
            <w:noProof/>
            <w:webHidden/>
          </w:rPr>
          <w:t>60</w:t>
        </w:r>
      </w:hyperlink>
    </w:p>
    <w:p w14:paraId="5CBB93B5" w14:textId="35F116F3" w:rsidR="000F1D8A" w:rsidRDefault="004928CC">
      <w:pPr>
        <w:pStyle w:val="TOC3"/>
        <w:rPr>
          <w:rFonts w:asciiTheme="minorHAnsi" w:eastAsiaTheme="minorEastAsia" w:hAnsiTheme="minorHAnsi"/>
          <w:noProof/>
          <w:color w:val="auto"/>
          <w:sz w:val="22"/>
          <w:lang w:val="en-IE" w:eastAsia="en-IE"/>
        </w:rPr>
      </w:pPr>
      <w:hyperlink w:anchor="_Toc139032097" w:history="1">
        <w:r w:rsidR="000F1D8A" w:rsidRPr="00E82A25">
          <w:rPr>
            <w:rStyle w:val="Hyperlink"/>
            <w:noProof/>
            <w:lang w:val="en-IE"/>
          </w:rPr>
          <w:t>Measure 2.14 – Setting reporting obligations for textiles</w:t>
        </w:r>
        <w:r w:rsidR="000F1D8A">
          <w:rPr>
            <w:noProof/>
            <w:webHidden/>
          </w:rPr>
          <w:tab/>
        </w:r>
        <w:r w:rsidR="00393DFA">
          <w:rPr>
            <w:noProof/>
            <w:webHidden/>
          </w:rPr>
          <w:t>80</w:t>
        </w:r>
      </w:hyperlink>
    </w:p>
    <w:p w14:paraId="231E70A1" w14:textId="0A3EB11D" w:rsidR="000F1D8A" w:rsidRDefault="004928CC">
      <w:pPr>
        <w:pStyle w:val="TOC2"/>
        <w:rPr>
          <w:rFonts w:asciiTheme="minorHAnsi" w:eastAsiaTheme="minorEastAsia" w:hAnsiTheme="minorHAnsi" w:cstheme="minorBidi"/>
          <w:noProof/>
          <w:sz w:val="22"/>
          <w:szCs w:val="22"/>
          <w:lang w:val="en-IE" w:eastAsia="en-IE"/>
        </w:rPr>
      </w:pPr>
      <w:hyperlink w:anchor="_Toc139032098" w:history="1">
        <w:r w:rsidR="000F1D8A" w:rsidRPr="00E82A25">
          <w:rPr>
            <w:rStyle w:val="Hyperlink"/>
            <w:noProof/>
            <w:lang w:val="en-IE"/>
          </w:rPr>
          <w:t>Option 3: Prescribing performance targets</w:t>
        </w:r>
        <w:r w:rsidR="000F1D8A">
          <w:rPr>
            <w:noProof/>
            <w:webHidden/>
          </w:rPr>
          <w:tab/>
        </w:r>
        <w:r w:rsidR="00393DFA">
          <w:rPr>
            <w:noProof/>
            <w:webHidden/>
          </w:rPr>
          <w:t>85</w:t>
        </w:r>
      </w:hyperlink>
    </w:p>
    <w:p w14:paraId="61D39D37" w14:textId="5AEC99C3" w:rsidR="000F1D8A" w:rsidRDefault="004928CC">
      <w:pPr>
        <w:pStyle w:val="TOC3"/>
        <w:rPr>
          <w:rFonts w:asciiTheme="minorHAnsi" w:eastAsiaTheme="minorEastAsia" w:hAnsiTheme="minorHAnsi"/>
          <w:noProof/>
          <w:color w:val="auto"/>
          <w:sz w:val="22"/>
          <w:lang w:val="en-IE" w:eastAsia="en-IE"/>
        </w:rPr>
      </w:pPr>
      <w:hyperlink w:anchor="_Toc139032099" w:history="1">
        <w:r w:rsidR="000F1D8A" w:rsidRPr="00E82A25">
          <w:rPr>
            <w:rStyle w:val="Hyperlink"/>
            <w:noProof/>
            <w:lang w:val="en-IE"/>
          </w:rPr>
          <w:t>Measure 3.1 – Setting an EU textile waste reduction target</w:t>
        </w:r>
        <w:r w:rsidR="000F1D8A">
          <w:rPr>
            <w:noProof/>
            <w:webHidden/>
          </w:rPr>
          <w:tab/>
        </w:r>
        <w:r w:rsidR="00393DFA">
          <w:rPr>
            <w:noProof/>
            <w:webHidden/>
          </w:rPr>
          <w:t>88</w:t>
        </w:r>
      </w:hyperlink>
    </w:p>
    <w:p w14:paraId="0E4320D3" w14:textId="6FC350A8" w:rsidR="000F1D8A" w:rsidRDefault="004928CC">
      <w:pPr>
        <w:pStyle w:val="TOC3"/>
        <w:rPr>
          <w:rFonts w:asciiTheme="minorHAnsi" w:eastAsiaTheme="minorEastAsia" w:hAnsiTheme="minorHAnsi"/>
          <w:noProof/>
          <w:color w:val="auto"/>
          <w:sz w:val="22"/>
          <w:lang w:val="en-IE" w:eastAsia="en-IE"/>
        </w:rPr>
      </w:pPr>
      <w:hyperlink w:anchor="_Toc139032100" w:history="1">
        <w:r w:rsidR="000F1D8A" w:rsidRPr="00E82A25">
          <w:rPr>
            <w:rStyle w:val="Hyperlink"/>
            <w:noProof/>
            <w:lang w:val="en-IE"/>
          </w:rPr>
          <w:t>Measure 3.4 – Setting a preparation for reuse target for textiles</w:t>
        </w:r>
        <w:r w:rsidR="000F1D8A">
          <w:rPr>
            <w:noProof/>
            <w:webHidden/>
          </w:rPr>
          <w:tab/>
        </w:r>
        <w:r w:rsidR="00393DFA">
          <w:rPr>
            <w:noProof/>
            <w:webHidden/>
          </w:rPr>
          <w:t>90</w:t>
        </w:r>
      </w:hyperlink>
    </w:p>
    <w:p w14:paraId="404EE9F6" w14:textId="42EF90DB" w:rsidR="000F1D8A" w:rsidRDefault="004928CC">
      <w:pPr>
        <w:pStyle w:val="TOC3"/>
        <w:rPr>
          <w:rFonts w:asciiTheme="minorHAnsi" w:eastAsiaTheme="minorEastAsia" w:hAnsiTheme="minorHAnsi"/>
          <w:noProof/>
          <w:color w:val="auto"/>
          <w:sz w:val="22"/>
          <w:lang w:val="en-IE" w:eastAsia="en-IE"/>
        </w:rPr>
      </w:pPr>
      <w:hyperlink w:anchor="_Toc139032101" w:history="1">
        <w:r w:rsidR="000F1D8A" w:rsidRPr="00E82A25">
          <w:rPr>
            <w:rStyle w:val="Hyperlink"/>
            <w:noProof/>
            <w:lang w:val="en-IE"/>
          </w:rPr>
          <w:t>Measure 3.5 – Setting a reuse target</w:t>
        </w:r>
        <w:r w:rsidR="000F1D8A">
          <w:rPr>
            <w:noProof/>
            <w:webHidden/>
          </w:rPr>
          <w:tab/>
        </w:r>
        <w:r w:rsidR="00393DFA">
          <w:rPr>
            <w:noProof/>
            <w:webHidden/>
          </w:rPr>
          <w:t>91</w:t>
        </w:r>
      </w:hyperlink>
    </w:p>
    <w:p w14:paraId="2E725BC2" w14:textId="1F96D18B" w:rsidR="000F1D8A" w:rsidRDefault="004928CC">
      <w:pPr>
        <w:pStyle w:val="TOC3"/>
        <w:rPr>
          <w:rFonts w:asciiTheme="minorHAnsi" w:eastAsiaTheme="minorEastAsia" w:hAnsiTheme="minorHAnsi"/>
          <w:noProof/>
          <w:color w:val="auto"/>
          <w:sz w:val="22"/>
          <w:lang w:val="en-IE" w:eastAsia="en-IE"/>
        </w:rPr>
      </w:pPr>
      <w:hyperlink w:anchor="_Toc139032102" w:history="1">
        <w:r w:rsidR="000F1D8A" w:rsidRPr="00E82A25">
          <w:rPr>
            <w:rStyle w:val="Hyperlink"/>
            <w:noProof/>
            <w:lang w:val="en-IE"/>
          </w:rPr>
          <w:t>Measure 3.6 – Setting a separate collection target for textile waste</w:t>
        </w:r>
        <w:r w:rsidR="000F1D8A">
          <w:rPr>
            <w:noProof/>
            <w:webHidden/>
          </w:rPr>
          <w:tab/>
        </w:r>
        <w:r w:rsidR="00393DFA">
          <w:rPr>
            <w:noProof/>
            <w:webHidden/>
          </w:rPr>
          <w:t>95</w:t>
        </w:r>
      </w:hyperlink>
    </w:p>
    <w:p w14:paraId="7436EFB3" w14:textId="0A514A62" w:rsidR="000F1D8A" w:rsidRDefault="004928CC">
      <w:pPr>
        <w:pStyle w:val="TOC3"/>
        <w:rPr>
          <w:rFonts w:asciiTheme="minorHAnsi" w:eastAsiaTheme="minorEastAsia" w:hAnsiTheme="minorHAnsi"/>
          <w:noProof/>
          <w:color w:val="auto"/>
          <w:sz w:val="22"/>
          <w:lang w:val="en-IE" w:eastAsia="en-IE"/>
        </w:rPr>
      </w:pPr>
      <w:hyperlink w:anchor="_Toc139032103" w:history="1">
        <w:r w:rsidR="000F1D8A" w:rsidRPr="00E82A25">
          <w:rPr>
            <w:rStyle w:val="Hyperlink"/>
            <w:noProof/>
            <w:lang w:val="en-IE"/>
          </w:rPr>
          <w:t>Measure 3.8 – Setting a recycling target for textiles</w:t>
        </w:r>
        <w:r w:rsidR="000F1D8A">
          <w:rPr>
            <w:noProof/>
            <w:webHidden/>
          </w:rPr>
          <w:tab/>
        </w:r>
        <w:r w:rsidR="00393DFA">
          <w:rPr>
            <w:noProof/>
            <w:webHidden/>
          </w:rPr>
          <w:t>101</w:t>
        </w:r>
      </w:hyperlink>
    </w:p>
    <w:p w14:paraId="7A969824" w14:textId="5A3ACA24" w:rsidR="000F1D8A" w:rsidRDefault="004928CC">
      <w:pPr>
        <w:pStyle w:val="TOC3"/>
        <w:rPr>
          <w:rFonts w:asciiTheme="minorHAnsi" w:eastAsiaTheme="minorEastAsia" w:hAnsiTheme="minorHAnsi"/>
          <w:noProof/>
          <w:color w:val="auto"/>
          <w:sz w:val="22"/>
          <w:lang w:val="en-IE" w:eastAsia="en-IE"/>
        </w:rPr>
      </w:pPr>
      <w:hyperlink w:anchor="_Toc139032104" w:history="1">
        <w:r w:rsidR="000F1D8A" w:rsidRPr="00E82A25">
          <w:rPr>
            <w:rStyle w:val="Hyperlink"/>
            <w:noProof/>
            <w:lang w:val="en-IE"/>
          </w:rPr>
          <w:t>Overall impacts of the measures</w:t>
        </w:r>
        <w:r w:rsidR="000F1D8A">
          <w:rPr>
            <w:noProof/>
            <w:webHidden/>
          </w:rPr>
          <w:tab/>
        </w:r>
        <w:r w:rsidR="00393DFA">
          <w:rPr>
            <w:noProof/>
            <w:webHidden/>
          </w:rPr>
          <w:t>103</w:t>
        </w:r>
      </w:hyperlink>
    </w:p>
    <w:p w14:paraId="7E578F7D" w14:textId="1C9C9A0B"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05" w:history="1">
        <w:r w:rsidR="000F1D8A" w:rsidRPr="00E82A25">
          <w:rPr>
            <w:rStyle w:val="Hyperlink"/>
            <w:noProof/>
            <w:lang w:val="en-IE"/>
          </w:rPr>
          <w:t>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Food waste</w:t>
        </w:r>
        <w:r w:rsidR="000F1D8A">
          <w:rPr>
            <w:noProof/>
            <w:webHidden/>
          </w:rPr>
          <w:tab/>
        </w:r>
        <w:r w:rsidR="00393DFA">
          <w:rPr>
            <w:noProof/>
            <w:webHidden/>
          </w:rPr>
          <w:t>114</w:t>
        </w:r>
      </w:hyperlink>
    </w:p>
    <w:p w14:paraId="0028BCB4" w14:textId="0E3A4FB7"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06" w:history="1">
        <w:r w:rsidR="000F1D8A" w:rsidRPr="00E82A25">
          <w:rPr>
            <w:rStyle w:val="Hyperlink"/>
            <w:noProof/>
            <w:lang w:val="en-IE"/>
          </w:rPr>
          <w:t>2.1.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Impact of reduction scenarios on food waste quantities</w:t>
        </w:r>
        <w:r w:rsidR="000F1D8A">
          <w:rPr>
            <w:noProof/>
            <w:webHidden/>
          </w:rPr>
          <w:tab/>
        </w:r>
        <w:r w:rsidR="00393DFA">
          <w:rPr>
            <w:noProof/>
            <w:webHidden/>
          </w:rPr>
          <w:t>114</w:t>
        </w:r>
      </w:hyperlink>
    </w:p>
    <w:p w14:paraId="35DBF678" w14:textId="1662D3B7"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07" w:history="1">
        <w:r w:rsidR="000F1D8A" w:rsidRPr="00E82A25">
          <w:rPr>
            <w:rStyle w:val="Hyperlink"/>
            <w:noProof/>
            <w:lang w:val="en-IE"/>
          </w:rPr>
          <w:t>2.2.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Environmental impacts</w:t>
        </w:r>
        <w:r w:rsidR="000F1D8A">
          <w:rPr>
            <w:noProof/>
            <w:webHidden/>
          </w:rPr>
          <w:tab/>
        </w:r>
        <w:r w:rsidR="00393DFA">
          <w:rPr>
            <w:noProof/>
            <w:webHidden/>
          </w:rPr>
          <w:t>116</w:t>
        </w:r>
      </w:hyperlink>
    </w:p>
    <w:p w14:paraId="528B3276" w14:textId="62E30081" w:rsidR="000F1D8A" w:rsidRDefault="004928CC">
      <w:pPr>
        <w:pStyle w:val="TOC3"/>
        <w:rPr>
          <w:rFonts w:asciiTheme="minorHAnsi" w:eastAsiaTheme="minorEastAsia" w:hAnsiTheme="minorHAnsi"/>
          <w:noProof/>
          <w:color w:val="auto"/>
          <w:sz w:val="22"/>
          <w:lang w:val="en-IE" w:eastAsia="en-IE"/>
        </w:rPr>
      </w:pPr>
      <w:hyperlink w:anchor="_Toc139032108" w:history="1">
        <w:r w:rsidR="000F1D8A" w:rsidRPr="00E82A25">
          <w:rPr>
            <w:rStyle w:val="Hyperlink"/>
            <w:rFonts w:ascii="Times New Roman" w:hAnsi="Times New Roman"/>
            <w:noProof/>
            <w:lang w:val="en-IE"/>
          </w:rPr>
          <w:t>2.2.1.</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MAGNET model</w:t>
        </w:r>
        <w:r w:rsidR="000F1D8A">
          <w:rPr>
            <w:noProof/>
            <w:webHidden/>
          </w:rPr>
          <w:tab/>
        </w:r>
        <w:r w:rsidR="00393DFA">
          <w:rPr>
            <w:noProof/>
            <w:webHidden/>
          </w:rPr>
          <w:t>116</w:t>
        </w:r>
      </w:hyperlink>
    </w:p>
    <w:p w14:paraId="411BAB10" w14:textId="78C7B6F9" w:rsidR="000F1D8A" w:rsidRDefault="004928CC">
      <w:pPr>
        <w:pStyle w:val="TOC4"/>
        <w:rPr>
          <w:noProof/>
          <w:lang w:val="en-IE" w:eastAsia="en-IE"/>
        </w:rPr>
      </w:pPr>
      <w:hyperlink w:anchor="_Toc139032109" w:history="1">
        <w:r w:rsidR="000F1D8A" w:rsidRPr="00E82A25">
          <w:rPr>
            <w:rStyle w:val="Hyperlink"/>
            <w:rFonts w:ascii="Times New Roman" w:hAnsi="Times New Roman"/>
            <w:noProof/>
            <w:lang w:val="en-IE"/>
          </w:rPr>
          <w:t>2.2.1.1.</w:t>
        </w:r>
        <w:r w:rsidR="000F1D8A">
          <w:rPr>
            <w:noProof/>
            <w:lang w:val="en-IE" w:eastAsia="en-IE"/>
          </w:rPr>
          <w:tab/>
        </w:r>
        <w:r w:rsidR="000F1D8A" w:rsidRPr="00E82A25">
          <w:rPr>
            <w:rStyle w:val="Hyperlink"/>
            <w:rFonts w:ascii="Times New Roman" w:hAnsi="Times New Roman"/>
            <w:noProof/>
            <w:lang w:val="en-IE"/>
          </w:rPr>
          <w:t>Emissions</w:t>
        </w:r>
        <w:r w:rsidR="000F1D8A">
          <w:rPr>
            <w:noProof/>
            <w:webHidden/>
          </w:rPr>
          <w:tab/>
        </w:r>
        <w:r w:rsidR="00393DFA">
          <w:rPr>
            <w:noProof/>
            <w:webHidden/>
          </w:rPr>
          <w:t>116</w:t>
        </w:r>
      </w:hyperlink>
    </w:p>
    <w:p w14:paraId="5D7E689E" w14:textId="023A3503" w:rsidR="000F1D8A" w:rsidRDefault="004928CC">
      <w:pPr>
        <w:pStyle w:val="TOC4"/>
        <w:rPr>
          <w:noProof/>
          <w:lang w:val="en-IE" w:eastAsia="en-IE"/>
        </w:rPr>
      </w:pPr>
      <w:hyperlink w:anchor="_Toc139032110" w:history="1">
        <w:r w:rsidR="000F1D8A" w:rsidRPr="00E82A25">
          <w:rPr>
            <w:rStyle w:val="Hyperlink"/>
            <w:rFonts w:ascii="Times New Roman" w:hAnsi="Times New Roman"/>
            <w:noProof/>
            <w:lang w:val="en-IE"/>
          </w:rPr>
          <w:t>2.2.1.2.</w:t>
        </w:r>
        <w:r w:rsidR="000F1D8A">
          <w:rPr>
            <w:noProof/>
            <w:lang w:val="en-IE" w:eastAsia="en-IE"/>
          </w:rPr>
          <w:tab/>
        </w:r>
        <w:r w:rsidR="000F1D8A" w:rsidRPr="00E82A25">
          <w:rPr>
            <w:rStyle w:val="Hyperlink"/>
            <w:rFonts w:ascii="Times New Roman" w:hAnsi="Times New Roman"/>
            <w:noProof/>
            <w:lang w:val="en-IE"/>
          </w:rPr>
          <w:t>Land use</w:t>
        </w:r>
        <w:r w:rsidR="000F1D8A">
          <w:rPr>
            <w:noProof/>
            <w:webHidden/>
          </w:rPr>
          <w:tab/>
        </w:r>
        <w:r w:rsidR="00393DFA">
          <w:rPr>
            <w:noProof/>
            <w:webHidden/>
          </w:rPr>
          <w:t>117</w:t>
        </w:r>
      </w:hyperlink>
    </w:p>
    <w:p w14:paraId="55804D23" w14:textId="24652E3E" w:rsidR="000F1D8A" w:rsidRDefault="004928CC">
      <w:pPr>
        <w:pStyle w:val="TOC4"/>
        <w:rPr>
          <w:noProof/>
          <w:lang w:val="en-IE" w:eastAsia="en-IE"/>
        </w:rPr>
      </w:pPr>
      <w:hyperlink w:anchor="_Toc139032111" w:history="1">
        <w:r w:rsidR="000F1D8A" w:rsidRPr="00E82A25">
          <w:rPr>
            <w:rStyle w:val="Hyperlink"/>
            <w:rFonts w:ascii="Times New Roman" w:hAnsi="Times New Roman"/>
            <w:noProof/>
            <w:lang w:val="en-IE"/>
          </w:rPr>
          <w:t>2.2.1.3.</w:t>
        </w:r>
        <w:r w:rsidR="000F1D8A">
          <w:rPr>
            <w:noProof/>
            <w:lang w:val="en-IE" w:eastAsia="en-IE"/>
          </w:rPr>
          <w:tab/>
        </w:r>
        <w:r w:rsidR="000F1D8A" w:rsidRPr="00E82A25">
          <w:rPr>
            <w:rStyle w:val="Hyperlink"/>
            <w:rFonts w:ascii="Times New Roman" w:hAnsi="Times New Roman"/>
            <w:noProof/>
            <w:lang w:val="en-IE"/>
          </w:rPr>
          <w:t>Footprints (consumption, households)</w:t>
        </w:r>
        <w:r w:rsidR="000F1D8A">
          <w:rPr>
            <w:noProof/>
            <w:webHidden/>
          </w:rPr>
          <w:tab/>
        </w:r>
        <w:r w:rsidR="00393DFA">
          <w:rPr>
            <w:noProof/>
            <w:webHidden/>
          </w:rPr>
          <w:t>118</w:t>
        </w:r>
      </w:hyperlink>
    </w:p>
    <w:p w14:paraId="361C2C74" w14:textId="519A8DD7" w:rsidR="000F1D8A" w:rsidRDefault="004928CC">
      <w:pPr>
        <w:pStyle w:val="TOC4"/>
        <w:rPr>
          <w:noProof/>
          <w:lang w:val="en-IE" w:eastAsia="en-IE"/>
        </w:rPr>
      </w:pPr>
      <w:hyperlink w:anchor="_Toc139032112" w:history="1">
        <w:r w:rsidR="000F1D8A" w:rsidRPr="00E82A25">
          <w:rPr>
            <w:rStyle w:val="Hyperlink"/>
            <w:rFonts w:ascii="Times New Roman" w:hAnsi="Times New Roman"/>
            <w:noProof/>
            <w:lang w:val="en-IE"/>
          </w:rPr>
          <w:t>2.2.1.4.</w:t>
        </w:r>
        <w:r w:rsidR="000F1D8A">
          <w:rPr>
            <w:noProof/>
            <w:lang w:val="en-IE" w:eastAsia="en-IE"/>
          </w:rPr>
          <w:tab/>
        </w:r>
        <w:r w:rsidR="000F1D8A" w:rsidRPr="00E82A25">
          <w:rPr>
            <w:rStyle w:val="Hyperlink"/>
            <w:rFonts w:ascii="Times New Roman" w:hAnsi="Times New Roman"/>
            <w:noProof/>
            <w:lang w:val="en-IE"/>
          </w:rPr>
          <w:t>Virtual trade – systemic view</w:t>
        </w:r>
        <w:r w:rsidR="000F1D8A">
          <w:rPr>
            <w:noProof/>
            <w:webHidden/>
          </w:rPr>
          <w:tab/>
        </w:r>
        <w:r w:rsidR="00393DFA">
          <w:rPr>
            <w:noProof/>
            <w:webHidden/>
          </w:rPr>
          <w:t>122</w:t>
        </w:r>
      </w:hyperlink>
    </w:p>
    <w:p w14:paraId="71E237D4" w14:textId="09F83E0E" w:rsidR="000F1D8A" w:rsidRDefault="004928CC">
      <w:pPr>
        <w:pStyle w:val="TOC3"/>
        <w:rPr>
          <w:rFonts w:asciiTheme="minorHAnsi" w:eastAsiaTheme="minorEastAsia" w:hAnsiTheme="minorHAnsi"/>
          <w:noProof/>
          <w:color w:val="auto"/>
          <w:sz w:val="22"/>
          <w:lang w:val="en-IE" w:eastAsia="en-IE"/>
        </w:rPr>
      </w:pPr>
      <w:hyperlink w:anchor="_Toc139032113" w:history="1">
        <w:r w:rsidR="000F1D8A" w:rsidRPr="00E82A25">
          <w:rPr>
            <w:rStyle w:val="Hyperlink"/>
            <w:rFonts w:ascii="Times New Roman" w:hAnsi="Times New Roman"/>
            <w:noProof/>
            <w:lang w:val="en-IE"/>
          </w:rPr>
          <w:t>2.2.2.</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Bottom-up analysis</w:t>
        </w:r>
        <w:r w:rsidR="000F1D8A">
          <w:rPr>
            <w:noProof/>
            <w:webHidden/>
          </w:rPr>
          <w:tab/>
        </w:r>
        <w:r w:rsidR="00393DFA">
          <w:rPr>
            <w:noProof/>
            <w:webHidden/>
          </w:rPr>
          <w:t>125</w:t>
        </w:r>
      </w:hyperlink>
    </w:p>
    <w:p w14:paraId="0E84AA1E" w14:textId="7F8A182F" w:rsidR="000F1D8A" w:rsidRDefault="004928CC">
      <w:pPr>
        <w:pStyle w:val="TOC3"/>
        <w:rPr>
          <w:rFonts w:asciiTheme="minorHAnsi" w:eastAsiaTheme="minorEastAsia" w:hAnsiTheme="minorHAnsi"/>
          <w:noProof/>
          <w:color w:val="auto"/>
          <w:sz w:val="22"/>
          <w:lang w:val="en-IE" w:eastAsia="en-IE"/>
        </w:rPr>
      </w:pPr>
      <w:hyperlink w:anchor="_Toc139032114" w:history="1">
        <w:r w:rsidR="000F1D8A" w:rsidRPr="00E82A25">
          <w:rPr>
            <w:rStyle w:val="Hyperlink"/>
            <w:rFonts w:ascii="Times New Roman" w:hAnsi="Times New Roman"/>
            <w:noProof/>
            <w:lang w:val="en-IE"/>
          </w:rPr>
          <w:t>2.2.3.</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Comparison of the two approaches</w:t>
        </w:r>
        <w:r w:rsidR="000F1D8A">
          <w:rPr>
            <w:noProof/>
            <w:webHidden/>
          </w:rPr>
          <w:tab/>
        </w:r>
        <w:r w:rsidR="00393DFA">
          <w:rPr>
            <w:noProof/>
            <w:webHidden/>
          </w:rPr>
          <w:t>129</w:t>
        </w:r>
      </w:hyperlink>
    </w:p>
    <w:p w14:paraId="127EFC2B" w14:textId="6B6DFDCB"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15" w:history="1">
        <w:r w:rsidR="000F1D8A" w:rsidRPr="00E82A25">
          <w:rPr>
            <w:rStyle w:val="Hyperlink"/>
            <w:rFonts w:eastAsia="Calibri"/>
            <w:noProof/>
          </w:rPr>
          <w:t>2.3.</w:t>
        </w:r>
        <w:r w:rsidR="000F1D8A">
          <w:rPr>
            <w:rFonts w:asciiTheme="minorHAnsi" w:eastAsiaTheme="minorEastAsia" w:hAnsiTheme="minorHAnsi" w:cstheme="minorBidi"/>
            <w:noProof/>
            <w:sz w:val="22"/>
            <w:szCs w:val="22"/>
            <w:lang w:val="en-IE" w:eastAsia="en-IE"/>
          </w:rPr>
          <w:tab/>
        </w:r>
        <w:r w:rsidR="000F1D8A" w:rsidRPr="00E82A25">
          <w:rPr>
            <w:rStyle w:val="Hyperlink"/>
            <w:rFonts w:eastAsia="Calibri"/>
            <w:noProof/>
            <w:lang w:val="en-IE"/>
          </w:rPr>
          <w:t>Economic impacts</w:t>
        </w:r>
        <w:r w:rsidR="000F1D8A">
          <w:rPr>
            <w:noProof/>
            <w:webHidden/>
          </w:rPr>
          <w:tab/>
        </w:r>
        <w:r w:rsidR="00393DFA">
          <w:rPr>
            <w:noProof/>
            <w:webHidden/>
          </w:rPr>
          <w:t>133</w:t>
        </w:r>
      </w:hyperlink>
    </w:p>
    <w:p w14:paraId="2C9CCB19" w14:textId="3B9084F0" w:rsidR="000F1D8A" w:rsidRDefault="004928CC">
      <w:pPr>
        <w:pStyle w:val="TOC3"/>
        <w:rPr>
          <w:rFonts w:asciiTheme="minorHAnsi" w:eastAsiaTheme="minorEastAsia" w:hAnsiTheme="minorHAnsi"/>
          <w:noProof/>
          <w:color w:val="auto"/>
          <w:sz w:val="22"/>
          <w:lang w:val="en-IE" w:eastAsia="en-IE"/>
        </w:rPr>
      </w:pPr>
      <w:hyperlink w:anchor="_Toc139032116" w:history="1">
        <w:r w:rsidR="000F1D8A" w:rsidRPr="00E82A25">
          <w:rPr>
            <w:rStyle w:val="Hyperlink"/>
            <w:rFonts w:ascii="Times New Roman" w:hAnsi="Times New Roman"/>
            <w:noProof/>
            <w:lang w:val="en-IE"/>
          </w:rPr>
          <w:t>2.3.1.</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Demand impacts</w:t>
        </w:r>
        <w:r w:rsidR="000F1D8A">
          <w:rPr>
            <w:noProof/>
            <w:webHidden/>
          </w:rPr>
          <w:tab/>
        </w:r>
        <w:r w:rsidR="00393DFA">
          <w:rPr>
            <w:noProof/>
            <w:webHidden/>
          </w:rPr>
          <w:t>134</w:t>
        </w:r>
      </w:hyperlink>
    </w:p>
    <w:p w14:paraId="162850E1" w14:textId="2E311E67" w:rsidR="000F1D8A" w:rsidRDefault="004928CC">
      <w:pPr>
        <w:pStyle w:val="TOC3"/>
        <w:rPr>
          <w:rFonts w:asciiTheme="minorHAnsi" w:eastAsiaTheme="minorEastAsia" w:hAnsiTheme="minorHAnsi"/>
          <w:noProof/>
          <w:color w:val="auto"/>
          <w:sz w:val="22"/>
          <w:lang w:val="en-IE" w:eastAsia="en-IE"/>
        </w:rPr>
      </w:pPr>
      <w:hyperlink w:anchor="_Toc139032117" w:history="1">
        <w:r w:rsidR="000F1D8A" w:rsidRPr="00E82A25">
          <w:rPr>
            <w:rStyle w:val="Hyperlink"/>
            <w:rFonts w:ascii="Times New Roman" w:hAnsi="Times New Roman"/>
            <w:noProof/>
            <w:lang w:val="en-IE"/>
          </w:rPr>
          <w:t>2.3.2.</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Price impacts</w:t>
        </w:r>
        <w:r w:rsidR="000F1D8A">
          <w:rPr>
            <w:noProof/>
            <w:webHidden/>
          </w:rPr>
          <w:tab/>
        </w:r>
        <w:r w:rsidR="00393DFA">
          <w:rPr>
            <w:noProof/>
            <w:webHidden/>
          </w:rPr>
          <w:t>135</w:t>
        </w:r>
      </w:hyperlink>
    </w:p>
    <w:p w14:paraId="23B39691" w14:textId="110C471A" w:rsidR="000F1D8A" w:rsidRDefault="004928CC">
      <w:pPr>
        <w:pStyle w:val="TOC3"/>
        <w:rPr>
          <w:rFonts w:asciiTheme="minorHAnsi" w:eastAsiaTheme="minorEastAsia" w:hAnsiTheme="minorHAnsi"/>
          <w:noProof/>
          <w:color w:val="auto"/>
          <w:sz w:val="22"/>
          <w:lang w:val="en-IE" w:eastAsia="en-IE"/>
        </w:rPr>
      </w:pPr>
      <w:hyperlink w:anchor="_Toc139032118" w:history="1">
        <w:r w:rsidR="000F1D8A" w:rsidRPr="00E82A25">
          <w:rPr>
            <w:rStyle w:val="Hyperlink"/>
            <w:rFonts w:ascii="Times New Roman" w:hAnsi="Times New Roman"/>
            <w:noProof/>
            <w:lang w:val="en-IE"/>
          </w:rPr>
          <w:t>2.3.3.</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Production impacts</w:t>
        </w:r>
        <w:r w:rsidR="000F1D8A">
          <w:rPr>
            <w:noProof/>
            <w:webHidden/>
          </w:rPr>
          <w:tab/>
        </w:r>
        <w:r w:rsidR="00393DFA">
          <w:rPr>
            <w:noProof/>
            <w:webHidden/>
          </w:rPr>
          <w:t>138</w:t>
        </w:r>
      </w:hyperlink>
    </w:p>
    <w:p w14:paraId="3BA3EF73" w14:textId="511B7A52" w:rsidR="000F1D8A" w:rsidRDefault="004928CC">
      <w:pPr>
        <w:pStyle w:val="TOC3"/>
        <w:rPr>
          <w:rFonts w:asciiTheme="minorHAnsi" w:eastAsiaTheme="minorEastAsia" w:hAnsiTheme="minorHAnsi"/>
          <w:noProof/>
          <w:color w:val="auto"/>
          <w:sz w:val="22"/>
          <w:lang w:val="en-IE" w:eastAsia="en-IE"/>
        </w:rPr>
      </w:pPr>
      <w:hyperlink w:anchor="_Toc139032119" w:history="1">
        <w:r w:rsidR="000F1D8A" w:rsidRPr="00E82A25">
          <w:rPr>
            <w:rStyle w:val="Hyperlink"/>
            <w:rFonts w:ascii="Times New Roman" w:hAnsi="Times New Roman"/>
            <w:noProof/>
            <w:lang w:val="en-IE"/>
          </w:rPr>
          <w:t>2.3.4.</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Trade impacts</w:t>
        </w:r>
        <w:r w:rsidR="000F1D8A">
          <w:rPr>
            <w:noProof/>
            <w:webHidden/>
          </w:rPr>
          <w:tab/>
        </w:r>
        <w:r w:rsidR="00393DFA">
          <w:rPr>
            <w:noProof/>
            <w:webHidden/>
          </w:rPr>
          <w:t>141</w:t>
        </w:r>
      </w:hyperlink>
    </w:p>
    <w:p w14:paraId="1B25E027" w14:textId="2F2B4FFC" w:rsidR="000F1D8A" w:rsidRDefault="004928CC">
      <w:pPr>
        <w:pStyle w:val="TOC3"/>
        <w:rPr>
          <w:rFonts w:asciiTheme="minorHAnsi" w:eastAsiaTheme="minorEastAsia" w:hAnsiTheme="minorHAnsi"/>
          <w:noProof/>
          <w:color w:val="auto"/>
          <w:sz w:val="22"/>
          <w:lang w:val="en-IE" w:eastAsia="en-IE"/>
        </w:rPr>
      </w:pPr>
      <w:hyperlink w:anchor="_Toc139032120" w:history="1">
        <w:r w:rsidR="000F1D8A" w:rsidRPr="00E82A25">
          <w:rPr>
            <w:rStyle w:val="Hyperlink"/>
            <w:rFonts w:ascii="Times New Roman" w:hAnsi="Times New Roman"/>
            <w:noProof/>
            <w:lang w:val="en-IE"/>
          </w:rPr>
          <w:t>2.3.5.</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GDP and income</w:t>
        </w:r>
        <w:r w:rsidR="000F1D8A">
          <w:rPr>
            <w:noProof/>
            <w:webHidden/>
          </w:rPr>
          <w:tab/>
        </w:r>
        <w:r w:rsidR="00393DFA">
          <w:rPr>
            <w:noProof/>
            <w:webHidden/>
          </w:rPr>
          <w:t>143</w:t>
        </w:r>
      </w:hyperlink>
    </w:p>
    <w:p w14:paraId="1714F5B0" w14:textId="71CD86E5" w:rsidR="000F1D8A" w:rsidRDefault="004928CC">
      <w:pPr>
        <w:pStyle w:val="TOC3"/>
        <w:rPr>
          <w:rFonts w:asciiTheme="minorHAnsi" w:eastAsiaTheme="minorEastAsia" w:hAnsiTheme="minorHAnsi"/>
          <w:noProof/>
          <w:color w:val="auto"/>
          <w:sz w:val="22"/>
          <w:lang w:val="en-IE" w:eastAsia="en-IE"/>
        </w:rPr>
      </w:pPr>
      <w:hyperlink w:anchor="_Toc139032121" w:history="1">
        <w:r w:rsidR="000F1D8A" w:rsidRPr="00E82A25">
          <w:rPr>
            <w:rStyle w:val="Hyperlink"/>
            <w:rFonts w:ascii="Times New Roman" w:hAnsi="Times New Roman"/>
            <w:noProof/>
            <w:lang w:val="en-IE"/>
          </w:rPr>
          <w:t>2.3.6.</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Estimated adjustment costs associated with food waste reduction</w:t>
        </w:r>
        <w:r w:rsidR="000F1D8A">
          <w:rPr>
            <w:noProof/>
            <w:webHidden/>
          </w:rPr>
          <w:tab/>
        </w:r>
        <w:r w:rsidR="00393DFA">
          <w:rPr>
            <w:noProof/>
            <w:webHidden/>
          </w:rPr>
          <w:t>145</w:t>
        </w:r>
      </w:hyperlink>
    </w:p>
    <w:p w14:paraId="1A221949" w14:textId="0FB02DAF"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22" w:history="1">
        <w:r w:rsidR="000F1D8A" w:rsidRPr="00E82A25">
          <w:rPr>
            <w:rStyle w:val="Hyperlink"/>
            <w:noProof/>
            <w:lang w:val="en-IE"/>
          </w:rPr>
          <w:t>2.4.</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Social impacts</w:t>
        </w:r>
        <w:r w:rsidR="000F1D8A">
          <w:rPr>
            <w:noProof/>
            <w:webHidden/>
          </w:rPr>
          <w:tab/>
        </w:r>
        <w:r w:rsidR="00393DFA">
          <w:rPr>
            <w:noProof/>
            <w:webHidden/>
          </w:rPr>
          <w:t>152</w:t>
        </w:r>
      </w:hyperlink>
    </w:p>
    <w:p w14:paraId="2930CFC6" w14:textId="38A78776" w:rsidR="000F1D8A" w:rsidRDefault="004928CC">
      <w:pPr>
        <w:pStyle w:val="TOC3"/>
        <w:rPr>
          <w:rFonts w:asciiTheme="minorHAnsi" w:eastAsiaTheme="minorEastAsia" w:hAnsiTheme="minorHAnsi"/>
          <w:noProof/>
          <w:color w:val="auto"/>
          <w:sz w:val="22"/>
          <w:lang w:val="en-IE" w:eastAsia="en-IE"/>
        </w:rPr>
      </w:pPr>
      <w:hyperlink w:anchor="_Toc139032123" w:history="1">
        <w:r w:rsidR="000F1D8A" w:rsidRPr="00E82A25">
          <w:rPr>
            <w:rStyle w:val="Hyperlink"/>
            <w:rFonts w:ascii="Times New Roman" w:hAnsi="Times New Roman"/>
            <w:noProof/>
            <w:lang w:val="en-IE"/>
          </w:rPr>
          <w:t>2.4.1.</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Employment</w:t>
        </w:r>
        <w:r w:rsidR="000F1D8A">
          <w:rPr>
            <w:noProof/>
            <w:webHidden/>
          </w:rPr>
          <w:tab/>
        </w:r>
        <w:r w:rsidR="00393DFA">
          <w:rPr>
            <w:noProof/>
            <w:webHidden/>
          </w:rPr>
          <w:t>153</w:t>
        </w:r>
      </w:hyperlink>
    </w:p>
    <w:p w14:paraId="509FB8FE" w14:textId="5CC684EA" w:rsidR="000F1D8A" w:rsidRDefault="004928CC">
      <w:pPr>
        <w:pStyle w:val="TOC3"/>
        <w:rPr>
          <w:rFonts w:asciiTheme="minorHAnsi" w:eastAsiaTheme="minorEastAsia" w:hAnsiTheme="minorHAnsi"/>
          <w:noProof/>
          <w:color w:val="auto"/>
          <w:sz w:val="22"/>
          <w:lang w:val="en-IE" w:eastAsia="en-IE"/>
        </w:rPr>
      </w:pPr>
      <w:hyperlink w:anchor="_Toc139032124" w:history="1">
        <w:r w:rsidR="000F1D8A" w:rsidRPr="00E82A25">
          <w:rPr>
            <w:rStyle w:val="Hyperlink"/>
            <w:rFonts w:ascii="Times New Roman" w:hAnsi="Times New Roman"/>
            <w:noProof/>
            <w:lang w:val="en-IE"/>
          </w:rPr>
          <w:t>2.4.2.</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Income distribution</w:t>
        </w:r>
        <w:r w:rsidR="000F1D8A">
          <w:rPr>
            <w:noProof/>
            <w:webHidden/>
          </w:rPr>
          <w:tab/>
        </w:r>
        <w:r w:rsidR="00393DFA">
          <w:rPr>
            <w:noProof/>
            <w:webHidden/>
          </w:rPr>
          <w:t>155</w:t>
        </w:r>
      </w:hyperlink>
    </w:p>
    <w:p w14:paraId="1A88CEDA" w14:textId="7B4CC061" w:rsidR="000F1D8A" w:rsidRDefault="004928CC">
      <w:pPr>
        <w:pStyle w:val="TOC3"/>
        <w:rPr>
          <w:rFonts w:asciiTheme="minorHAnsi" w:eastAsiaTheme="minorEastAsia" w:hAnsiTheme="minorHAnsi"/>
          <w:noProof/>
          <w:color w:val="auto"/>
          <w:sz w:val="22"/>
          <w:lang w:val="en-IE" w:eastAsia="en-IE"/>
        </w:rPr>
      </w:pPr>
      <w:hyperlink w:anchor="_Toc139032125" w:history="1">
        <w:r w:rsidR="000F1D8A" w:rsidRPr="00E82A25">
          <w:rPr>
            <w:rStyle w:val="Hyperlink"/>
            <w:rFonts w:ascii="Times New Roman" w:hAnsi="Times New Roman"/>
            <w:noProof/>
            <w:lang w:val="en-IE"/>
          </w:rPr>
          <w:t>2.4.3.</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Food affordability</w:t>
        </w:r>
        <w:r w:rsidR="000F1D8A">
          <w:rPr>
            <w:noProof/>
            <w:webHidden/>
          </w:rPr>
          <w:tab/>
        </w:r>
        <w:r w:rsidR="00393DFA">
          <w:rPr>
            <w:noProof/>
            <w:webHidden/>
          </w:rPr>
          <w:t>157</w:t>
        </w:r>
      </w:hyperlink>
    </w:p>
    <w:p w14:paraId="0D744E3A" w14:textId="44ADB7D5"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26" w:history="1">
        <w:r w:rsidR="000F1D8A" w:rsidRPr="00E82A25">
          <w:rPr>
            <w:rStyle w:val="Hyperlink"/>
            <w:noProof/>
            <w:lang w:val="en-IE"/>
          </w:rPr>
          <w:t>2.5.</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Other impacts</w:t>
        </w:r>
        <w:r w:rsidR="000F1D8A">
          <w:rPr>
            <w:noProof/>
            <w:webHidden/>
          </w:rPr>
          <w:tab/>
        </w:r>
        <w:r w:rsidR="00393DFA">
          <w:rPr>
            <w:noProof/>
            <w:webHidden/>
          </w:rPr>
          <w:t>160</w:t>
        </w:r>
      </w:hyperlink>
    </w:p>
    <w:p w14:paraId="41E9B00E" w14:textId="529B3299" w:rsidR="000F1D8A" w:rsidRDefault="004928CC">
      <w:pPr>
        <w:pStyle w:val="TOC3"/>
        <w:rPr>
          <w:rFonts w:asciiTheme="minorHAnsi" w:eastAsiaTheme="minorEastAsia" w:hAnsiTheme="minorHAnsi"/>
          <w:noProof/>
          <w:color w:val="auto"/>
          <w:sz w:val="22"/>
          <w:lang w:val="en-IE" w:eastAsia="en-IE"/>
        </w:rPr>
      </w:pPr>
      <w:hyperlink w:anchor="_Toc139032127" w:history="1">
        <w:r w:rsidR="000F1D8A" w:rsidRPr="00E82A25">
          <w:rPr>
            <w:rStyle w:val="Hyperlink"/>
            <w:rFonts w:ascii="Times New Roman" w:hAnsi="Times New Roman"/>
            <w:noProof/>
            <w:lang w:val="en-IE"/>
          </w:rPr>
          <w:t>2.5.1.</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SDGs</w:t>
        </w:r>
        <w:r w:rsidR="000F1D8A">
          <w:rPr>
            <w:noProof/>
            <w:webHidden/>
          </w:rPr>
          <w:tab/>
        </w:r>
        <w:r w:rsidR="00393DFA">
          <w:rPr>
            <w:noProof/>
            <w:webHidden/>
          </w:rPr>
          <w:t>160</w:t>
        </w:r>
      </w:hyperlink>
    </w:p>
    <w:p w14:paraId="3D13F0A3" w14:textId="02DAFFE3" w:rsidR="000F1D8A" w:rsidRDefault="004928CC">
      <w:pPr>
        <w:pStyle w:val="TOC3"/>
        <w:rPr>
          <w:rFonts w:asciiTheme="minorHAnsi" w:eastAsiaTheme="minorEastAsia" w:hAnsiTheme="minorHAnsi"/>
          <w:noProof/>
          <w:color w:val="auto"/>
          <w:sz w:val="22"/>
          <w:lang w:val="en-IE" w:eastAsia="en-IE"/>
        </w:rPr>
      </w:pPr>
      <w:hyperlink w:anchor="_Toc139032128" w:history="1">
        <w:r w:rsidR="000F1D8A" w:rsidRPr="00E82A25">
          <w:rPr>
            <w:rStyle w:val="Hyperlink"/>
            <w:rFonts w:ascii="Times New Roman" w:hAnsi="Times New Roman"/>
            <w:noProof/>
            <w:lang w:val="en-IE"/>
          </w:rPr>
          <w:t>2.5.2.</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Territorial impacts</w:t>
        </w:r>
        <w:r w:rsidR="000F1D8A">
          <w:rPr>
            <w:noProof/>
            <w:webHidden/>
          </w:rPr>
          <w:tab/>
        </w:r>
        <w:r w:rsidR="00393DFA">
          <w:rPr>
            <w:noProof/>
            <w:webHidden/>
          </w:rPr>
          <w:t>163</w:t>
        </w:r>
      </w:hyperlink>
    </w:p>
    <w:p w14:paraId="4103781A" w14:textId="1712C688" w:rsidR="000F1D8A" w:rsidRDefault="004928CC">
      <w:pPr>
        <w:pStyle w:val="TOC3"/>
        <w:rPr>
          <w:rFonts w:asciiTheme="minorHAnsi" w:eastAsiaTheme="minorEastAsia" w:hAnsiTheme="minorHAnsi"/>
          <w:noProof/>
          <w:color w:val="auto"/>
          <w:sz w:val="22"/>
          <w:lang w:val="en-IE" w:eastAsia="en-IE"/>
        </w:rPr>
      </w:pPr>
      <w:hyperlink w:anchor="_Toc139032129" w:history="1">
        <w:r w:rsidR="000F1D8A" w:rsidRPr="00E82A25">
          <w:rPr>
            <w:rStyle w:val="Hyperlink"/>
            <w:rFonts w:ascii="Times New Roman" w:hAnsi="Times New Roman"/>
            <w:noProof/>
            <w:lang w:val="en-IE"/>
          </w:rPr>
          <w:t>2.5.3.</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Impact on SMEs</w:t>
        </w:r>
        <w:r w:rsidR="000F1D8A">
          <w:rPr>
            <w:noProof/>
            <w:webHidden/>
          </w:rPr>
          <w:tab/>
        </w:r>
        <w:r w:rsidR="00393DFA">
          <w:rPr>
            <w:noProof/>
            <w:webHidden/>
          </w:rPr>
          <w:t>173</w:t>
        </w:r>
      </w:hyperlink>
    </w:p>
    <w:p w14:paraId="3D2363F3" w14:textId="130AEA4B" w:rsidR="000F1D8A" w:rsidRDefault="004928CC">
      <w:pPr>
        <w:pStyle w:val="TOC3"/>
        <w:rPr>
          <w:rFonts w:asciiTheme="minorHAnsi" w:eastAsiaTheme="minorEastAsia" w:hAnsiTheme="minorHAnsi"/>
          <w:noProof/>
          <w:color w:val="auto"/>
          <w:sz w:val="22"/>
          <w:lang w:val="en-IE" w:eastAsia="en-IE"/>
        </w:rPr>
      </w:pPr>
      <w:hyperlink w:anchor="_Toc139032130" w:history="1">
        <w:r w:rsidR="000F1D8A" w:rsidRPr="00E82A25">
          <w:rPr>
            <w:rStyle w:val="Hyperlink"/>
            <w:rFonts w:ascii="Times New Roman" w:hAnsi="Times New Roman"/>
            <w:noProof/>
            <w:lang w:val="en-IE"/>
          </w:rPr>
          <w:t>2.5.4.</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Bioeconomy and innovation</w:t>
        </w:r>
        <w:r w:rsidR="000F1D8A">
          <w:rPr>
            <w:noProof/>
            <w:webHidden/>
          </w:rPr>
          <w:tab/>
        </w:r>
        <w:r w:rsidR="00393DFA">
          <w:rPr>
            <w:noProof/>
            <w:webHidden/>
          </w:rPr>
          <w:t>178</w:t>
        </w:r>
      </w:hyperlink>
    </w:p>
    <w:p w14:paraId="11BE2757" w14:textId="1B359935" w:rsidR="000F1D8A" w:rsidRDefault="004928CC">
      <w:pPr>
        <w:pStyle w:val="TOC3"/>
        <w:rPr>
          <w:rFonts w:asciiTheme="minorHAnsi" w:eastAsiaTheme="minorEastAsia" w:hAnsiTheme="minorHAnsi"/>
          <w:noProof/>
          <w:color w:val="auto"/>
          <w:sz w:val="22"/>
          <w:lang w:val="en-IE" w:eastAsia="en-IE"/>
        </w:rPr>
      </w:pPr>
      <w:hyperlink w:anchor="_Toc139032131" w:history="1">
        <w:r w:rsidR="000F1D8A" w:rsidRPr="00E82A25">
          <w:rPr>
            <w:rStyle w:val="Hyperlink"/>
            <w:rFonts w:ascii="Times New Roman" w:hAnsi="Times New Roman"/>
            <w:noProof/>
            <w:lang w:val="en-IE"/>
          </w:rPr>
          <w:t>2.5.5.</w:t>
        </w:r>
        <w:r w:rsidR="000F1D8A">
          <w:rPr>
            <w:rFonts w:asciiTheme="minorHAnsi" w:eastAsiaTheme="minorEastAsia" w:hAnsiTheme="minorHAnsi"/>
            <w:noProof/>
            <w:color w:val="auto"/>
            <w:sz w:val="22"/>
            <w:lang w:val="en-IE" w:eastAsia="en-IE"/>
          </w:rPr>
          <w:tab/>
        </w:r>
        <w:r w:rsidR="000F1D8A" w:rsidRPr="00E82A25">
          <w:rPr>
            <w:rStyle w:val="Hyperlink"/>
            <w:rFonts w:ascii="Times New Roman" w:hAnsi="Times New Roman"/>
            <w:noProof/>
            <w:lang w:val="en-IE"/>
          </w:rPr>
          <w:t>Food packaging</w:t>
        </w:r>
        <w:r w:rsidR="000F1D8A">
          <w:rPr>
            <w:noProof/>
            <w:webHidden/>
          </w:rPr>
          <w:tab/>
        </w:r>
        <w:r w:rsidR="00393DFA">
          <w:rPr>
            <w:noProof/>
            <w:webHidden/>
          </w:rPr>
          <w:t>179</w:t>
        </w:r>
      </w:hyperlink>
    </w:p>
    <w:p w14:paraId="46F7E1B6" w14:textId="180A8C9C"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32" w:history="1">
        <w:r w:rsidR="000F1D8A" w:rsidRPr="00E82A25">
          <w:rPr>
            <w:rStyle w:val="Hyperlink"/>
            <w:noProof/>
            <w:lang w:val="en-IE"/>
          </w:rPr>
          <w:t>2.6.</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Feasibility analysis</w:t>
        </w:r>
        <w:r w:rsidR="000F1D8A">
          <w:rPr>
            <w:noProof/>
            <w:webHidden/>
          </w:rPr>
          <w:tab/>
        </w:r>
        <w:r w:rsidR="00393DFA">
          <w:rPr>
            <w:noProof/>
            <w:webHidden/>
          </w:rPr>
          <w:t>180</w:t>
        </w:r>
      </w:hyperlink>
    </w:p>
    <w:p w14:paraId="2E9AEA4B" w14:textId="6FBE33FE" w:rsidR="000F1D8A" w:rsidRDefault="004928CC">
      <w:pPr>
        <w:pStyle w:val="TOC1"/>
        <w:rPr>
          <w:rFonts w:asciiTheme="minorHAnsi" w:eastAsiaTheme="minorEastAsia" w:hAnsiTheme="minorHAnsi" w:cstheme="minorBidi"/>
          <w:caps w:val="0"/>
          <w:noProof/>
          <w:sz w:val="22"/>
          <w:szCs w:val="22"/>
          <w:lang w:val="en-IE" w:eastAsia="en-IE"/>
        </w:rPr>
      </w:pPr>
      <w:hyperlink w:anchor="_Toc139032133" w:history="1">
        <w:r w:rsidR="000F1D8A" w:rsidRPr="00E82A25">
          <w:rPr>
            <w:rStyle w:val="Hyperlink"/>
            <w:noProof/>
            <w:lang w:val="en-IE"/>
          </w:rPr>
          <w:t>Annex 12: How do the options compare</w:t>
        </w:r>
        <w:r w:rsidR="000F1D8A">
          <w:rPr>
            <w:noProof/>
            <w:webHidden/>
          </w:rPr>
          <w:tab/>
        </w:r>
        <w:r w:rsidR="00393DFA">
          <w:rPr>
            <w:noProof/>
            <w:webHidden/>
          </w:rPr>
          <w:t>183</w:t>
        </w:r>
      </w:hyperlink>
    </w:p>
    <w:p w14:paraId="081B1DA9" w14:textId="42B05B9B"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34"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Textiles</w:t>
        </w:r>
        <w:r w:rsidR="000F1D8A">
          <w:rPr>
            <w:noProof/>
            <w:webHidden/>
          </w:rPr>
          <w:tab/>
        </w:r>
        <w:r w:rsidR="00393DFA">
          <w:rPr>
            <w:noProof/>
            <w:webHidden/>
          </w:rPr>
          <w:t>183</w:t>
        </w:r>
      </w:hyperlink>
    </w:p>
    <w:p w14:paraId="134D8AC7" w14:textId="47DA6E52"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35" w:history="1">
        <w:r w:rsidR="000F1D8A" w:rsidRPr="00E82A25">
          <w:rPr>
            <w:rStyle w:val="Hyperlink"/>
            <w:noProof/>
            <w:lang w:val="en-IE"/>
          </w:rPr>
          <w:t>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Food Waste</w:t>
        </w:r>
        <w:r w:rsidR="000F1D8A">
          <w:rPr>
            <w:noProof/>
            <w:webHidden/>
          </w:rPr>
          <w:tab/>
        </w:r>
        <w:r w:rsidR="00393DFA">
          <w:rPr>
            <w:noProof/>
            <w:webHidden/>
          </w:rPr>
          <w:t>193</w:t>
        </w:r>
      </w:hyperlink>
    </w:p>
    <w:p w14:paraId="20D1B87B" w14:textId="6D8E2567" w:rsidR="000F1D8A" w:rsidRDefault="004928CC">
      <w:pPr>
        <w:pStyle w:val="TOC1"/>
        <w:rPr>
          <w:rFonts w:asciiTheme="minorHAnsi" w:eastAsiaTheme="minorEastAsia" w:hAnsiTheme="minorHAnsi" w:cstheme="minorBidi"/>
          <w:caps w:val="0"/>
          <w:noProof/>
          <w:sz w:val="22"/>
          <w:szCs w:val="22"/>
          <w:lang w:val="en-IE" w:eastAsia="en-IE"/>
        </w:rPr>
      </w:pPr>
      <w:hyperlink w:anchor="_Toc139032136" w:history="1">
        <w:r w:rsidR="000F1D8A" w:rsidRPr="00E82A25">
          <w:rPr>
            <w:rStyle w:val="Hyperlink"/>
            <w:noProof/>
            <w:lang w:val="en-IE"/>
          </w:rPr>
          <w:t>Annex 13: Preferred option</w:t>
        </w:r>
        <w:r w:rsidR="000F1D8A">
          <w:rPr>
            <w:noProof/>
            <w:webHidden/>
          </w:rPr>
          <w:tab/>
        </w:r>
        <w:r w:rsidR="00393DFA">
          <w:rPr>
            <w:noProof/>
            <w:webHidden/>
          </w:rPr>
          <w:t>194</w:t>
        </w:r>
      </w:hyperlink>
    </w:p>
    <w:p w14:paraId="289F0566" w14:textId="3C88F4D3"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37"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Textiles</w:t>
        </w:r>
        <w:r w:rsidR="000F1D8A">
          <w:rPr>
            <w:noProof/>
            <w:webHidden/>
          </w:rPr>
          <w:tab/>
        </w:r>
        <w:r w:rsidR="00393DFA">
          <w:rPr>
            <w:noProof/>
            <w:webHidden/>
          </w:rPr>
          <w:t>194</w:t>
        </w:r>
      </w:hyperlink>
    </w:p>
    <w:p w14:paraId="779EF52A" w14:textId="42729A0A" w:rsidR="000F1D8A" w:rsidRDefault="004928CC">
      <w:pPr>
        <w:pStyle w:val="TOC2"/>
        <w:rPr>
          <w:rFonts w:asciiTheme="minorHAnsi" w:eastAsiaTheme="minorEastAsia" w:hAnsiTheme="minorHAnsi" w:cstheme="minorBidi"/>
          <w:noProof/>
          <w:sz w:val="22"/>
          <w:szCs w:val="22"/>
          <w:lang w:val="en-IE" w:eastAsia="en-IE"/>
        </w:rPr>
      </w:pPr>
      <w:hyperlink w:anchor="_Toc139032138" w:history="1">
        <w:r w:rsidR="000F1D8A" w:rsidRPr="00E82A25">
          <w:rPr>
            <w:rStyle w:val="Hyperlink"/>
            <w:noProof/>
            <w:lang w:val="en-IE"/>
          </w:rPr>
          <w:t>Impacts on competitiveness</w:t>
        </w:r>
        <w:r w:rsidR="000F1D8A">
          <w:rPr>
            <w:noProof/>
            <w:webHidden/>
          </w:rPr>
          <w:tab/>
        </w:r>
        <w:r w:rsidR="00393DFA">
          <w:rPr>
            <w:noProof/>
            <w:webHidden/>
          </w:rPr>
          <w:t>197</w:t>
        </w:r>
      </w:hyperlink>
    </w:p>
    <w:p w14:paraId="283047AB" w14:textId="403D9B5A" w:rsidR="000F1D8A" w:rsidRDefault="004928CC">
      <w:pPr>
        <w:pStyle w:val="TOC2"/>
        <w:rPr>
          <w:rFonts w:asciiTheme="minorHAnsi" w:eastAsiaTheme="minorEastAsia" w:hAnsiTheme="minorHAnsi" w:cstheme="minorBidi"/>
          <w:noProof/>
          <w:sz w:val="22"/>
          <w:szCs w:val="22"/>
          <w:lang w:val="en-IE" w:eastAsia="en-IE"/>
        </w:rPr>
      </w:pPr>
      <w:hyperlink w:anchor="_Toc139032139" w:history="1">
        <w:r w:rsidR="000F1D8A" w:rsidRPr="00E82A25">
          <w:rPr>
            <w:rStyle w:val="Hyperlink"/>
            <w:noProof/>
            <w:lang w:val="en-IE"/>
          </w:rPr>
          <w:t>Impacts on third countries</w:t>
        </w:r>
        <w:r w:rsidR="000F1D8A">
          <w:rPr>
            <w:noProof/>
            <w:webHidden/>
          </w:rPr>
          <w:tab/>
        </w:r>
        <w:r w:rsidR="00393DFA">
          <w:rPr>
            <w:noProof/>
            <w:webHidden/>
          </w:rPr>
          <w:t>198</w:t>
        </w:r>
      </w:hyperlink>
    </w:p>
    <w:p w14:paraId="5F3A24E4" w14:textId="6B44A176"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40" w:history="1">
        <w:r w:rsidR="000F1D8A" w:rsidRPr="00E82A25">
          <w:rPr>
            <w:rStyle w:val="Hyperlink"/>
            <w:noProof/>
            <w:lang w:val="en-IE"/>
          </w:rPr>
          <w:t>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Food Waste</w:t>
        </w:r>
        <w:r w:rsidR="000F1D8A">
          <w:rPr>
            <w:noProof/>
            <w:webHidden/>
          </w:rPr>
          <w:tab/>
        </w:r>
        <w:r w:rsidR="00393DFA">
          <w:rPr>
            <w:noProof/>
            <w:webHidden/>
          </w:rPr>
          <w:t>199</w:t>
        </w:r>
      </w:hyperlink>
    </w:p>
    <w:p w14:paraId="54A61A64" w14:textId="00CFBB43" w:rsidR="000F1D8A" w:rsidRDefault="004928CC">
      <w:pPr>
        <w:pStyle w:val="TOC2"/>
        <w:rPr>
          <w:rFonts w:asciiTheme="minorHAnsi" w:eastAsiaTheme="minorEastAsia" w:hAnsiTheme="minorHAnsi" w:cstheme="minorBidi"/>
          <w:noProof/>
          <w:sz w:val="22"/>
          <w:szCs w:val="22"/>
          <w:lang w:val="en-IE" w:eastAsia="en-IE"/>
        </w:rPr>
      </w:pPr>
      <w:hyperlink w:anchor="_Toc139032141" w:history="1">
        <w:r w:rsidR="000F1D8A" w:rsidRPr="00E82A25">
          <w:rPr>
            <w:rStyle w:val="Hyperlink"/>
            <w:noProof/>
            <w:lang w:val="en-IE"/>
          </w:rPr>
          <w:t>Impacts on competitiveness</w:t>
        </w:r>
        <w:r w:rsidR="000F1D8A">
          <w:rPr>
            <w:noProof/>
            <w:webHidden/>
          </w:rPr>
          <w:tab/>
        </w:r>
        <w:r w:rsidR="00393DFA">
          <w:rPr>
            <w:noProof/>
            <w:webHidden/>
          </w:rPr>
          <w:t>201</w:t>
        </w:r>
      </w:hyperlink>
    </w:p>
    <w:p w14:paraId="034F46D3" w14:textId="5888B562" w:rsidR="000F1D8A" w:rsidRDefault="004928CC">
      <w:pPr>
        <w:pStyle w:val="TOC2"/>
        <w:rPr>
          <w:rFonts w:asciiTheme="minorHAnsi" w:eastAsiaTheme="minorEastAsia" w:hAnsiTheme="minorHAnsi" w:cstheme="minorBidi"/>
          <w:noProof/>
          <w:sz w:val="22"/>
          <w:szCs w:val="22"/>
          <w:lang w:val="en-IE" w:eastAsia="en-IE"/>
        </w:rPr>
      </w:pPr>
      <w:hyperlink w:anchor="_Toc139032142" w:history="1">
        <w:r w:rsidR="000F1D8A" w:rsidRPr="00E82A25">
          <w:rPr>
            <w:rStyle w:val="Hyperlink"/>
            <w:noProof/>
            <w:lang w:val="en-IE"/>
          </w:rPr>
          <w:t>Impacts on third countries</w:t>
        </w:r>
        <w:r w:rsidR="000F1D8A">
          <w:rPr>
            <w:noProof/>
            <w:webHidden/>
          </w:rPr>
          <w:tab/>
        </w:r>
        <w:r w:rsidR="00393DFA">
          <w:rPr>
            <w:noProof/>
            <w:webHidden/>
          </w:rPr>
          <w:t>202</w:t>
        </w:r>
      </w:hyperlink>
    </w:p>
    <w:p w14:paraId="135CADA0" w14:textId="05466FEB" w:rsidR="000F1D8A" w:rsidRDefault="004928CC">
      <w:pPr>
        <w:pStyle w:val="TOC2"/>
        <w:rPr>
          <w:rFonts w:asciiTheme="minorHAnsi" w:eastAsiaTheme="minorEastAsia" w:hAnsiTheme="minorHAnsi" w:cstheme="minorBidi"/>
          <w:noProof/>
          <w:sz w:val="22"/>
          <w:szCs w:val="22"/>
          <w:lang w:val="en-IE" w:eastAsia="en-IE"/>
        </w:rPr>
      </w:pPr>
      <w:hyperlink w:anchor="_Toc139032143" w:history="1">
        <w:r w:rsidR="000F1D8A" w:rsidRPr="00E82A25">
          <w:rPr>
            <w:rStyle w:val="Hyperlink"/>
            <w:noProof/>
            <w:lang w:val="en-IE"/>
          </w:rPr>
          <w:t>3 - Combined effects of the preferred measures on textiles and food waste</w:t>
        </w:r>
        <w:r w:rsidR="000F1D8A">
          <w:rPr>
            <w:noProof/>
            <w:webHidden/>
          </w:rPr>
          <w:tab/>
        </w:r>
        <w:r w:rsidR="00393DFA">
          <w:rPr>
            <w:noProof/>
            <w:webHidden/>
          </w:rPr>
          <w:t>202</w:t>
        </w:r>
      </w:hyperlink>
    </w:p>
    <w:p w14:paraId="657D839B" w14:textId="0D410321" w:rsidR="000F1D8A" w:rsidRDefault="004928CC">
      <w:pPr>
        <w:pStyle w:val="TOC1"/>
        <w:rPr>
          <w:rFonts w:asciiTheme="minorHAnsi" w:eastAsiaTheme="minorEastAsia" w:hAnsiTheme="minorHAnsi" w:cstheme="minorBidi"/>
          <w:caps w:val="0"/>
          <w:noProof/>
          <w:sz w:val="22"/>
          <w:szCs w:val="22"/>
          <w:lang w:val="en-IE" w:eastAsia="en-IE"/>
        </w:rPr>
      </w:pPr>
      <w:hyperlink w:anchor="_Toc139032144" w:history="1">
        <w:r w:rsidR="000F1D8A" w:rsidRPr="00E82A25">
          <w:rPr>
            <w:rStyle w:val="Hyperlink"/>
            <w:noProof/>
            <w:lang w:val="en-IE"/>
          </w:rPr>
          <w:t>Annex 14: Monitoring and evaluation</w:t>
        </w:r>
        <w:r w:rsidR="000F1D8A">
          <w:rPr>
            <w:noProof/>
            <w:webHidden/>
          </w:rPr>
          <w:tab/>
        </w:r>
        <w:r w:rsidR="00393DFA">
          <w:rPr>
            <w:noProof/>
            <w:webHidden/>
          </w:rPr>
          <w:t>206</w:t>
        </w:r>
      </w:hyperlink>
    </w:p>
    <w:p w14:paraId="1B2EAFCC" w14:textId="3347F2E7"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45"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Textiles</w:t>
        </w:r>
        <w:r w:rsidR="000F1D8A">
          <w:rPr>
            <w:noProof/>
            <w:webHidden/>
          </w:rPr>
          <w:tab/>
        </w:r>
        <w:r w:rsidR="00393DFA">
          <w:rPr>
            <w:noProof/>
            <w:webHidden/>
          </w:rPr>
          <w:t>206</w:t>
        </w:r>
      </w:hyperlink>
    </w:p>
    <w:p w14:paraId="691ADA75" w14:textId="7627E1EC"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46" w:history="1">
        <w:r w:rsidR="000F1D8A" w:rsidRPr="00E82A25">
          <w:rPr>
            <w:rStyle w:val="Hyperlink"/>
            <w:noProof/>
            <w:lang w:val="en-IE"/>
          </w:rPr>
          <w:t>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Food Waste</w:t>
        </w:r>
        <w:r w:rsidR="000F1D8A">
          <w:rPr>
            <w:noProof/>
            <w:webHidden/>
          </w:rPr>
          <w:tab/>
        </w:r>
        <w:r w:rsidR="00393DFA">
          <w:rPr>
            <w:noProof/>
            <w:webHidden/>
          </w:rPr>
          <w:t>206</w:t>
        </w:r>
      </w:hyperlink>
    </w:p>
    <w:p w14:paraId="463BA0EE" w14:textId="3CE0D340" w:rsidR="000F1D8A" w:rsidRDefault="004928CC">
      <w:pPr>
        <w:pStyle w:val="TOC1"/>
        <w:rPr>
          <w:rFonts w:asciiTheme="minorHAnsi" w:eastAsiaTheme="minorEastAsia" w:hAnsiTheme="minorHAnsi" w:cstheme="minorBidi"/>
          <w:caps w:val="0"/>
          <w:noProof/>
          <w:sz w:val="22"/>
          <w:szCs w:val="22"/>
          <w:lang w:val="en-IE" w:eastAsia="en-IE"/>
        </w:rPr>
      </w:pPr>
      <w:hyperlink w:anchor="_Toc139032147" w:history="1">
        <w:r w:rsidR="000F1D8A" w:rsidRPr="00E82A25">
          <w:rPr>
            <w:rStyle w:val="Hyperlink"/>
            <w:noProof/>
            <w:lang w:val="en-IE"/>
          </w:rPr>
          <w:t>Annex 15: SME test</w:t>
        </w:r>
        <w:r w:rsidR="000F1D8A">
          <w:rPr>
            <w:noProof/>
            <w:webHidden/>
          </w:rPr>
          <w:tab/>
        </w:r>
        <w:r w:rsidR="00393DFA">
          <w:rPr>
            <w:noProof/>
            <w:webHidden/>
          </w:rPr>
          <w:t>208</w:t>
        </w:r>
      </w:hyperlink>
    </w:p>
    <w:p w14:paraId="7899AFE9" w14:textId="78A6A5ED"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48"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Textiles</w:t>
        </w:r>
        <w:r w:rsidR="000F1D8A">
          <w:rPr>
            <w:noProof/>
            <w:webHidden/>
          </w:rPr>
          <w:tab/>
        </w:r>
        <w:r w:rsidR="00393DFA">
          <w:rPr>
            <w:noProof/>
            <w:webHidden/>
          </w:rPr>
          <w:t>208</w:t>
        </w:r>
      </w:hyperlink>
    </w:p>
    <w:p w14:paraId="3AFE7B9A" w14:textId="0BC82A6E"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49" w:history="1">
        <w:r w:rsidR="000F1D8A" w:rsidRPr="00E82A25">
          <w:rPr>
            <w:rStyle w:val="Hyperlink"/>
            <w:noProof/>
            <w:lang w:val="en-IE"/>
          </w:rPr>
          <w:t>2-</w:t>
        </w:r>
        <w:r w:rsidR="000F1D8A">
          <w:rPr>
            <w:rFonts w:asciiTheme="minorHAnsi" w:eastAsiaTheme="minorEastAsia" w:hAnsiTheme="minorHAnsi" w:cstheme="minorBidi"/>
            <w:noProof/>
            <w:sz w:val="22"/>
            <w:szCs w:val="22"/>
            <w:lang w:val="en-IE" w:eastAsia="en-IE"/>
          </w:rPr>
          <w:tab/>
        </w:r>
        <w:r w:rsidR="000F1D8A" w:rsidRPr="00E82A25">
          <w:rPr>
            <w:rStyle w:val="Hyperlink"/>
            <w:noProof/>
            <w:lang w:val="en-IE"/>
          </w:rPr>
          <w:t>Food Waste</w:t>
        </w:r>
        <w:r w:rsidR="000F1D8A">
          <w:rPr>
            <w:noProof/>
            <w:webHidden/>
          </w:rPr>
          <w:tab/>
        </w:r>
        <w:r w:rsidR="00393DFA">
          <w:rPr>
            <w:noProof/>
            <w:webHidden/>
          </w:rPr>
          <w:t>213</w:t>
        </w:r>
      </w:hyperlink>
    </w:p>
    <w:p w14:paraId="4FD88375" w14:textId="2A0FE281" w:rsidR="000F1D8A" w:rsidRDefault="004928CC">
      <w:pPr>
        <w:pStyle w:val="TOC1"/>
        <w:rPr>
          <w:rFonts w:asciiTheme="minorHAnsi" w:eastAsiaTheme="minorEastAsia" w:hAnsiTheme="minorHAnsi" w:cstheme="minorBidi"/>
          <w:caps w:val="0"/>
          <w:noProof/>
          <w:sz w:val="22"/>
          <w:szCs w:val="22"/>
          <w:lang w:val="en-IE" w:eastAsia="en-IE"/>
        </w:rPr>
      </w:pPr>
      <w:hyperlink w:anchor="_Toc139032150" w:history="1">
        <w:r w:rsidR="000F1D8A" w:rsidRPr="00E82A25">
          <w:rPr>
            <w:rStyle w:val="Hyperlink"/>
            <w:noProof/>
            <w:lang w:val="en-IE"/>
          </w:rPr>
          <w:t>Annex 16: Related stakeholder and citizens’ engagement</w:t>
        </w:r>
        <w:r w:rsidR="000F1D8A">
          <w:rPr>
            <w:noProof/>
            <w:webHidden/>
          </w:rPr>
          <w:tab/>
        </w:r>
        <w:r w:rsidR="00393DFA">
          <w:rPr>
            <w:noProof/>
            <w:webHidden/>
          </w:rPr>
          <w:t>218</w:t>
        </w:r>
      </w:hyperlink>
    </w:p>
    <w:p w14:paraId="40380867" w14:textId="17643C94" w:rsidR="000F1D8A" w:rsidRDefault="004928CC">
      <w:pPr>
        <w:pStyle w:val="TOC2"/>
        <w:tabs>
          <w:tab w:val="left" w:pos="1077"/>
        </w:tabs>
        <w:rPr>
          <w:rFonts w:asciiTheme="minorHAnsi" w:eastAsiaTheme="minorEastAsia" w:hAnsiTheme="minorHAnsi" w:cstheme="minorBidi"/>
          <w:noProof/>
          <w:sz w:val="22"/>
          <w:szCs w:val="22"/>
          <w:lang w:val="en-IE" w:eastAsia="en-IE"/>
        </w:rPr>
      </w:pPr>
      <w:hyperlink w:anchor="_Toc139032151" w:history="1">
        <w:r w:rsidR="000F1D8A" w:rsidRPr="00E82A25">
          <w:rPr>
            <w:rStyle w:val="Hyperlink"/>
            <w:noProof/>
            <w:lang w:val="en-IE"/>
          </w:rPr>
          <w:t>1-</w:t>
        </w:r>
        <w:r w:rsidR="000F1D8A">
          <w:rPr>
            <w:rFonts w:asciiTheme="minorHAnsi" w:eastAsiaTheme="minorEastAsia" w:hAnsiTheme="minorHAnsi" w:cstheme="minorBidi"/>
            <w:noProof/>
            <w:sz w:val="22"/>
            <w:szCs w:val="22"/>
            <w:lang w:val="en-IE" w:eastAsia="en-IE"/>
          </w:rPr>
          <w:tab/>
        </w:r>
        <w:r w:rsidR="000F1D8A" w:rsidRPr="00E82A25">
          <w:rPr>
            <w:rStyle w:val="Hyperlink"/>
            <w:noProof/>
          </w:rPr>
          <w:t>Citizens’ Report  from the European Commission’s citizens’ panel on food waste</w:t>
        </w:r>
        <w:r w:rsidR="000F1D8A">
          <w:rPr>
            <w:noProof/>
            <w:webHidden/>
          </w:rPr>
          <w:tab/>
        </w:r>
        <w:r w:rsidR="00393DFA">
          <w:rPr>
            <w:noProof/>
            <w:webHidden/>
          </w:rPr>
          <w:t>219</w:t>
        </w:r>
      </w:hyperlink>
    </w:p>
    <w:p w14:paraId="40A73CA5" w14:textId="48DBB607" w:rsidR="000F1D8A" w:rsidRDefault="004928CC">
      <w:pPr>
        <w:pStyle w:val="TOC1"/>
        <w:rPr>
          <w:rFonts w:asciiTheme="minorHAnsi" w:eastAsiaTheme="minorEastAsia" w:hAnsiTheme="minorHAnsi" w:cstheme="minorBidi"/>
          <w:caps w:val="0"/>
          <w:noProof/>
          <w:sz w:val="22"/>
          <w:szCs w:val="22"/>
          <w:lang w:val="en-IE" w:eastAsia="en-IE"/>
        </w:rPr>
      </w:pPr>
      <w:hyperlink w:anchor="_Toc139032152" w:history="1">
        <w:r w:rsidR="000F1D8A" w:rsidRPr="00E82A25">
          <w:rPr>
            <w:rStyle w:val="Hyperlink"/>
            <w:bCs/>
            <w:noProof/>
            <w:shd w:val="clear" w:color="auto" w:fill="DEEAF6"/>
          </w:rPr>
          <w:t>Topic block I – Cooperation in the food value chain: From farm to fork</w:t>
        </w:r>
        <w:r w:rsidR="000F1D8A">
          <w:rPr>
            <w:noProof/>
            <w:webHidden/>
          </w:rPr>
          <w:tab/>
        </w:r>
        <w:r w:rsidR="00393DFA">
          <w:rPr>
            <w:noProof/>
            <w:webHidden/>
          </w:rPr>
          <w:t>223</w:t>
        </w:r>
      </w:hyperlink>
    </w:p>
    <w:p w14:paraId="6ACE6EFD" w14:textId="33C16E8D" w:rsidR="000F1D8A" w:rsidRDefault="004928CC">
      <w:pPr>
        <w:pStyle w:val="TOC1"/>
        <w:rPr>
          <w:rFonts w:asciiTheme="minorHAnsi" w:eastAsiaTheme="minorEastAsia" w:hAnsiTheme="minorHAnsi" w:cstheme="minorBidi"/>
          <w:caps w:val="0"/>
          <w:noProof/>
          <w:sz w:val="22"/>
          <w:szCs w:val="22"/>
          <w:lang w:val="en-IE" w:eastAsia="en-IE"/>
        </w:rPr>
      </w:pPr>
      <w:hyperlink w:anchor="_Toc139032153" w:history="1">
        <w:r w:rsidR="000F1D8A" w:rsidRPr="00E82A25">
          <w:rPr>
            <w:rStyle w:val="Hyperlink"/>
            <w:noProof/>
          </w:rPr>
          <w:t>Topic block II - Food business initiatives</w:t>
        </w:r>
        <w:r w:rsidR="000F1D8A">
          <w:rPr>
            <w:noProof/>
            <w:webHidden/>
          </w:rPr>
          <w:tab/>
        </w:r>
        <w:r w:rsidR="00393DFA">
          <w:rPr>
            <w:noProof/>
            <w:webHidden/>
          </w:rPr>
          <w:t>229</w:t>
        </w:r>
      </w:hyperlink>
    </w:p>
    <w:p w14:paraId="0C84D314" w14:textId="014F2C10" w:rsidR="000F1D8A" w:rsidRDefault="004928CC">
      <w:pPr>
        <w:pStyle w:val="TOC1"/>
        <w:rPr>
          <w:rFonts w:asciiTheme="minorHAnsi" w:eastAsiaTheme="minorEastAsia" w:hAnsiTheme="minorHAnsi" w:cstheme="minorBidi"/>
          <w:caps w:val="0"/>
          <w:noProof/>
          <w:sz w:val="22"/>
          <w:szCs w:val="22"/>
          <w:lang w:val="en-IE" w:eastAsia="en-IE"/>
        </w:rPr>
      </w:pPr>
      <w:hyperlink w:anchor="_Toc139032154" w:history="1">
        <w:r w:rsidR="000F1D8A" w:rsidRPr="00E82A25">
          <w:rPr>
            <w:rStyle w:val="Hyperlink"/>
            <w:noProof/>
          </w:rPr>
          <w:t>Topic block III - Supporting consumer behavioral change</w:t>
        </w:r>
        <w:r w:rsidR="000F1D8A">
          <w:rPr>
            <w:noProof/>
            <w:webHidden/>
          </w:rPr>
          <w:tab/>
        </w:r>
        <w:r w:rsidR="00393DFA">
          <w:rPr>
            <w:noProof/>
            <w:webHidden/>
          </w:rPr>
          <w:t>234</w:t>
        </w:r>
      </w:hyperlink>
    </w:p>
    <w:p w14:paraId="5EA260C8" w14:textId="7B2092DD" w:rsidR="000F1D8A" w:rsidRDefault="004928CC">
      <w:pPr>
        <w:pStyle w:val="TOC1"/>
        <w:rPr>
          <w:rFonts w:asciiTheme="minorHAnsi" w:eastAsiaTheme="minorEastAsia" w:hAnsiTheme="minorHAnsi" w:cstheme="minorBidi"/>
          <w:caps w:val="0"/>
          <w:noProof/>
          <w:sz w:val="22"/>
          <w:szCs w:val="22"/>
          <w:lang w:val="en-IE" w:eastAsia="en-IE"/>
        </w:rPr>
      </w:pPr>
      <w:hyperlink w:anchor="_Toc139032155" w:history="1">
        <w:r w:rsidR="000F1D8A" w:rsidRPr="00E82A25">
          <w:rPr>
            <w:rStyle w:val="Hyperlink"/>
            <w:noProof/>
            <w:lang w:val="en-IE"/>
          </w:rPr>
          <w:t>Annex 17: Bibliography and list of figures</w:t>
        </w:r>
        <w:r w:rsidR="000F1D8A">
          <w:rPr>
            <w:noProof/>
            <w:webHidden/>
          </w:rPr>
          <w:tab/>
        </w:r>
        <w:r w:rsidR="00393DFA">
          <w:rPr>
            <w:noProof/>
            <w:webHidden/>
          </w:rPr>
          <w:t>242</w:t>
        </w:r>
      </w:hyperlink>
    </w:p>
    <w:p w14:paraId="1667D38B" w14:textId="79D0B3CE" w:rsidR="000F1D8A" w:rsidRDefault="004928CC">
      <w:pPr>
        <w:pStyle w:val="TOC2"/>
        <w:rPr>
          <w:rFonts w:asciiTheme="minorHAnsi" w:eastAsiaTheme="minorEastAsia" w:hAnsiTheme="minorHAnsi" w:cstheme="minorBidi"/>
          <w:noProof/>
          <w:sz w:val="22"/>
          <w:szCs w:val="22"/>
          <w:lang w:val="en-IE" w:eastAsia="en-IE"/>
        </w:rPr>
      </w:pPr>
      <w:hyperlink w:anchor="_Toc139032156" w:history="1">
        <w:r w:rsidR="000F1D8A" w:rsidRPr="00E82A25">
          <w:rPr>
            <w:rStyle w:val="Hyperlink"/>
            <w:noProof/>
            <w:lang w:val="en-IE"/>
          </w:rPr>
          <w:t>Bibliography for textiles waste</w:t>
        </w:r>
        <w:r w:rsidR="000F1D8A">
          <w:rPr>
            <w:noProof/>
            <w:webHidden/>
          </w:rPr>
          <w:tab/>
        </w:r>
        <w:r w:rsidR="00393DFA">
          <w:rPr>
            <w:noProof/>
            <w:webHidden/>
          </w:rPr>
          <w:t>242</w:t>
        </w:r>
      </w:hyperlink>
    </w:p>
    <w:p w14:paraId="282B2AC7" w14:textId="4415F434" w:rsidR="000F1D8A" w:rsidRDefault="004928CC">
      <w:pPr>
        <w:pStyle w:val="TOC2"/>
        <w:rPr>
          <w:rFonts w:asciiTheme="minorHAnsi" w:eastAsiaTheme="minorEastAsia" w:hAnsiTheme="minorHAnsi" w:cstheme="minorBidi"/>
          <w:noProof/>
          <w:sz w:val="22"/>
          <w:szCs w:val="22"/>
          <w:lang w:val="en-IE" w:eastAsia="en-IE"/>
        </w:rPr>
      </w:pPr>
      <w:hyperlink w:anchor="_Toc139032157" w:history="1">
        <w:r w:rsidR="000F1D8A" w:rsidRPr="00E82A25">
          <w:rPr>
            <w:rStyle w:val="Hyperlink"/>
            <w:noProof/>
            <w:lang w:val="en-IE"/>
          </w:rPr>
          <w:t>Bibliography for food waste</w:t>
        </w:r>
        <w:r w:rsidR="000F1D8A">
          <w:rPr>
            <w:noProof/>
            <w:webHidden/>
          </w:rPr>
          <w:tab/>
        </w:r>
        <w:r w:rsidR="00393DFA">
          <w:rPr>
            <w:noProof/>
            <w:webHidden/>
          </w:rPr>
          <w:t>247</w:t>
        </w:r>
      </w:hyperlink>
    </w:p>
    <w:p w14:paraId="1B14DF60" w14:textId="38699F38" w:rsidR="000F1D8A" w:rsidRDefault="004928CC">
      <w:pPr>
        <w:pStyle w:val="TOC1"/>
        <w:rPr>
          <w:rFonts w:asciiTheme="minorHAnsi" w:eastAsiaTheme="minorEastAsia" w:hAnsiTheme="minorHAnsi" w:cstheme="minorBidi"/>
          <w:caps w:val="0"/>
          <w:noProof/>
          <w:sz w:val="22"/>
          <w:szCs w:val="22"/>
          <w:lang w:val="en-IE" w:eastAsia="en-IE"/>
        </w:rPr>
      </w:pPr>
      <w:hyperlink w:anchor="_Toc139032158" w:history="1">
        <w:r w:rsidR="000F1D8A" w:rsidRPr="00E82A25">
          <w:rPr>
            <w:rStyle w:val="Hyperlink"/>
            <w:rFonts w:ascii="EC Square Sans Pro" w:eastAsia="Verdana" w:hAnsi="EC Square Sans Pro" w:cs="Verdana"/>
            <w:b/>
            <w:noProof/>
            <w:lang w:val="en-IE" w:eastAsia="en-GB"/>
          </w:rPr>
          <w:t>List of figures</w:t>
        </w:r>
        <w:r w:rsidR="000F1D8A">
          <w:rPr>
            <w:noProof/>
            <w:webHidden/>
          </w:rPr>
          <w:tab/>
        </w:r>
        <w:r w:rsidR="00393DFA">
          <w:rPr>
            <w:noProof/>
            <w:webHidden/>
          </w:rPr>
          <w:t>254</w:t>
        </w:r>
      </w:hyperlink>
    </w:p>
    <w:p w14:paraId="0DC95970" w14:textId="0ACA1981" w:rsidR="005B467E" w:rsidRPr="005B4339" w:rsidRDefault="128DF35F" w:rsidP="003B19FC">
      <w:pPr>
        <w:rPr>
          <w:noProof/>
          <w:lang w:val="en-IE"/>
        </w:rPr>
        <w:sectPr w:rsidR="005B467E" w:rsidRPr="005B4339" w:rsidSect="00971C7A">
          <w:headerReference w:type="even" r:id="rId25"/>
          <w:headerReference w:type="default" r:id="rId26"/>
          <w:footerReference w:type="even" r:id="rId27"/>
          <w:footerReference w:type="default" r:id="rId28"/>
          <w:headerReference w:type="first" r:id="rId29"/>
          <w:footerReference w:type="first" r:id="rId30"/>
          <w:pgSz w:w="11906" w:h="16838"/>
          <w:pgMar w:top="1020" w:right="707" w:bottom="1020" w:left="1587" w:header="601" w:footer="1077" w:gutter="0"/>
          <w:cols w:space="720"/>
          <w:titlePg/>
        </w:sectPr>
      </w:pPr>
      <w:r w:rsidRPr="005B4339">
        <w:rPr>
          <w:noProof/>
          <w:sz w:val="22"/>
          <w:szCs w:val="22"/>
          <w:lang w:val="en-IE"/>
        </w:rPr>
        <w:fldChar w:fldCharType="end"/>
      </w:r>
    </w:p>
    <w:p w14:paraId="600AEC27" w14:textId="14312046" w:rsidR="009F116A" w:rsidRPr="005B4339" w:rsidRDefault="009F116A" w:rsidP="00737FFB">
      <w:pPr>
        <w:pStyle w:val="AnnexTitle"/>
        <w:rPr>
          <w:noProof/>
          <w:lang w:val="en-IE" w:eastAsia="en-GB"/>
        </w:rPr>
      </w:pPr>
      <w:bookmarkStart w:id="3" w:name="_Toc117004521"/>
      <w:bookmarkStart w:id="4" w:name="_Toc118014808"/>
      <w:bookmarkStart w:id="5" w:name="_Toc124777313"/>
      <w:bookmarkStart w:id="6" w:name="_Toc120782607"/>
      <w:bookmarkStart w:id="7" w:name="_Toc911069773"/>
      <w:bookmarkStart w:id="8" w:name="_Toc560975000"/>
      <w:bookmarkStart w:id="9" w:name="_Toc486273412"/>
      <w:bookmarkStart w:id="10" w:name="_Toc1865674093"/>
      <w:bookmarkStart w:id="11" w:name="_Toc1620094646"/>
      <w:bookmarkStart w:id="12" w:name="_Toc249878447"/>
      <w:bookmarkStart w:id="13" w:name="_Toc1573711211"/>
      <w:bookmarkStart w:id="14" w:name="_Toc132761289"/>
      <w:bookmarkStart w:id="15" w:name="_Toc510742364"/>
      <w:bookmarkStart w:id="16" w:name="_Toc139032086"/>
      <w:r w:rsidRPr="005B4339">
        <w:rPr>
          <w:noProof/>
          <w:lang w:val="en-IE"/>
        </w:rPr>
        <w:lastRenderedPageBreak/>
        <w:t xml:space="preserve">Annex 11: Impacts of the policy </w:t>
      </w:r>
      <w:r w:rsidR="0067575C" w:rsidRPr="005B4339">
        <w:rPr>
          <w:noProof/>
          <w:lang w:val="en-IE"/>
        </w:rPr>
        <w:t>measures/</w:t>
      </w:r>
      <w:r w:rsidRPr="005B4339">
        <w:rPr>
          <w:noProof/>
          <w:lang w:val="en-IE"/>
        </w:rPr>
        <w:t>options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6F828632" w14:textId="03A6D477" w:rsidR="00E57A77" w:rsidRPr="005B4339" w:rsidRDefault="009967AE" w:rsidP="009967AE">
      <w:pPr>
        <w:pStyle w:val="Heading2"/>
        <w:rPr>
          <w:noProof/>
          <w:lang w:val="en-IE"/>
        </w:rPr>
      </w:pPr>
      <w:bookmarkStart w:id="17" w:name="_Toc124777314"/>
      <w:bookmarkStart w:id="18" w:name="_Toc690899330"/>
      <w:bookmarkStart w:id="19" w:name="_Toc1328508857"/>
      <w:bookmarkStart w:id="20" w:name="_Toc2038194688"/>
      <w:bookmarkStart w:id="21" w:name="_Toc1379787387"/>
      <w:bookmarkStart w:id="22" w:name="_Toc994862355"/>
      <w:bookmarkStart w:id="23" w:name="_Toc1883950911"/>
      <w:bookmarkStart w:id="24" w:name="_Toc1245825435"/>
      <w:bookmarkStart w:id="25" w:name="_Toc139032087"/>
      <w:r w:rsidRPr="009967AE">
        <w:t>1-</w:t>
      </w:r>
      <w:r w:rsidRPr="009967AE">
        <w:tab/>
      </w:r>
      <w:r w:rsidR="00E57A77" w:rsidRPr="005B4339">
        <w:rPr>
          <w:noProof/>
          <w:lang w:val="en-IE"/>
        </w:rPr>
        <w:t>Textiles</w:t>
      </w:r>
      <w:bookmarkEnd w:id="17"/>
      <w:bookmarkEnd w:id="18"/>
      <w:bookmarkEnd w:id="19"/>
      <w:bookmarkEnd w:id="20"/>
      <w:bookmarkEnd w:id="21"/>
      <w:bookmarkEnd w:id="22"/>
      <w:bookmarkEnd w:id="23"/>
      <w:bookmarkEnd w:id="24"/>
      <w:bookmarkEnd w:id="25"/>
      <w:r w:rsidR="00E57A77" w:rsidRPr="005B4339">
        <w:rPr>
          <w:noProof/>
          <w:lang w:val="en-IE"/>
        </w:rPr>
        <w:t xml:space="preserve"> </w:t>
      </w:r>
    </w:p>
    <w:p w14:paraId="63E4787D" w14:textId="0FF41615" w:rsidR="009F116A" w:rsidRPr="005B4339" w:rsidRDefault="009F116A" w:rsidP="00C1614C">
      <w:pPr>
        <w:spacing w:after="120"/>
        <w:rPr>
          <w:noProof/>
          <w:lang w:val="en-IE"/>
        </w:rPr>
      </w:pPr>
      <w:r w:rsidRPr="005B4339">
        <w:rPr>
          <w:noProof/>
          <w:lang w:val="en-IE" w:eastAsia="nl-NL"/>
        </w:rPr>
        <w:t xml:space="preserve">The present chapter summarises the main impacts that could be expected from the implementation of </w:t>
      </w:r>
      <w:r w:rsidR="008F621C" w:rsidRPr="005B4339">
        <w:rPr>
          <w:noProof/>
          <w:lang w:val="en-IE" w:eastAsia="nl-NL"/>
        </w:rPr>
        <w:t>o</w:t>
      </w:r>
      <w:r w:rsidRPr="005B4339">
        <w:rPr>
          <w:noProof/>
          <w:lang w:val="en-IE" w:eastAsia="nl-NL"/>
        </w:rPr>
        <w:t xml:space="preserve">ptions and measures identified in </w:t>
      </w:r>
      <w:r w:rsidR="005B1D36" w:rsidRPr="005B4339">
        <w:rPr>
          <w:noProof/>
          <w:lang w:val="en-IE" w:eastAsia="nl-NL"/>
        </w:rPr>
        <w:t>Annex 10</w:t>
      </w:r>
      <w:r w:rsidRPr="005B4339">
        <w:rPr>
          <w:noProof/>
          <w:lang w:val="en-IE" w:eastAsia="nl-NL"/>
        </w:rPr>
        <w:t xml:space="preserve">. </w:t>
      </w:r>
      <w:r w:rsidRPr="005B4339" w:rsidDel="009D1CF8">
        <w:rPr>
          <w:noProof/>
          <w:lang w:val="en-IE" w:eastAsia="nl-NL"/>
        </w:rPr>
        <w:t>All</w:t>
      </w:r>
      <w:r w:rsidRPr="005B4339">
        <w:rPr>
          <w:noProof/>
          <w:lang w:val="en-IE" w:eastAsia="nl-NL"/>
        </w:rPr>
        <w:t xml:space="preserve"> th</w:t>
      </w:r>
      <w:r w:rsidR="008F621C" w:rsidRPr="005B4339">
        <w:rPr>
          <w:noProof/>
          <w:lang w:val="en-IE" w:eastAsia="nl-NL"/>
        </w:rPr>
        <w:t>ree</w:t>
      </w:r>
      <w:r w:rsidRPr="005B4339">
        <w:rPr>
          <w:noProof/>
          <w:lang w:val="en-IE" w:eastAsia="nl-NL"/>
        </w:rPr>
        <w:t xml:space="preserve"> options </w:t>
      </w:r>
      <w:r w:rsidR="008F621C" w:rsidRPr="005B4339">
        <w:rPr>
          <w:noProof/>
          <w:lang w:val="en-IE" w:eastAsia="nl-NL"/>
        </w:rPr>
        <w:t xml:space="preserve">will </w:t>
      </w:r>
      <w:r w:rsidRPr="005B4339">
        <w:rPr>
          <w:noProof/>
          <w:lang w:val="en-IE" w:eastAsia="nl-NL"/>
        </w:rPr>
        <w:t xml:space="preserve">have economic, social and environmental impacts through a variety of </w:t>
      </w:r>
      <w:r w:rsidR="00D63D6D" w:rsidRPr="005B4339">
        <w:rPr>
          <w:noProof/>
          <w:lang w:val="en-IE" w:eastAsia="nl-NL"/>
        </w:rPr>
        <w:t>channels</w:t>
      </w:r>
      <w:r w:rsidRPr="005B4339">
        <w:rPr>
          <w:noProof/>
          <w:lang w:val="en-IE" w:eastAsia="nl-NL"/>
        </w:rPr>
        <w:t xml:space="preserve">. Based on desk research and interviews with stakeholders, the most significant impacts have been </w:t>
      </w:r>
      <w:r w:rsidR="00510597" w:rsidRPr="005B4339">
        <w:rPr>
          <w:noProof/>
          <w:lang w:val="en-IE" w:eastAsia="nl-NL"/>
        </w:rPr>
        <w:t>identified</w:t>
      </w:r>
      <w:r w:rsidRPr="005B4339">
        <w:rPr>
          <w:noProof/>
          <w:lang w:val="en-IE" w:eastAsia="nl-NL"/>
        </w:rPr>
        <w:t xml:space="preserve">. </w:t>
      </w:r>
      <w:r w:rsidRPr="005B4339">
        <w:rPr>
          <w:noProof/>
          <w:lang w:val="en-IE"/>
        </w:rPr>
        <w:t xml:space="preserve">This section provides </w:t>
      </w:r>
      <w:r w:rsidRPr="005B4339" w:rsidDel="00152D05">
        <w:rPr>
          <w:noProof/>
          <w:lang w:val="en-IE"/>
        </w:rPr>
        <w:t>a</w:t>
      </w:r>
      <w:r w:rsidR="00F90902" w:rsidRPr="005B4339">
        <w:rPr>
          <w:noProof/>
          <w:lang w:val="en-IE"/>
        </w:rPr>
        <w:t>n</w:t>
      </w:r>
      <w:r w:rsidRPr="005B4339">
        <w:rPr>
          <w:noProof/>
          <w:lang w:val="en-IE"/>
        </w:rPr>
        <w:t xml:space="preserve"> assessment of the retained measures. A quantitative assessment </w:t>
      </w:r>
      <w:r w:rsidR="00F90902" w:rsidRPr="005B4339">
        <w:rPr>
          <w:noProof/>
          <w:lang w:val="en-IE"/>
        </w:rPr>
        <w:t>w</w:t>
      </w:r>
      <w:r w:rsidR="00C1614C" w:rsidRPr="005B4339">
        <w:rPr>
          <w:noProof/>
          <w:lang w:val="en-IE"/>
        </w:rPr>
        <w:t>as</w:t>
      </w:r>
      <w:r w:rsidR="00F90902" w:rsidRPr="005B4339">
        <w:rPr>
          <w:noProof/>
          <w:lang w:val="en-IE"/>
        </w:rPr>
        <w:t xml:space="preserve"> performed</w:t>
      </w:r>
      <w:r w:rsidR="00D63D6D" w:rsidRPr="005B4339">
        <w:rPr>
          <w:noProof/>
          <w:lang w:val="en-IE"/>
        </w:rPr>
        <w:t>,</w:t>
      </w:r>
      <w:r w:rsidR="00F90902" w:rsidRPr="005B4339">
        <w:rPr>
          <w:noProof/>
          <w:lang w:val="en-IE"/>
        </w:rPr>
        <w:t xml:space="preserve"> when</w:t>
      </w:r>
      <w:r w:rsidR="00D63D6D" w:rsidRPr="005B4339">
        <w:rPr>
          <w:noProof/>
          <w:lang w:val="en-IE"/>
        </w:rPr>
        <w:t>ever</w:t>
      </w:r>
      <w:r w:rsidR="00F90902" w:rsidRPr="005B4339">
        <w:rPr>
          <w:noProof/>
          <w:lang w:val="en-IE"/>
        </w:rPr>
        <w:t xml:space="preserve"> possible</w:t>
      </w:r>
      <w:r w:rsidR="00D63D6D" w:rsidRPr="005B4339">
        <w:rPr>
          <w:noProof/>
          <w:lang w:val="en-IE"/>
        </w:rPr>
        <w:t xml:space="preserve">, and a justification provided </w:t>
      </w:r>
      <w:r w:rsidR="00EF4F7D" w:rsidRPr="005B4339">
        <w:rPr>
          <w:noProof/>
          <w:lang w:val="en-IE"/>
        </w:rPr>
        <w:t>why a quantitative approach was not feasible</w:t>
      </w:r>
      <w:r w:rsidR="00F90902" w:rsidRPr="005B4339">
        <w:rPr>
          <w:noProof/>
          <w:lang w:val="en-IE"/>
        </w:rPr>
        <w:t xml:space="preserve">. Otherwise, a qualitative assessment </w:t>
      </w:r>
      <w:r w:rsidR="00C1614C" w:rsidRPr="005B4339">
        <w:rPr>
          <w:noProof/>
          <w:lang w:val="en-IE"/>
        </w:rPr>
        <w:t>is</w:t>
      </w:r>
      <w:r w:rsidR="00F90902" w:rsidRPr="005B4339">
        <w:rPr>
          <w:noProof/>
          <w:lang w:val="en-IE"/>
        </w:rPr>
        <w:t xml:space="preserve"> provided.</w:t>
      </w:r>
    </w:p>
    <w:p w14:paraId="61550CC0" w14:textId="063E18EE" w:rsidR="00C3045E" w:rsidRPr="005B4339" w:rsidRDefault="00C3045E" w:rsidP="00C1614C">
      <w:pPr>
        <w:spacing w:after="120"/>
        <w:rPr>
          <w:noProof/>
          <w:lang w:val="en-IE"/>
        </w:rPr>
      </w:pPr>
      <w:r w:rsidRPr="005B4339">
        <w:rPr>
          <w:noProof/>
          <w:lang w:val="en-IE"/>
        </w:rPr>
        <w:t>In all cases the costs and benefits assessed are considered to relate directly to the measures concerned i.e.</w:t>
      </w:r>
      <w:r w:rsidR="00E85A2D" w:rsidRPr="005B4339">
        <w:rPr>
          <w:noProof/>
          <w:lang w:val="en-IE"/>
        </w:rPr>
        <w:t>,</w:t>
      </w:r>
      <w:r w:rsidRPr="005B4339">
        <w:rPr>
          <w:noProof/>
          <w:lang w:val="en-IE"/>
        </w:rPr>
        <w:t xml:space="preserve"> causal costs and benefits are allocated to each measure. In cases where costs and benefits would be expected to accrue under the baseline only the additional costs and benefits stemming from the measure itself are included. In the case of measure 2.</w:t>
      </w:r>
      <w:r w:rsidR="133E9045" w:rsidRPr="005B4339">
        <w:rPr>
          <w:noProof/>
          <w:lang w:val="en-IE"/>
        </w:rPr>
        <w:t>9</w:t>
      </w:r>
      <w:r w:rsidRPr="005B4339">
        <w:rPr>
          <w:noProof/>
          <w:lang w:val="en-IE"/>
        </w:rPr>
        <w:t>, by way of example, the resulting amounts of textiles that would be collected, sorted, reused, recycled and disposed of are the same as in the baseline. The changes resulting from the measure itself relate to the way in which those changes are funded and compliance assessed. It is these causal impacts that are, therefore, presented in this Annex</w:t>
      </w:r>
      <w:r w:rsidR="00261963" w:rsidRPr="005B4339">
        <w:rPr>
          <w:noProof/>
          <w:lang w:val="en-IE"/>
        </w:rPr>
        <w:t>.</w:t>
      </w:r>
    </w:p>
    <w:p w14:paraId="4EEF35A4" w14:textId="2DE00EBD" w:rsidR="009F116A" w:rsidRPr="005B4339" w:rsidRDefault="009F116A" w:rsidP="00765B55">
      <w:pPr>
        <w:pStyle w:val="Heading2"/>
        <w:spacing w:after="120"/>
        <w:ind w:left="480" w:firstLine="0"/>
        <w:rPr>
          <w:b w:val="0"/>
          <w:noProof/>
          <w:lang w:val="en-IE"/>
        </w:rPr>
      </w:pPr>
      <w:bookmarkStart w:id="26" w:name="_Toc124777315"/>
      <w:bookmarkStart w:id="27" w:name="_Toc344328348"/>
      <w:bookmarkStart w:id="28" w:name="_Toc1453197974"/>
      <w:bookmarkStart w:id="29" w:name="_Toc1003651479"/>
      <w:bookmarkStart w:id="30" w:name="_Toc1518116660"/>
      <w:bookmarkStart w:id="31" w:name="_Toc23431660"/>
      <w:bookmarkStart w:id="32" w:name="_Toc2021795518"/>
      <w:bookmarkStart w:id="33" w:name="_Toc700688438"/>
      <w:bookmarkStart w:id="34" w:name="_Toc139032088"/>
      <w:r w:rsidRPr="005B4339">
        <w:rPr>
          <w:noProof/>
          <w:lang w:val="en-IE"/>
        </w:rPr>
        <w:t xml:space="preserve">Option </w:t>
      </w:r>
      <w:r w:rsidR="00E76464" w:rsidRPr="005B4339">
        <w:rPr>
          <w:noProof/>
          <w:lang w:val="en-IE"/>
        </w:rPr>
        <w:t>1</w:t>
      </w:r>
      <w:r w:rsidRPr="005B4339">
        <w:rPr>
          <w:noProof/>
          <w:lang w:val="en-IE"/>
        </w:rPr>
        <w:t xml:space="preserve">: Supporting Member States </w:t>
      </w:r>
      <w:r w:rsidR="00471FA0" w:rsidRPr="005B4339">
        <w:rPr>
          <w:noProof/>
          <w:lang w:val="en-IE"/>
        </w:rPr>
        <w:t>to</w:t>
      </w:r>
      <w:r w:rsidRPr="005B4339">
        <w:rPr>
          <w:noProof/>
          <w:lang w:val="en-IE"/>
        </w:rPr>
        <w:t xml:space="preserve"> implement and </w:t>
      </w:r>
      <w:r w:rsidR="00471FA0" w:rsidRPr="005B4339">
        <w:rPr>
          <w:noProof/>
          <w:lang w:val="en-IE"/>
        </w:rPr>
        <w:t>enforce</w:t>
      </w:r>
      <w:r w:rsidRPr="005B4339">
        <w:rPr>
          <w:noProof/>
          <w:lang w:val="en-IE"/>
        </w:rPr>
        <w:t xml:space="preserve"> current provisions</w:t>
      </w:r>
      <w:bookmarkEnd w:id="26"/>
      <w:bookmarkEnd w:id="27"/>
      <w:bookmarkEnd w:id="28"/>
      <w:bookmarkEnd w:id="29"/>
      <w:bookmarkEnd w:id="30"/>
      <w:bookmarkEnd w:id="31"/>
      <w:bookmarkEnd w:id="32"/>
      <w:bookmarkEnd w:id="33"/>
      <w:bookmarkEnd w:id="34"/>
    </w:p>
    <w:p w14:paraId="31BD6A44" w14:textId="2DE00EBD" w:rsidR="00374B08" w:rsidRPr="005B4339" w:rsidRDefault="00374B08" w:rsidP="00374B08">
      <w:pPr>
        <w:pStyle w:val="Heading3"/>
        <w:spacing w:after="120"/>
        <w:rPr>
          <w:rFonts w:eastAsia="Calibri"/>
          <w:noProof/>
          <w:lang w:val="en-IE"/>
        </w:rPr>
      </w:pPr>
      <w:bookmarkStart w:id="35" w:name="_Toc120782610"/>
      <w:bookmarkStart w:id="36" w:name="_Toc124777316"/>
      <w:bookmarkStart w:id="37" w:name="_Toc1112850112"/>
      <w:bookmarkStart w:id="38" w:name="_Toc1990370552"/>
      <w:bookmarkStart w:id="39" w:name="_Toc1500705898"/>
      <w:bookmarkStart w:id="40" w:name="_Toc1044935569"/>
      <w:bookmarkStart w:id="41" w:name="_Toc660100001"/>
      <w:bookmarkStart w:id="42" w:name="_Toc118753401"/>
      <w:bookmarkStart w:id="43" w:name="_Toc407577861"/>
      <w:bookmarkStart w:id="44" w:name="_Toc139032089"/>
      <w:r w:rsidRPr="005B4339">
        <w:rPr>
          <w:rFonts w:eastAsia="Calibri"/>
          <w:noProof/>
          <w:lang w:val="en-IE"/>
        </w:rPr>
        <w:t>Measure 1.1 – Clarifying definitions in relation to textiles and textile waste</w:t>
      </w:r>
      <w:bookmarkEnd w:id="35"/>
      <w:bookmarkEnd w:id="36"/>
      <w:bookmarkEnd w:id="37"/>
      <w:bookmarkEnd w:id="38"/>
      <w:bookmarkEnd w:id="39"/>
      <w:bookmarkEnd w:id="40"/>
      <w:bookmarkEnd w:id="41"/>
      <w:bookmarkEnd w:id="42"/>
      <w:bookmarkEnd w:id="43"/>
      <w:bookmarkEnd w:id="44"/>
    </w:p>
    <w:p w14:paraId="0040775A" w14:textId="35816FC4" w:rsidR="007D74F9" w:rsidRPr="005B4339" w:rsidRDefault="00DC616C" w:rsidP="00DC616C">
      <w:pPr>
        <w:spacing w:after="120"/>
        <w:rPr>
          <w:b/>
          <w:i/>
          <w:noProof/>
          <w:lang w:val="en-IE"/>
        </w:rPr>
      </w:pPr>
      <w:r w:rsidRPr="005B4339">
        <w:rPr>
          <w:b/>
          <w:noProof/>
          <w:lang w:val="en-IE"/>
        </w:rPr>
        <w:t xml:space="preserve">Sub-measure 1.1 – </w:t>
      </w:r>
      <w:r w:rsidR="006E5F8D" w:rsidRPr="005B4339">
        <w:rPr>
          <w:b/>
          <w:noProof/>
          <w:lang w:val="en-IE"/>
        </w:rPr>
        <w:t>Defini</w:t>
      </w:r>
      <w:r w:rsidR="00AE3F46" w:rsidRPr="005B4339">
        <w:rPr>
          <w:b/>
          <w:noProof/>
          <w:lang w:val="en-IE"/>
        </w:rPr>
        <w:t>tion of</w:t>
      </w:r>
      <w:r w:rsidR="006E5F8D" w:rsidRPr="005B4339">
        <w:rPr>
          <w:b/>
          <w:noProof/>
          <w:lang w:val="en-IE"/>
        </w:rPr>
        <w:t xml:space="preserve"> </w:t>
      </w:r>
      <w:r w:rsidR="006514BC" w:rsidRPr="005B4339">
        <w:rPr>
          <w:b/>
          <w:noProof/>
          <w:lang w:val="en-IE"/>
        </w:rPr>
        <w:t>‘</w:t>
      </w:r>
      <w:r w:rsidR="007D74F9" w:rsidRPr="005B4339">
        <w:rPr>
          <w:b/>
          <w:i/>
          <w:noProof/>
          <w:lang w:val="en-IE"/>
        </w:rPr>
        <w:t>textiles</w:t>
      </w:r>
      <w:r w:rsidR="006514BC" w:rsidRPr="005B4339">
        <w:rPr>
          <w:b/>
          <w:i/>
          <w:noProof/>
          <w:lang w:val="en-IE"/>
        </w:rPr>
        <w:t>’</w:t>
      </w:r>
    </w:p>
    <w:p w14:paraId="7946E18E" w14:textId="3D36A48C" w:rsidR="00105201" w:rsidRPr="005B4339" w:rsidRDefault="00105201" w:rsidP="00777F82">
      <w:pPr>
        <w:spacing w:after="120"/>
        <w:rPr>
          <w:b/>
          <w:noProof/>
          <w:lang w:val="en-IE"/>
        </w:rPr>
      </w:pPr>
      <w:r w:rsidRPr="005B4339">
        <w:rPr>
          <w:b/>
          <w:noProof/>
          <w:lang w:val="en-IE"/>
        </w:rPr>
        <w:t xml:space="preserve">Assessment of impact </w:t>
      </w:r>
      <w:r w:rsidR="00AA74AC" w:rsidRPr="005B4339">
        <w:rPr>
          <w:b/>
          <w:noProof/>
          <w:lang w:val="en-IE"/>
        </w:rPr>
        <w:t>alternative</w:t>
      </w:r>
      <w:r w:rsidRPr="005B4339">
        <w:rPr>
          <w:b/>
          <w:noProof/>
          <w:lang w:val="en-IE"/>
        </w:rPr>
        <w:t xml:space="preserve"> 1</w:t>
      </w:r>
    </w:p>
    <w:p w14:paraId="2F48028B" w14:textId="25D6AD4C" w:rsidR="00105201" w:rsidRPr="005B4339" w:rsidRDefault="00105201" w:rsidP="00777F82">
      <w:pPr>
        <w:spacing w:after="120"/>
        <w:rPr>
          <w:b/>
          <w:noProof/>
          <w:lang w:val="en-IE"/>
        </w:rPr>
      </w:pPr>
      <w:r w:rsidRPr="005B4339">
        <w:rPr>
          <w:b/>
          <w:noProof/>
          <w:color w:val="2B579A"/>
          <w:shd w:val="clear" w:color="auto" w:fill="E6E6E6"/>
          <w:lang w:val="en-IE"/>
        </w:rPr>
        <w:t>Economic impacts</w:t>
      </w:r>
    </w:p>
    <w:p w14:paraId="6D4FE649" w14:textId="77777777" w:rsidR="00670A9A" w:rsidRPr="005B4339" w:rsidRDefault="00565939" w:rsidP="00565939">
      <w:pPr>
        <w:spacing w:after="120"/>
        <w:rPr>
          <w:noProof/>
          <w:lang w:val="en-IE"/>
        </w:rPr>
      </w:pPr>
      <w:r w:rsidRPr="005B4339">
        <w:rPr>
          <w:noProof/>
          <w:lang w:val="en-IE"/>
        </w:rPr>
        <w:t>D</w:t>
      </w:r>
      <w:r w:rsidR="00105201" w:rsidRPr="005B4339">
        <w:rPr>
          <w:noProof/>
          <w:lang w:val="en-IE"/>
        </w:rPr>
        <w:t>efini</w:t>
      </w:r>
      <w:r w:rsidRPr="005B4339">
        <w:rPr>
          <w:noProof/>
          <w:lang w:val="en-IE"/>
        </w:rPr>
        <w:t>ng textiles in line</w:t>
      </w:r>
      <w:r w:rsidR="00105201" w:rsidRPr="005B4339">
        <w:rPr>
          <w:noProof/>
          <w:lang w:val="en-IE"/>
        </w:rPr>
        <w:t xml:space="preserve"> with the </w:t>
      </w:r>
      <w:r w:rsidR="006514BC" w:rsidRPr="005B4339">
        <w:rPr>
          <w:rFonts w:ascii="Times" w:eastAsia="Times" w:hAnsi="Times" w:cs="Times"/>
          <w:noProof/>
          <w:lang w:val="en-IE"/>
        </w:rPr>
        <w:t xml:space="preserve">Textile Labelling Regulation </w:t>
      </w:r>
      <w:r w:rsidR="00105201" w:rsidRPr="005B4339">
        <w:rPr>
          <w:noProof/>
          <w:lang w:val="en-IE"/>
        </w:rPr>
        <w:t>would enable a</w:t>
      </w:r>
      <w:r w:rsidR="00225375" w:rsidRPr="005B4339">
        <w:rPr>
          <w:noProof/>
          <w:lang w:val="en-IE"/>
        </w:rPr>
        <w:t xml:space="preserve"> </w:t>
      </w:r>
      <w:r w:rsidR="00105201" w:rsidRPr="005B4339">
        <w:rPr>
          <w:noProof/>
          <w:lang w:val="en-IE"/>
        </w:rPr>
        <w:t xml:space="preserve">full life cycle approach to be taken for textiles in relation to their initial labelling, their </w:t>
      </w:r>
      <w:r w:rsidR="007D3178" w:rsidRPr="005B4339">
        <w:rPr>
          <w:noProof/>
          <w:lang w:val="en-IE"/>
        </w:rPr>
        <w:t>management</w:t>
      </w:r>
      <w:r w:rsidR="00105201" w:rsidRPr="005B4339">
        <w:rPr>
          <w:noProof/>
          <w:lang w:val="en-IE"/>
        </w:rPr>
        <w:t xml:space="preserve"> under the WFD </w:t>
      </w:r>
      <w:r w:rsidR="007D3178" w:rsidRPr="005B4339">
        <w:rPr>
          <w:noProof/>
          <w:lang w:val="en-IE"/>
        </w:rPr>
        <w:t xml:space="preserve">as regards their </w:t>
      </w:r>
      <w:r w:rsidR="00105201" w:rsidRPr="005B4339">
        <w:rPr>
          <w:noProof/>
          <w:lang w:val="en-IE"/>
        </w:rPr>
        <w:t xml:space="preserve">reuse and </w:t>
      </w:r>
      <w:r w:rsidR="007D3178" w:rsidRPr="005B4339">
        <w:rPr>
          <w:noProof/>
          <w:lang w:val="en-IE"/>
        </w:rPr>
        <w:t xml:space="preserve">waste management </w:t>
      </w:r>
      <w:r w:rsidR="00105201" w:rsidRPr="005B4339">
        <w:rPr>
          <w:noProof/>
          <w:lang w:val="en-IE"/>
        </w:rPr>
        <w:t xml:space="preserve">at the end of their lifespan. </w:t>
      </w:r>
      <w:r w:rsidR="00A82769" w:rsidRPr="005B4339">
        <w:rPr>
          <w:noProof/>
          <w:lang w:val="en-IE"/>
        </w:rPr>
        <w:t xml:space="preserve">The definition would include raw, semi-worked, worked, semi-manufactured, manufactured, semi-made-up or made-up products encompassing a broad range of textile goods including, for example, yarns, floor coverings and carpets and would make clear that action to mitigate the environmental impacts of this broad family of textiles should be taken addressing both pre-consumer and post-consumer textiles. </w:t>
      </w:r>
      <w:r w:rsidR="007D54E3" w:rsidRPr="005B4339">
        <w:rPr>
          <w:noProof/>
          <w:lang w:val="en-IE"/>
        </w:rPr>
        <w:t>However, t</w:t>
      </w:r>
      <w:r w:rsidR="00105201" w:rsidRPr="005B4339">
        <w:rPr>
          <w:noProof/>
          <w:lang w:val="en-IE"/>
        </w:rPr>
        <w:t>h</w:t>
      </w:r>
      <w:r w:rsidR="00CA0AE4" w:rsidRPr="005B4339">
        <w:rPr>
          <w:noProof/>
          <w:lang w:val="en-IE"/>
        </w:rPr>
        <w:t>is</w:t>
      </w:r>
      <w:r w:rsidR="00105201" w:rsidRPr="005B4339">
        <w:rPr>
          <w:noProof/>
          <w:lang w:val="en-IE"/>
        </w:rPr>
        <w:t xml:space="preserve"> definition </w:t>
      </w:r>
      <w:r w:rsidR="007D54E3" w:rsidRPr="005B4339">
        <w:rPr>
          <w:noProof/>
          <w:lang w:val="en-IE"/>
        </w:rPr>
        <w:t xml:space="preserve">is </w:t>
      </w:r>
      <w:r w:rsidR="00105201" w:rsidRPr="005B4339">
        <w:rPr>
          <w:noProof/>
          <w:lang w:val="en-IE"/>
        </w:rPr>
        <w:t xml:space="preserve">far broader than what is </w:t>
      </w:r>
      <w:r w:rsidR="008F7C2A" w:rsidRPr="005B4339">
        <w:rPr>
          <w:noProof/>
          <w:lang w:val="en-IE"/>
        </w:rPr>
        <w:t>considered</w:t>
      </w:r>
      <w:r w:rsidR="00105201" w:rsidRPr="005B4339">
        <w:rPr>
          <w:noProof/>
          <w:lang w:val="en-IE"/>
        </w:rPr>
        <w:t xml:space="preserve"> in practice as textiles in Member States and what is </w:t>
      </w:r>
      <w:r w:rsidR="007D54E3" w:rsidRPr="005B4339">
        <w:rPr>
          <w:noProof/>
          <w:lang w:val="en-IE"/>
        </w:rPr>
        <w:t xml:space="preserve">currently </w:t>
      </w:r>
      <w:r w:rsidR="00105201" w:rsidRPr="005B4339">
        <w:rPr>
          <w:noProof/>
          <w:lang w:val="en-IE"/>
        </w:rPr>
        <w:t>separately collected</w:t>
      </w:r>
      <w:r w:rsidR="005D78AA" w:rsidRPr="005B4339">
        <w:rPr>
          <w:noProof/>
          <w:lang w:val="en-IE"/>
        </w:rPr>
        <w:t xml:space="preserve">. </w:t>
      </w:r>
      <w:r w:rsidR="002E01F0" w:rsidRPr="005B4339">
        <w:rPr>
          <w:noProof/>
          <w:lang w:val="en-IE"/>
        </w:rPr>
        <w:t xml:space="preserve">Hence additional textile goods would be subject to the obligations currently applicable with consequent changes in waste management systems given the currently low levels of separate collection of those materials. </w:t>
      </w:r>
    </w:p>
    <w:p w14:paraId="5D3048DF" w14:textId="160C00CC" w:rsidR="00884361" w:rsidRPr="005B4339" w:rsidRDefault="002E01F0" w:rsidP="00565939">
      <w:pPr>
        <w:spacing w:after="120"/>
        <w:rPr>
          <w:noProof/>
          <w:lang w:val="en-IE"/>
        </w:rPr>
      </w:pPr>
      <w:r w:rsidRPr="005B4339">
        <w:rPr>
          <w:noProof/>
          <w:lang w:val="en-IE"/>
        </w:rPr>
        <w:t xml:space="preserve">The </w:t>
      </w:r>
      <w:r w:rsidR="005D78AA" w:rsidRPr="005B4339">
        <w:rPr>
          <w:noProof/>
          <w:lang w:val="en-IE"/>
        </w:rPr>
        <w:t xml:space="preserve">volumes of these </w:t>
      </w:r>
      <w:r w:rsidRPr="005B4339">
        <w:rPr>
          <w:noProof/>
          <w:lang w:val="en-IE"/>
        </w:rPr>
        <w:t xml:space="preserve">additional </w:t>
      </w:r>
      <w:r w:rsidR="005D78AA" w:rsidRPr="005B4339">
        <w:rPr>
          <w:noProof/>
          <w:lang w:val="en-IE"/>
        </w:rPr>
        <w:t xml:space="preserve">textiles </w:t>
      </w:r>
      <w:r w:rsidRPr="005B4339">
        <w:rPr>
          <w:noProof/>
          <w:lang w:val="en-IE"/>
        </w:rPr>
        <w:t xml:space="preserve">collected under this broader scope are estimated at </w:t>
      </w:r>
      <w:r w:rsidR="005D78AA" w:rsidRPr="005B4339">
        <w:rPr>
          <w:noProof/>
          <w:lang w:val="en-IE"/>
        </w:rPr>
        <w:t xml:space="preserve">4 million tonnes per </w:t>
      </w:r>
      <w:r w:rsidRPr="005B4339">
        <w:rPr>
          <w:noProof/>
          <w:lang w:val="en-IE"/>
        </w:rPr>
        <w:t>year.</w:t>
      </w:r>
      <w:r w:rsidR="007B68F0" w:rsidRPr="005B4339">
        <w:rPr>
          <w:noProof/>
          <w:lang w:val="en-IE"/>
        </w:rPr>
        <w:t xml:space="preserve"> It could be expected that for at least a proportion of these textiles where options for reuse and recycling exist that increases in such activities would take place. As noted below under environmental impacts mattresses currently have a reuse and recycling rate of 20% </w:t>
      </w:r>
      <w:r w:rsidR="007B68F0" w:rsidRPr="005B4339">
        <w:rPr>
          <w:noProof/>
          <w:lang w:val="en-IE"/>
        </w:rPr>
        <w:lastRenderedPageBreak/>
        <w:t xml:space="preserve">across the EU and carpets have a rate of 1-3%. Including such materials in the scope of textiles under this definition and acknowledging the obligations that would then apply including the separate collection obligation under Article 11, these rates or reuse and recycling would be expected to increase. However, it is not possible to </w:t>
      </w:r>
      <w:r w:rsidR="004C459B" w:rsidRPr="005B4339">
        <w:rPr>
          <w:noProof/>
          <w:lang w:val="en-IE"/>
        </w:rPr>
        <w:t xml:space="preserve">credibly </w:t>
      </w:r>
      <w:r w:rsidR="007B68F0" w:rsidRPr="005B4339">
        <w:rPr>
          <w:noProof/>
          <w:lang w:val="en-IE"/>
        </w:rPr>
        <w:t>quantify the additional tonnes that may be able to be reused or recycled</w:t>
      </w:r>
      <w:r w:rsidR="004C459B" w:rsidRPr="005B4339">
        <w:rPr>
          <w:noProof/>
          <w:lang w:val="en-IE"/>
        </w:rPr>
        <w:t xml:space="preserve"> due to insufficient data available</w:t>
      </w:r>
      <w:r w:rsidR="007B68F0" w:rsidRPr="005B4339">
        <w:rPr>
          <w:noProof/>
          <w:lang w:val="en-IE"/>
        </w:rPr>
        <w:t>.</w:t>
      </w:r>
    </w:p>
    <w:p w14:paraId="73D3998E" w14:textId="2BB63CA0" w:rsidR="00AD1B7A" w:rsidRPr="005B4339" w:rsidRDefault="0009663F" w:rsidP="00AD1B7A">
      <w:pPr>
        <w:spacing w:after="120"/>
        <w:rPr>
          <w:noProof/>
          <w:lang w:val="en-IE"/>
        </w:rPr>
      </w:pPr>
      <w:r w:rsidRPr="005B4339">
        <w:rPr>
          <w:noProof/>
          <w:lang w:val="en-IE"/>
        </w:rPr>
        <w:t>T</w:t>
      </w:r>
      <w:r w:rsidR="00105201" w:rsidRPr="005B4339">
        <w:rPr>
          <w:noProof/>
          <w:lang w:val="en-IE"/>
        </w:rPr>
        <w:t xml:space="preserve">his </w:t>
      </w:r>
      <w:r w:rsidR="006732F0" w:rsidRPr="005B4339">
        <w:rPr>
          <w:noProof/>
          <w:lang w:val="en-IE"/>
        </w:rPr>
        <w:t xml:space="preserve">definition </w:t>
      </w:r>
      <w:r w:rsidR="00617997" w:rsidRPr="005B4339">
        <w:rPr>
          <w:noProof/>
          <w:lang w:val="en-IE"/>
        </w:rPr>
        <w:t xml:space="preserve">would </w:t>
      </w:r>
      <w:r w:rsidR="00105201" w:rsidRPr="005B4339">
        <w:rPr>
          <w:noProof/>
          <w:lang w:val="en-IE"/>
        </w:rPr>
        <w:t xml:space="preserve">pose challenges in relation to waste </w:t>
      </w:r>
      <w:r w:rsidR="006656E9" w:rsidRPr="005B4339">
        <w:rPr>
          <w:noProof/>
          <w:lang w:val="en-IE"/>
        </w:rPr>
        <w:t>collection</w:t>
      </w:r>
      <w:r w:rsidR="00105201" w:rsidRPr="005B4339">
        <w:rPr>
          <w:noProof/>
          <w:lang w:val="en-IE"/>
        </w:rPr>
        <w:t xml:space="preserve"> infrastructure</w:t>
      </w:r>
      <w:r w:rsidR="00617997" w:rsidRPr="005B4339">
        <w:rPr>
          <w:noProof/>
          <w:lang w:val="en-IE"/>
        </w:rPr>
        <w:t>, for example for</w:t>
      </w:r>
      <w:r w:rsidR="00105201" w:rsidRPr="005B4339">
        <w:rPr>
          <w:noProof/>
          <w:lang w:val="en-IE"/>
        </w:rPr>
        <w:t xml:space="preserve"> floor coverings and carpets</w:t>
      </w:r>
      <w:r w:rsidR="006656E9" w:rsidRPr="005B4339">
        <w:rPr>
          <w:noProof/>
          <w:lang w:val="en-IE"/>
        </w:rPr>
        <w:t xml:space="preserve"> that are typically considered as bulky waste</w:t>
      </w:r>
      <w:r w:rsidR="00105201" w:rsidRPr="005B4339">
        <w:rPr>
          <w:noProof/>
          <w:lang w:val="en-IE"/>
        </w:rPr>
        <w:t xml:space="preserve">. </w:t>
      </w:r>
      <w:r w:rsidRPr="005B4339">
        <w:rPr>
          <w:noProof/>
          <w:lang w:val="en-IE"/>
        </w:rPr>
        <w:t>Were Member States to collect 50% of this additional textile quantity (in keeping with the estimated trend for 50% collection of clothing and household textiles by 20</w:t>
      </w:r>
      <w:r w:rsidR="00884361" w:rsidRPr="005B4339">
        <w:rPr>
          <w:noProof/>
          <w:lang w:val="en-IE"/>
        </w:rPr>
        <w:t>3</w:t>
      </w:r>
      <w:r w:rsidRPr="005B4339">
        <w:rPr>
          <w:noProof/>
          <w:lang w:val="en-IE"/>
        </w:rPr>
        <w:t xml:space="preserve">5) the additional collection costs would amount to at least 660 million </w:t>
      </w:r>
      <w:r w:rsidR="005B31EC" w:rsidRPr="005B4339">
        <w:rPr>
          <w:noProof/>
          <w:lang w:val="en-IE"/>
        </w:rPr>
        <w:t xml:space="preserve">euro </w:t>
      </w:r>
      <w:r w:rsidRPr="005B4339">
        <w:rPr>
          <w:noProof/>
          <w:lang w:val="en-IE"/>
        </w:rPr>
        <w:t xml:space="preserve">per </w:t>
      </w:r>
      <w:r w:rsidR="005B31EC" w:rsidRPr="005B4339">
        <w:rPr>
          <w:noProof/>
          <w:lang w:val="en-IE"/>
        </w:rPr>
        <w:t>year</w:t>
      </w:r>
      <w:r w:rsidR="002E63D3" w:rsidRPr="005B4339">
        <w:rPr>
          <w:noProof/>
          <w:lang w:val="en-IE"/>
        </w:rPr>
        <w:t xml:space="preserve">. </w:t>
      </w:r>
      <w:r w:rsidR="005B31EC" w:rsidRPr="005B4339">
        <w:rPr>
          <w:noProof/>
          <w:lang w:val="en-IE"/>
        </w:rPr>
        <w:t xml:space="preserve">Treatment costs for this broader family of textiles would vary given the nature of the materials collected. </w:t>
      </w:r>
      <w:r w:rsidR="00105201" w:rsidRPr="005B4339">
        <w:rPr>
          <w:noProof/>
          <w:lang w:val="en-IE"/>
        </w:rPr>
        <w:t xml:space="preserve">The </w:t>
      </w:r>
      <w:r w:rsidR="00D96247" w:rsidRPr="005B4339">
        <w:rPr>
          <w:noProof/>
          <w:lang w:val="en-IE"/>
        </w:rPr>
        <w:t>reuse</w:t>
      </w:r>
      <w:r w:rsidR="00105201" w:rsidRPr="005B4339">
        <w:rPr>
          <w:noProof/>
          <w:lang w:val="en-IE"/>
        </w:rPr>
        <w:t xml:space="preserve"> and recycling of </w:t>
      </w:r>
      <w:r w:rsidR="00DF709C" w:rsidRPr="005B4339">
        <w:rPr>
          <w:noProof/>
          <w:lang w:val="en-IE"/>
        </w:rPr>
        <w:t>floor coverings and carpets</w:t>
      </w:r>
      <w:r w:rsidR="00105201" w:rsidRPr="005B4339">
        <w:rPr>
          <w:noProof/>
          <w:lang w:val="en-IE"/>
        </w:rPr>
        <w:t xml:space="preserve"> also bears little resemblance to the techniques applied to clothing and other household textiles and their possible comingling under this definition may hamper these processes rather than support </w:t>
      </w:r>
      <w:r w:rsidR="002009EC" w:rsidRPr="005B4339">
        <w:rPr>
          <w:noProof/>
          <w:lang w:val="en-IE"/>
        </w:rPr>
        <w:t>them and</w:t>
      </w:r>
      <w:r w:rsidR="00105201" w:rsidRPr="005B4339">
        <w:rPr>
          <w:noProof/>
          <w:lang w:val="en-IE"/>
        </w:rPr>
        <w:t xml:space="preserve"> separating them </w:t>
      </w:r>
      <w:r w:rsidR="00177D1E" w:rsidRPr="005B4339">
        <w:rPr>
          <w:noProof/>
          <w:lang w:val="en-IE"/>
        </w:rPr>
        <w:t xml:space="preserve">from the other less bulky textile wastes, predominantly clothing and household textiles, </w:t>
      </w:r>
      <w:r w:rsidR="00105201" w:rsidRPr="005B4339">
        <w:rPr>
          <w:noProof/>
          <w:lang w:val="en-IE"/>
        </w:rPr>
        <w:t>would entail additional costs.</w:t>
      </w:r>
      <w:r w:rsidR="00AD1B7A" w:rsidRPr="005B4339">
        <w:rPr>
          <w:noProof/>
          <w:lang w:val="en-IE"/>
        </w:rPr>
        <w:t xml:space="preserve"> The manner in which these costs would be applied to this broader scope of products is likely to vary.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general taxation.  The extent of these additional costs is difficult to determine. As noted in Annex 4, an impact of 0.6% of the cost of a textile item for collection, sorting and treatment has been identified as the nearest proxy for the costs of discarded textiles. A similar cost may be expected to be applied in the case of a broader scope of textiles under this sub-measure.  </w:t>
      </w:r>
    </w:p>
    <w:p w14:paraId="7C26275A" w14:textId="1453B0C2" w:rsidR="00105201" w:rsidRPr="005B4339" w:rsidRDefault="00F714C1" w:rsidP="005B31EC">
      <w:pPr>
        <w:spacing w:after="120"/>
        <w:rPr>
          <w:noProof/>
          <w:lang w:val="en-IE"/>
        </w:rPr>
      </w:pPr>
      <w:r w:rsidRPr="005B4339">
        <w:rPr>
          <w:noProof/>
          <w:lang w:val="en-IE"/>
        </w:rPr>
        <w:t>F</w:t>
      </w:r>
      <w:r w:rsidR="6BBCE9A9" w:rsidRPr="005B4339">
        <w:rPr>
          <w:noProof/>
          <w:lang w:val="en-IE"/>
        </w:rPr>
        <w:t>ootwear is not subject to the</w:t>
      </w:r>
      <w:r w:rsidR="00DC6865" w:rsidRPr="005B4339">
        <w:rPr>
          <w:noProof/>
          <w:lang w:val="en-IE"/>
        </w:rPr>
        <w:t xml:space="preserve"> </w:t>
      </w:r>
      <w:r w:rsidR="005B31EC" w:rsidRPr="005B4339">
        <w:rPr>
          <w:rFonts w:ascii="Times" w:eastAsia="Times" w:hAnsi="Times" w:cs="Times"/>
          <w:noProof/>
          <w:lang w:val="en-IE"/>
        </w:rPr>
        <w:t>Textile Labelling Regulation</w:t>
      </w:r>
      <w:r w:rsidRPr="005B4339">
        <w:rPr>
          <w:noProof/>
          <w:lang w:val="en-IE"/>
        </w:rPr>
        <w:t>. The</w:t>
      </w:r>
      <w:r w:rsidR="6BBCE9A9" w:rsidRPr="005B4339">
        <w:rPr>
          <w:noProof/>
          <w:lang w:val="en-IE"/>
        </w:rPr>
        <w:t xml:space="preserve"> textile component of footwear is addressed under Directive 94/11/EC relating to labelling of the materials used in the main components of footwear for sale to the consumer</w:t>
      </w:r>
      <w:r w:rsidR="00105201" w:rsidRPr="005B4339">
        <w:rPr>
          <w:noProof/>
          <w:vertAlign w:val="superscript"/>
          <w:lang w:val="en-IE"/>
        </w:rPr>
        <w:footnoteReference w:id="2"/>
      </w:r>
      <w:r w:rsidR="6BBCE9A9" w:rsidRPr="005B4339">
        <w:rPr>
          <w:noProof/>
          <w:lang w:val="en-IE"/>
        </w:rPr>
        <w:t xml:space="preserve">. For those Member States that consider footwear </w:t>
      </w:r>
      <w:r w:rsidR="00AF6FA4" w:rsidRPr="005B4339">
        <w:rPr>
          <w:noProof/>
          <w:lang w:val="en-IE"/>
        </w:rPr>
        <w:t xml:space="preserve">to be included in </w:t>
      </w:r>
      <w:r w:rsidR="6BBCE9A9" w:rsidRPr="005B4339">
        <w:rPr>
          <w:noProof/>
          <w:lang w:val="en-IE"/>
        </w:rPr>
        <w:t xml:space="preserve">textile waste under the WFD </w:t>
      </w:r>
      <w:r w:rsidR="004811E5" w:rsidRPr="005B4339">
        <w:rPr>
          <w:noProof/>
          <w:lang w:val="en-IE"/>
        </w:rPr>
        <w:t xml:space="preserve">defining textiles based on </w:t>
      </w:r>
      <w:r w:rsidR="00DC6865" w:rsidRPr="005B4339">
        <w:rPr>
          <w:noProof/>
          <w:lang w:val="en-IE"/>
        </w:rPr>
        <w:t xml:space="preserve">the </w:t>
      </w:r>
      <w:r w:rsidR="005B31EC" w:rsidRPr="005B4339">
        <w:rPr>
          <w:rFonts w:ascii="Times" w:eastAsia="Times" w:hAnsi="Times" w:cs="Times"/>
          <w:noProof/>
          <w:lang w:val="en-IE"/>
        </w:rPr>
        <w:t xml:space="preserve">Textile Labelling Regulation </w:t>
      </w:r>
      <w:r w:rsidR="6BBCE9A9" w:rsidRPr="005B4339">
        <w:rPr>
          <w:noProof/>
          <w:lang w:val="en-IE"/>
        </w:rPr>
        <w:t xml:space="preserve">would specifically exclude </w:t>
      </w:r>
      <w:r w:rsidR="004811E5" w:rsidRPr="005B4339">
        <w:rPr>
          <w:noProof/>
          <w:lang w:val="en-IE"/>
        </w:rPr>
        <w:t>footwear</w:t>
      </w:r>
      <w:r w:rsidR="6BBCE9A9" w:rsidRPr="005B4339">
        <w:rPr>
          <w:noProof/>
          <w:lang w:val="en-IE"/>
        </w:rPr>
        <w:t xml:space="preserve"> for the purpose of the legislative measures within the WFD specifically targeting textiles</w:t>
      </w:r>
      <w:r w:rsidR="004811E5" w:rsidRPr="005B4339">
        <w:rPr>
          <w:noProof/>
          <w:lang w:val="en-IE"/>
        </w:rPr>
        <w:t xml:space="preserve"> despite the fact that </w:t>
      </w:r>
      <w:r w:rsidR="6BBCE9A9" w:rsidRPr="005B4339">
        <w:rPr>
          <w:noProof/>
          <w:lang w:val="en-IE"/>
        </w:rPr>
        <w:t xml:space="preserve">the European List of Wastes does not provide a separate listing for footwear or </w:t>
      </w:r>
      <w:r w:rsidR="00AB39B1" w:rsidRPr="005B4339">
        <w:rPr>
          <w:noProof/>
          <w:lang w:val="en-IE"/>
        </w:rPr>
        <w:t>shoes,</w:t>
      </w:r>
      <w:r w:rsidR="6BBCE9A9" w:rsidRPr="005B4339">
        <w:rPr>
          <w:noProof/>
          <w:lang w:val="en-IE"/>
        </w:rPr>
        <w:t xml:space="preserve"> </w:t>
      </w:r>
      <w:r w:rsidR="00AB39B1" w:rsidRPr="005B4339">
        <w:rPr>
          <w:noProof/>
          <w:lang w:val="en-IE"/>
        </w:rPr>
        <w:t xml:space="preserve">and </w:t>
      </w:r>
      <w:r w:rsidR="6BBCE9A9" w:rsidRPr="005B4339">
        <w:rPr>
          <w:noProof/>
          <w:lang w:val="en-IE"/>
        </w:rPr>
        <w:t xml:space="preserve">it is assumed that footwear is captured under codes 20 01 10 </w:t>
      </w:r>
      <w:r w:rsidR="004811E5" w:rsidRPr="005B4339">
        <w:rPr>
          <w:noProof/>
          <w:lang w:val="en-IE"/>
        </w:rPr>
        <w:t>(</w:t>
      </w:r>
      <w:r w:rsidR="6BBCE9A9" w:rsidRPr="005B4339">
        <w:rPr>
          <w:noProof/>
          <w:lang w:val="en-IE"/>
        </w:rPr>
        <w:t>clothes</w:t>
      </w:r>
      <w:r w:rsidR="004811E5" w:rsidRPr="005B4339">
        <w:rPr>
          <w:noProof/>
          <w:lang w:val="en-IE"/>
        </w:rPr>
        <w:t>)</w:t>
      </w:r>
      <w:r w:rsidR="6BBCE9A9" w:rsidRPr="005B4339">
        <w:rPr>
          <w:noProof/>
          <w:lang w:val="en-IE"/>
        </w:rPr>
        <w:t xml:space="preserve"> or 20 01 11 </w:t>
      </w:r>
      <w:r w:rsidR="004811E5" w:rsidRPr="005B4339">
        <w:rPr>
          <w:noProof/>
          <w:lang w:val="en-IE"/>
        </w:rPr>
        <w:t>(</w:t>
      </w:r>
      <w:r w:rsidR="6BBCE9A9" w:rsidRPr="005B4339">
        <w:rPr>
          <w:noProof/>
          <w:lang w:val="en-IE"/>
        </w:rPr>
        <w:t>textiles</w:t>
      </w:r>
      <w:r w:rsidR="004811E5" w:rsidRPr="005B4339">
        <w:rPr>
          <w:noProof/>
          <w:lang w:val="en-IE"/>
        </w:rPr>
        <w:t>)</w:t>
      </w:r>
      <w:r w:rsidR="6BBCE9A9" w:rsidRPr="005B4339">
        <w:rPr>
          <w:noProof/>
          <w:lang w:val="en-IE"/>
        </w:rPr>
        <w:t xml:space="preserve">. This </w:t>
      </w:r>
      <w:r w:rsidR="00AB39B1" w:rsidRPr="005B4339">
        <w:rPr>
          <w:noProof/>
          <w:lang w:val="en-IE"/>
        </w:rPr>
        <w:t>contradiction</w:t>
      </w:r>
      <w:r w:rsidR="6BBCE9A9" w:rsidRPr="005B4339">
        <w:rPr>
          <w:noProof/>
          <w:lang w:val="en-IE"/>
        </w:rPr>
        <w:t xml:space="preserve"> could be somewhat tempered by making clear that Member States may choose to allow other </w:t>
      </w:r>
      <w:r w:rsidR="00AB39B1" w:rsidRPr="005B4339">
        <w:rPr>
          <w:noProof/>
          <w:lang w:val="en-IE"/>
        </w:rPr>
        <w:t>apparel products</w:t>
      </w:r>
      <w:r w:rsidR="6BBCE9A9" w:rsidRPr="005B4339">
        <w:rPr>
          <w:noProof/>
          <w:lang w:val="en-IE"/>
        </w:rPr>
        <w:t xml:space="preserve"> such as shoes</w:t>
      </w:r>
      <w:r w:rsidR="00740481" w:rsidRPr="005B4339">
        <w:rPr>
          <w:noProof/>
          <w:lang w:val="en-IE"/>
        </w:rPr>
        <w:t xml:space="preserve">, belts or </w:t>
      </w:r>
      <w:r w:rsidR="6BBCE9A9" w:rsidRPr="005B4339">
        <w:rPr>
          <w:noProof/>
          <w:lang w:val="en-IE"/>
        </w:rPr>
        <w:t>jewellery to be collected in the same collection systems as textiles</w:t>
      </w:r>
      <w:r w:rsidR="00A44302" w:rsidRPr="005B4339">
        <w:rPr>
          <w:noProof/>
          <w:lang w:val="en-IE"/>
        </w:rPr>
        <w:t xml:space="preserve"> (it is estimated by the JRC that footwear accounts for 5-7.5% of weight collected in separate collection systems at present)</w:t>
      </w:r>
      <w:r w:rsidR="6BBCE9A9" w:rsidRPr="005B4339">
        <w:rPr>
          <w:noProof/>
          <w:lang w:val="en-IE"/>
        </w:rPr>
        <w:t xml:space="preserve">. </w:t>
      </w:r>
      <w:r w:rsidR="00830415" w:rsidRPr="005B4339">
        <w:rPr>
          <w:noProof/>
          <w:lang w:val="en-IE"/>
        </w:rPr>
        <w:t>For</w:t>
      </w:r>
      <w:r w:rsidR="00D50FC9" w:rsidRPr="005B4339">
        <w:rPr>
          <w:noProof/>
          <w:lang w:val="en-IE"/>
        </w:rPr>
        <w:t xml:space="preserve"> the</w:t>
      </w:r>
      <w:r w:rsidR="6BBCE9A9" w:rsidRPr="005B4339">
        <w:rPr>
          <w:noProof/>
          <w:lang w:val="en-IE"/>
        </w:rPr>
        <w:t xml:space="preserve"> EPR </w:t>
      </w:r>
      <w:r w:rsidR="00D50FC9" w:rsidRPr="005B4339">
        <w:rPr>
          <w:noProof/>
          <w:lang w:val="en-IE"/>
        </w:rPr>
        <w:t xml:space="preserve">scheme </w:t>
      </w:r>
      <w:r w:rsidR="6BBCE9A9" w:rsidRPr="005B4339">
        <w:rPr>
          <w:noProof/>
          <w:lang w:val="en-IE"/>
        </w:rPr>
        <w:t>(measure 2.</w:t>
      </w:r>
      <w:r w:rsidR="22477A06" w:rsidRPr="005B4339">
        <w:rPr>
          <w:noProof/>
          <w:lang w:val="en-IE"/>
        </w:rPr>
        <w:t>9</w:t>
      </w:r>
      <w:r w:rsidR="6BBCE9A9" w:rsidRPr="005B4339">
        <w:rPr>
          <w:noProof/>
          <w:lang w:val="en-IE"/>
        </w:rPr>
        <w:t>)</w:t>
      </w:r>
      <w:r w:rsidR="00D50FC9" w:rsidRPr="005B4339">
        <w:rPr>
          <w:noProof/>
          <w:lang w:val="en-IE"/>
        </w:rPr>
        <w:t>,</w:t>
      </w:r>
      <w:r w:rsidR="6BBCE9A9" w:rsidRPr="005B4339">
        <w:rPr>
          <w:noProof/>
          <w:lang w:val="en-IE"/>
        </w:rPr>
        <w:t xml:space="preserve"> this would </w:t>
      </w:r>
      <w:r w:rsidR="00830415" w:rsidRPr="005B4339">
        <w:rPr>
          <w:noProof/>
          <w:lang w:val="en-IE"/>
        </w:rPr>
        <w:t xml:space="preserve">also cover the costs </w:t>
      </w:r>
      <w:r w:rsidR="6BBCE9A9" w:rsidRPr="005B4339">
        <w:rPr>
          <w:noProof/>
          <w:lang w:val="en-IE"/>
        </w:rPr>
        <w:t>of collection and sorting of shoes</w:t>
      </w:r>
      <w:r w:rsidR="00423ECA" w:rsidRPr="005B4339">
        <w:rPr>
          <w:noProof/>
          <w:lang w:val="en-IE"/>
        </w:rPr>
        <w:t xml:space="preserve"> and </w:t>
      </w:r>
      <w:r w:rsidR="00830415" w:rsidRPr="005B4339">
        <w:rPr>
          <w:noProof/>
          <w:lang w:val="en-IE"/>
        </w:rPr>
        <w:t xml:space="preserve">possibly </w:t>
      </w:r>
      <w:r w:rsidR="00423ECA" w:rsidRPr="005B4339">
        <w:rPr>
          <w:noProof/>
          <w:lang w:val="en-IE"/>
        </w:rPr>
        <w:t>other apparel included</w:t>
      </w:r>
      <w:r w:rsidR="00830415" w:rsidRPr="005B4339">
        <w:rPr>
          <w:noProof/>
          <w:lang w:val="en-IE"/>
        </w:rPr>
        <w:t xml:space="preserve"> in the scope of the collection</w:t>
      </w:r>
      <w:r w:rsidR="6BBCE9A9" w:rsidRPr="005B4339">
        <w:rPr>
          <w:noProof/>
          <w:lang w:val="en-IE"/>
        </w:rPr>
        <w:t>. Given the relatively small proportion by weight of these goods</w:t>
      </w:r>
      <w:r w:rsidR="00D50FC9" w:rsidRPr="005B4339">
        <w:rPr>
          <w:noProof/>
          <w:lang w:val="en-IE"/>
        </w:rPr>
        <w:t xml:space="preserve"> and their </w:t>
      </w:r>
      <w:r w:rsidR="00D96247" w:rsidRPr="005B4339">
        <w:rPr>
          <w:noProof/>
          <w:lang w:val="en-IE"/>
        </w:rPr>
        <w:t>reuse</w:t>
      </w:r>
      <w:r w:rsidR="00D50FC9" w:rsidRPr="005B4339">
        <w:rPr>
          <w:noProof/>
          <w:lang w:val="en-IE"/>
        </w:rPr>
        <w:t xml:space="preserve"> </w:t>
      </w:r>
      <w:r w:rsidR="00D50FC9" w:rsidRPr="005B4339">
        <w:rPr>
          <w:noProof/>
          <w:lang w:val="en-IE"/>
        </w:rPr>
        <w:lastRenderedPageBreak/>
        <w:t>value,</w:t>
      </w:r>
      <w:r w:rsidR="6BBCE9A9" w:rsidRPr="005B4339">
        <w:rPr>
          <w:noProof/>
          <w:lang w:val="en-IE"/>
        </w:rPr>
        <w:t xml:space="preserve"> the expected impact of allowing additional items to be collected is likely to be small but would in the case of lower quality footwear make schemes less profitable overall.</w:t>
      </w:r>
    </w:p>
    <w:p w14:paraId="36076167" w14:textId="73C8258C" w:rsidR="003B3C5F" w:rsidRPr="005B4339" w:rsidRDefault="003B3C5F" w:rsidP="005B31EC">
      <w:pPr>
        <w:spacing w:after="120"/>
        <w:rPr>
          <w:noProof/>
          <w:lang w:val="en-IE"/>
        </w:rPr>
      </w:pPr>
      <w:r w:rsidRPr="005B4339">
        <w:rPr>
          <w:noProof/>
          <w:lang w:val="en-IE"/>
        </w:rPr>
        <w:t xml:space="preserve">Leather clothing and apparel would also be excluded under this definition. Whilst by volume such goods are likely to represent a small fraction of the clothing and apparel market (less than 1% of the collected volume of materials included in textile collection systems) they have proven to have been captured in the systems employed by Member States for textile goods and their inclusion under this option would allow Member States to continue to collect some materials for the purpose of compliance with the requirements of the WFD that apply to textile goods overall.  </w:t>
      </w:r>
    </w:p>
    <w:p w14:paraId="25C9636E" w14:textId="4BE021C0" w:rsidR="0009663F" w:rsidRPr="005B4339" w:rsidRDefault="0009663F" w:rsidP="008117E4">
      <w:pPr>
        <w:spacing w:after="120"/>
        <w:rPr>
          <w:noProof/>
          <w:lang w:val="en-IE"/>
        </w:rPr>
      </w:pPr>
      <w:r w:rsidRPr="005B4339">
        <w:rPr>
          <w:noProof/>
          <w:lang w:val="en-IE"/>
        </w:rPr>
        <w:t xml:space="preserve">The effectiveness </w:t>
      </w:r>
      <w:r w:rsidR="00586C34" w:rsidRPr="005B4339">
        <w:rPr>
          <w:noProof/>
          <w:lang w:val="en-IE"/>
        </w:rPr>
        <w:t>and efficiency</w:t>
      </w:r>
      <w:r w:rsidRPr="005B4339">
        <w:rPr>
          <w:noProof/>
          <w:lang w:val="en-IE"/>
        </w:rPr>
        <w:t xml:space="preserve"> of this sub-option would be limited by the broad nature of textiles that would be addressed</w:t>
      </w:r>
      <w:r w:rsidR="002E63D3" w:rsidRPr="005B4339">
        <w:rPr>
          <w:noProof/>
          <w:lang w:val="en-IE"/>
        </w:rPr>
        <w:t xml:space="preserve"> i.e.</w:t>
      </w:r>
      <w:r w:rsidR="00830415" w:rsidRPr="005B4339">
        <w:rPr>
          <w:noProof/>
          <w:lang w:val="en-IE"/>
        </w:rPr>
        <w:t>,</w:t>
      </w:r>
      <w:r w:rsidR="002E63D3" w:rsidRPr="005B4339">
        <w:rPr>
          <w:noProof/>
          <w:lang w:val="en-IE"/>
        </w:rPr>
        <w:t xml:space="preserve"> resources to address textile wastes would be spread over a much larger set of textiles than are currently addressed by Member State infrastructure</w:t>
      </w:r>
      <w:r w:rsidR="005F5839" w:rsidRPr="005B4339">
        <w:rPr>
          <w:noProof/>
          <w:lang w:val="en-IE"/>
        </w:rPr>
        <w:t xml:space="preserve"> that focusses on clothing and household wastes that make up </w:t>
      </w:r>
      <w:r w:rsidR="001D5F3D" w:rsidRPr="005B4339">
        <w:rPr>
          <w:noProof/>
          <w:lang w:val="en-IE"/>
        </w:rPr>
        <w:t>most</w:t>
      </w:r>
      <w:r w:rsidR="005F5839" w:rsidRPr="005B4339">
        <w:rPr>
          <w:noProof/>
          <w:lang w:val="en-IE"/>
        </w:rPr>
        <w:t xml:space="preserve"> textiles discarded</w:t>
      </w:r>
      <w:r w:rsidR="002E63D3" w:rsidRPr="005B4339">
        <w:rPr>
          <w:noProof/>
          <w:lang w:val="en-IE"/>
        </w:rPr>
        <w:t xml:space="preserve">. Furthermore, in relation to efficiency this measure would potentially increase costs of textile waste management significantly in relation to the baseline, with the expected </w:t>
      </w:r>
      <w:r w:rsidR="001C25E5" w:rsidRPr="005B4339">
        <w:rPr>
          <w:noProof/>
          <w:lang w:val="en-IE"/>
        </w:rPr>
        <w:t>economic value of the textiles reused or recovered likely to be less than that for a more targeted definition of textiles and accompanying measures.</w:t>
      </w:r>
    </w:p>
    <w:p w14:paraId="2DB1E39B" w14:textId="3D6C474A" w:rsidR="00674310" w:rsidRPr="005B4339" w:rsidRDefault="00674310" w:rsidP="00674310">
      <w:pPr>
        <w:rPr>
          <w:noProof/>
          <w:lang w:val="en-IE"/>
        </w:rPr>
      </w:pPr>
      <w:r w:rsidRPr="005B4339">
        <w:rPr>
          <w:noProof/>
          <w:lang w:val="en-IE"/>
        </w:rPr>
        <w:t xml:space="preserve">With regard to pre-consumer waste, including post-industrial, pre-consumer and post-consumer commercial textile waste, the existing waste regime presently requires that the waste producer treats the waste in line with the waste hierarchy. As noted earlier, it is assumed that where there is a market value for the textile waste and transport to the recycling infrastructure is economically feasible it is valorised in view of its clear and consistent composition that requires far less pre-processing for recycling. It is expected, therefore, that there would be no </w:t>
      </w:r>
      <w:r w:rsidR="00453EFC" w:rsidRPr="005B4339">
        <w:rPr>
          <w:noProof/>
          <w:lang w:val="en-IE"/>
        </w:rPr>
        <w:t>or only insignificant</w:t>
      </w:r>
      <w:r w:rsidRPr="005B4339">
        <w:rPr>
          <w:noProof/>
          <w:lang w:val="en-IE"/>
        </w:rPr>
        <w:t xml:space="preserve"> additional costs resulting from this alternative in comparison to the baseline.</w:t>
      </w:r>
    </w:p>
    <w:p w14:paraId="5EC090BE" w14:textId="6F5F8054" w:rsidR="00105201" w:rsidRPr="005B4339" w:rsidRDefault="00105201" w:rsidP="002E2FC3">
      <w:pPr>
        <w:spacing w:after="120"/>
        <w:rPr>
          <w:b/>
          <w:noProof/>
          <w:lang w:val="en-IE"/>
        </w:rPr>
      </w:pPr>
      <w:r w:rsidRPr="005B4339">
        <w:rPr>
          <w:b/>
          <w:noProof/>
          <w:lang w:val="en-IE"/>
        </w:rPr>
        <w:t>Environmental impacts</w:t>
      </w:r>
    </w:p>
    <w:p w14:paraId="2EAA0748" w14:textId="4505EBC6" w:rsidR="00EE185D" w:rsidRPr="005B4339" w:rsidRDefault="00EE185D" w:rsidP="005E621B">
      <w:pPr>
        <w:spacing w:after="120"/>
        <w:rPr>
          <w:noProof/>
          <w:lang w:val="en-IE"/>
        </w:rPr>
      </w:pPr>
      <w:r w:rsidRPr="005B4339">
        <w:rPr>
          <w:noProof/>
          <w:lang w:val="en-IE"/>
        </w:rPr>
        <w:t xml:space="preserve">The definition </w:t>
      </w:r>
      <w:r w:rsidR="00830415" w:rsidRPr="005B4339">
        <w:rPr>
          <w:noProof/>
          <w:lang w:val="en-IE"/>
        </w:rPr>
        <w:t xml:space="preserve">in line with the </w:t>
      </w:r>
      <w:r w:rsidR="00830415" w:rsidRPr="005B4339">
        <w:rPr>
          <w:rFonts w:ascii="Times" w:eastAsia="Times" w:hAnsi="Times" w:cs="Times"/>
          <w:noProof/>
          <w:lang w:val="en-IE"/>
        </w:rPr>
        <w:t xml:space="preserve">Textile Labelling Regulation </w:t>
      </w:r>
      <w:r w:rsidRPr="005B4339">
        <w:rPr>
          <w:noProof/>
          <w:lang w:val="en-IE"/>
        </w:rPr>
        <w:t>would include raw, semi-worked, worked, semi-manufactured, manufactured, semi-made-up or made-up products encompassing a broad range of textile goods including, for example, yarns, floor coverings and carpets and would make clear that action to mitigate the environmental impacts of this broad family of textiles should be taken addressing both pre-consumer and post-consumer textiles.</w:t>
      </w:r>
    </w:p>
    <w:p w14:paraId="1C7DBC57" w14:textId="166A8D76" w:rsidR="00105201" w:rsidRPr="005B4339" w:rsidRDefault="00270A3C" w:rsidP="005E621B">
      <w:pPr>
        <w:spacing w:after="120"/>
        <w:rPr>
          <w:noProof/>
          <w:lang w:val="en-IE"/>
        </w:rPr>
      </w:pPr>
      <w:r w:rsidRPr="005B4339">
        <w:rPr>
          <w:noProof/>
          <w:lang w:val="en-IE"/>
        </w:rPr>
        <w:t xml:space="preserve">The </w:t>
      </w:r>
      <w:r w:rsidR="003548ED" w:rsidRPr="005B4339">
        <w:rPr>
          <w:noProof/>
          <w:lang w:val="en-IE"/>
        </w:rPr>
        <w:t xml:space="preserve">additional </w:t>
      </w:r>
      <w:r w:rsidR="007F380A" w:rsidRPr="005B4339">
        <w:rPr>
          <w:noProof/>
          <w:lang w:val="en-IE"/>
        </w:rPr>
        <w:t xml:space="preserve">4 </w:t>
      </w:r>
      <w:r w:rsidR="00B56467" w:rsidRPr="005B4339">
        <w:rPr>
          <w:noProof/>
          <w:lang w:val="en-IE"/>
        </w:rPr>
        <w:t>m</w:t>
      </w:r>
      <w:r w:rsidR="007F380A" w:rsidRPr="005B4339">
        <w:rPr>
          <w:noProof/>
          <w:lang w:val="en-IE"/>
        </w:rPr>
        <w:t>illion tonnes of textiles</w:t>
      </w:r>
      <w:r w:rsidR="00155F20" w:rsidRPr="005B4339">
        <w:rPr>
          <w:noProof/>
          <w:lang w:val="en-IE"/>
        </w:rPr>
        <w:t xml:space="preserve"> </w:t>
      </w:r>
      <w:r w:rsidRPr="005B4339">
        <w:rPr>
          <w:noProof/>
          <w:lang w:val="en-IE"/>
        </w:rPr>
        <w:t xml:space="preserve">collected </w:t>
      </w:r>
      <w:r w:rsidR="00A176CC" w:rsidRPr="005B4339">
        <w:rPr>
          <w:noProof/>
          <w:lang w:val="en-IE"/>
        </w:rPr>
        <w:t>are likely to be subject to</w:t>
      </w:r>
      <w:r w:rsidR="00B7334C" w:rsidRPr="005B4339">
        <w:rPr>
          <w:noProof/>
          <w:lang w:val="en-IE"/>
        </w:rPr>
        <w:t xml:space="preserve"> a significant change </w:t>
      </w:r>
      <w:r w:rsidR="00155F20" w:rsidRPr="005B4339">
        <w:rPr>
          <w:noProof/>
          <w:lang w:val="en-IE"/>
        </w:rPr>
        <w:t>in the</w:t>
      </w:r>
      <w:r w:rsidR="00274F21" w:rsidRPr="005B4339">
        <w:rPr>
          <w:noProof/>
          <w:lang w:val="en-IE"/>
        </w:rPr>
        <w:t>ir waste</w:t>
      </w:r>
      <w:r w:rsidR="00155F20" w:rsidRPr="005B4339">
        <w:rPr>
          <w:noProof/>
          <w:lang w:val="en-IE"/>
        </w:rPr>
        <w:t xml:space="preserve"> management given the</w:t>
      </w:r>
      <w:r w:rsidR="00274F21" w:rsidRPr="005B4339">
        <w:rPr>
          <w:noProof/>
          <w:lang w:val="en-IE"/>
        </w:rPr>
        <w:t>ir currently low</w:t>
      </w:r>
      <w:r w:rsidR="00710691" w:rsidRPr="005B4339">
        <w:rPr>
          <w:noProof/>
          <w:lang w:val="en-IE"/>
        </w:rPr>
        <w:t xml:space="preserve"> levels</w:t>
      </w:r>
      <w:r w:rsidR="00155F20" w:rsidRPr="005B4339">
        <w:rPr>
          <w:noProof/>
          <w:lang w:val="en-IE"/>
        </w:rPr>
        <w:t xml:space="preserve"> of separate collection. This would likely lead to a greater volume of textile goods that could be reused or subject to recycling</w:t>
      </w:r>
      <w:r w:rsidR="00A66FBF" w:rsidRPr="005B4339">
        <w:rPr>
          <w:noProof/>
          <w:lang w:val="en-IE"/>
        </w:rPr>
        <w:t>, reducing the impacts of those wastes in comparison to their disposal which is the dominant destination for these other waste types at present.</w:t>
      </w:r>
    </w:p>
    <w:p w14:paraId="36145E75" w14:textId="5B3F05BB" w:rsidR="005F5839" w:rsidRPr="005B4339" w:rsidRDefault="005F5839" w:rsidP="005E621B">
      <w:pPr>
        <w:spacing w:after="120"/>
        <w:rPr>
          <w:noProof/>
          <w:lang w:val="en-IE"/>
        </w:rPr>
      </w:pPr>
      <w:r w:rsidRPr="005B4339">
        <w:rPr>
          <w:noProof/>
          <w:lang w:val="en-IE"/>
        </w:rPr>
        <w:t>There is a degree of differentiation to be made in relation to the additionally textiles types that would be collected and the likely environmental impact from their separate collection:</w:t>
      </w:r>
    </w:p>
    <w:p w14:paraId="76C3C76B" w14:textId="4563D3AD" w:rsidR="005F5839" w:rsidRPr="005B4339" w:rsidRDefault="009A7B15" w:rsidP="006554B6">
      <w:pPr>
        <w:spacing w:after="120"/>
        <w:rPr>
          <w:noProof/>
          <w:lang w:val="en-IE"/>
        </w:rPr>
      </w:pPr>
      <w:r w:rsidRPr="005B4339">
        <w:rPr>
          <w:noProof/>
          <w:lang w:val="en-IE"/>
        </w:rPr>
        <w:t>P</w:t>
      </w:r>
      <w:r w:rsidR="00CD38E1" w:rsidRPr="005B4339">
        <w:rPr>
          <w:noProof/>
          <w:lang w:val="en-IE"/>
        </w:rPr>
        <w:t xml:space="preserve">re-consumer textile wastes are raw, semi-worked, worked, semi-manufactured or semi-made up </w:t>
      </w:r>
      <w:r w:rsidR="0077335F" w:rsidRPr="005B4339">
        <w:rPr>
          <w:noProof/>
          <w:lang w:val="en-IE"/>
        </w:rPr>
        <w:t>are</w:t>
      </w:r>
      <w:r w:rsidR="00CD38E1" w:rsidRPr="005B4339">
        <w:rPr>
          <w:noProof/>
          <w:lang w:val="en-IE"/>
        </w:rPr>
        <w:t xml:space="preserve"> likely to have a more significant environmental impact due to the </w:t>
      </w:r>
      <w:r w:rsidR="0077335F" w:rsidRPr="005B4339">
        <w:rPr>
          <w:noProof/>
          <w:lang w:val="en-IE"/>
        </w:rPr>
        <w:t xml:space="preserve">possibility </w:t>
      </w:r>
      <w:r w:rsidR="00CD38E1" w:rsidRPr="005B4339">
        <w:rPr>
          <w:noProof/>
          <w:lang w:val="en-IE"/>
        </w:rPr>
        <w:t>to recycle these materials more easily than for completed and post-consumer textile wastes. This is due to:</w:t>
      </w:r>
    </w:p>
    <w:p w14:paraId="00FAD8AB" w14:textId="25886AB2" w:rsidR="00CD38E1" w:rsidRPr="005B4339" w:rsidRDefault="00CD38E1" w:rsidP="00CF0DFB">
      <w:pPr>
        <w:pStyle w:val="ListParagraph"/>
        <w:numPr>
          <w:ilvl w:val="0"/>
          <w:numId w:val="125"/>
        </w:numPr>
        <w:spacing w:after="120"/>
        <w:rPr>
          <w:noProof/>
          <w:lang w:val="en-IE"/>
        </w:rPr>
      </w:pPr>
      <w:r w:rsidRPr="005B4339">
        <w:rPr>
          <w:noProof/>
          <w:lang w:val="en-IE"/>
        </w:rPr>
        <w:lastRenderedPageBreak/>
        <w:t xml:space="preserve">Fewer disruptors (for example zips and buttons) in the materials collected making them </w:t>
      </w:r>
      <w:r w:rsidR="00147119" w:rsidRPr="005B4339">
        <w:rPr>
          <w:noProof/>
          <w:lang w:val="en-IE"/>
        </w:rPr>
        <w:t xml:space="preserve">easier to recycle than textile products that contain </w:t>
      </w:r>
      <w:r w:rsidR="00A8499D" w:rsidRPr="005B4339">
        <w:rPr>
          <w:noProof/>
          <w:lang w:val="en-IE"/>
        </w:rPr>
        <w:t>them</w:t>
      </w:r>
      <w:r w:rsidR="00416E2A" w:rsidRPr="005B4339">
        <w:rPr>
          <w:noProof/>
          <w:lang w:val="en-IE"/>
        </w:rPr>
        <w:t>.</w:t>
      </w:r>
    </w:p>
    <w:p w14:paraId="51F7FDF5" w14:textId="0D041475" w:rsidR="00147119" w:rsidRPr="005B4339" w:rsidRDefault="00A8499D" w:rsidP="00CF0DFB">
      <w:pPr>
        <w:pStyle w:val="ListParagraph"/>
        <w:numPr>
          <w:ilvl w:val="0"/>
          <w:numId w:val="125"/>
        </w:numPr>
        <w:rPr>
          <w:noProof/>
          <w:lang w:val="en-IE"/>
        </w:rPr>
      </w:pPr>
      <w:r w:rsidRPr="005B4339">
        <w:rPr>
          <w:noProof/>
          <w:lang w:val="en-IE"/>
        </w:rPr>
        <w:t>A</w:t>
      </w:r>
      <w:r w:rsidR="00147119" w:rsidRPr="005B4339">
        <w:rPr>
          <w:noProof/>
          <w:lang w:val="en-IE"/>
        </w:rPr>
        <w:t xml:space="preserve"> better understanding of the </w:t>
      </w:r>
      <w:r w:rsidRPr="005B4339">
        <w:rPr>
          <w:noProof/>
          <w:lang w:val="en-IE"/>
        </w:rPr>
        <w:t xml:space="preserve">textiles’ </w:t>
      </w:r>
      <w:r w:rsidR="00147119" w:rsidRPr="005B4339">
        <w:rPr>
          <w:noProof/>
          <w:lang w:val="en-IE"/>
        </w:rPr>
        <w:t xml:space="preserve">composition </w:t>
      </w:r>
      <w:r w:rsidRPr="005B4339">
        <w:rPr>
          <w:noProof/>
          <w:lang w:val="en-IE"/>
        </w:rPr>
        <w:t xml:space="preserve">compared to </w:t>
      </w:r>
      <w:r w:rsidR="00147119" w:rsidRPr="005B4339">
        <w:rPr>
          <w:noProof/>
          <w:lang w:val="en-IE"/>
        </w:rPr>
        <w:t>post-consumer textiles that have a much greater variety of materials.</w:t>
      </w:r>
    </w:p>
    <w:p w14:paraId="724F964A" w14:textId="77777777" w:rsidR="0046740A" w:rsidRPr="005B4339" w:rsidRDefault="0046740A" w:rsidP="00C347FD">
      <w:pPr>
        <w:pStyle w:val="ListParagraph"/>
        <w:spacing w:after="120"/>
        <w:rPr>
          <w:noProof/>
          <w:lang w:val="en-IE"/>
        </w:rPr>
      </w:pPr>
    </w:p>
    <w:p w14:paraId="6883275E" w14:textId="5D66DFA7" w:rsidR="00555E92" w:rsidRPr="005B4339" w:rsidRDefault="00784087" w:rsidP="009E2920">
      <w:pPr>
        <w:pStyle w:val="ListParagraph"/>
        <w:spacing w:before="240" w:after="360"/>
        <w:ind w:left="0"/>
        <w:rPr>
          <w:noProof/>
          <w:lang w:val="en-IE"/>
        </w:rPr>
      </w:pPr>
      <w:r w:rsidRPr="005B4339">
        <w:rPr>
          <w:noProof/>
          <w:lang w:val="en-IE"/>
        </w:rPr>
        <w:t>The recycling of fibres contained in</w:t>
      </w:r>
      <w:r w:rsidR="00147119" w:rsidRPr="005B4339">
        <w:rPr>
          <w:noProof/>
          <w:lang w:val="en-IE"/>
        </w:rPr>
        <w:t xml:space="preserve"> pre-consumer textiles </w:t>
      </w:r>
      <w:r w:rsidRPr="005B4339">
        <w:rPr>
          <w:noProof/>
          <w:lang w:val="en-IE"/>
        </w:rPr>
        <w:t xml:space="preserve">are estimated to </w:t>
      </w:r>
      <w:r w:rsidR="006662F6" w:rsidRPr="005B4339">
        <w:rPr>
          <w:noProof/>
          <w:lang w:val="en-IE"/>
        </w:rPr>
        <w:t xml:space="preserve">be worth approximately 230 </w:t>
      </w:r>
      <w:r w:rsidRPr="005B4339">
        <w:rPr>
          <w:noProof/>
          <w:lang w:val="en-IE"/>
        </w:rPr>
        <w:t xml:space="preserve">euro </w:t>
      </w:r>
      <w:r w:rsidR="006662F6" w:rsidRPr="005B4339">
        <w:rPr>
          <w:noProof/>
          <w:lang w:val="en-IE"/>
        </w:rPr>
        <w:t>per tonne</w:t>
      </w:r>
      <w:r w:rsidRPr="005B4339">
        <w:rPr>
          <w:noProof/>
          <w:lang w:val="en-IE"/>
        </w:rPr>
        <w:t>,</w:t>
      </w:r>
      <w:r w:rsidR="006662F6" w:rsidRPr="005B4339">
        <w:rPr>
          <w:noProof/>
          <w:lang w:val="en-IE"/>
        </w:rPr>
        <w:t xml:space="preserve"> with </w:t>
      </w:r>
      <w:r w:rsidR="008362C0" w:rsidRPr="005B4339">
        <w:rPr>
          <w:noProof/>
          <w:lang w:val="en-IE"/>
        </w:rPr>
        <w:t xml:space="preserve">each </w:t>
      </w:r>
      <w:r w:rsidR="006662F6" w:rsidRPr="005B4339">
        <w:rPr>
          <w:noProof/>
          <w:lang w:val="en-IE"/>
        </w:rPr>
        <w:t xml:space="preserve">tonne of recycled fibre </w:t>
      </w:r>
      <w:r w:rsidR="00247746" w:rsidRPr="005B4339">
        <w:rPr>
          <w:noProof/>
          <w:lang w:val="en-IE"/>
        </w:rPr>
        <w:t xml:space="preserve">saving </w:t>
      </w:r>
      <w:r w:rsidR="006662F6" w:rsidRPr="005B4339">
        <w:rPr>
          <w:noProof/>
          <w:lang w:val="en-IE"/>
        </w:rPr>
        <w:t xml:space="preserve">one tonne of </w:t>
      </w:r>
      <w:r w:rsidR="00E45F7C" w:rsidRPr="005B4339">
        <w:rPr>
          <w:noProof/>
          <w:lang w:val="en-IE"/>
        </w:rPr>
        <w:t>GHG</w:t>
      </w:r>
      <w:r w:rsidR="006662F6" w:rsidRPr="005B4339">
        <w:rPr>
          <w:noProof/>
          <w:lang w:val="en-IE"/>
        </w:rPr>
        <w:t xml:space="preserve"> emissions compared to its disposal. </w:t>
      </w:r>
      <w:r w:rsidR="008362C0" w:rsidRPr="005B4339">
        <w:rPr>
          <w:noProof/>
          <w:lang w:val="en-IE"/>
        </w:rPr>
        <w:t xml:space="preserve">The percentage of waste </w:t>
      </w:r>
      <w:r w:rsidR="006B5943" w:rsidRPr="005B4339">
        <w:rPr>
          <w:noProof/>
          <w:lang w:val="en-IE"/>
        </w:rPr>
        <w:t xml:space="preserve">volume </w:t>
      </w:r>
      <w:r w:rsidR="008362C0" w:rsidRPr="005B4339">
        <w:rPr>
          <w:noProof/>
          <w:lang w:val="en-IE"/>
        </w:rPr>
        <w:t xml:space="preserve">that would fall into this pre-consumer grouping is likely to be </w:t>
      </w:r>
      <w:r w:rsidR="00BC1F29" w:rsidRPr="005B4339">
        <w:rPr>
          <w:noProof/>
          <w:lang w:val="en-IE"/>
        </w:rPr>
        <w:t>5-</w:t>
      </w:r>
      <w:r w:rsidR="008362C0" w:rsidRPr="005B4339">
        <w:rPr>
          <w:noProof/>
          <w:lang w:val="en-IE"/>
        </w:rPr>
        <w:t xml:space="preserve">10% of textile waste generated. This would mean that approximately </w:t>
      </w:r>
      <w:r w:rsidR="00BC1F29" w:rsidRPr="005B4339">
        <w:rPr>
          <w:noProof/>
          <w:lang w:val="en-IE"/>
        </w:rPr>
        <w:t>200-</w:t>
      </w:r>
      <w:r w:rsidR="00361B3D" w:rsidRPr="005B4339">
        <w:rPr>
          <w:noProof/>
          <w:lang w:val="en-IE"/>
        </w:rPr>
        <w:t xml:space="preserve">400 000 tonnes of additional recyclable textiles would be collected. </w:t>
      </w:r>
      <w:r w:rsidR="003F1FF9" w:rsidRPr="005B4339">
        <w:rPr>
          <w:noProof/>
          <w:lang w:val="en-IE"/>
        </w:rPr>
        <w:t>There are a</w:t>
      </w:r>
      <w:r w:rsidR="006A4A9F" w:rsidRPr="005B4339">
        <w:rPr>
          <w:noProof/>
          <w:lang w:val="en-IE"/>
        </w:rPr>
        <w:t>dditional water savings through closed loop recycling</w:t>
      </w:r>
      <w:r w:rsidR="009E2920" w:rsidRPr="005B4339">
        <w:rPr>
          <w:noProof/>
          <w:lang w:val="en-IE"/>
        </w:rPr>
        <w:t xml:space="preserve"> because it avoids production of </w:t>
      </w:r>
      <w:r w:rsidR="00695403" w:rsidRPr="005B4339">
        <w:rPr>
          <w:noProof/>
          <w:lang w:val="en-IE"/>
        </w:rPr>
        <w:t>virgin fibre</w:t>
      </w:r>
      <w:r w:rsidR="009E2920" w:rsidRPr="005B4339">
        <w:rPr>
          <w:noProof/>
          <w:lang w:val="en-IE"/>
        </w:rPr>
        <w:t>. These</w:t>
      </w:r>
      <w:r w:rsidR="00695403" w:rsidRPr="005B4339">
        <w:rPr>
          <w:noProof/>
          <w:lang w:val="en-IE"/>
        </w:rPr>
        <w:t xml:space="preserve"> would equate to approximately </w:t>
      </w:r>
      <w:r w:rsidR="00774B9A" w:rsidRPr="005B4339">
        <w:rPr>
          <w:noProof/>
          <w:lang w:val="en-IE"/>
        </w:rPr>
        <w:t>258M to 516M</w:t>
      </w:r>
      <w:r w:rsidR="00695403" w:rsidRPr="005B4339">
        <w:rPr>
          <w:noProof/>
          <w:lang w:val="en-IE"/>
        </w:rPr>
        <w:t xml:space="preserve"> m</w:t>
      </w:r>
      <w:r w:rsidR="00695403" w:rsidRPr="005B4339">
        <w:rPr>
          <w:noProof/>
          <w:vertAlign w:val="superscript"/>
          <w:lang w:val="en-IE"/>
        </w:rPr>
        <w:t>3</w:t>
      </w:r>
      <w:r w:rsidR="00695403" w:rsidRPr="005B4339">
        <w:rPr>
          <w:noProof/>
          <w:lang w:val="en-IE"/>
        </w:rPr>
        <w:t xml:space="preserve"> </w:t>
      </w:r>
      <w:r w:rsidR="00774B9A" w:rsidRPr="005B4339">
        <w:rPr>
          <w:noProof/>
          <w:lang w:val="en-IE"/>
        </w:rPr>
        <w:t xml:space="preserve">of water </w:t>
      </w:r>
      <w:r w:rsidR="00695403" w:rsidRPr="005B4339">
        <w:rPr>
          <w:noProof/>
          <w:lang w:val="en-IE"/>
        </w:rPr>
        <w:t>per year</w:t>
      </w:r>
      <w:r w:rsidR="0020112C" w:rsidRPr="005B4339">
        <w:rPr>
          <w:rStyle w:val="FootnoteReference"/>
          <w:noProof/>
          <w:lang w:val="en-IE"/>
        </w:rPr>
        <w:footnoteReference w:id="3"/>
      </w:r>
      <w:r w:rsidR="00695403" w:rsidRPr="005B4339">
        <w:rPr>
          <w:noProof/>
          <w:lang w:val="en-IE"/>
        </w:rPr>
        <w:t>.</w:t>
      </w:r>
    </w:p>
    <w:p w14:paraId="71E64ECD" w14:textId="77777777" w:rsidR="00555E92" w:rsidRPr="005B4339" w:rsidRDefault="00555E92" w:rsidP="009E2920">
      <w:pPr>
        <w:pStyle w:val="ListParagraph"/>
        <w:spacing w:before="240" w:after="360"/>
        <w:ind w:left="0"/>
        <w:rPr>
          <w:noProof/>
          <w:lang w:val="en-IE"/>
        </w:rPr>
      </w:pPr>
    </w:p>
    <w:p w14:paraId="62086340" w14:textId="2F985C04" w:rsidR="00013143" w:rsidRPr="005B4339" w:rsidRDefault="00F26812" w:rsidP="009E2920">
      <w:pPr>
        <w:pStyle w:val="ListParagraph"/>
        <w:spacing w:before="240" w:after="360"/>
        <w:ind w:left="0"/>
        <w:rPr>
          <w:noProof/>
          <w:lang w:val="en-IE"/>
        </w:rPr>
      </w:pPr>
      <w:r w:rsidRPr="005B4339">
        <w:rPr>
          <w:noProof/>
          <w:lang w:val="en-IE"/>
        </w:rPr>
        <w:t xml:space="preserve">However, in relation to post-consumer textile wastes the situations is likely to be more challenging.  By way of example, mattresses currently have a reuse and recycling rate of 20% across the EU and carpets have a rate of 1-3%. </w:t>
      </w:r>
      <w:r w:rsidR="00013143" w:rsidRPr="005B4339">
        <w:rPr>
          <w:noProof/>
          <w:lang w:val="en-IE"/>
        </w:rPr>
        <w:t xml:space="preserve">Developing the necessary infrastructure to collected, sort, reuse and recycle these types of textile wastes requires a different approach than for </w:t>
      </w:r>
      <w:r w:rsidR="00A14897" w:rsidRPr="005B4339">
        <w:rPr>
          <w:noProof/>
          <w:lang w:val="en-IE"/>
        </w:rPr>
        <w:t xml:space="preserve">clothing and household textiles.  </w:t>
      </w:r>
      <w:r w:rsidR="00B52428" w:rsidRPr="005B4339">
        <w:rPr>
          <w:noProof/>
          <w:lang w:val="en-IE"/>
        </w:rPr>
        <w:t xml:space="preserve">Member States would require time to develop this infrastructure and it is unlikely that this would be feasible within the deadlines set under the existing WFD for separate collection. </w:t>
      </w:r>
      <w:r w:rsidR="00B3168E" w:rsidRPr="005B4339">
        <w:rPr>
          <w:noProof/>
          <w:lang w:val="en-IE"/>
        </w:rPr>
        <w:t>Therefore, t</w:t>
      </w:r>
      <w:r w:rsidR="00B52428" w:rsidRPr="005B4339">
        <w:rPr>
          <w:noProof/>
          <w:lang w:val="en-IE"/>
        </w:rPr>
        <w:t xml:space="preserve">he efficiency and effectiveness of this </w:t>
      </w:r>
      <w:r w:rsidR="00C347FD" w:rsidRPr="005B4339">
        <w:rPr>
          <w:noProof/>
          <w:lang w:val="en-IE"/>
        </w:rPr>
        <w:t>option</w:t>
      </w:r>
      <w:r w:rsidR="00B52428" w:rsidRPr="005B4339">
        <w:rPr>
          <w:noProof/>
          <w:lang w:val="en-IE"/>
        </w:rPr>
        <w:t xml:space="preserve"> is questionable.</w:t>
      </w:r>
      <w:r w:rsidR="00A14897" w:rsidRPr="005B4339">
        <w:rPr>
          <w:noProof/>
          <w:lang w:val="en-IE"/>
        </w:rPr>
        <w:t xml:space="preserve"> </w:t>
      </w:r>
    </w:p>
    <w:p w14:paraId="58108329" w14:textId="6DE8E4E6" w:rsidR="00105201" w:rsidRPr="005B4339" w:rsidRDefault="00105201" w:rsidP="0085396B">
      <w:pPr>
        <w:spacing w:after="120"/>
        <w:rPr>
          <w:b/>
          <w:noProof/>
          <w:lang w:val="en-IE"/>
        </w:rPr>
      </w:pPr>
      <w:r w:rsidRPr="005B4339">
        <w:rPr>
          <w:b/>
          <w:noProof/>
          <w:lang w:val="en-IE"/>
        </w:rPr>
        <w:t>Social impacts</w:t>
      </w:r>
    </w:p>
    <w:p w14:paraId="3F2B3995" w14:textId="40488FEA" w:rsidR="00105201" w:rsidRPr="005B4339" w:rsidRDefault="00D03977" w:rsidP="00B56467">
      <w:pPr>
        <w:rPr>
          <w:noProof/>
          <w:lang w:val="en-IE"/>
        </w:rPr>
      </w:pPr>
      <w:r w:rsidRPr="005B4339">
        <w:rPr>
          <w:noProof/>
          <w:lang w:val="en-IE"/>
        </w:rPr>
        <w:t xml:space="preserve">The greatest social impacts would be </w:t>
      </w:r>
      <w:r w:rsidR="002C492B" w:rsidRPr="005B4339">
        <w:rPr>
          <w:noProof/>
          <w:lang w:val="en-IE"/>
        </w:rPr>
        <w:t xml:space="preserve">linked to </w:t>
      </w:r>
      <w:r w:rsidRPr="005B4339">
        <w:rPr>
          <w:noProof/>
          <w:lang w:val="en-IE"/>
        </w:rPr>
        <w:t>the need for higher levels of employment in the waste management sector</w:t>
      </w:r>
      <w:r w:rsidR="00FA00E3" w:rsidRPr="005B4339">
        <w:rPr>
          <w:noProof/>
          <w:lang w:val="en-IE"/>
        </w:rPr>
        <w:t xml:space="preserve">. These </w:t>
      </w:r>
      <w:r w:rsidRPr="005B4339">
        <w:rPr>
          <w:noProof/>
          <w:lang w:val="en-IE"/>
        </w:rPr>
        <w:t>result from Member States</w:t>
      </w:r>
      <w:r w:rsidR="003444EA" w:rsidRPr="005B4339">
        <w:rPr>
          <w:noProof/>
          <w:lang w:val="en-IE"/>
        </w:rPr>
        <w:t xml:space="preserve"> having to </w:t>
      </w:r>
      <w:r w:rsidRPr="005B4339">
        <w:rPr>
          <w:noProof/>
          <w:lang w:val="en-IE"/>
        </w:rPr>
        <w:t>manage a br</w:t>
      </w:r>
      <w:r w:rsidR="00755168" w:rsidRPr="005B4339">
        <w:rPr>
          <w:noProof/>
          <w:lang w:val="en-IE"/>
        </w:rPr>
        <w:t xml:space="preserve">oader </w:t>
      </w:r>
      <w:r w:rsidR="003444EA" w:rsidRPr="005B4339">
        <w:rPr>
          <w:noProof/>
          <w:lang w:val="en-IE"/>
        </w:rPr>
        <w:t xml:space="preserve">set of products under the definition of </w:t>
      </w:r>
      <w:r w:rsidR="00755168" w:rsidRPr="005B4339">
        <w:rPr>
          <w:noProof/>
          <w:lang w:val="en-IE"/>
        </w:rPr>
        <w:t xml:space="preserve">textiles than is </w:t>
      </w:r>
      <w:r w:rsidR="00FA00E3" w:rsidRPr="005B4339">
        <w:rPr>
          <w:noProof/>
          <w:lang w:val="en-IE"/>
        </w:rPr>
        <w:t xml:space="preserve">currently </w:t>
      </w:r>
      <w:r w:rsidR="00755168" w:rsidRPr="005B4339">
        <w:rPr>
          <w:noProof/>
          <w:lang w:val="en-IE"/>
        </w:rPr>
        <w:t>the case</w:t>
      </w:r>
      <w:r w:rsidR="00FA00E3" w:rsidRPr="005B4339">
        <w:rPr>
          <w:noProof/>
          <w:lang w:val="en-IE"/>
        </w:rPr>
        <w:t>. In addition</w:t>
      </w:r>
      <w:r w:rsidR="00755168" w:rsidRPr="005B4339">
        <w:rPr>
          <w:noProof/>
          <w:lang w:val="en-IE"/>
        </w:rPr>
        <w:t xml:space="preserve">, </w:t>
      </w:r>
      <w:r w:rsidR="00A06E32" w:rsidRPr="005B4339">
        <w:rPr>
          <w:noProof/>
          <w:lang w:val="en-IE"/>
        </w:rPr>
        <w:t xml:space="preserve">there would be </w:t>
      </w:r>
      <w:r w:rsidR="00755168" w:rsidRPr="005B4339">
        <w:rPr>
          <w:noProof/>
          <w:lang w:val="en-IE"/>
        </w:rPr>
        <w:t xml:space="preserve">a reduction in the social costs </w:t>
      </w:r>
      <w:r w:rsidR="004167A7" w:rsidRPr="005B4339">
        <w:rPr>
          <w:noProof/>
          <w:lang w:val="en-IE"/>
        </w:rPr>
        <w:t xml:space="preserve">of textile goods that are presently disposed </w:t>
      </w:r>
      <w:r w:rsidR="00A818D4" w:rsidRPr="005B4339">
        <w:rPr>
          <w:noProof/>
          <w:lang w:val="en-IE"/>
        </w:rPr>
        <w:t xml:space="preserve">and that are </w:t>
      </w:r>
      <w:r w:rsidR="004167A7" w:rsidRPr="005B4339">
        <w:rPr>
          <w:noProof/>
          <w:lang w:val="en-IE"/>
        </w:rPr>
        <w:t xml:space="preserve">expected </w:t>
      </w:r>
      <w:r w:rsidR="00A818D4" w:rsidRPr="005B4339">
        <w:rPr>
          <w:noProof/>
          <w:lang w:val="en-IE"/>
        </w:rPr>
        <w:t xml:space="preserve">to be </w:t>
      </w:r>
      <w:r w:rsidR="004167A7" w:rsidRPr="005B4339">
        <w:rPr>
          <w:noProof/>
          <w:lang w:val="en-IE"/>
        </w:rPr>
        <w:t>reused or recycl</w:t>
      </w:r>
      <w:r w:rsidR="00A818D4" w:rsidRPr="005B4339">
        <w:rPr>
          <w:noProof/>
          <w:lang w:val="en-IE"/>
        </w:rPr>
        <w:t>ed more under this measure</w:t>
      </w:r>
      <w:r w:rsidR="004167A7" w:rsidRPr="005B4339">
        <w:rPr>
          <w:noProof/>
          <w:lang w:val="en-IE"/>
        </w:rPr>
        <w:t xml:space="preserve">. </w:t>
      </w:r>
      <w:r w:rsidR="00105201" w:rsidRPr="005B4339">
        <w:rPr>
          <w:noProof/>
          <w:lang w:val="en-IE"/>
        </w:rPr>
        <w:t xml:space="preserve">A clearer understanding of what textiles means in relation to the WFD is also likely to lead to more realistic </w:t>
      </w:r>
      <w:r w:rsidR="003C001C" w:rsidRPr="005B4339">
        <w:rPr>
          <w:noProof/>
          <w:lang w:val="en-IE"/>
        </w:rPr>
        <w:t xml:space="preserve">and consistent </w:t>
      </w:r>
      <w:r w:rsidR="00105201" w:rsidRPr="005B4339">
        <w:rPr>
          <w:noProof/>
          <w:lang w:val="en-IE"/>
        </w:rPr>
        <w:t>data being collected whilst supporting a more level playing field between Member States.</w:t>
      </w:r>
      <w:r w:rsidR="00F64C20" w:rsidRPr="005B4339">
        <w:rPr>
          <w:noProof/>
          <w:lang w:val="en-IE"/>
        </w:rPr>
        <w:t xml:space="preserve"> </w:t>
      </w:r>
      <w:r w:rsidR="006C30F8" w:rsidRPr="005B4339">
        <w:rPr>
          <w:noProof/>
          <w:lang w:val="en-IE"/>
        </w:rPr>
        <w:t xml:space="preserve">This would benefit all stakeholders including public administrations, businesses and citizens. </w:t>
      </w:r>
      <w:r w:rsidR="00664E14" w:rsidRPr="005B4339">
        <w:rPr>
          <w:noProof/>
          <w:lang w:val="en-IE"/>
        </w:rPr>
        <w:t xml:space="preserve">However, </w:t>
      </w:r>
      <w:r w:rsidR="00105201" w:rsidRPr="005B4339">
        <w:rPr>
          <w:noProof/>
          <w:lang w:val="en-IE"/>
        </w:rPr>
        <w:t xml:space="preserve">the ability to split reporting to address particular textile product types is far more challenging as the </w:t>
      </w:r>
      <w:r w:rsidR="00AB59DE" w:rsidRPr="005B4339">
        <w:rPr>
          <w:rFonts w:ascii="Times" w:eastAsia="Times" w:hAnsi="Times" w:cs="Times"/>
          <w:noProof/>
          <w:lang w:val="en-IE"/>
        </w:rPr>
        <w:t xml:space="preserve">Textile Labelling Regulation </w:t>
      </w:r>
      <w:r w:rsidR="00105201" w:rsidRPr="005B4339">
        <w:rPr>
          <w:noProof/>
          <w:lang w:val="en-IE"/>
        </w:rPr>
        <w:t>itself provides no such list of textile products, only a list of textile fibre names and textile products for which special provisions apply (such as specific labelling requirements or derogations). Providing reports based on textile fibre quantities by Member States is likely to be technically impossible given the mix of fibre types found in many textile products at present.</w:t>
      </w:r>
    </w:p>
    <w:p w14:paraId="784CE3CA" w14:textId="77777777" w:rsidR="00105201" w:rsidRPr="005B4339" w:rsidRDefault="00105201" w:rsidP="009A3876">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Administrative burden</w:t>
      </w:r>
    </w:p>
    <w:p w14:paraId="0BC07563" w14:textId="466210C9" w:rsidR="00E66689" w:rsidRPr="005B4339" w:rsidRDefault="00105201" w:rsidP="00F7458C">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Member State</w:t>
      </w:r>
      <w:r w:rsidR="00F15E96" w:rsidRPr="005B4339">
        <w:rPr>
          <w:rFonts w:ascii="Times New Roman" w:hAnsi="Times New Roman" w:cs="Times New Roman"/>
          <w:noProof/>
          <w:sz w:val="24"/>
          <w:szCs w:val="24"/>
          <w:lang w:val="en-IE"/>
        </w:rPr>
        <w:t>s’</w:t>
      </w:r>
      <w:r w:rsidRPr="005B4339">
        <w:rPr>
          <w:rFonts w:ascii="Times New Roman" w:hAnsi="Times New Roman" w:cs="Times New Roman"/>
          <w:noProof/>
          <w:sz w:val="24"/>
          <w:szCs w:val="24"/>
          <w:lang w:val="en-IE"/>
        </w:rPr>
        <w:t xml:space="preserve"> understanding of what constitutes textiles affect the practical implementation of measures to manage </w:t>
      </w:r>
      <w:r w:rsidR="00FC7E2E" w:rsidRPr="005B4339">
        <w:rPr>
          <w:rFonts w:ascii="Times New Roman" w:hAnsi="Times New Roman" w:cs="Times New Roman"/>
          <w:noProof/>
          <w:sz w:val="24"/>
          <w:szCs w:val="24"/>
          <w:lang w:val="en-IE"/>
        </w:rPr>
        <w:t xml:space="preserve">textiles and </w:t>
      </w:r>
      <w:r w:rsidRPr="005B4339">
        <w:rPr>
          <w:rFonts w:ascii="Times New Roman" w:hAnsi="Times New Roman" w:cs="Times New Roman"/>
          <w:noProof/>
          <w:sz w:val="24"/>
          <w:szCs w:val="24"/>
          <w:lang w:val="en-IE"/>
        </w:rPr>
        <w:t xml:space="preserve">textile waste </w:t>
      </w:r>
      <w:r w:rsidR="00FC7E2E" w:rsidRPr="005B4339">
        <w:rPr>
          <w:rFonts w:ascii="Times New Roman" w:hAnsi="Times New Roman" w:cs="Times New Roman"/>
          <w:noProof/>
          <w:sz w:val="24"/>
          <w:szCs w:val="24"/>
          <w:lang w:val="en-IE"/>
        </w:rPr>
        <w:t xml:space="preserve">and </w:t>
      </w:r>
      <w:r w:rsidRPr="005B4339">
        <w:rPr>
          <w:rFonts w:ascii="Times New Roman" w:hAnsi="Times New Roman" w:cs="Times New Roman"/>
          <w:noProof/>
          <w:sz w:val="24"/>
          <w:szCs w:val="24"/>
          <w:lang w:val="en-IE"/>
        </w:rPr>
        <w:t xml:space="preserve">affects the </w:t>
      </w:r>
      <w:r w:rsidR="00FC7E2E" w:rsidRPr="005B4339">
        <w:rPr>
          <w:rFonts w:ascii="Times New Roman" w:hAnsi="Times New Roman" w:cs="Times New Roman"/>
          <w:noProof/>
          <w:sz w:val="24"/>
          <w:szCs w:val="24"/>
          <w:lang w:val="en-IE"/>
        </w:rPr>
        <w:t xml:space="preserve">related </w:t>
      </w:r>
      <w:r w:rsidRPr="005B4339">
        <w:rPr>
          <w:rFonts w:ascii="Times New Roman" w:hAnsi="Times New Roman" w:cs="Times New Roman"/>
          <w:noProof/>
          <w:sz w:val="24"/>
          <w:szCs w:val="24"/>
          <w:lang w:val="en-IE"/>
        </w:rPr>
        <w:t>data reported by Member States. A clarification of reporting obligations by Member States by more clearly defining the textile materials that should be captured by such reporting should reduce the administrative burden on Member States in determining their own textile reporting regimes against their own definition of what textiles comprise as is the case at present. More standardised reporting resulting from this measure should, therefore, help to reduce burdens whilst producing more reliable data.</w:t>
      </w:r>
    </w:p>
    <w:p w14:paraId="58DDBFE6" w14:textId="3F1E434F" w:rsidR="06AE6D2D" w:rsidRPr="005B4339" w:rsidRDefault="06AE6D2D" w:rsidP="77C49588">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In view of </w:t>
      </w:r>
      <w:r w:rsidR="434C0CCB" w:rsidRPr="005B4339">
        <w:rPr>
          <w:rFonts w:ascii="Times New Roman" w:hAnsi="Times New Roman" w:cs="Times New Roman"/>
          <w:noProof/>
          <w:sz w:val="24"/>
          <w:szCs w:val="24"/>
          <w:lang w:val="en-IE"/>
        </w:rPr>
        <w:t xml:space="preserve">maximising </w:t>
      </w:r>
      <w:r w:rsidRPr="005B4339">
        <w:rPr>
          <w:rFonts w:ascii="Times New Roman" w:hAnsi="Times New Roman" w:cs="Times New Roman"/>
          <w:noProof/>
          <w:sz w:val="24"/>
          <w:szCs w:val="24"/>
          <w:lang w:val="en-IE"/>
        </w:rPr>
        <w:t>administrative efficiencies and synergies with existing regulatory responsibilities</w:t>
      </w:r>
      <w:r w:rsidR="48AFC4C0" w:rsidRPr="005B4339">
        <w:rPr>
          <w:rFonts w:ascii="Times New Roman" w:hAnsi="Times New Roman" w:cs="Times New Roman"/>
          <w:noProof/>
          <w:sz w:val="24"/>
          <w:szCs w:val="24"/>
          <w:lang w:val="en-IE"/>
        </w:rPr>
        <w:t xml:space="preserve"> in the waste prevention policy</w:t>
      </w:r>
      <w:r w:rsidRPr="005B4339">
        <w:rPr>
          <w:rFonts w:ascii="Times New Roman" w:hAnsi="Times New Roman" w:cs="Times New Roman"/>
          <w:noProof/>
          <w:sz w:val="24"/>
          <w:szCs w:val="24"/>
          <w:lang w:val="en-IE"/>
        </w:rPr>
        <w:t>, the management of the data flow on re-use of products, incl</w:t>
      </w:r>
      <w:r w:rsidR="284CD686" w:rsidRPr="005B4339">
        <w:rPr>
          <w:rFonts w:ascii="Times New Roman" w:hAnsi="Times New Roman" w:cs="Times New Roman"/>
          <w:noProof/>
          <w:sz w:val="24"/>
          <w:szCs w:val="24"/>
          <w:lang w:val="en-IE"/>
        </w:rPr>
        <w:t>uding</w:t>
      </w:r>
      <w:r w:rsidRPr="005B4339">
        <w:rPr>
          <w:rFonts w:ascii="Times New Roman" w:hAnsi="Times New Roman" w:cs="Times New Roman"/>
          <w:noProof/>
          <w:sz w:val="24"/>
          <w:szCs w:val="24"/>
          <w:lang w:val="en-IE"/>
        </w:rPr>
        <w:t xml:space="preserve"> on textiles is </w:t>
      </w:r>
      <w:r w:rsidR="406D4525" w:rsidRPr="005B4339">
        <w:rPr>
          <w:rFonts w:ascii="Times New Roman" w:hAnsi="Times New Roman" w:cs="Times New Roman"/>
          <w:noProof/>
          <w:sz w:val="24"/>
          <w:szCs w:val="24"/>
          <w:lang w:val="en-IE"/>
        </w:rPr>
        <w:t xml:space="preserve">better pursued by the EEA instead of the Commission which should, according to the Article 37 </w:t>
      </w:r>
      <w:r w:rsidR="03529813" w:rsidRPr="005B4339">
        <w:rPr>
          <w:rFonts w:ascii="Times New Roman" w:hAnsi="Times New Roman" w:cs="Times New Roman"/>
          <w:noProof/>
          <w:sz w:val="24"/>
          <w:szCs w:val="24"/>
          <w:lang w:val="en-IE"/>
        </w:rPr>
        <w:t>of</w:t>
      </w:r>
      <w:r w:rsidR="406D4525" w:rsidRPr="005B4339">
        <w:rPr>
          <w:rFonts w:ascii="Times New Roman" w:hAnsi="Times New Roman" w:cs="Times New Roman"/>
          <w:noProof/>
          <w:sz w:val="24"/>
          <w:szCs w:val="24"/>
          <w:lang w:val="en-IE"/>
        </w:rPr>
        <w:t xml:space="preserve"> the WFD be receiving the data from Member States. </w:t>
      </w:r>
      <w:r w:rsidR="7EDAB268" w:rsidRPr="005B4339">
        <w:rPr>
          <w:rFonts w:ascii="Times New Roman" w:hAnsi="Times New Roman" w:cs="Times New Roman"/>
          <w:noProof/>
          <w:sz w:val="24"/>
          <w:szCs w:val="24"/>
          <w:lang w:val="en-IE"/>
        </w:rPr>
        <w:t>It is therefore proposed to amend Article</w:t>
      </w:r>
      <w:r w:rsidR="429AAA55" w:rsidRPr="005B4339">
        <w:rPr>
          <w:rFonts w:ascii="Times New Roman" w:hAnsi="Times New Roman" w:cs="Times New Roman"/>
          <w:noProof/>
          <w:sz w:val="24"/>
          <w:szCs w:val="24"/>
          <w:lang w:val="en-IE"/>
        </w:rPr>
        <w:t xml:space="preserve"> </w:t>
      </w:r>
      <w:r w:rsidR="7EDAB268" w:rsidRPr="005B4339">
        <w:rPr>
          <w:rFonts w:ascii="Times New Roman" w:hAnsi="Times New Roman" w:cs="Times New Roman"/>
          <w:noProof/>
          <w:sz w:val="24"/>
          <w:szCs w:val="24"/>
          <w:lang w:val="en-IE"/>
        </w:rPr>
        <w:t>37</w:t>
      </w:r>
      <w:r w:rsidR="091EC675" w:rsidRPr="005B4339">
        <w:rPr>
          <w:rFonts w:ascii="Times New Roman" w:hAnsi="Times New Roman" w:cs="Times New Roman"/>
          <w:noProof/>
          <w:sz w:val="24"/>
          <w:szCs w:val="24"/>
          <w:lang w:val="en-IE"/>
        </w:rPr>
        <w:t xml:space="preserve"> of the WFD envisaging that this data flow is to be reported to and managed by the EEA. </w:t>
      </w:r>
      <w:r w:rsidR="4B5E0F1C" w:rsidRPr="005B4339">
        <w:rPr>
          <w:rFonts w:ascii="Times New Roman" w:hAnsi="Times New Roman" w:cs="Times New Roman"/>
          <w:noProof/>
          <w:sz w:val="24"/>
          <w:szCs w:val="24"/>
          <w:lang w:val="en-IE"/>
        </w:rPr>
        <w:t>This would require allocation of additional resources to the EEA for the fulfilment of this task.</w:t>
      </w:r>
      <w:r w:rsidR="7EDAB268" w:rsidRPr="005B4339">
        <w:rPr>
          <w:rFonts w:ascii="Times New Roman" w:hAnsi="Times New Roman" w:cs="Times New Roman"/>
          <w:noProof/>
          <w:sz w:val="24"/>
          <w:szCs w:val="24"/>
          <w:lang w:val="en-IE"/>
        </w:rPr>
        <w:t xml:space="preserve"> </w:t>
      </w:r>
    </w:p>
    <w:p w14:paraId="35181882" w14:textId="122EE14E" w:rsidR="00E66689" w:rsidRPr="005B4339" w:rsidRDefault="00E66689" w:rsidP="00F7458C">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7870F336" w14:textId="1A3A5AA3" w:rsidR="00E66689" w:rsidRPr="005B4339" w:rsidRDefault="00960FCF" w:rsidP="00F7458C">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Most </w:t>
      </w:r>
      <w:r w:rsidR="00E66689" w:rsidRPr="005B4339">
        <w:rPr>
          <w:rFonts w:ascii="Times New Roman" w:hAnsi="Times New Roman" w:cs="Times New Roman"/>
          <w:noProof/>
          <w:sz w:val="24"/>
          <w:szCs w:val="24"/>
          <w:lang w:val="en-IE"/>
        </w:rPr>
        <w:t xml:space="preserve">producers </w:t>
      </w:r>
      <w:r w:rsidR="001C0D88" w:rsidRPr="005B4339">
        <w:rPr>
          <w:rFonts w:ascii="Times New Roman" w:hAnsi="Times New Roman" w:cs="Times New Roman"/>
          <w:noProof/>
          <w:sz w:val="24"/>
          <w:szCs w:val="24"/>
          <w:lang w:val="en-IE"/>
        </w:rPr>
        <w:t xml:space="preserve">in the </w:t>
      </w:r>
      <w:r w:rsidR="00E66689" w:rsidRPr="005B4339">
        <w:rPr>
          <w:rFonts w:ascii="Times New Roman" w:hAnsi="Times New Roman" w:cs="Times New Roman"/>
          <w:noProof/>
          <w:sz w:val="24"/>
          <w:szCs w:val="24"/>
          <w:lang w:val="en-IE"/>
        </w:rPr>
        <w:t>textiles</w:t>
      </w:r>
      <w:r w:rsidR="001C0D88" w:rsidRPr="005B4339">
        <w:rPr>
          <w:rFonts w:ascii="Times New Roman" w:hAnsi="Times New Roman" w:cs="Times New Roman"/>
          <w:noProof/>
          <w:sz w:val="24"/>
          <w:szCs w:val="24"/>
          <w:lang w:val="en-IE"/>
        </w:rPr>
        <w:t xml:space="preserve">’ ecosystem </w:t>
      </w:r>
      <w:r w:rsidR="00E66689" w:rsidRPr="005B4339">
        <w:rPr>
          <w:rFonts w:ascii="Times New Roman" w:hAnsi="Times New Roman" w:cs="Times New Roman"/>
          <w:noProof/>
          <w:sz w:val="24"/>
          <w:szCs w:val="24"/>
          <w:lang w:val="en-IE"/>
        </w:rPr>
        <w:t xml:space="preserve">are micro-enterprises (88.8% </w:t>
      </w:r>
      <w:r w:rsidR="00713E1D" w:rsidRPr="005B4339">
        <w:rPr>
          <w:rFonts w:ascii="Times New Roman" w:hAnsi="Times New Roman" w:cs="Times New Roman"/>
          <w:noProof/>
          <w:sz w:val="24"/>
          <w:szCs w:val="24"/>
          <w:lang w:val="en-IE"/>
        </w:rPr>
        <w:t xml:space="preserve">of </w:t>
      </w:r>
      <w:r w:rsidR="00E66689" w:rsidRPr="005B4339">
        <w:rPr>
          <w:rFonts w:ascii="Times New Roman" w:hAnsi="Times New Roman" w:cs="Times New Roman"/>
          <w:noProof/>
          <w:sz w:val="24"/>
          <w:szCs w:val="24"/>
          <w:lang w:val="en-IE"/>
        </w:rPr>
        <w:t xml:space="preserve">127 000 enterprises), with only 0.2% of enterprises </w:t>
      </w:r>
      <w:r w:rsidR="001C0D88" w:rsidRPr="005B4339">
        <w:rPr>
          <w:rFonts w:ascii="Times New Roman" w:hAnsi="Times New Roman" w:cs="Times New Roman"/>
          <w:noProof/>
          <w:sz w:val="24"/>
          <w:szCs w:val="24"/>
          <w:lang w:val="en-IE"/>
        </w:rPr>
        <w:t>being large companies</w:t>
      </w:r>
      <w:r w:rsidR="00E66689" w:rsidRPr="005B4339">
        <w:rPr>
          <w:rFonts w:ascii="Times New Roman" w:hAnsi="Times New Roman" w:cs="Times New Roman"/>
          <w:noProof/>
          <w:sz w:val="24"/>
          <w:szCs w:val="24"/>
          <w:lang w:val="en-IE"/>
        </w:rPr>
        <w:t xml:space="preserve">. Clarifying the definition of textiles according to the </w:t>
      </w:r>
      <w:r w:rsidR="00DF448B" w:rsidRPr="005B4339">
        <w:rPr>
          <w:rFonts w:ascii="Times New Roman" w:hAnsi="Times New Roman" w:cs="Times New Roman"/>
          <w:noProof/>
          <w:sz w:val="24"/>
          <w:szCs w:val="24"/>
          <w:lang w:val="en-IE"/>
        </w:rPr>
        <w:t xml:space="preserve">Textile Labelling Regulation </w:t>
      </w:r>
      <w:r w:rsidR="00E66689" w:rsidRPr="005B4339">
        <w:rPr>
          <w:rFonts w:ascii="Times New Roman" w:hAnsi="Times New Roman" w:cs="Times New Roman"/>
          <w:noProof/>
          <w:sz w:val="24"/>
          <w:szCs w:val="24"/>
          <w:lang w:val="en-IE"/>
        </w:rPr>
        <w:t xml:space="preserve">is likely to have </w:t>
      </w:r>
      <w:r w:rsidR="001C0D88" w:rsidRPr="005B4339">
        <w:rPr>
          <w:rFonts w:ascii="Times New Roman" w:hAnsi="Times New Roman" w:cs="Times New Roman"/>
          <w:noProof/>
          <w:sz w:val="24"/>
          <w:szCs w:val="24"/>
          <w:lang w:val="en-IE"/>
        </w:rPr>
        <w:t xml:space="preserve">no </w:t>
      </w:r>
      <w:r w:rsidR="00E66689" w:rsidRPr="005B4339">
        <w:rPr>
          <w:rFonts w:ascii="Times New Roman" w:hAnsi="Times New Roman" w:cs="Times New Roman"/>
          <w:noProof/>
          <w:sz w:val="24"/>
          <w:szCs w:val="24"/>
          <w:lang w:val="en-IE"/>
        </w:rPr>
        <w:t xml:space="preserve">significant </w:t>
      </w:r>
      <w:r w:rsidR="00DF448B" w:rsidRPr="005B4339">
        <w:rPr>
          <w:rFonts w:ascii="Times New Roman" w:hAnsi="Times New Roman" w:cs="Times New Roman"/>
          <w:noProof/>
          <w:sz w:val="24"/>
          <w:szCs w:val="24"/>
          <w:lang w:val="en-IE"/>
        </w:rPr>
        <w:t xml:space="preserve">additional </w:t>
      </w:r>
      <w:r w:rsidR="00AB49A6" w:rsidRPr="005B4339">
        <w:rPr>
          <w:rFonts w:ascii="Times New Roman" w:hAnsi="Times New Roman" w:cs="Times New Roman"/>
          <w:noProof/>
          <w:sz w:val="24"/>
          <w:szCs w:val="24"/>
          <w:lang w:val="en-IE"/>
        </w:rPr>
        <w:t>administrative</w:t>
      </w:r>
      <w:r w:rsidR="00DF448B" w:rsidRPr="005B4339">
        <w:rPr>
          <w:rFonts w:ascii="Times New Roman" w:hAnsi="Times New Roman" w:cs="Times New Roman"/>
          <w:noProof/>
          <w:sz w:val="24"/>
          <w:szCs w:val="24"/>
          <w:lang w:val="en-IE"/>
        </w:rPr>
        <w:t xml:space="preserve"> burden</w:t>
      </w:r>
      <w:r w:rsidR="00E66689" w:rsidRPr="005B4339">
        <w:rPr>
          <w:rFonts w:ascii="Times New Roman" w:hAnsi="Times New Roman" w:cs="Times New Roman"/>
          <w:noProof/>
          <w:sz w:val="24"/>
          <w:szCs w:val="24"/>
          <w:lang w:val="en-IE"/>
        </w:rPr>
        <w:t xml:space="preserve"> on SMEs as they already comply with the </w:t>
      </w:r>
      <w:r w:rsidR="00DF448B" w:rsidRPr="005B4339">
        <w:rPr>
          <w:rFonts w:ascii="Times New Roman" w:hAnsi="Times New Roman" w:cs="Times New Roman"/>
          <w:noProof/>
          <w:sz w:val="24"/>
          <w:szCs w:val="24"/>
          <w:lang w:val="en-IE"/>
        </w:rPr>
        <w:t xml:space="preserve">Textile Labelling Regulation </w:t>
      </w:r>
      <w:r w:rsidR="001C0D88" w:rsidRPr="005B4339">
        <w:rPr>
          <w:rFonts w:ascii="Times New Roman" w:hAnsi="Times New Roman" w:cs="Times New Roman"/>
          <w:noProof/>
          <w:sz w:val="24"/>
          <w:szCs w:val="24"/>
          <w:lang w:val="en-IE"/>
        </w:rPr>
        <w:t>(</w:t>
      </w:r>
      <w:r w:rsidR="00E66689" w:rsidRPr="005B4339">
        <w:rPr>
          <w:rFonts w:ascii="Times New Roman" w:hAnsi="Times New Roman" w:cs="Times New Roman"/>
          <w:noProof/>
          <w:sz w:val="24"/>
          <w:szCs w:val="24"/>
          <w:lang w:val="en-IE"/>
        </w:rPr>
        <w:t xml:space="preserve">unless </w:t>
      </w:r>
      <w:r w:rsidR="001C0D88" w:rsidRPr="005B4339">
        <w:rPr>
          <w:rFonts w:ascii="Times New Roman" w:hAnsi="Times New Roman" w:cs="Times New Roman"/>
          <w:noProof/>
          <w:sz w:val="24"/>
          <w:szCs w:val="24"/>
          <w:lang w:val="en-IE"/>
        </w:rPr>
        <w:t xml:space="preserve">they are </w:t>
      </w:r>
      <w:r w:rsidR="00E66689" w:rsidRPr="005B4339">
        <w:rPr>
          <w:rFonts w:ascii="Times New Roman" w:hAnsi="Times New Roman" w:cs="Times New Roman"/>
          <w:noProof/>
          <w:sz w:val="24"/>
          <w:szCs w:val="24"/>
          <w:lang w:val="en-IE"/>
        </w:rPr>
        <w:t>subject to the specific exclusions provided for in that Regulation</w:t>
      </w:r>
      <w:r w:rsidR="001C0D88" w:rsidRPr="005B4339">
        <w:rPr>
          <w:rFonts w:ascii="Times New Roman" w:hAnsi="Times New Roman" w:cs="Times New Roman"/>
          <w:noProof/>
          <w:sz w:val="24"/>
          <w:szCs w:val="24"/>
          <w:lang w:val="en-IE"/>
        </w:rPr>
        <w:t>)</w:t>
      </w:r>
      <w:r w:rsidR="00F7458C" w:rsidRPr="005B4339">
        <w:rPr>
          <w:rFonts w:ascii="Times New Roman" w:hAnsi="Times New Roman" w:cs="Times New Roman"/>
          <w:noProof/>
          <w:sz w:val="24"/>
          <w:szCs w:val="24"/>
          <w:lang w:val="en-IE"/>
        </w:rPr>
        <w:t>.</w:t>
      </w:r>
      <w:r w:rsidR="00E66689" w:rsidRPr="005B4339">
        <w:rPr>
          <w:rFonts w:ascii="Times New Roman" w:hAnsi="Times New Roman" w:cs="Times New Roman"/>
          <w:noProof/>
          <w:sz w:val="24"/>
          <w:szCs w:val="24"/>
          <w:vertAlign w:val="superscript"/>
          <w:lang w:val="en-IE"/>
        </w:rPr>
        <w:footnoteReference w:id="4"/>
      </w:r>
      <w:r w:rsidR="00DF448B" w:rsidRPr="005B4339">
        <w:rPr>
          <w:rFonts w:ascii="Times New Roman" w:hAnsi="Times New Roman" w:cs="Times New Roman"/>
          <w:noProof/>
          <w:sz w:val="24"/>
          <w:szCs w:val="24"/>
          <w:lang w:val="en-IE"/>
        </w:rPr>
        <w:t xml:space="preserve"> On the contrary SMEs are likely to benefit from an alignment of the scope which makes the applicable rules easier to understand.</w:t>
      </w:r>
    </w:p>
    <w:p w14:paraId="202F6378" w14:textId="7DD0787D" w:rsidR="00E66689" w:rsidRPr="005B4339" w:rsidRDefault="00E66689" w:rsidP="00E43DF9">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Defining textiles according to the </w:t>
      </w:r>
      <w:r w:rsidR="00DF448B" w:rsidRPr="005B4339">
        <w:rPr>
          <w:rFonts w:ascii="Times New Roman" w:hAnsi="Times New Roman" w:cs="Times New Roman"/>
          <w:noProof/>
          <w:sz w:val="24"/>
          <w:szCs w:val="24"/>
          <w:lang w:val="en-IE"/>
        </w:rPr>
        <w:t xml:space="preserve">Textile Labelling Regulation </w:t>
      </w:r>
      <w:r w:rsidRPr="005B4339">
        <w:rPr>
          <w:rFonts w:ascii="Times New Roman" w:hAnsi="Times New Roman" w:cs="Times New Roman"/>
          <w:noProof/>
          <w:sz w:val="24"/>
          <w:szCs w:val="24"/>
          <w:lang w:val="en-IE"/>
        </w:rPr>
        <w:t xml:space="preserve">would significantly expand the types of textiles to be collected under Article 11(1), potentially adding significant burden to social enterprises as well as any </w:t>
      </w:r>
      <w:r w:rsidR="00EE3457" w:rsidRPr="005B4339">
        <w:rPr>
          <w:rFonts w:ascii="Times New Roman" w:hAnsi="Times New Roman" w:cs="Times New Roman"/>
          <w:noProof/>
          <w:sz w:val="24"/>
          <w:szCs w:val="24"/>
          <w:lang w:val="en-IE"/>
        </w:rPr>
        <w:t xml:space="preserve">commercial </w:t>
      </w:r>
      <w:r w:rsidRPr="005B4339">
        <w:rPr>
          <w:rFonts w:ascii="Times New Roman" w:hAnsi="Times New Roman" w:cs="Times New Roman"/>
          <w:noProof/>
          <w:sz w:val="24"/>
          <w:szCs w:val="24"/>
          <w:lang w:val="en-IE"/>
        </w:rPr>
        <w:t>SME</w:t>
      </w:r>
      <w:r w:rsidR="00EE3457" w:rsidRPr="005B4339">
        <w:rPr>
          <w:rFonts w:ascii="Times New Roman" w:hAnsi="Times New Roman" w:cs="Times New Roman"/>
          <w:noProof/>
          <w:sz w:val="24"/>
          <w:szCs w:val="24"/>
          <w:lang w:val="en-IE"/>
        </w:rPr>
        <w:t>s</w:t>
      </w:r>
      <w:r w:rsidRPr="005B4339">
        <w:rPr>
          <w:rFonts w:ascii="Times New Roman" w:hAnsi="Times New Roman" w:cs="Times New Roman"/>
          <w:noProof/>
          <w:sz w:val="24"/>
          <w:szCs w:val="24"/>
          <w:lang w:val="en-IE"/>
        </w:rPr>
        <w:t xml:space="preserve"> that operate collection systems</w:t>
      </w:r>
      <w:r w:rsidR="00EE3457" w:rsidRPr="005B4339">
        <w:rPr>
          <w:rFonts w:ascii="Times New Roman" w:hAnsi="Times New Roman" w:cs="Times New Roman"/>
          <w:noProof/>
          <w:sz w:val="24"/>
          <w:szCs w:val="24"/>
          <w:lang w:val="en-IE"/>
        </w:rPr>
        <w:t>. Those</w:t>
      </w:r>
      <w:r w:rsidRPr="005B4339">
        <w:rPr>
          <w:rFonts w:ascii="Times New Roman" w:hAnsi="Times New Roman" w:cs="Times New Roman"/>
          <w:noProof/>
          <w:sz w:val="24"/>
          <w:szCs w:val="24"/>
          <w:lang w:val="en-IE"/>
        </w:rPr>
        <w:t xml:space="preserve"> </w:t>
      </w:r>
      <w:r w:rsidR="00EE3457" w:rsidRPr="005B4339">
        <w:rPr>
          <w:rFonts w:ascii="Times New Roman" w:hAnsi="Times New Roman" w:cs="Times New Roman"/>
          <w:noProof/>
          <w:sz w:val="24"/>
          <w:szCs w:val="24"/>
          <w:lang w:val="en-IE"/>
        </w:rPr>
        <w:t xml:space="preserve">systems would have to </w:t>
      </w:r>
      <w:r w:rsidRPr="005B4339">
        <w:rPr>
          <w:rFonts w:ascii="Times New Roman" w:hAnsi="Times New Roman" w:cs="Times New Roman"/>
          <w:noProof/>
          <w:sz w:val="24"/>
          <w:szCs w:val="24"/>
          <w:lang w:val="en-IE"/>
        </w:rPr>
        <w:t xml:space="preserve">expand to </w:t>
      </w:r>
      <w:r w:rsidR="00EE3457" w:rsidRPr="005B4339">
        <w:rPr>
          <w:rFonts w:ascii="Times New Roman" w:hAnsi="Times New Roman" w:cs="Times New Roman"/>
          <w:noProof/>
          <w:sz w:val="24"/>
          <w:szCs w:val="24"/>
          <w:lang w:val="en-IE"/>
        </w:rPr>
        <w:t xml:space="preserve">include </w:t>
      </w:r>
      <w:r w:rsidRPr="005B4339">
        <w:rPr>
          <w:rFonts w:ascii="Times New Roman" w:hAnsi="Times New Roman" w:cs="Times New Roman"/>
          <w:noProof/>
          <w:sz w:val="24"/>
          <w:szCs w:val="24"/>
          <w:lang w:val="en-IE"/>
        </w:rPr>
        <w:t>textiles that are currently not targeted. Such a broadening would have</w:t>
      </w:r>
      <w:r w:rsidR="001355EC"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significant negative impacts on SME collectors and social enterprises </w:t>
      </w:r>
      <w:r w:rsidR="005845A1" w:rsidRPr="005B4339">
        <w:rPr>
          <w:rFonts w:ascii="Times New Roman" w:hAnsi="Times New Roman" w:cs="Times New Roman"/>
          <w:noProof/>
          <w:sz w:val="24"/>
          <w:szCs w:val="24"/>
          <w:lang w:val="en-IE"/>
        </w:rPr>
        <w:t xml:space="preserve">which are currently </w:t>
      </w:r>
      <w:r w:rsidR="00161495" w:rsidRPr="005B4339">
        <w:rPr>
          <w:rFonts w:ascii="Times New Roman" w:hAnsi="Times New Roman" w:cs="Times New Roman"/>
          <w:noProof/>
          <w:sz w:val="24"/>
          <w:szCs w:val="24"/>
          <w:lang w:val="en-IE"/>
        </w:rPr>
        <w:t xml:space="preserve">focusing on the </w:t>
      </w:r>
      <w:r w:rsidR="005845A1" w:rsidRPr="005B4339">
        <w:rPr>
          <w:rFonts w:ascii="Times New Roman" w:hAnsi="Times New Roman" w:cs="Times New Roman"/>
          <w:noProof/>
          <w:sz w:val="24"/>
          <w:szCs w:val="24"/>
          <w:lang w:val="en-IE"/>
        </w:rPr>
        <w:t xml:space="preserve">collection of </w:t>
      </w:r>
      <w:r w:rsidR="00161495" w:rsidRPr="005B4339">
        <w:rPr>
          <w:rFonts w:ascii="Times New Roman" w:hAnsi="Times New Roman" w:cs="Times New Roman"/>
          <w:noProof/>
          <w:sz w:val="24"/>
          <w:szCs w:val="24"/>
          <w:lang w:val="en-IE"/>
        </w:rPr>
        <w:t xml:space="preserve">reusable </w:t>
      </w:r>
      <w:r w:rsidR="005845A1" w:rsidRPr="005B4339">
        <w:rPr>
          <w:rFonts w:ascii="Times New Roman" w:hAnsi="Times New Roman" w:cs="Times New Roman"/>
          <w:noProof/>
          <w:sz w:val="24"/>
          <w:szCs w:val="24"/>
          <w:lang w:val="en-IE"/>
        </w:rPr>
        <w:t>textile</w:t>
      </w:r>
      <w:r w:rsidR="00E60E4A" w:rsidRPr="005B4339">
        <w:rPr>
          <w:rFonts w:ascii="Times New Roman" w:hAnsi="Times New Roman" w:cs="Times New Roman"/>
          <w:noProof/>
          <w:sz w:val="24"/>
          <w:szCs w:val="24"/>
          <w:lang w:val="en-IE"/>
        </w:rPr>
        <w:t>s</w:t>
      </w:r>
      <w:r w:rsidR="005845A1" w:rsidRPr="005B4339">
        <w:rPr>
          <w:rFonts w:ascii="Times New Roman" w:hAnsi="Times New Roman" w:cs="Times New Roman"/>
          <w:noProof/>
          <w:sz w:val="24"/>
          <w:szCs w:val="24"/>
          <w:lang w:val="en-IE"/>
        </w:rPr>
        <w:t xml:space="preserve"> </w:t>
      </w:r>
      <w:r w:rsidR="00161495" w:rsidRPr="005B4339">
        <w:rPr>
          <w:rFonts w:ascii="Times New Roman" w:hAnsi="Times New Roman" w:cs="Times New Roman"/>
          <w:noProof/>
          <w:sz w:val="24"/>
          <w:szCs w:val="24"/>
          <w:lang w:val="en-IE"/>
        </w:rPr>
        <w:t>due to their value</w:t>
      </w:r>
      <w:r w:rsidRPr="005B4339">
        <w:rPr>
          <w:rFonts w:ascii="Times New Roman" w:hAnsi="Times New Roman" w:cs="Times New Roman"/>
          <w:noProof/>
          <w:sz w:val="24"/>
          <w:szCs w:val="24"/>
          <w:lang w:val="en-IE"/>
        </w:rPr>
        <w:t>.</w:t>
      </w:r>
      <w:r w:rsidR="005845A1" w:rsidRPr="005B4339">
        <w:rPr>
          <w:rFonts w:ascii="Times New Roman" w:hAnsi="Times New Roman" w:cs="Times New Roman"/>
          <w:noProof/>
          <w:sz w:val="24"/>
          <w:szCs w:val="24"/>
          <w:lang w:val="en-IE"/>
        </w:rPr>
        <w:t xml:space="preserve"> This impact may be offset if the differing nature of these other textile products in terms of their </w:t>
      </w:r>
      <w:r w:rsidR="0050279B" w:rsidRPr="005B4339">
        <w:rPr>
          <w:rFonts w:ascii="Times New Roman" w:hAnsi="Times New Roman" w:cs="Times New Roman"/>
          <w:noProof/>
          <w:sz w:val="24"/>
          <w:szCs w:val="24"/>
          <w:lang w:val="en-IE"/>
        </w:rPr>
        <w:t xml:space="preserve">methods of collection storage and recycling was </w:t>
      </w:r>
      <w:r w:rsidR="0000634A" w:rsidRPr="005B4339">
        <w:rPr>
          <w:rFonts w:ascii="Times New Roman" w:hAnsi="Times New Roman" w:cs="Times New Roman"/>
          <w:noProof/>
          <w:sz w:val="24"/>
          <w:szCs w:val="24"/>
          <w:lang w:val="en-IE"/>
        </w:rPr>
        <w:t>considered</w:t>
      </w:r>
      <w:r w:rsidR="0050279B" w:rsidRPr="005B4339">
        <w:rPr>
          <w:rFonts w:ascii="Times New Roman" w:hAnsi="Times New Roman" w:cs="Times New Roman"/>
          <w:noProof/>
          <w:sz w:val="24"/>
          <w:szCs w:val="24"/>
          <w:lang w:val="en-IE"/>
        </w:rPr>
        <w:t xml:space="preserve"> in identifying the relevant actors for their management. By way of example, </w:t>
      </w:r>
      <w:r w:rsidR="003F51DE" w:rsidRPr="005B4339">
        <w:rPr>
          <w:rFonts w:ascii="Times New Roman" w:hAnsi="Times New Roman" w:cs="Times New Roman"/>
          <w:noProof/>
          <w:sz w:val="24"/>
          <w:szCs w:val="24"/>
          <w:lang w:val="en-IE"/>
        </w:rPr>
        <w:t>discarded</w:t>
      </w:r>
      <w:r w:rsidR="0050279B" w:rsidRPr="005B4339">
        <w:rPr>
          <w:rFonts w:ascii="Times New Roman" w:hAnsi="Times New Roman" w:cs="Times New Roman"/>
          <w:noProof/>
          <w:sz w:val="24"/>
          <w:szCs w:val="24"/>
          <w:lang w:val="en-IE"/>
        </w:rPr>
        <w:t xml:space="preserve"> mattresses are unlikely to be resold in social enterprises </w:t>
      </w:r>
      <w:r w:rsidR="003F51DE" w:rsidRPr="005B4339">
        <w:rPr>
          <w:rFonts w:ascii="Times New Roman" w:hAnsi="Times New Roman" w:cs="Times New Roman"/>
          <w:noProof/>
          <w:sz w:val="24"/>
          <w:szCs w:val="24"/>
          <w:lang w:val="en-IE"/>
        </w:rPr>
        <w:t xml:space="preserve">and are more likely to be sent for recycling where their most valuable components (metals and foams) are removed by actual waste management companies means that Member States could not simply rely on the existing clothing and household textile collectors to manage </w:t>
      </w:r>
      <w:r w:rsidR="003F51DE" w:rsidRPr="005B4339">
        <w:rPr>
          <w:rFonts w:ascii="Times New Roman" w:hAnsi="Times New Roman" w:cs="Times New Roman"/>
          <w:noProof/>
          <w:sz w:val="24"/>
          <w:szCs w:val="24"/>
          <w:lang w:val="en-IE"/>
        </w:rPr>
        <w:lastRenderedPageBreak/>
        <w:t>mattresses – instead a more active engagement of waste management companies would be required to be implemented.</w:t>
      </w:r>
    </w:p>
    <w:p w14:paraId="1418AF6A" w14:textId="75A875BB" w:rsidR="00105201" w:rsidRPr="005B4339" w:rsidRDefault="00105201" w:rsidP="00EE3457">
      <w:pPr>
        <w:pStyle w:val="WDBody"/>
        <w:spacing w:after="120" w:line="240" w:lineRule="auto"/>
        <w:jc w:val="both"/>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120E37AC" w14:textId="34A986AF" w:rsidR="00105201" w:rsidRPr="005B4339" w:rsidRDefault="6BBCE9A9" w:rsidP="000B2234">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Stakeholder</w:t>
      </w:r>
      <w:r w:rsidR="00C65630" w:rsidRPr="005B4339">
        <w:rPr>
          <w:rFonts w:ascii="Times New Roman" w:hAnsi="Times New Roman" w:cs="Times New Roman"/>
          <w:noProof/>
          <w:sz w:val="24"/>
          <w:szCs w:val="24"/>
          <w:lang w:val="en-IE"/>
        </w:rPr>
        <w:t xml:space="preserve">s indicated </w:t>
      </w:r>
      <w:r w:rsidRPr="005B4339">
        <w:rPr>
          <w:rFonts w:ascii="Times New Roman" w:hAnsi="Times New Roman" w:cs="Times New Roman"/>
          <w:noProof/>
          <w:sz w:val="24"/>
          <w:szCs w:val="24"/>
          <w:lang w:val="en-IE"/>
        </w:rPr>
        <w:t xml:space="preserve">that this </w:t>
      </w:r>
      <w:r w:rsidR="00C65630" w:rsidRPr="005B4339">
        <w:rPr>
          <w:rFonts w:ascii="Times New Roman" w:hAnsi="Times New Roman" w:cs="Times New Roman"/>
          <w:noProof/>
          <w:sz w:val="24"/>
          <w:szCs w:val="24"/>
          <w:lang w:val="en-IE"/>
        </w:rPr>
        <w:t xml:space="preserve">is </w:t>
      </w:r>
      <w:r w:rsidRPr="005B4339">
        <w:rPr>
          <w:rFonts w:ascii="Times New Roman" w:hAnsi="Times New Roman" w:cs="Times New Roman"/>
          <w:noProof/>
          <w:sz w:val="24"/>
          <w:szCs w:val="24"/>
          <w:lang w:val="en-IE"/>
        </w:rPr>
        <w:t xml:space="preserve">a useful measure if it includes a clear scope on what products are included – and excluded – in the term </w:t>
      </w:r>
      <w:r w:rsidR="00F33301"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textiles</w:t>
      </w:r>
      <w:r w:rsidR="00F33301" w:rsidRPr="005B4339">
        <w:rPr>
          <w:rFonts w:ascii="Times New Roman" w:hAnsi="Times New Roman" w:cs="Times New Roman"/>
          <w:noProof/>
          <w:sz w:val="24"/>
          <w:szCs w:val="24"/>
          <w:lang w:val="en-IE"/>
        </w:rPr>
        <w:t>’</w:t>
      </w:r>
      <w:r w:rsidR="000B2234" w:rsidRPr="005B4339">
        <w:rPr>
          <w:rFonts w:ascii="Times New Roman" w:hAnsi="Times New Roman" w:cs="Times New Roman"/>
          <w:noProof/>
          <w:sz w:val="24"/>
          <w:szCs w:val="24"/>
          <w:lang w:val="en-IE"/>
        </w:rPr>
        <w:t xml:space="preserve"> for the purpose of the WFD and </w:t>
      </w:r>
      <w:r w:rsidR="007C4AC0"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would help to establish what is to be included in separate collections” </w:t>
      </w:r>
      <w:r w:rsidR="00105201" w:rsidRPr="005B4339">
        <w:rPr>
          <w:rStyle w:val="FootnoteReference"/>
          <w:rFonts w:ascii="Times New Roman" w:hAnsi="Times New Roman" w:cs="Times New Roman"/>
          <w:noProof/>
          <w:sz w:val="24"/>
          <w:szCs w:val="24"/>
          <w:lang w:val="en-IE"/>
        </w:rPr>
        <w:footnoteReference w:id="5"/>
      </w:r>
      <w:r w:rsidRPr="005B4339">
        <w:rPr>
          <w:rFonts w:ascii="Times New Roman" w:hAnsi="Times New Roman" w:cs="Times New Roman"/>
          <w:noProof/>
          <w:sz w:val="24"/>
          <w:szCs w:val="24"/>
          <w:lang w:val="en-IE"/>
        </w:rPr>
        <w:t xml:space="preserve">. </w:t>
      </w:r>
      <w:r w:rsidR="00EA44C9" w:rsidRPr="005B4339">
        <w:rPr>
          <w:rFonts w:ascii="Times New Roman" w:hAnsi="Times New Roman" w:cs="Times New Roman"/>
          <w:noProof/>
          <w:sz w:val="24"/>
          <w:szCs w:val="24"/>
          <w:lang w:val="en-IE"/>
        </w:rPr>
        <w:t xml:space="preserve">Stakeholders do not </w:t>
      </w:r>
      <w:r w:rsidR="000D3FB8" w:rsidRPr="005B4339">
        <w:rPr>
          <w:rFonts w:ascii="Times New Roman" w:hAnsi="Times New Roman" w:cs="Times New Roman"/>
          <w:noProof/>
          <w:sz w:val="24"/>
          <w:szCs w:val="24"/>
          <w:lang w:val="en-IE"/>
        </w:rPr>
        <w:t xml:space="preserve">think </w:t>
      </w:r>
      <w:r w:rsidR="007C4AC0" w:rsidRPr="005B4339">
        <w:rPr>
          <w:rFonts w:ascii="Times New Roman" w:hAnsi="Times New Roman" w:cs="Times New Roman"/>
          <w:noProof/>
          <w:sz w:val="24"/>
          <w:szCs w:val="24"/>
          <w:lang w:val="en-IE"/>
        </w:rPr>
        <w:t xml:space="preserve">it is necessary to </w:t>
      </w:r>
      <w:r w:rsidRPr="005B4339">
        <w:rPr>
          <w:rFonts w:ascii="Times New Roman" w:hAnsi="Times New Roman" w:cs="Times New Roman"/>
          <w:noProof/>
          <w:sz w:val="24"/>
          <w:szCs w:val="24"/>
          <w:lang w:val="en-IE"/>
        </w:rPr>
        <w:t>regulat</w:t>
      </w:r>
      <w:r w:rsidR="007C4AC0" w:rsidRPr="005B4339">
        <w:rPr>
          <w:rFonts w:ascii="Times New Roman" w:hAnsi="Times New Roman" w:cs="Times New Roman"/>
          <w:noProof/>
          <w:sz w:val="24"/>
          <w:szCs w:val="24"/>
          <w:lang w:val="en-IE"/>
        </w:rPr>
        <w:t>e</w:t>
      </w:r>
      <w:r w:rsidRPr="005B4339">
        <w:rPr>
          <w:rFonts w:ascii="Times New Roman" w:hAnsi="Times New Roman" w:cs="Times New Roman"/>
          <w:noProof/>
          <w:sz w:val="24"/>
          <w:szCs w:val="24"/>
          <w:lang w:val="en-IE"/>
        </w:rPr>
        <w:t xml:space="preserve"> how collections are carried out</w:t>
      </w:r>
      <w:r w:rsidR="000D3FB8" w:rsidRPr="005B4339">
        <w:rPr>
          <w:rFonts w:ascii="Times New Roman" w:hAnsi="Times New Roman" w:cs="Times New Roman"/>
          <w:noProof/>
          <w:sz w:val="24"/>
          <w:szCs w:val="24"/>
          <w:lang w:val="en-IE"/>
        </w:rPr>
        <w:t xml:space="preserve"> </w:t>
      </w:r>
      <w:r w:rsidR="007C4AC0" w:rsidRPr="005B4339">
        <w:rPr>
          <w:rFonts w:ascii="Times New Roman" w:hAnsi="Times New Roman" w:cs="Times New Roman"/>
          <w:noProof/>
          <w:sz w:val="24"/>
          <w:szCs w:val="24"/>
          <w:lang w:val="en-IE"/>
        </w:rPr>
        <w:t xml:space="preserve">but indicate that </w:t>
      </w:r>
      <w:r w:rsidRPr="005B4339">
        <w:rPr>
          <w:rFonts w:ascii="Times New Roman" w:hAnsi="Times New Roman" w:cs="Times New Roman"/>
          <w:noProof/>
          <w:sz w:val="24"/>
          <w:szCs w:val="24"/>
          <w:lang w:val="en-IE"/>
        </w:rPr>
        <w:t xml:space="preserve">a common scope </w:t>
      </w:r>
      <w:r w:rsidR="007C4AC0" w:rsidRPr="005B4339">
        <w:rPr>
          <w:rFonts w:ascii="Times New Roman" w:hAnsi="Times New Roman" w:cs="Times New Roman"/>
          <w:noProof/>
          <w:sz w:val="24"/>
          <w:szCs w:val="24"/>
          <w:lang w:val="en-IE"/>
        </w:rPr>
        <w:t xml:space="preserve">is </w:t>
      </w:r>
      <w:r w:rsidRPr="005B4339">
        <w:rPr>
          <w:rFonts w:ascii="Times New Roman" w:hAnsi="Times New Roman" w:cs="Times New Roman"/>
          <w:noProof/>
          <w:sz w:val="24"/>
          <w:szCs w:val="24"/>
          <w:lang w:val="en-IE"/>
        </w:rPr>
        <w:t xml:space="preserve">essential. </w:t>
      </w:r>
    </w:p>
    <w:p w14:paraId="467A83DF" w14:textId="37AE9142" w:rsidR="00105201" w:rsidRPr="005B4339" w:rsidRDefault="007C4AC0" w:rsidP="000B2234">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Stakeholders consider that </w:t>
      </w:r>
      <w:r w:rsidR="00C40CE0" w:rsidRPr="005B4339">
        <w:rPr>
          <w:rFonts w:ascii="Times New Roman" w:hAnsi="Times New Roman" w:cs="Times New Roman"/>
          <w:noProof/>
          <w:sz w:val="24"/>
          <w:szCs w:val="24"/>
          <w:lang w:val="en-IE"/>
        </w:rPr>
        <w:t xml:space="preserve">items </w:t>
      </w:r>
      <w:r w:rsidR="00105201" w:rsidRPr="005B4339">
        <w:rPr>
          <w:rFonts w:ascii="Times New Roman" w:hAnsi="Times New Roman" w:cs="Times New Roman"/>
          <w:noProof/>
          <w:sz w:val="24"/>
          <w:szCs w:val="24"/>
          <w:lang w:val="en-IE"/>
        </w:rPr>
        <w:t>thrown away</w:t>
      </w:r>
      <w:r w:rsidR="00C40CE0" w:rsidRPr="005B4339">
        <w:rPr>
          <w:rFonts w:ascii="Times New Roman" w:hAnsi="Times New Roman" w:cs="Times New Roman"/>
          <w:noProof/>
          <w:sz w:val="24"/>
          <w:szCs w:val="24"/>
          <w:lang w:val="en-IE"/>
        </w:rPr>
        <w:t xml:space="preserve"> should be </w:t>
      </w:r>
      <w:r w:rsidR="00105201" w:rsidRPr="005B4339">
        <w:rPr>
          <w:rFonts w:ascii="Times New Roman" w:hAnsi="Times New Roman" w:cs="Times New Roman"/>
          <w:noProof/>
          <w:sz w:val="24"/>
          <w:szCs w:val="24"/>
          <w:lang w:val="en-IE"/>
        </w:rPr>
        <w:t xml:space="preserve">deemed as waste. In </w:t>
      </w:r>
      <w:r w:rsidR="00814DE3" w:rsidRPr="005B4339">
        <w:rPr>
          <w:rFonts w:ascii="Times New Roman" w:hAnsi="Times New Roman" w:cs="Times New Roman"/>
          <w:noProof/>
          <w:sz w:val="24"/>
          <w:szCs w:val="24"/>
          <w:lang w:val="en-IE"/>
        </w:rPr>
        <w:t>a few</w:t>
      </w:r>
      <w:r w:rsidR="00105201" w:rsidRPr="005B4339">
        <w:rPr>
          <w:rFonts w:ascii="Times New Roman" w:hAnsi="Times New Roman" w:cs="Times New Roman"/>
          <w:noProof/>
          <w:sz w:val="24"/>
          <w:szCs w:val="24"/>
          <w:lang w:val="en-IE"/>
        </w:rPr>
        <w:t xml:space="preserve"> EU countries, </w:t>
      </w:r>
      <w:r w:rsidR="00814DE3" w:rsidRPr="005B4339">
        <w:rPr>
          <w:rFonts w:ascii="Times New Roman" w:hAnsi="Times New Roman" w:cs="Times New Roman"/>
          <w:noProof/>
          <w:sz w:val="24"/>
          <w:szCs w:val="24"/>
          <w:lang w:val="en-IE"/>
        </w:rPr>
        <w:t xml:space="preserve">there are </w:t>
      </w:r>
      <w:r w:rsidR="00105201" w:rsidRPr="005B4339">
        <w:rPr>
          <w:rFonts w:ascii="Times New Roman" w:hAnsi="Times New Roman" w:cs="Times New Roman"/>
          <w:noProof/>
          <w:sz w:val="24"/>
          <w:szCs w:val="24"/>
          <w:lang w:val="en-IE"/>
        </w:rPr>
        <w:t xml:space="preserve">bins for </w:t>
      </w:r>
      <w:r w:rsidR="00814DE3" w:rsidRPr="005B4339">
        <w:rPr>
          <w:rFonts w:ascii="Times New Roman" w:hAnsi="Times New Roman" w:cs="Times New Roman"/>
          <w:noProof/>
          <w:sz w:val="24"/>
          <w:szCs w:val="24"/>
          <w:lang w:val="en-IE"/>
        </w:rPr>
        <w:t>both</w:t>
      </w:r>
      <w:r w:rsidR="00105201" w:rsidRPr="005B4339">
        <w:rPr>
          <w:rFonts w:ascii="Times New Roman" w:hAnsi="Times New Roman" w:cs="Times New Roman"/>
          <w:noProof/>
          <w:sz w:val="24"/>
          <w:szCs w:val="24"/>
          <w:lang w:val="en-IE"/>
        </w:rPr>
        <w:t xml:space="preserve"> reusable and non-reusable textiles</w:t>
      </w:r>
      <w:r w:rsidR="0409A0AF" w:rsidRPr="005B4339">
        <w:rPr>
          <w:rFonts w:ascii="Times New Roman" w:hAnsi="Times New Roman" w:cs="Times New Roman"/>
          <w:noProof/>
          <w:sz w:val="24"/>
          <w:szCs w:val="24"/>
          <w:lang w:val="en-IE"/>
        </w:rPr>
        <w:t>,</w:t>
      </w:r>
      <w:r w:rsidR="00C40CE0" w:rsidRPr="005B4339">
        <w:rPr>
          <w:rFonts w:ascii="Times New Roman" w:hAnsi="Times New Roman" w:cs="Times New Roman"/>
          <w:noProof/>
          <w:sz w:val="24"/>
          <w:szCs w:val="24"/>
          <w:lang w:val="en-IE"/>
        </w:rPr>
        <w:t xml:space="preserve"> but these are </w:t>
      </w:r>
      <w:r w:rsidR="00105201" w:rsidRPr="005B4339">
        <w:rPr>
          <w:rFonts w:ascii="Times New Roman" w:hAnsi="Times New Roman" w:cs="Times New Roman"/>
          <w:noProof/>
          <w:sz w:val="24"/>
          <w:szCs w:val="24"/>
          <w:lang w:val="en-IE"/>
        </w:rPr>
        <w:t>often mixed-up by consumers. Th</w:t>
      </w:r>
      <w:r w:rsidR="00C40CE0" w:rsidRPr="005B4339">
        <w:rPr>
          <w:rFonts w:ascii="Times New Roman" w:hAnsi="Times New Roman" w:cs="Times New Roman"/>
          <w:noProof/>
          <w:sz w:val="24"/>
          <w:szCs w:val="24"/>
          <w:lang w:val="en-IE"/>
        </w:rPr>
        <w:t>e</w:t>
      </w:r>
      <w:r w:rsidR="00105201" w:rsidRPr="005B4339">
        <w:rPr>
          <w:rFonts w:ascii="Times New Roman" w:hAnsi="Times New Roman" w:cs="Times New Roman"/>
          <w:noProof/>
          <w:sz w:val="24"/>
          <w:szCs w:val="24"/>
          <w:lang w:val="en-IE"/>
        </w:rPr>
        <w:t xml:space="preserve"> sorting need</w:t>
      </w:r>
      <w:r w:rsidR="27B55539" w:rsidRPr="005B4339">
        <w:rPr>
          <w:rFonts w:ascii="Times New Roman" w:hAnsi="Times New Roman" w:cs="Times New Roman"/>
          <w:noProof/>
          <w:sz w:val="24"/>
          <w:szCs w:val="24"/>
          <w:lang w:val="en-IE"/>
        </w:rPr>
        <w:t>s</w:t>
      </w:r>
      <w:r w:rsidR="00105201" w:rsidRPr="005B4339">
        <w:rPr>
          <w:rFonts w:ascii="Times New Roman" w:hAnsi="Times New Roman" w:cs="Times New Roman"/>
          <w:noProof/>
          <w:sz w:val="24"/>
          <w:szCs w:val="24"/>
          <w:lang w:val="en-IE"/>
        </w:rPr>
        <w:t xml:space="preserve"> to be carried out by professional sorter</w:t>
      </w:r>
      <w:r w:rsidR="00C40CE0" w:rsidRPr="005B4339">
        <w:rPr>
          <w:rFonts w:ascii="Times New Roman" w:hAnsi="Times New Roman" w:cs="Times New Roman"/>
          <w:noProof/>
          <w:sz w:val="24"/>
          <w:szCs w:val="24"/>
          <w:lang w:val="en-IE"/>
        </w:rPr>
        <w:t>s</w:t>
      </w:r>
      <w:r w:rsidR="00105201" w:rsidRPr="005B4339">
        <w:rPr>
          <w:rFonts w:ascii="Times New Roman" w:hAnsi="Times New Roman" w:cs="Times New Roman"/>
          <w:noProof/>
          <w:sz w:val="24"/>
          <w:szCs w:val="24"/>
          <w:lang w:val="en-IE"/>
        </w:rPr>
        <w:t>, therefore better labelling and/or definitions might not resolve this. The same respondent considered that over-the-counter donations should also be considered waste because the fact that a product is donated for an economic purpose (potentially ruling it out of being considered waste) is important, but not a determining factor as there is an economic factor behind many choices, including recycling and to align it with economic element would mean nothing would ever be classed as waste.</w:t>
      </w:r>
    </w:p>
    <w:p w14:paraId="6521D94D" w14:textId="7BE4197B" w:rsidR="00105201" w:rsidRPr="005B4339" w:rsidRDefault="00105201" w:rsidP="006D0BA8">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All </w:t>
      </w:r>
      <w:r w:rsidR="00785184" w:rsidRPr="005B4339">
        <w:rPr>
          <w:rFonts w:ascii="Times New Roman" w:hAnsi="Times New Roman" w:cs="Times New Roman"/>
          <w:noProof/>
          <w:sz w:val="24"/>
          <w:szCs w:val="24"/>
          <w:lang w:val="en-IE"/>
        </w:rPr>
        <w:t>alternatives</w:t>
      </w:r>
      <w:r w:rsidRPr="005B4339">
        <w:rPr>
          <w:rFonts w:ascii="Times New Roman" w:hAnsi="Times New Roman" w:cs="Times New Roman"/>
          <w:noProof/>
          <w:sz w:val="24"/>
          <w:szCs w:val="24"/>
          <w:lang w:val="en-IE"/>
        </w:rPr>
        <w:t xml:space="preserve"> </w:t>
      </w:r>
      <w:r w:rsidR="00E323D1" w:rsidRPr="005B4339">
        <w:rPr>
          <w:rFonts w:ascii="Times New Roman" w:hAnsi="Times New Roman" w:cs="Times New Roman"/>
          <w:noProof/>
          <w:sz w:val="24"/>
          <w:szCs w:val="24"/>
          <w:lang w:val="en-IE"/>
        </w:rPr>
        <w:t xml:space="preserve">are </w:t>
      </w:r>
      <w:r w:rsidRPr="005B4339">
        <w:rPr>
          <w:rFonts w:ascii="Times New Roman" w:hAnsi="Times New Roman" w:cs="Times New Roman"/>
          <w:noProof/>
          <w:sz w:val="24"/>
          <w:szCs w:val="24"/>
          <w:lang w:val="en-IE"/>
        </w:rPr>
        <w:t>considered to be suitable alongside an EPR scheme.</w:t>
      </w:r>
    </w:p>
    <w:p w14:paraId="79D26676" w14:textId="06BCB21C" w:rsidR="00105201" w:rsidRPr="005B4339" w:rsidRDefault="00105201" w:rsidP="006D0BA8">
      <w:pPr>
        <w:spacing w:after="120"/>
        <w:rPr>
          <w:b/>
          <w:noProof/>
          <w:lang w:val="en-IE"/>
        </w:rPr>
      </w:pPr>
      <w:r w:rsidRPr="005B4339">
        <w:rPr>
          <w:b/>
          <w:noProof/>
          <w:lang w:val="en-IE"/>
        </w:rPr>
        <w:t xml:space="preserve">Assessment of impact </w:t>
      </w:r>
      <w:r w:rsidR="00300C6C" w:rsidRPr="005B4339">
        <w:rPr>
          <w:b/>
          <w:noProof/>
          <w:lang w:val="en-IE"/>
        </w:rPr>
        <w:t xml:space="preserve">alternative </w:t>
      </w:r>
      <w:r w:rsidRPr="005B4339">
        <w:rPr>
          <w:b/>
          <w:noProof/>
          <w:lang w:val="en-IE"/>
        </w:rPr>
        <w:t>2</w:t>
      </w:r>
    </w:p>
    <w:p w14:paraId="17B1BC8C" w14:textId="77777777" w:rsidR="00105201" w:rsidRPr="005B4339" w:rsidRDefault="00105201" w:rsidP="006D0BA8">
      <w:pPr>
        <w:spacing w:after="120"/>
        <w:rPr>
          <w:b/>
          <w:noProof/>
          <w:lang w:val="en-IE"/>
        </w:rPr>
      </w:pPr>
      <w:r w:rsidRPr="005B4339">
        <w:rPr>
          <w:b/>
          <w:noProof/>
          <w:lang w:val="en-IE"/>
        </w:rPr>
        <w:t>Economic impacts</w:t>
      </w:r>
    </w:p>
    <w:p w14:paraId="14BFEED4" w14:textId="758E63FC" w:rsidR="006A47B8" w:rsidRPr="005B4339" w:rsidRDefault="00105201" w:rsidP="00536939">
      <w:pPr>
        <w:spacing w:after="120"/>
        <w:rPr>
          <w:noProof/>
          <w:lang w:val="en-IE"/>
        </w:rPr>
      </w:pPr>
      <w:r w:rsidRPr="005B4339">
        <w:rPr>
          <w:noProof/>
          <w:lang w:val="en-IE"/>
        </w:rPr>
        <w:t xml:space="preserve">Setting a definition in keeping with the CN Regulation would provide a definitive list of textiles for the purpose of the WFD. The CN codes themselves provide a list by which producers of </w:t>
      </w:r>
      <w:r w:rsidR="00AE3EF2" w:rsidRPr="005B4339">
        <w:rPr>
          <w:noProof/>
          <w:lang w:val="en-IE"/>
        </w:rPr>
        <w:t xml:space="preserve">post-industrial pre-consumer and </w:t>
      </w:r>
      <w:r w:rsidRPr="005B4339">
        <w:rPr>
          <w:noProof/>
          <w:lang w:val="en-IE"/>
        </w:rPr>
        <w:t>post-consumer commercial textile</w:t>
      </w:r>
      <w:r w:rsidR="00AE3EF2" w:rsidRPr="005B4339">
        <w:rPr>
          <w:noProof/>
          <w:lang w:val="en-IE"/>
        </w:rPr>
        <w:t>s</w:t>
      </w:r>
      <w:r w:rsidRPr="005B4339">
        <w:rPr>
          <w:noProof/>
          <w:lang w:val="en-IE"/>
        </w:rPr>
        <w:t xml:space="preserve"> waste would be addressed by the codes addressing raw, semi-worked, worked, semi-manufactured, manufactured, semi-made-up or made-up products (generally chapters 50, 51, 52, 53, 54, 55, part of 56, 57 (with the exception of turf), 58 and 60) whilst post-consumer </w:t>
      </w:r>
      <w:r w:rsidR="00DB0DA6" w:rsidRPr="005B4339">
        <w:rPr>
          <w:noProof/>
          <w:lang w:val="en-IE"/>
        </w:rPr>
        <w:t xml:space="preserve">household </w:t>
      </w:r>
      <w:r w:rsidRPr="005B4339">
        <w:rPr>
          <w:noProof/>
          <w:lang w:val="en-IE"/>
        </w:rPr>
        <w:t>waste should be easily identifiable using the codes under chapters 60, 61, 62, parts of 63 and parts of 65</w:t>
      </w:r>
      <w:r w:rsidR="00DB0DA6" w:rsidRPr="005B4339">
        <w:rPr>
          <w:noProof/>
          <w:lang w:val="en-IE"/>
        </w:rPr>
        <w:t>. D</w:t>
      </w:r>
      <w:r w:rsidRPr="005B4339">
        <w:rPr>
          <w:noProof/>
          <w:lang w:val="en-IE"/>
        </w:rPr>
        <w:t xml:space="preserve">escriptions like ‘overcoats’, ‘shirts and blouses’ and the like being generally understandable to consumers discarding textiles as well for those who are likely to be involved in the subsequent treatment of textiles under the WFD. This </w:t>
      </w:r>
      <w:r w:rsidR="006A04DF" w:rsidRPr="005B4339">
        <w:rPr>
          <w:noProof/>
          <w:lang w:val="en-IE"/>
        </w:rPr>
        <w:t xml:space="preserve">improved delineation </w:t>
      </w:r>
      <w:r w:rsidR="00233C22" w:rsidRPr="005B4339">
        <w:rPr>
          <w:noProof/>
          <w:lang w:val="en-IE"/>
        </w:rPr>
        <w:t xml:space="preserve">of </w:t>
      </w:r>
      <w:r w:rsidRPr="005B4339">
        <w:rPr>
          <w:noProof/>
          <w:lang w:val="en-IE"/>
        </w:rPr>
        <w:t xml:space="preserve">textile products </w:t>
      </w:r>
      <w:r w:rsidR="00233C22" w:rsidRPr="005B4339">
        <w:rPr>
          <w:noProof/>
          <w:lang w:val="en-IE"/>
        </w:rPr>
        <w:t xml:space="preserve">covered by </w:t>
      </w:r>
      <w:r w:rsidR="0085237D" w:rsidRPr="005B4339">
        <w:rPr>
          <w:noProof/>
          <w:lang w:val="en-IE"/>
        </w:rPr>
        <w:t xml:space="preserve">the WFD </w:t>
      </w:r>
      <w:r w:rsidR="00233C22" w:rsidRPr="005B4339">
        <w:rPr>
          <w:noProof/>
          <w:lang w:val="en-IE"/>
        </w:rPr>
        <w:t xml:space="preserve">- </w:t>
      </w:r>
      <w:r w:rsidR="0085237D" w:rsidRPr="005B4339">
        <w:rPr>
          <w:noProof/>
          <w:lang w:val="en-IE"/>
        </w:rPr>
        <w:t xml:space="preserve">and subsequent national provisions </w:t>
      </w:r>
      <w:r w:rsidR="00233C22" w:rsidRPr="005B4339">
        <w:rPr>
          <w:noProof/>
          <w:lang w:val="en-IE"/>
        </w:rPr>
        <w:t xml:space="preserve">- </w:t>
      </w:r>
      <w:r w:rsidRPr="005B4339">
        <w:rPr>
          <w:noProof/>
          <w:lang w:val="en-IE"/>
        </w:rPr>
        <w:t>would enable a level playing field as it would provide a common understanding of the scope of textiles and textile waste</w:t>
      </w:r>
      <w:r w:rsidR="0085237D" w:rsidRPr="005B4339">
        <w:rPr>
          <w:noProof/>
          <w:lang w:val="en-IE"/>
        </w:rPr>
        <w:t xml:space="preserve"> in comparison to </w:t>
      </w:r>
      <w:r w:rsidR="00233C22" w:rsidRPr="005B4339">
        <w:rPr>
          <w:noProof/>
          <w:lang w:val="en-IE"/>
        </w:rPr>
        <w:t xml:space="preserve">the </w:t>
      </w:r>
      <w:r w:rsidR="0085237D" w:rsidRPr="005B4339">
        <w:rPr>
          <w:noProof/>
          <w:lang w:val="en-IE"/>
        </w:rPr>
        <w:t>present</w:t>
      </w:r>
      <w:r w:rsidR="006A47B8" w:rsidRPr="005B4339">
        <w:rPr>
          <w:noProof/>
          <w:lang w:val="en-IE"/>
        </w:rPr>
        <w:t xml:space="preserve">. It would also </w:t>
      </w:r>
      <w:r w:rsidRPr="005B4339">
        <w:rPr>
          <w:noProof/>
          <w:lang w:val="en-IE"/>
        </w:rPr>
        <w:t xml:space="preserve">allow more targeted action to be put in place in comparison to </w:t>
      </w:r>
      <w:r w:rsidR="00661761" w:rsidRPr="005B4339">
        <w:rPr>
          <w:noProof/>
          <w:lang w:val="en-IE"/>
        </w:rPr>
        <w:t>alternative</w:t>
      </w:r>
      <w:r w:rsidRPr="005B4339">
        <w:rPr>
          <w:noProof/>
          <w:lang w:val="en-IE"/>
        </w:rPr>
        <w:t xml:space="preserve"> 1 that would address a broader and less clearly delineated set of textiles. </w:t>
      </w:r>
      <w:r w:rsidR="006A47B8" w:rsidRPr="005B4339">
        <w:rPr>
          <w:noProof/>
          <w:lang w:val="en-IE"/>
        </w:rPr>
        <w:t>Economically, this would ensure that action is focussed on those textiles that warrant action under the WFD and ensure a level playing field across the EU in terms of what is required of Member States</w:t>
      </w:r>
      <w:r w:rsidR="00B4752F" w:rsidRPr="005B4339">
        <w:rPr>
          <w:noProof/>
          <w:lang w:val="en-IE"/>
        </w:rPr>
        <w:t>.</w:t>
      </w:r>
    </w:p>
    <w:p w14:paraId="6FF60F29" w14:textId="2FCC9677" w:rsidR="00B537DA" w:rsidRPr="005B4339" w:rsidRDefault="00555E92" w:rsidP="00105201">
      <w:pPr>
        <w:rPr>
          <w:noProof/>
          <w:lang w:val="en-IE"/>
        </w:rPr>
      </w:pPr>
      <w:r w:rsidRPr="005B4339">
        <w:rPr>
          <w:noProof/>
          <w:lang w:val="en-IE"/>
        </w:rPr>
        <w:lastRenderedPageBreak/>
        <w:t xml:space="preserve">Similarly to </w:t>
      </w:r>
      <w:r w:rsidR="00536939" w:rsidRPr="005B4339">
        <w:rPr>
          <w:noProof/>
          <w:lang w:val="en-IE"/>
        </w:rPr>
        <w:t>A</w:t>
      </w:r>
      <w:r w:rsidR="00B537DA" w:rsidRPr="005B4339">
        <w:rPr>
          <w:noProof/>
          <w:lang w:val="en-IE"/>
        </w:rPr>
        <w:t>lternative 1</w:t>
      </w:r>
      <w:r w:rsidRPr="005B4339">
        <w:rPr>
          <w:noProof/>
          <w:lang w:val="en-IE"/>
        </w:rPr>
        <w:t>, since</w:t>
      </w:r>
      <w:r w:rsidR="00B537DA" w:rsidRPr="005B4339">
        <w:rPr>
          <w:noProof/>
          <w:lang w:val="en-IE"/>
        </w:rPr>
        <w:t xml:space="preserve"> the existing waste regime </w:t>
      </w:r>
      <w:r w:rsidRPr="005B4339">
        <w:rPr>
          <w:noProof/>
          <w:lang w:val="en-IE"/>
        </w:rPr>
        <w:t>already</w:t>
      </w:r>
      <w:r w:rsidR="00B537DA" w:rsidRPr="005B4339">
        <w:rPr>
          <w:noProof/>
          <w:lang w:val="en-IE"/>
        </w:rPr>
        <w:t xml:space="preserve"> requires waste producer</w:t>
      </w:r>
      <w:r w:rsidRPr="005B4339">
        <w:rPr>
          <w:noProof/>
          <w:lang w:val="en-IE"/>
        </w:rPr>
        <w:t>s to</w:t>
      </w:r>
      <w:r w:rsidR="00B537DA" w:rsidRPr="005B4339">
        <w:rPr>
          <w:noProof/>
          <w:lang w:val="en-IE"/>
        </w:rPr>
        <w:t xml:space="preserve"> treat the</w:t>
      </w:r>
      <w:r w:rsidRPr="005B4339">
        <w:rPr>
          <w:noProof/>
          <w:lang w:val="en-IE"/>
        </w:rPr>
        <w:t>ir</w:t>
      </w:r>
      <w:r w:rsidR="00B537DA" w:rsidRPr="005B4339">
        <w:rPr>
          <w:noProof/>
          <w:lang w:val="en-IE"/>
        </w:rPr>
        <w:t xml:space="preserve"> waste in line with the waste hierarchy</w:t>
      </w:r>
      <w:r w:rsidRPr="005B4339">
        <w:rPr>
          <w:noProof/>
          <w:lang w:val="en-IE"/>
        </w:rPr>
        <w:t xml:space="preserve">, </w:t>
      </w:r>
      <w:r w:rsidR="00B537DA" w:rsidRPr="005B4339">
        <w:rPr>
          <w:noProof/>
          <w:lang w:val="en-IE"/>
        </w:rPr>
        <w:t xml:space="preserve">it is expected that there would be no </w:t>
      </w:r>
      <w:r w:rsidR="00453EFC" w:rsidRPr="005B4339">
        <w:rPr>
          <w:noProof/>
          <w:lang w:val="en-IE"/>
        </w:rPr>
        <w:t xml:space="preserve">or only insignificant </w:t>
      </w:r>
      <w:r w:rsidR="00B537DA" w:rsidRPr="005B4339">
        <w:rPr>
          <w:noProof/>
          <w:lang w:val="en-IE"/>
        </w:rPr>
        <w:t>additional costs resulting from this alternative in comparison to the baseline.</w:t>
      </w:r>
    </w:p>
    <w:p w14:paraId="068D1A95" w14:textId="197D8F58" w:rsidR="009F20EA" w:rsidRPr="005B4339" w:rsidRDefault="009F20EA" w:rsidP="009F20EA">
      <w:pPr>
        <w:rPr>
          <w:noProof/>
          <w:lang w:val="en-IE"/>
        </w:rPr>
      </w:pPr>
      <w:r w:rsidRPr="005B4339">
        <w:rPr>
          <w:noProof/>
          <w:lang w:val="en-IE"/>
        </w:rPr>
        <w:t>The impacts in terms of volumes of textile wastes separately collected, sorted and treated would be dependent on the final scope of CN codes included under this measure.  If the scope remained similar to the scope currently employed by Member States (i.e. with a focus on post-consumer clothing and household textiles) flows would be unlikely to vary in comparison to the baseline. However, should additional textile types be included then the collection, sorting and treatment of those textiles would be expected to increase in keeping with obligations that currently apply to textiles including the separate collection obligation under Article 11.  Whilst an increase would be expected, it has not been possible to quantify the potential increase in tonnes as not all Member States have provided details as to the scope of textiles that they currently consider in their own textile management schemes to allow such quantification to take place.</w:t>
      </w:r>
    </w:p>
    <w:p w14:paraId="6FFCF3EB" w14:textId="55F6C273" w:rsidR="002D736A" w:rsidRPr="005B4339" w:rsidRDefault="002D736A" w:rsidP="002D736A">
      <w:pPr>
        <w:spacing w:after="120"/>
        <w:rPr>
          <w:noProof/>
          <w:lang w:val="en-IE"/>
        </w:rPr>
      </w:pPr>
      <w:r w:rsidRPr="005B4339">
        <w:rPr>
          <w:noProof/>
          <w:lang w:val="en-IE"/>
        </w:rPr>
        <w:t>Footwear and leather clothing and apparel would be included under this definition. Given that these types of goods have proven to have been captured in the systems employed by Member States for textile goods their inclusion under this option would allow Member States to continue to collect some materials for the purpose of compliance with the requirements of the WFD that apply to textile goods overall.  This would avoid a situation whereby Member States may otherwise feel the need to employ separate systems for such clothing and apparel that is unlikely to be economically viable given the relatively small quantities concerned.</w:t>
      </w:r>
    </w:p>
    <w:p w14:paraId="644D5A46" w14:textId="53595769" w:rsidR="009F20EA" w:rsidRPr="005B4339" w:rsidRDefault="009F20EA" w:rsidP="00105201">
      <w:pPr>
        <w:rPr>
          <w:noProof/>
          <w:lang w:val="en-IE"/>
        </w:rPr>
      </w:pPr>
      <w:r w:rsidRPr="005B4339">
        <w:rPr>
          <w:noProof/>
          <w:lang w:val="en-IE"/>
        </w:rPr>
        <w:t xml:space="preserve">Similarly, any addition in scope would entail additional collection, sorting and treatment. As for Alternative 1,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general taxation.  Similarly for </w:t>
      </w:r>
      <w:r w:rsidR="00CA74EC" w:rsidRPr="005B4339">
        <w:rPr>
          <w:noProof/>
          <w:lang w:val="en-IE"/>
        </w:rPr>
        <w:t>A</w:t>
      </w:r>
      <w:r w:rsidRPr="005B4339">
        <w:rPr>
          <w:noProof/>
          <w:lang w:val="en-IE"/>
        </w:rPr>
        <w:t>lternative 1, the additional costs are likely to fall around 0.6% of total product cost with the application of those costs being absorbed by the producer, being passed on to the consumer or a mix of both.</w:t>
      </w:r>
    </w:p>
    <w:p w14:paraId="0F7964C6" w14:textId="3E908B37" w:rsidR="00105201" w:rsidRPr="005B4339" w:rsidRDefault="00105201" w:rsidP="006A47B8">
      <w:pPr>
        <w:spacing w:after="120"/>
        <w:rPr>
          <w:b/>
          <w:noProof/>
          <w:lang w:val="en-IE"/>
        </w:rPr>
      </w:pPr>
      <w:r w:rsidRPr="005B4339">
        <w:rPr>
          <w:b/>
          <w:noProof/>
          <w:lang w:val="en-IE"/>
        </w:rPr>
        <w:t>Environmental impacts</w:t>
      </w:r>
    </w:p>
    <w:p w14:paraId="3F1BCB88" w14:textId="532787A7" w:rsidR="00105201" w:rsidRPr="005B4339" w:rsidRDefault="00105201" w:rsidP="006D0BA8">
      <w:pPr>
        <w:spacing w:after="120"/>
        <w:rPr>
          <w:noProof/>
          <w:lang w:val="en-IE"/>
        </w:rPr>
      </w:pPr>
      <w:r w:rsidRPr="005B4339">
        <w:rPr>
          <w:noProof/>
          <w:lang w:val="en-IE"/>
        </w:rPr>
        <w:t>The definition would include raw, semi-worked, worked, semi-manufactured, manufactured, semi-made-up or made-up products encompassing a broad range of textile goods including, for example, yarns, floor coverings and carpets and would make clear that action to mitigate the environmental impacts of this broad family of textiles should be taken addressing both pre-consumer and post-consumer textiles.</w:t>
      </w:r>
      <w:r w:rsidR="00457FB1" w:rsidRPr="005B4339">
        <w:rPr>
          <w:noProof/>
          <w:lang w:val="en-IE"/>
        </w:rPr>
        <w:t xml:space="preserve"> This would mean that the separate collection provisions of Article 11(1) for which the majority of Member States have targeted clothing and household textiles could be defined as significantly broader, obliging Member States to provide for separate collection of other textiles types with the expected environmental benefit from greater levels of separate collection being higher levels of reuse and / or recycling of those materials than at present.</w:t>
      </w:r>
    </w:p>
    <w:p w14:paraId="285C04D0" w14:textId="20E797D1" w:rsidR="00105201" w:rsidRPr="005B4339" w:rsidRDefault="00105201" w:rsidP="006D0BA8">
      <w:pPr>
        <w:spacing w:after="120"/>
        <w:rPr>
          <w:noProof/>
          <w:lang w:val="en-IE"/>
        </w:rPr>
      </w:pPr>
      <w:r w:rsidRPr="005B4339">
        <w:rPr>
          <w:noProof/>
          <w:lang w:val="en-IE"/>
        </w:rPr>
        <w:lastRenderedPageBreak/>
        <w:t xml:space="preserve">In comparison to </w:t>
      </w:r>
      <w:r w:rsidR="00F324A3" w:rsidRPr="005B4339">
        <w:rPr>
          <w:noProof/>
          <w:lang w:val="en-IE"/>
        </w:rPr>
        <w:t>alternative</w:t>
      </w:r>
      <w:r w:rsidRPr="005B4339">
        <w:rPr>
          <w:noProof/>
          <w:lang w:val="en-IE"/>
        </w:rPr>
        <w:t xml:space="preserve"> 1</w:t>
      </w:r>
      <w:r w:rsidR="006A47B8" w:rsidRPr="005B4339">
        <w:rPr>
          <w:noProof/>
          <w:lang w:val="en-IE"/>
        </w:rPr>
        <w:t xml:space="preserve">, </w:t>
      </w:r>
      <w:r w:rsidR="00F324A3" w:rsidRPr="005B4339">
        <w:rPr>
          <w:noProof/>
          <w:lang w:val="en-IE"/>
        </w:rPr>
        <w:t xml:space="preserve">alternative </w:t>
      </w:r>
      <w:r w:rsidR="006A47B8" w:rsidRPr="005B4339">
        <w:rPr>
          <w:noProof/>
          <w:lang w:val="en-IE"/>
        </w:rPr>
        <w:t>2 offers</w:t>
      </w:r>
      <w:r w:rsidRPr="005B4339">
        <w:rPr>
          <w:noProof/>
          <w:lang w:val="en-IE"/>
        </w:rPr>
        <w:t xml:space="preserve"> the opportunity to include additional specific </w:t>
      </w:r>
      <w:r w:rsidR="00457FB1" w:rsidRPr="005B4339">
        <w:rPr>
          <w:noProof/>
          <w:lang w:val="en-IE"/>
        </w:rPr>
        <w:t>products</w:t>
      </w:r>
      <w:r w:rsidRPr="005B4339">
        <w:rPr>
          <w:noProof/>
          <w:lang w:val="en-IE"/>
        </w:rPr>
        <w:t xml:space="preserve"> such as entire mattresses, umbrellas and textile covered furniture by referring to the relevant applicable CN code allowing the environmental impacts of these specific product types to be addressed under the already existing obligation for separate collection under Article 11(1).</w:t>
      </w:r>
    </w:p>
    <w:p w14:paraId="6D316252" w14:textId="6BBBF8A1" w:rsidR="00105201" w:rsidRPr="005B4339" w:rsidRDefault="00105201" w:rsidP="00105201">
      <w:pPr>
        <w:rPr>
          <w:noProof/>
          <w:lang w:val="en-IE"/>
        </w:rPr>
      </w:pPr>
      <w:r w:rsidRPr="005B4339">
        <w:rPr>
          <w:noProof/>
          <w:lang w:val="en-IE"/>
        </w:rPr>
        <w:t xml:space="preserve">As outlined in the </w:t>
      </w:r>
      <w:r w:rsidR="00FD2F31" w:rsidRPr="005B4339">
        <w:rPr>
          <w:noProof/>
          <w:lang w:val="en-IE"/>
        </w:rPr>
        <w:t>description of</w:t>
      </w:r>
      <w:r w:rsidRPr="005B4339">
        <w:rPr>
          <w:noProof/>
          <w:lang w:val="en-IE"/>
        </w:rPr>
        <w:t xml:space="preserve"> </w:t>
      </w:r>
      <w:r w:rsidR="00F324A3" w:rsidRPr="005B4339">
        <w:rPr>
          <w:noProof/>
          <w:lang w:val="en-IE"/>
        </w:rPr>
        <w:t xml:space="preserve">alternative </w:t>
      </w:r>
      <w:r w:rsidRPr="005B4339">
        <w:rPr>
          <w:noProof/>
          <w:lang w:val="en-IE"/>
        </w:rPr>
        <w:t xml:space="preserve">3, the WFD applies to a broad range of wastes with only certain exclusions as outlined in Article 2. Defining textiles based on a limited number of CN codes poses the risk of unnecessarily restricting the scope of measures for textiles under the WFD, thereby preventing action being taken on other problematic textile and textile like wastes. A long list has been drawn up as included in </w:t>
      </w:r>
      <w:r w:rsidR="00376279" w:rsidRPr="005B4339">
        <w:rPr>
          <w:noProof/>
          <w:lang w:val="en-IE"/>
        </w:rPr>
        <w:t>Table 39</w:t>
      </w:r>
      <w:r w:rsidRPr="005B4339">
        <w:rPr>
          <w:noProof/>
          <w:lang w:val="en-IE"/>
        </w:rPr>
        <w:t xml:space="preserve"> but there may be additional materials containing textiles – for example Chapter 94 that includes furniture – that may warrant action that would be excluded </w:t>
      </w:r>
      <w:r w:rsidR="00FD2F31" w:rsidRPr="005B4339">
        <w:rPr>
          <w:noProof/>
          <w:lang w:val="en-IE"/>
        </w:rPr>
        <w:t xml:space="preserve">in </w:t>
      </w:r>
      <w:r w:rsidR="00F324A3" w:rsidRPr="005B4339">
        <w:rPr>
          <w:noProof/>
          <w:lang w:val="en-IE"/>
        </w:rPr>
        <w:t xml:space="preserve">alternative </w:t>
      </w:r>
      <w:r w:rsidR="00FD2F31" w:rsidRPr="005B4339">
        <w:rPr>
          <w:noProof/>
          <w:lang w:val="en-IE"/>
        </w:rPr>
        <w:t>2</w:t>
      </w:r>
      <w:r w:rsidRPr="005B4339">
        <w:rPr>
          <w:noProof/>
          <w:lang w:val="en-IE"/>
        </w:rPr>
        <w:t>. A possible</w:t>
      </w:r>
      <w:r w:rsidR="00FD2F31" w:rsidRPr="005B4339">
        <w:rPr>
          <w:noProof/>
          <w:lang w:val="en-IE"/>
        </w:rPr>
        <w:t xml:space="preserve"> solution</w:t>
      </w:r>
      <w:r w:rsidRPr="005B4339">
        <w:rPr>
          <w:noProof/>
          <w:lang w:val="en-IE"/>
        </w:rPr>
        <w:t xml:space="preserve"> to address this would </w:t>
      </w:r>
      <w:r w:rsidR="00FD2F31" w:rsidRPr="005B4339">
        <w:rPr>
          <w:noProof/>
          <w:lang w:val="en-IE"/>
        </w:rPr>
        <w:t xml:space="preserve">be </w:t>
      </w:r>
      <w:r w:rsidRPr="005B4339">
        <w:rPr>
          <w:noProof/>
          <w:lang w:val="en-IE"/>
        </w:rPr>
        <w:t>to make the list under this option progressive i.e.</w:t>
      </w:r>
      <w:r w:rsidR="00376279" w:rsidRPr="005B4339">
        <w:rPr>
          <w:noProof/>
          <w:lang w:val="en-IE"/>
        </w:rPr>
        <w:t>,</w:t>
      </w:r>
      <w:r w:rsidRPr="005B4339">
        <w:rPr>
          <w:noProof/>
          <w:lang w:val="en-IE"/>
        </w:rPr>
        <w:t xml:space="preserve"> the list could </w:t>
      </w:r>
      <w:r w:rsidR="00376279" w:rsidRPr="005B4339">
        <w:rPr>
          <w:noProof/>
          <w:lang w:val="en-IE"/>
        </w:rPr>
        <w:t xml:space="preserve">subsequently be </w:t>
      </w:r>
      <w:r w:rsidR="00FD2F31" w:rsidRPr="005B4339">
        <w:rPr>
          <w:noProof/>
          <w:lang w:val="en-IE"/>
        </w:rPr>
        <w:t>complemented</w:t>
      </w:r>
      <w:r w:rsidRPr="005B4339">
        <w:rPr>
          <w:noProof/>
          <w:lang w:val="en-IE"/>
        </w:rPr>
        <w:t xml:space="preserve"> as other textile containing products are identified that warrant action to address the waste management challenges associated with them.</w:t>
      </w:r>
    </w:p>
    <w:p w14:paraId="1A95DDED" w14:textId="77777777" w:rsidR="00105201" w:rsidRPr="005B4339" w:rsidRDefault="00105201" w:rsidP="006D0BA8">
      <w:pPr>
        <w:spacing w:after="120"/>
        <w:rPr>
          <w:b/>
          <w:noProof/>
          <w:lang w:val="en-IE"/>
        </w:rPr>
      </w:pPr>
      <w:r w:rsidRPr="005B4339">
        <w:rPr>
          <w:b/>
          <w:noProof/>
          <w:lang w:val="en-IE"/>
        </w:rPr>
        <w:t>Social impacts</w:t>
      </w:r>
    </w:p>
    <w:p w14:paraId="0B1753E8" w14:textId="32DEC84C" w:rsidR="00105201" w:rsidRPr="005B4339" w:rsidRDefault="00105201" w:rsidP="003D6486">
      <w:pPr>
        <w:rPr>
          <w:noProof/>
          <w:lang w:val="en-IE"/>
        </w:rPr>
      </w:pPr>
      <w:r w:rsidRPr="005B4339">
        <w:rPr>
          <w:noProof/>
          <w:lang w:val="en-IE"/>
        </w:rPr>
        <w:t>A clearer understanding of what textiles means in relation to the WFD is also likely to lead to better and more realistic data being collected whilst supporting a more level playing field between Member States. This would benefit all stakeholders including public administrations, businesses and citizens.</w:t>
      </w:r>
      <w:r w:rsidR="00232365" w:rsidRPr="005B4339">
        <w:rPr>
          <w:noProof/>
          <w:lang w:val="en-IE"/>
        </w:rPr>
        <w:t xml:space="preserve"> </w:t>
      </w:r>
      <w:r w:rsidRPr="005B4339">
        <w:rPr>
          <w:noProof/>
          <w:lang w:val="en-IE"/>
        </w:rPr>
        <w:t xml:space="preserve">The ability to </w:t>
      </w:r>
      <w:r w:rsidR="00232365" w:rsidRPr="005B4339">
        <w:rPr>
          <w:noProof/>
          <w:lang w:val="en-IE"/>
        </w:rPr>
        <w:t>identify</w:t>
      </w:r>
      <w:r w:rsidRPr="005B4339">
        <w:rPr>
          <w:noProof/>
          <w:lang w:val="en-IE"/>
        </w:rPr>
        <w:t xml:space="preserve"> textiles </w:t>
      </w:r>
      <w:r w:rsidR="00232365" w:rsidRPr="005B4339">
        <w:rPr>
          <w:noProof/>
          <w:lang w:val="en-IE"/>
        </w:rPr>
        <w:t xml:space="preserve">by </w:t>
      </w:r>
      <w:r w:rsidRPr="005B4339">
        <w:rPr>
          <w:noProof/>
          <w:lang w:val="en-IE"/>
        </w:rPr>
        <w:t xml:space="preserve">specific codes, in theory at least, allows greater </w:t>
      </w:r>
      <w:r w:rsidR="00232365" w:rsidRPr="005B4339">
        <w:rPr>
          <w:noProof/>
          <w:lang w:val="en-IE"/>
        </w:rPr>
        <w:t>precision of textiles and textiles waste</w:t>
      </w:r>
      <w:r w:rsidRPr="005B4339">
        <w:rPr>
          <w:noProof/>
          <w:lang w:val="en-IE"/>
        </w:rPr>
        <w:t xml:space="preserve"> reporting </w:t>
      </w:r>
      <w:r w:rsidR="00232365" w:rsidRPr="005B4339">
        <w:rPr>
          <w:noProof/>
          <w:lang w:val="en-IE"/>
        </w:rPr>
        <w:t xml:space="preserve">according to the </w:t>
      </w:r>
      <w:r w:rsidRPr="005B4339">
        <w:rPr>
          <w:noProof/>
          <w:lang w:val="en-IE"/>
        </w:rPr>
        <w:t xml:space="preserve">CN code. However, whilst this granularity would provide more helpful information, requiring reporting </w:t>
      </w:r>
      <w:r w:rsidR="00232365" w:rsidRPr="005B4339">
        <w:rPr>
          <w:noProof/>
          <w:lang w:val="en-IE"/>
        </w:rPr>
        <w:t xml:space="preserve">for all the </w:t>
      </w:r>
      <w:r w:rsidRPr="005B4339">
        <w:rPr>
          <w:noProof/>
          <w:lang w:val="en-IE"/>
        </w:rPr>
        <w:t>CN codes suggested for inclusion</w:t>
      </w:r>
      <w:r w:rsidR="003D6486" w:rsidRPr="005B4339">
        <w:rPr>
          <w:noProof/>
          <w:lang w:val="en-IE"/>
        </w:rPr>
        <w:t xml:space="preserve"> as the definition of ‘textiles’</w:t>
      </w:r>
      <w:r w:rsidRPr="005B4339">
        <w:rPr>
          <w:noProof/>
          <w:lang w:val="en-IE"/>
        </w:rPr>
        <w:t xml:space="preserve"> is likely to prove overly burdensome in comparison to the usefulness of the data collected.</w:t>
      </w:r>
    </w:p>
    <w:p w14:paraId="18FA92EC" w14:textId="77777777" w:rsidR="00105201" w:rsidRPr="005B4339" w:rsidRDefault="00105201" w:rsidP="003D6486">
      <w:pPr>
        <w:spacing w:after="120"/>
        <w:rPr>
          <w:b/>
          <w:noProof/>
          <w:lang w:val="en-IE"/>
        </w:rPr>
      </w:pPr>
      <w:r w:rsidRPr="005B4339">
        <w:rPr>
          <w:b/>
          <w:noProof/>
          <w:lang w:val="en-IE"/>
        </w:rPr>
        <w:t>Administrative burden</w:t>
      </w:r>
    </w:p>
    <w:p w14:paraId="1F2B0303" w14:textId="252D9357" w:rsidR="00105201" w:rsidRPr="005B4339" w:rsidRDefault="00105201" w:rsidP="006D0BA8">
      <w:pPr>
        <w:pStyle w:val="WDBody"/>
        <w:spacing w:after="240" w:line="240" w:lineRule="auto"/>
        <w:jc w:val="both"/>
        <w:rPr>
          <w:rFonts w:ascii="Times New Roman" w:hAnsi="Times New Roman" w:cs="Times New Roman"/>
          <w:i/>
          <w:noProof/>
          <w:sz w:val="24"/>
          <w:szCs w:val="24"/>
          <w:lang w:val="en-IE"/>
        </w:rPr>
      </w:pPr>
      <w:r w:rsidRPr="005B4339">
        <w:rPr>
          <w:rFonts w:ascii="Times New Roman" w:hAnsi="Times New Roman" w:cs="Times New Roman"/>
          <w:noProof/>
          <w:sz w:val="24"/>
          <w:szCs w:val="24"/>
          <w:lang w:val="en-IE"/>
        </w:rPr>
        <w:t xml:space="preserve">As is the case for </w:t>
      </w:r>
      <w:r w:rsidR="00F324A3" w:rsidRPr="005B4339">
        <w:rPr>
          <w:rFonts w:ascii="Times New Roman" w:hAnsi="Times New Roman" w:cs="Times New Roman"/>
          <w:noProof/>
          <w:sz w:val="24"/>
          <w:szCs w:val="24"/>
          <w:lang w:val="en-IE"/>
        </w:rPr>
        <w:t xml:space="preserve">alternative </w:t>
      </w:r>
      <w:r w:rsidRPr="005B4339">
        <w:rPr>
          <w:rFonts w:ascii="Times New Roman" w:hAnsi="Times New Roman" w:cs="Times New Roman"/>
          <w:noProof/>
          <w:sz w:val="24"/>
          <w:szCs w:val="24"/>
          <w:lang w:val="en-IE"/>
        </w:rPr>
        <w:t xml:space="preserve">1, a clarification of </w:t>
      </w:r>
      <w:r w:rsidR="003D6486" w:rsidRPr="005B4339">
        <w:rPr>
          <w:rFonts w:ascii="Times New Roman" w:hAnsi="Times New Roman" w:cs="Times New Roman"/>
          <w:noProof/>
          <w:sz w:val="24"/>
          <w:szCs w:val="24"/>
          <w:lang w:val="en-IE"/>
        </w:rPr>
        <w:t xml:space="preserve">what Member States should be </w:t>
      </w:r>
      <w:r w:rsidRPr="005B4339">
        <w:rPr>
          <w:rFonts w:ascii="Times New Roman" w:hAnsi="Times New Roman" w:cs="Times New Roman"/>
          <w:noProof/>
          <w:sz w:val="24"/>
          <w:szCs w:val="24"/>
          <w:lang w:val="en-IE"/>
        </w:rPr>
        <w:t xml:space="preserve">reporting </w:t>
      </w:r>
      <w:r w:rsidR="008F6C51" w:rsidRPr="005B4339">
        <w:rPr>
          <w:rFonts w:ascii="Times New Roman" w:hAnsi="Times New Roman" w:cs="Times New Roman"/>
          <w:noProof/>
          <w:sz w:val="24"/>
          <w:szCs w:val="24"/>
          <w:lang w:val="en-IE"/>
        </w:rPr>
        <w:t>as ‘</w:t>
      </w:r>
      <w:r w:rsidRPr="005B4339">
        <w:rPr>
          <w:rFonts w:ascii="Times New Roman" w:hAnsi="Times New Roman" w:cs="Times New Roman"/>
          <w:noProof/>
          <w:sz w:val="24"/>
          <w:szCs w:val="24"/>
          <w:lang w:val="en-IE"/>
        </w:rPr>
        <w:t>textile</w:t>
      </w:r>
      <w:r w:rsidR="008F6C51" w:rsidRPr="005B4339">
        <w:rPr>
          <w:rFonts w:ascii="Times New Roman" w:hAnsi="Times New Roman" w:cs="Times New Roman"/>
          <w:noProof/>
          <w:sz w:val="24"/>
          <w:szCs w:val="24"/>
          <w:lang w:val="en-IE"/>
        </w:rPr>
        <w:t>s’</w:t>
      </w:r>
      <w:r w:rsidRPr="005B4339">
        <w:rPr>
          <w:rFonts w:ascii="Times New Roman" w:hAnsi="Times New Roman" w:cs="Times New Roman"/>
          <w:noProof/>
          <w:sz w:val="24"/>
          <w:szCs w:val="24"/>
          <w:lang w:val="en-IE"/>
        </w:rPr>
        <w:t xml:space="preserve"> should reduce the administrative burden on Member States in determining their own textile reporting regimes. More standardised reporting should</w:t>
      </w:r>
      <w:r w:rsidR="00F324A3"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help to reduce burdens whilst producing more reliable</w:t>
      </w:r>
      <w:r w:rsidR="00C903E0" w:rsidRPr="005B4339">
        <w:rPr>
          <w:rFonts w:ascii="Times New Roman" w:hAnsi="Times New Roman" w:cs="Times New Roman"/>
          <w:noProof/>
          <w:sz w:val="24"/>
          <w:szCs w:val="24"/>
          <w:lang w:val="en-IE"/>
        </w:rPr>
        <w:t xml:space="preserve"> and comparable</w:t>
      </w:r>
      <w:r w:rsidRPr="005B4339">
        <w:rPr>
          <w:rFonts w:ascii="Times New Roman" w:hAnsi="Times New Roman" w:cs="Times New Roman"/>
          <w:noProof/>
          <w:sz w:val="24"/>
          <w:szCs w:val="24"/>
          <w:lang w:val="en-IE"/>
        </w:rPr>
        <w:t xml:space="preserve"> data. Given the greater clarity </w:t>
      </w:r>
      <w:r w:rsidR="00974C8B" w:rsidRPr="005B4339">
        <w:rPr>
          <w:rFonts w:ascii="Times New Roman" w:hAnsi="Times New Roman" w:cs="Times New Roman"/>
          <w:noProof/>
          <w:sz w:val="24"/>
          <w:szCs w:val="24"/>
          <w:lang w:val="en-IE"/>
        </w:rPr>
        <w:t>of</w:t>
      </w:r>
      <w:r w:rsidRPr="005B4339">
        <w:rPr>
          <w:rFonts w:ascii="Times New Roman" w:hAnsi="Times New Roman" w:cs="Times New Roman"/>
          <w:noProof/>
          <w:sz w:val="24"/>
          <w:szCs w:val="24"/>
          <w:lang w:val="en-IE"/>
        </w:rPr>
        <w:t xml:space="preserve"> scope </w:t>
      </w:r>
      <w:r w:rsidR="001D1E21" w:rsidRPr="005B4339">
        <w:rPr>
          <w:rFonts w:ascii="Times New Roman" w:hAnsi="Times New Roman" w:cs="Times New Roman"/>
          <w:noProof/>
          <w:sz w:val="24"/>
          <w:szCs w:val="24"/>
          <w:lang w:val="en-IE"/>
        </w:rPr>
        <w:t xml:space="preserve">of </w:t>
      </w:r>
      <w:r w:rsidR="00F324A3" w:rsidRPr="005B4339">
        <w:rPr>
          <w:rFonts w:ascii="Times New Roman" w:hAnsi="Times New Roman" w:cs="Times New Roman"/>
          <w:noProof/>
          <w:sz w:val="24"/>
          <w:szCs w:val="24"/>
          <w:lang w:val="en-IE"/>
        </w:rPr>
        <w:t xml:space="preserve">alternative </w:t>
      </w:r>
      <w:r w:rsidR="001D1E21" w:rsidRPr="005B4339">
        <w:rPr>
          <w:rFonts w:ascii="Times New Roman" w:hAnsi="Times New Roman" w:cs="Times New Roman"/>
          <w:noProof/>
          <w:sz w:val="24"/>
          <w:szCs w:val="24"/>
          <w:lang w:val="en-IE"/>
        </w:rPr>
        <w:t xml:space="preserve">2, it is </w:t>
      </w:r>
      <w:r w:rsidR="00974C8B" w:rsidRPr="005B4339">
        <w:rPr>
          <w:rFonts w:ascii="Times New Roman" w:hAnsi="Times New Roman" w:cs="Times New Roman"/>
          <w:noProof/>
          <w:sz w:val="24"/>
          <w:szCs w:val="24"/>
          <w:lang w:val="en-IE"/>
        </w:rPr>
        <w:t>likely that</w:t>
      </w:r>
      <w:r w:rsidRPr="005B4339">
        <w:rPr>
          <w:rFonts w:ascii="Times New Roman" w:hAnsi="Times New Roman" w:cs="Times New Roman"/>
          <w:noProof/>
          <w:sz w:val="24"/>
          <w:szCs w:val="24"/>
          <w:lang w:val="en-IE"/>
        </w:rPr>
        <w:t xml:space="preserve"> the administrative burden reduced by </w:t>
      </w:r>
      <w:r w:rsidR="00F324A3" w:rsidRPr="005B4339">
        <w:rPr>
          <w:rFonts w:ascii="Times New Roman" w:hAnsi="Times New Roman" w:cs="Times New Roman"/>
          <w:noProof/>
          <w:sz w:val="24"/>
          <w:szCs w:val="24"/>
          <w:lang w:val="en-IE"/>
        </w:rPr>
        <w:t xml:space="preserve">alternative </w:t>
      </w:r>
      <w:r w:rsidRPr="005B4339">
        <w:rPr>
          <w:rFonts w:ascii="Times New Roman" w:hAnsi="Times New Roman" w:cs="Times New Roman"/>
          <w:noProof/>
          <w:sz w:val="24"/>
          <w:szCs w:val="24"/>
          <w:lang w:val="en-IE"/>
        </w:rPr>
        <w:t xml:space="preserve">2 would be greater </w:t>
      </w:r>
      <w:r w:rsidR="00974C8B" w:rsidRPr="005B4339">
        <w:rPr>
          <w:rFonts w:ascii="Times New Roman" w:hAnsi="Times New Roman" w:cs="Times New Roman"/>
          <w:noProof/>
          <w:sz w:val="24"/>
          <w:szCs w:val="24"/>
          <w:lang w:val="en-IE"/>
        </w:rPr>
        <w:t xml:space="preserve">than </w:t>
      </w:r>
      <w:r w:rsidRPr="005B4339">
        <w:rPr>
          <w:rFonts w:ascii="Times New Roman" w:hAnsi="Times New Roman" w:cs="Times New Roman"/>
          <w:noProof/>
          <w:sz w:val="24"/>
          <w:szCs w:val="24"/>
          <w:lang w:val="en-IE"/>
        </w:rPr>
        <w:t xml:space="preserve">that </w:t>
      </w:r>
      <w:r w:rsidR="00974C8B" w:rsidRPr="005B4339">
        <w:rPr>
          <w:rFonts w:ascii="Times New Roman" w:hAnsi="Times New Roman" w:cs="Times New Roman"/>
          <w:noProof/>
          <w:sz w:val="24"/>
          <w:szCs w:val="24"/>
          <w:lang w:val="en-IE"/>
        </w:rPr>
        <w:t>of</w:t>
      </w:r>
      <w:r w:rsidRPr="005B4339">
        <w:rPr>
          <w:rFonts w:ascii="Times New Roman" w:hAnsi="Times New Roman" w:cs="Times New Roman"/>
          <w:noProof/>
          <w:sz w:val="24"/>
          <w:szCs w:val="24"/>
          <w:lang w:val="en-IE"/>
        </w:rPr>
        <w:t xml:space="preserve"> </w:t>
      </w:r>
      <w:r w:rsidR="00F324A3" w:rsidRPr="005B4339">
        <w:rPr>
          <w:rFonts w:ascii="Times New Roman" w:hAnsi="Times New Roman" w:cs="Times New Roman"/>
          <w:noProof/>
          <w:sz w:val="24"/>
          <w:szCs w:val="24"/>
          <w:lang w:val="en-IE"/>
        </w:rPr>
        <w:t xml:space="preserve">alternative </w:t>
      </w:r>
      <w:r w:rsidRPr="005B4339">
        <w:rPr>
          <w:rFonts w:ascii="Times New Roman" w:hAnsi="Times New Roman" w:cs="Times New Roman"/>
          <w:noProof/>
          <w:sz w:val="24"/>
          <w:szCs w:val="24"/>
          <w:lang w:val="en-IE"/>
        </w:rPr>
        <w:t>1.</w:t>
      </w:r>
      <w:r w:rsidRPr="005B4339">
        <w:rPr>
          <w:rFonts w:ascii="Times New Roman" w:hAnsi="Times New Roman" w:cs="Times New Roman"/>
          <w:i/>
          <w:noProof/>
          <w:sz w:val="24"/>
          <w:szCs w:val="24"/>
          <w:lang w:val="en-IE"/>
        </w:rPr>
        <w:t xml:space="preserve"> </w:t>
      </w:r>
      <w:r w:rsidR="00B16F8A" w:rsidRPr="005B4339">
        <w:rPr>
          <w:rFonts w:ascii="Times New Roman" w:hAnsi="Times New Roman" w:cs="Times New Roman"/>
          <w:noProof/>
          <w:sz w:val="24"/>
          <w:szCs w:val="24"/>
          <w:lang w:val="en-IE"/>
        </w:rPr>
        <w:t>It is estimated that the administrative burden reduction stemming from a clarification of reporting obligations would result in savings of approximately 250 000 euro per year.</w:t>
      </w:r>
    </w:p>
    <w:p w14:paraId="2DC0A25E" w14:textId="5D3DC2F8" w:rsidR="007D7F05" w:rsidRPr="005B4339" w:rsidRDefault="007D7F05" w:rsidP="00974C8B">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5221BFF2" w14:textId="6EB9FF90" w:rsidR="007D7F05" w:rsidRPr="005B4339" w:rsidRDefault="007D7F05">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As </w:t>
      </w:r>
      <w:r w:rsidR="00255AD8" w:rsidRPr="005B4339">
        <w:rPr>
          <w:rFonts w:ascii="Times New Roman" w:hAnsi="Times New Roman" w:cs="Times New Roman"/>
          <w:noProof/>
          <w:sz w:val="24"/>
          <w:szCs w:val="24"/>
          <w:lang w:val="en-IE"/>
        </w:rPr>
        <w:t>in</w:t>
      </w:r>
      <w:r w:rsidR="00974C8B" w:rsidRPr="005B4339">
        <w:rPr>
          <w:rFonts w:ascii="Times New Roman" w:hAnsi="Times New Roman" w:cs="Times New Roman"/>
          <w:noProof/>
          <w:sz w:val="24"/>
          <w:szCs w:val="24"/>
          <w:lang w:val="en-IE"/>
        </w:rPr>
        <w:t xml:space="preserve"> </w:t>
      </w:r>
      <w:r w:rsidR="00ED0183" w:rsidRPr="005B4339">
        <w:rPr>
          <w:rFonts w:ascii="Times New Roman" w:hAnsi="Times New Roman" w:cs="Times New Roman"/>
          <w:noProof/>
          <w:sz w:val="24"/>
          <w:szCs w:val="24"/>
          <w:lang w:val="en-IE"/>
        </w:rPr>
        <w:t>alternative</w:t>
      </w:r>
      <w:r w:rsidRPr="005B4339">
        <w:rPr>
          <w:rFonts w:ascii="Times New Roman" w:hAnsi="Times New Roman" w:cs="Times New Roman"/>
          <w:noProof/>
          <w:sz w:val="24"/>
          <w:szCs w:val="24"/>
          <w:lang w:val="en-IE"/>
        </w:rPr>
        <w:t xml:space="preserve"> 1, </w:t>
      </w:r>
      <w:r w:rsidR="00974C8B" w:rsidRPr="005B4339">
        <w:rPr>
          <w:rFonts w:ascii="Times New Roman" w:hAnsi="Times New Roman" w:cs="Times New Roman"/>
          <w:noProof/>
          <w:sz w:val="24"/>
          <w:szCs w:val="24"/>
          <w:lang w:val="en-IE"/>
        </w:rPr>
        <w:t xml:space="preserve">given over 99% of </w:t>
      </w:r>
      <w:r w:rsidRPr="005B4339">
        <w:rPr>
          <w:rFonts w:ascii="Times New Roman" w:hAnsi="Times New Roman" w:cs="Times New Roman"/>
          <w:noProof/>
          <w:sz w:val="24"/>
          <w:szCs w:val="24"/>
          <w:lang w:val="en-IE"/>
        </w:rPr>
        <w:t xml:space="preserve">producers of textiles are SMEs, </w:t>
      </w:r>
      <w:r w:rsidR="00255AD8" w:rsidRPr="005B4339">
        <w:rPr>
          <w:rFonts w:ascii="Times New Roman" w:hAnsi="Times New Roman" w:cs="Times New Roman"/>
          <w:noProof/>
          <w:sz w:val="24"/>
          <w:szCs w:val="24"/>
          <w:lang w:val="en-IE"/>
        </w:rPr>
        <w:t>c</w:t>
      </w:r>
      <w:r w:rsidRPr="005B4339">
        <w:rPr>
          <w:rFonts w:ascii="Times New Roman" w:hAnsi="Times New Roman" w:cs="Times New Roman"/>
          <w:noProof/>
          <w:sz w:val="24"/>
          <w:szCs w:val="24"/>
          <w:lang w:val="en-IE"/>
        </w:rPr>
        <w:t xml:space="preserve">larifying the definition of textiles is unlikely to have any significant impact on SMEs as they already comply with the </w:t>
      </w:r>
      <w:r w:rsidRPr="005B4339">
        <w:rPr>
          <w:rFonts w:ascii="Times New Roman" w:hAnsi="Times New Roman" w:cs="Times New Roman"/>
          <w:noProof/>
          <w:sz w:val="24"/>
          <w:szCs w:val="24"/>
          <w:lang w:val="en-IE"/>
        </w:rPr>
        <w:lastRenderedPageBreak/>
        <w:t>textile labelling Regulation unless subject to the specific exclusions provided for in that Regulation</w:t>
      </w:r>
      <w:r w:rsidRPr="005B4339">
        <w:rPr>
          <w:rFonts w:ascii="Times New Roman" w:hAnsi="Times New Roman" w:cs="Times New Roman"/>
          <w:noProof/>
          <w:sz w:val="24"/>
          <w:szCs w:val="24"/>
          <w:vertAlign w:val="superscript"/>
          <w:lang w:val="en-IE"/>
        </w:rPr>
        <w:footnoteReference w:id="6"/>
      </w:r>
      <w:r w:rsidRPr="005B4339">
        <w:rPr>
          <w:rFonts w:ascii="Times New Roman" w:hAnsi="Times New Roman" w:cs="Times New Roman"/>
          <w:noProof/>
          <w:sz w:val="24"/>
          <w:szCs w:val="24"/>
          <w:lang w:val="en-IE"/>
        </w:rPr>
        <w:t>.</w:t>
      </w:r>
      <w:r w:rsidR="00255AD8" w:rsidRPr="005B4339">
        <w:rPr>
          <w:rFonts w:ascii="Times New Roman" w:hAnsi="Times New Roman" w:cs="Times New Roman"/>
          <w:noProof/>
          <w:sz w:val="24"/>
          <w:szCs w:val="24"/>
          <w:lang w:val="en-IE"/>
        </w:rPr>
        <w:t xml:space="preserve"> </w:t>
      </w:r>
    </w:p>
    <w:p w14:paraId="73CD91E9" w14:textId="6CAD7F83" w:rsidR="007D7F05" w:rsidRPr="005B4339" w:rsidRDefault="006E1702" w:rsidP="007D7F05">
      <w:pPr>
        <w:pStyle w:val="WDBody"/>
        <w:spacing w:after="24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As under </w:t>
      </w:r>
      <w:r w:rsidR="00784F2B" w:rsidRPr="005B4339">
        <w:rPr>
          <w:rFonts w:ascii="Times New Roman" w:hAnsi="Times New Roman" w:cs="Times New Roman"/>
          <w:noProof/>
          <w:sz w:val="24"/>
          <w:szCs w:val="24"/>
          <w:lang w:val="en-IE"/>
        </w:rPr>
        <w:t>alternative</w:t>
      </w:r>
      <w:r w:rsidRPr="005B4339">
        <w:rPr>
          <w:rFonts w:ascii="Times New Roman" w:hAnsi="Times New Roman" w:cs="Times New Roman"/>
          <w:noProof/>
          <w:sz w:val="24"/>
          <w:szCs w:val="24"/>
          <w:lang w:val="en-IE"/>
        </w:rPr>
        <w:t xml:space="preserve"> 1 and d</w:t>
      </w:r>
      <w:r w:rsidR="007D7F05" w:rsidRPr="005B4339">
        <w:rPr>
          <w:rFonts w:ascii="Times New Roman" w:hAnsi="Times New Roman" w:cs="Times New Roman"/>
          <w:noProof/>
          <w:sz w:val="24"/>
          <w:szCs w:val="24"/>
          <w:lang w:val="en-IE"/>
        </w:rPr>
        <w:t xml:space="preserve">epending on </w:t>
      </w:r>
      <w:r w:rsidR="00255AD8" w:rsidRPr="005B4339">
        <w:rPr>
          <w:rFonts w:ascii="Times New Roman" w:hAnsi="Times New Roman" w:cs="Times New Roman"/>
          <w:noProof/>
          <w:sz w:val="24"/>
          <w:szCs w:val="24"/>
          <w:lang w:val="en-IE"/>
        </w:rPr>
        <w:t>which CN codes are included</w:t>
      </w:r>
      <w:r w:rsidR="007D7F05" w:rsidRPr="005B4339">
        <w:rPr>
          <w:rFonts w:ascii="Times New Roman" w:hAnsi="Times New Roman" w:cs="Times New Roman"/>
          <w:noProof/>
          <w:sz w:val="24"/>
          <w:szCs w:val="24"/>
          <w:lang w:val="en-IE"/>
        </w:rPr>
        <w:t>, defining textiles according to CN codes could significantly expand the types of textiles to be collected under Article 11(1)</w:t>
      </w:r>
      <w:r w:rsidR="008169F8" w:rsidRPr="005B4339">
        <w:rPr>
          <w:rFonts w:ascii="Times New Roman" w:hAnsi="Times New Roman" w:cs="Times New Roman"/>
          <w:noProof/>
          <w:sz w:val="24"/>
          <w:szCs w:val="24"/>
          <w:lang w:val="en-IE"/>
        </w:rPr>
        <w:t>. This could</w:t>
      </w:r>
      <w:r w:rsidR="007D7F05" w:rsidRPr="005B4339">
        <w:rPr>
          <w:rFonts w:ascii="Times New Roman" w:hAnsi="Times New Roman" w:cs="Times New Roman"/>
          <w:noProof/>
          <w:sz w:val="24"/>
          <w:szCs w:val="24"/>
          <w:lang w:val="en-IE"/>
        </w:rPr>
        <w:t xml:space="preserve"> potentially add significant burden to social enterprises as well as any commercial SME</w:t>
      </w:r>
      <w:r w:rsidR="008169F8" w:rsidRPr="005B4339">
        <w:rPr>
          <w:rFonts w:ascii="Times New Roman" w:hAnsi="Times New Roman" w:cs="Times New Roman"/>
          <w:noProof/>
          <w:sz w:val="24"/>
          <w:szCs w:val="24"/>
          <w:lang w:val="en-IE"/>
        </w:rPr>
        <w:t>s</w:t>
      </w:r>
      <w:r w:rsidR="007D7F05" w:rsidRPr="005B4339">
        <w:rPr>
          <w:rFonts w:ascii="Times New Roman" w:hAnsi="Times New Roman" w:cs="Times New Roman"/>
          <w:noProof/>
          <w:sz w:val="24"/>
          <w:szCs w:val="24"/>
          <w:lang w:val="en-IE"/>
        </w:rPr>
        <w:t xml:space="preserve"> that operate collection systems to </w:t>
      </w:r>
      <w:r w:rsidR="008169F8" w:rsidRPr="005B4339">
        <w:rPr>
          <w:rFonts w:ascii="Times New Roman" w:hAnsi="Times New Roman" w:cs="Times New Roman"/>
          <w:noProof/>
          <w:sz w:val="24"/>
          <w:szCs w:val="24"/>
          <w:lang w:val="en-IE"/>
        </w:rPr>
        <w:t>cover the</w:t>
      </w:r>
      <w:r w:rsidR="007D7F05" w:rsidRPr="005B4339">
        <w:rPr>
          <w:rFonts w:ascii="Times New Roman" w:hAnsi="Times New Roman" w:cs="Times New Roman"/>
          <w:noProof/>
          <w:sz w:val="24"/>
          <w:szCs w:val="24"/>
          <w:lang w:val="en-IE"/>
        </w:rPr>
        <w:t xml:space="preserve"> textiles </w:t>
      </w:r>
      <w:r w:rsidR="008169F8" w:rsidRPr="005B4339">
        <w:rPr>
          <w:rFonts w:ascii="Times New Roman" w:hAnsi="Times New Roman" w:cs="Times New Roman"/>
          <w:noProof/>
          <w:sz w:val="24"/>
          <w:szCs w:val="24"/>
          <w:lang w:val="en-IE"/>
        </w:rPr>
        <w:t xml:space="preserve">not </w:t>
      </w:r>
      <w:r w:rsidR="007D7F05" w:rsidRPr="005B4339">
        <w:rPr>
          <w:rFonts w:ascii="Times New Roman" w:hAnsi="Times New Roman" w:cs="Times New Roman"/>
          <w:noProof/>
          <w:sz w:val="24"/>
          <w:szCs w:val="24"/>
          <w:lang w:val="en-IE"/>
        </w:rPr>
        <w:t>currently targeted by their collection schemes. Such a broadening would have negative impacts on SME collectors and social enterprises accordingly</w:t>
      </w:r>
      <w:r w:rsidR="0C20CAD8" w:rsidRPr="005B4339">
        <w:rPr>
          <w:rFonts w:ascii="Times New Roman" w:hAnsi="Times New Roman" w:cs="Times New Roman"/>
          <w:noProof/>
          <w:sz w:val="24"/>
          <w:szCs w:val="24"/>
          <w:lang w:val="en-IE"/>
        </w:rPr>
        <w:t xml:space="preserve"> in view of the increasing share of non-</w:t>
      </w:r>
      <w:r w:rsidR="0014738B" w:rsidRPr="005B4339">
        <w:rPr>
          <w:rFonts w:ascii="Times New Roman" w:hAnsi="Times New Roman" w:cs="Times New Roman"/>
          <w:noProof/>
          <w:sz w:val="24"/>
          <w:szCs w:val="24"/>
          <w:lang w:val="en-IE"/>
        </w:rPr>
        <w:t>reusable</w:t>
      </w:r>
      <w:r w:rsidR="0C20CAD8" w:rsidRPr="005B4339">
        <w:rPr>
          <w:rFonts w:ascii="Times New Roman" w:hAnsi="Times New Roman" w:cs="Times New Roman"/>
          <w:noProof/>
          <w:sz w:val="24"/>
          <w:szCs w:val="24"/>
          <w:lang w:val="en-IE"/>
        </w:rPr>
        <w:t xml:space="preserve"> fractions</w:t>
      </w:r>
      <w:r w:rsidR="007D7F05" w:rsidRPr="005B4339">
        <w:rPr>
          <w:rFonts w:ascii="Times New Roman" w:hAnsi="Times New Roman" w:cs="Times New Roman"/>
          <w:noProof/>
          <w:sz w:val="24"/>
          <w:szCs w:val="24"/>
          <w:lang w:val="en-IE"/>
        </w:rPr>
        <w:t xml:space="preserve">. However, using a list that is in keeping with current interpretations applied in most Member States would limit this potential impact. </w:t>
      </w:r>
      <w:r w:rsidR="09798B9A" w:rsidRPr="005B4339">
        <w:rPr>
          <w:rFonts w:ascii="Times New Roman" w:hAnsi="Times New Roman" w:cs="Times New Roman"/>
          <w:noProof/>
          <w:sz w:val="24"/>
          <w:szCs w:val="24"/>
          <w:lang w:val="en-IE"/>
        </w:rPr>
        <w:t>This is without prejudice to measure 2.</w:t>
      </w:r>
      <w:r w:rsidR="3C4A831C" w:rsidRPr="005B4339">
        <w:rPr>
          <w:rFonts w:ascii="Times New Roman" w:hAnsi="Times New Roman" w:cs="Times New Roman"/>
          <w:noProof/>
          <w:sz w:val="24"/>
          <w:szCs w:val="24"/>
          <w:lang w:val="en-IE"/>
        </w:rPr>
        <w:t>9</w:t>
      </w:r>
      <w:r w:rsidR="09798B9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t>
      </w:r>
    </w:p>
    <w:p w14:paraId="0DBBEB36" w14:textId="2ECD9071" w:rsidR="00105201" w:rsidRPr="005B4339" w:rsidRDefault="00105201" w:rsidP="00105201">
      <w:pPr>
        <w:pStyle w:val="WDBody"/>
        <w:spacing w:line="240" w:lineRule="auto"/>
        <w:jc w:val="both"/>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7D3B2691" w14:textId="52D16573" w:rsidR="00105201" w:rsidRPr="005B4339" w:rsidRDefault="00ED0183" w:rsidP="006D0BA8">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Stakeholders mentioned that aligning</w:t>
      </w:r>
      <w:r w:rsidR="6BBCE9A9" w:rsidRPr="005B4339">
        <w:rPr>
          <w:rFonts w:ascii="Times New Roman" w:hAnsi="Times New Roman" w:cs="Times New Roman"/>
          <w:noProof/>
          <w:sz w:val="24"/>
          <w:szCs w:val="24"/>
          <w:lang w:val="en-IE"/>
        </w:rPr>
        <w:t xml:space="preserve"> terminology and regulations </w:t>
      </w:r>
      <w:r w:rsidRPr="005B4339">
        <w:rPr>
          <w:rFonts w:ascii="Times New Roman" w:hAnsi="Times New Roman" w:cs="Times New Roman"/>
          <w:noProof/>
          <w:sz w:val="24"/>
          <w:szCs w:val="24"/>
          <w:lang w:val="en-IE"/>
        </w:rPr>
        <w:t xml:space="preserve">will </w:t>
      </w:r>
      <w:r w:rsidR="6BBCE9A9" w:rsidRPr="005B4339">
        <w:rPr>
          <w:rFonts w:ascii="Times New Roman" w:hAnsi="Times New Roman" w:cs="Times New Roman"/>
          <w:noProof/>
          <w:sz w:val="24"/>
          <w:szCs w:val="24"/>
          <w:lang w:val="en-IE"/>
        </w:rPr>
        <w:t xml:space="preserve">provide a common understanding and be the basis for </w:t>
      </w:r>
      <w:r w:rsidR="00300C6C" w:rsidRPr="005B4339">
        <w:rPr>
          <w:rFonts w:ascii="Times New Roman" w:hAnsi="Times New Roman" w:cs="Times New Roman"/>
          <w:noProof/>
          <w:sz w:val="24"/>
          <w:szCs w:val="24"/>
          <w:lang w:val="en-IE"/>
        </w:rPr>
        <w:t xml:space="preserve">better </w:t>
      </w:r>
      <w:r w:rsidR="6BBCE9A9" w:rsidRPr="005B4339">
        <w:rPr>
          <w:rFonts w:ascii="Times New Roman" w:hAnsi="Times New Roman" w:cs="Times New Roman"/>
          <w:noProof/>
          <w:sz w:val="24"/>
          <w:szCs w:val="24"/>
          <w:lang w:val="en-IE"/>
        </w:rPr>
        <w:t xml:space="preserve">monitoring </w:t>
      </w:r>
      <w:r w:rsidR="00300C6C" w:rsidRPr="005B4339">
        <w:rPr>
          <w:rFonts w:ascii="Times New Roman" w:hAnsi="Times New Roman" w:cs="Times New Roman"/>
          <w:noProof/>
          <w:sz w:val="24"/>
          <w:szCs w:val="24"/>
          <w:lang w:val="en-IE"/>
        </w:rPr>
        <w:t xml:space="preserve">of </w:t>
      </w:r>
      <w:r w:rsidR="6BBCE9A9" w:rsidRPr="005B4339">
        <w:rPr>
          <w:rFonts w:ascii="Times New Roman" w:hAnsi="Times New Roman" w:cs="Times New Roman"/>
          <w:noProof/>
          <w:sz w:val="24"/>
          <w:szCs w:val="24"/>
          <w:lang w:val="en-IE"/>
        </w:rPr>
        <w:t xml:space="preserve">a wider set of fibres and products. This should be combined with the JRC work on EoW criteria for textiles to ensure there is a clear definition of what are textiles and when they </w:t>
      </w:r>
      <w:r w:rsidR="00300C6C" w:rsidRPr="005B4339">
        <w:rPr>
          <w:rFonts w:ascii="Times New Roman" w:hAnsi="Times New Roman" w:cs="Times New Roman"/>
          <w:noProof/>
          <w:sz w:val="24"/>
          <w:szCs w:val="24"/>
          <w:lang w:val="en-IE"/>
        </w:rPr>
        <w:t>cease to be</w:t>
      </w:r>
      <w:r w:rsidR="6BBCE9A9" w:rsidRPr="005B4339">
        <w:rPr>
          <w:rFonts w:ascii="Times New Roman" w:hAnsi="Times New Roman" w:cs="Times New Roman"/>
          <w:noProof/>
          <w:sz w:val="24"/>
          <w:szCs w:val="24"/>
          <w:lang w:val="en-IE"/>
        </w:rPr>
        <w:t xml:space="preserve"> waste</w:t>
      </w:r>
      <w:r w:rsidR="00E06389" w:rsidRPr="005B4339">
        <w:rPr>
          <w:rStyle w:val="FootnoteReference"/>
          <w:rFonts w:ascii="Times New Roman" w:hAnsi="Times New Roman" w:cs="Times New Roman"/>
          <w:noProof/>
          <w:sz w:val="24"/>
          <w:szCs w:val="24"/>
          <w:lang w:val="en-IE"/>
        </w:rPr>
        <w:footnoteReference w:id="7"/>
      </w:r>
      <w:r w:rsidR="6BBCE9A9" w:rsidRPr="005B4339">
        <w:rPr>
          <w:rFonts w:ascii="Times New Roman" w:hAnsi="Times New Roman" w:cs="Times New Roman"/>
          <w:noProof/>
          <w:sz w:val="24"/>
          <w:szCs w:val="24"/>
          <w:lang w:val="en-IE"/>
        </w:rPr>
        <w:t>. Stakeholders indicated that establishing clarifying definitions on waste and ownership of waste, and to what exten</w:t>
      </w:r>
      <w:r w:rsidR="00300C6C" w:rsidRPr="005B4339">
        <w:rPr>
          <w:rFonts w:ascii="Times New Roman" w:hAnsi="Times New Roman" w:cs="Times New Roman"/>
          <w:noProof/>
          <w:sz w:val="24"/>
          <w:szCs w:val="24"/>
          <w:lang w:val="en-IE"/>
        </w:rPr>
        <w:t>t</w:t>
      </w:r>
      <w:r w:rsidR="6BBCE9A9" w:rsidRPr="005B4339">
        <w:rPr>
          <w:rFonts w:ascii="Times New Roman" w:hAnsi="Times New Roman" w:cs="Times New Roman"/>
          <w:noProof/>
          <w:sz w:val="24"/>
          <w:szCs w:val="24"/>
          <w:lang w:val="en-IE"/>
        </w:rPr>
        <w:t xml:space="preserve"> waste should be exported if it can</w:t>
      </w:r>
      <w:r w:rsidR="00D147E7" w:rsidRPr="005B4339">
        <w:rPr>
          <w:rFonts w:ascii="Times New Roman" w:hAnsi="Times New Roman" w:cs="Times New Roman"/>
          <w:noProof/>
          <w:sz w:val="24"/>
          <w:szCs w:val="24"/>
          <w:lang w:val="en-IE"/>
        </w:rPr>
        <w:t>not</w:t>
      </w:r>
      <w:r w:rsidR="6BBCE9A9" w:rsidRPr="005B4339">
        <w:rPr>
          <w:rFonts w:ascii="Times New Roman" w:hAnsi="Times New Roman" w:cs="Times New Roman"/>
          <w:noProof/>
          <w:sz w:val="24"/>
          <w:szCs w:val="24"/>
          <w:lang w:val="en-IE"/>
        </w:rPr>
        <w:t xml:space="preserve"> be recycled is critical.</w:t>
      </w:r>
      <w:r w:rsidR="00105201" w:rsidRPr="005B4339">
        <w:rPr>
          <w:rStyle w:val="FootnoteReference"/>
          <w:rFonts w:ascii="Times New Roman" w:hAnsi="Times New Roman" w:cs="Times New Roman"/>
          <w:noProof/>
          <w:sz w:val="24"/>
          <w:szCs w:val="24"/>
          <w:lang w:val="en-IE"/>
        </w:rPr>
        <w:footnoteReference w:id="8"/>
      </w:r>
      <w:r w:rsidR="6BBCE9A9" w:rsidRPr="005B4339">
        <w:rPr>
          <w:rFonts w:ascii="Times New Roman" w:hAnsi="Times New Roman" w:cs="Times New Roman"/>
          <w:noProof/>
          <w:sz w:val="24"/>
          <w:szCs w:val="24"/>
          <w:lang w:val="en-IE"/>
        </w:rPr>
        <w:t>.</w:t>
      </w:r>
    </w:p>
    <w:p w14:paraId="2A8B2ECB" w14:textId="7FFD7111" w:rsidR="00105201" w:rsidRPr="005B4339" w:rsidRDefault="00105201" w:rsidP="006D0BA8">
      <w:pPr>
        <w:spacing w:after="120"/>
        <w:rPr>
          <w:b/>
          <w:noProof/>
          <w:lang w:val="en-IE"/>
        </w:rPr>
      </w:pPr>
      <w:r w:rsidRPr="005B4339">
        <w:rPr>
          <w:b/>
          <w:noProof/>
          <w:lang w:val="en-IE"/>
        </w:rPr>
        <w:t xml:space="preserve">Assessment of impact </w:t>
      </w:r>
      <w:r w:rsidR="00300C6C" w:rsidRPr="005B4339">
        <w:rPr>
          <w:b/>
          <w:noProof/>
          <w:lang w:val="en-IE"/>
        </w:rPr>
        <w:t xml:space="preserve">alternative </w:t>
      </w:r>
      <w:r w:rsidRPr="005B4339">
        <w:rPr>
          <w:b/>
          <w:noProof/>
          <w:lang w:val="en-IE"/>
        </w:rPr>
        <w:t>3</w:t>
      </w:r>
    </w:p>
    <w:p w14:paraId="388EF092" w14:textId="7D6A1ADC" w:rsidR="00105201" w:rsidRPr="005B4339" w:rsidRDefault="00105201" w:rsidP="006D0BA8">
      <w:pPr>
        <w:spacing w:after="120"/>
        <w:rPr>
          <w:b/>
          <w:noProof/>
          <w:lang w:val="en-IE"/>
        </w:rPr>
      </w:pPr>
      <w:r w:rsidRPr="005B4339">
        <w:rPr>
          <w:b/>
          <w:noProof/>
          <w:lang w:val="en-IE"/>
        </w:rPr>
        <w:t>Economic impacts</w:t>
      </w:r>
    </w:p>
    <w:p w14:paraId="5EAFEE2C" w14:textId="34E00AC7" w:rsidR="00105201" w:rsidRPr="005B4339" w:rsidRDefault="00A02159" w:rsidP="006D0BA8">
      <w:pPr>
        <w:spacing w:after="120"/>
        <w:rPr>
          <w:noProof/>
          <w:lang w:val="en-IE"/>
        </w:rPr>
      </w:pPr>
      <w:r w:rsidRPr="005B4339">
        <w:rPr>
          <w:noProof/>
          <w:lang w:val="en-IE"/>
        </w:rPr>
        <w:t>Alternative</w:t>
      </w:r>
      <w:r w:rsidR="00105201" w:rsidRPr="005B4339">
        <w:rPr>
          <w:noProof/>
          <w:lang w:val="en-IE"/>
        </w:rPr>
        <w:t xml:space="preserve"> 3, in comparison to </w:t>
      </w:r>
      <w:r w:rsidRPr="005B4339">
        <w:rPr>
          <w:noProof/>
          <w:lang w:val="en-IE"/>
        </w:rPr>
        <w:t>alternatives</w:t>
      </w:r>
      <w:r w:rsidR="00105201" w:rsidRPr="005B4339">
        <w:rPr>
          <w:noProof/>
          <w:lang w:val="en-IE"/>
        </w:rPr>
        <w:t xml:space="preserve"> 1 and 2, would take a broad definition of textiles for the </w:t>
      </w:r>
      <w:r w:rsidR="00D73808" w:rsidRPr="005B4339">
        <w:rPr>
          <w:noProof/>
          <w:lang w:val="en-IE"/>
        </w:rPr>
        <w:t xml:space="preserve">general </w:t>
      </w:r>
      <w:r w:rsidR="00105201" w:rsidRPr="005B4339">
        <w:rPr>
          <w:noProof/>
          <w:lang w:val="en-IE"/>
        </w:rPr>
        <w:t xml:space="preserve">purpose of the WFD, whilst allowing the targeting of specific measures to specific textile types. By way of example, defining textiles more broadly in relation to reporting requirements would allow the Commission to define data collection across </w:t>
      </w:r>
      <w:r w:rsidR="00D73808" w:rsidRPr="005B4339">
        <w:rPr>
          <w:noProof/>
          <w:lang w:val="en-IE"/>
        </w:rPr>
        <w:t>several</w:t>
      </w:r>
      <w:r w:rsidR="00105201" w:rsidRPr="005B4339">
        <w:rPr>
          <w:noProof/>
          <w:lang w:val="en-IE"/>
        </w:rPr>
        <w:t xml:space="preserve"> different textile product types in order to better understand the volumes of textile types placed on the market, the methods of their management when they become a waste and the challenges that may require action to be taken in the future. At the same time, narrowing specific measures to specific textile types using CN codes allows measures to be targeted more effectively than referring to textiles in general. A good example of where this may be best applied is in relation to Article 11(1) whereby a focus on the largest share of textile wastes – clothing and household textiles – would avoid Member States focussing efforts on other wastes that were not originally intended to be addressed by such measures or for which another different targeted approach should be applied. Such lists of textile types subject to specific measures based on CN codes need</w:t>
      </w:r>
      <w:r w:rsidR="00F54915" w:rsidRPr="005B4339">
        <w:rPr>
          <w:noProof/>
          <w:lang w:val="en-IE"/>
        </w:rPr>
        <w:t xml:space="preserve"> </w:t>
      </w:r>
      <w:r w:rsidR="00105201" w:rsidRPr="005B4339">
        <w:rPr>
          <w:noProof/>
          <w:lang w:val="en-IE"/>
        </w:rPr>
        <w:t>n</w:t>
      </w:r>
      <w:r w:rsidR="00F54915" w:rsidRPr="005B4339">
        <w:rPr>
          <w:noProof/>
          <w:lang w:val="en-IE"/>
        </w:rPr>
        <w:t>o</w:t>
      </w:r>
      <w:r w:rsidR="00105201" w:rsidRPr="005B4339">
        <w:rPr>
          <w:noProof/>
          <w:lang w:val="en-IE"/>
        </w:rPr>
        <w:t xml:space="preserve">t </w:t>
      </w:r>
      <w:r w:rsidR="00105201" w:rsidRPr="005B4339">
        <w:rPr>
          <w:noProof/>
          <w:lang w:val="en-IE"/>
        </w:rPr>
        <w:lastRenderedPageBreak/>
        <w:t>necessarily be addressed in the definition Article of the WFD itself (Article 3) but could be included in an Annex of textile products to which specific measures are addressed.</w:t>
      </w:r>
    </w:p>
    <w:p w14:paraId="61C66BA8" w14:textId="77777777" w:rsidR="00F6330A" w:rsidRPr="005B4339" w:rsidRDefault="00105201" w:rsidP="0033338E">
      <w:pPr>
        <w:spacing w:after="120"/>
        <w:rPr>
          <w:noProof/>
          <w:lang w:val="en-IE"/>
        </w:rPr>
      </w:pPr>
      <w:r w:rsidRPr="005B4339">
        <w:rPr>
          <w:noProof/>
          <w:lang w:val="en-IE"/>
        </w:rPr>
        <w:t>Additionally, a broad reading of textiles would be at odds with the definitions currently applied by Member State</w:t>
      </w:r>
      <w:r w:rsidR="00864CAE" w:rsidRPr="005B4339">
        <w:rPr>
          <w:noProof/>
          <w:lang w:val="en-IE"/>
        </w:rPr>
        <w:t xml:space="preserve">s, </w:t>
      </w:r>
      <w:r w:rsidRPr="005B4339">
        <w:rPr>
          <w:noProof/>
          <w:lang w:val="en-IE"/>
        </w:rPr>
        <w:t xml:space="preserve">requiring </w:t>
      </w:r>
      <w:r w:rsidR="00864CAE" w:rsidRPr="005B4339">
        <w:rPr>
          <w:noProof/>
          <w:lang w:val="en-IE"/>
        </w:rPr>
        <w:t xml:space="preserve">them </w:t>
      </w:r>
      <w:r w:rsidRPr="005B4339">
        <w:rPr>
          <w:noProof/>
          <w:lang w:val="en-IE"/>
        </w:rPr>
        <w:t xml:space="preserve">to expand the </w:t>
      </w:r>
      <w:r w:rsidR="00864CAE" w:rsidRPr="005B4339">
        <w:rPr>
          <w:noProof/>
          <w:lang w:val="en-IE"/>
        </w:rPr>
        <w:t xml:space="preserve">systems </w:t>
      </w:r>
      <w:r w:rsidRPr="005B4339">
        <w:rPr>
          <w:noProof/>
          <w:lang w:val="en-IE"/>
        </w:rPr>
        <w:t>in place to address textiles in their implementation of the WFD</w:t>
      </w:r>
      <w:r w:rsidR="00D73808" w:rsidRPr="005B4339">
        <w:rPr>
          <w:noProof/>
          <w:lang w:val="en-IE"/>
        </w:rPr>
        <w:t>. This</w:t>
      </w:r>
      <w:r w:rsidR="002951E3" w:rsidRPr="005B4339">
        <w:rPr>
          <w:noProof/>
          <w:lang w:val="en-IE"/>
        </w:rPr>
        <w:t xml:space="preserve"> alternative</w:t>
      </w:r>
      <w:r w:rsidRPr="005B4339">
        <w:rPr>
          <w:noProof/>
          <w:lang w:val="en-IE"/>
        </w:rPr>
        <w:t xml:space="preserve"> would </w:t>
      </w:r>
      <w:r w:rsidR="002951E3" w:rsidRPr="005B4339">
        <w:rPr>
          <w:noProof/>
          <w:lang w:val="en-IE"/>
        </w:rPr>
        <w:t xml:space="preserve">avoid the necessity of those </w:t>
      </w:r>
      <w:r w:rsidRPr="005B4339">
        <w:rPr>
          <w:noProof/>
          <w:lang w:val="en-IE"/>
        </w:rPr>
        <w:t>changes. This is particularly important for more specialist textile types such as tents, awning, umbrellas and other materials designed for particular use conditions. Such materials may be challenging in relation to recycling due to their composite material and the likely use of chemicals for the purpose of waterproofing in their everyday use. The reuse potential of these additional materials may also be hindered by the issue of scale of materials concerned i.e.</w:t>
      </w:r>
      <w:r w:rsidR="00864CAE" w:rsidRPr="005B4339">
        <w:rPr>
          <w:noProof/>
          <w:lang w:val="en-IE"/>
        </w:rPr>
        <w:t>,</w:t>
      </w:r>
      <w:r w:rsidRPr="005B4339">
        <w:rPr>
          <w:noProof/>
          <w:lang w:val="en-IE"/>
        </w:rPr>
        <w:t xml:space="preserve"> they represent roughly 3% by weight of what would constitute textiles but are more specialist in their application.</w:t>
      </w:r>
      <w:r w:rsidR="00F6330A" w:rsidRPr="005B4339">
        <w:rPr>
          <w:noProof/>
          <w:lang w:val="en-IE"/>
        </w:rPr>
        <w:t xml:space="preserve"> </w:t>
      </w:r>
    </w:p>
    <w:p w14:paraId="255547BA" w14:textId="1D964B62" w:rsidR="00105201" w:rsidRPr="005B4339" w:rsidRDefault="00F6330A" w:rsidP="00105201">
      <w:pPr>
        <w:rPr>
          <w:noProof/>
          <w:lang w:val="en-IE"/>
        </w:rPr>
      </w:pPr>
      <w:r w:rsidRPr="005B4339">
        <w:rPr>
          <w:noProof/>
          <w:lang w:val="en-IE"/>
        </w:rPr>
        <w:t>As is the case with alternatives 1 and 2</w:t>
      </w:r>
      <w:r w:rsidR="001F7C53" w:rsidRPr="005B4339">
        <w:rPr>
          <w:noProof/>
          <w:lang w:val="en-IE"/>
        </w:rPr>
        <w:t xml:space="preserve">, </w:t>
      </w:r>
      <w:r w:rsidRPr="005B4339">
        <w:rPr>
          <w:noProof/>
          <w:lang w:val="en-IE"/>
        </w:rPr>
        <w:t xml:space="preserve">the existing waste regime </w:t>
      </w:r>
      <w:r w:rsidR="001F7C53" w:rsidRPr="005B4339">
        <w:rPr>
          <w:noProof/>
          <w:lang w:val="en-IE"/>
        </w:rPr>
        <w:t xml:space="preserve">already </w:t>
      </w:r>
      <w:r w:rsidRPr="005B4339">
        <w:rPr>
          <w:noProof/>
          <w:lang w:val="en-IE"/>
        </w:rPr>
        <w:t>requires waste producer</w:t>
      </w:r>
      <w:r w:rsidR="001F7C53" w:rsidRPr="005B4339">
        <w:rPr>
          <w:noProof/>
          <w:lang w:val="en-IE"/>
        </w:rPr>
        <w:t>s to</w:t>
      </w:r>
      <w:r w:rsidRPr="005B4339">
        <w:rPr>
          <w:noProof/>
          <w:lang w:val="en-IE"/>
        </w:rPr>
        <w:t xml:space="preserve"> treat the</w:t>
      </w:r>
      <w:r w:rsidR="001F7C53" w:rsidRPr="005B4339">
        <w:rPr>
          <w:noProof/>
          <w:lang w:val="en-IE"/>
        </w:rPr>
        <w:t>ir</w:t>
      </w:r>
      <w:r w:rsidRPr="005B4339">
        <w:rPr>
          <w:noProof/>
          <w:lang w:val="en-IE"/>
        </w:rPr>
        <w:t xml:space="preserve"> waste in line with the waste hierarchy</w:t>
      </w:r>
      <w:r w:rsidR="001F7C53" w:rsidRPr="005B4339">
        <w:rPr>
          <w:noProof/>
          <w:lang w:val="en-IE"/>
        </w:rPr>
        <w:t>. Therefore</w:t>
      </w:r>
      <w:r w:rsidRPr="005B4339">
        <w:rPr>
          <w:noProof/>
          <w:lang w:val="en-IE"/>
        </w:rPr>
        <w:t xml:space="preserve">, </w:t>
      </w:r>
      <w:r w:rsidR="004643BD" w:rsidRPr="005B4339">
        <w:rPr>
          <w:noProof/>
          <w:lang w:val="en-IE"/>
        </w:rPr>
        <w:t xml:space="preserve">it is expected </w:t>
      </w:r>
      <w:r w:rsidRPr="005B4339">
        <w:rPr>
          <w:noProof/>
          <w:lang w:val="en-IE"/>
        </w:rPr>
        <w:t xml:space="preserve">that there would be no </w:t>
      </w:r>
      <w:r w:rsidR="0033338E" w:rsidRPr="005B4339">
        <w:rPr>
          <w:noProof/>
          <w:lang w:val="en-IE"/>
        </w:rPr>
        <w:t xml:space="preserve">or only insignificant </w:t>
      </w:r>
      <w:r w:rsidRPr="005B4339">
        <w:rPr>
          <w:noProof/>
          <w:lang w:val="en-IE"/>
        </w:rPr>
        <w:t>additional costs resulting from this alternative in comparison to the baseline.</w:t>
      </w:r>
    </w:p>
    <w:p w14:paraId="1E18FA4E" w14:textId="77777777" w:rsidR="00741A82" w:rsidRPr="005B4339" w:rsidRDefault="00FF2F01" w:rsidP="00FF2F01">
      <w:pPr>
        <w:rPr>
          <w:noProof/>
          <w:lang w:val="en-IE"/>
        </w:rPr>
      </w:pPr>
      <w:r w:rsidRPr="005B4339">
        <w:rPr>
          <w:noProof/>
          <w:lang w:val="en-IE"/>
        </w:rPr>
        <w:t xml:space="preserve">Furthermore, in keeping with alternative 2 the impacts in terms of volumes of textile wastes separately collected, sorted and treated would be dependent on the final scope of CN codes included under this measure. If the scope focussed on post-consumer clothing and household textiles flows would be unlikely to vary in comparison to the baseline. </w:t>
      </w:r>
    </w:p>
    <w:p w14:paraId="6A01B79E" w14:textId="26A97360" w:rsidR="00741A82" w:rsidRPr="005B4339" w:rsidRDefault="00741A82" w:rsidP="00741A82">
      <w:pPr>
        <w:spacing w:after="120"/>
        <w:rPr>
          <w:noProof/>
          <w:lang w:val="en-IE"/>
        </w:rPr>
      </w:pPr>
      <w:r w:rsidRPr="005B4339">
        <w:rPr>
          <w:noProof/>
          <w:lang w:val="en-IE"/>
        </w:rPr>
        <w:t xml:space="preserve">Footwear and leather clothing and apparel would be included </w:t>
      </w:r>
      <w:r w:rsidR="002E383B" w:rsidRPr="005B4339">
        <w:rPr>
          <w:noProof/>
          <w:lang w:val="en-IE"/>
        </w:rPr>
        <w:t xml:space="preserve">into the separately collection schemes </w:t>
      </w:r>
      <w:r w:rsidRPr="005B4339">
        <w:rPr>
          <w:noProof/>
          <w:lang w:val="en-IE"/>
        </w:rPr>
        <w:t xml:space="preserve">under this </w:t>
      </w:r>
      <w:r w:rsidR="00BF5CB4" w:rsidRPr="005B4339">
        <w:rPr>
          <w:noProof/>
          <w:lang w:val="en-IE"/>
        </w:rPr>
        <w:t>alternative</w:t>
      </w:r>
      <w:r w:rsidRPr="005B4339">
        <w:rPr>
          <w:noProof/>
          <w:lang w:val="en-IE"/>
        </w:rPr>
        <w:t>.  Given that these types of goods have proven to have been captured in the systems employed by Member States for textile goods their inclusion would allow Member States to continue to collect some materials for the purpose of compliance with the requirements of the WFD that apply to textile goods overall. This would avoid a situation whereby Member States may otherwise feel the need to employ separate systems for such clothing and apparel that is unlikely to be economically viable given the relatively small quantities concerned.</w:t>
      </w:r>
    </w:p>
    <w:p w14:paraId="33F8B59C" w14:textId="3B5745AE" w:rsidR="00FF2F01" w:rsidRPr="005B4339" w:rsidRDefault="00FF2F01" w:rsidP="00FF2F01">
      <w:pPr>
        <w:rPr>
          <w:noProof/>
          <w:lang w:val="en-IE"/>
        </w:rPr>
      </w:pPr>
      <w:r w:rsidRPr="005B4339">
        <w:rPr>
          <w:noProof/>
          <w:lang w:val="en-IE"/>
        </w:rPr>
        <w:t>However, should additional textile types be included that are not currently addressed by Member States under their obligations under the WFD then the collection, sorting and treatment of those textiles would be expected to increase in keeping with obligations that currently apply to textiles including the separate collection obligation under Article 11.  Whilst an increase would be expected, it has not been possible to quantify the potential increase in tonnes given the data at the Member State level that dictates their current scope of textile waste management is not accessible across the EU but only for a proportion of Member States as presented in Annex 6.</w:t>
      </w:r>
    </w:p>
    <w:p w14:paraId="3CC6DC28" w14:textId="4476BD80" w:rsidR="00FF2F01" w:rsidRPr="005B4339" w:rsidRDefault="00FF2F01" w:rsidP="00105201">
      <w:pPr>
        <w:rPr>
          <w:noProof/>
          <w:lang w:val="en-IE"/>
        </w:rPr>
      </w:pPr>
      <w:r w:rsidRPr="005B4339">
        <w:rPr>
          <w:noProof/>
          <w:lang w:val="en-IE"/>
        </w:rPr>
        <w:t xml:space="preserve">Similarly, any addition in scope would entail additional collection, sorting and treatment. As for alternatives 2 and 3,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w:t>
      </w:r>
      <w:r w:rsidRPr="005B4339">
        <w:rPr>
          <w:noProof/>
          <w:lang w:val="en-IE"/>
        </w:rPr>
        <w:lastRenderedPageBreak/>
        <w:t>general taxation.  Similarly for alternative 1 and 2, the additional costs are likely to fall around 0.6% of total product cost with the application of those costs being absorbed by the producer, being passed on to the consumer or a mix of both.</w:t>
      </w:r>
    </w:p>
    <w:p w14:paraId="53AD62EA" w14:textId="77777777" w:rsidR="00105201" w:rsidRPr="005B4339" w:rsidRDefault="00105201" w:rsidP="006D0BA8">
      <w:pPr>
        <w:spacing w:after="120"/>
        <w:rPr>
          <w:b/>
          <w:noProof/>
          <w:lang w:val="en-IE"/>
        </w:rPr>
      </w:pPr>
      <w:r w:rsidRPr="005B4339">
        <w:rPr>
          <w:b/>
          <w:noProof/>
          <w:lang w:val="en-IE"/>
        </w:rPr>
        <w:t>Environmental impacts</w:t>
      </w:r>
    </w:p>
    <w:p w14:paraId="3DB89BA0" w14:textId="265A2D2C" w:rsidR="00105201" w:rsidRPr="005B4339" w:rsidRDefault="00105201" w:rsidP="006D0BA8">
      <w:pPr>
        <w:spacing w:after="120"/>
        <w:rPr>
          <w:noProof/>
          <w:lang w:val="en-IE"/>
        </w:rPr>
      </w:pPr>
      <w:r w:rsidRPr="005B4339">
        <w:rPr>
          <w:noProof/>
          <w:lang w:val="en-IE"/>
        </w:rPr>
        <w:t xml:space="preserve">As is the case for </w:t>
      </w:r>
      <w:r w:rsidR="001B6FCA" w:rsidRPr="005B4339">
        <w:rPr>
          <w:noProof/>
          <w:lang w:val="en-IE"/>
        </w:rPr>
        <w:t xml:space="preserve">alternatives </w:t>
      </w:r>
      <w:r w:rsidRPr="005B4339">
        <w:rPr>
          <w:noProof/>
          <w:lang w:val="en-IE"/>
        </w:rPr>
        <w:t xml:space="preserve">1 and 2, the definition used under this </w:t>
      </w:r>
      <w:r w:rsidR="002C0EA8" w:rsidRPr="005B4339">
        <w:rPr>
          <w:noProof/>
          <w:lang w:val="en-IE"/>
        </w:rPr>
        <w:t>alternative</w:t>
      </w:r>
      <w:r w:rsidRPr="005B4339">
        <w:rPr>
          <w:noProof/>
          <w:lang w:val="en-IE"/>
        </w:rPr>
        <w:t xml:space="preserve"> would include raw, semi-worked, worked, semi-manufactured, manufactured, semi-made-up or made-up products encompassing a broad range of textile goods including, for example, yarns, floor coverings and carpets and would make clear that action to mitigate the environmental impacts of this broad family of textiles should be taken addressing both pre-consumer and post-consumer textiles.</w:t>
      </w:r>
    </w:p>
    <w:p w14:paraId="6E372330" w14:textId="6C83AE0C" w:rsidR="00105201" w:rsidRPr="005B4339" w:rsidRDefault="00105201" w:rsidP="006D0BA8">
      <w:pPr>
        <w:spacing w:after="120"/>
        <w:rPr>
          <w:noProof/>
          <w:lang w:val="en-IE"/>
        </w:rPr>
      </w:pPr>
      <w:r w:rsidRPr="005B4339">
        <w:rPr>
          <w:noProof/>
          <w:lang w:val="en-IE"/>
        </w:rPr>
        <w:t xml:space="preserve">In comparison to </w:t>
      </w:r>
      <w:r w:rsidR="0003133F" w:rsidRPr="005B4339">
        <w:rPr>
          <w:noProof/>
          <w:lang w:val="en-IE"/>
        </w:rPr>
        <w:t xml:space="preserve">alternative </w:t>
      </w:r>
      <w:r w:rsidRPr="005B4339">
        <w:rPr>
          <w:noProof/>
          <w:lang w:val="en-IE"/>
        </w:rPr>
        <w:t>1 the opportunity exists to include additional specific materials such as. entire mattresses, umbrellas and textile covered furniture by referring to the relevant applicable CN code allowing the environmental impacts of these specific product types to be addressed.</w:t>
      </w:r>
    </w:p>
    <w:p w14:paraId="544DCF03" w14:textId="5D968DAB" w:rsidR="00105201" w:rsidRPr="005B4339" w:rsidRDefault="00105201" w:rsidP="006D0BA8">
      <w:pPr>
        <w:spacing w:after="120"/>
        <w:rPr>
          <w:noProof/>
          <w:lang w:val="en-IE"/>
        </w:rPr>
      </w:pPr>
      <w:r w:rsidRPr="005B4339">
        <w:rPr>
          <w:noProof/>
          <w:lang w:val="en-IE"/>
        </w:rPr>
        <w:t xml:space="preserve">As outlined in the introduction to </w:t>
      </w:r>
      <w:r w:rsidR="0003133F" w:rsidRPr="005B4339">
        <w:rPr>
          <w:noProof/>
          <w:lang w:val="en-IE"/>
        </w:rPr>
        <w:t xml:space="preserve">alternative </w:t>
      </w:r>
      <w:r w:rsidRPr="005B4339">
        <w:rPr>
          <w:noProof/>
          <w:lang w:val="en-IE"/>
        </w:rPr>
        <w:t xml:space="preserve">3, the WFD applies to a broad range of wastes with only certain exclusions as outlined in Article 2.  Defining textiles based on a limited number of CN codes poses the risk of unnecessarily restricting the scope of measures for textiles under the WFD, thereby preventing action being taken on other problematic textile and textile like wastes. A long list has been drawn up as included in the table above but there may be additional materials containing textiles – for example Chapter 94 that includes furniture – that may warrant action that would be excluded using the list provided. A possible approach to address this would </w:t>
      </w:r>
      <w:r w:rsidR="00E22B44" w:rsidRPr="005B4339">
        <w:rPr>
          <w:noProof/>
          <w:lang w:val="en-IE"/>
        </w:rPr>
        <w:t xml:space="preserve">be </w:t>
      </w:r>
      <w:r w:rsidRPr="005B4339">
        <w:rPr>
          <w:noProof/>
          <w:lang w:val="en-IE"/>
        </w:rPr>
        <w:t>to make the list under this option progressive i.e.</w:t>
      </w:r>
      <w:r w:rsidR="00864CAE" w:rsidRPr="005B4339">
        <w:rPr>
          <w:noProof/>
          <w:lang w:val="en-IE"/>
        </w:rPr>
        <w:t>,</w:t>
      </w:r>
      <w:r w:rsidRPr="005B4339">
        <w:rPr>
          <w:noProof/>
          <w:lang w:val="en-IE"/>
        </w:rPr>
        <w:t xml:space="preserve"> the list could be </w:t>
      </w:r>
      <w:r w:rsidR="00FB5708" w:rsidRPr="005B4339">
        <w:rPr>
          <w:noProof/>
          <w:lang w:val="en-IE"/>
        </w:rPr>
        <w:t xml:space="preserve">subsequently </w:t>
      </w:r>
      <w:r w:rsidR="00864CAE" w:rsidRPr="005B4339">
        <w:rPr>
          <w:noProof/>
          <w:lang w:val="en-IE"/>
        </w:rPr>
        <w:t xml:space="preserve">expanded </w:t>
      </w:r>
      <w:r w:rsidR="00FB5708" w:rsidRPr="005B4339">
        <w:rPr>
          <w:noProof/>
          <w:lang w:val="en-IE"/>
        </w:rPr>
        <w:t xml:space="preserve">to cover </w:t>
      </w:r>
      <w:r w:rsidRPr="005B4339">
        <w:rPr>
          <w:noProof/>
          <w:lang w:val="en-IE"/>
        </w:rPr>
        <w:t xml:space="preserve">other textile containing products </w:t>
      </w:r>
      <w:r w:rsidR="00FB5708" w:rsidRPr="005B4339">
        <w:rPr>
          <w:noProof/>
          <w:lang w:val="en-IE"/>
        </w:rPr>
        <w:t xml:space="preserve">as deemed necessary based on </w:t>
      </w:r>
      <w:r w:rsidR="007A3C18" w:rsidRPr="005B4339">
        <w:rPr>
          <w:noProof/>
          <w:lang w:val="en-IE"/>
        </w:rPr>
        <w:t xml:space="preserve">their </w:t>
      </w:r>
      <w:r w:rsidRPr="005B4339">
        <w:rPr>
          <w:noProof/>
          <w:lang w:val="en-IE"/>
        </w:rPr>
        <w:t>waste management challenges</w:t>
      </w:r>
      <w:r w:rsidR="007A3C18" w:rsidRPr="005B4339">
        <w:rPr>
          <w:noProof/>
          <w:lang w:val="en-IE"/>
        </w:rPr>
        <w:t>, for example furniture</w:t>
      </w:r>
      <w:r w:rsidRPr="005B4339">
        <w:rPr>
          <w:noProof/>
          <w:lang w:val="en-IE"/>
        </w:rPr>
        <w:t>.</w:t>
      </w:r>
    </w:p>
    <w:p w14:paraId="480B998E" w14:textId="488881FC" w:rsidR="00105201" w:rsidRPr="005B4339" w:rsidRDefault="00105201" w:rsidP="00105201">
      <w:pPr>
        <w:rPr>
          <w:noProof/>
          <w:lang w:val="en-IE"/>
        </w:rPr>
      </w:pPr>
      <w:r w:rsidRPr="005B4339">
        <w:rPr>
          <w:noProof/>
          <w:lang w:val="en-IE"/>
        </w:rPr>
        <w:t>Th</w:t>
      </w:r>
      <w:r w:rsidR="0003133F" w:rsidRPr="005B4339">
        <w:rPr>
          <w:noProof/>
          <w:lang w:val="en-IE"/>
        </w:rPr>
        <w:t>is</w:t>
      </w:r>
      <w:r w:rsidRPr="005B4339">
        <w:rPr>
          <w:noProof/>
          <w:lang w:val="en-IE"/>
        </w:rPr>
        <w:t xml:space="preserve"> </w:t>
      </w:r>
      <w:r w:rsidR="0003133F" w:rsidRPr="005B4339">
        <w:rPr>
          <w:noProof/>
          <w:lang w:val="en-IE"/>
        </w:rPr>
        <w:t>alternative</w:t>
      </w:r>
      <w:r w:rsidR="007A3C18" w:rsidRPr="005B4339">
        <w:rPr>
          <w:noProof/>
          <w:lang w:val="en-IE"/>
        </w:rPr>
        <w:t>,</w:t>
      </w:r>
      <w:r w:rsidR="0003133F" w:rsidRPr="005B4339">
        <w:rPr>
          <w:noProof/>
          <w:lang w:val="en-IE"/>
        </w:rPr>
        <w:t xml:space="preserve"> </w:t>
      </w:r>
      <w:r w:rsidR="007A3C18" w:rsidRPr="005B4339">
        <w:rPr>
          <w:noProof/>
          <w:lang w:val="en-IE"/>
        </w:rPr>
        <w:t>under the broad heading of textiles as</w:t>
      </w:r>
      <w:r w:rsidR="00AE3C5F" w:rsidRPr="005B4339">
        <w:rPr>
          <w:noProof/>
          <w:lang w:val="en-IE"/>
        </w:rPr>
        <w:t xml:space="preserve"> per the </w:t>
      </w:r>
      <w:r w:rsidRPr="005B4339">
        <w:rPr>
          <w:noProof/>
          <w:lang w:val="en-IE"/>
        </w:rPr>
        <w:t>Textile Labelling Regulation</w:t>
      </w:r>
      <w:r w:rsidR="004815CD" w:rsidRPr="005B4339">
        <w:rPr>
          <w:noProof/>
          <w:lang w:val="en-IE"/>
        </w:rPr>
        <w:t>,</w:t>
      </w:r>
      <w:r w:rsidR="007A3C18" w:rsidRPr="005B4339">
        <w:rPr>
          <w:noProof/>
          <w:lang w:val="en-IE"/>
        </w:rPr>
        <w:t xml:space="preserve"> </w:t>
      </w:r>
      <w:r w:rsidRPr="005B4339">
        <w:rPr>
          <w:noProof/>
          <w:lang w:val="en-IE"/>
        </w:rPr>
        <w:t xml:space="preserve">would continue to exclude certain </w:t>
      </w:r>
      <w:r w:rsidR="004815CD" w:rsidRPr="005B4339">
        <w:rPr>
          <w:noProof/>
          <w:lang w:val="en-IE"/>
        </w:rPr>
        <w:t>products</w:t>
      </w:r>
      <w:r w:rsidRPr="005B4339">
        <w:rPr>
          <w:noProof/>
          <w:lang w:val="en-IE"/>
        </w:rPr>
        <w:t xml:space="preserve"> that require attention</w:t>
      </w:r>
      <w:r w:rsidR="00E1311B" w:rsidRPr="005B4339">
        <w:rPr>
          <w:noProof/>
          <w:lang w:val="en-IE"/>
        </w:rPr>
        <w:t xml:space="preserve">, for example </w:t>
      </w:r>
      <w:r w:rsidRPr="005B4339">
        <w:rPr>
          <w:noProof/>
          <w:lang w:val="en-IE"/>
        </w:rPr>
        <w:t>mattresses</w:t>
      </w:r>
      <w:r w:rsidR="00E1311B" w:rsidRPr="005B4339">
        <w:rPr>
          <w:noProof/>
          <w:lang w:val="en-IE"/>
        </w:rPr>
        <w:t xml:space="preserve"> that generate</w:t>
      </w:r>
      <w:r w:rsidRPr="005B4339">
        <w:rPr>
          <w:noProof/>
          <w:lang w:val="en-IE"/>
        </w:rPr>
        <w:t xml:space="preserve"> approximately </w:t>
      </w:r>
      <w:r w:rsidR="007E1129" w:rsidRPr="005B4339">
        <w:rPr>
          <w:noProof/>
          <w:lang w:val="en-IE"/>
        </w:rPr>
        <w:t>240 000 tonnes of textile waste per year and</w:t>
      </w:r>
      <w:r w:rsidRPr="005B4339">
        <w:rPr>
          <w:noProof/>
          <w:lang w:val="en-IE"/>
        </w:rPr>
        <w:t xml:space="preserve"> carpets </w:t>
      </w:r>
      <w:r w:rsidR="00D037FB" w:rsidRPr="005B4339">
        <w:rPr>
          <w:noProof/>
          <w:lang w:val="en-IE"/>
        </w:rPr>
        <w:t xml:space="preserve">that generate </w:t>
      </w:r>
      <w:r w:rsidRPr="005B4339">
        <w:rPr>
          <w:noProof/>
          <w:lang w:val="en-IE"/>
        </w:rPr>
        <w:t xml:space="preserve">approximately 1.6 million tonnes of waste </w:t>
      </w:r>
      <w:r w:rsidR="00D037FB" w:rsidRPr="005B4339">
        <w:rPr>
          <w:noProof/>
          <w:lang w:val="en-IE"/>
        </w:rPr>
        <w:t>(the share of textiles is unknown)</w:t>
      </w:r>
      <w:r w:rsidRPr="005B4339">
        <w:rPr>
          <w:noProof/>
          <w:lang w:val="en-IE"/>
        </w:rPr>
        <w:t xml:space="preserve">. However, given the challenges in addressing the traditional use of a latex, water-based backing which cannot be removed from the pile </w:t>
      </w:r>
      <w:r w:rsidR="001F6465" w:rsidRPr="005B4339">
        <w:rPr>
          <w:noProof/>
          <w:lang w:val="en-IE"/>
        </w:rPr>
        <w:t>fibres</w:t>
      </w:r>
      <w:r w:rsidRPr="005B4339">
        <w:rPr>
          <w:noProof/>
          <w:lang w:val="en-IE"/>
        </w:rPr>
        <w:t xml:space="preserve"> and creates a difficult-to-recycle material mix as well as the collection challenges related to textile waste this exclusion appears relevant given the lack of practicable options to address carpet waste as a textile at present. In the case of both mattresses and carpet an alternative categorisation exists under the WFD e.g.</w:t>
      </w:r>
      <w:r w:rsidR="00D037FB" w:rsidRPr="005B4339">
        <w:rPr>
          <w:noProof/>
          <w:lang w:val="en-IE"/>
        </w:rPr>
        <w:t>,</w:t>
      </w:r>
      <w:r w:rsidRPr="005B4339">
        <w:rPr>
          <w:noProof/>
          <w:lang w:val="en-IE"/>
        </w:rPr>
        <w:t xml:space="preserve"> bulky waste, but for those Member States currently considering measures on mattresses under the textile heading these would generally be excluded as textiles using this definition. According to information provided by Member States</w:t>
      </w:r>
      <w:r w:rsidR="00D037FB" w:rsidRPr="005B4339">
        <w:rPr>
          <w:noProof/>
          <w:lang w:val="en-IE"/>
        </w:rPr>
        <w:t>, Hungary</w:t>
      </w:r>
      <w:r w:rsidRPr="005B4339">
        <w:rPr>
          <w:noProof/>
          <w:lang w:val="en-IE"/>
        </w:rPr>
        <w:t xml:space="preserve"> is the only Member State that </w:t>
      </w:r>
      <w:r w:rsidR="00704606" w:rsidRPr="005B4339">
        <w:rPr>
          <w:noProof/>
          <w:lang w:val="en-IE"/>
        </w:rPr>
        <w:t xml:space="preserve">currently </w:t>
      </w:r>
      <w:r w:rsidRPr="005B4339">
        <w:rPr>
          <w:noProof/>
          <w:lang w:val="en-IE"/>
        </w:rPr>
        <w:t>considers carpets under their textile waste measures.</w:t>
      </w:r>
    </w:p>
    <w:p w14:paraId="000EB2E8" w14:textId="77777777" w:rsidR="00105201" w:rsidRPr="005B4339" w:rsidRDefault="00105201" w:rsidP="006D0BA8">
      <w:pPr>
        <w:spacing w:after="120"/>
        <w:rPr>
          <w:b/>
          <w:noProof/>
          <w:lang w:val="en-IE"/>
        </w:rPr>
      </w:pPr>
      <w:r w:rsidRPr="005B4339">
        <w:rPr>
          <w:b/>
          <w:noProof/>
          <w:lang w:val="en-IE"/>
        </w:rPr>
        <w:t>Social impacts</w:t>
      </w:r>
    </w:p>
    <w:p w14:paraId="4EF22B59" w14:textId="13C92AB4" w:rsidR="00105201" w:rsidRPr="005B4339" w:rsidRDefault="00105201" w:rsidP="006D0BA8">
      <w:pPr>
        <w:spacing w:after="120"/>
        <w:rPr>
          <w:noProof/>
          <w:lang w:val="en-IE"/>
        </w:rPr>
      </w:pPr>
      <w:r w:rsidRPr="005B4339">
        <w:rPr>
          <w:noProof/>
          <w:lang w:val="en-IE"/>
        </w:rPr>
        <w:lastRenderedPageBreak/>
        <w:t xml:space="preserve">As is the case under </w:t>
      </w:r>
      <w:r w:rsidR="004A1F88" w:rsidRPr="005B4339">
        <w:rPr>
          <w:noProof/>
          <w:lang w:val="en-IE"/>
        </w:rPr>
        <w:t xml:space="preserve">alternatives </w:t>
      </w:r>
      <w:r w:rsidRPr="005B4339">
        <w:rPr>
          <w:noProof/>
          <w:lang w:val="en-IE"/>
        </w:rPr>
        <w:t>1 and 2, a clearer understanding of what textiles means in relation to the WFD is also likely to lead to better and more realistic data being collected whilst supporting a more level playing field between Member States. This would benefit all stakeholders including public administrations, businesses and citizens.</w:t>
      </w:r>
    </w:p>
    <w:p w14:paraId="18835E9A" w14:textId="175111B0" w:rsidR="00E34D08" w:rsidRPr="005B4339" w:rsidRDefault="0020530D" w:rsidP="006D0BA8">
      <w:pPr>
        <w:spacing w:after="120"/>
        <w:rPr>
          <w:noProof/>
          <w:lang w:val="en-IE"/>
        </w:rPr>
      </w:pPr>
      <w:r w:rsidRPr="005B4339">
        <w:rPr>
          <w:noProof/>
          <w:lang w:val="en-IE"/>
        </w:rPr>
        <w:t>The</w:t>
      </w:r>
      <w:r w:rsidR="00A028E2" w:rsidRPr="005B4339">
        <w:rPr>
          <w:noProof/>
          <w:lang w:val="en-IE"/>
        </w:rPr>
        <w:t xml:space="preserve"> alignment with the Textile Labelling Regulation </w:t>
      </w:r>
      <w:r w:rsidR="005B65FF" w:rsidRPr="005B4339">
        <w:rPr>
          <w:noProof/>
          <w:lang w:val="en-IE"/>
        </w:rPr>
        <w:t xml:space="preserve">in the definition of textile products </w:t>
      </w:r>
      <w:r w:rsidR="00A028E2" w:rsidRPr="005B4339">
        <w:rPr>
          <w:noProof/>
          <w:lang w:val="en-IE"/>
        </w:rPr>
        <w:t>would allow to harmo</w:t>
      </w:r>
      <w:r w:rsidR="004C4963" w:rsidRPr="005B4339">
        <w:rPr>
          <w:noProof/>
          <w:lang w:val="en-IE"/>
        </w:rPr>
        <w:t>nise</w:t>
      </w:r>
      <w:r w:rsidR="0098192A" w:rsidRPr="005B4339">
        <w:rPr>
          <w:noProof/>
          <w:lang w:val="en-IE"/>
        </w:rPr>
        <w:t xml:space="preserve"> </w:t>
      </w:r>
      <w:r w:rsidR="008C0EDE" w:rsidRPr="005B4339">
        <w:rPr>
          <w:noProof/>
          <w:lang w:val="en-IE"/>
        </w:rPr>
        <w:t xml:space="preserve">this term across </w:t>
      </w:r>
      <w:r w:rsidRPr="005B4339">
        <w:rPr>
          <w:noProof/>
          <w:lang w:val="en-IE"/>
        </w:rPr>
        <w:t>legislation a</w:t>
      </w:r>
      <w:r w:rsidR="00B33419" w:rsidRPr="005B4339">
        <w:rPr>
          <w:noProof/>
          <w:lang w:val="en-IE"/>
        </w:rPr>
        <w:t>pplying</w:t>
      </w:r>
      <w:r w:rsidRPr="005B4339">
        <w:rPr>
          <w:noProof/>
          <w:lang w:val="en-IE"/>
        </w:rPr>
        <w:t xml:space="preserve"> textiles.</w:t>
      </w:r>
      <w:r w:rsidR="004C4963" w:rsidRPr="005B4339">
        <w:rPr>
          <w:noProof/>
          <w:lang w:val="en-IE"/>
        </w:rPr>
        <w:t xml:space="preserve"> </w:t>
      </w:r>
    </w:p>
    <w:p w14:paraId="1698F212" w14:textId="2E9588E6" w:rsidR="00BA479E" w:rsidRPr="005B4339" w:rsidRDefault="001D3A05" w:rsidP="00BA479E">
      <w:pPr>
        <w:rPr>
          <w:noProof/>
          <w:lang w:val="en-IE"/>
        </w:rPr>
      </w:pPr>
      <w:r w:rsidRPr="005B4339">
        <w:rPr>
          <w:noProof/>
          <w:lang w:val="en-IE"/>
        </w:rPr>
        <w:t>On the other hand</w:t>
      </w:r>
      <w:r w:rsidR="00105201" w:rsidRPr="005B4339">
        <w:rPr>
          <w:noProof/>
          <w:lang w:val="en-IE"/>
        </w:rPr>
        <w:t xml:space="preserve">, </w:t>
      </w:r>
      <w:r w:rsidR="00BA479E" w:rsidRPr="005B4339">
        <w:rPr>
          <w:noProof/>
          <w:lang w:val="en-IE"/>
        </w:rPr>
        <w:t>under this alternative it would be possible to define by CN-code specific measures addressing a subset of textile products and including non-textile wastes</w:t>
      </w:r>
      <w:r w:rsidR="008D33BB" w:rsidRPr="005B4339">
        <w:rPr>
          <w:noProof/>
          <w:lang w:val="en-IE"/>
        </w:rPr>
        <w:t xml:space="preserve"> which currently </w:t>
      </w:r>
      <w:r w:rsidR="003B12C0" w:rsidRPr="005B4339">
        <w:rPr>
          <w:noProof/>
          <w:lang w:val="en-IE"/>
        </w:rPr>
        <w:t xml:space="preserve">are also captured in the </w:t>
      </w:r>
      <w:r w:rsidR="00025795" w:rsidRPr="005B4339">
        <w:rPr>
          <w:noProof/>
          <w:lang w:val="en-IE"/>
        </w:rPr>
        <w:t>same systems employed by Member States for textile goods.</w:t>
      </w:r>
    </w:p>
    <w:p w14:paraId="31D047D6" w14:textId="77777777" w:rsidR="00105201" w:rsidRPr="005B4339" w:rsidRDefault="00105201" w:rsidP="006D0BA8">
      <w:pPr>
        <w:spacing w:after="120"/>
        <w:rPr>
          <w:b/>
          <w:noProof/>
          <w:lang w:val="en-IE"/>
        </w:rPr>
      </w:pPr>
      <w:r w:rsidRPr="005B4339">
        <w:rPr>
          <w:b/>
          <w:noProof/>
          <w:lang w:val="en-IE"/>
        </w:rPr>
        <w:t>Administrative burden</w:t>
      </w:r>
    </w:p>
    <w:p w14:paraId="52388CC4" w14:textId="31F317E1" w:rsidR="00105201" w:rsidRPr="005B4339" w:rsidRDefault="00105201" w:rsidP="006D0BA8">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As is the case for </w:t>
      </w:r>
      <w:r w:rsidR="00842FA6" w:rsidRPr="005B4339">
        <w:rPr>
          <w:rFonts w:ascii="Times New Roman" w:hAnsi="Times New Roman" w:cs="Times New Roman"/>
          <w:noProof/>
          <w:sz w:val="24"/>
          <w:szCs w:val="24"/>
          <w:lang w:val="en-IE"/>
        </w:rPr>
        <w:t>alternatives</w:t>
      </w:r>
      <w:r w:rsidRPr="005B4339">
        <w:rPr>
          <w:rFonts w:ascii="Times New Roman" w:hAnsi="Times New Roman" w:cs="Times New Roman"/>
          <w:noProof/>
          <w:sz w:val="24"/>
          <w:szCs w:val="24"/>
          <w:lang w:val="en-IE"/>
        </w:rPr>
        <w:t xml:space="preserve"> 1 and 2, a clarification of reporting obligations should reduce the administrative burden on Member States in determining their reporting regimes against their </w:t>
      </w:r>
      <w:r w:rsidR="00F27589" w:rsidRPr="005B4339">
        <w:rPr>
          <w:rFonts w:ascii="Times New Roman" w:hAnsi="Times New Roman" w:cs="Times New Roman"/>
          <w:noProof/>
          <w:sz w:val="24"/>
          <w:szCs w:val="24"/>
          <w:lang w:val="en-IE"/>
        </w:rPr>
        <w:t xml:space="preserve">current </w:t>
      </w:r>
      <w:r w:rsidRPr="005B4339">
        <w:rPr>
          <w:rFonts w:ascii="Times New Roman" w:hAnsi="Times New Roman" w:cs="Times New Roman"/>
          <w:noProof/>
          <w:sz w:val="24"/>
          <w:szCs w:val="24"/>
          <w:lang w:val="en-IE"/>
        </w:rPr>
        <w:t>definition of what ‘textiles’ comprise</w:t>
      </w:r>
      <w:r w:rsidR="00F27589" w:rsidRPr="005B4339">
        <w:rPr>
          <w:rFonts w:ascii="Times New Roman" w:hAnsi="Times New Roman" w:cs="Times New Roman"/>
          <w:noProof/>
          <w:sz w:val="24"/>
          <w:szCs w:val="24"/>
          <w:lang w:val="en-IE"/>
        </w:rPr>
        <w:t>s</w:t>
      </w:r>
      <w:r w:rsidRPr="005B4339">
        <w:rPr>
          <w:rFonts w:ascii="Times New Roman" w:hAnsi="Times New Roman" w:cs="Times New Roman"/>
          <w:noProof/>
          <w:sz w:val="24"/>
          <w:szCs w:val="24"/>
          <w:lang w:val="en-IE"/>
        </w:rPr>
        <w:t>. More standardised reporting resulting from this measure should, therefore, help to reduce burdens whilst producing more reliable data. Given the more specifically define</w:t>
      </w:r>
      <w:r w:rsidR="00F27589" w:rsidRPr="005B4339">
        <w:rPr>
          <w:rFonts w:ascii="Times New Roman" w:hAnsi="Times New Roman" w:cs="Times New Roman"/>
          <w:noProof/>
          <w:sz w:val="24"/>
          <w:szCs w:val="24"/>
          <w:lang w:val="en-IE"/>
        </w:rPr>
        <w:t>d</w:t>
      </w:r>
      <w:r w:rsidRPr="005B4339">
        <w:rPr>
          <w:rFonts w:ascii="Times New Roman" w:hAnsi="Times New Roman" w:cs="Times New Roman"/>
          <w:noProof/>
          <w:sz w:val="24"/>
          <w:szCs w:val="24"/>
          <w:lang w:val="en-IE"/>
        </w:rPr>
        <w:t xml:space="preserve"> scope of reporting by specific textiles types</w:t>
      </w:r>
      <w:r w:rsidR="00F27589"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administrative burden reduced by </w:t>
      </w:r>
      <w:r w:rsidR="00F27589" w:rsidRPr="005B4339">
        <w:rPr>
          <w:rFonts w:ascii="Times New Roman" w:hAnsi="Times New Roman" w:cs="Times New Roman"/>
          <w:noProof/>
          <w:sz w:val="24"/>
          <w:szCs w:val="24"/>
          <w:lang w:val="en-IE"/>
        </w:rPr>
        <w:t xml:space="preserve">alternative </w:t>
      </w:r>
      <w:r w:rsidRPr="005B4339">
        <w:rPr>
          <w:rFonts w:ascii="Times New Roman" w:hAnsi="Times New Roman" w:cs="Times New Roman"/>
          <w:noProof/>
          <w:sz w:val="24"/>
          <w:szCs w:val="24"/>
          <w:lang w:val="en-IE"/>
        </w:rPr>
        <w:t xml:space="preserve">3 would likely be greater than </w:t>
      </w:r>
      <w:r w:rsidR="00F27589" w:rsidRPr="005B4339">
        <w:rPr>
          <w:rFonts w:ascii="Times New Roman" w:hAnsi="Times New Roman" w:cs="Times New Roman"/>
          <w:noProof/>
          <w:sz w:val="24"/>
          <w:szCs w:val="24"/>
          <w:lang w:val="en-IE"/>
        </w:rPr>
        <w:t xml:space="preserve">alternative </w:t>
      </w:r>
      <w:r w:rsidRPr="005B4339">
        <w:rPr>
          <w:rFonts w:ascii="Times New Roman" w:hAnsi="Times New Roman" w:cs="Times New Roman"/>
          <w:noProof/>
          <w:sz w:val="24"/>
          <w:szCs w:val="24"/>
          <w:lang w:val="en-IE"/>
        </w:rPr>
        <w:t>1.</w:t>
      </w:r>
      <w:r w:rsidRPr="005B4339">
        <w:rPr>
          <w:rFonts w:ascii="Times New Roman" w:hAnsi="Times New Roman" w:cs="Times New Roman"/>
          <w:i/>
          <w:noProof/>
          <w:sz w:val="24"/>
          <w:szCs w:val="24"/>
          <w:lang w:val="en-IE"/>
        </w:rPr>
        <w:t xml:space="preserve"> </w:t>
      </w:r>
      <w:r w:rsidR="00306C94" w:rsidRPr="005B4339">
        <w:rPr>
          <w:rFonts w:ascii="Times New Roman" w:hAnsi="Times New Roman" w:cs="Times New Roman"/>
          <w:noProof/>
          <w:sz w:val="24"/>
          <w:szCs w:val="24"/>
          <w:lang w:val="en-IE"/>
        </w:rPr>
        <w:t xml:space="preserve"> It is estimated that the </w:t>
      </w:r>
      <w:r w:rsidR="009C08D8" w:rsidRPr="005B4339">
        <w:rPr>
          <w:rFonts w:ascii="Times New Roman" w:hAnsi="Times New Roman" w:cs="Times New Roman"/>
          <w:noProof/>
          <w:sz w:val="24"/>
          <w:szCs w:val="24"/>
          <w:lang w:val="en-IE"/>
        </w:rPr>
        <w:t>administrative</w:t>
      </w:r>
      <w:r w:rsidR="00306C94" w:rsidRPr="005B4339">
        <w:rPr>
          <w:rFonts w:ascii="Times New Roman" w:hAnsi="Times New Roman" w:cs="Times New Roman"/>
          <w:noProof/>
          <w:sz w:val="24"/>
          <w:szCs w:val="24"/>
          <w:lang w:val="en-IE"/>
        </w:rPr>
        <w:t xml:space="preserve"> burden reduction stemming from a clarification of reporting obligations would result in savings of approximately 250 000 </w:t>
      </w:r>
      <w:r w:rsidR="00723573" w:rsidRPr="005B4339">
        <w:rPr>
          <w:rFonts w:ascii="Times New Roman" w:hAnsi="Times New Roman" w:cs="Times New Roman"/>
          <w:noProof/>
          <w:sz w:val="24"/>
          <w:szCs w:val="24"/>
          <w:lang w:val="en-IE"/>
        </w:rPr>
        <w:t xml:space="preserve">euro </w:t>
      </w:r>
      <w:r w:rsidR="00306C94" w:rsidRPr="005B4339">
        <w:rPr>
          <w:rFonts w:ascii="Times New Roman" w:hAnsi="Times New Roman" w:cs="Times New Roman"/>
          <w:noProof/>
          <w:sz w:val="24"/>
          <w:szCs w:val="24"/>
          <w:lang w:val="en-IE"/>
        </w:rPr>
        <w:t xml:space="preserve">per </w:t>
      </w:r>
      <w:r w:rsidR="00723573" w:rsidRPr="005B4339">
        <w:rPr>
          <w:rFonts w:ascii="Times New Roman" w:hAnsi="Times New Roman" w:cs="Times New Roman"/>
          <w:noProof/>
          <w:sz w:val="24"/>
          <w:szCs w:val="24"/>
          <w:lang w:val="en-IE"/>
        </w:rPr>
        <w:t>year</w:t>
      </w:r>
      <w:r w:rsidR="00306C94" w:rsidRPr="005B4339">
        <w:rPr>
          <w:rFonts w:ascii="Times New Roman" w:hAnsi="Times New Roman" w:cs="Times New Roman"/>
          <w:noProof/>
          <w:sz w:val="24"/>
          <w:szCs w:val="24"/>
          <w:lang w:val="en-IE"/>
        </w:rPr>
        <w:t>.</w:t>
      </w:r>
      <w:r w:rsidR="00306C94" w:rsidRPr="005B4339">
        <w:rPr>
          <w:rFonts w:ascii="Times New Roman" w:hAnsi="Times New Roman" w:cs="Times New Roman"/>
          <w:i/>
          <w:noProof/>
          <w:sz w:val="24"/>
          <w:szCs w:val="24"/>
          <w:lang w:val="en-IE"/>
        </w:rPr>
        <w:t xml:space="preserve"> </w:t>
      </w:r>
    </w:p>
    <w:p w14:paraId="441847FA" w14:textId="77777777" w:rsidR="006225FD" w:rsidRPr="005B4339" w:rsidRDefault="006225FD" w:rsidP="00C00269">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728E2912" w14:textId="03497074" w:rsidR="006225FD" w:rsidRPr="005B4339" w:rsidRDefault="006225FD" w:rsidP="005E621B">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As noted under </w:t>
      </w:r>
      <w:r w:rsidR="00842FA6" w:rsidRPr="005B4339">
        <w:rPr>
          <w:rFonts w:ascii="Times New Roman" w:hAnsi="Times New Roman" w:cs="Times New Roman"/>
          <w:noProof/>
          <w:sz w:val="24"/>
          <w:szCs w:val="24"/>
          <w:lang w:val="en-IE"/>
        </w:rPr>
        <w:t xml:space="preserve">alternatives </w:t>
      </w:r>
      <w:r w:rsidRPr="005B4339">
        <w:rPr>
          <w:rFonts w:ascii="Times New Roman" w:hAnsi="Times New Roman" w:cs="Times New Roman"/>
          <w:noProof/>
          <w:sz w:val="24"/>
          <w:szCs w:val="24"/>
          <w:lang w:val="en-IE"/>
        </w:rPr>
        <w:t xml:space="preserve">1 and 2, in relation to producers of textiles, </w:t>
      </w:r>
      <w:r w:rsidR="00F27589" w:rsidRPr="005B4339">
        <w:rPr>
          <w:rFonts w:ascii="Times New Roman" w:hAnsi="Times New Roman" w:cs="Times New Roman"/>
          <w:noProof/>
          <w:sz w:val="24"/>
          <w:szCs w:val="24"/>
          <w:lang w:val="en-IE"/>
        </w:rPr>
        <w:t>most</w:t>
      </w:r>
      <w:r w:rsidRPr="005B4339">
        <w:rPr>
          <w:rFonts w:ascii="Times New Roman" w:hAnsi="Times New Roman" w:cs="Times New Roman"/>
          <w:noProof/>
          <w:sz w:val="24"/>
          <w:szCs w:val="24"/>
          <w:lang w:val="en-IE"/>
        </w:rPr>
        <w:t xml:space="preserve"> companies involved in the textiles and clothing industry are micro-enterprises with only 0.2% of enterprises </w:t>
      </w:r>
      <w:r w:rsidR="00F27589" w:rsidRPr="005B4339">
        <w:rPr>
          <w:rFonts w:ascii="Times New Roman" w:hAnsi="Times New Roman" w:cs="Times New Roman"/>
          <w:noProof/>
          <w:sz w:val="24"/>
          <w:szCs w:val="24"/>
          <w:lang w:val="en-IE"/>
        </w:rPr>
        <w:t>being large</w:t>
      </w:r>
      <w:r w:rsidRPr="005B4339">
        <w:rPr>
          <w:rFonts w:ascii="Times New Roman" w:hAnsi="Times New Roman" w:cs="Times New Roman"/>
          <w:noProof/>
          <w:sz w:val="24"/>
          <w:szCs w:val="24"/>
          <w:lang w:val="en-IE"/>
        </w:rPr>
        <w:t xml:space="preserve">. </w:t>
      </w:r>
      <w:r w:rsidR="00C45AF3" w:rsidRPr="005B4339">
        <w:rPr>
          <w:rFonts w:ascii="Times New Roman" w:hAnsi="Times New Roman" w:cs="Times New Roman"/>
          <w:noProof/>
          <w:sz w:val="24"/>
          <w:szCs w:val="24"/>
          <w:lang w:val="en-IE"/>
        </w:rPr>
        <w:t>Clarifying the definition of textiles according to the Textile Labelling Regulation is likely to have no significant additional admin burden on SMEs as they already comply with the Textile Labelling Regulation (unless they are subject to the specific exclusions provided for in that Regulation).</w:t>
      </w:r>
      <w:r w:rsidR="00C45AF3" w:rsidRPr="005B4339">
        <w:rPr>
          <w:rFonts w:ascii="Times New Roman" w:hAnsi="Times New Roman" w:cs="Times New Roman"/>
          <w:noProof/>
          <w:sz w:val="24"/>
          <w:szCs w:val="24"/>
          <w:vertAlign w:val="superscript"/>
          <w:lang w:val="en-IE"/>
        </w:rPr>
        <w:footnoteReference w:id="9"/>
      </w:r>
      <w:r w:rsidR="00C45AF3" w:rsidRPr="005B4339">
        <w:rPr>
          <w:rFonts w:ascii="Times New Roman" w:hAnsi="Times New Roman" w:cs="Times New Roman"/>
          <w:noProof/>
          <w:sz w:val="24"/>
          <w:szCs w:val="24"/>
          <w:lang w:val="en-IE"/>
        </w:rPr>
        <w:t xml:space="preserve"> On the contrary SMEs are likely to benefit from an alignment of the scope which makes the applicable rules easier to understand.</w:t>
      </w:r>
    </w:p>
    <w:p w14:paraId="1AF8FADC" w14:textId="4D79C407" w:rsidR="00B47C7D" w:rsidRPr="005B4339" w:rsidRDefault="00805261" w:rsidP="00105201">
      <w:pPr>
        <w:pStyle w:val="WDBody"/>
        <w:spacing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Alternative </w:t>
      </w:r>
      <w:r w:rsidR="006225FD" w:rsidRPr="005B4339">
        <w:rPr>
          <w:rFonts w:ascii="Times New Roman" w:hAnsi="Times New Roman" w:cs="Times New Roman"/>
          <w:noProof/>
          <w:sz w:val="24"/>
          <w:szCs w:val="24"/>
          <w:lang w:val="en-IE"/>
        </w:rPr>
        <w:t xml:space="preserve">3 offers the greatest </w:t>
      </w:r>
      <w:r w:rsidRPr="005B4339">
        <w:rPr>
          <w:rFonts w:ascii="Times New Roman" w:hAnsi="Times New Roman" w:cs="Times New Roman"/>
          <w:noProof/>
          <w:sz w:val="24"/>
          <w:szCs w:val="24"/>
          <w:lang w:val="en-IE"/>
        </w:rPr>
        <w:t>flexibility</w:t>
      </w:r>
      <w:r w:rsidR="006225FD" w:rsidRPr="005B4339">
        <w:rPr>
          <w:rFonts w:ascii="Times New Roman" w:hAnsi="Times New Roman" w:cs="Times New Roman"/>
          <w:noProof/>
          <w:sz w:val="24"/>
          <w:szCs w:val="24"/>
          <w:lang w:val="en-IE"/>
        </w:rPr>
        <w:t xml:space="preserve"> to both make sure that textiles in their entirety are addressed by using the definition of textiles from the textile labelling Regulation whilst targeting specific measures within the WFD at specific textile types by referring to specific CN codes. Depending on the limit of the textiles determined to be addressed under this option, defining textiles according to CN codes could significantly expand the types of textiles that to be collected under Article 11(1), potentially adding significant burden to social enterprises as well as any SME commercial operators that operate collection systems to expand those systems to address textiles that are currently not targeted by their collection schemes. Such a broadening </w:t>
      </w:r>
      <w:r w:rsidR="006225FD" w:rsidRPr="005B4339">
        <w:rPr>
          <w:rFonts w:ascii="Times New Roman" w:hAnsi="Times New Roman" w:cs="Times New Roman"/>
          <w:noProof/>
          <w:sz w:val="24"/>
          <w:szCs w:val="24"/>
          <w:lang w:val="en-IE"/>
        </w:rPr>
        <w:lastRenderedPageBreak/>
        <w:t>would have significant negative impacts on SME collectors and social enterprises accordingly. However, using a list that is in keeping with current interpretations applied in most Member States would limit this potential impact for the likes of Article 11(1) by focussing on clothing and household textiles whilst ensuring greater consistency of application of these measures for SMEs and social enterprises across the EU.</w:t>
      </w:r>
    </w:p>
    <w:p w14:paraId="71AAE98B" w14:textId="5AB2DDEF" w:rsidR="00105201" w:rsidRPr="005B4339" w:rsidRDefault="00105201" w:rsidP="00105201">
      <w:pPr>
        <w:pStyle w:val="WDBody"/>
        <w:spacing w:line="240" w:lineRule="auto"/>
        <w:jc w:val="both"/>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411F6E30" w14:textId="276C733F" w:rsidR="00105201" w:rsidRPr="005B4339" w:rsidRDefault="00C45AF3" w:rsidP="00E401D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Stakeholders </w:t>
      </w:r>
      <w:r w:rsidR="6BBCE9A9" w:rsidRPr="005B4339">
        <w:rPr>
          <w:rFonts w:ascii="Times New Roman" w:hAnsi="Times New Roman" w:cs="Times New Roman"/>
          <w:noProof/>
          <w:sz w:val="24"/>
          <w:szCs w:val="24"/>
          <w:lang w:val="en-IE"/>
        </w:rPr>
        <w:t>felt that a clear definition of reusable/recyclable is needed for textiles as currently, no specific criteria exist for an objective classification of discarded textiles into reusable or recyclable. This lack of definitions directly hampers a homogeneous classification of garments and the application of the waste hierarchy.</w:t>
      </w:r>
      <w:r w:rsidR="00105201" w:rsidRPr="005B4339">
        <w:rPr>
          <w:rStyle w:val="FootnoteReference"/>
          <w:rFonts w:ascii="Times New Roman" w:hAnsi="Times New Roman" w:cs="Times New Roman"/>
          <w:noProof/>
          <w:sz w:val="24"/>
          <w:szCs w:val="24"/>
          <w:lang w:val="en-IE"/>
        </w:rPr>
        <w:footnoteReference w:id="10"/>
      </w:r>
    </w:p>
    <w:p w14:paraId="6DD311AF" w14:textId="133766DE" w:rsidR="00105201" w:rsidRPr="005B4339" w:rsidRDefault="6BBCE9A9" w:rsidP="00E401D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For all </w:t>
      </w:r>
      <w:r w:rsidR="00805261" w:rsidRPr="005B4339">
        <w:rPr>
          <w:rFonts w:ascii="Times New Roman" w:hAnsi="Times New Roman" w:cs="Times New Roman"/>
          <w:noProof/>
          <w:sz w:val="24"/>
          <w:szCs w:val="24"/>
          <w:lang w:val="en-IE"/>
        </w:rPr>
        <w:t>alternatives</w:t>
      </w:r>
      <w:r w:rsidRPr="005B4339">
        <w:rPr>
          <w:rFonts w:ascii="Times New Roman" w:hAnsi="Times New Roman" w:cs="Times New Roman"/>
          <w:noProof/>
          <w:sz w:val="24"/>
          <w:szCs w:val="24"/>
          <w:lang w:val="en-IE"/>
        </w:rPr>
        <w:t xml:space="preserve"> there was consensus that any definitions should be EU-wide. This would ensure consistency which will drive ease of sharing, exports, and economies of scale. In addition to this, these definitions should be equally enshrined within all the different EU legislations to ensure shared indicators/reporting and objectives. This should include definitions of legally responsible economic operators as well as business related activities such as repair, remanufacture (remake) and </w:t>
      </w:r>
      <w:r w:rsidR="00FF5E8F" w:rsidRPr="005B4339">
        <w:rPr>
          <w:rFonts w:ascii="Times New Roman" w:hAnsi="Times New Roman" w:cs="Times New Roman"/>
          <w:noProof/>
          <w:sz w:val="24"/>
          <w:szCs w:val="24"/>
          <w:lang w:val="en-IE"/>
        </w:rPr>
        <w:t>second-hand</w:t>
      </w:r>
      <w:r w:rsidRPr="005B4339">
        <w:rPr>
          <w:rFonts w:ascii="Times New Roman" w:hAnsi="Times New Roman" w:cs="Times New Roman"/>
          <w:noProof/>
          <w:sz w:val="24"/>
          <w:szCs w:val="24"/>
          <w:lang w:val="en-IE"/>
        </w:rPr>
        <w:t xml:space="preserve"> must also be clearly stated and harmonized within all EU legislations </w:t>
      </w:r>
      <w:r w:rsidR="00105201" w:rsidRPr="005B4339">
        <w:rPr>
          <w:rStyle w:val="FootnoteReference"/>
          <w:rFonts w:ascii="Times New Roman" w:hAnsi="Times New Roman" w:cs="Times New Roman"/>
          <w:noProof/>
          <w:sz w:val="24"/>
          <w:szCs w:val="24"/>
          <w:lang w:val="en-IE"/>
        </w:rPr>
        <w:footnoteReference w:id="11"/>
      </w:r>
      <w:r w:rsidRPr="005B4339">
        <w:rPr>
          <w:rFonts w:ascii="Times New Roman" w:hAnsi="Times New Roman" w:cs="Times New Roman"/>
          <w:noProof/>
          <w:sz w:val="24"/>
          <w:szCs w:val="24"/>
          <w:lang w:val="en-IE"/>
        </w:rPr>
        <w:t xml:space="preserve"> and possible beyond (i.e.</w:t>
      </w:r>
      <w:r w:rsidR="000E38EF"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Norway). </w:t>
      </w:r>
      <w:r w:rsidR="00105201" w:rsidRPr="005B4339">
        <w:rPr>
          <w:rStyle w:val="FootnoteReference"/>
          <w:rFonts w:ascii="Times New Roman" w:hAnsi="Times New Roman" w:cs="Times New Roman"/>
          <w:noProof/>
          <w:sz w:val="24"/>
          <w:szCs w:val="24"/>
          <w:lang w:val="en-IE"/>
        </w:rPr>
        <w:footnoteReference w:id="12"/>
      </w:r>
    </w:p>
    <w:p w14:paraId="7F51E369" w14:textId="08EE084B" w:rsidR="00105201" w:rsidRPr="005B4339" w:rsidRDefault="00105201" w:rsidP="006D0BA8">
      <w:pPr>
        <w:spacing w:after="120"/>
        <w:rPr>
          <w:b/>
          <w:noProof/>
          <w:lang w:val="en-IE"/>
        </w:rPr>
      </w:pPr>
      <w:r w:rsidRPr="005B4339">
        <w:rPr>
          <w:b/>
          <w:noProof/>
          <w:lang w:val="en-IE"/>
        </w:rPr>
        <w:t xml:space="preserve">Comparison of </w:t>
      </w:r>
      <w:r w:rsidR="00E722CA" w:rsidRPr="005B4339">
        <w:rPr>
          <w:b/>
          <w:noProof/>
          <w:lang w:val="en-IE"/>
        </w:rPr>
        <w:t>alternatives</w:t>
      </w:r>
      <w:r w:rsidRPr="005B4339">
        <w:rPr>
          <w:b/>
          <w:noProof/>
          <w:lang w:val="en-IE"/>
        </w:rPr>
        <w:t xml:space="preserve"> 1, 2 and 3 in terms of scope</w:t>
      </w:r>
    </w:p>
    <w:p w14:paraId="455EE346" w14:textId="17B16E3A" w:rsidR="0045343A" w:rsidRPr="005B4339" w:rsidRDefault="00105201" w:rsidP="00105201">
      <w:pPr>
        <w:rPr>
          <w:noProof/>
          <w:lang w:val="en-IE"/>
        </w:rPr>
      </w:pPr>
      <w:r w:rsidRPr="005B4339">
        <w:rPr>
          <w:noProof/>
          <w:lang w:val="en-IE"/>
        </w:rPr>
        <w:t xml:space="preserve">Given that one of the most notable differences between </w:t>
      </w:r>
      <w:r w:rsidR="00B10C4D" w:rsidRPr="005B4339">
        <w:rPr>
          <w:noProof/>
          <w:lang w:val="en-IE"/>
        </w:rPr>
        <w:t>alternatives</w:t>
      </w:r>
      <w:r w:rsidRPr="005B4339">
        <w:rPr>
          <w:noProof/>
          <w:lang w:val="en-IE"/>
        </w:rPr>
        <w:t xml:space="preserve"> 1 and 2 is in relation to the scope of textile products that would be addressed, the table below summarises the differences in scope that would be seen. </w:t>
      </w:r>
      <w:r w:rsidR="00B10C4D" w:rsidRPr="005B4339">
        <w:rPr>
          <w:noProof/>
          <w:lang w:val="en-IE"/>
        </w:rPr>
        <w:t xml:space="preserve">Alternative </w:t>
      </w:r>
      <w:r w:rsidRPr="005B4339">
        <w:rPr>
          <w:noProof/>
          <w:lang w:val="en-IE"/>
        </w:rPr>
        <w:t>3</w:t>
      </w:r>
      <w:r w:rsidR="00B10C4D" w:rsidRPr="005B4339">
        <w:rPr>
          <w:noProof/>
          <w:lang w:val="en-IE"/>
        </w:rPr>
        <w:t xml:space="preserve"> captures </w:t>
      </w:r>
      <w:r w:rsidRPr="005B4339">
        <w:rPr>
          <w:noProof/>
          <w:lang w:val="en-IE"/>
        </w:rPr>
        <w:t xml:space="preserve">all elements in green for </w:t>
      </w:r>
      <w:r w:rsidR="00B10C4D" w:rsidRPr="005B4339">
        <w:rPr>
          <w:noProof/>
          <w:lang w:val="en-IE"/>
        </w:rPr>
        <w:t>altern</w:t>
      </w:r>
      <w:r w:rsidR="00EF2F0A" w:rsidRPr="005B4339">
        <w:rPr>
          <w:noProof/>
          <w:lang w:val="en-IE"/>
        </w:rPr>
        <w:t>a</w:t>
      </w:r>
      <w:r w:rsidR="00B10C4D" w:rsidRPr="005B4339">
        <w:rPr>
          <w:noProof/>
          <w:lang w:val="en-IE"/>
        </w:rPr>
        <w:t>tives</w:t>
      </w:r>
      <w:r w:rsidRPr="005B4339">
        <w:rPr>
          <w:noProof/>
          <w:lang w:val="en-IE"/>
        </w:rPr>
        <w:t xml:space="preserve"> 2 and 3. However, under </w:t>
      </w:r>
      <w:r w:rsidR="00B10C4D" w:rsidRPr="005B4339">
        <w:rPr>
          <w:noProof/>
          <w:lang w:val="en-IE"/>
        </w:rPr>
        <w:t xml:space="preserve">alternative </w:t>
      </w:r>
      <w:r w:rsidRPr="005B4339">
        <w:rPr>
          <w:noProof/>
          <w:lang w:val="en-IE"/>
        </w:rPr>
        <w:t xml:space="preserve">3 it would be possible to specify particular </w:t>
      </w:r>
      <w:r w:rsidR="00AE3F46" w:rsidRPr="005B4339">
        <w:rPr>
          <w:noProof/>
          <w:lang w:val="en-IE"/>
        </w:rPr>
        <w:t xml:space="preserve">textile categories for different </w:t>
      </w:r>
      <w:r w:rsidRPr="005B4339">
        <w:rPr>
          <w:noProof/>
          <w:lang w:val="en-IE"/>
        </w:rPr>
        <w:t>measures i.e.</w:t>
      </w:r>
      <w:r w:rsidR="00C00269" w:rsidRPr="005B4339">
        <w:rPr>
          <w:noProof/>
          <w:lang w:val="en-IE"/>
        </w:rPr>
        <w:t>,</w:t>
      </w:r>
      <w:r w:rsidRPr="005B4339">
        <w:rPr>
          <w:noProof/>
          <w:lang w:val="en-IE"/>
        </w:rPr>
        <w:t xml:space="preserve"> the overall definition of textiles would be broad as </w:t>
      </w:r>
      <w:r w:rsidR="00B10C4D" w:rsidRPr="005B4339">
        <w:rPr>
          <w:noProof/>
          <w:lang w:val="en-IE"/>
        </w:rPr>
        <w:t>in alternative</w:t>
      </w:r>
      <w:r w:rsidRPr="005B4339">
        <w:rPr>
          <w:noProof/>
          <w:lang w:val="en-IE"/>
        </w:rPr>
        <w:t xml:space="preserve"> 1 but specific measures could be targeted at specific CN codes using an approach defined under </w:t>
      </w:r>
      <w:r w:rsidR="00EF2F0A" w:rsidRPr="005B4339">
        <w:rPr>
          <w:noProof/>
          <w:lang w:val="en-IE"/>
        </w:rPr>
        <w:t xml:space="preserve">alternative </w:t>
      </w:r>
      <w:r w:rsidRPr="005B4339">
        <w:rPr>
          <w:noProof/>
          <w:lang w:val="en-IE"/>
        </w:rPr>
        <w:t xml:space="preserve">3. By way of example, an Annex could be added to the WFD containing a list of textiles by CN code for which </w:t>
      </w:r>
      <w:r w:rsidR="7C52C013" w:rsidRPr="005B4339">
        <w:rPr>
          <w:noProof/>
          <w:lang w:val="en-IE"/>
        </w:rPr>
        <w:t xml:space="preserve">measures such as </w:t>
      </w:r>
      <w:r w:rsidR="3AFA31DB" w:rsidRPr="005B4339">
        <w:rPr>
          <w:noProof/>
          <w:lang w:val="en-IE"/>
        </w:rPr>
        <w:t xml:space="preserve">separate collection, </w:t>
      </w:r>
      <w:r w:rsidRPr="005B4339">
        <w:rPr>
          <w:noProof/>
          <w:lang w:val="en-IE"/>
        </w:rPr>
        <w:t>EPR</w:t>
      </w:r>
      <w:r w:rsidR="2E292DD7" w:rsidRPr="005B4339">
        <w:rPr>
          <w:noProof/>
          <w:lang w:val="en-IE"/>
        </w:rPr>
        <w:t>, reporti</w:t>
      </w:r>
      <w:r w:rsidR="7D29DC74" w:rsidRPr="005B4339">
        <w:rPr>
          <w:noProof/>
          <w:lang w:val="en-IE"/>
        </w:rPr>
        <w:t>n</w:t>
      </w:r>
      <w:r w:rsidR="2E292DD7" w:rsidRPr="005B4339">
        <w:rPr>
          <w:noProof/>
          <w:lang w:val="en-IE"/>
        </w:rPr>
        <w:t>g</w:t>
      </w:r>
      <w:r w:rsidRPr="005B4339">
        <w:rPr>
          <w:noProof/>
          <w:lang w:val="en-IE"/>
        </w:rPr>
        <w:t xml:space="preserve"> should be applied. This would be more precise than under </w:t>
      </w:r>
      <w:r w:rsidR="00EF2F0A" w:rsidRPr="005B4339">
        <w:rPr>
          <w:noProof/>
          <w:lang w:val="en-IE"/>
        </w:rPr>
        <w:t>alternative</w:t>
      </w:r>
      <w:r w:rsidRPr="005B4339">
        <w:rPr>
          <w:noProof/>
          <w:lang w:val="en-IE"/>
        </w:rPr>
        <w:t xml:space="preserve"> 1 but would prevent the exclusion of textile materials from the broader measures that might otherwise be the case under </w:t>
      </w:r>
      <w:r w:rsidR="00EF2F0A" w:rsidRPr="005B4339">
        <w:rPr>
          <w:noProof/>
          <w:lang w:val="en-IE"/>
        </w:rPr>
        <w:t>alternative</w:t>
      </w:r>
      <w:r w:rsidRPr="005B4339">
        <w:rPr>
          <w:noProof/>
          <w:lang w:val="en-IE"/>
        </w:rPr>
        <w:t xml:space="preserve"> 2.</w:t>
      </w:r>
      <w:r w:rsidR="00855717" w:rsidRPr="005B4339">
        <w:rPr>
          <w:i/>
          <w:noProof/>
          <w:lang w:val="en-IE"/>
        </w:rPr>
        <w:t xml:space="preserve"> </w:t>
      </w:r>
      <w:r w:rsidR="007D494C" w:rsidRPr="005B4339">
        <w:rPr>
          <w:noProof/>
          <w:lang w:val="en-IE"/>
        </w:rPr>
        <w:t xml:space="preserve">However, the </w:t>
      </w:r>
      <w:r w:rsidR="002A22B7" w:rsidRPr="005B4339">
        <w:rPr>
          <w:noProof/>
          <w:lang w:val="en-IE"/>
        </w:rPr>
        <w:t>data and information currently collected through official statistics applies the CN code approach, and thus would ensure consistency and complementarity, in particular in view of the proposed EPR scheme (Measure 2.</w:t>
      </w:r>
      <w:r w:rsidR="69AAF727" w:rsidRPr="005B4339">
        <w:rPr>
          <w:noProof/>
          <w:lang w:val="en-IE"/>
        </w:rPr>
        <w:t>9</w:t>
      </w:r>
      <w:r w:rsidR="002A22B7" w:rsidRPr="005B4339">
        <w:rPr>
          <w:noProof/>
          <w:lang w:val="en-IE"/>
        </w:rPr>
        <w:t>).</w:t>
      </w:r>
      <w:r w:rsidR="006310EE" w:rsidRPr="005B4339">
        <w:rPr>
          <w:noProof/>
          <w:lang w:val="en-IE"/>
        </w:rPr>
        <w:br w:type="page"/>
      </w:r>
    </w:p>
    <w:p w14:paraId="4A814E5B" w14:textId="7D64AFDB" w:rsidR="00855717" w:rsidRPr="005B4339" w:rsidRDefault="00855717" w:rsidP="008D5200">
      <w:pPr>
        <w:jc w:val="left"/>
        <w:rPr>
          <w:noProof/>
        </w:rPr>
      </w:pPr>
      <w:bookmarkStart w:id="45" w:name="_Toc133229463"/>
      <w:bookmarkStart w:id="46" w:name="_Toc139032017"/>
      <w:r w:rsidRPr="005B4339">
        <w:rPr>
          <w:i/>
          <w:noProof/>
          <w:lang w:val="en-IE"/>
        </w:rPr>
        <w:lastRenderedPageBreak/>
        <w:t xml:space="preserve">Table </w:t>
      </w:r>
      <w:r w:rsidR="00393DFA">
        <w:rPr>
          <w:noProof/>
        </w:rPr>
        <w:t>1</w:t>
      </w:r>
      <w:r w:rsidR="00EA14D2" w:rsidRPr="005B4339">
        <w:rPr>
          <w:noProof/>
          <w:lang w:val="en-IE"/>
        </w:rPr>
        <w:t>:</w:t>
      </w:r>
      <w:r w:rsidRPr="005B4339">
        <w:rPr>
          <w:noProof/>
        </w:rPr>
        <w:t xml:space="preserve"> </w:t>
      </w:r>
      <w:r w:rsidRPr="005B4339">
        <w:rPr>
          <w:i/>
          <w:iCs/>
          <w:noProof/>
        </w:rPr>
        <w:t>Scope of the three alternatives</w:t>
      </w:r>
      <w:bookmarkEnd w:id="45"/>
      <w:bookmarkEnd w:id="46"/>
    </w:p>
    <w:tbl>
      <w:tblPr>
        <w:tblW w:w="0" w:type="auto"/>
        <w:tblLook w:val="04A0" w:firstRow="1" w:lastRow="0" w:firstColumn="1" w:lastColumn="0" w:noHBand="0" w:noVBand="1"/>
      </w:tblPr>
      <w:tblGrid>
        <w:gridCol w:w="1018"/>
        <w:gridCol w:w="644"/>
        <w:gridCol w:w="625"/>
        <w:gridCol w:w="597"/>
        <w:gridCol w:w="597"/>
        <w:gridCol w:w="597"/>
        <w:gridCol w:w="597"/>
        <w:gridCol w:w="619"/>
        <w:gridCol w:w="610"/>
        <w:gridCol w:w="623"/>
        <w:gridCol w:w="613"/>
        <w:gridCol w:w="597"/>
        <w:gridCol w:w="597"/>
        <w:gridCol w:w="318"/>
        <w:gridCol w:w="318"/>
        <w:gridCol w:w="606"/>
      </w:tblGrid>
      <w:tr w:rsidR="006310EE" w:rsidRPr="005B4339" w14:paraId="128320CE" w14:textId="77777777" w:rsidTr="006238FC">
        <w:tc>
          <w:tcPr>
            <w:tcW w:w="0" w:type="auto"/>
            <w:vMerge w:val="restart"/>
            <w:tcBorders>
              <w:top w:val="single" w:sz="8" w:space="0" w:color="auto"/>
              <w:left w:val="nil"/>
              <w:bottom w:val="single" w:sz="8" w:space="0" w:color="000000"/>
              <w:right w:val="single" w:sz="8" w:space="0" w:color="auto"/>
            </w:tcBorders>
            <w:shd w:val="clear" w:color="auto" w:fill="auto"/>
            <w:vAlign w:val="center"/>
            <w:hideMark/>
          </w:tcPr>
          <w:p w14:paraId="1A1DD49E"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Product type</w:t>
            </w:r>
          </w:p>
        </w:tc>
        <w:tc>
          <w:tcPr>
            <w:tcW w:w="0" w:type="auto"/>
            <w:gridSpan w:val="15"/>
            <w:tcBorders>
              <w:top w:val="single" w:sz="8" w:space="0" w:color="auto"/>
              <w:left w:val="nil"/>
              <w:bottom w:val="single" w:sz="8" w:space="0" w:color="auto"/>
              <w:right w:val="single" w:sz="8" w:space="0" w:color="000000"/>
            </w:tcBorders>
            <w:shd w:val="clear" w:color="auto" w:fill="auto"/>
            <w:vAlign w:val="center"/>
            <w:hideMark/>
          </w:tcPr>
          <w:p w14:paraId="057271C4"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Production phase</w:t>
            </w:r>
          </w:p>
        </w:tc>
      </w:tr>
      <w:tr w:rsidR="004D4541" w:rsidRPr="005B4339" w14:paraId="0D1B680D" w14:textId="77777777" w:rsidTr="006238FC">
        <w:trPr>
          <w:trHeight w:val="2"/>
        </w:trPr>
        <w:tc>
          <w:tcPr>
            <w:tcW w:w="0" w:type="auto"/>
            <w:vMerge/>
            <w:tcBorders>
              <w:top w:val="single" w:sz="8" w:space="0" w:color="auto"/>
              <w:left w:val="nil"/>
              <w:bottom w:val="single" w:sz="8" w:space="0" w:color="000000"/>
              <w:right w:val="single" w:sz="8" w:space="0" w:color="auto"/>
            </w:tcBorders>
            <w:vAlign w:val="center"/>
            <w:hideMark/>
          </w:tcPr>
          <w:p w14:paraId="4B8E45F1"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C1E16DA"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Raw</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195F7D0B"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Semi-worked</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F4CCC49"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Worked</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045FCB0"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Semi-manufactured</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7FBC2A1"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Manufactured</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70667A65"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Semi-made up</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67261B7" w14:textId="77777777" w:rsidR="006310EE" w:rsidRPr="005B4339" w:rsidRDefault="006310EE" w:rsidP="006310EE">
            <w:pPr>
              <w:spacing w:after="0"/>
              <w:jc w:val="center"/>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Made up</w:t>
            </w:r>
          </w:p>
        </w:tc>
      </w:tr>
      <w:tr w:rsidR="004D4541" w:rsidRPr="005B4339" w14:paraId="2D09767C" w14:textId="77777777" w:rsidTr="006238FC">
        <w:tc>
          <w:tcPr>
            <w:tcW w:w="0" w:type="auto"/>
            <w:vMerge/>
            <w:tcBorders>
              <w:top w:val="single" w:sz="8" w:space="0" w:color="auto"/>
              <w:left w:val="nil"/>
              <w:bottom w:val="single" w:sz="8" w:space="0" w:color="000000"/>
              <w:right w:val="single" w:sz="8" w:space="0" w:color="auto"/>
            </w:tcBorders>
            <w:vAlign w:val="center"/>
            <w:hideMark/>
          </w:tcPr>
          <w:p w14:paraId="6F736188"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p>
        </w:tc>
        <w:tc>
          <w:tcPr>
            <w:tcW w:w="0" w:type="auto"/>
            <w:tcBorders>
              <w:top w:val="nil"/>
              <w:left w:val="nil"/>
              <w:bottom w:val="single" w:sz="8" w:space="0" w:color="auto"/>
              <w:right w:val="single" w:sz="8" w:space="0" w:color="auto"/>
            </w:tcBorders>
            <w:shd w:val="clear" w:color="auto" w:fill="auto"/>
            <w:vAlign w:val="center"/>
            <w:hideMark/>
          </w:tcPr>
          <w:p w14:paraId="3871A20E"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7A62D277"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tcBorders>
              <w:top w:val="nil"/>
              <w:left w:val="nil"/>
              <w:bottom w:val="single" w:sz="8" w:space="0" w:color="auto"/>
              <w:right w:val="single" w:sz="8" w:space="0" w:color="auto"/>
            </w:tcBorders>
            <w:shd w:val="clear" w:color="auto" w:fill="auto"/>
            <w:vAlign w:val="center"/>
            <w:hideMark/>
          </w:tcPr>
          <w:p w14:paraId="3C312833"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44E007DD"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tcBorders>
              <w:top w:val="nil"/>
              <w:left w:val="nil"/>
              <w:bottom w:val="single" w:sz="8" w:space="0" w:color="auto"/>
              <w:right w:val="single" w:sz="8" w:space="0" w:color="auto"/>
            </w:tcBorders>
            <w:shd w:val="clear" w:color="auto" w:fill="auto"/>
            <w:vAlign w:val="center"/>
            <w:hideMark/>
          </w:tcPr>
          <w:p w14:paraId="619A933B"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020F387F"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tcBorders>
              <w:top w:val="nil"/>
              <w:left w:val="nil"/>
              <w:bottom w:val="single" w:sz="8" w:space="0" w:color="auto"/>
              <w:right w:val="single" w:sz="8" w:space="0" w:color="auto"/>
            </w:tcBorders>
            <w:shd w:val="clear" w:color="auto" w:fill="auto"/>
            <w:vAlign w:val="center"/>
            <w:hideMark/>
          </w:tcPr>
          <w:p w14:paraId="1CF70F7E"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4D1A26D2"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tcBorders>
              <w:top w:val="nil"/>
              <w:left w:val="nil"/>
              <w:bottom w:val="single" w:sz="8" w:space="0" w:color="auto"/>
              <w:right w:val="single" w:sz="8" w:space="0" w:color="auto"/>
            </w:tcBorders>
            <w:shd w:val="clear" w:color="auto" w:fill="auto"/>
            <w:vAlign w:val="center"/>
            <w:hideMark/>
          </w:tcPr>
          <w:p w14:paraId="7F503328"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42C782D0"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tcBorders>
              <w:top w:val="nil"/>
              <w:left w:val="nil"/>
              <w:bottom w:val="single" w:sz="8" w:space="0" w:color="auto"/>
              <w:right w:val="single" w:sz="8" w:space="0" w:color="auto"/>
            </w:tcBorders>
            <w:shd w:val="clear" w:color="auto" w:fill="auto"/>
            <w:vAlign w:val="center"/>
            <w:hideMark/>
          </w:tcPr>
          <w:p w14:paraId="7AF23402"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38C237C0"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c>
          <w:tcPr>
            <w:tcW w:w="0" w:type="auto"/>
            <w:gridSpan w:val="2"/>
            <w:tcBorders>
              <w:top w:val="nil"/>
              <w:left w:val="nil"/>
              <w:bottom w:val="single" w:sz="8" w:space="0" w:color="auto"/>
              <w:right w:val="single" w:sz="8" w:space="0" w:color="auto"/>
            </w:tcBorders>
            <w:shd w:val="clear" w:color="auto" w:fill="auto"/>
            <w:vAlign w:val="center"/>
            <w:hideMark/>
          </w:tcPr>
          <w:p w14:paraId="0DE18084"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Sub-option 1</w:t>
            </w:r>
          </w:p>
        </w:tc>
        <w:tc>
          <w:tcPr>
            <w:tcW w:w="0" w:type="auto"/>
            <w:tcBorders>
              <w:top w:val="nil"/>
              <w:left w:val="nil"/>
              <w:bottom w:val="single" w:sz="8" w:space="0" w:color="auto"/>
              <w:right w:val="single" w:sz="8" w:space="0" w:color="auto"/>
            </w:tcBorders>
            <w:shd w:val="clear" w:color="auto" w:fill="auto"/>
            <w:vAlign w:val="center"/>
            <w:hideMark/>
          </w:tcPr>
          <w:p w14:paraId="1F0C1189" w14:textId="77777777" w:rsidR="006310EE" w:rsidRPr="005B4339" w:rsidRDefault="006310EE" w:rsidP="006310EE">
            <w:pPr>
              <w:spacing w:after="0"/>
              <w:jc w:val="left"/>
              <w:rPr>
                <w:rFonts w:ascii="Segoe UI" w:eastAsia="Times New Roman" w:hAnsi="Segoe UI" w:cs="Segoe UI"/>
                <w:noProof/>
                <w:color w:val="000000"/>
                <w:sz w:val="16"/>
                <w:szCs w:val="16"/>
                <w:lang w:val="en-IE" w:eastAsia="en-IE"/>
              </w:rPr>
            </w:pPr>
            <w:r w:rsidRPr="005B4339">
              <w:rPr>
                <w:rFonts w:ascii="Segoe UI" w:eastAsia="Times New Roman" w:hAnsi="Segoe UI" w:cs="Segoe UI"/>
                <w:noProof/>
                <w:color w:val="000000"/>
                <w:sz w:val="16"/>
                <w:szCs w:val="16"/>
                <w:lang w:val="en-IE" w:eastAsia="en-IE"/>
              </w:rPr>
              <w:t xml:space="preserve">Sub-option 2 </w:t>
            </w:r>
          </w:p>
        </w:tc>
      </w:tr>
      <w:tr w:rsidR="004D4541" w:rsidRPr="005B4339" w14:paraId="6DA382A2" w14:textId="77777777" w:rsidTr="006238FC">
        <w:tc>
          <w:tcPr>
            <w:tcW w:w="0" w:type="auto"/>
            <w:tcBorders>
              <w:top w:val="nil"/>
              <w:left w:val="single" w:sz="8" w:space="0" w:color="auto"/>
              <w:bottom w:val="single" w:sz="8" w:space="0" w:color="auto"/>
              <w:right w:val="single" w:sz="8" w:space="0" w:color="auto"/>
            </w:tcBorders>
            <w:shd w:val="clear" w:color="auto" w:fill="auto"/>
            <w:vAlign w:val="center"/>
            <w:hideMark/>
          </w:tcPr>
          <w:p w14:paraId="5F1331FC"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Textile fibres, yarns and fabrics</w:t>
            </w:r>
          </w:p>
        </w:tc>
        <w:tc>
          <w:tcPr>
            <w:tcW w:w="0" w:type="auto"/>
            <w:tcBorders>
              <w:top w:val="nil"/>
              <w:left w:val="nil"/>
              <w:bottom w:val="single" w:sz="8" w:space="0" w:color="auto"/>
              <w:right w:val="single" w:sz="8" w:space="0" w:color="auto"/>
            </w:tcBorders>
            <w:shd w:val="clear" w:color="000000" w:fill="C6E0B4"/>
            <w:vAlign w:val="center"/>
            <w:hideMark/>
          </w:tcPr>
          <w:p w14:paraId="7E71809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35E035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8B39B6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D5D234C"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491FD78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59C235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205B85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07EEB9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4020692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66ED59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55049BD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CDBFB8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C6E0B4"/>
            <w:vAlign w:val="center"/>
            <w:hideMark/>
          </w:tcPr>
          <w:p w14:paraId="0E4D0AC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CA3A95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4169FB4B" w14:textId="77777777" w:rsidTr="006238FC">
        <w:trPr>
          <w:trHeight w:val="63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D76482"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Finished textile clothes</w:t>
            </w:r>
          </w:p>
        </w:tc>
        <w:tc>
          <w:tcPr>
            <w:tcW w:w="0" w:type="auto"/>
            <w:tcBorders>
              <w:top w:val="nil"/>
              <w:left w:val="nil"/>
              <w:bottom w:val="single" w:sz="8" w:space="0" w:color="auto"/>
              <w:right w:val="single" w:sz="8" w:space="0" w:color="auto"/>
            </w:tcBorders>
            <w:shd w:val="clear" w:color="000000" w:fill="C6E0B4"/>
            <w:vAlign w:val="center"/>
            <w:hideMark/>
          </w:tcPr>
          <w:p w14:paraId="4637992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DFC5E4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5B9276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B2965F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1E38D25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4EA8D9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5463A2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232171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6AD22F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B23A53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1185108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8D71E8C"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C6E0B4"/>
            <w:vAlign w:val="center"/>
            <w:hideMark/>
          </w:tcPr>
          <w:p w14:paraId="2FBBBA1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4FDF37BC"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71CF73E5" w14:textId="77777777" w:rsidTr="006238FC">
        <w:trPr>
          <w:trHeight w:val="4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DA377A"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Household textiles</w:t>
            </w:r>
          </w:p>
        </w:tc>
        <w:tc>
          <w:tcPr>
            <w:tcW w:w="0" w:type="auto"/>
            <w:tcBorders>
              <w:top w:val="nil"/>
              <w:left w:val="nil"/>
              <w:bottom w:val="single" w:sz="8" w:space="0" w:color="auto"/>
              <w:right w:val="single" w:sz="8" w:space="0" w:color="auto"/>
            </w:tcBorders>
            <w:shd w:val="clear" w:color="000000" w:fill="C6E0B4"/>
            <w:vAlign w:val="center"/>
            <w:hideMark/>
          </w:tcPr>
          <w:p w14:paraId="638F04E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0BB297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732B27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EF653B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AF6141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D6E9E7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57C1ED5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5BBA9C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4B6C27F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0F45A97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7E83DED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4082A4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C6E0B4"/>
            <w:vAlign w:val="center"/>
            <w:hideMark/>
          </w:tcPr>
          <w:p w14:paraId="6849E52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75E874A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5FD9D00B" w14:textId="77777777" w:rsidTr="006238FC">
        <w:trPr>
          <w:trHeight w:val="21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DFA93"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Shoes</w:t>
            </w:r>
          </w:p>
        </w:tc>
        <w:tc>
          <w:tcPr>
            <w:tcW w:w="0" w:type="auto"/>
            <w:tcBorders>
              <w:top w:val="nil"/>
              <w:left w:val="nil"/>
              <w:bottom w:val="single" w:sz="8" w:space="0" w:color="auto"/>
              <w:right w:val="single" w:sz="8" w:space="0" w:color="auto"/>
            </w:tcBorders>
            <w:shd w:val="clear" w:color="000000" w:fill="FF3300"/>
            <w:vAlign w:val="center"/>
            <w:hideMark/>
          </w:tcPr>
          <w:p w14:paraId="4DA29FE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2DD848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73356C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794579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0F068F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1F8696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1F191A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B6D94B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5EE799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78BA375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AE90C7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991378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FF3300"/>
            <w:vAlign w:val="center"/>
            <w:hideMark/>
          </w:tcPr>
          <w:p w14:paraId="530C3C9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177E359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32C2D591" w14:textId="77777777" w:rsidTr="006238FC">
        <w:tc>
          <w:tcPr>
            <w:tcW w:w="0" w:type="auto"/>
            <w:tcBorders>
              <w:top w:val="nil"/>
              <w:left w:val="single" w:sz="8" w:space="0" w:color="auto"/>
              <w:bottom w:val="single" w:sz="8" w:space="0" w:color="auto"/>
              <w:right w:val="single" w:sz="8" w:space="0" w:color="auto"/>
            </w:tcBorders>
            <w:shd w:val="clear" w:color="auto" w:fill="auto"/>
            <w:vAlign w:val="center"/>
            <w:hideMark/>
          </w:tcPr>
          <w:p w14:paraId="420F2411"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Leather clothing and apparel</w:t>
            </w:r>
          </w:p>
        </w:tc>
        <w:tc>
          <w:tcPr>
            <w:tcW w:w="0" w:type="auto"/>
            <w:tcBorders>
              <w:top w:val="nil"/>
              <w:left w:val="nil"/>
              <w:bottom w:val="single" w:sz="8" w:space="0" w:color="auto"/>
              <w:right w:val="single" w:sz="8" w:space="0" w:color="auto"/>
            </w:tcBorders>
            <w:shd w:val="clear" w:color="000000" w:fill="FF3300"/>
            <w:vAlign w:val="center"/>
            <w:hideMark/>
          </w:tcPr>
          <w:p w14:paraId="59E7737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F46A86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4B6518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1627C0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A3D56F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E3CFDB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4DE4F1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F8CF7B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E077FC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0BD781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FB3F35F"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58C837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FF3300"/>
            <w:vAlign w:val="center"/>
            <w:hideMark/>
          </w:tcPr>
          <w:p w14:paraId="5A9D358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5C1BD4E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280D6469" w14:textId="77777777" w:rsidTr="006238FC">
        <w:tc>
          <w:tcPr>
            <w:tcW w:w="0" w:type="auto"/>
            <w:tcBorders>
              <w:top w:val="nil"/>
              <w:left w:val="single" w:sz="8" w:space="0" w:color="auto"/>
              <w:bottom w:val="single" w:sz="8" w:space="0" w:color="auto"/>
              <w:right w:val="single" w:sz="8" w:space="0" w:color="auto"/>
            </w:tcBorders>
            <w:shd w:val="clear" w:color="auto" w:fill="auto"/>
            <w:vAlign w:val="center"/>
            <w:hideMark/>
          </w:tcPr>
          <w:p w14:paraId="7787F1FD"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Jewellery and other accessories</w:t>
            </w:r>
          </w:p>
        </w:tc>
        <w:tc>
          <w:tcPr>
            <w:tcW w:w="0" w:type="auto"/>
            <w:tcBorders>
              <w:top w:val="nil"/>
              <w:left w:val="nil"/>
              <w:bottom w:val="single" w:sz="8" w:space="0" w:color="auto"/>
              <w:right w:val="single" w:sz="8" w:space="0" w:color="auto"/>
            </w:tcBorders>
            <w:shd w:val="clear" w:color="000000" w:fill="FF3300"/>
            <w:vAlign w:val="center"/>
            <w:hideMark/>
          </w:tcPr>
          <w:p w14:paraId="355B80B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26554B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4704D8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35ABB0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AC537C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AFAD23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36090D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AA0FC0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CF2027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B55929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CE521A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D485D6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FF3300"/>
            <w:vAlign w:val="center"/>
            <w:hideMark/>
          </w:tcPr>
          <w:p w14:paraId="2C33330C"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33A20E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48DB7487" w14:textId="77777777" w:rsidTr="006238FC">
        <w:trPr>
          <w:trHeight w:val="21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D1DADA"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Mattresses</w:t>
            </w:r>
            <w:r w:rsidRPr="005B4339">
              <w:rPr>
                <w:rFonts w:ascii="Segoe UI" w:eastAsia="Times New Roman" w:hAnsi="Segoe UI" w:cs="Segoe UI"/>
                <w:b/>
                <w:bCs/>
                <w:noProof/>
                <w:color w:val="000000"/>
                <w:sz w:val="18"/>
                <w:szCs w:val="18"/>
                <w:vertAlign w:val="superscript"/>
                <w:lang w:val="en-IE" w:eastAsia="en-IE"/>
              </w:rPr>
              <w:t>1</w:t>
            </w:r>
          </w:p>
        </w:tc>
        <w:tc>
          <w:tcPr>
            <w:tcW w:w="0" w:type="auto"/>
            <w:tcBorders>
              <w:top w:val="nil"/>
              <w:left w:val="nil"/>
              <w:bottom w:val="single" w:sz="8" w:space="0" w:color="auto"/>
              <w:right w:val="single" w:sz="8" w:space="0" w:color="auto"/>
            </w:tcBorders>
            <w:shd w:val="clear" w:color="000000" w:fill="FF3300"/>
            <w:vAlign w:val="center"/>
            <w:hideMark/>
          </w:tcPr>
          <w:p w14:paraId="21C59458"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3D8C1D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D90649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76EC8E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01DD83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3FC02A8"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5FEB09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6CA471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9170BE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430C47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DED9C0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F87F5E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FF3300"/>
            <w:vAlign w:val="center"/>
            <w:hideMark/>
          </w:tcPr>
          <w:p w14:paraId="4DF0DF8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CBC24C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6C6ADF7E" w14:textId="77777777" w:rsidTr="006238FC">
        <w:tc>
          <w:tcPr>
            <w:tcW w:w="0" w:type="auto"/>
            <w:tcBorders>
              <w:top w:val="nil"/>
              <w:left w:val="single" w:sz="8" w:space="0" w:color="auto"/>
              <w:bottom w:val="single" w:sz="8" w:space="0" w:color="auto"/>
              <w:right w:val="single" w:sz="8" w:space="0" w:color="auto"/>
            </w:tcBorders>
            <w:shd w:val="clear" w:color="auto" w:fill="auto"/>
            <w:vAlign w:val="center"/>
            <w:hideMark/>
          </w:tcPr>
          <w:p w14:paraId="26124C84"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Carpets and other floor coverings</w:t>
            </w:r>
          </w:p>
        </w:tc>
        <w:tc>
          <w:tcPr>
            <w:tcW w:w="0" w:type="auto"/>
            <w:tcBorders>
              <w:top w:val="nil"/>
              <w:left w:val="nil"/>
              <w:bottom w:val="single" w:sz="8" w:space="0" w:color="auto"/>
              <w:right w:val="single" w:sz="8" w:space="0" w:color="auto"/>
            </w:tcBorders>
            <w:shd w:val="clear" w:color="000000" w:fill="C6E0B4"/>
            <w:vAlign w:val="center"/>
            <w:hideMark/>
          </w:tcPr>
          <w:p w14:paraId="270E25E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4D06FAC"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B58FD2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0FF417E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22450FB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4E78DEC8"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0E078FC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324699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36F38F96"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8D83D24"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C6E0B4"/>
            <w:vAlign w:val="center"/>
            <w:hideMark/>
          </w:tcPr>
          <w:p w14:paraId="5AAE6B23"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0510E7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C6E0B4"/>
            <w:vAlign w:val="center"/>
            <w:hideMark/>
          </w:tcPr>
          <w:p w14:paraId="70A56CA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54753E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5F7A0231" w14:textId="77777777" w:rsidTr="006238FC">
        <w:tc>
          <w:tcPr>
            <w:tcW w:w="0" w:type="auto"/>
            <w:tcBorders>
              <w:top w:val="nil"/>
              <w:left w:val="single" w:sz="8" w:space="0" w:color="auto"/>
              <w:bottom w:val="single" w:sz="8" w:space="0" w:color="auto"/>
              <w:right w:val="single" w:sz="8" w:space="0" w:color="auto"/>
            </w:tcBorders>
            <w:shd w:val="clear" w:color="auto" w:fill="auto"/>
            <w:vAlign w:val="center"/>
            <w:hideMark/>
          </w:tcPr>
          <w:p w14:paraId="5B0CDA69" w14:textId="77777777" w:rsidR="006310EE" w:rsidRPr="005B4339" w:rsidRDefault="006310EE" w:rsidP="006310EE">
            <w:pPr>
              <w:spacing w:after="0"/>
              <w:jc w:val="left"/>
              <w:rPr>
                <w:rFonts w:ascii="Segoe UI" w:eastAsia="Times New Roman" w:hAnsi="Segoe UI" w:cs="Segoe UI"/>
                <w:b/>
                <w:bCs/>
                <w:noProof/>
                <w:color w:val="000000"/>
                <w:sz w:val="18"/>
                <w:szCs w:val="18"/>
                <w:lang w:val="en-IE" w:eastAsia="en-IE"/>
              </w:rPr>
            </w:pPr>
            <w:r w:rsidRPr="005B4339">
              <w:rPr>
                <w:rFonts w:ascii="Segoe UI" w:eastAsia="Times New Roman" w:hAnsi="Segoe UI" w:cs="Segoe UI"/>
                <w:b/>
                <w:bCs/>
                <w:noProof/>
                <w:color w:val="000000"/>
                <w:sz w:val="18"/>
                <w:szCs w:val="18"/>
                <w:lang w:val="en-IE" w:eastAsia="en-IE"/>
              </w:rPr>
              <w:t>Tents, tarpaulins, umbrellas and sails</w:t>
            </w:r>
          </w:p>
        </w:tc>
        <w:tc>
          <w:tcPr>
            <w:tcW w:w="0" w:type="auto"/>
            <w:tcBorders>
              <w:top w:val="nil"/>
              <w:left w:val="nil"/>
              <w:bottom w:val="single" w:sz="8" w:space="0" w:color="auto"/>
              <w:right w:val="single" w:sz="8" w:space="0" w:color="auto"/>
            </w:tcBorders>
            <w:shd w:val="clear" w:color="000000" w:fill="FF3300"/>
            <w:vAlign w:val="center"/>
            <w:hideMark/>
          </w:tcPr>
          <w:p w14:paraId="1723CEE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3C45452"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DE3ABAD"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23DD62E"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694E5D6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E6134B1"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22F5E1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1E387E1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78499F4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B6F603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3ACB3BDB"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21C40F89"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single" w:sz="8" w:space="0" w:color="auto"/>
              <w:right w:val="single" w:sz="8" w:space="0" w:color="auto"/>
            </w:tcBorders>
            <w:shd w:val="clear" w:color="000000" w:fill="FF3300"/>
            <w:vAlign w:val="center"/>
            <w:hideMark/>
          </w:tcPr>
          <w:p w14:paraId="7994BF7A"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tcBorders>
              <w:top w:val="nil"/>
              <w:left w:val="nil"/>
              <w:bottom w:val="single" w:sz="8" w:space="0" w:color="auto"/>
              <w:right w:val="single" w:sz="8" w:space="0" w:color="auto"/>
            </w:tcBorders>
            <w:shd w:val="clear" w:color="000000" w:fill="FF3300"/>
            <w:vAlign w:val="center"/>
            <w:hideMark/>
          </w:tcPr>
          <w:p w14:paraId="5A829AD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r>
      <w:tr w:rsidR="004D4541" w:rsidRPr="005B4339" w14:paraId="394B7209" w14:textId="77777777" w:rsidTr="006238FC">
        <w:trPr>
          <w:trHeight w:val="212"/>
        </w:trPr>
        <w:tc>
          <w:tcPr>
            <w:tcW w:w="0" w:type="auto"/>
            <w:tcBorders>
              <w:top w:val="nil"/>
              <w:left w:val="nil"/>
              <w:bottom w:val="nil"/>
              <w:right w:val="nil"/>
            </w:tcBorders>
            <w:shd w:val="clear" w:color="auto" w:fill="auto"/>
            <w:noWrap/>
            <w:vAlign w:val="bottom"/>
            <w:hideMark/>
          </w:tcPr>
          <w:p w14:paraId="66B2E977"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p>
        </w:tc>
        <w:tc>
          <w:tcPr>
            <w:tcW w:w="0" w:type="auto"/>
            <w:tcBorders>
              <w:top w:val="nil"/>
              <w:left w:val="nil"/>
              <w:bottom w:val="nil"/>
              <w:right w:val="nil"/>
            </w:tcBorders>
            <w:shd w:val="clear" w:color="auto" w:fill="auto"/>
            <w:noWrap/>
            <w:vAlign w:val="bottom"/>
            <w:hideMark/>
          </w:tcPr>
          <w:p w14:paraId="78B367FF"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15A9A5D0"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284ADFED"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5B7D45E3"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6FEEF78B"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3D9B86C8"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128E8718"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00E14E6F"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5E8A99F7"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064187EE"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1B086352"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2BD6FA8F" w14:textId="77777777" w:rsidR="006310EE" w:rsidRPr="005B4339" w:rsidRDefault="006310EE" w:rsidP="006310EE">
            <w:pPr>
              <w:spacing w:after="0"/>
              <w:jc w:val="left"/>
              <w:rPr>
                <w:rFonts w:eastAsia="Times New Roman"/>
                <w:noProof/>
                <w:sz w:val="18"/>
                <w:szCs w:val="18"/>
                <w:lang w:val="en-IE" w:eastAsia="en-IE"/>
              </w:rPr>
            </w:pPr>
          </w:p>
        </w:tc>
        <w:tc>
          <w:tcPr>
            <w:tcW w:w="0" w:type="auto"/>
            <w:gridSpan w:val="2"/>
            <w:tcBorders>
              <w:top w:val="nil"/>
              <w:left w:val="nil"/>
              <w:bottom w:val="nil"/>
              <w:right w:val="nil"/>
            </w:tcBorders>
            <w:shd w:val="clear" w:color="auto" w:fill="auto"/>
            <w:noWrap/>
            <w:vAlign w:val="bottom"/>
            <w:hideMark/>
          </w:tcPr>
          <w:p w14:paraId="71571B82"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35C74915" w14:textId="77777777" w:rsidR="006310EE" w:rsidRPr="005B4339" w:rsidRDefault="006310EE" w:rsidP="006310EE">
            <w:pPr>
              <w:spacing w:after="0"/>
              <w:jc w:val="left"/>
              <w:rPr>
                <w:rFonts w:eastAsia="Times New Roman"/>
                <w:noProof/>
                <w:sz w:val="18"/>
                <w:szCs w:val="18"/>
                <w:lang w:val="en-IE" w:eastAsia="en-IE"/>
              </w:rPr>
            </w:pPr>
          </w:p>
        </w:tc>
      </w:tr>
      <w:tr w:rsidR="004D4541" w:rsidRPr="005B4339" w14:paraId="60BFEC76" w14:textId="77777777" w:rsidTr="006238FC">
        <w:trPr>
          <w:trHeight w:val="228"/>
        </w:trPr>
        <w:tc>
          <w:tcPr>
            <w:tcW w:w="0" w:type="auto"/>
            <w:tcBorders>
              <w:top w:val="nil"/>
              <w:left w:val="nil"/>
              <w:bottom w:val="single" w:sz="8" w:space="0" w:color="auto"/>
              <w:right w:val="single" w:sz="8" w:space="0" w:color="auto"/>
            </w:tcBorders>
            <w:shd w:val="clear" w:color="000000" w:fill="C6E0B4"/>
            <w:vAlign w:val="center"/>
            <w:hideMark/>
          </w:tcPr>
          <w:p w14:paraId="1E62A115"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nil"/>
              <w:right w:val="nil"/>
            </w:tcBorders>
            <w:shd w:val="clear" w:color="auto" w:fill="auto"/>
            <w:noWrap/>
            <w:vAlign w:val="bottom"/>
            <w:hideMark/>
          </w:tcPr>
          <w:p w14:paraId="48CA65FD" w14:textId="77777777" w:rsidR="006310EE" w:rsidRPr="005B4339" w:rsidRDefault="006310EE" w:rsidP="006310EE">
            <w:pPr>
              <w:spacing w:after="0"/>
              <w:jc w:val="left"/>
              <w:rPr>
                <w:rFonts w:ascii="Calibri" w:eastAsia="Times New Roman" w:hAnsi="Calibri" w:cs="Calibri"/>
                <w:noProof/>
                <w:color w:val="000000"/>
                <w:sz w:val="18"/>
                <w:szCs w:val="18"/>
                <w:lang w:val="en-IE" w:eastAsia="en-IE"/>
              </w:rPr>
            </w:pPr>
            <w:r w:rsidRPr="005B4339">
              <w:rPr>
                <w:rFonts w:ascii="Calibri" w:eastAsia="Times New Roman" w:hAnsi="Calibri" w:cs="Calibri"/>
                <w:noProof/>
                <w:color w:val="000000"/>
                <w:sz w:val="18"/>
                <w:szCs w:val="18"/>
                <w:lang w:val="en-IE" w:eastAsia="en-IE"/>
              </w:rPr>
              <w:t>Within scope</w:t>
            </w:r>
          </w:p>
        </w:tc>
        <w:tc>
          <w:tcPr>
            <w:tcW w:w="0" w:type="auto"/>
            <w:tcBorders>
              <w:top w:val="nil"/>
              <w:left w:val="nil"/>
              <w:bottom w:val="nil"/>
              <w:right w:val="nil"/>
            </w:tcBorders>
            <w:shd w:val="clear" w:color="auto" w:fill="auto"/>
            <w:noWrap/>
            <w:vAlign w:val="bottom"/>
            <w:hideMark/>
          </w:tcPr>
          <w:p w14:paraId="17B78011" w14:textId="77777777" w:rsidR="006310EE" w:rsidRPr="005B4339" w:rsidRDefault="006310EE" w:rsidP="006310EE">
            <w:pPr>
              <w:spacing w:after="0"/>
              <w:jc w:val="left"/>
              <w:rPr>
                <w:rFonts w:ascii="Calibri" w:eastAsia="Times New Roman" w:hAnsi="Calibri" w:cs="Calibri"/>
                <w:noProof/>
                <w:color w:val="000000"/>
                <w:sz w:val="18"/>
                <w:szCs w:val="18"/>
                <w:lang w:val="en-IE" w:eastAsia="en-IE"/>
              </w:rPr>
            </w:pPr>
          </w:p>
        </w:tc>
        <w:tc>
          <w:tcPr>
            <w:tcW w:w="0" w:type="auto"/>
            <w:tcBorders>
              <w:top w:val="nil"/>
              <w:left w:val="nil"/>
              <w:bottom w:val="nil"/>
              <w:right w:val="nil"/>
            </w:tcBorders>
            <w:shd w:val="clear" w:color="auto" w:fill="auto"/>
            <w:noWrap/>
            <w:vAlign w:val="bottom"/>
            <w:hideMark/>
          </w:tcPr>
          <w:p w14:paraId="75B8C7E4"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CD96D1D"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C3BD1F8"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2DF2E82B"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5AC181A0"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C96C651"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F43008B"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5878BCA5"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2AE9F237" w14:textId="77777777" w:rsidR="006310EE" w:rsidRPr="005B4339" w:rsidRDefault="006310EE" w:rsidP="006310EE">
            <w:pPr>
              <w:spacing w:after="0"/>
              <w:jc w:val="left"/>
              <w:rPr>
                <w:rFonts w:eastAsia="Times New Roman"/>
                <w:noProof/>
                <w:sz w:val="18"/>
                <w:szCs w:val="18"/>
                <w:lang w:val="en-IE" w:eastAsia="en-IE"/>
              </w:rPr>
            </w:pPr>
          </w:p>
        </w:tc>
        <w:tc>
          <w:tcPr>
            <w:tcW w:w="0" w:type="auto"/>
            <w:gridSpan w:val="2"/>
            <w:tcBorders>
              <w:top w:val="nil"/>
              <w:left w:val="nil"/>
              <w:bottom w:val="nil"/>
              <w:right w:val="nil"/>
            </w:tcBorders>
            <w:shd w:val="clear" w:color="auto" w:fill="auto"/>
            <w:noWrap/>
            <w:vAlign w:val="bottom"/>
            <w:hideMark/>
          </w:tcPr>
          <w:p w14:paraId="6BFDED83"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078DAA03" w14:textId="77777777" w:rsidR="006310EE" w:rsidRPr="005B4339" w:rsidRDefault="006310EE" w:rsidP="006310EE">
            <w:pPr>
              <w:spacing w:after="0"/>
              <w:jc w:val="left"/>
              <w:rPr>
                <w:rFonts w:eastAsia="Times New Roman"/>
                <w:noProof/>
                <w:sz w:val="18"/>
                <w:szCs w:val="18"/>
                <w:lang w:val="en-IE" w:eastAsia="en-IE"/>
              </w:rPr>
            </w:pPr>
          </w:p>
        </w:tc>
      </w:tr>
      <w:tr w:rsidR="004D4541" w:rsidRPr="005B4339" w14:paraId="343802A8" w14:textId="77777777" w:rsidTr="006238FC">
        <w:trPr>
          <w:trHeight w:val="440"/>
        </w:trPr>
        <w:tc>
          <w:tcPr>
            <w:tcW w:w="0" w:type="auto"/>
            <w:tcBorders>
              <w:top w:val="nil"/>
              <w:left w:val="nil"/>
              <w:bottom w:val="single" w:sz="8" w:space="0" w:color="auto"/>
              <w:right w:val="single" w:sz="8" w:space="0" w:color="auto"/>
            </w:tcBorders>
            <w:shd w:val="clear" w:color="000000" w:fill="FF3300"/>
            <w:vAlign w:val="center"/>
            <w:hideMark/>
          </w:tcPr>
          <w:p w14:paraId="3DDF4DA0" w14:textId="77777777" w:rsidR="006310EE" w:rsidRPr="005B4339" w:rsidRDefault="006310EE" w:rsidP="006310EE">
            <w:pPr>
              <w:spacing w:after="0"/>
              <w:jc w:val="left"/>
              <w:rPr>
                <w:rFonts w:ascii="Segoe UI" w:eastAsia="Times New Roman" w:hAnsi="Segoe UI" w:cs="Segoe UI"/>
                <w:noProof/>
                <w:color w:val="000000"/>
                <w:sz w:val="18"/>
                <w:szCs w:val="18"/>
                <w:lang w:val="en-IE" w:eastAsia="en-IE"/>
              </w:rPr>
            </w:pPr>
            <w:r w:rsidRPr="005B4339">
              <w:rPr>
                <w:rFonts w:ascii="Segoe UI" w:eastAsia="Times New Roman" w:hAnsi="Segoe UI" w:cs="Segoe UI"/>
                <w:noProof/>
                <w:color w:val="000000"/>
                <w:sz w:val="18"/>
                <w:szCs w:val="18"/>
                <w:lang w:val="en-IE" w:eastAsia="en-IE"/>
              </w:rPr>
              <w:t> </w:t>
            </w:r>
          </w:p>
        </w:tc>
        <w:tc>
          <w:tcPr>
            <w:tcW w:w="0" w:type="auto"/>
            <w:gridSpan w:val="2"/>
            <w:tcBorders>
              <w:top w:val="nil"/>
              <w:left w:val="nil"/>
              <w:bottom w:val="nil"/>
              <w:right w:val="nil"/>
            </w:tcBorders>
            <w:shd w:val="clear" w:color="auto" w:fill="auto"/>
            <w:noWrap/>
            <w:vAlign w:val="bottom"/>
            <w:hideMark/>
          </w:tcPr>
          <w:p w14:paraId="3AB1B609" w14:textId="77777777" w:rsidR="006310EE" w:rsidRPr="005B4339" w:rsidRDefault="006310EE" w:rsidP="006310EE">
            <w:pPr>
              <w:spacing w:after="0"/>
              <w:jc w:val="left"/>
              <w:rPr>
                <w:rFonts w:ascii="Calibri" w:eastAsia="Times New Roman" w:hAnsi="Calibri" w:cs="Calibri"/>
                <w:noProof/>
                <w:color w:val="000000"/>
                <w:sz w:val="18"/>
                <w:szCs w:val="18"/>
                <w:lang w:val="en-IE" w:eastAsia="en-IE"/>
              </w:rPr>
            </w:pPr>
            <w:r w:rsidRPr="005B4339">
              <w:rPr>
                <w:rFonts w:ascii="Calibri" w:eastAsia="Times New Roman" w:hAnsi="Calibri" w:cs="Calibri"/>
                <w:noProof/>
                <w:color w:val="000000"/>
                <w:sz w:val="18"/>
                <w:szCs w:val="18"/>
                <w:lang w:val="en-IE" w:eastAsia="en-IE"/>
              </w:rPr>
              <w:t>Not within scope</w:t>
            </w:r>
          </w:p>
        </w:tc>
        <w:tc>
          <w:tcPr>
            <w:tcW w:w="0" w:type="auto"/>
            <w:tcBorders>
              <w:top w:val="nil"/>
              <w:left w:val="nil"/>
              <w:bottom w:val="nil"/>
              <w:right w:val="nil"/>
            </w:tcBorders>
            <w:shd w:val="clear" w:color="auto" w:fill="auto"/>
            <w:noWrap/>
            <w:vAlign w:val="bottom"/>
            <w:hideMark/>
          </w:tcPr>
          <w:p w14:paraId="4EA158FA" w14:textId="77777777" w:rsidR="006310EE" w:rsidRPr="005B4339" w:rsidRDefault="006310EE" w:rsidP="006310EE">
            <w:pPr>
              <w:spacing w:after="0"/>
              <w:jc w:val="left"/>
              <w:rPr>
                <w:rFonts w:ascii="Calibri" w:eastAsia="Times New Roman" w:hAnsi="Calibri" w:cs="Calibri"/>
                <w:noProof/>
                <w:color w:val="000000"/>
                <w:sz w:val="18"/>
                <w:szCs w:val="18"/>
                <w:lang w:val="en-IE" w:eastAsia="en-IE"/>
              </w:rPr>
            </w:pPr>
          </w:p>
        </w:tc>
        <w:tc>
          <w:tcPr>
            <w:tcW w:w="0" w:type="auto"/>
            <w:tcBorders>
              <w:top w:val="nil"/>
              <w:left w:val="nil"/>
              <w:bottom w:val="nil"/>
              <w:right w:val="nil"/>
            </w:tcBorders>
            <w:shd w:val="clear" w:color="auto" w:fill="auto"/>
            <w:noWrap/>
            <w:vAlign w:val="bottom"/>
            <w:hideMark/>
          </w:tcPr>
          <w:p w14:paraId="1EDF4344"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76245660"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6B12966F"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3222060"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0F40ED0D"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48D2CDF6"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5A341FB9"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1CB1CF61"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6C6D878A" w14:textId="77777777" w:rsidR="006310EE" w:rsidRPr="005B4339" w:rsidRDefault="006310EE" w:rsidP="006310EE">
            <w:pPr>
              <w:spacing w:after="0"/>
              <w:jc w:val="left"/>
              <w:rPr>
                <w:rFonts w:eastAsia="Times New Roman"/>
                <w:noProof/>
                <w:sz w:val="18"/>
                <w:szCs w:val="18"/>
                <w:lang w:val="en-IE" w:eastAsia="en-IE"/>
              </w:rPr>
            </w:pPr>
          </w:p>
        </w:tc>
        <w:tc>
          <w:tcPr>
            <w:tcW w:w="0" w:type="auto"/>
            <w:gridSpan w:val="2"/>
            <w:tcBorders>
              <w:top w:val="nil"/>
              <w:left w:val="nil"/>
              <w:bottom w:val="nil"/>
              <w:right w:val="nil"/>
            </w:tcBorders>
            <w:shd w:val="clear" w:color="auto" w:fill="auto"/>
            <w:noWrap/>
            <w:vAlign w:val="bottom"/>
            <w:hideMark/>
          </w:tcPr>
          <w:p w14:paraId="40F5A807" w14:textId="77777777" w:rsidR="006310EE" w:rsidRPr="005B4339" w:rsidRDefault="006310EE" w:rsidP="006310EE">
            <w:pPr>
              <w:spacing w:after="0"/>
              <w:jc w:val="left"/>
              <w:rPr>
                <w:rFonts w:eastAsia="Times New Roman"/>
                <w:noProof/>
                <w:sz w:val="18"/>
                <w:szCs w:val="18"/>
                <w:lang w:val="en-IE" w:eastAsia="en-IE"/>
              </w:rPr>
            </w:pPr>
          </w:p>
        </w:tc>
        <w:tc>
          <w:tcPr>
            <w:tcW w:w="0" w:type="auto"/>
            <w:tcBorders>
              <w:top w:val="nil"/>
              <w:left w:val="nil"/>
              <w:bottom w:val="nil"/>
              <w:right w:val="nil"/>
            </w:tcBorders>
            <w:shd w:val="clear" w:color="auto" w:fill="auto"/>
            <w:noWrap/>
            <w:vAlign w:val="bottom"/>
            <w:hideMark/>
          </w:tcPr>
          <w:p w14:paraId="2B3BE7CA" w14:textId="77777777" w:rsidR="006310EE" w:rsidRPr="005B4339" w:rsidRDefault="006310EE" w:rsidP="006310EE">
            <w:pPr>
              <w:spacing w:after="0"/>
              <w:jc w:val="left"/>
              <w:rPr>
                <w:rFonts w:eastAsia="Times New Roman"/>
                <w:noProof/>
                <w:sz w:val="18"/>
                <w:szCs w:val="18"/>
                <w:lang w:val="en-IE" w:eastAsia="en-IE"/>
              </w:rPr>
            </w:pPr>
          </w:p>
        </w:tc>
      </w:tr>
    </w:tbl>
    <w:p w14:paraId="7F69251D" w14:textId="24B1FB24" w:rsidR="00105201" w:rsidRPr="005B4339" w:rsidRDefault="00105201" w:rsidP="00105201">
      <w:pPr>
        <w:rPr>
          <w:noProof/>
          <w:lang w:val="en-IE"/>
        </w:rPr>
      </w:pPr>
    </w:p>
    <w:p w14:paraId="5CB36495" w14:textId="242366FF" w:rsidR="00650A98" w:rsidRPr="005B4339" w:rsidRDefault="00650A98" w:rsidP="00650A98">
      <w:pPr>
        <w:pStyle w:val="Caption"/>
        <w:keepNext/>
        <w:rPr>
          <w:noProof/>
          <w:color w:val="auto"/>
          <w:sz w:val="24"/>
          <w:szCs w:val="24"/>
          <w:lang w:val="en-IE"/>
        </w:rPr>
      </w:pPr>
      <w:bookmarkStart w:id="47" w:name="_Toc133229464"/>
      <w:bookmarkStart w:id="48" w:name="_Toc139032018"/>
      <w:r w:rsidRPr="005B4339">
        <w:rPr>
          <w:noProof/>
          <w:color w:val="auto"/>
          <w:sz w:val="24"/>
          <w:szCs w:val="24"/>
          <w:lang w:val="en-IE"/>
        </w:rPr>
        <w:lastRenderedPageBreak/>
        <w:t xml:space="preserve">Table </w:t>
      </w:r>
      <w:r w:rsidR="00393DFA">
        <w:rPr>
          <w:noProof/>
          <w:color w:val="auto"/>
          <w:sz w:val="24"/>
          <w:szCs w:val="24"/>
        </w:rPr>
        <w:t>2</w:t>
      </w:r>
      <w:r w:rsidRPr="005B4339">
        <w:rPr>
          <w:i w:val="0"/>
          <w:noProof/>
          <w:color w:val="auto"/>
          <w:sz w:val="24"/>
          <w:szCs w:val="24"/>
          <w:lang w:val="en-IE"/>
        </w:rPr>
        <w:t>: Summary of impacts for measure 1.1 – Alternatives 1-3 definition of ‘textiles’</w:t>
      </w:r>
      <w:bookmarkEnd w:id="47"/>
      <w:bookmarkEnd w:id="48"/>
    </w:p>
    <w:tbl>
      <w:tblPr>
        <w:tblStyle w:val="PlainTable1"/>
        <w:tblW w:w="9268" w:type="dxa"/>
        <w:tblLook w:val="04A0" w:firstRow="1" w:lastRow="0" w:firstColumn="1" w:lastColumn="0" w:noHBand="0" w:noVBand="1"/>
      </w:tblPr>
      <w:tblGrid>
        <w:gridCol w:w="2547"/>
        <w:gridCol w:w="2268"/>
        <w:gridCol w:w="2268"/>
        <w:gridCol w:w="2185"/>
      </w:tblGrid>
      <w:tr w:rsidR="00650A98" w:rsidRPr="005B4339" w14:paraId="5D2233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26A302" w14:textId="77777777" w:rsidR="00650A98" w:rsidRPr="005B4339" w:rsidRDefault="00650A98">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87FBD" w14:textId="77777777" w:rsidR="00650A98" w:rsidRPr="005B4339" w:rsidRDefault="00650A9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91A61" w14:textId="77777777" w:rsidR="00650A98" w:rsidRPr="005B4339" w:rsidRDefault="00650A9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5AEDD" w14:textId="77777777" w:rsidR="00650A98" w:rsidRPr="005B4339" w:rsidRDefault="00650A9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650A98" w:rsidRPr="005B4339" w14:paraId="148BA4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2DA958" w14:textId="77777777" w:rsidR="00650A98" w:rsidRPr="005B4339" w:rsidRDefault="00650A98">
            <w:pPr>
              <w:jc w:val="left"/>
              <w:rPr>
                <w:noProof/>
                <w:lang w:val="en-IE"/>
              </w:rPr>
            </w:pPr>
            <w:r w:rsidRPr="005B4339">
              <w:rPr>
                <w:noProof/>
                <w:lang w:val="en-IE"/>
              </w:rPr>
              <w:t>Producers, waste managers (encompassing collectors,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63D94" w14:textId="77777777" w:rsidR="00650A98" w:rsidRPr="005B4339" w:rsidRDefault="00650A9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Improves the level playing field through a common understanding of the scope of textiles and textile waste. </w:t>
            </w:r>
          </w:p>
          <w:p w14:paraId="5E3541D6" w14:textId="77777777" w:rsidR="00650A98" w:rsidRPr="005B4339" w:rsidRDefault="00650A9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w:t>
            </w:r>
          </w:p>
          <w:p w14:paraId="3C2B9E3C" w14:textId="77777777" w:rsidR="00650A98" w:rsidRPr="005B4339" w:rsidRDefault="00650A9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Reduce administrative costs to determine the scope of textiles to be managed under the WFD.</w:t>
            </w:r>
          </w:p>
          <w:p w14:paraId="7062486C" w14:textId="77777777" w:rsidR="00650A98" w:rsidRPr="005B4339" w:rsidRDefault="00650A9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Alternatives 2 and 3 would offer greater clarity and a greater scope for admin burden reduction in comparison to alternative 1.</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815545" w14:textId="77777777" w:rsidR="00650A98" w:rsidRPr="005B4339" w:rsidRDefault="00650A98">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0D942" w14:textId="77777777" w:rsidR="00650A98" w:rsidRPr="005B4339" w:rsidRDefault="00650A98">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Businesses would benefit from the information derived from the clarifying definitions</w:t>
            </w:r>
          </w:p>
        </w:tc>
      </w:tr>
      <w:tr w:rsidR="00650A98" w:rsidRPr="005B4339" w14:paraId="54EAD322"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3B2EB0" w14:textId="77777777" w:rsidR="00650A98" w:rsidRPr="005B4339" w:rsidRDefault="00650A98">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AFBD8" w14:textId="77777777" w:rsidR="00650A98" w:rsidRPr="005B4339" w:rsidRDefault="00650A98">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Reduces administrative costs to determine the scope of textiles to be managed under the WFD.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C4225" w14:textId="77777777" w:rsidR="00650A98" w:rsidRPr="005B4339" w:rsidRDefault="00650A98">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225385" w14:textId="77777777" w:rsidR="00650A98" w:rsidRPr="005B4339" w:rsidRDefault="00650A98">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Public authorities would be able to produce and access more consistent information enabling comparison.</w:t>
            </w:r>
          </w:p>
        </w:tc>
      </w:tr>
      <w:tr w:rsidR="00650A98" w:rsidRPr="005B4339" w14:paraId="7246FE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B29392" w14:textId="77777777" w:rsidR="00650A98" w:rsidRPr="005B4339" w:rsidRDefault="00650A98">
            <w:pPr>
              <w:jc w:val="left"/>
              <w:rPr>
                <w:noProof/>
                <w:lang w:val="en-IE"/>
              </w:rPr>
            </w:pPr>
            <w:r w:rsidRPr="005B4339">
              <w:rPr>
                <w:noProof/>
                <w:lang w:val="en-IE"/>
              </w:rPr>
              <w:t>Citizens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4282D" w14:textId="77777777" w:rsidR="00650A98" w:rsidRPr="005B4339" w:rsidRDefault="00650A98">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15FB8C" w14:textId="77777777" w:rsidR="00650A98" w:rsidRPr="005B4339" w:rsidRDefault="00650A98">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60025B" w14:textId="77777777" w:rsidR="00650A98" w:rsidRPr="005B4339" w:rsidRDefault="00650A98">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Citizens would benefit from the information derived from the clarifying definitions.</w:t>
            </w:r>
          </w:p>
        </w:tc>
      </w:tr>
      <w:tr w:rsidR="00650A98" w:rsidRPr="005B4339" w14:paraId="080AA23A"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8C2963" w14:textId="77777777" w:rsidR="00650A98" w:rsidRPr="005B4339" w:rsidRDefault="00650A98">
            <w:pPr>
              <w:jc w:val="left"/>
              <w:rPr>
                <w:noProof/>
                <w:lang w:val="en-IE"/>
              </w:rPr>
            </w:pPr>
            <w:r w:rsidRPr="005B4339">
              <w:rPr>
                <w:noProof/>
                <w:lang w:val="en-IE"/>
              </w:rPr>
              <w:lastRenderedPageBreak/>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C8286" w14:textId="77777777" w:rsidR="00650A98" w:rsidRPr="005B4339" w:rsidRDefault="00650A98">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C8140F" w14:textId="77777777" w:rsidR="00650A98" w:rsidRPr="005B4339" w:rsidRDefault="00650A98">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Clarified definitions will allow a clearer scope of measures to be applied, thereby allowing Member States to better focus their resources in addressing textile waste. This should, in turn, result in greater environmental improvements compared to the status quo as the most important environmental impacts would be addressed first.</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68B4B" w14:textId="77777777" w:rsidR="00650A98" w:rsidRPr="005B4339" w:rsidRDefault="00650A98">
            <w:pPr>
              <w:cnfStyle w:val="000000000000" w:firstRow="0" w:lastRow="0" w:firstColumn="0" w:lastColumn="0" w:oddVBand="0" w:evenVBand="0" w:oddHBand="0" w:evenHBand="0" w:firstRowFirstColumn="0" w:firstRowLastColumn="0" w:lastRowFirstColumn="0" w:lastRowLastColumn="0"/>
              <w:rPr>
                <w:b/>
                <w:noProof/>
                <w:lang w:val="en-IE"/>
              </w:rPr>
            </w:pPr>
          </w:p>
        </w:tc>
      </w:tr>
    </w:tbl>
    <w:p w14:paraId="31426F44" w14:textId="7C734165" w:rsidR="00650A98" w:rsidRPr="005B4339" w:rsidRDefault="00650A98" w:rsidP="007B770B">
      <w:pPr>
        <w:spacing w:after="120"/>
        <w:rPr>
          <w:b/>
          <w:noProof/>
          <w:lang w:val="en-IE"/>
        </w:rPr>
      </w:pPr>
    </w:p>
    <w:p w14:paraId="0C36F875" w14:textId="6447A0D8" w:rsidR="007B770B" w:rsidRPr="005B4339" w:rsidRDefault="007B770B" w:rsidP="007B770B">
      <w:pPr>
        <w:spacing w:after="120"/>
        <w:rPr>
          <w:b/>
          <w:i/>
          <w:noProof/>
          <w:lang w:val="en-IE"/>
        </w:rPr>
      </w:pPr>
      <w:r w:rsidRPr="005B4339">
        <w:rPr>
          <w:b/>
          <w:noProof/>
          <w:lang w:val="en-IE"/>
        </w:rPr>
        <w:t>Sub-measure 1.2 – Defini</w:t>
      </w:r>
      <w:r w:rsidR="00AE3F46" w:rsidRPr="005B4339">
        <w:rPr>
          <w:b/>
          <w:noProof/>
          <w:lang w:val="en-IE"/>
        </w:rPr>
        <w:t>tion of</w:t>
      </w:r>
      <w:r w:rsidRPr="005B4339">
        <w:rPr>
          <w:b/>
          <w:noProof/>
          <w:lang w:val="en-IE"/>
        </w:rPr>
        <w:t xml:space="preserve"> ‘</w:t>
      </w:r>
      <w:r w:rsidRPr="005B4339">
        <w:rPr>
          <w:b/>
          <w:i/>
          <w:noProof/>
          <w:lang w:val="en-IE"/>
        </w:rPr>
        <w:t>textile waste’</w:t>
      </w:r>
    </w:p>
    <w:p w14:paraId="4B5741AB" w14:textId="021ADD54" w:rsidR="00DD5002" w:rsidRPr="005B4339" w:rsidRDefault="00DD5002" w:rsidP="00DA52FD">
      <w:pPr>
        <w:spacing w:after="120"/>
        <w:rPr>
          <w:b/>
          <w:noProof/>
          <w:lang w:val="en-IE"/>
        </w:rPr>
      </w:pPr>
      <w:r w:rsidRPr="005B4339">
        <w:rPr>
          <w:b/>
          <w:noProof/>
          <w:lang w:val="en-IE"/>
        </w:rPr>
        <w:t xml:space="preserve">Assessment of impact </w:t>
      </w:r>
      <w:r w:rsidR="0012311B" w:rsidRPr="005B4339">
        <w:rPr>
          <w:b/>
          <w:noProof/>
          <w:lang w:val="en-IE"/>
        </w:rPr>
        <w:t>alternative 1</w:t>
      </w:r>
    </w:p>
    <w:p w14:paraId="6D7F1981" w14:textId="77777777" w:rsidR="00DD5002" w:rsidRPr="005B4339" w:rsidRDefault="00DD5002" w:rsidP="00DA52FD">
      <w:pPr>
        <w:spacing w:after="120"/>
        <w:rPr>
          <w:b/>
          <w:noProof/>
          <w:lang w:val="en-IE"/>
        </w:rPr>
      </w:pPr>
      <w:r w:rsidRPr="005B4339">
        <w:rPr>
          <w:b/>
          <w:noProof/>
          <w:lang w:val="en-IE"/>
        </w:rPr>
        <w:t>Economic impacts</w:t>
      </w:r>
    </w:p>
    <w:p w14:paraId="400268A4" w14:textId="55B0C7A1" w:rsidR="00DD5002" w:rsidRPr="005B4339" w:rsidRDefault="00DD5002" w:rsidP="00BE2D34">
      <w:pPr>
        <w:spacing w:after="120"/>
        <w:rPr>
          <w:noProof/>
          <w:lang w:val="en-IE"/>
        </w:rPr>
      </w:pPr>
      <w:r w:rsidRPr="005B4339">
        <w:rPr>
          <w:noProof/>
          <w:lang w:val="en-IE"/>
        </w:rPr>
        <w:t>Setting a definition that requires all separately collected textiles to be considered waste would enable a consistent approach across all Member States in comparison to the status quo.</w:t>
      </w:r>
    </w:p>
    <w:p w14:paraId="3775424E" w14:textId="68571E14" w:rsidR="00DD5002" w:rsidRPr="005B4339" w:rsidRDefault="04C89217" w:rsidP="00BE2D34">
      <w:pPr>
        <w:spacing w:after="120"/>
        <w:rPr>
          <w:noProof/>
          <w:lang w:val="en-IE"/>
        </w:rPr>
      </w:pPr>
      <w:r w:rsidRPr="005B4339">
        <w:rPr>
          <w:noProof/>
          <w:lang w:val="en-IE"/>
        </w:rPr>
        <w:t>However, the application of waste status to all separately collected textiles carries with it the possibility to place burdens on actors, particularly social enterprises that are required in some cases to have the necessary authorisations to collect and sort waste in one Member State when a neighbouring Member State does not require such authorisations as textiles only become waste later in the processing of the materials collected. Data from the social enterprise sector</w:t>
      </w:r>
      <w:r w:rsidR="00DD5002" w:rsidRPr="005B4339">
        <w:rPr>
          <w:noProof/>
          <w:vertAlign w:val="superscript"/>
          <w:lang w:val="en-IE"/>
        </w:rPr>
        <w:footnoteReference w:id="13"/>
      </w:r>
      <w:r w:rsidRPr="005B4339">
        <w:rPr>
          <w:noProof/>
          <w:lang w:val="en-IE"/>
        </w:rPr>
        <w:t xml:space="preserve"> indicates that the majority of those involved in the separate collection of wastes, including social enterprises, are already in ownership of the necessary waste management permissions and so whilst some impacts are likely for a minority of actors the negative impacts of this measure are likely to be limited.</w:t>
      </w:r>
    </w:p>
    <w:p w14:paraId="287D854D" w14:textId="26C93BCC" w:rsidR="00DD5002" w:rsidRPr="005B4339" w:rsidRDefault="00DD5002" w:rsidP="00BE2D34">
      <w:pPr>
        <w:spacing w:after="120"/>
        <w:rPr>
          <w:noProof/>
          <w:lang w:val="en-IE"/>
        </w:rPr>
      </w:pPr>
      <w:r w:rsidRPr="005B4339">
        <w:rPr>
          <w:noProof/>
          <w:lang w:val="en-IE"/>
        </w:rPr>
        <w:t xml:space="preserve">Additionally, applying waste status at the point of collection risks a deterioration in the quality of textile materials collected in separate collection systems – if those depositing textile materials are </w:t>
      </w:r>
      <w:r w:rsidRPr="005B4339">
        <w:rPr>
          <w:noProof/>
          <w:lang w:val="en-IE"/>
        </w:rPr>
        <w:lastRenderedPageBreak/>
        <w:t>told that all textile materials are welcome because they will be subsequently sorted into reusable and recyclable,</w:t>
      </w:r>
      <w:r w:rsidRPr="005B4339" w:rsidDel="00FA7548">
        <w:rPr>
          <w:noProof/>
          <w:lang w:val="en-IE"/>
        </w:rPr>
        <w:t xml:space="preserve"> </w:t>
      </w:r>
      <w:r w:rsidRPr="005B4339">
        <w:rPr>
          <w:noProof/>
          <w:lang w:val="en-IE"/>
        </w:rPr>
        <w:t>then lower quality materials may be collected, increasing the costs of collection and sorting for sorters, including social enterprises whilst lowering the quality of feedstock for preparation for reuse and recycling. This effect can be and is already addressed by instructions that are typically found on separate collection bins and other separate collection systems. It would be important in the application of this sub-option, therefore, to ensure that such instructions are maintained to minimise this risk from materialising in practice.</w:t>
      </w:r>
    </w:p>
    <w:p w14:paraId="5E13237A" w14:textId="45702DAF" w:rsidR="00CE3AAE" w:rsidRPr="005B4339" w:rsidRDefault="00DD5002" w:rsidP="00DD5002">
      <w:pPr>
        <w:rPr>
          <w:noProof/>
          <w:lang w:val="en-IE"/>
        </w:rPr>
      </w:pPr>
      <w:r w:rsidRPr="005B4339">
        <w:rPr>
          <w:noProof/>
          <w:lang w:val="en-IE"/>
        </w:rPr>
        <w:t>In relation to data needs, determining waste status at the point of collection sets a clear demarcation line for reporting purposes. This would assist in the present reporting requirements under Commission Implementing Decision C(2020) 8976 for reporting on reuse as the total fraction of reused textiles could be set against the total amount of textile waste separately collected through all collection systems using the same starting point as to when those materials became waste. It would also allow any new reporting requirements to have the same starting point in the future.</w:t>
      </w:r>
    </w:p>
    <w:p w14:paraId="6E73AB85" w14:textId="77777777" w:rsidR="00DD5002" w:rsidRPr="005B4339" w:rsidRDefault="00DD5002" w:rsidP="00292DC7">
      <w:pPr>
        <w:spacing w:after="120"/>
        <w:rPr>
          <w:b/>
          <w:noProof/>
          <w:lang w:val="en-IE"/>
        </w:rPr>
      </w:pPr>
      <w:r w:rsidRPr="005B4339">
        <w:rPr>
          <w:b/>
          <w:noProof/>
          <w:lang w:val="en-IE"/>
        </w:rPr>
        <w:t>Environmental impacts</w:t>
      </w:r>
    </w:p>
    <w:p w14:paraId="6687F0F8" w14:textId="28A0B4EC" w:rsidR="00DD5002" w:rsidRPr="005B4339" w:rsidRDefault="0012311B" w:rsidP="00292DC7">
      <w:pPr>
        <w:spacing w:after="120"/>
        <w:rPr>
          <w:noProof/>
          <w:lang w:val="en-IE"/>
        </w:rPr>
      </w:pPr>
      <w:r w:rsidRPr="005B4339">
        <w:rPr>
          <w:noProof/>
          <w:lang w:val="en-IE"/>
        </w:rPr>
        <w:t>This alternative</w:t>
      </w:r>
      <w:r w:rsidR="00DD5002" w:rsidRPr="005B4339">
        <w:rPr>
          <w:noProof/>
          <w:lang w:val="en-IE"/>
        </w:rPr>
        <w:t xml:space="preserve"> would put in place the protections under the WFD in relation to the correct handling of those materials following their collection and the application of the waste hierarchy to the materials contained therein. It would also address the high risk of waste that forms a part of the materials separately collected being falsely considered as non-waste and its potential export to third countries. Whilst measure 2.</w:t>
      </w:r>
      <w:r w:rsidR="391E300B" w:rsidRPr="005B4339">
        <w:rPr>
          <w:noProof/>
          <w:lang w:val="en-IE"/>
        </w:rPr>
        <w:t>8</w:t>
      </w:r>
      <w:r w:rsidR="00DD5002" w:rsidRPr="005B4339">
        <w:rPr>
          <w:noProof/>
          <w:lang w:val="en-IE"/>
        </w:rPr>
        <w:t xml:space="preserve"> that would set </w:t>
      </w:r>
      <w:r w:rsidR="00890300" w:rsidRPr="005B4339">
        <w:rPr>
          <w:noProof/>
          <w:lang w:val="en-IE"/>
        </w:rPr>
        <w:t xml:space="preserve">requirements </w:t>
      </w:r>
      <w:r w:rsidR="003A6EE9" w:rsidRPr="005B4339">
        <w:rPr>
          <w:noProof/>
          <w:lang w:val="en-IE"/>
        </w:rPr>
        <w:t xml:space="preserve">for the shipment of textiles for reuse, </w:t>
      </w:r>
      <w:r w:rsidR="00DD5002" w:rsidRPr="005B4339">
        <w:rPr>
          <w:noProof/>
          <w:lang w:val="en-IE"/>
        </w:rPr>
        <w:t>would offer some protection in this respect, in the absence of that measure the risk would remain high.</w:t>
      </w:r>
    </w:p>
    <w:p w14:paraId="08344A6A" w14:textId="704E6483" w:rsidR="00DD5002" w:rsidRPr="005B4339" w:rsidRDefault="00DD5002" w:rsidP="006554B6">
      <w:pPr>
        <w:spacing w:after="120"/>
        <w:rPr>
          <w:noProof/>
          <w:lang w:val="en-IE"/>
        </w:rPr>
      </w:pPr>
      <w:r w:rsidRPr="005B4339">
        <w:rPr>
          <w:noProof/>
          <w:lang w:val="en-IE"/>
        </w:rPr>
        <w:t>This definition also acknowledges that those depositing textiles are not always able to determine whether a textile is suitable for reuse/recycling or not, which leads to reusable textiles being discarded as waste and non-reusable or recyclable textiles being deposited in separate collection systems. Determining that all such materials are waste until they are professionally sorted into their respective reuse, recycling and disposal fractions addresses this problem directly by requiring waste management approaches to be applied from the outset.</w:t>
      </w:r>
      <w:r w:rsidR="00396D90" w:rsidRPr="005B4339">
        <w:rPr>
          <w:noProof/>
          <w:lang w:val="en-IE"/>
        </w:rPr>
        <w:t xml:space="preserve"> Measure 2.</w:t>
      </w:r>
      <w:r w:rsidR="48E52D22" w:rsidRPr="005B4339">
        <w:rPr>
          <w:noProof/>
          <w:lang w:val="en-IE"/>
        </w:rPr>
        <w:t>5</w:t>
      </w:r>
      <w:r w:rsidR="00396D90" w:rsidRPr="005B4339">
        <w:rPr>
          <w:noProof/>
          <w:lang w:val="en-IE"/>
        </w:rPr>
        <w:t xml:space="preserve"> specifically addresses sorting obligations with the link in mind.</w:t>
      </w:r>
    </w:p>
    <w:p w14:paraId="51106323" w14:textId="2C142279" w:rsidR="00DD5002" w:rsidRPr="005B4339" w:rsidRDefault="45CB46C2" w:rsidP="00292DC7">
      <w:pPr>
        <w:spacing w:after="120"/>
        <w:rPr>
          <w:noProof/>
          <w:lang w:val="en-IE"/>
        </w:rPr>
      </w:pPr>
      <w:r w:rsidRPr="005B4339">
        <w:rPr>
          <w:noProof/>
          <w:lang w:val="en-IE"/>
        </w:rPr>
        <w:t>MWE, representing public waste management organisations</w:t>
      </w:r>
      <w:r w:rsidR="00DD5002" w:rsidRPr="005B4339">
        <w:rPr>
          <w:noProof/>
          <w:vertAlign w:val="superscript"/>
          <w:lang w:val="en-IE"/>
        </w:rPr>
        <w:footnoteReference w:id="14"/>
      </w:r>
      <w:r w:rsidRPr="005B4339">
        <w:rPr>
          <w:noProof/>
          <w:lang w:val="en-IE"/>
        </w:rPr>
        <w:t xml:space="preserve"> highlighted that the ‘use and dispose’ culture mindset is largely fostered across the entire textile supply chain. It is, in turn, adopted by consumers, driving increasing volumes of textile waste generation. This is matched by a lack of consumer understanding of the true costs of textile production beyond the purchasing price as identified during the first stakeholder workshop</w:t>
      </w:r>
      <w:r w:rsidR="006B43B0" w:rsidRPr="005B4339">
        <w:rPr>
          <w:noProof/>
          <w:lang w:val="en-IE"/>
        </w:rPr>
        <w:t xml:space="preserve"> by an NGO</w:t>
      </w:r>
      <w:r w:rsidRPr="005B4339">
        <w:rPr>
          <w:noProof/>
          <w:lang w:val="en-IE"/>
        </w:rPr>
        <w:t xml:space="preserve">. A stakeholder representing the social enterprise, </w:t>
      </w:r>
      <w:r w:rsidR="00D96247" w:rsidRPr="005B4339">
        <w:rPr>
          <w:noProof/>
          <w:lang w:val="en-IE"/>
        </w:rPr>
        <w:t>reuse</w:t>
      </w:r>
      <w:r w:rsidRPr="005B4339">
        <w:rPr>
          <w:noProof/>
          <w:lang w:val="en-IE"/>
        </w:rPr>
        <w:t xml:space="preserve"> and repair sector </w:t>
      </w:r>
      <w:r w:rsidR="00DD5002" w:rsidRPr="005B4339">
        <w:rPr>
          <w:noProof/>
          <w:vertAlign w:val="superscript"/>
          <w:lang w:val="en-IE"/>
        </w:rPr>
        <w:footnoteReference w:id="15"/>
      </w:r>
      <w:r w:rsidRPr="005B4339">
        <w:rPr>
          <w:noProof/>
          <w:lang w:val="en-IE"/>
        </w:rPr>
        <w:t xml:space="preserve">, noted that the consumer to consumer (C2C) textile market is flourishing but this does not prevent the sale of new textiles. Indeed, </w:t>
      </w:r>
      <w:r w:rsidRPr="005B4339">
        <w:rPr>
          <w:noProof/>
          <w:lang w:val="en-IE"/>
        </w:rPr>
        <w:lastRenderedPageBreak/>
        <w:t>when people know that they can sell their products on C2C platforms they may tend to buy even more products in what is known as the rebound effect. Stakeholders also identified the lack of sufficiently robust data on used textiles and textile waste as a barrier to developing sufficient waste prevention programmes.</w:t>
      </w:r>
      <w:r w:rsidRPr="005B4339">
        <w:rPr>
          <w:b/>
          <w:noProof/>
          <w:color w:val="2B579A"/>
          <w:lang w:val="en-IE"/>
        </w:rPr>
        <w:t xml:space="preserve"> </w:t>
      </w:r>
    </w:p>
    <w:p w14:paraId="591782B2" w14:textId="77777777" w:rsidR="00DD5002" w:rsidRPr="005B4339" w:rsidRDefault="00DD5002" w:rsidP="00292DC7">
      <w:pPr>
        <w:spacing w:after="120"/>
        <w:rPr>
          <w:b/>
          <w:noProof/>
          <w:lang w:val="en-IE"/>
        </w:rPr>
      </w:pPr>
      <w:r w:rsidRPr="005B4339">
        <w:rPr>
          <w:b/>
          <w:noProof/>
          <w:lang w:val="en-IE"/>
        </w:rPr>
        <w:t>Social impacts</w:t>
      </w:r>
    </w:p>
    <w:p w14:paraId="75FDDDB9" w14:textId="6FA3F742" w:rsidR="00DD5002" w:rsidRPr="005B4339" w:rsidRDefault="00DD5002" w:rsidP="00DD5002">
      <w:pPr>
        <w:rPr>
          <w:noProof/>
          <w:lang w:val="en-IE"/>
        </w:rPr>
      </w:pPr>
      <w:r w:rsidRPr="005B4339">
        <w:rPr>
          <w:noProof/>
          <w:lang w:val="en-IE"/>
        </w:rPr>
        <w:t>Applying waste status at the point of collection should ensure that the materials contained therein are managed as wa</w:t>
      </w:r>
      <w:r w:rsidR="00504F1B" w:rsidRPr="005B4339">
        <w:rPr>
          <w:noProof/>
          <w:lang w:val="en-IE"/>
        </w:rPr>
        <w:t>ste.</w:t>
      </w:r>
      <w:r w:rsidRPr="005B4339">
        <w:rPr>
          <w:noProof/>
          <w:lang w:val="en-IE"/>
        </w:rPr>
        <w:t xml:space="preserve"> In the context of existing issues with the export of used clothing and textiles to third countries under the guise of used (but not waste) textiles that are subsequently disposed of in third countries, this would be less likely to occur in the context of all materials having to be handled as waste until sorting had taken place to differentiate between waste and non-waste (reusable) fractions.</w:t>
      </w:r>
    </w:p>
    <w:p w14:paraId="272FF41A" w14:textId="33B3B97F" w:rsidR="00DD5002" w:rsidRPr="005B4339" w:rsidRDefault="006225FD" w:rsidP="00292DC7">
      <w:pPr>
        <w:spacing w:after="120"/>
        <w:rPr>
          <w:b/>
          <w:noProof/>
          <w:lang w:val="en-IE"/>
        </w:rPr>
      </w:pPr>
      <w:r w:rsidRPr="005B4339">
        <w:rPr>
          <w:b/>
          <w:noProof/>
          <w:lang w:val="en-IE"/>
        </w:rPr>
        <w:t>Impact on SMEs and social enterprises</w:t>
      </w:r>
    </w:p>
    <w:p w14:paraId="75B44084" w14:textId="260B573B" w:rsidR="00DD5002" w:rsidRPr="005B4339" w:rsidRDefault="04C89217" w:rsidP="005E621B">
      <w:pPr>
        <w:spacing w:after="120"/>
        <w:rPr>
          <w:noProof/>
          <w:lang w:val="en-IE"/>
        </w:rPr>
      </w:pPr>
      <w:r w:rsidRPr="005B4339">
        <w:rPr>
          <w:noProof/>
          <w:lang w:val="en-IE"/>
        </w:rPr>
        <w:t>As noted under economic impacts the application of waste status to all separately collected textiles carries with it the possibility to place burdens on actors, particularly social enterprises that are required in some cases to have the necessary authorisations to collect and sort waste in one Member State when a neighbouring Member State does not require such authorisations as textiles only become waste later in the processing of the materials collected. Data from the social enterprise sector</w:t>
      </w:r>
      <w:r w:rsidR="00DD5002" w:rsidRPr="005B4339">
        <w:rPr>
          <w:noProof/>
          <w:vertAlign w:val="superscript"/>
          <w:lang w:val="en-IE"/>
        </w:rPr>
        <w:footnoteReference w:id="16"/>
      </w:r>
      <w:r w:rsidRPr="005B4339">
        <w:rPr>
          <w:noProof/>
          <w:lang w:val="en-IE"/>
        </w:rPr>
        <w:t xml:space="preserve"> indicates that the majority of those involved in the separate collection of wastes, including social enterprises, are already in ownership of the necessary waste management permissions and so whilst some impacts are likely for a minority of actors the negative impacts of this measure are likely to be limited.</w:t>
      </w:r>
    </w:p>
    <w:p w14:paraId="03F9A3F5" w14:textId="77777777" w:rsidR="006225FD" w:rsidRPr="005B4339" w:rsidRDefault="006225FD" w:rsidP="006225FD">
      <w:pPr>
        <w:rPr>
          <w:noProof/>
          <w:lang w:val="en-IE"/>
        </w:rPr>
      </w:pPr>
      <w:r w:rsidRPr="005B4339">
        <w:rPr>
          <w:noProof/>
          <w:lang w:val="en-IE"/>
        </w:rPr>
        <w:t>SMEs other than social enterprises are unlikely to be significantly impacted by this measure as they are already likely to hold the necessary authorisations to collect and sort waste.</w:t>
      </w:r>
    </w:p>
    <w:p w14:paraId="1F1BF533" w14:textId="11D4EDA9" w:rsidR="00DD5002" w:rsidRPr="005B4339" w:rsidRDefault="00DD5002" w:rsidP="00292DC7">
      <w:pPr>
        <w:spacing w:after="120"/>
        <w:rPr>
          <w:b/>
          <w:noProof/>
          <w:lang w:val="en-IE"/>
        </w:rPr>
      </w:pPr>
      <w:r w:rsidRPr="005B4339">
        <w:rPr>
          <w:b/>
          <w:noProof/>
          <w:lang w:val="en-IE"/>
        </w:rPr>
        <w:t xml:space="preserve">Assessment of impact </w:t>
      </w:r>
      <w:r w:rsidR="00941A5D" w:rsidRPr="005B4339">
        <w:rPr>
          <w:b/>
          <w:noProof/>
          <w:lang w:val="en-IE"/>
        </w:rPr>
        <w:t>alternative 2</w:t>
      </w:r>
    </w:p>
    <w:p w14:paraId="0E9A7913" w14:textId="77777777" w:rsidR="00DD5002" w:rsidRPr="005B4339" w:rsidRDefault="00DD5002" w:rsidP="00292DC7">
      <w:pPr>
        <w:spacing w:after="120"/>
        <w:rPr>
          <w:b/>
          <w:noProof/>
          <w:lang w:val="en-IE"/>
        </w:rPr>
      </w:pPr>
      <w:r w:rsidRPr="005B4339">
        <w:rPr>
          <w:b/>
          <w:noProof/>
          <w:lang w:val="en-IE"/>
        </w:rPr>
        <w:t>Economic impacts</w:t>
      </w:r>
    </w:p>
    <w:p w14:paraId="572395AF" w14:textId="7390694F" w:rsidR="00DD5002" w:rsidRPr="005B4339" w:rsidRDefault="00DD5002" w:rsidP="00292DC7">
      <w:pPr>
        <w:spacing w:after="120"/>
        <w:rPr>
          <w:noProof/>
          <w:lang w:val="en-IE"/>
        </w:rPr>
      </w:pPr>
      <w:r w:rsidRPr="005B4339">
        <w:rPr>
          <w:noProof/>
          <w:lang w:val="en-IE"/>
        </w:rPr>
        <w:t xml:space="preserve">Setting a definition that requires all separately collected textiles to be considered as waste only after sorting would lead to greater consistency of approach across all Member States. Materials that are </w:t>
      </w:r>
      <w:r w:rsidR="00C00269" w:rsidRPr="005B4339">
        <w:rPr>
          <w:noProof/>
          <w:lang w:val="en-IE"/>
        </w:rPr>
        <w:t>in fact</w:t>
      </w:r>
      <w:r w:rsidRPr="005B4339">
        <w:rPr>
          <w:noProof/>
          <w:lang w:val="en-IE"/>
        </w:rPr>
        <w:t xml:space="preserve"> waste would be defined accordingly following sorting and so the scope of materials subject to the requirements of the WFD would be reduced in comparison to </w:t>
      </w:r>
      <w:r w:rsidR="007E6FD7" w:rsidRPr="005B4339">
        <w:rPr>
          <w:noProof/>
          <w:lang w:val="en-IE"/>
        </w:rPr>
        <w:t>alternative 1</w:t>
      </w:r>
      <w:r w:rsidRPr="005B4339">
        <w:rPr>
          <w:noProof/>
          <w:lang w:val="en-IE"/>
        </w:rPr>
        <w:t xml:space="preserve"> and the costs would also, therefore, be less. </w:t>
      </w:r>
      <w:r w:rsidR="004E2FAD" w:rsidRPr="005B4339">
        <w:rPr>
          <w:noProof/>
          <w:lang w:val="en-IE"/>
        </w:rPr>
        <w:t>Using this approach,</w:t>
      </w:r>
      <w:r w:rsidRPr="005B4339">
        <w:rPr>
          <w:noProof/>
          <w:lang w:val="en-IE"/>
        </w:rPr>
        <w:t xml:space="preserve"> reusable products would remain products rather than </w:t>
      </w:r>
      <w:r w:rsidR="004E2FAD" w:rsidRPr="005B4339">
        <w:rPr>
          <w:noProof/>
          <w:lang w:val="en-IE"/>
        </w:rPr>
        <w:t xml:space="preserve">being classified as </w:t>
      </w:r>
      <w:r w:rsidRPr="005B4339">
        <w:rPr>
          <w:noProof/>
          <w:lang w:val="en-IE"/>
        </w:rPr>
        <w:t xml:space="preserve">waste </w:t>
      </w:r>
      <w:r w:rsidR="004E2FAD" w:rsidRPr="005B4339">
        <w:rPr>
          <w:noProof/>
          <w:lang w:val="en-IE"/>
        </w:rPr>
        <w:t>upon collection</w:t>
      </w:r>
      <w:r w:rsidRPr="005B4339">
        <w:rPr>
          <w:noProof/>
          <w:lang w:val="en-IE"/>
        </w:rPr>
        <w:t>.</w:t>
      </w:r>
    </w:p>
    <w:p w14:paraId="0B3234DE" w14:textId="1D022A64" w:rsidR="00DD5002" w:rsidRPr="005B4339" w:rsidRDefault="00DD5002" w:rsidP="00DD5002">
      <w:pPr>
        <w:rPr>
          <w:noProof/>
          <w:lang w:val="en-IE"/>
        </w:rPr>
      </w:pPr>
      <w:r w:rsidRPr="005B4339">
        <w:rPr>
          <w:noProof/>
          <w:lang w:val="en-IE"/>
        </w:rPr>
        <w:t xml:space="preserve">In relation to data needs, determining waste status at the point of sorting would not assist in reporting by Member States. The current focus of Commission Implementing Decision C(2020) 8976 for reporting on reuse would likely be more difficult as these materials would never reach waste status under this sub-option and Member States may simply determine that such quantities </w:t>
      </w:r>
      <w:r w:rsidRPr="005B4339">
        <w:rPr>
          <w:noProof/>
          <w:lang w:val="en-IE"/>
        </w:rPr>
        <w:lastRenderedPageBreak/>
        <w:t>should not be reported in the future under the WFD. This would be counterproductive to understanding how the waste hierarchy is being applied in practice for textiles.</w:t>
      </w:r>
    </w:p>
    <w:p w14:paraId="2022D768" w14:textId="77777777" w:rsidR="00DD5002" w:rsidRPr="005B4339" w:rsidRDefault="00DD5002" w:rsidP="00292DC7">
      <w:pPr>
        <w:spacing w:after="120"/>
        <w:rPr>
          <w:b/>
          <w:noProof/>
          <w:lang w:val="en-IE"/>
        </w:rPr>
      </w:pPr>
      <w:r w:rsidRPr="005B4339">
        <w:rPr>
          <w:b/>
          <w:noProof/>
          <w:lang w:val="en-IE"/>
        </w:rPr>
        <w:t>Environmental impacts</w:t>
      </w:r>
    </w:p>
    <w:p w14:paraId="73AE7171" w14:textId="790D152B" w:rsidR="00DD5002" w:rsidRPr="005B4339" w:rsidRDefault="00DD5002" w:rsidP="00292DC7">
      <w:pPr>
        <w:spacing w:after="120"/>
        <w:rPr>
          <w:noProof/>
          <w:lang w:val="en-IE"/>
        </w:rPr>
      </w:pPr>
      <w:r w:rsidRPr="005B4339">
        <w:rPr>
          <w:noProof/>
          <w:lang w:val="en-IE"/>
        </w:rPr>
        <w:t>Changing the point at which separately collected textiles become a waste is somewhat at odds with the definition of waste under the WFD that refers to the intention of the holder to discard a material as determining its waste status.</w:t>
      </w:r>
    </w:p>
    <w:p w14:paraId="0642F2E4" w14:textId="45AFC018" w:rsidR="00DD5002" w:rsidRPr="005B4339" w:rsidRDefault="00DD5002" w:rsidP="00DD5002">
      <w:pPr>
        <w:rPr>
          <w:noProof/>
          <w:lang w:val="en-IE"/>
        </w:rPr>
      </w:pPr>
      <w:r w:rsidRPr="005B4339">
        <w:rPr>
          <w:noProof/>
          <w:lang w:val="en-IE"/>
        </w:rPr>
        <w:t>Additionally, as noted earlier, those depositing textiles are not always able to determine whether a textile is suitable for reuse/recycling or not, which leads to reusable textiles being discarded as waste and non-reusable or recyclable textiles being deposited in separate collection systems.  By removing controls that are in place in some Member States where such materials are currently considered as waste as well as the confirmation for all others that such separately collected textiles are not waste is more likely to elevate the risk of waste materials being inappropriately categorised and exported to third countries as a non-waste.</w:t>
      </w:r>
    </w:p>
    <w:p w14:paraId="516CCB9A" w14:textId="77777777" w:rsidR="00DD5002" w:rsidRPr="005B4339" w:rsidRDefault="00DD5002" w:rsidP="00292DC7">
      <w:pPr>
        <w:spacing w:after="120"/>
        <w:rPr>
          <w:b/>
          <w:noProof/>
          <w:color w:val="000000" w:themeColor="text1"/>
          <w:lang w:val="en-IE"/>
        </w:rPr>
      </w:pPr>
      <w:r w:rsidRPr="005B4339">
        <w:rPr>
          <w:b/>
          <w:noProof/>
          <w:color w:val="000000" w:themeColor="text1"/>
          <w:lang w:val="en-IE"/>
        </w:rPr>
        <w:t>Social impacts</w:t>
      </w:r>
    </w:p>
    <w:p w14:paraId="55CBA451" w14:textId="77777777" w:rsidR="00DD5002" w:rsidRPr="005B4339" w:rsidRDefault="00DD5002" w:rsidP="00DD5002">
      <w:pPr>
        <w:rPr>
          <w:noProof/>
          <w:lang w:val="en-IE"/>
        </w:rPr>
      </w:pPr>
      <w:r w:rsidRPr="005B4339">
        <w:rPr>
          <w:noProof/>
          <w:lang w:val="en-IE"/>
        </w:rPr>
        <w:t>Categorising materials as non-waste at the point of discard would remove waste controls on the materials contained therein.  In the context of the potential of waste materials to be mixed in with reusable items and ongoing challenges with the export of unsorted EU textiles to third countries this situation would continue to exist under this option to the disadvantage of the citizens of the receiving countries.</w:t>
      </w:r>
    </w:p>
    <w:p w14:paraId="006B9B4F" w14:textId="77777777" w:rsidR="00DD5002" w:rsidRPr="005B4339" w:rsidRDefault="00DD5002" w:rsidP="00292DC7">
      <w:pPr>
        <w:spacing w:after="120"/>
        <w:rPr>
          <w:b/>
          <w:noProof/>
          <w:lang w:val="en-IE"/>
        </w:rPr>
      </w:pPr>
      <w:r w:rsidRPr="005B4339">
        <w:rPr>
          <w:b/>
          <w:noProof/>
          <w:lang w:val="en-IE"/>
        </w:rPr>
        <w:t>Administrative burden</w:t>
      </w:r>
    </w:p>
    <w:p w14:paraId="03D9FB13" w14:textId="5BD359D6" w:rsidR="006225FD" w:rsidRPr="005B4339" w:rsidRDefault="04C89217" w:rsidP="006225FD">
      <w:pPr>
        <w:rPr>
          <w:noProof/>
          <w:lang w:val="en-IE"/>
        </w:rPr>
      </w:pPr>
      <w:r w:rsidRPr="005B4339">
        <w:rPr>
          <w:noProof/>
          <w:lang w:val="en-IE"/>
        </w:rPr>
        <w:t xml:space="preserve">Removing waste status at the point of collection would remove administrative burden in relation to the need for collectors to obtain the relevant waste management authorisations to collect and sort waste where these are currently applied. </w:t>
      </w:r>
      <w:r w:rsidR="006225FD" w:rsidRPr="005B4339">
        <w:rPr>
          <w:noProof/>
          <w:lang w:val="en-IE"/>
        </w:rPr>
        <w:t xml:space="preserve">There is no standard set fee for the relevant authorisations at the EU level. However, by way of example in DK the annual fee is approximately 200 </w:t>
      </w:r>
      <w:r w:rsidR="007E6FD7" w:rsidRPr="005B4339">
        <w:rPr>
          <w:noProof/>
          <w:lang w:val="en-IE"/>
        </w:rPr>
        <w:t>euro</w:t>
      </w:r>
      <w:r w:rsidR="006225FD" w:rsidRPr="005B4339">
        <w:rPr>
          <w:noProof/>
          <w:lang w:val="en-IE"/>
        </w:rPr>
        <w:t xml:space="preserve"> per year</w:t>
      </w:r>
      <w:r w:rsidR="006225FD" w:rsidRPr="005B4339">
        <w:rPr>
          <w:noProof/>
          <w:vertAlign w:val="superscript"/>
          <w:lang w:val="en-IE"/>
        </w:rPr>
        <w:footnoteReference w:id="17"/>
      </w:r>
      <w:r w:rsidR="006225FD" w:rsidRPr="005B4339">
        <w:rPr>
          <w:noProof/>
          <w:lang w:val="en-IE"/>
        </w:rPr>
        <w:t xml:space="preserve"> and in DE it varies by Lander and by type of waste activity. In Hamburg, for example, the fee varies between 95 and 1 000 </w:t>
      </w:r>
      <w:r w:rsidR="007E6FD7" w:rsidRPr="005B4339">
        <w:rPr>
          <w:noProof/>
          <w:lang w:val="en-IE"/>
        </w:rPr>
        <w:t xml:space="preserve">euro </w:t>
      </w:r>
      <w:r w:rsidR="006225FD" w:rsidRPr="005B4339">
        <w:rPr>
          <w:noProof/>
          <w:lang w:val="en-IE"/>
        </w:rPr>
        <w:t xml:space="preserve">per </w:t>
      </w:r>
      <w:r w:rsidR="007E6FD7" w:rsidRPr="005B4339">
        <w:rPr>
          <w:noProof/>
          <w:lang w:val="en-IE"/>
        </w:rPr>
        <w:t>year</w:t>
      </w:r>
      <w:r w:rsidR="006225FD" w:rsidRPr="005B4339">
        <w:rPr>
          <w:noProof/>
          <w:vertAlign w:val="superscript"/>
          <w:lang w:val="en-IE"/>
        </w:rPr>
        <w:footnoteReference w:id="18"/>
      </w:r>
      <w:r w:rsidR="006225FD" w:rsidRPr="005B4339">
        <w:rPr>
          <w:noProof/>
          <w:lang w:val="en-IE"/>
        </w:rPr>
        <w:t xml:space="preserve">. These fees are likely to </w:t>
      </w:r>
      <w:r w:rsidR="009674AB" w:rsidRPr="005B4339">
        <w:rPr>
          <w:noProof/>
          <w:lang w:val="en-IE"/>
        </w:rPr>
        <w:t>be</w:t>
      </w:r>
      <w:r w:rsidR="006225FD" w:rsidRPr="005B4339">
        <w:rPr>
          <w:noProof/>
          <w:lang w:val="en-IE"/>
        </w:rPr>
        <w:t xml:space="preserve"> amongst the highest in the EU, with the average likely to sit below 200 </w:t>
      </w:r>
      <w:r w:rsidR="007E6FD7" w:rsidRPr="005B4339">
        <w:rPr>
          <w:noProof/>
          <w:lang w:val="en-IE"/>
        </w:rPr>
        <w:t xml:space="preserve">euro </w:t>
      </w:r>
      <w:r w:rsidR="006225FD" w:rsidRPr="005B4339">
        <w:rPr>
          <w:noProof/>
          <w:lang w:val="en-IE"/>
        </w:rPr>
        <w:t xml:space="preserve">per </w:t>
      </w:r>
      <w:r w:rsidR="007E6FD7" w:rsidRPr="005B4339">
        <w:rPr>
          <w:noProof/>
          <w:lang w:val="en-IE"/>
        </w:rPr>
        <w:t>year</w:t>
      </w:r>
      <w:r w:rsidR="006225FD" w:rsidRPr="005B4339">
        <w:rPr>
          <w:noProof/>
          <w:lang w:val="en-IE"/>
        </w:rPr>
        <w:t>. As a result of a lack of data on the numbers of enterprises concerned it is not possible to quantify the total impact across the EU of removing these licensing costs.</w:t>
      </w:r>
    </w:p>
    <w:p w14:paraId="5C81C411" w14:textId="77777777" w:rsidR="006225FD" w:rsidRPr="005B4339" w:rsidRDefault="006225FD" w:rsidP="005E621B">
      <w:pPr>
        <w:spacing w:after="120"/>
        <w:rPr>
          <w:b/>
          <w:noProof/>
          <w:lang w:val="en-IE"/>
        </w:rPr>
      </w:pPr>
      <w:r w:rsidRPr="005B4339">
        <w:rPr>
          <w:b/>
          <w:noProof/>
          <w:lang w:val="en-IE"/>
        </w:rPr>
        <w:t>Impact on SMEs and social enterprises</w:t>
      </w:r>
    </w:p>
    <w:p w14:paraId="3B31DE0C" w14:textId="0984CAB4" w:rsidR="00DD5002" w:rsidRPr="005B4339" w:rsidRDefault="04C89217" w:rsidP="00DD5002">
      <w:pPr>
        <w:rPr>
          <w:noProof/>
          <w:lang w:val="en-IE"/>
        </w:rPr>
      </w:pPr>
      <w:r w:rsidRPr="005B4339">
        <w:rPr>
          <w:noProof/>
          <w:lang w:val="en-IE"/>
        </w:rPr>
        <w:t xml:space="preserve">As noted under </w:t>
      </w:r>
      <w:r w:rsidR="007E6FD7" w:rsidRPr="005B4339">
        <w:rPr>
          <w:noProof/>
          <w:lang w:val="en-IE"/>
        </w:rPr>
        <w:t>alternative 1</w:t>
      </w:r>
      <w:r w:rsidRPr="005B4339">
        <w:rPr>
          <w:noProof/>
          <w:lang w:val="en-IE"/>
        </w:rPr>
        <w:t>, data from the social enterprise sector</w:t>
      </w:r>
      <w:r w:rsidR="00DD5002" w:rsidRPr="005B4339">
        <w:rPr>
          <w:noProof/>
          <w:vertAlign w:val="superscript"/>
          <w:lang w:val="en-IE"/>
        </w:rPr>
        <w:footnoteReference w:id="19"/>
      </w:r>
      <w:r w:rsidRPr="005B4339">
        <w:rPr>
          <w:noProof/>
          <w:lang w:val="en-IE"/>
        </w:rPr>
        <w:t xml:space="preserve"> indicates that the majority of those involved in the separate collection of wastes, including social enterprises, are already in </w:t>
      </w:r>
      <w:r w:rsidRPr="005B4339">
        <w:rPr>
          <w:noProof/>
          <w:lang w:val="en-IE"/>
        </w:rPr>
        <w:lastRenderedPageBreak/>
        <w:t>ownership of the necessary waste management permissions so these would no longer be necessary.</w:t>
      </w:r>
      <w:r w:rsidR="006225FD" w:rsidRPr="005B4339">
        <w:rPr>
          <w:noProof/>
          <w:lang w:val="en-IE"/>
        </w:rPr>
        <w:t xml:space="preserve"> The same will be the case for SMEs.</w:t>
      </w:r>
    </w:p>
    <w:p w14:paraId="03203C9E" w14:textId="77777777" w:rsidR="00DD5002" w:rsidRPr="005B4339" w:rsidRDefault="00DD5002" w:rsidP="00292DC7">
      <w:pPr>
        <w:spacing w:after="120"/>
        <w:rPr>
          <w:i/>
          <w:noProof/>
          <w:lang w:val="en-IE"/>
        </w:rPr>
      </w:pPr>
      <w:r w:rsidRPr="005B4339">
        <w:rPr>
          <w:i/>
          <w:noProof/>
          <w:lang w:val="en-IE"/>
        </w:rPr>
        <w:t>Stakeholder evidence</w:t>
      </w:r>
    </w:p>
    <w:p w14:paraId="06C23891" w14:textId="3F064341" w:rsidR="00DD5002" w:rsidRPr="005B4339" w:rsidRDefault="00DD5002" w:rsidP="00292DC7">
      <w:pPr>
        <w:spacing w:after="120"/>
        <w:rPr>
          <w:noProof/>
          <w:lang w:val="en-IE"/>
        </w:rPr>
      </w:pPr>
      <w:r w:rsidRPr="005B4339">
        <w:rPr>
          <w:noProof/>
          <w:lang w:val="en-IE"/>
        </w:rPr>
        <w:t>Stakeholder evidence tended not to differentiate between the definition of textiles in general and the definition of textile waste. The stakeholder evidence should be read with this in mind.</w:t>
      </w:r>
    </w:p>
    <w:p w14:paraId="6400CADF" w14:textId="582F294C" w:rsidR="00DD5002" w:rsidRPr="005B4339" w:rsidRDefault="04C89217" w:rsidP="00292DC7">
      <w:pPr>
        <w:spacing w:after="120"/>
        <w:rPr>
          <w:noProof/>
          <w:lang w:val="en-IE"/>
        </w:rPr>
      </w:pPr>
      <w:r w:rsidRPr="005B4339">
        <w:rPr>
          <w:noProof/>
          <w:lang w:val="en-IE"/>
        </w:rPr>
        <w:t xml:space="preserve">Stakeholder feedback generally considered that clarification of definitions </w:t>
      </w:r>
      <w:r w:rsidRPr="005B4339" w:rsidDel="00FC7F41">
        <w:rPr>
          <w:noProof/>
          <w:lang w:val="en-IE"/>
        </w:rPr>
        <w:t xml:space="preserve">was </w:t>
      </w:r>
      <w:r w:rsidRPr="005B4339">
        <w:rPr>
          <w:noProof/>
          <w:lang w:val="en-IE"/>
        </w:rPr>
        <w:t>a useful measure, if it includes a clear scope on what products are included – and excluded – in the term “textiles and would help to establish what is to be included in separate collections”</w:t>
      </w:r>
      <w:r w:rsidR="00DD5002" w:rsidRPr="005B4339">
        <w:rPr>
          <w:noProof/>
          <w:vertAlign w:val="superscript"/>
          <w:lang w:val="en-IE"/>
        </w:rPr>
        <w:footnoteReference w:id="20"/>
      </w:r>
      <w:r w:rsidRPr="005B4339">
        <w:rPr>
          <w:noProof/>
          <w:lang w:val="en-IE"/>
        </w:rPr>
        <w:t>. There is not necessarily a need to regulate how collections are carried out, however, a common scope was seen as essential.</w:t>
      </w:r>
    </w:p>
    <w:p w14:paraId="0D73C6B0" w14:textId="77777777" w:rsidR="00DD5002" w:rsidRPr="005B4339" w:rsidRDefault="04C89217" w:rsidP="00292DC7">
      <w:pPr>
        <w:spacing w:after="120"/>
        <w:rPr>
          <w:noProof/>
          <w:lang w:val="en-IE"/>
        </w:rPr>
      </w:pPr>
      <w:r w:rsidRPr="005B4339">
        <w:rPr>
          <w:noProof/>
          <w:lang w:val="en-IE"/>
        </w:rPr>
        <w:t>If items are thrown away, it was deemed that this should be considered as waste. In some EU states, there is the option of reusable and non-reusable bins for textiles, which often are mixed-up by consumers, so this definition and sorting needs to be carried out by a professional sorter, therefore better labelling and/or definitions might not resolve this. The same respondent considered that over-the-counter donations should also be considered waste because the fact that a product is donated for an economic purpose (potentially ruling it out of being considered waste) is important, but not a determining factor as there is an economic factor behind many choices, including recycling and to align it with economic element would mean nothing would ever be classed as waste</w:t>
      </w:r>
      <w:r w:rsidR="00DD5002" w:rsidRPr="005B4339">
        <w:rPr>
          <w:noProof/>
          <w:vertAlign w:val="superscript"/>
          <w:lang w:val="en-IE"/>
        </w:rPr>
        <w:footnoteReference w:id="21"/>
      </w:r>
      <w:r w:rsidRPr="005B4339">
        <w:rPr>
          <w:noProof/>
          <w:lang w:val="en-IE"/>
        </w:rPr>
        <w:t>.</w:t>
      </w:r>
    </w:p>
    <w:p w14:paraId="2D9A17E5" w14:textId="1CA06800" w:rsidR="00DD5002" w:rsidRPr="005B4339" w:rsidRDefault="04C89217" w:rsidP="00292DC7">
      <w:pPr>
        <w:spacing w:after="120"/>
        <w:rPr>
          <w:i/>
          <w:noProof/>
          <w:lang w:val="en-IE"/>
        </w:rPr>
      </w:pPr>
      <w:r w:rsidRPr="005B4339">
        <w:rPr>
          <w:noProof/>
          <w:lang w:val="en-IE"/>
        </w:rPr>
        <w:t xml:space="preserve">It was stated that it would be useful to align terminology and regulations and provide a common understanding and basis for monitoring which will extend to a much wider set of fibres and products. This should be combined with the JRC work on EoW criteria for textiles to ensure there is a clear definition of what textiles </w:t>
      </w:r>
      <w:r w:rsidR="006236AF" w:rsidRPr="005B4339">
        <w:rPr>
          <w:noProof/>
          <w:lang w:val="en-IE"/>
        </w:rPr>
        <w:t xml:space="preserve">are </w:t>
      </w:r>
      <w:r w:rsidRPr="005B4339">
        <w:rPr>
          <w:noProof/>
          <w:lang w:val="en-IE"/>
        </w:rPr>
        <w:t>and when they are waste</w:t>
      </w:r>
      <w:r w:rsidR="00DD5002" w:rsidRPr="005B4339">
        <w:rPr>
          <w:noProof/>
          <w:vertAlign w:val="superscript"/>
          <w:lang w:val="en-IE"/>
        </w:rPr>
        <w:footnoteReference w:id="22"/>
      </w:r>
      <w:r w:rsidRPr="005B4339">
        <w:rPr>
          <w:noProof/>
          <w:lang w:val="en-IE"/>
        </w:rPr>
        <w:t xml:space="preserve">. It was viewed as critical to establish clarifying definitions on waste and ownership of waste, and to what extend we should export away waste if it can't be recycled - and only focus on exporting to countries that can recycle (keeping in mind the potential decrease for demand in 3rd countries that are developing and the increase in demand for </w:t>
      </w:r>
      <w:r w:rsidR="00FF5E8F" w:rsidRPr="005B4339">
        <w:rPr>
          <w:noProof/>
          <w:lang w:val="en-IE"/>
        </w:rPr>
        <w:t>second-hand</w:t>
      </w:r>
      <w:r w:rsidRPr="005B4339">
        <w:rPr>
          <w:noProof/>
          <w:lang w:val="en-IE"/>
        </w:rPr>
        <w:t xml:space="preserve"> in Europe)</w:t>
      </w:r>
      <w:r w:rsidR="00DD5002" w:rsidRPr="005B4339">
        <w:rPr>
          <w:noProof/>
          <w:vertAlign w:val="superscript"/>
          <w:lang w:val="en-IE"/>
        </w:rPr>
        <w:footnoteReference w:id="23"/>
      </w:r>
      <w:r w:rsidRPr="005B4339">
        <w:rPr>
          <w:noProof/>
          <w:lang w:val="en-IE"/>
        </w:rPr>
        <w:t>.</w:t>
      </w:r>
    </w:p>
    <w:p w14:paraId="0B936A63" w14:textId="3560323E" w:rsidR="00DD5002" w:rsidRPr="005B4339" w:rsidRDefault="04C89217" w:rsidP="00292DC7">
      <w:pPr>
        <w:spacing w:after="120"/>
        <w:rPr>
          <w:noProof/>
          <w:lang w:val="en-IE"/>
        </w:rPr>
      </w:pPr>
      <w:r w:rsidRPr="005B4339">
        <w:rPr>
          <w:noProof/>
          <w:lang w:val="en-IE"/>
        </w:rPr>
        <w:t>A stakeholder considered that new terms such as “renewable textiles” may need to be added and these should all be aligned across the states to provide a level playing field. These definitions should extend across new types of materials (i.e.</w:t>
      </w:r>
      <w:r w:rsidR="00A64335" w:rsidRPr="005B4339">
        <w:rPr>
          <w:noProof/>
          <w:lang w:val="en-IE"/>
        </w:rPr>
        <w:t>,</w:t>
      </w:r>
      <w:r w:rsidRPr="005B4339">
        <w:rPr>
          <w:noProof/>
          <w:lang w:val="en-IE"/>
        </w:rPr>
        <w:t xml:space="preserve"> renewable materials) as well as across blends and fibres. The decision as to what this is aligned with should be developed through in-depth consultation with stakeholders</w:t>
      </w:r>
      <w:r w:rsidR="00DD5002" w:rsidRPr="005B4339">
        <w:rPr>
          <w:noProof/>
          <w:vertAlign w:val="superscript"/>
          <w:lang w:val="en-IE"/>
        </w:rPr>
        <w:footnoteReference w:id="24"/>
      </w:r>
      <w:r w:rsidRPr="005B4339">
        <w:rPr>
          <w:noProof/>
          <w:lang w:val="en-IE"/>
        </w:rPr>
        <w:t xml:space="preserve">. </w:t>
      </w:r>
    </w:p>
    <w:p w14:paraId="3165024D" w14:textId="77777777" w:rsidR="00DD5002" w:rsidRPr="005B4339" w:rsidRDefault="04C89217" w:rsidP="00292DC7">
      <w:pPr>
        <w:spacing w:after="120"/>
        <w:rPr>
          <w:noProof/>
          <w:lang w:val="en-IE"/>
        </w:rPr>
      </w:pPr>
      <w:r w:rsidRPr="005B4339">
        <w:rPr>
          <w:noProof/>
          <w:lang w:val="en-IE"/>
        </w:rPr>
        <w:lastRenderedPageBreak/>
        <w:t>It was felt that a clear definition of reusable/recyclable is needed for textiles as currently, no specific criteria exist for an objective classification of discarded textiles into reusable or recyclable. This lack of definitions directly hampers a homogeneous classification of garments and the application of the waste hierarchy. However, once waste is classified as reusable or recyclable, rules for shipment and exports are different regarding controls, notifications and assurance</w:t>
      </w:r>
      <w:r w:rsidR="00DD5002" w:rsidRPr="005B4339">
        <w:rPr>
          <w:noProof/>
          <w:vertAlign w:val="superscript"/>
          <w:lang w:val="en-IE"/>
        </w:rPr>
        <w:footnoteReference w:id="25"/>
      </w:r>
      <w:r w:rsidRPr="005B4339">
        <w:rPr>
          <w:noProof/>
          <w:lang w:val="en-IE"/>
        </w:rPr>
        <w:t>.</w:t>
      </w:r>
    </w:p>
    <w:p w14:paraId="0B160F81" w14:textId="550BFA24" w:rsidR="00DD5002" w:rsidRPr="005B4339" w:rsidRDefault="04C89217" w:rsidP="00292DC7">
      <w:pPr>
        <w:spacing w:after="120"/>
        <w:rPr>
          <w:noProof/>
          <w:lang w:val="en-IE"/>
        </w:rPr>
      </w:pPr>
      <w:r w:rsidRPr="005B4339">
        <w:rPr>
          <w:noProof/>
          <w:lang w:val="en-IE"/>
        </w:rPr>
        <w:t xml:space="preserve">For all </w:t>
      </w:r>
      <w:r w:rsidR="00832692" w:rsidRPr="005B4339">
        <w:rPr>
          <w:noProof/>
          <w:lang w:val="en-IE"/>
        </w:rPr>
        <w:t>alternatives</w:t>
      </w:r>
      <w:r w:rsidRPr="005B4339">
        <w:rPr>
          <w:noProof/>
          <w:lang w:val="en-IE"/>
        </w:rPr>
        <w:t xml:space="preserve">, there was consensus that any definitions should be cross-state and should drive consistency which will drive ease of sharing, exports, and economies of scale. In addition to this, these definitions should be equally enshrined within all the different EU legislations to ensure shared indicators/reporting and objectives. This should include definitions of legally responsible economic operators as well as business related activities such as repair, remanufacture (remake) and </w:t>
      </w:r>
      <w:r w:rsidR="00FF5E8F" w:rsidRPr="005B4339">
        <w:rPr>
          <w:noProof/>
          <w:lang w:val="en-IE"/>
        </w:rPr>
        <w:t>second-hand</w:t>
      </w:r>
      <w:r w:rsidRPr="005B4339">
        <w:rPr>
          <w:noProof/>
          <w:lang w:val="en-IE"/>
        </w:rPr>
        <w:t xml:space="preserve"> must also be clearly stated and harmonized within all EU legislations</w:t>
      </w:r>
      <w:r w:rsidR="00DD5002" w:rsidRPr="005B4339">
        <w:rPr>
          <w:noProof/>
          <w:vertAlign w:val="superscript"/>
          <w:lang w:val="en-IE"/>
        </w:rPr>
        <w:footnoteReference w:id="26"/>
      </w:r>
      <w:r w:rsidRPr="005B4339">
        <w:rPr>
          <w:noProof/>
          <w:lang w:val="en-IE"/>
        </w:rPr>
        <w:t xml:space="preserve"> and possible beyond (i.e.</w:t>
      </w:r>
      <w:r w:rsidR="00462E6D" w:rsidRPr="005B4339">
        <w:rPr>
          <w:noProof/>
          <w:lang w:val="en-IE"/>
        </w:rPr>
        <w:t>,</w:t>
      </w:r>
      <w:r w:rsidRPr="005B4339">
        <w:rPr>
          <w:noProof/>
          <w:lang w:val="en-IE"/>
        </w:rPr>
        <w:t xml:space="preserve"> Norway)</w:t>
      </w:r>
      <w:r w:rsidR="00DD5002" w:rsidRPr="005B4339">
        <w:rPr>
          <w:noProof/>
          <w:vertAlign w:val="superscript"/>
          <w:lang w:val="en-IE"/>
        </w:rPr>
        <w:footnoteReference w:id="27"/>
      </w:r>
      <w:r w:rsidRPr="005B4339">
        <w:rPr>
          <w:noProof/>
          <w:lang w:val="en-IE"/>
        </w:rPr>
        <w:t>.</w:t>
      </w:r>
    </w:p>
    <w:p w14:paraId="78AB4E27" w14:textId="5E3D3BCE" w:rsidR="00C52453" w:rsidRPr="005B4339" w:rsidRDefault="00DD5002" w:rsidP="00650A98">
      <w:pPr>
        <w:rPr>
          <w:noProof/>
          <w:lang w:val="en-IE"/>
        </w:rPr>
      </w:pPr>
      <w:r w:rsidRPr="005B4339">
        <w:rPr>
          <w:noProof/>
          <w:lang w:val="en-IE"/>
        </w:rPr>
        <w:t xml:space="preserve">Bringing the textile labelling and CN classifications together would need to also include definitions for fibre-to-fibre recycling, reusable, recyclable textile waste as well as new terms like ex. renewable textile (post-consumer cellulose-based </w:t>
      </w:r>
      <w:r w:rsidR="009B2D21" w:rsidRPr="005B4339">
        <w:rPr>
          <w:noProof/>
          <w:lang w:val="en-IE"/>
        </w:rPr>
        <w:t>fibres</w:t>
      </w:r>
      <w:r w:rsidRPr="005B4339">
        <w:rPr>
          <w:noProof/>
          <w:lang w:val="en-IE"/>
        </w:rPr>
        <w:t xml:space="preserve"> that can be chemically converted into new </w:t>
      </w:r>
      <w:r w:rsidR="009B2D21" w:rsidRPr="005B4339">
        <w:rPr>
          <w:noProof/>
          <w:lang w:val="en-IE"/>
        </w:rPr>
        <w:t>fibre</w:t>
      </w:r>
      <w:r w:rsidRPr="005B4339">
        <w:rPr>
          <w:noProof/>
          <w:lang w:val="en-IE"/>
        </w:rPr>
        <w:t xml:space="preserve"> types etc). Developing these definitions would need to be done as part of an extensive stakeholder engagement process.</w:t>
      </w:r>
    </w:p>
    <w:p w14:paraId="72F284B9" w14:textId="2B61B44C" w:rsidR="0099456F" w:rsidRPr="005B4339" w:rsidRDefault="0099456F" w:rsidP="0099456F">
      <w:pPr>
        <w:spacing w:after="120"/>
        <w:rPr>
          <w:b/>
          <w:noProof/>
          <w:lang w:val="en-IE"/>
        </w:rPr>
      </w:pPr>
      <w:bookmarkStart w:id="49" w:name="_Toc133229465"/>
      <w:bookmarkStart w:id="50" w:name="_Toc139032019"/>
      <w:r w:rsidRPr="005B4339">
        <w:rPr>
          <w:i/>
          <w:noProof/>
          <w:lang w:val="en-IE"/>
        </w:rPr>
        <w:t xml:space="preserve">Table </w:t>
      </w:r>
      <w:r w:rsidR="00393DFA">
        <w:rPr>
          <w:i/>
          <w:iCs/>
          <w:noProof/>
        </w:rPr>
        <w:t>3</w:t>
      </w:r>
      <w:r w:rsidRPr="005B4339">
        <w:rPr>
          <w:i/>
          <w:noProof/>
          <w:lang w:val="en-IE"/>
        </w:rPr>
        <w:t xml:space="preserve"> : Summary of impacts for measure 1.</w:t>
      </w:r>
      <w:r w:rsidR="00A32E6D" w:rsidRPr="005B4339">
        <w:rPr>
          <w:i/>
          <w:noProof/>
          <w:lang w:val="en-IE"/>
        </w:rPr>
        <w:t>1</w:t>
      </w:r>
      <w:r w:rsidRPr="005B4339">
        <w:rPr>
          <w:i/>
          <w:noProof/>
          <w:lang w:val="en-IE"/>
        </w:rPr>
        <w:t xml:space="preserve"> – Alternatives 1</w:t>
      </w:r>
      <w:r w:rsidR="00335D5D" w:rsidRPr="005B4339">
        <w:rPr>
          <w:i/>
          <w:noProof/>
          <w:lang w:val="en-IE"/>
        </w:rPr>
        <w:t>-2</w:t>
      </w:r>
      <w:r w:rsidRPr="005B4339">
        <w:rPr>
          <w:i/>
          <w:noProof/>
          <w:lang w:val="en-IE"/>
        </w:rPr>
        <w:t xml:space="preserve"> definition ‘</w:t>
      </w:r>
      <w:r w:rsidR="00335D5D" w:rsidRPr="005B4339">
        <w:rPr>
          <w:i/>
          <w:noProof/>
          <w:lang w:val="en-IE"/>
        </w:rPr>
        <w:t>waste’</w:t>
      </w:r>
      <w:bookmarkEnd w:id="49"/>
      <w:bookmarkEnd w:id="50"/>
    </w:p>
    <w:tbl>
      <w:tblPr>
        <w:tblStyle w:val="PlainTable1"/>
        <w:tblW w:w="9268" w:type="dxa"/>
        <w:tblLook w:val="04A0" w:firstRow="1" w:lastRow="0" w:firstColumn="1" w:lastColumn="0" w:noHBand="0" w:noVBand="1"/>
      </w:tblPr>
      <w:tblGrid>
        <w:gridCol w:w="2547"/>
        <w:gridCol w:w="2268"/>
        <w:gridCol w:w="2268"/>
        <w:gridCol w:w="2185"/>
      </w:tblGrid>
      <w:tr w:rsidR="00093C88" w:rsidRPr="005B4339" w14:paraId="4752526D" w14:textId="77777777" w:rsidTr="0033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56A86EB5" w14:textId="77777777" w:rsidR="00093C88" w:rsidRPr="005B4339" w:rsidRDefault="00093C88">
            <w:pPr>
              <w:jc w:val="left"/>
              <w:rPr>
                <w:noProof/>
                <w:lang w:val="en-IE"/>
              </w:rPr>
            </w:pPr>
            <w:r w:rsidRPr="005B4339">
              <w:rPr>
                <w:noProof/>
                <w:lang w:val="en-IE"/>
              </w:rPr>
              <w:t>Stakeholder affected</w:t>
            </w:r>
          </w:p>
        </w:tc>
        <w:tc>
          <w:tcPr>
            <w:tcW w:w="2268" w:type="dxa"/>
            <w:hideMark/>
          </w:tcPr>
          <w:p w14:paraId="7D5D7C80" w14:textId="77777777" w:rsidR="00093C88" w:rsidRPr="005B4339" w:rsidRDefault="00093C8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Pr>
          <w:p w14:paraId="067E37A2" w14:textId="77777777" w:rsidR="00093C88" w:rsidRPr="005B4339" w:rsidRDefault="00093C8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hideMark/>
          </w:tcPr>
          <w:p w14:paraId="33290284" w14:textId="77777777" w:rsidR="00093C88" w:rsidRPr="005B4339" w:rsidRDefault="00093C88">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093C88" w:rsidRPr="005B4339" w14:paraId="5F80925D" w14:textId="77777777" w:rsidTr="0009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3C30FC96" w14:textId="77777777" w:rsidR="00093C88" w:rsidRPr="005B4339" w:rsidRDefault="00093C88">
            <w:pPr>
              <w:jc w:val="left"/>
              <w:rPr>
                <w:noProof/>
                <w:lang w:val="en-IE"/>
              </w:rPr>
            </w:pPr>
            <w:r w:rsidRPr="005B4339">
              <w:rPr>
                <w:noProof/>
                <w:lang w:val="en-IE"/>
              </w:rPr>
              <w:t>Producers, waste managers (encompassing collectors, sorters and managers)</w:t>
            </w:r>
          </w:p>
        </w:tc>
        <w:tc>
          <w:tcPr>
            <w:tcW w:w="2268" w:type="dxa"/>
          </w:tcPr>
          <w:p w14:paraId="489C0F52" w14:textId="77777777" w:rsidR="00093C88" w:rsidRPr="005B4339" w:rsidRDefault="00093C88" w:rsidP="00093C8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enable a level playing field as it would provide a common understanding of the point at which the application of waste controls apply to textile waste.</w:t>
            </w:r>
          </w:p>
          <w:p w14:paraId="61773A87" w14:textId="2D26C907" w:rsidR="00093C88" w:rsidRPr="005B4339" w:rsidRDefault="00093C88" w:rsidP="00093C8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Alternative 1 would possibly lead to a deterioration in the </w:t>
            </w:r>
            <w:r w:rsidRPr="005B4339">
              <w:rPr>
                <w:noProof/>
                <w:lang w:val="en-IE"/>
              </w:rPr>
              <w:lastRenderedPageBreak/>
              <w:t xml:space="preserve">quality of textiles collected in the absence of clear instructions as citizens may simply discard all textiles, including waste textiles. It may also require a small number of collectors (including social enterprises) to obtain the relevant waste permits to operate given that the majority already hold such permissions. </w:t>
            </w:r>
          </w:p>
          <w:p w14:paraId="750F58A1" w14:textId="360D2755" w:rsidR="00093C88" w:rsidRPr="005B4339" w:rsidRDefault="00093C88" w:rsidP="0005239A">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increase administrative costs related to verifying compliance with waste definitions, if they are attached to obligations</w:t>
            </w:r>
          </w:p>
        </w:tc>
        <w:tc>
          <w:tcPr>
            <w:tcW w:w="2268" w:type="dxa"/>
          </w:tcPr>
          <w:p w14:paraId="68C81BC3" w14:textId="77777777" w:rsidR="00093C88" w:rsidRPr="005B4339" w:rsidRDefault="00093C88">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Pr>
          <w:p w14:paraId="5FDDEAAB" w14:textId="5BE4CC0A" w:rsidR="00093C88" w:rsidRPr="005B4339" w:rsidRDefault="00093C88" w:rsidP="00A5391C">
            <w:pPr>
              <w:ind w:left="30"/>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Businesses would benefit from the information derived from the clarifying definitions</w:t>
            </w:r>
          </w:p>
        </w:tc>
      </w:tr>
      <w:tr w:rsidR="00093C88" w:rsidRPr="005B4339" w14:paraId="68FB84C5" w14:textId="77777777" w:rsidTr="00093C88">
        <w:trPr>
          <w:trHeight w:val="870"/>
        </w:trPr>
        <w:tc>
          <w:tcPr>
            <w:cnfStyle w:val="001000000000" w:firstRow="0" w:lastRow="0" w:firstColumn="1" w:lastColumn="0" w:oddVBand="0" w:evenVBand="0" w:oddHBand="0" w:evenHBand="0" w:firstRowFirstColumn="0" w:firstRowLastColumn="0" w:lastRowFirstColumn="0" w:lastRowLastColumn="0"/>
            <w:tcW w:w="2547" w:type="dxa"/>
          </w:tcPr>
          <w:p w14:paraId="627BD75E" w14:textId="77777777" w:rsidR="00093C88" w:rsidRPr="005B4339" w:rsidRDefault="00093C88">
            <w:pPr>
              <w:jc w:val="left"/>
              <w:rPr>
                <w:noProof/>
                <w:lang w:val="en-IE"/>
              </w:rPr>
            </w:pPr>
            <w:r w:rsidRPr="005B4339">
              <w:rPr>
                <w:noProof/>
                <w:lang w:val="en-IE"/>
              </w:rPr>
              <w:t>Public authorities</w:t>
            </w:r>
          </w:p>
        </w:tc>
        <w:tc>
          <w:tcPr>
            <w:tcW w:w="2268" w:type="dxa"/>
          </w:tcPr>
          <w:p w14:paraId="44022C55" w14:textId="2603CA26" w:rsidR="00093C88" w:rsidRPr="005B4339" w:rsidRDefault="00093C88">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Pr>
          <w:p w14:paraId="226B8409" w14:textId="77777777" w:rsidR="00093C88" w:rsidRPr="005B4339" w:rsidRDefault="00093C88">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Pr>
          <w:p w14:paraId="11B507DE" w14:textId="5F884B00" w:rsidR="00093C88" w:rsidRPr="005B4339" w:rsidRDefault="00093C88" w:rsidP="005F4E55">
            <w:pPr>
              <w:ind w:left="30"/>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Public authorities would benefit from clearer definitions to be applied in managing textile wastes from the public</w:t>
            </w:r>
          </w:p>
        </w:tc>
      </w:tr>
      <w:tr w:rsidR="00C03B6E" w:rsidRPr="005B4339" w14:paraId="37A271A8" w14:textId="77777777" w:rsidTr="0009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688F2B" w14:textId="3354782F" w:rsidR="00C03B6E" w:rsidRPr="005B4339" w:rsidRDefault="00C03B6E">
            <w:pPr>
              <w:jc w:val="left"/>
              <w:rPr>
                <w:noProof/>
                <w:lang w:val="en-IE"/>
              </w:rPr>
            </w:pPr>
            <w:r w:rsidRPr="005B4339">
              <w:rPr>
                <w:noProof/>
                <w:lang w:val="en-IE"/>
              </w:rPr>
              <w:t>Producers, waste managers (encompassing collectors, sorters and managers) and citizens</w:t>
            </w:r>
          </w:p>
        </w:tc>
        <w:tc>
          <w:tcPr>
            <w:tcW w:w="2268" w:type="dxa"/>
          </w:tcPr>
          <w:p w14:paraId="1349200B" w14:textId="77777777" w:rsidR="00C03B6E" w:rsidRPr="005B4339" w:rsidRDefault="00C03B6E">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Pr>
          <w:p w14:paraId="775EFB0B" w14:textId="77777777" w:rsidR="00C03B6E" w:rsidRPr="005B4339" w:rsidRDefault="00C03B6E">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Pr>
          <w:p w14:paraId="6065B33F" w14:textId="19946050" w:rsidR="00C03B6E" w:rsidRPr="005B4339" w:rsidRDefault="00C03B6E" w:rsidP="005F4E55">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Alternative 1 would offer greater certainty of applying relevant waste management controls to materials that are </w:t>
            </w:r>
            <w:r w:rsidRPr="005B4339">
              <w:rPr>
                <w:noProof/>
                <w:lang w:val="en-IE"/>
              </w:rPr>
              <w:lastRenderedPageBreak/>
              <w:t>presently lost in the export of EU textiles under the guise of reuse even though they are actually waste.  This would be beneficial to third country citizens.</w:t>
            </w:r>
          </w:p>
          <w:p w14:paraId="11D1C5EB" w14:textId="171AF1C2" w:rsidR="00C03B6E" w:rsidRPr="005B4339" w:rsidRDefault="00C03B6E">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Alternative 2 would potentially allow even more EU textile wastes to be exported under the guise of reusable materials even though they are a waste to the detriment of third country citizens.</w:t>
            </w:r>
          </w:p>
        </w:tc>
      </w:tr>
      <w:tr w:rsidR="00093C88" w:rsidRPr="005B4339" w14:paraId="1F39ECE1" w14:textId="77777777" w:rsidTr="00093C88">
        <w:tc>
          <w:tcPr>
            <w:cnfStyle w:val="001000000000" w:firstRow="0" w:lastRow="0" w:firstColumn="1" w:lastColumn="0" w:oddVBand="0" w:evenVBand="0" w:oddHBand="0" w:evenHBand="0" w:firstRowFirstColumn="0" w:firstRowLastColumn="0" w:lastRowFirstColumn="0" w:lastRowLastColumn="0"/>
            <w:tcW w:w="2547" w:type="dxa"/>
            <w:hideMark/>
          </w:tcPr>
          <w:p w14:paraId="7A5559C4" w14:textId="7DE07738" w:rsidR="00093C88" w:rsidRPr="005B4339" w:rsidRDefault="00093C88">
            <w:pPr>
              <w:jc w:val="left"/>
              <w:rPr>
                <w:noProof/>
                <w:lang w:val="en-IE"/>
              </w:rPr>
            </w:pPr>
            <w:r w:rsidRPr="005B4339">
              <w:rPr>
                <w:noProof/>
                <w:lang w:val="en-IE"/>
              </w:rPr>
              <w:lastRenderedPageBreak/>
              <w:t>All stakeholders</w:t>
            </w:r>
          </w:p>
        </w:tc>
        <w:tc>
          <w:tcPr>
            <w:tcW w:w="2268" w:type="dxa"/>
          </w:tcPr>
          <w:p w14:paraId="3761AB57" w14:textId="77777777" w:rsidR="00093C88" w:rsidRPr="005B4339" w:rsidRDefault="00093C88">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Pr>
          <w:p w14:paraId="3977DDCC" w14:textId="717278CA" w:rsidR="00C03B6E" w:rsidRPr="005B4339" w:rsidRDefault="00C03B6E" w:rsidP="00C03B6E">
            <w:pPr>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Alternative 1 would increase the level of environmental control where these measures are not currently applied.</w:t>
            </w:r>
          </w:p>
          <w:p w14:paraId="38F6FB41" w14:textId="1CAC46C2" w:rsidR="00093C88" w:rsidRPr="005B4339" w:rsidRDefault="00C03B6E" w:rsidP="00C03B6E">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Alternative 2 would lessen controls in comparison to the status quo in terms of environmental protection where most collectors are considered to already apply waste controls under authorisation from public authorities.</w:t>
            </w:r>
          </w:p>
        </w:tc>
        <w:tc>
          <w:tcPr>
            <w:tcW w:w="2185" w:type="dxa"/>
          </w:tcPr>
          <w:p w14:paraId="7611AD80" w14:textId="77777777" w:rsidR="00093C88" w:rsidRPr="005B4339" w:rsidRDefault="00093C88">
            <w:pPr>
              <w:cnfStyle w:val="000000000000" w:firstRow="0" w:lastRow="0" w:firstColumn="0" w:lastColumn="0" w:oddVBand="0" w:evenVBand="0" w:oddHBand="0" w:evenHBand="0" w:firstRowFirstColumn="0" w:firstRowLastColumn="0" w:lastRowFirstColumn="0" w:lastRowLastColumn="0"/>
              <w:rPr>
                <w:b/>
                <w:noProof/>
                <w:lang w:val="en-IE"/>
              </w:rPr>
            </w:pPr>
          </w:p>
        </w:tc>
      </w:tr>
    </w:tbl>
    <w:p w14:paraId="6037A1B8" w14:textId="4FA1175B" w:rsidR="00905678" w:rsidRPr="005B4339" w:rsidRDefault="00905678" w:rsidP="00292DC7">
      <w:pPr>
        <w:spacing w:after="120"/>
        <w:rPr>
          <w:b/>
          <w:noProof/>
          <w:lang w:val="en-IE"/>
        </w:rPr>
      </w:pPr>
    </w:p>
    <w:p w14:paraId="33125D3C" w14:textId="77777777" w:rsidR="00E16BF4" w:rsidRPr="005B4339" w:rsidRDefault="00E16BF4" w:rsidP="00E16BF4">
      <w:pPr>
        <w:pStyle w:val="WDBody"/>
        <w:spacing w:after="240" w:line="240" w:lineRule="auto"/>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lastRenderedPageBreak/>
        <w:t>Competitiveness impacts of measure 1.1</w:t>
      </w:r>
    </w:p>
    <w:p w14:paraId="628FA4AE" w14:textId="77777777" w:rsidR="00E16BF4" w:rsidRPr="005B4339" w:rsidRDefault="00E16BF4" w:rsidP="00E16BF4">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following competitiveness impacts have been assessed for this measure overall.</w:t>
      </w:r>
    </w:p>
    <w:p w14:paraId="73110E43" w14:textId="08BFD406" w:rsidR="00E16BF4" w:rsidRPr="005B4339" w:rsidRDefault="00E16BF4" w:rsidP="00E16BF4">
      <w:pPr>
        <w:spacing w:after="120"/>
        <w:rPr>
          <w:i/>
          <w:noProof/>
          <w:lang w:val="en-IE"/>
        </w:rPr>
      </w:pPr>
      <w:bookmarkStart w:id="51" w:name="_Toc133229466"/>
      <w:bookmarkStart w:id="52" w:name="_Toc139032020"/>
      <w:r w:rsidRPr="005B4339">
        <w:rPr>
          <w:i/>
          <w:noProof/>
          <w:lang w:val="en-IE"/>
        </w:rPr>
        <w:t xml:space="preserve">Table </w:t>
      </w:r>
      <w:r w:rsidR="00393DFA">
        <w:rPr>
          <w:i/>
          <w:iCs/>
          <w:noProof/>
        </w:rPr>
        <w:t>4</w:t>
      </w:r>
      <w:r w:rsidRPr="005B4339">
        <w:rPr>
          <w:i/>
          <w:noProof/>
          <w:lang w:val="en-IE"/>
        </w:rPr>
        <w:t xml:space="preserve"> - competitiveness impacts of measure 1.1</w:t>
      </w:r>
      <w:bookmarkEnd w:id="51"/>
      <w:bookmarkEnd w:id="52"/>
    </w:p>
    <w:tbl>
      <w:tblPr>
        <w:tblStyle w:val="TableGrid"/>
        <w:tblW w:w="0" w:type="auto"/>
        <w:tblLook w:val="04A0" w:firstRow="1" w:lastRow="0" w:firstColumn="1" w:lastColumn="0" w:noHBand="0" w:noVBand="1"/>
      </w:tblPr>
      <w:tblGrid>
        <w:gridCol w:w="2400"/>
        <w:gridCol w:w="7176"/>
      </w:tblGrid>
      <w:tr w:rsidR="00E16BF4" w:rsidRPr="005B4339" w14:paraId="34ECA1BC" w14:textId="77777777">
        <w:tc>
          <w:tcPr>
            <w:tcW w:w="2405" w:type="dxa"/>
          </w:tcPr>
          <w:p w14:paraId="3BAD97E7"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0DA959F4" w14:textId="534DF8AB"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As noted above under economic impacts an increase in scope in comparison to the scope of textiles currently applied by Member States would lead to increases in costs for management of these types of textiles at the point of discard.  The price competitiveness impacts </w:t>
            </w:r>
            <w:r w:rsidR="00041697" w:rsidRPr="005B4339">
              <w:rPr>
                <w:rFonts w:ascii="Times New Roman" w:hAnsi="Times New Roman"/>
                <w:noProof/>
                <w:sz w:val="24"/>
                <w:szCs w:val="24"/>
                <w:lang w:val="en-IE"/>
              </w:rPr>
              <w:t xml:space="preserve">at Member State level </w:t>
            </w:r>
            <w:r w:rsidRPr="005B4339">
              <w:rPr>
                <w:rFonts w:ascii="Times New Roman" w:hAnsi="Times New Roman"/>
                <w:noProof/>
                <w:sz w:val="24"/>
                <w:szCs w:val="24"/>
                <w:lang w:val="en-IE"/>
              </w:rPr>
              <w:t xml:space="preserve">are likely to be greatest for those Member States that currently have taken little action to address textile wastes and for which significant investments would be required to catch up. In this context price competitiveness in the textile waste management sectors in BG, CY, CZ, EE, EL, ES, HR, HU, LV, PL, PT, RO, SI and SK would feel the largest impacts given the low levels of collection, sorting and treatment that are currently undertaken in comparison to other EU Member States. </w:t>
            </w:r>
          </w:p>
        </w:tc>
      </w:tr>
      <w:tr w:rsidR="00E16BF4" w:rsidRPr="005B4339" w14:paraId="041921B4" w14:textId="77777777">
        <w:tc>
          <w:tcPr>
            <w:tcW w:w="2405" w:type="dxa"/>
          </w:tcPr>
          <w:p w14:paraId="750576B2"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6DA77CDA" w14:textId="1C6A9ADA"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A broad scope of textiles under alternative 1</w:t>
            </w:r>
            <w:r w:rsidR="000A4CF6" w:rsidRPr="005B4339">
              <w:rPr>
                <w:rFonts w:ascii="Times New Roman" w:hAnsi="Times New Roman"/>
                <w:noProof/>
                <w:sz w:val="24"/>
                <w:szCs w:val="24"/>
                <w:lang w:val="en-IE"/>
              </w:rPr>
              <w:t xml:space="preserve"> of sub-measure 1.1</w:t>
            </w:r>
            <w:r w:rsidRPr="005B4339">
              <w:rPr>
                <w:rFonts w:ascii="Times New Roman" w:hAnsi="Times New Roman"/>
                <w:noProof/>
                <w:sz w:val="24"/>
                <w:szCs w:val="24"/>
                <w:lang w:val="en-IE"/>
              </w:rPr>
              <w:t xml:space="preserve"> would incentivise research and development in particular for those textile goods that have traditionally not been considered as textiles by Member States to date – this would include the likes of pre-consumer textiles and post-consumer goods like carpets and mattresses.  Given the low levels of reuse and recycling that have been identified for these types of textiles it would be expected that increased collection would, in turn, increase efforts to reuse and recycled the textiles collected.  </w:t>
            </w:r>
          </w:p>
          <w:p w14:paraId="4D6DB081" w14:textId="61CD788A"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However, a broader scope also potentially dilutes R&amp;I activities, removing focus from those textiles that represent the bulk of textile wastes and for which greatest economic value may be recovered and requiring focus across all textiles.  In this respect alternatives 2 and 3 </w:t>
            </w:r>
            <w:r w:rsidR="007C5778" w:rsidRPr="005B4339">
              <w:rPr>
                <w:rFonts w:ascii="Times New Roman" w:hAnsi="Times New Roman"/>
                <w:noProof/>
                <w:sz w:val="24"/>
                <w:szCs w:val="24"/>
                <w:lang w:val="en-IE"/>
              </w:rPr>
              <w:t xml:space="preserve">of sub-measure 1.1. </w:t>
            </w:r>
            <w:r w:rsidRPr="005B4339">
              <w:rPr>
                <w:rFonts w:ascii="Times New Roman" w:hAnsi="Times New Roman"/>
                <w:noProof/>
                <w:sz w:val="24"/>
                <w:szCs w:val="24"/>
                <w:lang w:val="en-IE"/>
              </w:rPr>
              <w:t>offer the possibility for greater focus of R&amp;I activities in the EU.  This offers the opportunity for the EU to become a market leader in textile recycling technologies.</w:t>
            </w:r>
          </w:p>
        </w:tc>
      </w:tr>
      <w:tr w:rsidR="00E16BF4" w:rsidRPr="005B4339" w14:paraId="4CEFFD3A" w14:textId="77777777">
        <w:tc>
          <w:tcPr>
            <w:tcW w:w="2405" w:type="dxa"/>
          </w:tcPr>
          <w:p w14:paraId="532EABE3"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408517D4"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Given the high-quality, higher margin and target markets of EU textiles limited export impacts are expected as a result of this measure.</w:t>
            </w:r>
          </w:p>
        </w:tc>
      </w:tr>
      <w:tr w:rsidR="00E16BF4" w:rsidRPr="005B4339" w14:paraId="58EC432B" w14:textId="77777777">
        <w:tc>
          <w:tcPr>
            <w:tcW w:w="2405" w:type="dxa"/>
          </w:tcPr>
          <w:p w14:paraId="2DD2726A"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7223" w:type="dxa"/>
          </w:tcPr>
          <w:p w14:paraId="7D7C05E6" w14:textId="2EBC52B3"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A broad scope of textiles under alternative 1 </w:t>
            </w:r>
            <w:r w:rsidR="007C5778" w:rsidRPr="005B4339">
              <w:rPr>
                <w:rFonts w:ascii="Times New Roman" w:hAnsi="Times New Roman"/>
                <w:noProof/>
                <w:sz w:val="24"/>
                <w:szCs w:val="24"/>
                <w:lang w:val="en-IE"/>
              </w:rPr>
              <w:t xml:space="preserve">of sub-measure 1.1. </w:t>
            </w:r>
            <w:r w:rsidRPr="005B4339">
              <w:rPr>
                <w:rFonts w:ascii="Times New Roman" w:hAnsi="Times New Roman"/>
                <w:noProof/>
                <w:sz w:val="24"/>
                <w:szCs w:val="24"/>
                <w:lang w:val="en-IE"/>
              </w:rPr>
              <w:t xml:space="preserve">brings with it a broad scope for which collection would take place and from which increased reuse and recycling would likely take place.  This would, from a circularity perspective, allow the potential replacement of </w:t>
            </w:r>
            <w:r w:rsidRPr="005B4339">
              <w:rPr>
                <w:rFonts w:ascii="Times New Roman" w:hAnsi="Times New Roman"/>
                <w:noProof/>
                <w:sz w:val="24"/>
                <w:szCs w:val="24"/>
                <w:lang w:val="en-IE"/>
              </w:rPr>
              <w:lastRenderedPageBreak/>
              <w:t>virgin materials imported from other countries (in particular for natural fibres for which the EU relies on third country imports) with reusable and recyclable fibres from the collected feedstock.  Recovery of the full value of these materials would rely on investments in the necessary techniques to recover the materials contained therein – see dynamic competitiveness impacts above for more detail.  It has not been possible to quantify the total amounts that may be recoverable.</w:t>
            </w:r>
          </w:p>
          <w:p w14:paraId="19FB4E01" w14:textId="77777777" w:rsidR="00E16BF4" w:rsidRPr="005B4339" w:rsidRDefault="00E16BF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The narrower scope of alternatives 1 and 2 would focus reuse and recycling efforts for the main sources of textile waste in the EU but would offer lower volumes of potential reusable and recycled textiles in the future.</w:t>
            </w:r>
          </w:p>
        </w:tc>
      </w:tr>
    </w:tbl>
    <w:p w14:paraId="19F24455" w14:textId="77777777" w:rsidR="00A32E6D" w:rsidRPr="005B4339" w:rsidRDefault="00A32E6D" w:rsidP="00292DC7">
      <w:pPr>
        <w:spacing w:after="120"/>
        <w:rPr>
          <w:b/>
          <w:noProof/>
          <w:lang w:val="en-IE"/>
        </w:rPr>
      </w:pPr>
    </w:p>
    <w:p w14:paraId="78C64C5B" w14:textId="2DE00EBD" w:rsidR="007F611A" w:rsidRPr="005B4339" w:rsidRDefault="007F611A" w:rsidP="0077786C">
      <w:pPr>
        <w:pStyle w:val="Heading3"/>
        <w:spacing w:after="120"/>
        <w:rPr>
          <w:rFonts w:eastAsia="Calibri"/>
          <w:noProof/>
          <w:lang w:val="en-IE"/>
        </w:rPr>
      </w:pPr>
      <w:bookmarkStart w:id="53" w:name="_Toc124777317"/>
      <w:bookmarkStart w:id="54" w:name="_Toc65265540"/>
      <w:bookmarkStart w:id="55" w:name="_Toc1856650593"/>
      <w:bookmarkStart w:id="56" w:name="_Toc650304127"/>
      <w:bookmarkStart w:id="57" w:name="_Toc20520114"/>
      <w:bookmarkStart w:id="58" w:name="_Toc1304540599"/>
      <w:bookmarkStart w:id="59" w:name="_Toc2053847734"/>
      <w:bookmarkStart w:id="60" w:name="_Toc2133567276"/>
      <w:bookmarkStart w:id="61" w:name="_Toc139032090"/>
      <w:r w:rsidRPr="005B4339">
        <w:rPr>
          <w:rFonts w:eastAsia="Calibri"/>
          <w:noProof/>
          <w:lang w:val="en-IE"/>
        </w:rPr>
        <w:t>Measure 1.2 – Adopting EU wide waste prevention indicators for textiles</w:t>
      </w:r>
      <w:bookmarkEnd w:id="53"/>
      <w:bookmarkEnd w:id="54"/>
      <w:bookmarkEnd w:id="55"/>
      <w:bookmarkEnd w:id="56"/>
      <w:bookmarkEnd w:id="57"/>
      <w:bookmarkEnd w:id="58"/>
      <w:bookmarkEnd w:id="59"/>
      <w:bookmarkEnd w:id="60"/>
      <w:bookmarkEnd w:id="61"/>
    </w:p>
    <w:p w14:paraId="5591F997" w14:textId="77777777" w:rsidR="009A71FD" w:rsidRPr="005B4339" w:rsidRDefault="009A71FD" w:rsidP="00292DC7">
      <w:pPr>
        <w:spacing w:after="120"/>
        <w:rPr>
          <w:noProof/>
          <w:lang w:val="en-IE"/>
        </w:rPr>
      </w:pPr>
      <w:r w:rsidRPr="005B4339">
        <w:rPr>
          <w:b/>
          <w:noProof/>
          <w:lang w:val="en-IE"/>
        </w:rPr>
        <w:t>Assessment of impact Measure 1.2</w:t>
      </w:r>
    </w:p>
    <w:p w14:paraId="5C210B0B" w14:textId="77777777" w:rsidR="009A71FD" w:rsidRPr="005B4339" w:rsidRDefault="009A71FD" w:rsidP="00292DC7">
      <w:pPr>
        <w:spacing w:after="120"/>
        <w:rPr>
          <w:b/>
          <w:noProof/>
          <w:lang w:val="en-IE"/>
        </w:rPr>
      </w:pPr>
      <w:r w:rsidRPr="005B4339">
        <w:rPr>
          <w:b/>
          <w:noProof/>
          <w:lang w:val="en-IE"/>
        </w:rPr>
        <w:t>Economic impacts</w:t>
      </w:r>
    </w:p>
    <w:p w14:paraId="7AB18221" w14:textId="36A7F89F" w:rsidR="009A71FD" w:rsidRPr="005B4339" w:rsidRDefault="72955097" w:rsidP="007F611A">
      <w:pPr>
        <w:spacing w:after="120"/>
        <w:rPr>
          <w:noProof/>
          <w:lang w:val="en-IE"/>
        </w:rPr>
      </w:pPr>
      <w:r w:rsidRPr="005B4339">
        <w:rPr>
          <w:noProof/>
          <w:lang w:val="en-IE"/>
        </w:rPr>
        <w:t xml:space="preserve">The </w:t>
      </w:r>
      <w:r w:rsidR="00B713B0" w:rsidRPr="005B4339">
        <w:rPr>
          <w:noProof/>
          <w:lang w:val="en-IE"/>
        </w:rPr>
        <w:t xml:space="preserve">EEA is developing a monitoring framework to track waste prevention progress at the EU level. It will be </w:t>
      </w:r>
      <w:r w:rsidR="075E1327" w:rsidRPr="005B4339">
        <w:rPr>
          <w:noProof/>
          <w:lang w:val="en-IE"/>
        </w:rPr>
        <w:t>utilised using</w:t>
      </w:r>
      <w:r w:rsidR="00B713B0" w:rsidRPr="005B4339">
        <w:rPr>
          <w:noProof/>
          <w:lang w:val="en-IE"/>
        </w:rPr>
        <w:t xml:space="preserve"> data</w:t>
      </w:r>
      <w:r w:rsidR="075E1327" w:rsidRPr="005B4339">
        <w:rPr>
          <w:noProof/>
          <w:lang w:val="en-IE"/>
        </w:rPr>
        <w:t xml:space="preserve"> that Member States are already collecting and reporting to the Commission under waste and other policies.</w:t>
      </w:r>
      <w:r w:rsidR="00B713B0" w:rsidRPr="005B4339">
        <w:rPr>
          <w:noProof/>
          <w:lang w:val="en-IE"/>
        </w:rPr>
        <w:t xml:space="preserve"> </w:t>
      </w:r>
      <w:r w:rsidR="044FB385" w:rsidRPr="005B4339">
        <w:rPr>
          <w:noProof/>
          <w:lang w:val="en-IE"/>
        </w:rPr>
        <w:t xml:space="preserve">It will also facilitate the monitoring of waste prevention in the textile sector as part of the efforts of measuring municipal waste reduction. </w:t>
      </w:r>
      <w:r w:rsidR="00DB4606" w:rsidRPr="005B4339">
        <w:rPr>
          <w:noProof/>
          <w:lang w:val="en-IE"/>
        </w:rPr>
        <w:t>However</w:t>
      </w:r>
      <w:r w:rsidR="008D190D" w:rsidRPr="005B4339">
        <w:rPr>
          <w:noProof/>
          <w:lang w:val="en-IE"/>
        </w:rPr>
        <w:t>,</w:t>
      </w:r>
      <w:r w:rsidR="00DB4606" w:rsidRPr="005B4339">
        <w:rPr>
          <w:noProof/>
          <w:lang w:val="en-IE"/>
        </w:rPr>
        <w:t xml:space="preserve"> it does not cover </w:t>
      </w:r>
      <w:r w:rsidR="79CEA06C" w:rsidRPr="005B4339">
        <w:rPr>
          <w:noProof/>
          <w:lang w:val="en-IE"/>
        </w:rPr>
        <w:t>specific</w:t>
      </w:r>
      <w:r w:rsidR="00DB4606" w:rsidRPr="005B4339">
        <w:rPr>
          <w:noProof/>
          <w:lang w:val="en-IE"/>
        </w:rPr>
        <w:t xml:space="preserve"> indicators on </w:t>
      </w:r>
      <w:r w:rsidR="00B713B0" w:rsidRPr="005B4339">
        <w:rPr>
          <w:noProof/>
          <w:lang w:val="en-IE"/>
        </w:rPr>
        <w:t>textile waste</w:t>
      </w:r>
      <w:r w:rsidR="00DB4606" w:rsidRPr="005B4339">
        <w:rPr>
          <w:noProof/>
          <w:lang w:val="en-IE"/>
        </w:rPr>
        <w:t xml:space="preserve"> specifically</w:t>
      </w:r>
      <w:r w:rsidR="00B713B0" w:rsidRPr="005B4339">
        <w:rPr>
          <w:noProof/>
          <w:lang w:val="en-IE"/>
        </w:rPr>
        <w:t xml:space="preserve">. </w:t>
      </w:r>
      <w:r w:rsidR="00DB4606" w:rsidRPr="005B4339">
        <w:rPr>
          <w:noProof/>
          <w:lang w:val="en-IE"/>
        </w:rPr>
        <w:t xml:space="preserve">The EEA is </w:t>
      </w:r>
      <w:r w:rsidR="00B713B0" w:rsidRPr="005B4339">
        <w:rPr>
          <w:noProof/>
          <w:lang w:val="en-IE"/>
        </w:rPr>
        <w:t>currently setting up a reporting system (online tool) for reporting of reused textiles (</w:t>
      </w:r>
      <w:r w:rsidR="00DB4606" w:rsidRPr="005B4339">
        <w:rPr>
          <w:noProof/>
          <w:lang w:val="en-IE"/>
        </w:rPr>
        <w:t xml:space="preserve">in line with </w:t>
      </w:r>
      <w:r w:rsidR="00D01DDD" w:rsidRPr="005B4339">
        <w:rPr>
          <w:noProof/>
          <w:lang w:val="en-IE"/>
        </w:rPr>
        <w:t>I</w:t>
      </w:r>
      <w:r w:rsidR="00B713B0" w:rsidRPr="005B4339">
        <w:rPr>
          <w:noProof/>
          <w:lang w:val="en-IE"/>
        </w:rPr>
        <w:t xml:space="preserve">mplementing </w:t>
      </w:r>
      <w:r w:rsidR="00D01DDD" w:rsidRPr="005B4339">
        <w:rPr>
          <w:noProof/>
          <w:lang w:val="en-IE"/>
        </w:rPr>
        <w:t>D</w:t>
      </w:r>
      <w:r w:rsidR="00B713B0" w:rsidRPr="005B4339">
        <w:rPr>
          <w:noProof/>
          <w:lang w:val="en-IE"/>
        </w:rPr>
        <w:t>ecision 2021/19)</w:t>
      </w:r>
      <w:r w:rsidR="00D01DDD" w:rsidRPr="005B4339">
        <w:rPr>
          <w:noProof/>
          <w:lang w:val="en-IE"/>
        </w:rPr>
        <w:t xml:space="preserve">. Data on </w:t>
      </w:r>
      <w:r w:rsidR="00B713B0" w:rsidRPr="005B4339">
        <w:rPr>
          <w:noProof/>
          <w:lang w:val="en-IE"/>
        </w:rPr>
        <w:t xml:space="preserve">reuse </w:t>
      </w:r>
      <w:r w:rsidR="00D01DDD" w:rsidRPr="005B4339">
        <w:rPr>
          <w:noProof/>
          <w:lang w:val="en-IE"/>
        </w:rPr>
        <w:t xml:space="preserve">will be available </w:t>
      </w:r>
      <w:r w:rsidR="00B713B0" w:rsidRPr="005B4339">
        <w:rPr>
          <w:noProof/>
          <w:lang w:val="en-IE"/>
        </w:rPr>
        <w:t>from 1 July 2023.</w:t>
      </w:r>
      <w:r w:rsidRPr="005B4339">
        <w:rPr>
          <w:noProof/>
          <w:lang w:val="en-IE"/>
        </w:rPr>
        <w:t xml:space="preserve"> </w:t>
      </w:r>
      <w:r w:rsidR="1EFCB790" w:rsidRPr="005B4339">
        <w:rPr>
          <w:noProof/>
          <w:lang w:val="en-IE"/>
        </w:rPr>
        <w:t>It is not expected that developing and using mandatory</w:t>
      </w:r>
      <w:r w:rsidRPr="005B4339">
        <w:rPr>
          <w:noProof/>
          <w:lang w:val="en-IE"/>
        </w:rPr>
        <w:t xml:space="preserve"> prevention indicators will require additional reporting from Member States</w:t>
      </w:r>
      <w:r w:rsidR="4352E1FE" w:rsidRPr="005B4339">
        <w:rPr>
          <w:noProof/>
          <w:lang w:val="en-IE"/>
        </w:rPr>
        <w:t xml:space="preserve"> or from the economic operators because specific</w:t>
      </w:r>
      <w:r w:rsidRPr="005B4339">
        <w:rPr>
          <w:noProof/>
          <w:lang w:val="en-IE"/>
        </w:rPr>
        <w:t xml:space="preserve"> reporting </w:t>
      </w:r>
      <w:r w:rsidR="4352E1FE" w:rsidRPr="005B4339">
        <w:rPr>
          <w:noProof/>
          <w:lang w:val="en-IE"/>
        </w:rPr>
        <w:t>on textiles is already envisaged under</w:t>
      </w:r>
      <w:r w:rsidRPr="005B4339">
        <w:rPr>
          <w:noProof/>
          <w:lang w:val="en-IE"/>
        </w:rPr>
        <w:t xml:space="preserve"> the </w:t>
      </w:r>
      <w:r w:rsidR="4352E1FE" w:rsidRPr="005B4339">
        <w:rPr>
          <w:noProof/>
          <w:lang w:val="en-IE"/>
        </w:rPr>
        <w:t>Implementing Decision 2021/19 which</w:t>
      </w:r>
      <w:r w:rsidR="351814CB" w:rsidRPr="005B4339">
        <w:rPr>
          <w:noProof/>
          <w:lang w:val="en-IE"/>
        </w:rPr>
        <w:t xml:space="preserve">, together with </w:t>
      </w:r>
      <w:r w:rsidRPr="005B4339">
        <w:rPr>
          <w:noProof/>
          <w:lang w:val="en-IE"/>
        </w:rPr>
        <w:t xml:space="preserve">the </w:t>
      </w:r>
      <w:r w:rsidR="00691A13" w:rsidRPr="005B4339">
        <w:rPr>
          <w:noProof/>
          <w:lang w:val="en-IE"/>
        </w:rPr>
        <w:t xml:space="preserve">EEA </w:t>
      </w:r>
      <w:r w:rsidR="351814CB" w:rsidRPr="005B4339">
        <w:rPr>
          <w:noProof/>
          <w:lang w:val="en-IE"/>
        </w:rPr>
        <w:t xml:space="preserve">monitoring </w:t>
      </w:r>
      <w:r w:rsidR="34485E43" w:rsidRPr="005B4339">
        <w:rPr>
          <w:noProof/>
          <w:lang w:val="en-IE"/>
        </w:rPr>
        <w:t>framework</w:t>
      </w:r>
      <w:r w:rsidR="351814CB" w:rsidRPr="005B4339">
        <w:rPr>
          <w:noProof/>
          <w:lang w:val="en-IE"/>
        </w:rPr>
        <w:t xml:space="preserve"> </w:t>
      </w:r>
      <w:r w:rsidR="2893EA2B" w:rsidRPr="005B4339">
        <w:rPr>
          <w:noProof/>
          <w:lang w:val="en-IE"/>
        </w:rPr>
        <w:t>indicators</w:t>
      </w:r>
      <w:r w:rsidR="351814CB" w:rsidRPr="005B4339">
        <w:rPr>
          <w:noProof/>
          <w:lang w:val="en-IE"/>
        </w:rPr>
        <w:t>,</w:t>
      </w:r>
      <w:r w:rsidR="4352E1FE" w:rsidRPr="005B4339">
        <w:rPr>
          <w:noProof/>
          <w:lang w:val="en-IE"/>
        </w:rPr>
        <w:t xml:space="preserve"> would be used as a basis fo</w:t>
      </w:r>
      <w:r w:rsidR="2F5C4878" w:rsidRPr="005B4339">
        <w:rPr>
          <w:noProof/>
          <w:lang w:val="en-IE"/>
        </w:rPr>
        <w:t xml:space="preserve">r the </w:t>
      </w:r>
      <w:r w:rsidR="2B170EED" w:rsidRPr="005B4339">
        <w:rPr>
          <w:noProof/>
          <w:lang w:val="en-IE"/>
        </w:rPr>
        <w:t>development</w:t>
      </w:r>
      <w:r w:rsidR="2F5C4878" w:rsidRPr="005B4339">
        <w:rPr>
          <w:noProof/>
          <w:lang w:val="en-IE"/>
        </w:rPr>
        <w:t xml:space="preserve"> of </w:t>
      </w:r>
      <w:r w:rsidR="00691A13" w:rsidRPr="005B4339">
        <w:rPr>
          <w:noProof/>
          <w:lang w:val="en-IE"/>
        </w:rPr>
        <w:t>indicators</w:t>
      </w:r>
      <w:r w:rsidRPr="005B4339">
        <w:rPr>
          <w:noProof/>
          <w:lang w:val="en-IE"/>
        </w:rPr>
        <w:t>.</w:t>
      </w:r>
    </w:p>
    <w:p w14:paraId="06DA23BA" w14:textId="0EC4D9F1" w:rsidR="009A71FD" w:rsidRPr="005B4339" w:rsidRDefault="004F4CA1" w:rsidP="009A71FD">
      <w:pPr>
        <w:rPr>
          <w:noProof/>
          <w:lang w:val="en-IE"/>
        </w:rPr>
      </w:pPr>
      <w:r w:rsidRPr="005B4339">
        <w:rPr>
          <w:noProof/>
          <w:lang w:val="en-IE"/>
        </w:rPr>
        <w:t xml:space="preserve">A monitoring framework </w:t>
      </w:r>
      <w:r w:rsidR="00313C4E" w:rsidRPr="005B4339">
        <w:rPr>
          <w:noProof/>
          <w:lang w:val="en-IE"/>
        </w:rPr>
        <w:t xml:space="preserve">may be used to identify countries that perform well and good practices/policy measures implemented </w:t>
      </w:r>
      <w:r w:rsidR="00285A5C" w:rsidRPr="005B4339">
        <w:rPr>
          <w:noProof/>
          <w:lang w:val="en-IE"/>
        </w:rPr>
        <w:t xml:space="preserve">at national level. Their dissemination would then indirectly contribute to </w:t>
      </w:r>
      <w:r w:rsidR="009A71FD" w:rsidRPr="005B4339">
        <w:rPr>
          <w:noProof/>
          <w:lang w:val="en-IE"/>
        </w:rPr>
        <w:t xml:space="preserve">the success of waste prevention measures </w:t>
      </w:r>
      <w:r w:rsidR="00155FEB" w:rsidRPr="005B4339">
        <w:rPr>
          <w:noProof/>
          <w:lang w:val="en-IE"/>
        </w:rPr>
        <w:t>in the EU27 overall with</w:t>
      </w:r>
      <w:r w:rsidR="009A71FD" w:rsidRPr="005B4339">
        <w:rPr>
          <w:noProof/>
          <w:lang w:val="en-IE"/>
        </w:rPr>
        <w:t xml:space="preserve"> a </w:t>
      </w:r>
      <w:r w:rsidR="00155FEB" w:rsidRPr="005B4339">
        <w:rPr>
          <w:noProof/>
          <w:lang w:val="en-IE"/>
        </w:rPr>
        <w:t xml:space="preserve">consequent </w:t>
      </w:r>
      <w:r w:rsidR="009A71FD" w:rsidRPr="005B4339">
        <w:rPr>
          <w:noProof/>
          <w:lang w:val="en-IE"/>
        </w:rPr>
        <w:t xml:space="preserve">reduction of </w:t>
      </w:r>
      <w:r w:rsidR="00155FEB" w:rsidRPr="005B4339">
        <w:rPr>
          <w:noProof/>
          <w:lang w:val="en-IE"/>
        </w:rPr>
        <w:t xml:space="preserve">textile </w:t>
      </w:r>
      <w:r w:rsidR="009A71FD" w:rsidRPr="005B4339">
        <w:rPr>
          <w:noProof/>
          <w:lang w:val="en-IE"/>
        </w:rPr>
        <w:t xml:space="preserve">waste to be managed </w:t>
      </w:r>
      <w:r w:rsidR="00155FEB" w:rsidRPr="005B4339">
        <w:rPr>
          <w:noProof/>
          <w:lang w:val="en-IE"/>
        </w:rPr>
        <w:t>by</w:t>
      </w:r>
      <w:r w:rsidR="009A71FD" w:rsidRPr="005B4339">
        <w:rPr>
          <w:noProof/>
          <w:lang w:val="en-IE"/>
        </w:rPr>
        <w:t xml:space="preserve"> the waste management sector. These impacts </w:t>
      </w:r>
      <w:r w:rsidR="00155FEB" w:rsidRPr="005B4339">
        <w:rPr>
          <w:noProof/>
          <w:lang w:val="en-IE"/>
        </w:rPr>
        <w:t>cannot</w:t>
      </w:r>
      <w:r w:rsidR="009A71FD" w:rsidRPr="005B4339">
        <w:rPr>
          <w:noProof/>
          <w:lang w:val="en-IE"/>
        </w:rPr>
        <w:t xml:space="preserve"> be monetised as the impacts in volume terms are unknown.</w:t>
      </w:r>
    </w:p>
    <w:p w14:paraId="572A40F8" w14:textId="62FA6864" w:rsidR="0036610E" w:rsidRPr="005B4339" w:rsidRDefault="0036610E" w:rsidP="009A71FD">
      <w:pPr>
        <w:rPr>
          <w:noProof/>
          <w:lang w:val="en-IE"/>
        </w:rPr>
      </w:pPr>
      <w:r w:rsidRPr="005B4339">
        <w:rPr>
          <w:noProof/>
          <w:lang w:val="en-IE"/>
        </w:rPr>
        <w:t>No impacts on prices of goods are foreseen under this measure as the measure itself looks to share data between Member States on waste prevention using indicators. No additional costs of reporting are foreseen and so no additional costs are required to be priced into the cost of goods.</w:t>
      </w:r>
    </w:p>
    <w:p w14:paraId="0A416E72" w14:textId="6320DF39" w:rsidR="009A71FD" w:rsidRPr="005B4339" w:rsidDel="00012EC1" w:rsidRDefault="009A71FD" w:rsidP="00292DC7">
      <w:pPr>
        <w:spacing w:after="120"/>
        <w:rPr>
          <w:b/>
          <w:noProof/>
          <w:lang w:val="en-IE"/>
        </w:rPr>
      </w:pPr>
      <w:r w:rsidRPr="005B4339">
        <w:rPr>
          <w:b/>
          <w:noProof/>
          <w:lang w:val="en-IE"/>
        </w:rPr>
        <w:t>Environmental impacts</w:t>
      </w:r>
    </w:p>
    <w:p w14:paraId="225F5931" w14:textId="230D5781" w:rsidR="00E4086B" w:rsidRPr="005B4339" w:rsidRDefault="009A71FD" w:rsidP="00E4086B">
      <w:pPr>
        <w:spacing w:after="120"/>
        <w:rPr>
          <w:noProof/>
          <w:lang w:val="en-IE"/>
        </w:rPr>
      </w:pPr>
      <w:r w:rsidRPr="005B4339">
        <w:rPr>
          <w:noProof/>
          <w:lang w:val="en-IE"/>
        </w:rPr>
        <w:lastRenderedPageBreak/>
        <w:t xml:space="preserve">Setting indicators in relation to textile waste prevention approaches adopted by Member States as well as overarching data in relation to the volumes of textile wastes generated, collected, sorted and </w:t>
      </w:r>
      <w:r w:rsidR="00D96247" w:rsidRPr="005B4339">
        <w:rPr>
          <w:noProof/>
          <w:lang w:val="en-IE"/>
        </w:rPr>
        <w:t>reuse</w:t>
      </w:r>
      <w:r w:rsidRPr="005B4339">
        <w:rPr>
          <w:noProof/>
          <w:lang w:val="en-IE"/>
        </w:rPr>
        <w:t xml:space="preserve">d will provide an overview of the progress made by Member States over time in relation to waste prevention using comparable data for the first time. Additionally, such information </w:t>
      </w:r>
      <w:r w:rsidR="00AB5E37" w:rsidRPr="005B4339">
        <w:rPr>
          <w:noProof/>
          <w:lang w:val="en-IE"/>
        </w:rPr>
        <w:t>may</w:t>
      </w:r>
      <w:r w:rsidRPr="005B4339">
        <w:rPr>
          <w:noProof/>
          <w:lang w:val="en-IE"/>
        </w:rPr>
        <w:t xml:space="preserve"> be used to identify good performers and to perform further analysis to identify the positive practices </w:t>
      </w:r>
      <w:r w:rsidR="00AB5E37" w:rsidRPr="005B4339">
        <w:rPr>
          <w:noProof/>
          <w:lang w:val="en-IE"/>
        </w:rPr>
        <w:t>implemented</w:t>
      </w:r>
      <w:r w:rsidR="00F76056" w:rsidRPr="005B4339">
        <w:rPr>
          <w:noProof/>
          <w:lang w:val="en-IE"/>
        </w:rPr>
        <w:t xml:space="preserve"> by</w:t>
      </w:r>
      <w:r w:rsidR="00AB5E37" w:rsidRPr="005B4339">
        <w:rPr>
          <w:noProof/>
          <w:lang w:val="en-IE"/>
        </w:rPr>
        <w:t xml:space="preserve"> </w:t>
      </w:r>
      <w:r w:rsidR="00F76056" w:rsidRPr="005B4339">
        <w:rPr>
          <w:noProof/>
          <w:lang w:val="en-IE"/>
        </w:rPr>
        <w:t>the Member States</w:t>
      </w:r>
      <w:r w:rsidR="00043FE0" w:rsidRPr="005B4339">
        <w:rPr>
          <w:noProof/>
          <w:lang w:val="en-IE"/>
        </w:rPr>
        <w:t>.</w:t>
      </w:r>
      <w:r w:rsidR="00E4086B" w:rsidRPr="005B4339">
        <w:rPr>
          <w:rFonts w:ascii="Segoe UI" w:hAnsi="Segoe UI" w:cs="Segoe UI"/>
          <w:noProof/>
          <w:color w:val="000000"/>
          <w:sz w:val="20"/>
          <w:szCs w:val="20"/>
          <w:lang w:val="en-IE"/>
        </w:rPr>
        <w:t xml:space="preserve"> </w:t>
      </w:r>
      <w:r w:rsidR="00E4086B" w:rsidRPr="005B4339">
        <w:rPr>
          <w:noProof/>
          <w:lang w:val="en-IE"/>
        </w:rPr>
        <w:t xml:space="preserve">This would allow a more objective assessment </w:t>
      </w:r>
      <w:r w:rsidR="00043FE0" w:rsidRPr="005B4339">
        <w:rPr>
          <w:noProof/>
          <w:lang w:val="en-IE"/>
        </w:rPr>
        <w:t>of</w:t>
      </w:r>
      <w:r w:rsidR="00E4086B" w:rsidRPr="005B4339">
        <w:rPr>
          <w:noProof/>
          <w:lang w:val="en-IE"/>
        </w:rPr>
        <w:t xml:space="preserve"> Member States</w:t>
      </w:r>
      <w:r w:rsidR="00043FE0" w:rsidRPr="005B4339">
        <w:rPr>
          <w:noProof/>
          <w:lang w:val="en-IE"/>
        </w:rPr>
        <w:t>’</w:t>
      </w:r>
      <w:r w:rsidR="00E4086B" w:rsidRPr="005B4339">
        <w:rPr>
          <w:noProof/>
          <w:lang w:val="en-IE"/>
        </w:rPr>
        <w:t xml:space="preserve"> practices as demonstrated by the examples of </w:t>
      </w:r>
      <w:r w:rsidR="00043FE0" w:rsidRPr="005B4339">
        <w:rPr>
          <w:noProof/>
          <w:lang w:val="en-IE"/>
        </w:rPr>
        <w:t>existing</w:t>
      </w:r>
      <w:r w:rsidR="00E4086B" w:rsidRPr="005B4339">
        <w:rPr>
          <w:noProof/>
          <w:lang w:val="en-IE"/>
        </w:rPr>
        <w:t xml:space="preserve"> prevention measures </w:t>
      </w:r>
      <w:r w:rsidR="00043FE0" w:rsidRPr="005B4339">
        <w:rPr>
          <w:noProof/>
          <w:lang w:val="en-IE"/>
        </w:rPr>
        <w:t xml:space="preserve">in different </w:t>
      </w:r>
      <w:r w:rsidR="00E4086B" w:rsidRPr="005B4339">
        <w:rPr>
          <w:noProof/>
          <w:lang w:val="en-IE"/>
        </w:rPr>
        <w:t>Member States collected by the European Environment Agency</w:t>
      </w:r>
      <w:r w:rsidR="00E4086B" w:rsidRPr="005B4339">
        <w:rPr>
          <w:noProof/>
          <w:vertAlign w:val="superscript"/>
          <w:lang w:val="en-IE"/>
        </w:rPr>
        <w:footnoteReference w:id="28"/>
      </w:r>
      <w:r w:rsidR="00E4086B" w:rsidRPr="005B4339">
        <w:rPr>
          <w:noProof/>
          <w:lang w:val="en-IE"/>
        </w:rPr>
        <w:t>. A list of such examples is provided below, albeit drawing conclusions as to the most successful of these measures is challenging in the absence of an indicator of success, as would be defined under this measure.</w:t>
      </w:r>
    </w:p>
    <w:p w14:paraId="3EED806C" w14:textId="1D920BD8" w:rsidR="00E4086B" w:rsidRPr="005B4339" w:rsidRDefault="00E64AD3" w:rsidP="00E4086B">
      <w:pPr>
        <w:spacing w:after="120"/>
        <w:rPr>
          <w:i/>
          <w:noProof/>
          <w:lang w:val="en-IE"/>
        </w:rPr>
      </w:pPr>
      <w:bookmarkStart w:id="62" w:name="_Toc133229467"/>
      <w:bookmarkStart w:id="63" w:name="_Toc139032021"/>
      <w:r w:rsidRPr="005B4339">
        <w:rPr>
          <w:i/>
          <w:noProof/>
          <w:lang w:val="en-IE"/>
        </w:rPr>
        <w:t>Table</w:t>
      </w:r>
      <w:r w:rsidR="00E4086B" w:rsidRPr="005B4339">
        <w:rPr>
          <w:i/>
          <w:noProof/>
          <w:lang w:val="en-IE"/>
        </w:rPr>
        <w:t xml:space="preserve"> </w:t>
      </w:r>
      <w:r w:rsidR="00393DFA">
        <w:rPr>
          <w:i/>
          <w:iCs/>
          <w:noProof/>
        </w:rPr>
        <w:t>5</w:t>
      </w:r>
      <w:r w:rsidRPr="005B4339">
        <w:rPr>
          <w:i/>
          <w:noProof/>
          <w:lang w:val="en-IE"/>
        </w:rPr>
        <w:t xml:space="preserve"> :</w:t>
      </w:r>
      <w:r w:rsidR="00E4086B" w:rsidRPr="005B4339">
        <w:rPr>
          <w:i/>
          <w:noProof/>
          <w:lang w:val="en-IE"/>
        </w:rPr>
        <w:t xml:space="preserve"> Examples of textile waste prevention measures listed in national waste prevention programmes</w:t>
      </w:r>
      <w:bookmarkEnd w:id="62"/>
      <w:bookmarkEnd w:id="63"/>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946"/>
      </w:tblGrid>
      <w:tr w:rsidR="00885C12" w:rsidRPr="005B4339" w14:paraId="396EFBF9" w14:textId="77777777" w:rsidTr="00310022">
        <w:trPr>
          <w:trHeight w:val="208"/>
        </w:trPr>
        <w:tc>
          <w:tcPr>
            <w:tcW w:w="2410" w:type="dxa"/>
            <w:vMerge w:val="restart"/>
            <w:hideMark/>
          </w:tcPr>
          <w:p w14:paraId="38647DFC" w14:textId="77777777" w:rsidR="00E4086B" w:rsidRPr="005B4339" w:rsidRDefault="00E4086B" w:rsidP="00E4086B">
            <w:pPr>
              <w:spacing w:after="120"/>
              <w:rPr>
                <w:noProof/>
                <w:lang w:val="en-IE"/>
              </w:rPr>
            </w:pPr>
            <w:r w:rsidRPr="005B4339">
              <w:rPr>
                <w:b/>
                <w:noProof/>
                <w:lang w:val="en-IE"/>
              </w:rPr>
              <w:t xml:space="preserve">Information and awareness-raising </w:t>
            </w:r>
          </w:p>
        </w:tc>
        <w:tc>
          <w:tcPr>
            <w:tcW w:w="6946" w:type="dxa"/>
            <w:hideMark/>
          </w:tcPr>
          <w:p w14:paraId="024202B8" w14:textId="77777777" w:rsidR="00E4086B" w:rsidRPr="005B4339" w:rsidRDefault="00E4086B" w:rsidP="00E4086B">
            <w:pPr>
              <w:spacing w:after="120"/>
              <w:rPr>
                <w:noProof/>
                <w:lang w:val="en-IE"/>
              </w:rPr>
            </w:pPr>
            <w:r w:rsidRPr="005B4339">
              <w:rPr>
                <w:noProof/>
                <w:lang w:val="en-IE"/>
              </w:rPr>
              <w:t xml:space="preserve">Analysis of the textile industry (e.g. textile material flows) </w:t>
            </w:r>
            <w:r w:rsidRPr="005B4339">
              <w:rPr>
                <w:b/>
                <w:noProof/>
                <w:lang w:val="en-IE"/>
              </w:rPr>
              <w:t xml:space="preserve">(Austria) </w:t>
            </w:r>
          </w:p>
        </w:tc>
      </w:tr>
      <w:tr w:rsidR="00EE5AE5" w:rsidRPr="005B4339" w14:paraId="0D5699E4" w14:textId="77777777" w:rsidTr="00310022">
        <w:trPr>
          <w:trHeight w:val="307"/>
        </w:trPr>
        <w:tc>
          <w:tcPr>
            <w:tcW w:w="2410" w:type="dxa"/>
            <w:vMerge/>
            <w:vAlign w:val="center"/>
            <w:hideMark/>
          </w:tcPr>
          <w:p w14:paraId="71C562F6" w14:textId="77777777" w:rsidR="00E4086B" w:rsidRPr="005B4339" w:rsidRDefault="00E4086B" w:rsidP="00E4086B">
            <w:pPr>
              <w:spacing w:after="120"/>
              <w:rPr>
                <w:noProof/>
                <w:lang w:val="en-IE"/>
              </w:rPr>
            </w:pPr>
          </w:p>
        </w:tc>
        <w:tc>
          <w:tcPr>
            <w:tcW w:w="6946" w:type="dxa"/>
            <w:hideMark/>
          </w:tcPr>
          <w:p w14:paraId="3C72709A" w14:textId="77777777" w:rsidR="00E4086B" w:rsidRPr="005B4339" w:rsidRDefault="00E4086B" w:rsidP="00E4086B">
            <w:pPr>
              <w:spacing w:after="120"/>
              <w:rPr>
                <w:noProof/>
                <w:lang w:val="en-IE"/>
              </w:rPr>
            </w:pPr>
            <w:r w:rsidRPr="005B4339">
              <w:rPr>
                <w:noProof/>
                <w:lang w:val="en-IE"/>
              </w:rPr>
              <w:t xml:space="preserve">Technically ensure the dissemination of information and awareness programmes for a progressive increase in the number of products collected for further use, e.g. textiles, clothing, footwear and other reusable products </w:t>
            </w:r>
            <w:r w:rsidRPr="005B4339">
              <w:rPr>
                <w:b/>
                <w:noProof/>
                <w:lang w:val="en-IE"/>
              </w:rPr>
              <w:t xml:space="preserve">(Czechia) </w:t>
            </w:r>
          </w:p>
        </w:tc>
      </w:tr>
      <w:tr w:rsidR="00EE5AE5" w:rsidRPr="005B4339" w14:paraId="114E0DFC" w14:textId="77777777" w:rsidTr="00310022">
        <w:trPr>
          <w:trHeight w:val="207"/>
        </w:trPr>
        <w:tc>
          <w:tcPr>
            <w:tcW w:w="2410" w:type="dxa"/>
            <w:vMerge/>
            <w:vAlign w:val="center"/>
            <w:hideMark/>
          </w:tcPr>
          <w:p w14:paraId="4E5A806A" w14:textId="77777777" w:rsidR="00E4086B" w:rsidRPr="005B4339" w:rsidRDefault="00E4086B" w:rsidP="00E4086B">
            <w:pPr>
              <w:spacing w:after="120"/>
              <w:rPr>
                <w:noProof/>
                <w:lang w:val="en-IE"/>
              </w:rPr>
            </w:pPr>
          </w:p>
        </w:tc>
        <w:tc>
          <w:tcPr>
            <w:tcW w:w="6946" w:type="dxa"/>
            <w:hideMark/>
          </w:tcPr>
          <w:p w14:paraId="00FD5261" w14:textId="77777777" w:rsidR="00E4086B" w:rsidRPr="005B4339" w:rsidRDefault="00E4086B" w:rsidP="00E4086B">
            <w:pPr>
              <w:spacing w:after="120"/>
              <w:rPr>
                <w:noProof/>
                <w:lang w:val="en-IE"/>
              </w:rPr>
            </w:pPr>
            <w:r w:rsidRPr="005B4339">
              <w:rPr>
                <w:noProof/>
                <w:lang w:val="en-IE"/>
              </w:rPr>
              <w:t xml:space="preserve">Establishment of a voluntary event for selling used clothing before the start of the school year </w:t>
            </w:r>
            <w:r w:rsidRPr="005B4339">
              <w:rPr>
                <w:b/>
                <w:noProof/>
                <w:lang w:val="en-IE"/>
              </w:rPr>
              <w:t xml:space="preserve">(Greece) </w:t>
            </w:r>
          </w:p>
        </w:tc>
      </w:tr>
      <w:tr w:rsidR="00885C12" w:rsidRPr="005B4339" w14:paraId="006AF508" w14:textId="77777777" w:rsidTr="00310022">
        <w:trPr>
          <w:trHeight w:val="307"/>
        </w:trPr>
        <w:tc>
          <w:tcPr>
            <w:tcW w:w="2410" w:type="dxa"/>
            <w:vMerge w:val="restart"/>
            <w:hideMark/>
          </w:tcPr>
          <w:p w14:paraId="7A7B3F9B" w14:textId="77777777" w:rsidR="00E4086B" w:rsidRPr="005B4339" w:rsidRDefault="00E4086B" w:rsidP="00E4086B">
            <w:pPr>
              <w:spacing w:after="120"/>
              <w:rPr>
                <w:noProof/>
                <w:lang w:val="en-IE"/>
              </w:rPr>
            </w:pPr>
            <w:r w:rsidRPr="005B4339">
              <w:rPr>
                <w:b/>
                <w:noProof/>
                <w:lang w:val="en-IE"/>
              </w:rPr>
              <w:t xml:space="preserve">Market-based incentives </w:t>
            </w:r>
          </w:p>
        </w:tc>
        <w:tc>
          <w:tcPr>
            <w:tcW w:w="6946" w:type="dxa"/>
            <w:hideMark/>
          </w:tcPr>
          <w:p w14:paraId="65441874" w14:textId="77777777" w:rsidR="00E4086B" w:rsidRPr="005B4339" w:rsidRDefault="00E4086B" w:rsidP="00E4086B">
            <w:pPr>
              <w:spacing w:after="120"/>
              <w:rPr>
                <w:noProof/>
                <w:lang w:val="en-IE"/>
              </w:rPr>
            </w:pPr>
            <w:r w:rsidRPr="005B4339">
              <w:rPr>
                <w:noProof/>
                <w:lang w:val="en-IE"/>
              </w:rPr>
              <w:t xml:space="preserve">Reduce value added tax on the repair of bicycles, shoes, leather goods, clothing and electrical appliances, from 25 % to 12 % as of 1 January 2017 in </w:t>
            </w:r>
            <w:r w:rsidRPr="005B4339">
              <w:rPr>
                <w:b/>
                <w:noProof/>
                <w:lang w:val="en-IE"/>
              </w:rPr>
              <w:t xml:space="preserve">Sweden </w:t>
            </w:r>
            <w:r w:rsidRPr="005B4339">
              <w:rPr>
                <w:noProof/>
                <w:lang w:val="en-IE"/>
              </w:rPr>
              <w:t xml:space="preserve">and also in </w:t>
            </w:r>
            <w:r w:rsidRPr="005B4339">
              <w:rPr>
                <w:b/>
                <w:noProof/>
                <w:lang w:val="en-IE"/>
              </w:rPr>
              <w:t xml:space="preserve">Austria </w:t>
            </w:r>
            <w:r w:rsidRPr="005B4339">
              <w:rPr>
                <w:noProof/>
                <w:lang w:val="en-IE"/>
              </w:rPr>
              <w:t xml:space="preserve">from 20 % to 10 % from 1 January 2021 </w:t>
            </w:r>
          </w:p>
        </w:tc>
      </w:tr>
      <w:tr w:rsidR="00EE5AE5" w:rsidRPr="005B4339" w14:paraId="70ED85D7" w14:textId="77777777" w:rsidTr="00310022">
        <w:trPr>
          <w:trHeight w:val="207"/>
        </w:trPr>
        <w:tc>
          <w:tcPr>
            <w:tcW w:w="2410" w:type="dxa"/>
            <w:vMerge/>
            <w:vAlign w:val="center"/>
            <w:hideMark/>
          </w:tcPr>
          <w:p w14:paraId="2246F40C" w14:textId="77777777" w:rsidR="00E4086B" w:rsidRPr="005B4339" w:rsidRDefault="00E4086B" w:rsidP="00E4086B">
            <w:pPr>
              <w:spacing w:after="120"/>
              <w:rPr>
                <w:noProof/>
                <w:lang w:val="en-IE"/>
              </w:rPr>
            </w:pPr>
          </w:p>
        </w:tc>
        <w:tc>
          <w:tcPr>
            <w:tcW w:w="6946" w:type="dxa"/>
            <w:hideMark/>
          </w:tcPr>
          <w:p w14:paraId="170D366C" w14:textId="77777777" w:rsidR="00E4086B" w:rsidRPr="005B4339" w:rsidRDefault="00E4086B" w:rsidP="00E4086B">
            <w:pPr>
              <w:spacing w:after="120"/>
              <w:rPr>
                <w:noProof/>
                <w:lang w:val="en-IE"/>
              </w:rPr>
            </w:pPr>
            <w:r w:rsidRPr="005B4339">
              <w:rPr>
                <w:noProof/>
                <w:lang w:val="en-IE"/>
              </w:rPr>
              <w:t xml:space="preserve">Reduce cost of repair through a 50 % deduction of labour cost for repairs of textiles through government subsidy </w:t>
            </w:r>
            <w:r w:rsidRPr="005B4339">
              <w:rPr>
                <w:b/>
                <w:noProof/>
                <w:lang w:val="en-IE"/>
              </w:rPr>
              <w:t xml:space="preserve">(Sweden) </w:t>
            </w:r>
          </w:p>
        </w:tc>
      </w:tr>
      <w:tr w:rsidR="00EE5AE5" w:rsidRPr="005B4339" w14:paraId="5750B4D9" w14:textId="77777777" w:rsidTr="00310022">
        <w:trPr>
          <w:trHeight w:val="108"/>
        </w:trPr>
        <w:tc>
          <w:tcPr>
            <w:tcW w:w="2410" w:type="dxa"/>
            <w:vMerge/>
            <w:vAlign w:val="center"/>
            <w:hideMark/>
          </w:tcPr>
          <w:p w14:paraId="63347EEE" w14:textId="77777777" w:rsidR="00E4086B" w:rsidRPr="005B4339" w:rsidRDefault="00E4086B" w:rsidP="00E4086B">
            <w:pPr>
              <w:spacing w:after="120"/>
              <w:rPr>
                <w:noProof/>
                <w:lang w:val="en-IE"/>
              </w:rPr>
            </w:pPr>
          </w:p>
        </w:tc>
        <w:tc>
          <w:tcPr>
            <w:tcW w:w="6946" w:type="dxa"/>
            <w:hideMark/>
          </w:tcPr>
          <w:p w14:paraId="6FF64F64" w14:textId="77777777" w:rsidR="00E4086B" w:rsidRPr="005B4339" w:rsidRDefault="00E4086B" w:rsidP="00E4086B">
            <w:pPr>
              <w:spacing w:after="120"/>
              <w:rPr>
                <w:noProof/>
                <w:lang w:val="en-IE"/>
              </w:rPr>
            </w:pPr>
            <w:r w:rsidRPr="005B4339">
              <w:rPr>
                <w:noProof/>
                <w:lang w:val="en-IE"/>
              </w:rPr>
              <w:t xml:space="preserve">Low value added tax on the repair of clothing, e.g. of 6 % </w:t>
            </w:r>
            <w:r w:rsidRPr="005B4339">
              <w:rPr>
                <w:b/>
                <w:noProof/>
                <w:lang w:val="en-IE"/>
              </w:rPr>
              <w:t xml:space="preserve">(Belgium) </w:t>
            </w:r>
          </w:p>
        </w:tc>
      </w:tr>
      <w:tr w:rsidR="00EE5AE5" w:rsidRPr="005B4339" w14:paraId="67B1FB6F" w14:textId="77777777" w:rsidTr="00310022">
        <w:trPr>
          <w:trHeight w:val="207"/>
        </w:trPr>
        <w:tc>
          <w:tcPr>
            <w:tcW w:w="2410" w:type="dxa"/>
            <w:vMerge/>
            <w:vAlign w:val="center"/>
            <w:hideMark/>
          </w:tcPr>
          <w:p w14:paraId="4E36DD0C" w14:textId="77777777" w:rsidR="00E4086B" w:rsidRPr="005B4339" w:rsidRDefault="00E4086B" w:rsidP="00E4086B">
            <w:pPr>
              <w:spacing w:after="120"/>
              <w:rPr>
                <w:noProof/>
                <w:lang w:val="en-IE"/>
              </w:rPr>
            </w:pPr>
          </w:p>
        </w:tc>
        <w:tc>
          <w:tcPr>
            <w:tcW w:w="6946" w:type="dxa"/>
            <w:hideMark/>
          </w:tcPr>
          <w:p w14:paraId="29CAE4A3" w14:textId="3800210E" w:rsidR="00E4086B" w:rsidRPr="005B4339" w:rsidRDefault="00E4086B" w:rsidP="00E4086B">
            <w:pPr>
              <w:spacing w:after="120"/>
              <w:rPr>
                <w:noProof/>
                <w:lang w:val="en-IE"/>
              </w:rPr>
            </w:pPr>
            <w:r w:rsidRPr="005B4339">
              <w:rPr>
                <w:noProof/>
                <w:lang w:val="en-IE"/>
              </w:rPr>
              <w:t xml:space="preserve">Reduction in patent taxes for small businesses whose activities lead to the reuse of a product (e.g. repair of shoes, furniture and clothing) </w:t>
            </w:r>
            <w:r w:rsidRPr="005B4339">
              <w:rPr>
                <w:b/>
                <w:noProof/>
                <w:lang w:val="en-IE"/>
              </w:rPr>
              <w:t xml:space="preserve">(Bulgaria) </w:t>
            </w:r>
          </w:p>
        </w:tc>
      </w:tr>
      <w:tr w:rsidR="00EE5AE5" w:rsidRPr="005B4339" w14:paraId="06887D4F" w14:textId="77777777" w:rsidTr="00310022">
        <w:trPr>
          <w:trHeight w:val="207"/>
        </w:trPr>
        <w:tc>
          <w:tcPr>
            <w:tcW w:w="2410" w:type="dxa"/>
            <w:vMerge/>
            <w:vAlign w:val="center"/>
            <w:hideMark/>
          </w:tcPr>
          <w:p w14:paraId="3207B056" w14:textId="77777777" w:rsidR="00E4086B" w:rsidRPr="005B4339" w:rsidRDefault="00E4086B" w:rsidP="00E4086B">
            <w:pPr>
              <w:spacing w:after="120"/>
              <w:rPr>
                <w:noProof/>
                <w:lang w:val="en-IE"/>
              </w:rPr>
            </w:pPr>
          </w:p>
        </w:tc>
        <w:tc>
          <w:tcPr>
            <w:tcW w:w="6946" w:type="dxa"/>
            <w:hideMark/>
          </w:tcPr>
          <w:p w14:paraId="6C049301" w14:textId="77777777" w:rsidR="00E4086B" w:rsidRPr="005B4339" w:rsidRDefault="00E4086B" w:rsidP="00E4086B">
            <w:pPr>
              <w:spacing w:after="120"/>
              <w:rPr>
                <w:noProof/>
                <w:lang w:val="en-IE"/>
              </w:rPr>
            </w:pPr>
            <w:r w:rsidRPr="005B4339">
              <w:rPr>
                <w:noProof/>
                <w:lang w:val="en-IE"/>
              </w:rPr>
              <w:t xml:space="preserve">Work to establish environmental targets for public procurement of textiles and textile services </w:t>
            </w:r>
            <w:r w:rsidRPr="005B4339">
              <w:rPr>
                <w:b/>
                <w:noProof/>
                <w:lang w:val="en-IE"/>
              </w:rPr>
              <w:t xml:space="preserve">(Denmark) </w:t>
            </w:r>
          </w:p>
        </w:tc>
      </w:tr>
      <w:tr w:rsidR="00885C12" w:rsidRPr="005B4339" w14:paraId="30D11F37" w14:textId="77777777" w:rsidTr="00310022">
        <w:trPr>
          <w:trHeight w:val="308"/>
        </w:trPr>
        <w:tc>
          <w:tcPr>
            <w:tcW w:w="2410" w:type="dxa"/>
            <w:vMerge w:val="restart"/>
            <w:hideMark/>
          </w:tcPr>
          <w:p w14:paraId="3D3C0190" w14:textId="77777777" w:rsidR="00E4086B" w:rsidRPr="005B4339" w:rsidRDefault="00E4086B" w:rsidP="00E4086B">
            <w:pPr>
              <w:spacing w:after="120"/>
              <w:rPr>
                <w:noProof/>
                <w:lang w:val="en-IE"/>
              </w:rPr>
            </w:pPr>
            <w:r w:rsidRPr="005B4339">
              <w:rPr>
                <w:b/>
                <w:noProof/>
                <w:lang w:val="en-IE"/>
              </w:rPr>
              <w:t xml:space="preserve">Voluntary agreements and </w:t>
            </w:r>
            <w:r w:rsidRPr="005B4339">
              <w:rPr>
                <w:b/>
                <w:noProof/>
                <w:lang w:val="en-IE"/>
              </w:rPr>
              <w:lastRenderedPageBreak/>
              <w:t xml:space="preserve">cooperation platforms </w:t>
            </w:r>
          </w:p>
        </w:tc>
        <w:tc>
          <w:tcPr>
            <w:tcW w:w="6946" w:type="dxa"/>
            <w:hideMark/>
          </w:tcPr>
          <w:p w14:paraId="4214BE30" w14:textId="77777777" w:rsidR="00E4086B" w:rsidRPr="005B4339" w:rsidRDefault="00E4086B" w:rsidP="00E4086B">
            <w:pPr>
              <w:spacing w:after="120"/>
              <w:rPr>
                <w:noProof/>
                <w:lang w:val="en-IE"/>
              </w:rPr>
            </w:pPr>
            <w:r w:rsidRPr="005B4339">
              <w:rPr>
                <w:noProof/>
                <w:lang w:val="en-IE"/>
              </w:rPr>
              <w:lastRenderedPageBreak/>
              <w:t xml:space="preserve">Partnerships with vendors to increase the market share of eco-labelled textiles or textiles that contain a minimal amount of harmful </w:t>
            </w:r>
            <w:r w:rsidRPr="005B4339">
              <w:rPr>
                <w:noProof/>
                <w:lang w:val="en-IE"/>
              </w:rPr>
              <w:lastRenderedPageBreak/>
              <w:t xml:space="preserve">substances </w:t>
            </w:r>
            <w:r w:rsidRPr="005B4339">
              <w:rPr>
                <w:b/>
                <w:noProof/>
                <w:lang w:val="en-IE"/>
              </w:rPr>
              <w:t xml:space="preserve">(Iceland) </w:t>
            </w:r>
          </w:p>
        </w:tc>
      </w:tr>
      <w:tr w:rsidR="00EE5AE5" w:rsidRPr="005B4339" w14:paraId="16B94FB4" w14:textId="77777777" w:rsidTr="00310022">
        <w:trPr>
          <w:trHeight w:val="207"/>
        </w:trPr>
        <w:tc>
          <w:tcPr>
            <w:tcW w:w="2410" w:type="dxa"/>
            <w:vMerge/>
            <w:vAlign w:val="center"/>
            <w:hideMark/>
          </w:tcPr>
          <w:p w14:paraId="61A74A69" w14:textId="77777777" w:rsidR="00E4086B" w:rsidRPr="005B4339" w:rsidRDefault="00E4086B" w:rsidP="00E4086B">
            <w:pPr>
              <w:spacing w:after="120"/>
              <w:rPr>
                <w:noProof/>
                <w:lang w:val="en-IE"/>
              </w:rPr>
            </w:pPr>
          </w:p>
        </w:tc>
        <w:tc>
          <w:tcPr>
            <w:tcW w:w="6946" w:type="dxa"/>
            <w:hideMark/>
          </w:tcPr>
          <w:p w14:paraId="69DE7848" w14:textId="77777777" w:rsidR="00E4086B" w:rsidRPr="005B4339" w:rsidRDefault="00E4086B" w:rsidP="00E4086B">
            <w:pPr>
              <w:spacing w:after="120"/>
              <w:rPr>
                <w:noProof/>
                <w:lang w:val="en-IE"/>
              </w:rPr>
            </w:pPr>
            <w:r w:rsidRPr="005B4339">
              <w:rPr>
                <w:noProof/>
                <w:lang w:val="en-IE"/>
              </w:rPr>
              <w:t xml:space="preserve">A partnership with companies and organisations with the slogan 'Give your clothes a longer life' </w:t>
            </w:r>
            <w:r w:rsidRPr="005B4339">
              <w:rPr>
                <w:b/>
                <w:noProof/>
                <w:lang w:val="en-IE"/>
              </w:rPr>
              <w:t xml:space="preserve">(Denmark) </w:t>
            </w:r>
          </w:p>
        </w:tc>
      </w:tr>
      <w:tr w:rsidR="00BD422B" w:rsidRPr="005B4339" w14:paraId="493E04E8" w14:textId="77777777" w:rsidTr="00310022">
        <w:trPr>
          <w:trHeight w:val="108"/>
        </w:trPr>
        <w:tc>
          <w:tcPr>
            <w:tcW w:w="2410" w:type="dxa"/>
            <w:hideMark/>
          </w:tcPr>
          <w:p w14:paraId="5E33754B" w14:textId="77777777" w:rsidR="00E4086B" w:rsidRPr="005B4339" w:rsidRDefault="00E4086B" w:rsidP="00E4086B">
            <w:pPr>
              <w:spacing w:after="120"/>
              <w:rPr>
                <w:noProof/>
                <w:lang w:val="en-IE"/>
              </w:rPr>
            </w:pPr>
            <w:r w:rsidRPr="005B4339">
              <w:rPr>
                <w:b/>
                <w:noProof/>
                <w:lang w:val="en-IE"/>
              </w:rPr>
              <w:t xml:space="preserve">Regulatory measures </w:t>
            </w:r>
          </w:p>
        </w:tc>
        <w:tc>
          <w:tcPr>
            <w:tcW w:w="6946" w:type="dxa"/>
            <w:hideMark/>
          </w:tcPr>
          <w:p w14:paraId="7727B454" w14:textId="77777777" w:rsidR="00E4086B" w:rsidRPr="005B4339" w:rsidRDefault="00E4086B" w:rsidP="00E4086B">
            <w:pPr>
              <w:spacing w:after="120"/>
              <w:rPr>
                <w:noProof/>
                <w:lang w:val="en-IE"/>
              </w:rPr>
            </w:pPr>
            <w:r w:rsidRPr="005B4339">
              <w:rPr>
                <w:noProof/>
                <w:lang w:val="en-IE"/>
              </w:rPr>
              <w:t xml:space="preserve">Support stricter international regulations regarding the use of chemicals in textiles </w:t>
            </w:r>
            <w:r w:rsidRPr="005B4339">
              <w:rPr>
                <w:b/>
                <w:noProof/>
                <w:lang w:val="en-IE"/>
              </w:rPr>
              <w:t>(Norway)</w:t>
            </w:r>
          </w:p>
        </w:tc>
      </w:tr>
    </w:tbl>
    <w:p w14:paraId="6B4F2500" w14:textId="786C50F1" w:rsidR="00E4086B" w:rsidRPr="005B4339" w:rsidRDefault="00E4086B" w:rsidP="003D45BF">
      <w:pPr>
        <w:spacing w:after="120"/>
        <w:jc w:val="center"/>
        <w:rPr>
          <w:noProof/>
          <w:sz w:val="22"/>
          <w:szCs w:val="22"/>
          <w:lang w:val="en-IE"/>
        </w:rPr>
      </w:pPr>
      <w:r w:rsidRPr="005B4339">
        <w:rPr>
          <w:noProof/>
          <w:sz w:val="22"/>
          <w:szCs w:val="22"/>
          <w:lang w:val="en-IE"/>
        </w:rPr>
        <w:t>Source: EEA, 2021.</w:t>
      </w:r>
    </w:p>
    <w:p w14:paraId="564B6058" w14:textId="07F5B235" w:rsidR="00E4086B" w:rsidRPr="005B4339" w:rsidRDefault="00E4086B" w:rsidP="00310022">
      <w:pPr>
        <w:rPr>
          <w:noProof/>
          <w:lang w:val="en-IE"/>
        </w:rPr>
      </w:pPr>
      <w:r w:rsidRPr="005B4339">
        <w:rPr>
          <w:noProof/>
          <w:lang w:val="en-IE"/>
        </w:rPr>
        <w:t xml:space="preserve">Developing indicators that allow waste intensity to be determined </w:t>
      </w:r>
      <w:r w:rsidR="00310022" w:rsidRPr="005B4339">
        <w:rPr>
          <w:noProof/>
          <w:lang w:val="en-IE"/>
        </w:rPr>
        <w:t>i.e.,</w:t>
      </w:r>
      <w:r w:rsidRPr="005B4339">
        <w:rPr>
          <w:noProof/>
          <w:lang w:val="en-IE"/>
        </w:rPr>
        <w:t xml:space="preserve"> illustrating the decoupling of textile waste generation both in relation to textiles sold but also in relation to economic growth using statistics already available from Eurostat would act as a good marker to demonstrating progress in textile waste prevention. Using statistics on the environmental costs of textile production and disposal available from the likes of Payet</w:t>
      </w:r>
      <w:r w:rsidRPr="005B4339">
        <w:rPr>
          <w:noProof/>
          <w:vertAlign w:val="superscript"/>
          <w:lang w:val="en-IE"/>
        </w:rPr>
        <w:footnoteReference w:id="29"/>
      </w:r>
      <w:r w:rsidRPr="005B4339">
        <w:rPr>
          <w:noProof/>
          <w:lang w:val="en-IE"/>
        </w:rPr>
        <w:t xml:space="preserve"> and applying data from Eurostat, calculation of the impact of preventing textile waste production on the estimated CO2e emissions from placing textiles on the EU27 market, which was estimated in 2020 as 198 million metric tonnes</w:t>
      </w:r>
      <w:r w:rsidRPr="005B4339">
        <w:rPr>
          <w:noProof/>
          <w:vertAlign w:val="superscript"/>
          <w:lang w:val="en-IE"/>
        </w:rPr>
        <w:footnoteReference w:id="30"/>
      </w:r>
      <w:r w:rsidRPr="005B4339">
        <w:rPr>
          <w:noProof/>
          <w:lang w:val="en-IE"/>
        </w:rPr>
        <w:t xml:space="preserve"> and its reduction in impact in the future should be possible to be calculated.</w:t>
      </w:r>
    </w:p>
    <w:p w14:paraId="50796927" w14:textId="77777777" w:rsidR="009A71FD" w:rsidRPr="005B4339" w:rsidRDefault="009A71FD" w:rsidP="00292DC7">
      <w:pPr>
        <w:spacing w:after="120"/>
        <w:rPr>
          <w:b/>
          <w:noProof/>
          <w:lang w:val="en-IE"/>
        </w:rPr>
      </w:pPr>
      <w:r w:rsidRPr="005B4339">
        <w:rPr>
          <w:b/>
          <w:noProof/>
          <w:lang w:val="en-IE"/>
        </w:rPr>
        <w:t>Social impacts</w:t>
      </w:r>
    </w:p>
    <w:p w14:paraId="5CC3D475" w14:textId="0832BD88" w:rsidR="009A71FD" w:rsidRPr="005B4339" w:rsidRDefault="009A71FD" w:rsidP="00292DC7">
      <w:pPr>
        <w:spacing w:after="120"/>
        <w:rPr>
          <w:noProof/>
          <w:lang w:val="en-IE"/>
        </w:rPr>
      </w:pPr>
      <w:r w:rsidRPr="005B4339">
        <w:rPr>
          <w:noProof/>
          <w:lang w:val="en-IE"/>
        </w:rPr>
        <w:t xml:space="preserve">Waste prevention is at the top of the waste hierarchy as the avoidance of generation of waste in the first place is the preferred option. Monitoring progress on textile waste generation and identifying best practices employed by Member States should subsequently </w:t>
      </w:r>
      <w:r w:rsidR="008B10BB" w:rsidRPr="005B4339">
        <w:rPr>
          <w:noProof/>
          <w:lang w:val="en-IE"/>
        </w:rPr>
        <w:t>allow</w:t>
      </w:r>
      <w:r w:rsidRPr="005B4339">
        <w:rPr>
          <w:noProof/>
          <w:lang w:val="en-IE"/>
        </w:rPr>
        <w:t xml:space="preserve"> to determine the extent to which the social impacts of textile waste </w:t>
      </w:r>
      <w:r w:rsidR="008B10BB" w:rsidRPr="005B4339">
        <w:rPr>
          <w:noProof/>
          <w:lang w:val="en-IE"/>
        </w:rPr>
        <w:t xml:space="preserve">can be </w:t>
      </w:r>
      <w:r w:rsidRPr="005B4339">
        <w:rPr>
          <w:noProof/>
          <w:lang w:val="en-IE"/>
        </w:rPr>
        <w:t>addressed by reducing those wastes in the first place.</w:t>
      </w:r>
    </w:p>
    <w:p w14:paraId="5FBA7DCB" w14:textId="77777777" w:rsidR="009A71FD" w:rsidRPr="005B4339" w:rsidRDefault="009A71FD" w:rsidP="009A71FD">
      <w:pPr>
        <w:rPr>
          <w:noProof/>
          <w:lang w:val="en-IE"/>
        </w:rPr>
      </w:pPr>
      <w:r w:rsidRPr="005B4339">
        <w:rPr>
          <w:noProof/>
          <w:lang w:val="en-IE"/>
        </w:rPr>
        <w:t>As noted under economic impacts, a reduction in waste through more effective monitoring of waste prevention measures would result in less waste being generated and consequently an impact on employment in the waste management sector would be likely, albeit small in comparison to the waste management sector overall.</w:t>
      </w:r>
    </w:p>
    <w:p w14:paraId="65FC017A" w14:textId="77777777" w:rsidR="00E4086B" w:rsidRPr="005B4339" w:rsidRDefault="00E4086B" w:rsidP="0048219F">
      <w:pPr>
        <w:spacing w:after="120"/>
        <w:rPr>
          <w:b/>
          <w:noProof/>
          <w:lang w:val="en-IE"/>
        </w:rPr>
      </w:pPr>
      <w:r w:rsidRPr="005B4339">
        <w:rPr>
          <w:b/>
          <w:noProof/>
          <w:lang w:val="en-IE"/>
        </w:rPr>
        <w:t>Impact on SMEs and social enterprises</w:t>
      </w:r>
    </w:p>
    <w:p w14:paraId="2AAF5412" w14:textId="4FDAB4F9" w:rsidR="00E4086B" w:rsidRPr="005B4339" w:rsidRDefault="00BD2345" w:rsidP="009A71FD">
      <w:pPr>
        <w:rPr>
          <w:noProof/>
          <w:lang w:val="en-IE"/>
        </w:rPr>
      </w:pPr>
      <w:r w:rsidRPr="005B4339">
        <w:rPr>
          <w:noProof/>
          <w:lang w:val="en-IE"/>
        </w:rPr>
        <w:t>No significant impacts on SMEs were identified for this measure. SMEs</w:t>
      </w:r>
      <w:r w:rsidR="001B49E0" w:rsidRPr="005B4339">
        <w:rPr>
          <w:noProof/>
          <w:lang w:val="en-IE"/>
        </w:rPr>
        <w:t>,</w:t>
      </w:r>
      <w:r w:rsidRPr="005B4339">
        <w:rPr>
          <w:noProof/>
          <w:lang w:val="en-IE"/>
        </w:rPr>
        <w:t xml:space="preserve"> </w:t>
      </w:r>
      <w:r w:rsidR="001B49E0" w:rsidRPr="005B4339">
        <w:rPr>
          <w:noProof/>
          <w:lang w:val="en-IE"/>
        </w:rPr>
        <w:t xml:space="preserve">including social enterprises, </w:t>
      </w:r>
      <w:r w:rsidRPr="005B4339">
        <w:rPr>
          <w:noProof/>
          <w:lang w:val="en-IE"/>
        </w:rPr>
        <w:t>are the majority of those</w:t>
      </w:r>
      <w:r w:rsidR="00E4086B" w:rsidRPr="005B4339">
        <w:rPr>
          <w:noProof/>
          <w:lang w:val="en-IE"/>
        </w:rPr>
        <w:t xml:space="preserve"> involved in the placing </w:t>
      </w:r>
      <w:r w:rsidR="001B49E0" w:rsidRPr="005B4339">
        <w:rPr>
          <w:noProof/>
          <w:lang w:val="en-IE"/>
        </w:rPr>
        <w:t xml:space="preserve">on the market </w:t>
      </w:r>
      <w:r w:rsidR="00E4086B" w:rsidRPr="005B4339">
        <w:rPr>
          <w:noProof/>
          <w:lang w:val="en-IE"/>
        </w:rPr>
        <w:t xml:space="preserve">of textiles </w:t>
      </w:r>
      <w:r w:rsidR="01E48714" w:rsidRPr="005B4339">
        <w:rPr>
          <w:noProof/>
          <w:lang w:val="en-IE"/>
        </w:rPr>
        <w:t>(</w:t>
      </w:r>
      <w:r w:rsidR="003F40EF" w:rsidRPr="005B4339">
        <w:rPr>
          <w:noProof/>
          <w:lang w:val="en-IE"/>
        </w:rPr>
        <w:t>including</w:t>
      </w:r>
      <w:r w:rsidR="01E48714" w:rsidRPr="005B4339">
        <w:rPr>
          <w:noProof/>
          <w:lang w:val="en-IE"/>
        </w:rPr>
        <w:t xml:space="preserve"> used, repaired textiles)</w:t>
      </w:r>
      <w:r w:rsidR="00E4086B" w:rsidRPr="005B4339">
        <w:rPr>
          <w:noProof/>
          <w:lang w:val="en-IE"/>
        </w:rPr>
        <w:t xml:space="preserve"> as well as </w:t>
      </w:r>
      <w:r w:rsidR="001B49E0" w:rsidRPr="005B4339">
        <w:rPr>
          <w:noProof/>
          <w:lang w:val="en-IE"/>
        </w:rPr>
        <w:t xml:space="preserve">in </w:t>
      </w:r>
      <w:r w:rsidR="00E4086B" w:rsidRPr="005B4339">
        <w:rPr>
          <w:noProof/>
          <w:lang w:val="en-IE"/>
        </w:rPr>
        <w:t>separate collection</w:t>
      </w:r>
      <w:r w:rsidR="469AD02B" w:rsidRPr="005B4339">
        <w:rPr>
          <w:noProof/>
          <w:lang w:val="en-IE"/>
        </w:rPr>
        <w:t>, sorting</w:t>
      </w:r>
      <w:r w:rsidR="00E4086B" w:rsidRPr="005B4339">
        <w:rPr>
          <w:noProof/>
          <w:lang w:val="en-IE"/>
        </w:rPr>
        <w:t xml:space="preserve"> of wastes</w:t>
      </w:r>
      <w:r w:rsidR="001B49E0" w:rsidRPr="005B4339">
        <w:rPr>
          <w:noProof/>
          <w:lang w:val="en-IE"/>
        </w:rPr>
        <w:t>.</w:t>
      </w:r>
      <w:r w:rsidR="7CE4AFE6" w:rsidRPr="005B4339">
        <w:rPr>
          <w:noProof/>
          <w:lang w:val="en-IE"/>
        </w:rPr>
        <w:t xml:space="preserve"> The purpose of the waste prevention monitoring is to identify practices and actions that have a waste reduction impact and facilitate their use further. Therefore, </w:t>
      </w:r>
      <w:r w:rsidR="31E8BCDB" w:rsidRPr="005B4339">
        <w:rPr>
          <w:noProof/>
          <w:lang w:val="en-IE"/>
        </w:rPr>
        <w:t xml:space="preserve">in the context of applying waste prevention measures as required under Article 9 of the WFD, Member States should facilitate the creation of </w:t>
      </w:r>
      <w:r w:rsidR="31E8BCDB" w:rsidRPr="005B4339">
        <w:rPr>
          <w:noProof/>
          <w:lang w:val="en-IE"/>
        </w:rPr>
        <w:lastRenderedPageBreak/>
        <w:t xml:space="preserve">circular business models, support those with </w:t>
      </w:r>
      <w:r w:rsidR="003F40EF" w:rsidRPr="005B4339">
        <w:rPr>
          <w:noProof/>
          <w:lang w:val="en-IE"/>
        </w:rPr>
        <w:t>regulatory</w:t>
      </w:r>
      <w:r w:rsidR="31E8BCDB" w:rsidRPr="005B4339">
        <w:rPr>
          <w:noProof/>
          <w:lang w:val="en-IE"/>
        </w:rPr>
        <w:t xml:space="preserve"> and economic measures. In view of the composition</w:t>
      </w:r>
      <w:r w:rsidR="003F40EF" w:rsidRPr="005B4339">
        <w:rPr>
          <w:noProof/>
          <w:lang w:val="en-IE"/>
        </w:rPr>
        <w:t xml:space="preserve"> </w:t>
      </w:r>
      <w:r w:rsidR="31E8BCDB" w:rsidRPr="005B4339">
        <w:rPr>
          <w:noProof/>
          <w:lang w:val="en-IE"/>
        </w:rPr>
        <w:t>of the sec</w:t>
      </w:r>
      <w:r w:rsidR="097F0649" w:rsidRPr="005B4339">
        <w:rPr>
          <w:noProof/>
          <w:lang w:val="en-IE"/>
        </w:rPr>
        <w:t>tor, this would benefit the SMEs and social enterprises.</w:t>
      </w:r>
    </w:p>
    <w:p w14:paraId="1078C72A" w14:textId="77777777" w:rsidR="009A71FD" w:rsidRPr="005B4339" w:rsidRDefault="009A71FD" w:rsidP="00292DC7">
      <w:pPr>
        <w:spacing w:after="120"/>
        <w:rPr>
          <w:i/>
          <w:noProof/>
          <w:lang w:val="en-IE"/>
        </w:rPr>
      </w:pPr>
      <w:r w:rsidRPr="005B4339">
        <w:rPr>
          <w:i/>
          <w:noProof/>
          <w:lang w:val="en-IE"/>
        </w:rPr>
        <w:t>Stakeholder evidence</w:t>
      </w:r>
    </w:p>
    <w:p w14:paraId="047D57C0" w14:textId="610FF1CB" w:rsidR="009A71FD" w:rsidRPr="005B4339" w:rsidRDefault="32D63BA1" w:rsidP="00292DC7">
      <w:pPr>
        <w:spacing w:after="120"/>
        <w:rPr>
          <w:noProof/>
          <w:lang w:val="en-IE"/>
        </w:rPr>
      </w:pPr>
      <w:r w:rsidRPr="005B4339">
        <w:rPr>
          <w:noProof/>
          <w:lang w:val="en-IE"/>
        </w:rPr>
        <w:t>Stakeholder insight described EU waste prevention indicators as essential in confirming commitment to goals and setting out a direction of travel for textiles</w:t>
      </w:r>
      <w:r w:rsidR="001B49E0" w:rsidRPr="005B4339">
        <w:rPr>
          <w:noProof/>
          <w:lang w:val="en-IE"/>
        </w:rPr>
        <w:t xml:space="preserve"> </w:t>
      </w:r>
      <w:r w:rsidR="00504F1B" w:rsidRPr="005B4339">
        <w:rPr>
          <w:noProof/>
          <w:lang w:val="en-IE"/>
        </w:rPr>
        <w:t>waste management</w:t>
      </w:r>
      <w:r w:rsidR="009A71FD" w:rsidRPr="005B4339">
        <w:rPr>
          <w:noProof/>
          <w:vertAlign w:val="superscript"/>
          <w:lang w:val="en-IE"/>
        </w:rPr>
        <w:footnoteReference w:id="31"/>
      </w:r>
      <w:r w:rsidRPr="005B4339">
        <w:rPr>
          <w:noProof/>
          <w:lang w:val="en-IE"/>
        </w:rPr>
        <w:t xml:space="preserve">. Concerns were raised however, over the potential for prevention targets to create challenges for </w:t>
      </w:r>
      <w:r w:rsidR="00D96247" w:rsidRPr="005B4339">
        <w:rPr>
          <w:noProof/>
          <w:lang w:val="en-IE"/>
        </w:rPr>
        <w:t>reuse</w:t>
      </w:r>
      <w:r w:rsidRPr="005B4339">
        <w:rPr>
          <w:noProof/>
          <w:lang w:val="en-IE"/>
        </w:rPr>
        <w:t>, by causing confusion between “old” and “new” products, and not doing enough to drive activity further up the waste hierarchy</w:t>
      </w:r>
      <w:r w:rsidR="009A71FD" w:rsidRPr="005B4339">
        <w:rPr>
          <w:noProof/>
          <w:vertAlign w:val="superscript"/>
          <w:lang w:val="en-IE"/>
        </w:rPr>
        <w:footnoteReference w:id="32"/>
      </w:r>
      <w:r w:rsidRPr="005B4339">
        <w:rPr>
          <w:noProof/>
          <w:lang w:val="en-IE"/>
        </w:rPr>
        <w:t xml:space="preserve">. The optional measures could also be challenging to implement </w:t>
      </w:r>
      <w:r w:rsidRPr="005B4339" w:rsidDel="00FB027E">
        <w:rPr>
          <w:noProof/>
          <w:lang w:val="en-IE"/>
        </w:rPr>
        <w:t>uniformly</w:t>
      </w:r>
      <w:r w:rsidRPr="005B4339">
        <w:rPr>
          <w:noProof/>
          <w:lang w:val="en-IE"/>
        </w:rPr>
        <w:t xml:space="preserve"> and could potentially have disproportionate impacts across areas. Concerns were also raised around the complexity of using preventative indicators which could lead to incentivisation of malpractice</w:t>
      </w:r>
      <w:r w:rsidR="009A71FD" w:rsidRPr="005B4339">
        <w:rPr>
          <w:noProof/>
          <w:vertAlign w:val="superscript"/>
          <w:lang w:val="en-IE"/>
        </w:rPr>
        <w:footnoteReference w:id="33"/>
      </w:r>
      <w:r w:rsidRPr="005B4339">
        <w:rPr>
          <w:noProof/>
          <w:lang w:val="en-IE"/>
        </w:rPr>
        <w:t>.</w:t>
      </w:r>
    </w:p>
    <w:p w14:paraId="3AC8E87D" w14:textId="527CE3AA" w:rsidR="00292DC7" w:rsidRPr="005B4339" w:rsidRDefault="32D63BA1" w:rsidP="00292DC7">
      <w:pPr>
        <w:spacing w:after="120"/>
        <w:rPr>
          <w:noProof/>
          <w:lang w:val="en-IE"/>
        </w:rPr>
      </w:pPr>
      <w:r w:rsidRPr="005B4339">
        <w:rPr>
          <w:noProof/>
          <w:lang w:val="en-IE"/>
        </w:rPr>
        <w:t xml:space="preserve">Feedback suggested that the WFD should go beyond indicators to include quantitative targets for preparation for </w:t>
      </w:r>
      <w:r w:rsidR="00D96247" w:rsidRPr="005B4339">
        <w:rPr>
          <w:noProof/>
          <w:lang w:val="en-IE"/>
        </w:rPr>
        <w:t>reuse</w:t>
      </w:r>
      <w:r w:rsidRPr="005B4339">
        <w:rPr>
          <w:noProof/>
          <w:lang w:val="en-IE"/>
        </w:rPr>
        <w:t xml:space="preserve"> and waste prevention, separate to recycling. This should further encourage reuse </w:t>
      </w:r>
      <w:r w:rsidR="00A81680" w:rsidRPr="005B4339">
        <w:rPr>
          <w:noProof/>
          <w:lang w:val="en-IE"/>
        </w:rPr>
        <w:t>by</w:t>
      </w:r>
      <w:r w:rsidRPr="005B4339">
        <w:rPr>
          <w:noProof/>
          <w:lang w:val="en-IE"/>
        </w:rPr>
        <w:t xml:space="preserve"> providing economic incentivisation for reuse operators who meet waste prevention targets, particularly social enterprises</w:t>
      </w:r>
      <w:r w:rsidR="009A71FD" w:rsidRPr="005B4339">
        <w:rPr>
          <w:noProof/>
          <w:vertAlign w:val="superscript"/>
          <w:lang w:val="en-IE"/>
        </w:rPr>
        <w:footnoteReference w:id="34"/>
      </w:r>
      <w:r w:rsidRPr="005B4339">
        <w:rPr>
          <w:noProof/>
          <w:lang w:val="en-IE"/>
        </w:rPr>
        <w:t>. Whilst the waste prevention indicators in themselves would not be enough to drive action at company level, the impact from administration should act as a catalyst to drive action. The administration required for reporting should then be aligned with the ESPR and embedded into a Digital Product Passport</w:t>
      </w:r>
      <w:r w:rsidR="009A71FD" w:rsidRPr="005B4339">
        <w:rPr>
          <w:noProof/>
          <w:vertAlign w:val="superscript"/>
          <w:lang w:val="en-IE"/>
        </w:rPr>
        <w:footnoteReference w:id="35"/>
      </w:r>
      <w:r w:rsidRPr="005B4339">
        <w:rPr>
          <w:noProof/>
          <w:lang w:val="en-IE"/>
        </w:rPr>
        <w:t>.</w:t>
      </w:r>
    </w:p>
    <w:p w14:paraId="1856970A" w14:textId="6DF20F56" w:rsidR="009A71FD" w:rsidRPr="005B4339" w:rsidRDefault="009A71FD" w:rsidP="00292DC7">
      <w:pPr>
        <w:spacing w:after="120"/>
        <w:rPr>
          <w:noProof/>
          <w:lang w:val="en-IE"/>
        </w:rPr>
      </w:pPr>
      <w:r w:rsidRPr="005B4339">
        <w:rPr>
          <w:noProof/>
          <w:lang w:val="en-IE"/>
        </w:rPr>
        <w:t>Insight gathered through interviews and workshops highlighted that the waste prevention angle is not the fundamental point to focus on, as what is needed is strong infrastructure which can sort and collect textiles to retain their value. It was felt that the focus should be on investing in technology which can expand the capacity to upscale and increase the volumes of products able to be accepted beyond simply high value used products</w:t>
      </w:r>
      <w:r w:rsidR="007153B5" w:rsidRPr="005B4339">
        <w:rPr>
          <w:rStyle w:val="FootnoteReference"/>
          <w:noProof/>
          <w:lang w:val="en-IE"/>
        </w:rPr>
        <w:footnoteReference w:id="36"/>
      </w:r>
      <w:r w:rsidRPr="005B4339">
        <w:rPr>
          <w:noProof/>
          <w:lang w:val="en-IE"/>
        </w:rPr>
        <w:t>. Prevention of waste should be driven through a wider set of enablers, including better materials and production processes, and fostering of reusability and repair to involve consumers</w:t>
      </w:r>
      <w:r w:rsidR="007153B5" w:rsidRPr="005B4339">
        <w:rPr>
          <w:rStyle w:val="FootnoteReference"/>
          <w:noProof/>
          <w:lang w:val="en-IE"/>
        </w:rPr>
        <w:footnoteReference w:id="37"/>
      </w:r>
      <w:r w:rsidRPr="005B4339">
        <w:rPr>
          <w:noProof/>
          <w:lang w:val="en-IE"/>
        </w:rPr>
        <w:t xml:space="preserve">. </w:t>
      </w:r>
    </w:p>
    <w:p w14:paraId="4CED2230" w14:textId="69787587" w:rsidR="009A71FD" w:rsidRPr="005B4339" w:rsidRDefault="009A71FD" w:rsidP="009A71FD">
      <w:pPr>
        <w:rPr>
          <w:noProof/>
          <w:lang w:val="en-IE"/>
        </w:rPr>
      </w:pPr>
      <w:r w:rsidRPr="005B4339">
        <w:rPr>
          <w:noProof/>
          <w:lang w:val="en-IE"/>
        </w:rPr>
        <w:t>Where the indicators are established, stakeholder input suggested that full life-cycle data should be used to design the most environmentally friendly systems and indicators which fully reflect the most desirable outcomes. This should include impacts from transporting, processing and production for recycling and reuse</w:t>
      </w:r>
      <w:r w:rsidR="007153B5" w:rsidRPr="005B4339">
        <w:rPr>
          <w:rStyle w:val="FootnoteReference"/>
          <w:noProof/>
          <w:lang w:val="en-IE"/>
        </w:rPr>
        <w:footnoteReference w:id="38"/>
      </w:r>
      <w:r w:rsidRPr="005B4339">
        <w:rPr>
          <w:noProof/>
          <w:lang w:val="en-IE"/>
        </w:rPr>
        <w:t xml:space="preserve">. </w:t>
      </w:r>
    </w:p>
    <w:p w14:paraId="4045772F" w14:textId="2EF3C21F" w:rsidR="009A71FD" w:rsidRPr="005B4339" w:rsidRDefault="009A71FD" w:rsidP="00292DC7">
      <w:pPr>
        <w:spacing w:after="120"/>
        <w:rPr>
          <w:b/>
          <w:i/>
          <w:noProof/>
          <w:lang w:val="en-IE"/>
        </w:rPr>
      </w:pPr>
      <w:r w:rsidRPr="005B4339">
        <w:rPr>
          <w:b/>
          <w:i/>
          <w:noProof/>
          <w:lang w:val="en-IE"/>
        </w:rPr>
        <w:t>Administrative burden assessment</w:t>
      </w:r>
    </w:p>
    <w:p w14:paraId="43FA278E" w14:textId="55E30D6A" w:rsidR="009A71FD" w:rsidRPr="005B4339" w:rsidRDefault="009A71FD" w:rsidP="00994DC8">
      <w:pPr>
        <w:rPr>
          <w:noProof/>
          <w:lang w:val="en-IE"/>
        </w:rPr>
      </w:pPr>
      <w:r w:rsidRPr="005B4339">
        <w:rPr>
          <w:noProof/>
          <w:lang w:val="en-IE"/>
        </w:rPr>
        <w:lastRenderedPageBreak/>
        <w:t xml:space="preserve">There would be no additional administrative burden </w:t>
      </w:r>
      <w:r w:rsidR="00D661FB" w:rsidRPr="005B4339">
        <w:rPr>
          <w:noProof/>
          <w:lang w:val="en-IE"/>
        </w:rPr>
        <w:t xml:space="preserve">from </w:t>
      </w:r>
      <w:r w:rsidRPr="005B4339">
        <w:rPr>
          <w:noProof/>
          <w:lang w:val="en-IE"/>
        </w:rPr>
        <w:t xml:space="preserve">this measure beyond those identified in relation to the application of </w:t>
      </w:r>
      <w:r w:rsidR="3707ADF0" w:rsidRPr="005B4339">
        <w:rPr>
          <w:noProof/>
          <w:lang w:val="en-IE"/>
        </w:rPr>
        <w:t>m</w:t>
      </w:r>
      <w:r w:rsidR="00E4086B" w:rsidRPr="005B4339">
        <w:rPr>
          <w:noProof/>
          <w:lang w:val="en-IE"/>
        </w:rPr>
        <w:t>easure 2.1</w:t>
      </w:r>
      <w:r w:rsidR="0C1BE2D9" w:rsidRPr="005B4339">
        <w:rPr>
          <w:noProof/>
          <w:lang w:val="en-IE"/>
        </w:rPr>
        <w:t>4</w:t>
      </w:r>
      <w:r w:rsidRPr="005B4339">
        <w:rPr>
          <w:noProof/>
          <w:lang w:val="en-IE"/>
        </w:rPr>
        <w:t>.</w:t>
      </w:r>
    </w:p>
    <w:p w14:paraId="6ECC587C" w14:textId="6C528964" w:rsidR="009A71FD" w:rsidRPr="005B4339" w:rsidRDefault="00994DC8" w:rsidP="00292DC7">
      <w:pPr>
        <w:spacing w:after="120"/>
        <w:rPr>
          <w:noProof/>
          <w:lang w:val="en-IE"/>
        </w:rPr>
      </w:pPr>
      <w:bookmarkStart w:id="64" w:name="_Toc133229468"/>
      <w:bookmarkStart w:id="65" w:name="_Toc139032022"/>
      <w:r w:rsidRPr="005B4339">
        <w:rPr>
          <w:i/>
          <w:noProof/>
          <w:lang w:val="en-IE"/>
        </w:rPr>
        <w:t xml:space="preserve">Table </w:t>
      </w:r>
      <w:r w:rsidR="00393DFA">
        <w:rPr>
          <w:i/>
          <w:iCs/>
          <w:noProof/>
        </w:rPr>
        <w:t>6</w:t>
      </w:r>
      <w:r w:rsidRPr="005B4339">
        <w:rPr>
          <w:i/>
          <w:noProof/>
          <w:lang w:val="en-IE"/>
        </w:rPr>
        <w:t xml:space="preserve"> : </w:t>
      </w:r>
      <w:r w:rsidR="009A71FD" w:rsidRPr="005B4339">
        <w:rPr>
          <w:i/>
          <w:noProof/>
          <w:lang w:val="en-IE"/>
        </w:rPr>
        <w:t xml:space="preserve">Summary of impacts for measure </w:t>
      </w:r>
      <w:r w:rsidR="00E4086B" w:rsidRPr="005B4339">
        <w:rPr>
          <w:i/>
          <w:noProof/>
          <w:lang w:val="en-IE"/>
        </w:rPr>
        <w:t>1.</w:t>
      </w:r>
      <w:r w:rsidR="009A71FD" w:rsidRPr="005B4339">
        <w:rPr>
          <w:i/>
          <w:noProof/>
          <w:lang w:val="en-IE"/>
        </w:rPr>
        <w:t>2</w:t>
      </w:r>
      <w:bookmarkEnd w:id="64"/>
      <w:bookmarkEnd w:id="65"/>
    </w:p>
    <w:tbl>
      <w:tblPr>
        <w:tblStyle w:val="PlainTable1"/>
        <w:tblW w:w="9268" w:type="dxa"/>
        <w:tblLook w:val="04A0" w:firstRow="1" w:lastRow="0" w:firstColumn="1" w:lastColumn="0" w:noHBand="0" w:noVBand="1"/>
      </w:tblPr>
      <w:tblGrid>
        <w:gridCol w:w="2547"/>
        <w:gridCol w:w="2268"/>
        <w:gridCol w:w="2268"/>
        <w:gridCol w:w="2185"/>
      </w:tblGrid>
      <w:tr w:rsidR="009C1989" w:rsidRPr="005B4339" w14:paraId="04DE4DF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F67B4" w14:textId="77777777" w:rsidR="009C1989" w:rsidRPr="005B4339" w:rsidRDefault="009C1989">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AA2DAC"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A6EBAF"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AC8E5C"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9C1989" w:rsidRPr="005B4339" w14:paraId="4ADC5F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60ED51" w14:textId="77777777" w:rsidR="009C1989" w:rsidRPr="005B4339" w:rsidRDefault="009C1989">
            <w:pPr>
              <w:jc w:val="left"/>
              <w:rPr>
                <w:noProof/>
                <w:lang w:val="en-IE"/>
              </w:rPr>
            </w:pPr>
            <w:r w:rsidRPr="005B4339">
              <w:rPr>
                <w:noProof/>
                <w:lang w:val="en-IE"/>
              </w:rPr>
              <w:t>Producers, waste managers (encompassing collectors,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5C27A" w14:textId="39353F0C" w:rsidR="0054241B" w:rsidRPr="005B4339" w:rsidRDefault="0054241B" w:rsidP="008F6E74">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Greater efficiencies identified through better monitoring should lead to more focussed and efficient efforts in relation to waste prevention.</w:t>
            </w:r>
          </w:p>
          <w:p w14:paraId="0DEE4E4A" w14:textId="4AC094A9" w:rsidR="009C1989" w:rsidRPr="005B4339" w:rsidRDefault="0054241B">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Minor impacts on the economics of the waste management sector are foreseen.</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3E1A4B" w14:textId="77777777" w:rsidR="009C1989" w:rsidRPr="005B4339" w:rsidRDefault="009C1989">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ED718" w14:textId="4C9BD986" w:rsidR="009C1989" w:rsidRPr="005B4339" w:rsidRDefault="5ECE96DD" w:rsidP="43A98C36">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This measure would increase information on waste prevention measures available publicly</w:t>
            </w:r>
          </w:p>
          <w:p w14:paraId="0B836593" w14:textId="4C9BD986" w:rsidR="009C1989" w:rsidRPr="005B4339" w:rsidRDefault="009C1989">
            <w:pPr>
              <w:cnfStyle w:val="000000100000" w:firstRow="0" w:lastRow="0" w:firstColumn="0" w:lastColumn="0" w:oddVBand="0" w:evenVBand="0" w:oddHBand="1" w:evenHBand="0" w:firstRowFirstColumn="0" w:firstRowLastColumn="0" w:lastRowFirstColumn="0" w:lastRowLastColumn="0"/>
              <w:rPr>
                <w:b/>
                <w:noProof/>
                <w:lang w:val="en-IE"/>
              </w:rPr>
            </w:pPr>
          </w:p>
        </w:tc>
      </w:tr>
      <w:tr w:rsidR="009C1989" w:rsidRPr="005B4339" w14:paraId="070F822F"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5A5CFA" w14:textId="77777777" w:rsidR="009C1989" w:rsidRPr="005B4339" w:rsidRDefault="009C1989">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0D13D" w14:textId="77777777" w:rsidR="009C1989" w:rsidRPr="005B4339" w:rsidRDefault="00977A32">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The ability to judge the impacts of waste prevention measures employed through a consistent indicator will allow Member States to more accurately assess the effects of their own programmes as well as those of other Member States.</w:t>
            </w:r>
          </w:p>
          <w:p w14:paraId="3CAD98EB" w14:textId="7A6A18D1" w:rsidR="009C1989" w:rsidRPr="005B4339" w:rsidRDefault="00977A32">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Reduced cost of waste disposal as indicators would help reaching waste prevention targets more efficiently.</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04EC1" w14:textId="77777777" w:rsidR="009C1989" w:rsidRPr="005B4339" w:rsidRDefault="009C1989">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D632D" w14:textId="4C9BD986" w:rsidR="009C1989" w:rsidRPr="005B4339" w:rsidRDefault="0CA2F06B" w:rsidP="43A98C36">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This measure would increase information on waste prevention measures available publicly</w:t>
            </w:r>
          </w:p>
          <w:p w14:paraId="546A24B8" w14:textId="4C9BD986" w:rsidR="009C1989" w:rsidRPr="005B4339" w:rsidRDefault="009C1989">
            <w:pPr>
              <w:cnfStyle w:val="000000000000" w:firstRow="0" w:lastRow="0" w:firstColumn="0" w:lastColumn="0" w:oddVBand="0" w:evenVBand="0" w:oddHBand="0" w:evenHBand="0" w:firstRowFirstColumn="0" w:firstRowLastColumn="0" w:lastRowFirstColumn="0" w:lastRowLastColumn="0"/>
              <w:rPr>
                <w:b/>
                <w:noProof/>
                <w:lang w:val="en-IE"/>
              </w:rPr>
            </w:pPr>
          </w:p>
        </w:tc>
      </w:tr>
      <w:tr w:rsidR="0054241B" w:rsidRPr="005B4339" w14:paraId="4B127C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8163A1" w14:textId="7A892C3E" w:rsidR="0054241B" w:rsidRPr="005B4339" w:rsidRDefault="0054241B">
            <w:pPr>
              <w:jc w:val="left"/>
              <w:rPr>
                <w:noProof/>
                <w:lang w:val="en-IE"/>
              </w:rPr>
            </w:pPr>
            <w:r w:rsidRPr="005B4339">
              <w:rPr>
                <w:noProof/>
                <w:lang w:val="en-IE"/>
              </w:rPr>
              <w:t>P</w:t>
            </w:r>
            <w:r w:rsidR="0CA2F06B" w:rsidRPr="005B4339">
              <w:rPr>
                <w:noProof/>
                <w:lang w:val="en-IE"/>
              </w:rPr>
              <w:t>ublic authorities and citizens</w:t>
            </w:r>
          </w:p>
          <w:p w14:paraId="6F2749C6" w14:textId="7A892C3E" w:rsidR="0054241B" w:rsidRPr="005B4339" w:rsidRDefault="0054241B">
            <w:pPr>
              <w:jc w:val="left"/>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61FBF" w14:textId="77777777" w:rsidR="0054241B" w:rsidRPr="005B4339" w:rsidRDefault="0054241B">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802A5" w14:textId="7A892C3E" w:rsidR="0054241B" w:rsidRPr="005B4339" w:rsidRDefault="0CA2F06B" w:rsidP="43A98C36">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This measure would help reaching climate neutrality </w:t>
            </w:r>
            <w:r w:rsidRPr="005B4339">
              <w:rPr>
                <w:noProof/>
                <w:lang w:val="en-IE"/>
              </w:rPr>
              <w:lastRenderedPageBreak/>
              <w:t>targets as indicators would support improved waste prevention.</w:t>
            </w:r>
          </w:p>
          <w:p w14:paraId="73CBC61D" w14:textId="7A892C3E" w:rsidR="0054241B" w:rsidRPr="005B4339" w:rsidRDefault="0CA2F06B" w:rsidP="43A98C36">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It would help improving air, soil, and water quality as indicators would support improved waste prevention.</w:t>
            </w:r>
          </w:p>
          <w:p w14:paraId="0A3CD51B" w14:textId="4A846202" w:rsidR="0054241B" w:rsidRPr="005B4339" w:rsidRDefault="0CA2F06B">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It would help protecting landscapes and improvement ecosystem services as indicators would support improved waste prevention.</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B9050" w14:textId="1E8A24D5" w:rsidR="0054241B" w:rsidRPr="005B4339" w:rsidRDefault="0CA2F06B" w:rsidP="0CD42F23">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lastRenderedPageBreak/>
              <w:t xml:space="preserve">Greater awareness of the measures taken by Member </w:t>
            </w:r>
            <w:r w:rsidRPr="005B4339">
              <w:rPr>
                <w:noProof/>
                <w:lang w:val="en-IE"/>
              </w:rPr>
              <w:lastRenderedPageBreak/>
              <w:t>States to prevent waste within the territory concerned.</w:t>
            </w:r>
          </w:p>
          <w:p w14:paraId="5AC823CE" w14:textId="610E8DF7" w:rsidR="0054241B" w:rsidRPr="005B4339" w:rsidRDefault="0054241B">
            <w:pPr>
              <w:cnfStyle w:val="000000100000" w:firstRow="0" w:lastRow="0" w:firstColumn="0" w:lastColumn="0" w:oddVBand="0" w:evenVBand="0" w:oddHBand="1" w:evenHBand="0" w:firstRowFirstColumn="0" w:firstRowLastColumn="0" w:lastRowFirstColumn="0" w:lastRowLastColumn="0"/>
              <w:rPr>
                <w:noProof/>
                <w:lang w:val="en-IE"/>
              </w:rPr>
            </w:pPr>
          </w:p>
        </w:tc>
      </w:tr>
    </w:tbl>
    <w:p w14:paraId="58911E47" w14:textId="6FABF86F" w:rsidR="00494748" w:rsidRPr="005B4339" w:rsidRDefault="00494748" w:rsidP="00494748">
      <w:pPr>
        <w:rPr>
          <w:b/>
          <w:noProof/>
          <w:lang w:val="en-IE"/>
        </w:rPr>
      </w:pPr>
      <w:r w:rsidRPr="005B4339">
        <w:rPr>
          <w:b/>
          <w:noProof/>
          <w:lang w:val="en-IE"/>
        </w:rPr>
        <w:lastRenderedPageBreak/>
        <w:br/>
        <w:t xml:space="preserve">Impacts on competitiveness </w:t>
      </w:r>
    </w:p>
    <w:p w14:paraId="52436B33" w14:textId="77777777" w:rsidR="00494748" w:rsidRPr="005B4339" w:rsidRDefault="00494748" w:rsidP="00494748">
      <w:pPr>
        <w:rPr>
          <w:noProof/>
          <w:lang w:val="en-IE"/>
        </w:rPr>
      </w:pPr>
      <w:r w:rsidRPr="005B4339">
        <w:rPr>
          <w:noProof/>
          <w:lang w:val="en-IE"/>
        </w:rPr>
        <w:t>The following impacts on competitiveness have been assessed under this measure.</w:t>
      </w:r>
    </w:p>
    <w:p w14:paraId="6E706582" w14:textId="4C2DEC9B" w:rsidR="00494748" w:rsidRPr="005B4339" w:rsidRDefault="00494748" w:rsidP="00494748">
      <w:pPr>
        <w:spacing w:after="120"/>
        <w:rPr>
          <w:i/>
          <w:noProof/>
          <w:lang w:val="en-IE"/>
        </w:rPr>
      </w:pPr>
      <w:bookmarkStart w:id="66" w:name="_Toc133229469"/>
      <w:bookmarkStart w:id="67" w:name="_Toc139032023"/>
      <w:r w:rsidRPr="005B4339">
        <w:rPr>
          <w:i/>
          <w:noProof/>
          <w:lang w:val="en-IE"/>
        </w:rPr>
        <w:t xml:space="preserve">Table </w:t>
      </w:r>
      <w:r w:rsidR="00393DFA">
        <w:rPr>
          <w:i/>
          <w:noProof/>
        </w:rPr>
        <w:t>7</w:t>
      </w:r>
      <w:r w:rsidRPr="005B4339">
        <w:rPr>
          <w:i/>
          <w:noProof/>
          <w:lang w:val="en-IE"/>
        </w:rPr>
        <w:t xml:space="preserve"> - impacts on competitiveness of measure 1.2</w:t>
      </w:r>
      <w:bookmarkEnd w:id="66"/>
      <w:bookmarkEnd w:id="67"/>
    </w:p>
    <w:tbl>
      <w:tblPr>
        <w:tblStyle w:val="TableGrid"/>
        <w:tblW w:w="0" w:type="auto"/>
        <w:tblLook w:val="04A0" w:firstRow="1" w:lastRow="0" w:firstColumn="1" w:lastColumn="0" w:noHBand="0" w:noVBand="1"/>
      </w:tblPr>
      <w:tblGrid>
        <w:gridCol w:w="2400"/>
        <w:gridCol w:w="7176"/>
      </w:tblGrid>
      <w:tr w:rsidR="00494748" w:rsidRPr="005B4339" w14:paraId="1AF66265" w14:textId="77777777">
        <w:tc>
          <w:tcPr>
            <w:tcW w:w="2405" w:type="dxa"/>
          </w:tcPr>
          <w:p w14:paraId="7F746275"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2EF22807"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specific impacts of price competitiveness have been identified under this measure.</w:t>
            </w:r>
          </w:p>
        </w:tc>
      </w:tr>
      <w:tr w:rsidR="00494748" w:rsidRPr="005B4339" w14:paraId="664DD325" w14:textId="77777777">
        <w:tc>
          <w:tcPr>
            <w:tcW w:w="2405" w:type="dxa"/>
          </w:tcPr>
          <w:p w14:paraId="79298BF6"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49EB6350"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has the potential to incentivise the repair and reuse market in Member States as one aspect of waste prevention that may be applied by Member States.  </w:t>
            </w:r>
          </w:p>
        </w:tc>
      </w:tr>
      <w:tr w:rsidR="00494748" w:rsidRPr="005B4339" w14:paraId="0ED1A74F" w14:textId="77777777">
        <w:tc>
          <w:tcPr>
            <w:tcW w:w="2405" w:type="dxa"/>
          </w:tcPr>
          <w:p w14:paraId="52AA1F89"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6388B697"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Waste prevention measures are likely to reduce the volumes of used textiles exported from the EU to third countries.  This would potentially reduce the incomes of used textile exporters within the EU as whole due to the reduced volumes available to market.</w:t>
            </w:r>
          </w:p>
        </w:tc>
      </w:tr>
      <w:tr w:rsidR="00494748" w:rsidRPr="005B4339" w14:paraId="15675E9E" w14:textId="77777777">
        <w:tc>
          <w:tcPr>
            <w:tcW w:w="2405" w:type="dxa"/>
          </w:tcPr>
          <w:p w14:paraId="1C0C3D1F"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7223" w:type="dxa"/>
          </w:tcPr>
          <w:p w14:paraId="1C918350" w14:textId="77777777" w:rsidR="00494748" w:rsidRPr="005B4339" w:rsidRDefault="00494748">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Waste prevention measures offer the possibility to reduce the need for imports of textiles in the future as greater reuse and repair within the EU replaces the need for new textile goods to be purchased.  </w:t>
            </w:r>
          </w:p>
        </w:tc>
      </w:tr>
    </w:tbl>
    <w:p w14:paraId="2B674A9D" w14:textId="492D424B" w:rsidR="0CD42F23" w:rsidRPr="005B4339" w:rsidRDefault="0CD42F23">
      <w:pPr>
        <w:rPr>
          <w:noProof/>
          <w:lang w:val="en-IE"/>
        </w:rPr>
      </w:pPr>
    </w:p>
    <w:p w14:paraId="0867154C" w14:textId="2DE00EBD" w:rsidR="0077786C" w:rsidRPr="005B4339" w:rsidRDefault="0077786C" w:rsidP="0077786C">
      <w:pPr>
        <w:pStyle w:val="Heading3"/>
        <w:spacing w:after="120"/>
        <w:rPr>
          <w:rFonts w:eastAsia="Calibri"/>
          <w:noProof/>
          <w:lang w:val="en-IE"/>
        </w:rPr>
      </w:pPr>
      <w:bookmarkStart w:id="68" w:name="_Toc124777318"/>
      <w:bookmarkStart w:id="69" w:name="_Toc2010596875"/>
      <w:bookmarkStart w:id="70" w:name="_Toc414993578"/>
      <w:bookmarkStart w:id="71" w:name="_Toc585794871"/>
      <w:bookmarkStart w:id="72" w:name="_Toc635670579"/>
      <w:bookmarkStart w:id="73" w:name="_Toc734198959"/>
      <w:bookmarkStart w:id="74" w:name="_Toc1858785145"/>
      <w:bookmarkStart w:id="75" w:name="_Toc505858948"/>
      <w:bookmarkStart w:id="76" w:name="_Toc139032091"/>
      <w:r w:rsidRPr="005B4339">
        <w:rPr>
          <w:rFonts w:eastAsia="Calibri"/>
          <w:noProof/>
          <w:lang w:val="en-IE"/>
        </w:rPr>
        <w:lastRenderedPageBreak/>
        <w:t>Measure 1.3 – Providing Member States with guidance and support in dialogue on the management of textile waste between actors involved</w:t>
      </w:r>
      <w:bookmarkEnd w:id="68"/>
      <w:bookmarkEnd w:id="69"/>
      <w:bookmarkEnd w:id="70"/>
      <w:bookmarkEnd w:id="71"/>
      <w:bookmarkEnd w:id="72"/>
      <w:bookmarkEnd w:id="73"/>
      <w:bookmarkEnd w:id="74"/>
      <w:bookmarkEnd w:id="75"/>
      <w:bookmarkEnd w:id="76"/>
    </w:p>
    <w:p w14:paraId="67357268" w14:textId="45DF9C6A" w:rsidR="009A71FD" w:rsidRPr="005B4339" w:rsidRDefault="009A71FD" w:rsidP="00292DC7">
      <w:pPr>
        <w:spacing w:after="120"/>
        <w:rPr>
          <w:noProof/>
          <w:lang w:val="en-IE"/>
        </w:rPr>
      </w:pPr>
      <w:r w:rsidRPr="005B4339">
        <w:rPr>
          <w:b/>
          <w:noProof/>
          <w:lang w:val="en-IE"/>
        </w:rPr>
        <w:t>Assessment of the impact Measure 1.3</w:t>
      </w:r>
    </w:p>
    <w:p w14:paraId="0872FB0B" w14:textId="77777777" w:rsidR="009A71FD" w:rsidRPr="005B4339" w:rsidRDefault="009A71FD" w:rsidP="00292DC7">
      <w:pPr>
        <w:spacing w:after="120"/>
        <w:rPr>
          <w:b/>
          <w:noProof/>
          <w:lang w:val="en-IE"/>
        </w:rPr>
      </w:pPr>
      <w:r w:rsidRPr="005B4339">
        <w:rPr>
          <w:b/>
          <w:noProof/>
          <w:lang w:val="en-IE"/>
        </w:rPr>
        <w:t>Economic impacts</w:t>
      </w:r>
    </w:p>
    <w:p w14:paraId="3E1580C1" w14:textId="17CE9CDE" w:rsidR="009A71FD" w:rsidRPr="005B4339" w:rsidRDefault="009A71FD" w:rsidP="00292DC7">
      <w:pPr>
        <w:spacing w:after="120"/>
        <w:rPr>
          <w:noProof/>
          <w:lang w:val="en-IE"/>
        </w:rPr>
      </w:pPr>
      <w:r w:rsidRPr="005B4339">
        <w:rPr>
          <w:noProof/>
          <w:lang w:val="en-IE"/>
        </w:rPr>
        <w:t>The sharing of best practice and knowledge through both guidance and a platform would be expected to have positive impacts for textile management</w:t>
      </w:r>
      <w:r w:rsidR="00241E57" w:rsidRPr="005B4339">
        <w:rPr>
          <w:noProof/>
          <w:lang w:val="en-IE"/>
        </w:rPr>
        <w:t xml:space="preserve"> stakeholders</w:t>
      </w:r>
      <w:r w:rsidRPr="005B4339">
        <w:rPr>
          <w:noProof/>
          <w:lang w:val="en-IE"/>
        </w:rPr>
        <w:t>. Guidance documents can help competent authorities and other stakeholders to improve practices in relation to waste management. To produce such guidance document</w:t>
      </w:r>
      <w:r w:rsidR="006830A1" w:rsidRPr="005B4339">
        <w:rPr>
          <w:noProof/>
          <w:lang w:val="en-IE"/>
        </w:rPr>
        <w:t>s, the</w:t>
      </w:r>
      <w:r w:rsidRPr="005B4339">
        <w:rPr>
          <w:noProof/>
          <w:lang w:val="en-IE"/>
        </w:rPr>
        <w:t xml:space="preserve"> Commission will need to identify best practice</w:t>
      </w:r>
      <w:r w:rsidR="006830A1" w:rsidRPr="005B4339">
        <w:rPr>
          <w:noProof/>
          <w:lang w:val="en-IE"/>
        </w:rPr>
        <w:t xml:space="preserve"> and disseminate the </w:t>
      </w:r>
      <w:r w:rsidRPr="005B4339">
        <w:rPr>
          <w:noProof/>
          <w:lang w:val="en-IE"/>
        </w:rPr>
        <w:t xml:space="preserve">information to the key </w:t>
      </w:r>
      <w:r w:rsidR="002E616B" w:rsidRPr="005B4339">
        <w:rPr>
          <w:noProof/>
          <w:lang w:val="en-IE"/>
        </w:rPr>
        <w:t xml:space="preserve">EU </w:t>
      </w:r>
      <w:r w:rsidRPr="005B4339">
        <w:rPr>
          <w:noProof/>
          <w:lang w:val="en-IE"/>
        </w:rPr>
        <w:t xml:space="preserve">stakeholders </w:t>
      </w:r>
      <w:r w:rsidR="002E616B" w:rsidRPr="005B4339">
        <w:rPr>
          <w:noProof/>
          <w:lang w:val="en-IE"/>
        </w:rPr>
        <w:t>in all EU languages</w:t>
      </w:r>
      <w:r w:rsidR="001C7266" w:rsidRPr="005B4339">
        <w:rPr>
          <w:noProof/>
          <w:lang w:val="en-IE"/>
        </w:rPr>
        <w:t>.</w:t>
      </w:r>
    </w:p>
    <w:p w14:paraId="11888058" w14:textId="71349007" w:rsidR="009A71FD" w:rsidRPr="005B4339" w:rsidRDefault="32D63BA1" w:rsidP="00945666">
      <w:pPr>
        <w:rPr>
          <w:noProof/>
          <w:lang w:val="en-IE"/>
        </w:rPr>
      </w:pPr>
      <w:r w:rsidRPr="005B4339">
        <w:rPr>
          <w:noProof/>
          <w:lang w:val="en-IE"/>
        </w:rPr>
        <w:t xml:space="preserve">The measure would raise awareness of circular </w:t>
      </w:r>
      <w:r w:rsidR="00CA5FCA" w:rsidRPr="005B4339">
        <w:rPr>
          <w:noProof/>
          <w:lang w:val="en-IE"/>
        </w:rPr>
        <w:t xml:space="preserve">textiles </w:t>
      </w:r>
      <w:r w:rsidRPr="005B4339">
        <w:rPr>
          <w:noProof/>
          <w:lang w:val="en-IE"/>
        </w:rPr>
        <w:t>models with the most potential for growth. The Commission SWD accompanying the proposal for a Regulation establishing a framework for setting ecodesign requirements</w:t>
      </w:r>
      <w:r w:rsidR="001420E8" w:rsidRPr="005B4339">
        <w:rPr>
          <w:noProof/>
          <w:lang w:val="en-IE"/>
        </w:rPr>
        <w:t xml:space="preserve"> </w:t>
      </w:r>
      <w:r w:rsidR="009A71FD" w:rsidRPr="005B4339">
        <w:rPr>
          <w:noProof/>
          <w:vertAlign w:val="superscript"/>
          <w:lang w:val="en-IE"/>
        </w:rPr>
        <w:footnoteReference w:id="39"/>
      </w:r>
      <w:r w:rsidRPr="005B4339">
        <w:rPr>
          <w:noProof/>
          <w:lang w:val="en-IE"/>
        </w:rPr>
        <w:t xml:space="preserve"> shows that 9% of SMEs have already adopted Circular Business Models,</w:t>
      </w:r>
      <w:r w:rsidR="00A76009" w:rsidRPr="005B4339">
        <w:rPr>
          <w:noProof/>
          <w:lang w:val="en-IE"/>
        </w:rPr>
        <w:t xml:space="preserve"> and </w:t>
      </w:r>
      <w:r w:rsidRPr="005B4339">
        <w:rPr>
          <w:noProof/>
          <w:lang w:val="en-IE"/>
        </w:rPr>
        <w:t>on average 20% of businesses are already familiar with Circular Business Models. With the support from the public sector, there are good reasons to believe that circular economy business models will continue to increase in relation to textiles via the sharing of practices.</w:t>
      </w:r>
      <w:r w:rsidR="002173B9" w:rsidRPr="005B4339">
        <w:rPr>
          <w:noProof/>
          <w:lang w:val="en-IE"/>
        </w:rPr>
        <w:t xml:space="preserve"> </w:t>
      </w:r>
      <w:r w:rsidR="009A71FD" w:rsidRPr="005B4339">
        <w:rPr>
          <w:noProof/>
          <w:lang w:val="en-IE"/>
        </w:rPr>
        <w:t>The SWD also notes that recent trends suggest that demand for Circular Business Models will continue to grow in future years, pushed by significant policy measures at EU and M</w:t>
      </w:r>
      <w:r w:rsidR="002173B9" w:rsidRPr="005B4339">
        <w:rPr>
          <w:noProof/>
          <w:lang w:val="en-IE"/>
        </w:rPr>
        <w:t xml:space="preserve">ember </w:t>
      </w:r>
      <w:r w:rsidR="009A71FD" w:rsidRPr="005B4339">
        <w:rPr>
          <w:noProof/>
          <w:lang w:val="en-IE"/>
        </w:rPr>
        <w:t>S</w:t>
      </w:r>
      <w:r w:rsidR="002173B9" w:rsidRPr="005B4339">
        <w:rPr>
          <w:noProof/>
          <w:lang w:val="en-IE"/>
        </w:rPr>
        <w:t>tates</w:t>
      </w:r>
      <w:r w:rsidR="009A71FD" w:rsidRPr="005B4339">
        <w:rPr>
          <w:noProof/>
          <w:lang w:val="en-IE"/>
        </w:rPr>
        <w:t xml:space="preserve"> level, as well as generational trends and a growing appetite for sustainable products. Generation Z and Millennials are notably boosting demand for refurbished products and easy reparability options.</w:t>
      </w:r>
    </w:p>
    <w:p w14:paraId="00B9080A" w14:textId="77777777" w:rsidR="009B186D" w:rsidRPr="005B4339" w:rsidRDefault="009B186D" w:rsidP="009B186D">
      <w:pPr>
        <w:rPr>
          <w:noProof/>
          <w:lang w:val="en-IE"/>
        </w:rPr>
      </w:pPr>
      <w:r w:rsidRPr="005B4339">
        <w:rPr>
          <w:noProof/>
          <w:lang w:val="en-IE"/>
        </w:rPr>
        <w:t>The measure has the potential to significantly increase textile collection, sorting and subsequent treatment based on the sharing of practices that have been proven to work by frontrunners such as DE and SE who currently collect over 60% of waste clothing and household textiles in relation to collection schemes.  This would be of greatest benefit to those Member States that are far behind such collection rates including BG, CY, CZ, EE, EL, ES, HR, HU, LV, PL, PT, RO, SI and SK.  However, as the sharing of best practice does not require Member States to then implement such practice the precise impacts in terms of flows of textile waste, collection, sorting and treatment is difficult to quantify.  An improvement in such processes would, however, be expected to be achieved.</w:t>
      </w:r>
    </w:p>
    <w:p w14:paraId="11839A09" w14:textId="001E797F" w:rsidR="009B186D" w:rsidRPr="005B4339" w:rsidRDefault="009B186D" w:rsidP="00945666">
      <w:pPr>
        <w:rPr>
          <w:noProof/>
          <w:lang w:val="en-IE"/>
        </w:rPr>
      </w:pPr>
      <w:r w:rsidRPr="005B4339">
        <w:rPr>
          <w:noProof/>
          <w:lang w:val="en-IE"/>
        </w:rPr>
        <w:t xml:space="preserve">Any additional collection, sorting and treatment performed as a result of the application of this measure would entail costs.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general taxation.  However, these costs would be a fraction of waste generated and collected, and consequently the costs that would be applied would not be for the entire volumes of textiles </w:t>
      </w:r>
      <w:r w:rsidRPr="005B4339">
        <w:rPr>
          <w:noProof/>
          <w:lang w:val="en-IE"/>
        </w:rPr>
        <w:lastRenderedPageBreak/>
        <w:t>collected, sorted and treated but rather the additional costs for the additional wastes collected.  Given that the total costs for all wastes account for an approximate increase per product of around 0.6%, this measure would likely result in smaller overall costs per product. Should the additional collection equate to a 20% increase in the waste collected, for example, then the application of costs to all goods sold would result in an increase in costs per item of around 0.12% of total price.</w:t>
      </w:r>
    </w:p>
    <w:p w14:paraId="72BAC179" w14:textId="77777777" w:rsidR="009A71FD" w:rsidRPr="005B4339" w:rsidRDefault="009A71FD" w:rsidP="00292DC7">
      <w:pPr>
        <w:spacing w:after="120"/>
        <w:rPr>
          <w:b/>
          <w:noProof/>
          <w:lang w:val="en-IE"/>
        </w:rPr>
      </w:pPr>
      <w:r w:rsidRPr="005B4339">
        <w:rPr>
          <w:b/>
          <w:noProof/>
          <w:lang w:val="en-IE"/>
        </w:rPr>
        <w:t>Environmental and Social impacts</w:t>
      </w:r>
    </w:p>
    <w:p w14:paraId="019D3DAA" w14:textId="6013E7EC" w:rsidR="009A71FD" w:rsidRPr="005B4339" w:rsidRDefault="32D63BA1" w:rsidP="009A71FD">
      <w:pPr>
        <w:rPr>
          <w:noProof/>
          <w:lang w:val="en-IE"/>
        </w:rPr>
      </w:pPr>
      <w:r w:rsidRPr="005B4339">
        <w:rPr>
          <w:noProof/>
          <w:lang w:val="en-IE"/>
        </w:rPr>
        <w:t xml:space="preserve">Positive environmental impacts </w:t>
      </w:r>
      <w:r w:rsidR="00FF5EC8" w:rsidRPr="005B4339">
        <w:rPr>
          <w:noProof/>
          <w:lang w:val="en-IE"/>
        </w:rPr>
        <w:t xml:space="preserve">would stem from the </w:t>
      </w:r>
      <w:r w:rsidRPr="005B4339">
        <w:rPr>
          <w:noProof/>
          <w:lang w:val="en-IE"/>
        </w:rPr>
        <w:t xml:space="preserve">sharing of best practices </w:t>
      </w:r>
      <w:r w:rsidR="00FF5EC8" w:rsidRPr="005B4339">
        <w:rPr>
          <w:noProof/>
          <w:lang w:val="en-IE"/>
        </w:rPr>
        <w:t xml:space="preserve">that could improve textile waste management across the EU. </w:t>
      </w:r>
      <w:r w:rsidR="00173E82" w:rsidRPr="005B4339">
        <w:rPr>
          <w:noProof/>
          <w:lang w:val="en-IE"/>
        </w:rPr>
        <w:t>S</w:t>
      </w:r>
      <w:r w:rsidRPr="005B4339">
        <w:rPr>
          <w:noProof/>
          <w:lang w:val="en-IE"/>
        </w:rPr>
        <w:t xml:space="preserve">ocial impacts </w:t>
      </w:r>
      <w:r w:rsidR="00173E82" w:rsidRPr="005B4339">
        <w:rPr>
          <w:noProof/>
          <w:lang w:val="en-IE"/>
        </w:rPr>
        <w:t xml:space="preserve">are </w:t>
      </w:r>
      <w:r w:rsidRPr="005B4339">
        <w:rPr>
          <w:noProof/>
          <w:lang w:val="en-IE"/>
        </w:rPr>
        <w:t xml:space="preserve">also likely to be positive </w:t>
      </w:r>
      <w:r w:rsidR="00173E82" w:rsidRPr="005B4339">
        <w:rPr>
          <w:noProof/>
          <w:lang w:val="en-IE"/>
        </w:rPr>
        <w:t xml:space="preserve">since moving textile waste management up the waste hierarchy will generate more jobs that require skilled </w:t>
      </w:r>
      <w:r w:rsidRPr="005B4339">
        <w:rPr>
          <w:noProof/>
          <w:lang w:val="en-IE"/>
        </w:rPr>
        <w:t>staff</w:t>
      </w:r>
      <w:r w:rsidR="00300C89" w:rsidRPr="005B4339">
        <w:rPr>
          <w:noProof/>
          <w:lang w:val="en-IE"/>
        </w:rPr>
        <w:t xml:space="preserve">, particularly in </w:t>
      </w:r>
      <w:r w:rsidRPr="005B4339">
        <w:rPr>
          <w:noProof/>
          <w:lang w:val="en-IE"/>
        </w:rPr>
        <w:t xml:space="preserve">the reuse sector where a lack of technical knowledge on repair and understaffing </w:t>
      </w:r>
      <w:r w:rsidR="00300C89" w:rsidRPr="005B4339">
        <w:rPr>
          <w:noProof/>
          <w:lang w:val="en-IE"/>
        </w:rPr>
        <w:t>have</w:t>
      </w:r>
      <w:r w:rsidRPr="005B4339">
        <w:rPr>
          <w:noProof/>
          <w:lang w:val="en-IE"/>
        </w:rPr>
        <w:t xml:space="preserve"> been identified</w:t>
      </w:r>
      <w:r w:rsidR="009A71FD" w:rsidRPr="005B4339">
        <w:rPr>
          <w:noProof/>
          <w:vertAlign w:val="superscript"/>
          <w:lang w:val="en-IE"/>
        </w:rPr>
        <w:footnoteReference w:id="40"/>
      </w:r>
      <w:r w:rsidRPr="005B4339">
        <w:rPr>
          <w:noProof/>
          <w:lang w:val="en-IE"/>
        </w:rPr>
        <w:t>.</w:t>
      </w:r>
    </w:p>
    <w:p w14:paraId="08535C3B" w14:textId="77777777" w:rsidR="009A71FD" w:rsidRPr="005B4339" w:rsidRDefault="009A71FD" w:rsidP="00292DC7">
      <w:pPr>
        <w:spacing w:after="120"/>
        <w:rPr>
          <w:b/>
          <w:noProof/>
          <w:lang w:val="en-IE"/>
        </w:rPr>
      </w:pPr>
      <w:r w:rsidRPr="005B4339">
        <w:rPr>
          <w:b/>
          <w:noProof/>
          <w:lang w:val="en-IE"/>
        </w:rPr>
        <w:t>Administrative burden</w:t>
      </w:r>
    </w:p>
    <w:p w14:paraId="01060321" w14:textId="0F37DE1A" w:rsidR="009A71FD" w:rsidRPr="005B4339" w:rsidRDefault="009A71FD" w:rsidP="00292DC7">
      <w:pPr>
        <w:spacing w:after="120"/>
        <w:rPr>
          <w:noProof/>
          <w:lang w:val="en-IE"/>
        </w:rPr>
      </w:pPr>
      <w:r w:rsidRPr="005B4339">
        <w:rPr>
          <w:noProof/>
          <w:lang w:val="en-IE"/>
        </w:rPr>
        <w:t>The provision of guidelines can be managed internally by the Commission or externalised to an agency or a contractor. The costs to create the additional guidance would include the travel and event costs, i.e.</w:t>
      </w:r>
      <w:r w:rsidR="00083C29" w:rsidRPr="005B4339">
        <w:rPr>
          <w:noProof/>
          <w:lang w:val="en-IE"/>
        </w:rPr>
        <w:t>,</w:t>
      </w:r>
      <w:r w:rsidRPr="005B4339">
        <w:rPr>
          <w:noProof/>
          <w:lang w:val="en-IE"/>
        </w:rPr>
        <w:t xml:space="preserve"> the cost of holding any necessary guidance development meetings and developing the guidance. Additional to this, the cost of the staff necessary to draft the reports would need to be added. </w:t>
      </w:r>
      <w:r w:rsidR="00E02A5D" w:rsidRPr="005B4339">
        <w:rPr>
          <w:noProof/>
          <w:lang w:val="en-IE"/>
        </w:rPr>
        <w:t>Considering</w:t>
      </w:r>
      <w:r w:rsidRPr="005B4339">
        <w:rPr>
          <w:noProof/>
          <w:lang w:val="en-IE"/>
        </w:rPr>
        <w:t xml:space="preserve"> the ToRs used by IMPEL in the development of their own Guidance on Effective Waste Shipment Inspection Planning, the total cost of all meeting events for detailed guidance would be approximately 135 000 </w:t>
      </w:r>
      <w:r w:rsidR="00CB11AB" w:rsidRPr="005B4339">
        <w:rPr>
          <w:noProof/>
          <w:lang w:val="en-IE"/>
        </w:rPr>
        <w:t xml:space="preserve">euro </w:t>
      </w:r>
      <w:r w:rsidRPr="005B4339">
        <w:rPr>
          <w:noProof/>
          <w:lang w:val="en-IE"/>
        </w:rPr>
        <w:t xml:space="preserve">per guidance with about 50 individuals </w:t>
      </w:r>
      <w:r w:rsidR="00EF236C" w:rsidRPr="005B4339">
        <w:rPr>
          <w:noProof/>
          <w:lang w:val="en-IE"/>
        </w:rPr>
        <w:t xml:space="preserve">from multiple organisations </w:t>
      </w:r>
      <w:r w:rsidRPr="005B4339">
        <w:rPr>
          <w:noProof/>
          <w:lang w:val="en-IE"/>
        </w:rPr>
        <w:t>making input</w:t>
      </w:r>
      <w:r w:rsidR="00677D7C" w:rsidRPr="005B4339">
        <w:rPr>
          <w:noProof/>
          <w:lang w:val="en-IE"/>
        </w:rPr>
        <w:t xml:space="preserve"> encompassing time and travel costs for the staff involved in the development of the guidance</w:t>
      </w:r>
      <w:r w:rsidRPr="005B4339">
        <w:rPr>
          <w:noProof/>
          <w:lang w:val="en-IE"/>
        </w:rPr>
        <w:t>.</w:t>
      </w:r>
    </w:p>
    <w:p w14:paraId="5EB2B0BC" w14:textId="39446A33" w:rsidR="009A71FD" w:rsidRPr="005B4339" w:rsidRDefault="009A71FD" w:rsidP="009A71FD">
      <w:pPr>
        <w:rPr>
          <w:b/>
          <w:noProof/>
          <w:lang w:val="en-IE"/>
        </w:rPr>
      </w:pPr>
      <w:r w:rsidRPr="005B4339">
        <w:rPr>
          <w:noProof/>
          <w:lang w:val="en-IE"/>
        </w:rPr>
        <w:t>The costs associated to the set-up of a platform depends very much on the final scenario selected. If the platform takes the form of an online platform only, managed as part of a wider dissemination activity following the Ecodesign website model, it is likely that the administrative cost will be limited to the cost of Commission personnel for both the extra development of the platform and its population</w:t>
      </w:r>
      <w:r w:rsidR="00251A5F" w:rsidRPr="005B4339">
        <w:rPr>
          <w:noProof/>
          <w:lang w:val="en-IE"/>
        </w:rPr>
        <w:t xml:space="preserve"> and updates</w:t>
      </w:r>
      <w:r w:rsidRPr="005B4339">
        <w:rPr>
          <w:noProof/>
          <w:lang w:val="en-IE"/>
        </w:rPr>
        <w:t>.</w:t>
      </w:r>
      <w:r w:rsidRPr="005B4339">
        <w:rPr>
          <w:b/>
          <w:noProof/>
          <w:lang w:val="en-IE"/>
        </w:rPr>
        <w:t xml:space="preserve"> </w:t>
      </w:r>
    </w:p>
    <w:p w14:paraId="559AD3FF" w14:textId="77777777" w:rsidR="006236AF" w:rsidRPr="005B4339" w:rsidRDefault="006236AF" w:rsidP="00251A5F">
      <w:pPr>
        <w:spacing w:after="120"/>
        <w:rPr>
          <w:b/>
          <w:noProof/>
          <w:lang w:val="en-IE"/>
        </w:rPr>
      </w:pPr>
      <w:r w:rsidRPr="005B4339">
        <w:rPr>
          <w:b/>
          <w:noProof/>
          <w:lang w:val="en-IE"/>
        </w:rPr>
        <w:t>Impact on SMEs and social enterprises</w:t>
      </w:r>
    </w:p>
    <w:p w14:paraId="2FC3B17C" w14:textId="2D20DDFF" w:rsidR="006236AF" w:rsidRPr="005B4339" w:rsidRDefault="006236AF" w:rsidP="006236AF">
      <w:pPr>
        <w:rPr>
          <w:noProof/>
          <w:lang w:val="en-IE"/>
        </w:rPr>
      </w:pPr>
      <w:r w:rsidRPr="005B4339">
        <w:rPr>
          <w:noProof/>
          <w:lang w:val="en-IE"/>
        </w:rPr>
        <w:t xml:space="preserve">Given </w:t>
      </w:r>
      <w:r w:rsidR="00AE0258" w:rsidRPr="005B4339">
        <w:rPr>
          <w:noProof/>
          <w:lang w:val="en-IE"/>
        </w:rPr>
        <w:t xml:space="preserve">SMEs, including social enterprises, are the majority of those involved in the placing on the market of textiles as well as in separate collection of wastes, </w:t>
      </w:r>
      <w:r w:rsidRPr="005B4339">
        <w:rPr>
          <w:noProof/>
          <w:lang w:val="en-IE"/>
        </w:rPr>
        <w:t>the guidance and support platform would have the largest impacts on SMEs overall.</w:t>
      </w:r>
    </w:p>
    <w:p w14:paraId="4BE90311" w14:textId="77777777" w:rsidR="009A71FD" w:rsidRPr="005B4339" w:rsidRDefault="009A71FD" w:rsidP="00292DC7">
      <w:pPr>
        <w:spacing w:after="120"/>
        <w:rPr>
          <w:i/>
          <w:noProof/>
          <w:lang w:val="en-IE"/>
        </w:rPr>
      </w:pPr>
      <w:r w:rsidRPr="005B4339">
        <w:rPr>
          <w:i/>
          <w:noProof/>
          <w:lang w:val="en-IE"/>
        </w:rPr>
        <w:t>Stakeholder evidence</w:t>
      </w:r>
    </w:p>
    <w:p w14:paraId="45276FAD" w14:textId="4D235813" w:rsidR="009A71FD" w:rsidRPr="005B4339" w:rsidRDefault="0097399A" w:rsidP="00292DC7">
      <w:pPr>
        <w:spacing w:after="120"/>
        <w:rPr>
          <w:noProof/>
          <w:lang w:val="en-IE"/>
        </w:rPr>
      </w:pPr>
      <w:r w:rsidRPr="005B4339">
        <w:rPr>
          <w:noProof/>
          <w:lang w:val="en-IE"/>
        </w:rPr>
        <w:t>In the second textiles stakeholder workshop t</w:t>
      </w:r>
      <w:r w:rsidR="009A71FD" w:rsidRPr="005B4339">
        <w:rPr>
          <w:noProof/>
          <w:lang w:val="en-IE"/>
        </w:rPr>
        <w:t xml:space="preserve">his measure was seen as a useful tool for providing organisational information which could help users design effective collection schemes and create </w:t>
      </w:r>
      <w:r w:rsidR="009A71FD" w:rsidRPr="005B4339">
        <w:rPr>
          <w:noProof/>
          <w:lang w:val="en-IE"/>
        </w:rPr>
        <w:lastRenderedPageBreak/>
        <w:t xml:space="preserve">shared learnings, which can help ‘level the playing field’. </w:t>
      </w:r>
      <w:r w:rsidR="00482FC5" w:rsidRPr="005B4339">
        <w:rPr>
          <w:noProof/>
          <w:lang w:val="en-IE"/>
        </w:rPr>
        <w:t xml:space="preserve">This </w:t>
      </w:r>
      <w:r w:rsidR="009A71FD" w:rsidRPr="005B4339">
        <w:rPr>
          <w:noProof/>
          <w:lang w:val="en-IE"/>
        </w:rPr>
        <w:t xml:space="preserve">was identified as a critical element – along with </w:t>
      </w:r>
      <w:r w:rsidR="0077083C" w:rsidRPr="005B4339">
        <w:rPr>
          <w:noProof/>
          <w:lang w:val="en-IE"/>
        </w:rPr>
        <w:t xml:space="preserve">clearer definitions </w:t>
      </w:r>
      <w:r w:rsidR="00C0632F" w:rsidRPr="005B4339">
        <w:rPr>
          <w:noProof/>
          <w:lang w:val="en-IE"/>
        </w:rPr>
        <w:t xml:space="preserve">(see Measure 1.1) </w:t>
      </w:r>
      <w:r w:rsidR="00E368A2" w:rsidRPr="005B4339">
        <w:rPr>
          <w:noProof/>
          <w:lang w:val="en-IE"/>
        </w:rPr>
        <w:t>and EU wide end-of-waste criteria for textiles –</w:t>
      </w:r>
      <w:r w:rsidR="009A71FD" w:rsidRPr="005B4339">
        <w:rPr>
          <w:noProof/>
          <w:lang w:val="en-IE"/>
        </w:rPr>
        <w:t xml:space="preserve"> in developing a clear framework across member states and it was suggested </w:t>
      </w:r>
      <w:r w:rsidR="004666BE" w:rsidRPr="005B4339">
        <w:rPr>
          <w:noProof/>
          <w:lang w:val="en-IE"/>
        </w:rPr>
        <w:t>during</w:t>
      </w:r>
      <w:r w:rsidR="009A71FD" w:rsidRPr="005B4339">
        <w:rPr>
          <w:noProof/>
          <w:lang w:val="en-IE"/>
        </w:rPr>
        <w:t xml:space="preserve"> the interview that some of the measures be grouped to increase cumulative impact. This could be particularly useful if implemented early, to drive cohesion before individual systems are established.</w:t>
      </w:r>
    </w:p>
    <w:p w14:paraId="14F42B26" w14:textId="231405AB" w:rsidR="009A71FD" w:rsidRPr="005B4339" w:rsidRDefault="32D63BA1" w:rsidP="00292DC7">
      <w:pPr>
        <w:spacing w:after="120"/>
        <w:rPr>
          <w:noProof/>
          <w:lang w:val="en-IE"/>
        </w:rPr>
      </w:pPr>
      <w:r w:rsidRPr="005B4339">
        <w:rPr>
          <w:noProof/>
          <w:lang w:val="en-IE"/>
        </w:rPr>
        <w:t xml:space="preserve">Without a mandate, this measure will not be enough to </w:t>
      </w:r>
      <w:r w:rsidR="00BB3725" w:rsidRPr="005B4339">
        <w:rPr>
          <w:noProof/>
          <w:lang w:val="en-IE"/>
        </w:rPr>
        <w:t>ensure consistency in</w:t>
      </w:r>
      <w:r w:rsidRPr="005B4339">
        <w:rPr>
          <w:noProof/>
          <w:lang w:val="en-IE"/>
        </w:rPr>
        <w:t xml:space="preserve"> EPR systems</w:t>
      </w:r>
      <w:r w:rsidR="00987074" w:rsidRPr="005B4339">
        <w:rPr>
          <w:noProof/>
          <w:lang w:val="en-IE"/>
        </w:rPr>
        <w:t xml:space="preserve"> for textiles</w:t>
      </w:r>
      <w:r w:rsidRPr="005B4339">
        <w:rPr>
          <w:noProof/>
          <w:lang w:val="en-IE"/>
        </w:rPr>
        <w:t xml:space="preserve">, with </w:t>
      </w:r>
      <w:r w:rsidR="004666BE" w:rsidRPr="005B4339">
        <w:rPr>
          <w:noProof/>
          <w:lang w:val="en-IE"/>
        </w:rPr>
        <w:t>Member S</w:t>
      </w:r>
      <w:r w:rsidRPr="005B4339">
        <w:rPr>
          <w:noProof/>
          <w:lang w:val="en-IE"/>
        </w:rPr>
        <w:t>tates likely to</w:t>
      </w:r>
      <w:r w:rsidR="00302CB3" w:rsidRPr="005B4339">
        <w:rPr>
          <w:noProof/>
          <w:lang w:val="en-IE"/>
        </w:rPr>
        <w:t xml:space="preserve"> develop</w:t>
      </w:r>
      <w:r w:rsidRPr="005B4339">
        <w:rPr>
          <w:noProof/>
          <w:lang w:val="en-IE"/>
        </w:rPr>
        <w:t xml:space="preserve"> their own </w:t>
      </w:r>
      <w:r w:rsidR="00302CB3" w:rsidRPr="005B4339">
        <w:rPr>
          <w:noProof/>
          <w:lang w:val="en-IE"/>
        </w:rPr>
        <w:t>potentiall</w:t>
      </w:r>
      <w:r w:rsidR="00713FB9" w:rsidRPr="005B4339">
        <w:rPr>
          <w:noProof/>
          <w:lang w:val="en-IE"/>
        </w:rPr>
        <w:t>y diverging guidance</w:t>
      </w:r>
      <w:r w:rsidRPr="005B4339">
        <w:rPr>
          <w:noProof/>
          <w:lang w:val="en-IE"/>
        </w:rPr>
        <w:t xml:space="preserve">, and organisations historically driven by profit </w:t>
      </w:r>
      <w:r w:rsidR="0097399A" w:rsidRPr="005B4339">
        <w:rPr>
          <w:noProof/>
          <w:lang w:val="en-IE"/>
        </w:rPr>
        <w:t xml:space="preserve">rather </w:t>
      </w:r>
      <w:r w:rsidRPr="005B4339">
        <w:rPr>
          <w:noProof/>
          <w:lang w:val="en-IE"/>
        </w:rPr>
        <w:t>th</w:t>
      </w:r>
      <w:r w:rsidR="0097399A" w:rsidRPr="005B4339">
        <w:rPr>
          <w:noProof/>
          <w:lang w:val="en-IE"/>
        </w:rPr>
        <w:t>a</w:t>
      </w:r>
      <w:r w:rsidRPr="005B4339">
        <w:rPr>
          <w:noProof/>
          <w:lang w:val="en-IE"/>
        </w:rPr>
        <w:t>n environmental impact</w:t>
      </w:r>
      <w:r w:rsidR="0097399A" w:rsidRPr="005B4339">
        <w:rPr>
          <w:noProof/>
          <w:lang w:val="en-IE"/>
        </w:rPr>
        <w:t xml:space="preserve"> dominating </w:t>
      </w:r>
      <w:r w:rsidR="00636A6C" w:rsidRPr="005B4339">
        <w:rPr>
          <w:noProof/>
          <w:lang w:val="en-IE"/>
        </w:rPr>
        <w:t>discussions</w:t>
      </w:r>
      <w:r w:rsidR="009A71FD" w:rsidRPr="005B4339">
        <w:rPr>
          <w:noProof/>
          <w:vertAlign w:val="superscript"/>
          <w:lang w:val="en-IE"/>
        </w:rPr>
        <w:footnoteReference w:id="41"/>
      </w:r>
      <w:r w:rsidRPr="005B4339">
        <w:rPr>
          <w:noProof/>
          <w:lang w:val="en-IE"/>
        </w:rPr>
        <w:t xml:space="preserve">. </w:t>
      </w:r>
      <w:r w:rsidR="00D32E5A" w:rsidRPr="005B4339">
        <w:rPr>
          <w:noProof/>
          <w:lang w:val="en-IE"/>
        </w:rPr>
        <w:t xml:space="preserve">In the absence of guidance and a platform to share information, </w:t>
      </w:r>
      <w:r w:rsidRPr="005B4339">
        <w:rPr>
          <w:noProof/>
          <w:lang w:val="en-IE"/>
        </w:rPr>
        <w:t>there is a risk of substantial administrative burdens</w:t>
      </w:r>
      <w:r w:rsidR="00A91C8B" w:rsidRPr="005B4339">
        <w:rPr>
          <w:noProof/>
          <w:lang w:val="en-IE"/>
        </w:rPr>
        <w:t xml:space="preserve">, </w:t>
      </w:r>
      <w:r w:rsidRPr="005B4339">
        <w:rPr>
          <w:noProof/>
          <w:lang w:val="en-IE"/>
        </w:rPr>
        <w:t xml:space="preserve">particularly </w:t>
      </w:r>
      <w:r w:rsidR="00A91C8B" w:rsidRPr="005B4339">
        <w:rPr>
          <w:noProof/>
          <w:lang w:val="en-IE"/>
        </w:rPr>
        <w:t xml:space="preserve">for </w:t>
      </w:r>
      <w:r w:rsidRPr="005B4339">
        <w:rPr>
          <w:noProof/>
          <w:lang w:val="en-IE"/>
        </w:rPr>
        <w:t>obligated producers</w:t>
      </w:r>
      <w:r w:rsidR="00636A6C" w:rsidRPr="005B4339">
        <w:rPr>
          <w:rStyle w:val="FootnoteReference"/>
          <w:noProof/>
          <w:lang w:val="en-IE"/>
        </w:rPr>
        <w:footnoteReference w:id="42"/>
      </w:r>
      <w:r w:rsidRPr="005B4339">
        <w:rPr>
          <w:noProof/>
          <w:lang w:val="en-IE"/>
        </w:rPr>
        <w:t>. It is important that, to operate efficiently, PROs must collaborate and share policy recommendations with one another as well as with the European Commission to ensure co-ordinated approaches and investment</w:t>
      </w:r>
      <w:r w:rsidR="00636A6C" w:rsidRPr="005B4339">
        <w:rPr>
          <w:rStyle w:val="FootnoteReference"/>
          <w:noProof/>
          <w:lang w:val="en-IE"/>
        </w:rPr>
        <w:footnoteReference w:id="43"/>
      </w:r>
      <w:r w:rsidRPr="005B4339">
        <w:rPr>
          <w:noProof/>
          <w:lang w:val="en-IE"/>
        </w:rPr>
        <w:t>.</w:t>
      </w:r>
    </w:p>
    <w:p w14:paraId="76280879" w14:textId="3C5B4057" w:rsidR="009A71FD" w:rsidRPr="005B4339" w:rsidRDefault="32D63BA1" w:rsidP="00292DC7">
      <w:pPr>
        <w:spacing w:after="120"/>
        <w:rPr>
          <w:noProof/>
          <w:lang w:val="en-IE"/>
        </w:rPr>
      </w:pPr>
      <w:r w:rsidRPr="005B4339">
        <w:rPr>
          <w:noProof/>
          <w:lang w:val="en-IE"/>
        </w:rPr>
        <w:t>Where different systems operate, there is likely to be a lack of incentive for investment in R&amp;D since fragmented policies would lead to inefficiencies</w:t>
      </w:r>
      <w:r w:rsidR="00936896" w:rsidRPr="005B4339">
        <w:rPr>
          <w:rStyle w:val="FootnoteReference"/>
          <w:noProof/>
          <w:lang w:val="en-IE"/>
        </w:rPr>
        <w:footnoteReference w:id="44"/>
      </w:r>
      <w:r w:rsidRPr="005B4339">
        <w:rPr>
          <w:noProof/>
          <w:lang w:val="en-IE"/>
        </w:rPr>
        <w:t>. Non-harmonisation is also likely to have cost, time and labour implications as different reporting and fee systems overlap across boundaries</w:t>
      </w:r>
      <w:r w:rsidR="00334175" w:rsidRPr="005B4339">
        <w:rPr>
          <w:rStyle w:val="FootnoteReference"/>
          <w:noProof/>
          <w:lang w:val="en-IE"/>
        </w:rPr>
        <w:footnoteReference w:id="45"/>
      </w:r>
      <w:r w:rsidRPr="005B4339">
        <w:rPr>
          <w:noProof/>
          <w:lang w:val="en-IE"/>
        </w:rPr>
        <w:t xml:space="preserve">. </w:t>
      </w:r>
      <w:r w:rsidR="005A03A2" w:rsidRPr="005B4339">
        <w:rPr>
          <w:noProof/>
          <w:lang w:val="en-IE"/>
        </w:rPr>
        <w:t xml:space="preserve">Clarifying definitions, developing guidance and the sharing of stakeholder experience and EU wide end-of-waste criteria for textiles, when combined, </w:t>
      </w:r>
      <w:r w:rsidRPr="005B4339">
        <w:rPr>
          <w:noProof/>
          <w:lang w:val="en-IE"/>
        </w:rPr>
        <w:t xml:space="preserve">could drive simplification and harmonisation which would simplify shipping and exporting and potentially </w:t>
      </w:r>
      <w:r w:rsidR="00936896" w:rsidRPr="005B4339">
        <w:rPr>
          <w:noProof/>
          <w:lang w:val="en-IE"/>
        </w:rPr>
        <w:t>encourage</w:t>
      </w:r>
      <w:r w:rsidRPr="005B4339">
        <w:rPr>
          <w:noProof/>
          <w:lang w:val="en-IE"/>
        </w:rPr>
        <w:t xml:space="preserve"> investment</w:t>
      </w:r>
      <w:r w:rsidR="009A71FD" w:rsidRPr="005B4339">
        <w:rPr>
          <w:noProof/>
          <w:vertAlign w:val="superscript"/>
          <w:lang w:val="en-IE"/>
        </w:rPr>
        <w:footnoteReference w:id="46"/>
      </w:r>
      <w:r w:rsidRPr="005B4339">
        <w:rPr>
          <w:noProof/>
          <w:lang w:val="en-IE"/>
        </w:rPr>
        <w:t xml:space="preserve">. </w:t>
      </w:r>
    </w:p>
    <w:p w14:paraId="78DA0895" w14:textId="7BD26329" w:rsidR="009A71FD" w:rsidRPr="005B4339" w:rsidRDefault="32D63BA1" w:rsidP="009A71FD">
      <w:pPr>
        <w:rPr>
          <w:noProof/>
          <w:lang w:val="en-IE"/>
        </w:rPr>
      </w:pPr>
      <w:r w:rsidRPr="005B4339">
        <w:rPr>
          <w:noProof/>
          <w:lang w:val="en-IE"/>
        </w:rPr>
        <w:t xml:space="preserve">To avoid competition </w:t>
      </w:r>
      <w:r w:rsidR="00936896" w:rsidRPr="005B4339">
        <w:rPr>
          <w:noProof/>
          <w:lang w:val="en-IE"/>
        </w:rPr>
        <w:t>between</w:t>
      </w:r>
      <w:r w:rsidR="00C033B8" w:rsidRPr="005B4339">
        <w:rPr>
          <w:noProof/>
          <w:lang w:val="en-IE"/>
        </w:rPr>
        <w:t xml:space="preserve"> the</w:t>
      </w:r>
      <w:r w:rsidR="00936896" w:rsidRPr="005B4339">
        <w:rPr>
          <w:noProof/>
          <w:lang w:val="en-IE"/>
        </w:rPr>
        <w:t xml:space="preserve"> </w:t>
      </w:r>
      <w:r w:rsidR="00D96247" w:rsidRPr="005B4339">
        <w:rPr>
          <w:noProof/>
          <w:lang w:val="en-IE"/>
        </w:rPr>
        <w:t>reuse</w:t>
      </w:r>
      <w:r w:rsidRPr="005B4339">
        <w:rPr>
          <w:noProof/>
          <w:lang w:val="en-IE"/>
        </w:rPr>
        <w:t xml:space="preserve"> and preparing for </w:t>
      </w:r>
      <w:r w:rsidR="00D96247" w:rsidRPr="005B4339">
        <w:rPr>
          <w:noProof/>
          <w:lang w:val="en-IE"/>
        </w:rPr>
        <w:t>reuse</w:t>
      </w:r>
      <w:r w:rsidRPr="005B4339">
        <w:rPr>
          <w:noProof/>
          <w:lang w:val="en-IE"/>
        </w:rPr>
        <w:t xml:space="preserve"> sectors, </w:t>
      </w:r>
      <w:r w:rsidR="004178E0" w:rsidRPr="005B4339">
        <w:rPr>
          <w:noProof/>
          <w:lang w:val="en-IE"/>
        </w:rPr>
        <w:t xml:space="preserve">several stakeholders requested </w:t>
      </w:r>
      <w:r w:rsidR="00F648CE" w:rsidRPr="005B4339">
        <w:rPr>
          <w:noProof/>
          <w:lang w:val="en-IE"/>
        </w:rPr>
        <w:t xml:space="preserve">that </w:t>
      </w:r>
      <w:r w:rsidRPr="005B4339">
        <w:rPr>
          <w:noProof/>
          <w:lang w:val="en-IE"/>
        </w:rPr>
        <w:t>an impact assessment must be carried out in the development of EPR schemes to identify measures to avoid the two competing</w:t>
      </w:r>
      <w:r w:rsidR="00384B58" w:rsidRPr="005B4339">
        <w:rPr>
          <w:noProof/>
          <w:lang w:val="en-IE"/>
        </w:rPr>
        <w:t>.</w:t>
      </w:r>
      <w:r w:rsidRPr="005B4339">
        <w:rPr>
          <w:noProof/>
          <w:lang w:val="en-IE"/>
        </w:rPr>
        <w:t xml:space="preserve"> This was raised within the interviews, </w:t>
      </w:r>
      <w:r w:rsidR="001420E8" w:rsidRPr="005B4339">
        <w:rPr>
          <w:noProof/>
          <w:lang w:val="en-IE"/>
        </w:rPr>
        <w:t xml:space="preserve">during which stakeholders </w:t>
      </w:r>
      <w:r w:rsidRPr="005B4339">
        <w:rPr>
          <w:noProof/>
          <w:lang w:val="en-IE"/>
        </w:rPr>
        <w:t>outlin</w:t>
      </w:r>
      <w:r w:rsidR="001420E8" w:rsidRPr="005B4339">
        <w:rPr>
          <w:noProof/>
          <w:lang w:val="en-IE"/>
        </w:rPr>
        <w:t>ed</w:t>
      </w:r>
      <w:r w:rsidRPr="005B4339">
        <w:rPr>
          <w:noProof/>
          <w:lang w:val="en-IE"/>
        </w:rPr>
        <w:t xml:space="preserve"> that different </w:t>
      </w:r>
      <w:r w:rsidR="0007312C" w:rsidRPr="005B4339">
        <w:rPr>
          <w:noProof/>
          <w:lang w:val="en-IE"/>
        </w:rPr>
        <w:t>EPR</w:t>
      </w:r>
      <w:r w:rsidRPr="005B4339">
        <w:rPr>
          <w:noProof/>
          <w:lang w:val="en-IE"/>
        </w:rPr>
        <w:t xml:space="preserve"> systems across the EU would struggle to drive economies of scale needed for recycled content</w:t>
      </w:r>
      <w:r w:rsidR="009A71FD" w:rsidRPr="005B4339">
        <w:rPr>
          <w:noProof/>
          <w:vertAlign w:val="superscript"/>
          <w:lang w:val="en-IE"/>
        </w:rPr>
        <w:footnoteReference w:id="47"/>
      </w:r>
      <w:r w:rsidRPr="005B4339">
        <w:rPr>
          <w:noProof/>
          <w:lang w:val="en-IE"/>
        </w:rPr>
        <w:t>.</w:t>
      </w:r>
    </w:p>
    <w:p w14:paraId="6A46C76A" w14:textId="1C4DC08A" w:rsidR="00994DC8" w:rsidRPr="005B4339" w:rsidRDefault="00994DC8" w:rsidP="009A71FD">
      <w:pPr>
        <w:rPr>
          <w:noProof/>
          <w:lang w:val="en-IE"/>
        </w:rPr>
      </w:pPr>
      <w:bookmarkStart w:id="77" w:name="_Toc133229470"/>
      <w:bookmarkStart w:id="78" w:name="_Toc139032024"/>
      <w:r w:rsidRPr="005B4339">
        <w:rPr>
          <w:i/>
          <w:noProof/>
          <w:lang w:val="en-IE"/>
        </w:rPr>
        <w:t xml:space="preserve">Table </w:t>
      </w:r>
      <w:r w:rsidR="00393DFA">
        <w:rPr>
          <w:i/>
          <w:iCs/>
          <w:noProof/>
        </w:rPr>
        <w:t>8</w:t>
      </w:r>
      <w:r w:rsidRPr="005B4339">
        <w:rPr>
          <w:i/>
          <w:noProof/>
          <w:lang w:val="en-IE"/>
        </w:rPr>
        <w:t xml:space="preserve"> : Summary of impacts for measure 1.3</w:t>
      </w:r>
      <w:bookmarkEnd w:id="77"/>
      <w:bookmarkEnd w:id="78"/>
    </w:p>
    <w:tbl>
      <w:tblPr>
        <w:tblStyle w:val="PlainTable1"/>
        <w:tblW w:w="9268" w:type="dxa"/>
        <w:tblLook w:val="04A0" w:firstRow="1" w:lastRow="0" w:firstColumn="1" w:lastColumn="0" w:noHBand="0" w:noVBand="1"/>
      </w:tblPr>
      <w:tblGrid>
        <w:gridCol w:w="2547"/>
        <w:gridCol w:w="2268"/>
        <w:gridCol w:w="2268"/>
        <w:gridCol w:w="2185"/>
      </w:tblGrid>
      <w:tr w:rsidR="009C1989" w:rsidRPr="005B4339" w14:paraId="6FBA37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2656F9" w14:textId="77777777" w:rsidR="009C1989" w:rsidRPr="005B4339" w:rsidRDefault="009C1989">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E35EA3"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B244F7"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0CA8F3"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9C1989" w:rsidRPr="005B4339" w14:paraId="1AC73A40" w14:textId="7777777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555B49" w14:textId="77777777" w:rsidR="009C1989" w:rsidRPr="005B4339" w:rsidRDefault="009C1989">
            <w:pPr>
              <w:jc w:val="left"/>
              <w:rPr>
                <w:noProof/>
                <w:lang w:val="en-IE"/>
              </w:rPr>
            </w:pPr>
            <w:r w:rsidRPr="005B4339">
              <w:rPr>
                <w:noProof/>
                <w:lang w:val="en-IE"/>
              </w:rPr>
              <w:lastRenderedPageBreak/>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80205" w14:textId="4C9EE277" w:rsidR="009C1989" w:rsidRPr="005B4339" w:rsidRDefault="00BA433B">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imply resourcing and related costs to develop a guidance document on best practices for EPR, as well as wider textile waste management techniques. The operation of a stakeholder platform would also carry some administrative burden.</w:t>
            </w:r>
            <w:r w:rsidR="00C92DFA" w:rsidRPr="005B4339">
              <w:rPr>
                <w:noProof/>
                <w:lang w:val="en-IE"/>
              </w:rPr>
              <w:t xml:space="preserve"> A cost of 135 000 euro per piece of guidance developed would apply.</w:t>
            </w:r>
          </w:p>
          <w:p w14:paraId="64F1A1CC" w14:textId="77777777" w:rsidR="00BA433B" w:rsidRPr="005B4339" w:rsidRDefault="00BA433B">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It would reduce costs related waste disposal because it would encourage sustainable production practices.</w:t>
            </w:r>
          </w:p>
          <w:p w14:paraId="029BC4FB" w14:textId="337B60C6" w:rsidR="009C1989" w:rsidRPr="005B4339" w:rsidRDefault="00BA433B">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improve knowledge thanks to sharing best practices and development of guidance documents.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09346" w14:textId="77777777" w:rsidR="009C1989" w:rsidRPr="005B4339" w:rsidRDefault="009C1989">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E9FDA" w14:textId="2F2861E5" w:rsidR="009C1989" w:rsidRPr="005B4339" w:rsidRDefault="009C1989">
            <w:pPr>
              <w:cnfStyle w:val="000000100000" w:firstRow="0" w:lastRow="0" w:firstColumn="0" w:lastColumn="0" w:oddVBand="0" w:evenVBand="0" w:oddHBand="1" w:evenHBand="0" w:firstRowFirstColumn="0" w:firstRowLastColumn="0" w:lastRowFirstColumn="0" w:lastRowLastColumn="0"/>
              <w:rPr>
                <w:b/>
                <w:noProof/>
                <w:lang w:val="en-IE"/>
              </w:rPr>
            </w:pPr>
          </w:p>
        </w:tc>
      </w:tr>
      <w:tr w:rsidR="009C1989" w:rsidRPr="005B4339" w14:paraId="5196AB4E"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962493" w14:textId="77777777" w:rsidR="009C1989" w:rsidRPr="005B4339" w:rsidRDefault="009C1989">
            <w:pPr>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05FD2E" w14:textId="77777777" w:rsidR="009C1989" w:rsidRPr="005B4339" w:rsidRDefault="009C1989">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49E0E" w14:textId="0F196D44" w:rsidR="007D2A34" w:rsidRPr="005B4339" w:rsidRDefault="007D2A34" w:rsidP="006554B6">
            <w:pPr>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This measure would help reaching climate neutrality targets and help improving air, soil, and water quality.</w:t>
            </w:r>
          </w:p>
          <w:p w14:paraId="0CCECF7D" w14:textId="5D817D41" w:rsidR="009C1989" w:rsidRPr="005B4339" w:rsidRDefault="007D2A34">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 xml:space="preserve">This measure would indirectly lead to more sustainable </w:t>
            </w:r>
            <w:r w:rsidRPr="005B4339">
              <w:rPr>
                <w:noProof/>
                <w:lang w:val="en-IE"/>
              </w:rPr>
              <w:lastRenderedPageBreak/>
              <w:t>production and consumption patterns through the increased know-how.</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FAB8F6" w14:textId="7E7AFD16" w:rsidR="009C1989" w:rsidRPr="005B4339" w:rsidRDefault="007D2A34">
            <w:pPr>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lastRenderedPageBreak/>
              <w:t>The sharing of best practice for those parts of the textile management stream that have been identified as particularly challenged e.g.</w:t>
            </w:r>
            <w:r w:rsidR="00DC3E00" w:rsidRPr="005B4339">
              <w:rPr>
                <w:noProof/>
                <w:lang w:val="en-IE"/>
              </w:rPr>
              <w:t>,</w:t>
            </w:r>
            <w:r w:rsidRPr="005B4339">
              <w:rPr>
                <w:noProof/>
                <w:lang w:val="en-IE"/>
              </w:rPr>
              <w:t xml:space="preserve"> repair and reuse </w:t>
            </w:r>
            <w:r w:rsidRPr="005B4339">
              <w:rPr>
                <w:noProof/>
                <w:lang w:val="en-IE"/>
              </w:rPr>
              <w:lastRenderedPageBreak/>
              <w:t>could assist in stimulating employment in the activities concerned through the sharing of best practice.</w:t>
            </w:r>
          </w:p>
        </w:tc>
      </w:tr>
    </w:tbl>
    <w:p w14:paraId="71BEEBB7" w14:textId="77777777" w:rsidR="00FA7D51" w:rsidRPr="005B4339" w:rsidRDefault="00FA7D51" w:rsidP="00FA7D51">
      <w:pPr>
        <w:rPr>
          <w:b/>
          <w:noProof/>
          <w:lang w:val="en-IE"/>
        </w:rPr>
      </w:pPr>
      <w:r w:rsidRPr="005B4339">
        <w:rPr>
          <w:b/>
          <w:noProof/>
          <w:lang w:val="en-IE"/>
        </w:rPr>
        <w:lastRenderedPageBreak/>
        <w:t xml:space="preserve">Impacts on competitiveness </w:t>
      </w:r>
    </w:p>
    <w:p w14:paraId="4465C696" w14:textId="77777777" w:rsidR="00FA7D51" w:rsidRPr="005B4339" w:rsidRDefault="00FA7D51" w:rsidP="00FA7D51">
      <w:pPr>
        <w:rPr>
          <w:noProof/>
          <w:lang w:val="en-IE"/>
        </w:rPr>
      </w:pPr>
      <w:r w:rsidRPr="005B4339">
        <w:rPr>
          <w:noProof/>
          <w:lang w:val="en-IE"/>
        </w:rPr>
        <w:t>The following impacts on competitiveness have been assessed under this measure.</w:t>
      </w:r>
    </w:p>
    <w:p w14:paraId="380C5608" w14:textId="4F4757DD" w:rsidR="00FA7D51" w:rsidRPr="005B4339" w:rsidRDefault="00FA7D51" w:rsidP="00FA7D51">
      <w:pPr>
        <w:rPr>
          <w:i/>
          <w:noProof/>
          <w:lang w:val="en-IE"/>
        </w:rPr>
      </w:pPr>
      <w:bookmarkStart w:id="79" w:name="_Toc133229471"/>
      <w:bookmarkStart w:id="80" w:name="_Toc139032025"/>
      <w:r w:rsidRPr="005B4339">
        <w:rPr>
          <w:i/>
          <w:noProof/>
          <w:lang w:val="en-IE"/>
        </w:rPr>
        <w:t xml:space="preserve">Table </w:t>
      </w:r>
      <w:r w:rsidR="00393DFA">
        <w:rPr>
          <w:i/>
          <w:iCs/>
          <w:noProof/>
        </w:rPr>
        <w:t>9</w:t>
      </w:r>
      <w:r w:rsidRPr="005B4339">
        <w:rPr>
          <w:i/>
          <w:noProof/>
          <w:lang w:val="en-IE"/>
        </w:rPr>
        <w:t xml:space="preserve"> - impacts on competitiveness of measure 1.3</w:t>
      </w:r>
      <w:bookmarkEnd w:id="79"/>
      <w:bookmarkEnd w:id="80"/>
    </w:p>
    <w:tbl>
      <w:tblPr>
        <w:tblStyle w:val="TableGrid"/>
        <w:tblW w:w="0" w:type="auto"/>
        <w:tblLook w:val="04A0" w:firstRow="1" w:lastRow="0" w:firstColumn="1" w:lastColumn="0" w:noHBand="0" w:noVBand="1"/>
      </w:tblPr>
      <w:tblGrid>
        <w:gridCol w:w="2400"/>
        <w:gridCol w:w="7176"/>
      </w:tblGrid>
      <w:tr w:rsidR="00FA7D51" w:rsidRPr="005B4339" w14:paraId="56890A1F" w14:textId="77777777">
        <w:tc>
          <w:tcPr>
            <w:tcW w:w="2405" w:type="dxa"/>
          </w:tcPr>
          <w:p w14:paraId="0F80531E"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49016B95"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Impacts of price competitiveness are linked to the possible increases in collection, sorting and treatment as described under economic impacts above.  In this respect, those Member States that currently collect a small share of textile wastes and have little capacity for sorting and treatment would be most likely impacted with costs falling on the waste management sectors in each of those Member States accordingly.  This would particularly impact BG, CY, CZ, EE, EL, ES, HR, HU, LV, PL, PT, RO, SI and SK.</w:t>
            </w:r>
          </w:p>
        </w:tc>
      </w:tr>
      <w:tr w:rsidR="00FA7D51" w:rsidRPr="005B4339" w14:paraId="6C1054BD" w14:textId="77777777">
        <w:tc>
          <w:tcPr>
            <w:tcW w:w="2405" w:type="dxa"/>
          </w:tcPr>
          <w:p w14:paraId="62561CAE"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1C971BC0"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has the potential to share best practices and improve research and development in a coordinated manner by bringing information and Member States together to discuss the practices and processes applied and in development.  The measure is also likely to incentivise the repair and reuse market in Member States as one aspect of waste prevention that may be applied by Member States and addressed under this measure.  </w:t>
            </w:r>
          </w:p>
        </w:tc>
      </w:tr>
      <w:tr w:rsidR="00FA7D51" w:rsidRPr="005B4339" w14:paraId="11852678" w14:textId="77777777">
        <w:tc>
          <w:tcPr>
            <w:tcW w:w="2405" w:type="dxa"/>
          </w:tcPr>
          <w:p w14:paraId="498FB525"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2925283B"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Waste prevention measures are likely to reduce the volumes of used textiles exported from the EU to third countries.  This would potentially reduce the incomes of used textile exporters within the EU as whole due to the reduced volumes available to market.</w:t>
            </w:r>
          </w:p>
        </w:tc>
      </w:tr>
      <w:tr w:rsidR="00FA7D51" w:rsidRPr="005B4339" w14:paraId="03656714" w14:textId="77777777">
        <w:tc>
          <w:tcPr>
            <w:tcW w:w="2405" w:type="dxa"/>
          </w:tcPr>
          <w:p w14:paraId="3C218490"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7223" w:type="dxa"/>
          </w:tcPr>
          <w:p w14:paraId="6CE76047" w14:textId="77777777" w:rsidR="00FA7D51" w:rsidRPr="005B4339" w:rsidRDefault="00FA7D51">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offers the opportunity to reduce the need for imports of textiles in the future as greater reuse and repair within the EU replaces the need for new textile goods to be purchased and improvements in recycling reduce the need for imports of virgin textile materials – in particular natural fibres for which the EU relies heavily on third country imports.  </w:t>
            </w:r>
          </w:p>
        </w:tc>
      </w:tr>
    </w:tbl>
    <w:p w14:paraId="7E1A3E5E" w14:textId="089383CC" w:rsidR="009F116A" w:rsidRPr="005B4339" w:rsidRDefault="009F116A" w:rsidP="120853A8">
      <w:pPr>
        <w:spacing w:after="200"/>
        <w:rPr>
          <w:b/>
          <w:noProof/>
          <w:lang w:val="en-IE"/>
        </w:rPr>
      </w:pPr>
    </w:p>
    <w:p w14:paraId="4CE1783D" w14:textId="72807308" w:rsidR="00586F22" w:rsidRPr="005B4339" w:rsidRDefault="009F116A" w:rsidP="06444FF2">
      <w:pPr>
        <w:pStyle w:val="Heading2"/>
        <w:ind w:left="480" w:firstLine="0"/>
        <w:rPr>
          <w:b w:val="0"/>
          <w:noProof/>
          <w:lang w:val="en-IE"/>
        </w:rPr>
      </w:pPr>
      <w:bookmarkStart w:id="81" w:name="_Toc124777320"/>
      <w:bookmarkStart w:id="82" w:name="_Toc1969487965"/>
      <w:bookmarkStart w:id="83" w:name="_Toc131584409"/>
      <w:bookmarkStart w:id="84" w:name="_Toc1888678217"/>
      <w:bookmarkStart w:id="85" w:name="_Toc869366953"/>
      <w:bookmarkStart w:id="86" w:name="_Toc965802644"/>
      <w:bookmarkStart w:id="87" w:name="_Toc569713930"/>
      <w:bookmarkStart w:id="88" w:name="_Toc1346566043"/>
      <w:bookmarkStart w:id="89" w:name="_Toc843340611"/>
      <w:bookmarkStart w:id="90" w:name="_Toc139032092"/>
      <w:r w:rsidRPr="005B4339">
        <w:rPr>
          <w:noProof/>
          <w:lang w:val="en-IE"/>
        </w:rPr>
        <w:lastRenderedPageBreak/>
        <w:t xml:space="preserve">Option </w:t>
      </w:r>
      <w:r w:rsidR="00E76464" w:rsidRPr="005B4339">
        <w:rPr>
          <w:noProof/>
          <w:lang w:val="en-IE"/>
        </w:rPr>
        <w:t>2</w:t>
      </w:r>
      <w:r w:rsidRPr="005B4339">
        <w:rPr>
          <w:noProof/>
          <w:lang w:val="en-IE"/>
        </w:rPr>
        <w:t xml:space="preserve">: </w:t>
      </w:r>
      <w:bookmarkEnd w:id="81"/>
      <w:r w:rsidR="00471FA0" w:rsidRPr="005B4339">
        <w:rPr>
          <w:noProof/>
          <w:lang w:val="en-IE"/>
        </w:rPr>
        <w:t>Setting</w:t>
      </w:r>
      <w:r w:rsidR="006E5945" w:rsidRPr="005B4339">
        <w:rPr>
          <w:noProof/>
          <w:lang w:val="en-IE"/>
        </w:rPr>
        <w:t xml:space="preserve"> additional </w:t>
      </w:r>
      <w:r w:rsidR="00471FA0" w:rsidRPr="005B4339">
        <w:rPr>
          <w:noProof/>
          <w:lang w:val="en-IE"/>
        </w:rPr>
        <w:t>regulatory requirements</w:t>
      </w:r>
      <w:r w:rsidR="00660569" w:rsidRPr="005B4339">
        <w:rPr>
          <w:noProof/>
          <w:lang w:val="en-IE"/>
        </w:rPr>
        <w:t xml:space="preserve"> to improve performance</w:t>
      </w:r>
      <w:bookmarkStart w:id="91" w:name="_Toc124777321"/>
      <w:bookmarkStart w:id="92" w:name="_Toc120782618"/>
      <w:bookmarkEnd w:id="82"/>
      <w:bookmarkEnd w:id="83"/>
      <w:bookmarkEnd w:id="84"/>
      <w:bookmarkEnd w:id="85"/>
      <w:bookmarkEnd w:id="86"/>
      <w:bookmarkEnd w:id="87"/>
      <w:bookmarkEnd w:id="88"/>
      <w:bookmarkEnd w:id="89"/>
      <w:bookmarkEnd w:id="90"/>
    </w:p>
    <w:p w14:paraId="0415E925" w14:textId="14D58D5B" w:rsidR="00A15BCA" w:rsidRPr="005B4339" w:rsidRDefault="00A15BCA" w:rsidP="00C915FD">
      <w:pPr>
        <w:pStyle w:val="Heading3"/>
        <w:spacing w:after="120"/>
        <w:rPr>
          <w:noProof/>
          <w:lang w:val="en-IE"/>
        </w:rPr>
      </w:pPr>
      <w:bookmarkStart w:id="93" w:name="_Toc1988637778"/>
      <w:bookmarkStart w:id="94" w:name="_Toc1243437557"/>
      <w:bookmarkStart w:id="95" w:name="_Toc988987675"/>
      <w:bookmarkStart w:id="96" w:name="_Toc404837723"/>
      <w:bookmarkStart w:id="97" w:name="_Toc1918232084"/>
      <w:bookmarkStart w:id="98" w:name="_Toc1976862617"/>
      <w:bookmarkStart w:id="99" w:name="_Toc855930532"/>
      <w:bookmarkStart w:id="100" w:name="_Toc139032093"/>
      <w:r w:rsidRPr="005B4339">
        <w:rPr>
          <w:noProof/>
          <w:lang w:val="en-IE"/>
        </w:rPr>
        <w:t>Measure 2.</w:t>
      </w:r>
      <w:r w:rsidR="7D2E78C2" w:rsidRPr="005B4339">
        <w:rPr>
          <w:noProof/>
          <w:lang w:val="en-IE"/>
        </w:rPr>
        <w:t>5</w:t>
      </w:r>
      <w:r w:rsidRPr="005B4339">
        <w:rPr>
          <w:noProof/>
          <w:lang w:val="en-IE"/>
        </w:rPr>
        <w:t xml:space="preserve"> – Setting sorting obligations for separately collected textiles and textiles waste</w:t>
      </w:r>
      <w:bookmarkEnd w:id="91"/>
      <w:bookmarkEnd w:id="92"/>
      <w:bookmarkEnd w:id="93"/>
      <w:bookmarkEnd w:id="94"/>
      <w:bookmarkEnd w:id="95"/>
      <w:bookmarkEnd w:id="96"/>
      <w:bookmarkEnd w:id="97"/>
      <w:bookmarkEnd w:id="98"/>
      <w:bookmarkEnd w:id="99"/>
      <w:bookmarkEnd w:id="100"/>
    </w:p>
    <w:p w14:paraId="266C94C4" w14:textId="0C390665" w:rsidR="009F116A" w:rsidRPr="005B4339" w:rsidRDefault="008465DD" w:rsidP="00FA5B61">
      <w:pPr>
        <w:pStyle w:val="WDBody"/>
        <w:spacing w:line="240" w:lineRule="auto"/>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Assessment of impact Measure 2.</w:t>
      </w:r>
      <w:r w:rsidR="6F71310E" w:rsidRPr="005B4339">
        <w:rPr>
          <w:rFonts w:ascii="Times New Roman" w:hAnsi="Times New Roman" w:cs="Times New Roman"/>
          <w:b/>
          <w:noProof/>
          <w:sz w:val="24"/>
          <w:szCs w:val="24"/>
          <w:lang w:val="en-IE"/>
        </w:rPr>
        <w:t>5</w:t>
      </w:r>
    </w:p>
    <w:p w14:paraId="0564810A" w14:textId="77777777" w:rsidR="008465DD" w:rsidRPr="005B4339" w:rsidRDefault="008465DD" w:rsidP="009F1CEF">
      <w:pPr>
        <w:spacing w:after="120"/>
        <w:rPr>
          <w:b/>
          <w:noProof/>
          <w:lang w:val="en-IE"/>
        </w:rPr>
      </w:pPr>
      <w:r w:rsidRPr="005B4339">
        <w:rPr>
          <w:b/>
          <w:noProof/>
          <w:lang w:val="en-IE"/>
        </w:rPr>
        <w:t>Economic impacts</w:t>
      </w:r>
    </w:p>
    <w:p w14:paraId="7BB700F8" w14:textId="64599985" w:rsidR="008465DD" w:rsidRPr="005B4339" w:rsidRDefault="008465DD" w:rsidP="00F305EB">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Additional sorting would ensure that greater volumes of textiles are </w:t>
      </w:r>
      <w:r w:rsidR="59B84214" w:rsidRPr="005B4339">
        <w:rPr>
          <w:rFonts w:ascii="Times New Roman" w:hAnsi="Times New Roman" w:cs="Times New Roman"/>
          <w:noProof/>
          <w:sz w:val="24"/>
          <w:szCs w:val="24"/>
          <w:lang w:val="en-IE"/>
        </w:rPr>
        <w:t>removed from the mixed waste stream and processed</w:t>
      </w:r>
      <w:r w:rsidRPr="005B4339">
        <w:rPr>
          <w:rFonts w:ascii="Times New Roman" w:hAnsi="Times New Roman" w:cs="Times New Roman"/>
          <w:noProof/>
          <w:sz w:val="24"/>
          <w:szCs w:val="24"/>
          <w:lang w:val="en-IE"/>
        </w:rPr>
        <w:t xml:space="preserve"> for reuse and recycling for either onward sale within the EU or export for sale to third countries in the case of reuse or as feedstock for textile recycling.</w:t>
      </w:r>
    </w:p>
    <w:p w14:paraId="42332330" w14:textId="3E7DD986" w:rsidR="008465DD" w:rsidRPr="005B4339" w:rsidRDefault="008465DD" w:rsidP="00F305EB">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According to current baseline predictions approximately 1.</w:t>
      </w:r>
      <w:r w:rsidR="00315CBD" w:rsidRPr="005B4339">
        <w:rPr>
          <w:rFonts w:ascii="Times New Roman" w:hAnsi="Times New Roman" w:cs="Times New Roman"/>
          <w:noProof/>
          <w:sz w:val="24"/>
          <w:szCs w:val="24"/>
          <w:lang w:val="en-IE"/>
        </w:rPr>
        <w:t xml:space="preserve">879 </w:t>
      </w:r>
      <w:r w:rsidRPr="005B4339">
        <w:rPr>
          <w:rFonts w:ascii="Times New Roman" w:hAnsi="Times New Roman" w:cs="Times New Roman"/>
          <w:noProof/>
          <w:sz w:val="24"/>
          <w:szCs w:val="24"/>
          <w:lang w:val="en-IE"/>
        </w:rPr>
        <w:t xml:space="preserve">million tonnes of additional </w:t>
      </w:r>
      <w:r w:rsidR="000B6C09" w:rsidRPr="005B4339">
        <w:rPr>
          <w:rFonts w:ascii="Times New Roman" w:hAnsi="Times New Roman" w:cs="Times New Roman"/>
          <w:noProof/>
          <w:sz w:val="24"/>
          <w:szCs w:val="24"/>
          <w:lang w:val="en-IE"/>
        </w:rPr>
        <w:t xml:space="preserve">textile </w:t>
      </w:r>
      <w:r w:rsidRPr="005B4339">
        <w:rPr>
          <w:rFonts w:ascii="Times New Roman" w:hAnsi="Times New Roman" w:cs="Times New Roman"/>
          <w:noProof/>
          <w:sz w:val="24"/>
          <w:szCs w:val="24"/>
          <w:lang w:val="en-IE"/>
        </w:rPr>
        <w:t xml:space="preserve">sorting would be undertaken within the EU by 2035 </w:t>
      </w:r>
      <w:r w:rsidR="00315CBD" w:rsidRPr="005B4339">
        <w:rPr>
          <w:rFonts w:ascii="Times New Roman" w:hAnsi="Times New Roman" w:cs="Times New Roman"/>
          <w:noProof/>
          <w:sz w:val="24"/>
          <w:szCs w:val="24"/>
          <w:lang w:val="en-IE"/>
        </w:rPr>
        <w:t xml:space="preserve">encompassing both the envisaged growth in separate collection of 1.4 </w:t>
      </w:r>
      <w:r w:rsidR="00C06390" w:rsidRPr="005B4339">
        <w:rPr>
          <w:rFonts w:ascii="Times New Roman" w:hAnsi="Times New Roman" w:cs="Times New Roman"/>
          <w:noProof/>
          <w:sz w:val="24"/>
          <w:szCs w:val="24"/>
          <w:lang w:val="en-IE"/>
        </w:rPr>
        <w:t>m</w:t>
      </w:r>
      <w:r w:rsidR="00315CBD" w:rsidRPr="005B4339">
        <w:rPr>
          <w:rFonts w:ascii="Times New Roman" w:hAnsi="Times New Roman" w:cs="Times New Roman"/>
          <w:noProof/>
          <w:sz w:val="24"/>
          <w:szCs w:val="24"/>
          <w:lang w:val="en-IE"/>
        </w:rPr>
        <w:t>illion tonnes as well as the approximately 475 000 tonnes of textiles sorting that is currently undertaken in third countries</w:t>
      </w:r>
      <w:r w:rsidR="00621163" w:rsidRPr="005B4339">
        <w:rPr>
          <w:rFonts w:ascii="Times New Roman" w:hAnsi="Times New Roman" w:cs="Times New Roman"/>
          <w:noProof/>
          <w:sz w:val="24"/>
          <w:szCs w:val="24"/>
          <w:lang w:val="en-IE"/>
        </w:rPr>
        <w:t xml:space="preserve"> and that is expected would</w:t>
      </w:r>
      <w:r w:rsidR="00F813E4" w:rsidRPr="005B4339">
        <w:rPr>
          <w:rFonts w:ascii="Times New Roman" w:hAnsi="Times New Roman" w:cs="Times New Roman"/>
          <w:noProof/>
          <w:sz w:val="24"/>
          <w:szCs w:val="24"/>
          <w:lang w:val="en-IE"/>
        </w:rPr>
        <w:t xml:space="preserve"> take place within the EU under this measure</w:t>
      </w:r>
      <w:r w:rsidR="00315CBD" w:rsidRPr="005B4339">
        <w:rPr>
          <w:rFonts w:ascii="Times New Roman" w:hAnsi="Times New Roman" w:cs="Times New Roman"/>
          <w:noProof/>
          <w:sz w:val="24"/>
          <w:szCs w:val="24"/>
          <w:lang w:val="en-IE"/>
        </w:rPr>
        <w:t>. This</w:t>
      </w:r>
      <w:r w:rsidRPr="005B4339" w:rsidDel="00315CBD">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w</w:t>
      </w:r>
      <w:r w:rsidR="00315CBD" w:rsidRPr="005B4339">
        <w:rPr>
          <w:rFonts w:ascii="Times New Roman" w:hAnsi="Times New Roman" w:cs="Times New Roman"/>
          <w:noProof/>
          <w:sz w:val="24"/>
          <w:szCs w:val="24"/>
          <w:lang w:val="en-IE"/>
        </w:rPr>
        <w:t>ould</w:t>
      </w:r>
      <w:r w:rsidRPr="005B4339">
        <w:rPr>
          <w:rFonts w:ascii="Times New Roman" w:hAnsi="Times New Roman" w:cs="Times New Roman"/>
          <w:noProof/>
          <w:sz w:val="24"/>
          <w:szCs w:val="24"/>
          <w:lang w:val="en-IE"/>
        </w:rPr>
        <w:t xml:space="preserve"> </w:t>
      </w:r>
      <w:r w:rsidR="5271A56B" w:rsidRPr="005B4339">
        <w:rPr>
          <w:rFonts w:ascii="Times New Roman" w:hAnsi="Times New Roman" w:cs="Times New Roman"/>
          <w:noProof/>
          <w:sz w:val="24"/>
          <w:szCs w:val="24"/>
          <w:lang w:val="en-IE"/>
        </w:rPr>
        <w:t>have</w:t>
      </w:r>
      <w:r w:rsidRPr="005B4339">
        <w:rPr>
          <w:rFonts w:ascii="Times New Roman" w:hAnsi="Times New Roman" w:cs="Times New Roman"/>
          <w:noProof/>
          <w:sz w:val="24"/>
          <w:szCs w:val="24"/>
          <w:lang w:val="en-IE"/>
        </w:rPr>
        <w:t xml:space="preserve"> the potential to lead to </w:t>
      </w:r>
      <w:r w:rsidR="00793338" w:rsidRPr="005B4339">
        <w:rPr>
          <w:rFonts w:ascii="Times New Roman" w:hAnsi="Times New Roman" w:cs="Times New Roman"/>
          <w:noProof/>
          <w:sz w:val="24"/>
          <w:szCs w:val="24"/>
          <w:lang w:val="en-IE"/>
        </w:rPr>
        <w:t>an additional</w:t>
      </w:r>
      <w:r w:rsidRPr="005B4339">
        <w:rPr>
          <w:rFonts w:ascii="Times New Roman" w:hAnsi="Times New Roman" w:cs="Times New Roman"/>
          <w:noProof/>
          <w:sz w:val="24"/>
          <w:szCs w:val="24"/>
          <w:lang w:val="en-IE"/>
        </w:rPr>
        <w:t xml:space="preserve"> </w:t>
      </w:r>
      <w:r w:rsidR="00793338" w:rsidRPr="005B4339">
        <w:rPr>
          <w:rFonts w:ascii="Times New Roman" w:hAnsi="Times New Roman" w:cs="Times New Roman"/>
          <w:noProof/>
          <w:sz w:val="24"/>
          <w:szCs w:val="24"/>
          <w:lang w:val="en-IE"/>
        </w:rPr>
        <w:t>702</w:t>
      </w:r>
      <w:r w:rsidRPr="005B4339">
        <w:rPr>
          <w:rFonts w:ascii="Times New Roman" w:hAnsi="Times New Roman" w:cs="Times New Roman"/>
          <w:noProof/>
          <w:sz w:val="24"/>
          <w:szCs w:val="24"/>
          <w:lang w:val="en-IE"/>
        </w:rPr>
        <w:t xml:space="preserve"> 000 tonnes of textiles separated for reuse with an estimated value of </w:t>
      </w:r>
      <w:r w:rsidR="00793338" w:rsidRPr="005B4339">
        <w:rPr>
          <w:rFonts w:ascii="Times New Roman" w:hAnsi="Times New Roman" w:cs="Times New Roman"/>
          <w:noProof/>
          <w:sz w:val="24"/>
          <w:szCs w:val="24"/>
          <w:lang w:val="en-IE"/>
        </w:rPr>
        <w:t xml:space="preserve">534 </w:t>
      </w:r>
      <w:r w:rsidRPr="005B4339">
        <w:rPr>
          <w:rFonts w:ascii="Times New Roman" w:hAnsi="Times New Roman" w:cs="Times New Roman"/>
          <w:noProof/>
          <w:sz w:val="24"/>
          <w:szCs w:val="24"/>
          <w:lang w:val="en-IE"/>
        </w:rPr>
        <w:t xml:space="preserve">million </w:t>
      </w:r>
      <w:r w:rsidR="00EA12DB" w:rsidRPr="005B4339">
        <w:rPr>
          <w:rFonts w:ascii="Times New Roman" w:hAnsi="Times New Roman" w:cs="Times New Roman"/>
          <w:noProof/>
          <w:sz w:val="24"/>
          <w:szCs w:val="24"/>
          <w:lang w:val="en-IE"/>
        </w:rPr>
        <w:t xml:space="preserve">euro </w:t>
      </w:r>
      <w:r w:rsidRPr="005B4339">
        <w:rPr>
          <w:rFonts w:ascii="Times New Roman" w:hAnsi="Times New Roman" w:cs="Times New Roman"/>
          <w:noProof/>
          <w:sz w:val="24"/>
          <w:szCs w:val="24"/>
          <w:lang w:val="en-IE"/>
        </w:rPr>
        <w:t xml:space="preserve">per year and </w:t>
      </w:r>
      <w:r w:rsidR="00793338" w:rsidRPr="005B4339">
        <w:rPr>
          <w:rFonts w:ascii="Times New Roman" w:hAnsi="Times New Roman" w:cs="Times New Roman"/>
          <w:noProof/>
          <w:sz w:val="24"/>
          <w:szCs w:val="24"/>
          <w:lang w:val="en-IE"/>
        </w:rPr>
        <w:t>590</w:t>
      </w:r>
      <w:r w:rsidRPr="005B4339">
        <w:rPr>
          <w:rFonts w:ascii="Times New Roman" w:hAnsi="Times New Roman" w:cs="Times New Roman"/>
          <w:noProof/>
          <w:sz w:val="24"/>
          <w:szCs w:val="24"/>
          <w:lang w:val="en-IE"/>
        </w:rPr>
        <w:t xml:space="preserve"> 000 tonnes available for recycling with an estimated value of </w:t>
      </w:r>
      <w:r w:rsidR="00112785" w:rsidRPr="005B4339">
        <w:rPr>
          <w:rFonts w:ascii="Times New Roman" w:hAnsi="Times New Roman" w:cs="Times New Roman"/>
          <w:noProof/>
          <w:sz w:val="24"/>
          <w:szCs w:val="24"/>
          <w:lang w:val="en-IE"/>
        </w:rPr>
        <w:t>117</w:t>
      </w:r>
      <w:r w:rsidRPr="005B4339">
        <w:rPr>
          <w:rFonts w:ascii="Times New Roman" w:hAnsi="Times New Roman" w:cs="Times New Roman"/>
          <w:noProof/>
          <w:sz w:val="24"/>
          <w:szCs w:val="24"/>
          <w:lang w:val="en-IE"/>
        </w:rPr>
        <w:t xml:space="preserve"> million </w:t>
      </w:r>
      <w:r w:rsidR="003369EF" w:rsidRPr="005B4339">
        <w:rPr>
          <w:rFonts w:ascii="Times New Roman" w:hAnsi="Times New Roman" w:cs="Times New Roman"/>
          <w:noProof/>
          <w:sz w:val="24"/>
          <w:szCs w:val="24"/>
          <w:lang w:val="en-IE"/>
        </w:rPr>
        <w:t xml:space="preserve">euro </w:t>
      </w:r>
      <w:r w:rsidRPr="005B4339">
        <w:rPr>
          <w:rFonts w:ascii="Times New Roman" w:hAnsi="Times New Roman" w:cs="Times New Roman"/>
          <w:noProof/>
          <w:sz w:val="24"/>
          <w:szCs w:val="24"/>
          <w:lang w:val="en-IE"/>
        </w:rPr>
        <w:t>per year.</w:t>
      </w:r>
      <w:r w:rsidR="009D3CB8"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At the same time, additional sorting and subsequent treatment carries with it additional costs. An additional sorting capacity along with subsequent treatment (preparation for reuse, closed loop and open loop recycling) would carry operational costs of approximately </w:t>
      </w:r>
      <w:r w:rsidR="00B563CE" w:rsidRPr="005B4339">
        <w:rPr>
          <w:rFonts w:ascii="Times New Roman" w:hAnsi="Times New Roman" w:cs="Times New Roman"/>
          <w:noProof/>
          <w:sz w:val="24"/>
          <w:szCs w:val="24"/>
          <w:lang w:val="en-IE"/>
        </w:rPr>
        <w:t>913</w:t>
      </w:r>
      <w:r w:rsidRPr="005B4339">
        <w:rPr>
          <w:rFonts w:ascii="Times New Roman" w:hAnsi="Times New Roman" w:cs="Times New Roman"/>
          <w:noProof/>
          <w:sz w:val="24"/>
          <w:szCs w:val="24"/>
          <w:lang w:val="en-IE"/>
        </w:rPr>
        <w:t xml:space="preserve"> million </w:t>
      </w:r>
      <w:r w:rsidR="00E7320D" w:rsidRPr="005B4339">
        <w:rPr>
          <w:rFonts w:ascii="Times New Roman" w:hAnsi="Times New Roman" w:cs="Times New Roman"/>
          <w:noProof/>
          <w:sz w:val="24"/>
          <w:szCs w:val="24"/>
          <w:lang w:val="en-IE"/>
        </w:rPr>
        <w:t xml:space="preserve">euro </w:t>
      </w:r>
      <w:r w:rsidRPr="005B4339">
        <w:rPr>
          <w:rFonts w:ascii="Times New Roman" w:hAnsi="Times New Roman" w:cs="Times New Roman"/>
          <w:noProof/>
          <w:sz w:val="24"/>
          <w:szCs w:val="24"/>
          <w:lang w:val="en-IE"/>
        </w:rPr>
        <w:t xml:space="preserve">per </w:t>
      </w:r>
      <w:r w:rsidR="00D00D1B" w:rsidRPr="005B4339">
        <w:rPr>
          <w:rFonts w:ascii="Times New Roman" w:hAnsi="Times New Roman" w:cs="Times New Roman"/>
          <w:noProof/>
          <w:sz w:val="24"/>
          <w:szCs w:val="24"/>
          <w:lang w:val="en-IE"/>
        </w:rPr>
        <w:t>year</w:t>
      </w:r>
      <w:r w:rsidR="00D74F68" w:rsidRPr="005B4339">
        <w:rPr>
          <w:rFonts w:ascii="Times New Roman" w:hAnsi="Times New Roman" w:cs="Times New Roman"/>
          <w:noProof/>
          <w:sz w:val="24"/>
          <w:szCs w:val="24"/>
          <w:lang w:val="en-IE"/>
        </w:rPr>
        <w:t xml:space="preserve"> by 2035</w:t>
      </w:r>
      <w:r w:rsidR="00621163" w:rsidRPr="005B4339">
        <w:rPr>
          <w:rFonts w:ascii="Times New Roman" w:hAnsi="Times New Roman" w:cs="Times New Roman"/>
          <w:noProof/>
          <w:sz w:val="24"/>
          <w:szCs w:val="24"/>
          <w:lang w:val="en-IE"/>
        </w:rPr>
        <w:t xml:space="preserve"> with 20% of this cost attributable to collection and 80% to the subsequent collection and treatment</w:t>
      </w:r>
      <w:r w:rsidRPr="005B4339">
        <w:rPr>
          <w:rFonts w:ascii="Times New Roman" w:hAnsi="Times New Roman" w:cs="Times New Roman"/>
          <w:noProof/>
          <w:sz w:val="24"/>
          <w:szCs w:val="24"/>
          <w:lang w:val="en-IE"/>
        </w:rPr>
        <w:t xml:space="preserve">. Additional minor operational costs would be </w:t>
      </w:r>
      <w:r w:rsidR="00E7320D" w:rsidRPr="005B4339">
        <w:rPr>
          <w:rFonts w:ascii="Times New Roman" w:hAnsi="Times New Roman" w:cs="Times New Roman"/>
          <w:noProof/>
          <w:sz w:val="24"/>
          <w:szCs w:val="24"/>
          <w:lang w:val="en-IE"/>
        </w:rPr>
        <w:t>necessary</w:t>
      </w:r>
      <w:r w:rsidRPr="005B4339">
        <w:rPr>
          <w:rFonts w:ascii="Times New Roman" w:hAnsi="Times New Roman" w:cs="Times New Roman"/>
          <w:noProof/>
          <w:sz w:val="24"/>
          <w:szCs w:val="24"/>
          <w:lang w:val="en-IE"/>
        </w:rPr>
        <w:t xml:space="preserve"> to implement the </w:t>
      </w:r>
      <w:r w:rsidR="005D2A88" w:rsidRPr="005B4339">
        <w:rPr>
          <w:rFonts w:ascii="Times New Roman" w:hAnsi="Times New Roman" w:cs="Times New Roman"/>
          <w:noProof/>
          <w:sz w:val="24"/>
          <w:szCs w:val="24"/>
          <w:lang w:val="en-IE"/>
        </w:rPr>
        <w:t xml:space="preserve">required </w:t>
      </w:r>
      <w:r w:rsidRPr="005B4339">
        <w:rPr>
          <w:rFonts w:ascii="Times New Roman" w:hAnsi="Times New Roman" w:cs="Times New Roman"/>
          <w:noProof/>
          <w:sz w:val="24"/>
          <w:szCs w:val="24"/>
          <w:lang w:val="en-IE"/>
        </w:rPr>
        <w:t>criteria in the sorting process. Given the flexibility that would be provided to Member States in the application of these criteria it is not possible to provide a definitive cost.</w:t>
      </w:r>
      <w:r w:rsidR="00C8436B" w:rsidRPr="005B4339">
        <w:rPr>
          <w:rFonts w:ascii="Times New Roman" w:hAnsi="Times New Roman" w:cs="Times New Roman"/>
          <w:noProof/>
          <w:sz w:val="24"/>
          <w:szCs w:val="24"/>
          <w:lang w:val="en-IE"/>
        </w:rPr>
        <w:t xml:space="preserve"> </w:t>
      </w:r>
      <w:r w:rsidR="009C0234" w:rsidRPr="005B4339">
        <w:rPr>
          <w:rFonts w:ascii="Times New Roman" w:hAnsi="Times New Roman" w:cs="Times New Roman"/>
          <w:noProof/>
          <w:sz w:val="24"/>
          <w:szCs w:val="24"/>
          <w:lang w:val="en-IE"/>
        </w:rPr>
        <w:t>This means that in general approximately 70% of the costs of application of the measure would be likely retrieved via the economic value of the textiles sorted.</w:t>
      </w:r>
    </w:p>
    <w:p w14:paraId="0857452B" w14:textId="1B7521B3" w:rsidR="0007003F" w:rsidRPr="005B4339" w:rsidRDefault="0007003F" w:rsidP="000F1936">
      <w:pPr>
        <w:rPr>
          <w:noProof/>
          <w:lang w:val="en-IE"/>
        </w:rPr>
      </w:pPr>
      <w:r w:rsidRPr="005B4339">
        <w:rPr>
          <w:noProof/>
          <w:lang w:val="en-IE"/>
        </w:rPr>
        <w:t>The additional sorting and treatment performed as a result of the application of this measure would entail costs.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general taxation. However, these costs would be a fraction of waste generated and collected, and consequently the costs that would be applied would not be for the entire volumes of textiles collected, sorted and treated but rather the additional costs for the additional wastes collected.  Given that the total costs for all wastes account for an approximate increase per product of around 0.6%, this measure would likely result in smaller overall costs per product as the additional amount of sorting and treatment infrastructure in comparison to the baseline would be approximately half of the total necessary infrastructure that would already be in place.  Consequently, and recognising that the full costs of the necessary increases infrastructure could be applied across all produced textile goods (and not just the fraction that would be additionally sorted and treated) an increase in costs per item of around 0.3% of total price is estimated to result from this measure.</w:t>
      </w:r>
    </w:p>
    <w:p w14:paraId="1F5A3ED8" w14:textId="6A5DE88B" w:rsidR="006F5446" w:rsidRPr="005B4339" w:rsidRDefault="006F5446" w:rsidP="00F305EB">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The actual replacement of virgin textile materials by their recycled equivalent is particularly challenging to calculate. This is because the ability to recycle textiles is very much dependent upon the materials within the textile products, the presence of disruptors, colour of the textiles and other variables. In its study on the technical, regulatory, economic and environmental effectiveness of textile fibres recycling</w:t>
      </w:r>
      <w:r w:rsidRPr="005B4339">
        <w:rPr>
          <w:rStyle w:val="FootnoteReference"/>
          <w:rFonts w:ascii="Times New Roman" w:hAnsi="Times New Roman" w:cs="Times New Roman"/>
          <w:noProof/>
          <w:sz w:val="24"/>
          <w:szCs w:val="24"/>
          <w:lang w:val="en-IE"/>
        </w:rPr>
        <w:footnoteReference w:id="48"/>
      </w:r>
      <w:r w:rsidRPr="005B4339">
        <w:rPr>
          <w:rFonts w:ascii="Times New Roman" w:hAnsi="Times New Roman" w:cs="Times New Roman"/>
          <w:noProof/>
          <w:sz w:val="24"/>
          <w:szCs w:val="24"/>
          <w:lang w:val="en-IE"/>
        </w:rPr>
        <w:t xml:space="preserve">, the European Commission identified that mechanical recycling leaves 5-20% of the input fraction as spinnable fibres for natural fibres and 25-55% in the case of polycotton or polyester. However, it is acknowledged that the quality of these fibres is lower than the quality of virgin fibres. In </w:t>
      </w:r>
      <w:r w:rsidR="00101F17" w:rsidRPr="005B4339">
        <w:rPr>
          <w:rFonts w:ascii="Times New Roman" w:hAnsi="Times New Roman" w:cs="Times New Roman"/>
          <w:noProof/>
          <w:sz w:val="24"/>
          <w:szCs w:val="24"/>
          <w:lang w:val="en-IE"/>
        </w:rPr>
        <w:t xml:space="preserve">the case of </w:t>
      </w:r>
      <w:r w:rsidRPr="005B4339">
        <w:rPr>
          <w:rFonts w:ascii="Times New Roman" w:hAnsi="Times New Roman" w:cs="Times New Roman"/>
          <w:noProof/>
          <w:sz w:val="24"/>
          <w:szCs w:val="24"/>
          <w:lang w:val="en-IE"/>
        </w:rPr>
        <w:t>thermal recycling for synthetic fibres</w:t>
      </w:r>
      <w:r w:rsidR="00101F1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recycled polymers are mixed with virgin material to produce new fibres. Full fibre recycling is not yet possible. Similarly, chemical recycling </w:t>
      </w:r>
      <w:r w:rsidR="00101F17" w:rsidRPr="005B4339">
        <w:rPr>
          <w:rFonts w:ascii="Times New Roman" w:hAnsi="Times New Roman" w:cs="Times New Roman"/>
          <w:noProof/>
          <w:sz w:val="24"/>
          <w:szCs w:val="24"/>
          <w:lang w:val="en-IE"/>
        </w:rPr>
        <w:t>o</w:t>
      </w:r>
      <w:r w:rsidRPr="005B4339">
        <w:rPr>
          <w:rFonts w:ascii="Times New Roman" w:hAnsi="Times New Roman" w:cs="Times New Roman"/>
          <w:noProof/>
          <w:sz w:val="24"/>
          <w:szCs w:val="24"/>
          <w:lang w:val="en-IE"/>
        </w:rPr>
        <w:t>f cotton results in materials that are generally blended with virgin materials, whereas for PA6 and PET monomer</w:t>
      </w:r>
      <w:r w:rsidR="00101F1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recycling can result in high-purity virgin grade PET an</w:t>
      </w:r>
      <w:r w:rsidR="004C7577" w:rsidRPr="005B4339">
        <w:rPr>
          <w:rFonts w:ascii="Times New Roman" w:hAnsi="Times New Roman" w:cs="Times New Roman"/>
          <w:noProof/>
          <w:sz w:val="24"/>
          <w:szCs w:val="24"/>
          <w:lang w:val="en-IE"/>
        </w:rPr>
        <w:t>d</w:t>
      </w:r>
      <w:r w:rsidRPr="005B4339">
        <w:rPr>
          <w:rFonts w:ascii="Times New Roman" w:hAnsi="Times New Roman" w:cs="Times New Roman"/>
          <w:noProof/>
          <w:sz w:val="24"/>
          <w:szCs w:val="24"/>
          <w:lang w:val="en-IE"/>
        </w:rPr>
        <w:t xml:space="preserve"> inputs for virgin grade PA6. Whilst it is clear that recycling of textiles will result in the replacement of virgin textile fibres with subsequent economic and environmental benefits resulting from such recycling the volumes of displacement are highly uncertain. Using a basic assumption that between 20 – 50% of the volumes available for recycling </w:t>
      </w:r>
      <w:r w:rsidR="004C7577" w:rsidRPr="005B4339">
        <w:rPr>
          <w:rFonts w:ascii="Times New Roman" w:hAnsi="Times New Roman" w:cs="Times New Roman"/>
          <w:noProof/>
          <w:sz w:val="24"/>
          <w:szCs w:val="24"/>
          <w:lang w:val="en-IE"/>
        </w:rPr>
        <w:t>being</w:t>
      </w:r>
      <w:r w:rsidRPr="005B4339">
        <w:rPr>
          <w:rFonts w:ascii="Times New Roman" w:hAnsi="Times New Roman" w:cs="Times New Roman"/>
          <w:noProof/>
          <w:sz w:val="24"/>
          <w:szCs w:val="24"/>
          <w:lang w:val="en-IE"/>
        </w:rPr>
        <w:t xml:space="preserve"> replace virgin fibres would result in 118 000 </w:t>
      </w:r>
      <w:r w:rsidR="004C7577" w:rsidRPr="005B4339">
        <w:rPr>
          <w:rFonts w:ascii="Times New Roman" w:hAnsi="Times New Roman" w:cs="Times New Roman"/>
          <w:noProof/>
          <w:sz w:val="24"/>
          <w:szCs w:val="24"/>
          <w:lang w:val="en-IE"/>
        </w:rPr>
        <w:t>to</w:t>
      </w:r>
      <w:r w:rsidRPr="005B4339">
        <w:rPr>
          <w:rFonts w:ascii="Times New Roman" w:hAnsi="Times New Roman" w:cs="Times New Roman"/>
          <w:noProof/>
          <w:sz w:val="24"/>
          <w:szCs w:val="24"/>
          <w:lang w:val="en-IE"/>
        </w:rPr>
        <w:t xml:space="preserve"> 295 000 tonnes of virgin fibres would be replaced by recycled fibres under this measure.</w:t>
      </w:r>
    </w:p>
    <w:p w14:paraId="1F8E2EB9" w14:textId="04311F92" w:rsidR="00D65A25" w:rsidRPr="005B4339" w:rsidRDefault="00C77376" w:rsidP="00F305EB">
      <w:pPr>
        <w:pStyle w:val="WDBody"/>
        <w:spacing w:after="120" w:line="240" w:lineRule="auto"/>
        <w:jc w:val="both"/>
        <w:rPr>
          <w:rFonts w:ascii="Times New Roman" w:hAnsi="Times New Roman" w:cs="Times New Roman"/>
          <w:noProof/>
          <w:sz w:val="24"/>
          <w:szCs w:val="24"/>
          <w:lang w:val="en-IE"/>
        </w:rPr>
      </w:pPr>
      <w:bookmarkStart w:id="101" w:name="_Hlk130279699"/>
      <w:r w:rsidRPr="005B4339">
        <w:rPr>
          <w:rFonts w:ascii="Times New Roman" w:hAnsi="Times New Roman" w:cs="Times New Roman"/>
          <w:noProof/>
          <w:sz w:val="24"/>
          <w:szCs w:val="24"/>
          <w:lang w:val="en-IE"/>
        </w:rPr>
        <w:t xml:space="preserve">Waste management operators that are reliant on disposal revenues for textiles would face a reduction in revenues from less textile waste being sent to disposal. </w:t>
      </w:r>
      <w:bookmarkEnd w:id="101"/>
      <w:r w:rsidR="004837AA" w:rsidRPr="005B4339">
        <w:rPr>
          <w:rFonts w:ascii="Times New Roman" w:hAnsi="Times New Roman" w:cs="Times New Roman"/>
          <w:noProof/>
          <w:sz w:val="24"/>
          <w:szCs w:val="24"/>
          <w:lang w:val="en-IE"/>
        </w:rPr>
        <w:t xml:space="preserve">With the expected increase in collection under the baseline and the obligation for sorting under this measure the result would be a diversion from landfill of </w:t>
      </w:r>
      <w:r w:rsidR="001270DC" w:rsidRPr="005B4339">
        <w:rPr>
          <w:rFonts w:ascii="Times New Roman" w:hAnsi="Times New Roman" w:cs="Times New Roman"/>
          <w:noProof/>
          <w:sz w:val="24"/>
          <w:szCs w:val="24"/>
          <w:lang w:val="en-IE"/>
        </w:rPr>
        <w:t xml:space="preserve">approximately 530 000 tonnes per </w:t>
      </w:r>
      <w:r w:rsidR="00D00D1B" w:rsidRPr="005B4339">
        <w:rPr>
          <w:rFonts w:ascii="Times New Roman" w:hAnsi="Times New Roman" w:cs="Times New Roman"/>
          <w:noProof/>
          <w:sz w:val="24"/>
          <w:szCs w:val="24"/>
          <w:lang w:val="en-IE"/>
        </w:rPr>
        <w:t>year</w:t>
      </w:r>
      <w:r w:rsidR="001270DC" w:rsidRPr="005B4339">
        <w:rPr>
          <w:rFonts w:ascii="Times New Roman" w:hAnsi="Times New Roman" w:cs="Times New Roman"/>
          <w:noProof/>
          <w:sz w:val="24"/>
          <w:szCs w:val="24"/>
          <w:lang w:val="en-IE"/>
        </w:rPr>
        <w:t xml:space="preserve"> by 2035</w:t>
      </w:r>
      <w:r w:rsidR="00D853C9" w:rsidRPr="005B4339">
        <w:rPr>
          <w:rFonts w:ascii="Times New Roman" w:hAnsi="Times New Roman" w:cs="Times New Roman"/>
          <w:noProof/>
          <w:sz w:val="24"/>
          <w:szCs w:val="24"/>
          <w:lang w:val="en-IE"/>
        </w:rPr>
        <w:t>.</w:t>
      </w:r>
      <w:r w:rsidR="002751B5" w:rsidRPr="005B4339">
        <w:rPr>
          <w:rFonts w:ascii="Times New Roman" w:hAnsi="Times New Roman" w:cs="Times New Roman"/>
          <w:noProof/>
          <w:sz w:val="24"/>
          <w:szCs w:val="24"/>
          <w:lang w:val="en-IE"/>
        </w:rPr>
        <w:t xml:space="preserve"> Several Member States also impose both an incineration and a landfill tax. Therefore, the reduced tonnage of waste sent for disposal would also lead to a reduced tax revenue. Using an average landfill tax revenue of 50 </w:t>
      </w:r>
      <w:r w:rsidR="00D853C9" w:rsidRPr="005B4339">
        <w:rPr>
          <w:rFonts w:ascii="Times New Roman" w:hAnsi="Times New Roman" w:cs="Times New Roman"/>
          <w:noProof/>
          <w:sz w:val="24"/>
          <w:szCs w:val="24"/>
          <w:lang w:val="en-IE"/>
        </w:rPr>
        <w:t xml:space="preserve">euro </w:t>
      </w:r>
      <w:r w:rsidR="002751B5" w:rsidRPr="005B4339">
        <w:rPr>
          <w:rFonts w:ascii="Times New Roman" w:hAnsi="Times New Roman" w:cs="Times New Roman"/>
          <w:noProof/>
          <w:sz w:val="24"/>
          <w:szCs w:val="24"/>
          <w:lang w:val="en-IE"/>
        </w:rPr>
        <w:t>per tonne</w:t>
      </w:r>
      <w:r w:rsidR="002751B5" w:rsidRPr="005B4339">
        <w:rPr>
          <w:rStyle w:val="FootnoteReference"/>
          <w:rFonts w:ascii="Times New Roman" w:hAnsi="Times New Roman" w:cs="Times New Roman"/>
          <w:noProof/>
          <w:sz w:val="24"/>
          <w:szCs w:val="24"/>
          <w:lang w:val="en-IE"/>
        </w:rPr>
        <w:footnoteReference w:id="49"/>
      </w:r>
      <w:r w:rsidR="002751B5" w:rsidRPr="005B4339">
        <w:rPr>
          <w:rFonts w:ascii="Times New Roman" w:hAnsi="Times New Roman" w:cs="Times New Roman"/>
          <w:noProof/>
          <w:sz w:val="24"/>
          <w:szCs w:val="24"/>
          <w:lang w:val="en-IE"/>
        </w:rPr>
        <w:t xml:space="preserve"> revenues for waste management operators would fall by approximately 26.5 million </w:t>
      </w:r>
      <w:r w:rsidR="00D853C9" w:rsidRPr="005B4339">
        <w:rPr>
          <w:rFonts w:ascii="Times New Roman" w:hAnsi="Times New Roman" w:cs="Times New Roman"/>
          <w:noProof/>
          <w:sz w:val="24"/>
          <w:szCs w:val="24"/>
          <w:lang w:val="en-IE"/>
        </w:rPr>
        <w:t xml:space="preserve">euro </w:t>
      </w:r>
      <w:r w:rsidR="002751B5" w:rsidRPr="005B4339">
        <w:rPr>
          <w:rFonts w:ascii="Times New Roman" w:hAnsi="Times New Roman" w:cs="Times New Roman"/>
          <w:noProof/>
          <w:sz w:val="24"/>
          <w:szCs w:val="24"/>
          <w:lang w:val="en-IE"/>
        </w:rPr>
        <w:t>per annum by 2035. On the other hand, many Member States are increasing their per tonnage rates of these taxes to promote recycling.</w:t>
      </w:r>
    </w:p>
    <w:p w14:paraId="11FA54C7" w14:textId="2E1E95B0" w:rsidR="007272B4" w:rsidRPr="005B4339" w:rsidRDefault="1D5FACE5" w:rsidP="0C78631F">
      <w:pPr>
        <w:pStyle w:val="WDBody"/>
        <w:spacing w:after="120" w:line="240" w:lineRule="auto"/>
        <w:jc w:val="both"/>
        <w:rPr>
          <w:rFonts w:ascii="Times New Roman" w:eastAsia="Times New Roman" w:hAnsi="Times New Roman" w:cs="Times New Roman"/>
          <w:noProof/>
          <w:sz w:val="24"/>
          <w:szCs w:val="24"/>
          <w:lang w:val="en-IE"/>
        </w:rPr>
      </w:pPr>
      <w:r w:rsidRPr="005B4339">
        <w:rPr>
          <w:rFonts w:ascii="Times New Roman" w:eastAsia="Times New Roman" w:hAnsi="Times New Roman" w:cs="Times New Roman"/>
          <w:noProof/>
          <w:sz w:val="24"/>
          <w:szCs w:val="24"/>
          <w:lang w:val="en-IE"/>
        </w:rPr>
        <w:t xml:space="preserve">The sorting operators also will incur costs to </w:t>
      </w:r>
      <w:r w:rsidR="48175DE1" w:rsidRPr="005B4339">
        <w:rPr>
          <w:rFonts w:ascii="Times New Roman" w:eastAsia="Times New Roman" w:hAnsi="Times New Roman" w:cs="Times New Roman"/>
          <w:noProof/>
          <w:sz w:val="24"/>
          <w:szCs w:val="24"/>
          <w:lang w:val="en-IE"/>
        </w:rPr>
        <w:t xml:space="preserve">monitoring and </w:t>
      </w:r>
      <w:r w:rsidRPr="005B4339">
        <w:rPr>
          <w:rFonts w:ascii="Times New Roman" w:eastAsia="Times New Roman" w:hAnsi="Times New Roman" w:cs="Times New Roman"/>
          <w:noProof/>
          <w:sz w:val="24"/>
          <w:szCs w:val="24"/>
          <w:lang w:val="en-IE"/>
        </w:rPr>
        <w:t xml:space="preserve">adapting their </w:t>
      </w:r>
      <w:r w:rsidR="278FAC60" w:rsidRPr="005B4339">
        <w:rPr>
          <w:rFonts w:ascii="Times New Roman" w:eastAsia="Times New Roman" w:hAnsi="Times New Roman" w:cs="Times New Roman"/>
          <w:noProof/>
          <w:sz w:val="24"/>
          <w:szCs w:val="24"/>
          <w:lang w:val="en-IE"/>
        </w:rPr>
        <w:t>practices to ensure that the</w:t>
      </w:r>
      <w:r w:rsidR="388B0F83" w:rsidRPr="005B4339">
        <w:rPr>
          <w:rFonts w:ascii="Times New Roman" w:eastAsia="Times New Roman" w:hAnsi="Times New Roman" w:cs="Times New Roman"/>
          <w:noProof/>
          <w:sz w:val="24"/>
          <w:szCs w:val="24"/>
          <w:lang w:val="en-IE"/>
        </w:rPr>
        <w:t>ir</w:t>
      </w:r>
      <w:r w:rsidR="278FAC60" w:rsidRPr="005B4339">
        <w:rPr>
          <w:rFonts w:ascii="Times New Roman" w:eastAsia="Times New Roman" w:hAnsi="Times New Roman" w:cs="Times New Roman"/>
          <w:noProof/>
          <w:sz w:val="24"/>
          <w:szCs w:val="24"/>
          <w:lang w:val="en-IE"/>
        </w:rPr>
        <w:t xml:space="preserve"> sorting protocols (i.e. the granularity of sorted fractions for re-use) are adapted to the specific re-use markets</w:t>
      </w:r>
      <w:r w:rsidR="29241F52" w:rsidRPr="005B4339">
        <w:rPr>
          <w:rFonts w:ascii="Times New Roman" w:eastAsia="Times New Roman" w:hAnsi="Times New Roman" w:cs="Times New Roman"/>
          <w:noProof/>
          <w:sz w:val="24"/>
          <w:szCs w:val="24"/>
          <w:lang w:val="en-IE"/>
        </w:rPr>
        <w:t xml:space="preserve"> in the countries where their produced sorted textiles may be shipped</w:t>
      </w:r>
      <w:r w:rsidR="02AA6AF1" w:rsidRPr="005B4339">
        <w:rPr>
          <w:rFonts w:ascii="Times New Roman" w:eastAsia="Times New Roman" w:hAnsi="Times New Roman" w:cs="Times New Roman"/>
          <w:noProof/>
          <w:sz w:val="24"/>
          <w:szCs w:val="24"/>
          <w:lang w:val="en-IE"/>
        </w:rPr>
        <w:t xml:space="preserve"> to</w:t>
      </w:r>
      <w:r w:rsidR="29241F52" w:rsidRPr="005B4339">
        <w:rPr>
          <w:rFonts w:ascii="Times New Roman" w:eastAsia="Times New Roman" w:hAnsi="Times New Roman" w:cs="Times New Roman"/>
          <w:noProof/>
          <w:sz w:val="24"/>
          <w:szCs w:val="24"/>
          <w:lang w:val="en-IE"/>
        </w:rPr>
        <w:t xml:space="preserve">. </w:t>
      </w:r>
      <w:r w:rsidR="5E814B18" w:rsidRPr="005B4339">
        <w:rPr>
          <w:rFonts w:ascii="Times New Roman" w:eastAsia="Times New Roman" w:hAnsi="Times New Roman" w:cs="Times New Roman"/>
          <w:noProof/>
          <w:sz w:val="24"/>
          <w:szCs w:val="24"/>
          <w:lang w:val="en-IE"/>
        </w:rPr>
        <w:t xml:space="preserve">Therefore, information will need to be generated and kept for inspection to </w:t>
      </w:r>
      <w:r w:rsidR="007272B4" w:rsidRPr="005B4339">
        <w:rPr>
          <w:rFonts w:ascii="Times New Roman" w:eastAsia="Times New Roman" w:hAnsi="Times New Roman" w:cs="Times New Roman"/>
          <w:noProof/>
          <w:sz w:val="24"/>
          <w:szCs w:val="24"/>
          <w:lang w:val="en-IE"/>
        </w:rPr>
        <w:t xml:space="preserve">demonstrate how the sorters have </w:t>
      </w:r>
      <w:r w:rsidR="60C5C707" w:rsidRPr="005B4339">
        <w:rPr>
          <w:rFonts w:ascii="Times New Roman" w:eastAsia="Times New Roman" w:hAnsi="Times New Roman" w:cs="Times New Roman"/>
          <w:noProof/>
          <w:sz w:val="24"/>
          <w:szCs w:val="24"/>
          <w:lang w:val="en-IE"/>
        </w:rPr>
        <w:t xml:space="preserve">identified the needs of the receiving re-use markets and </w:t>
      </w:r>
      <w:r w:rsidR="007272B4" w:rsidRPr="005B4339">
        <w:rPr>
          <w:rFonts w:ascii="Times New Roman" w:eastAsia="Times New Roman" w:hAnsi="Times New Roman" w:cs="Times New Roman"/>
          <w:noProof/>
          <w:sz w:val="24"/>
          <w:szCs w:val="24"/>
          <w:lang w:val="en-IE"/>
        </w:rPr>
        <w:t>adapted their sorting protocols to respond to those findings</w:t>
      </w:r>
      <w:r w:rsidR="00644B2F" w:rsidRPr="005B4339">
        <w:rPr>
          <w:rFonts w:ascii="Times New Roman" w:eastAsia="Times New Roman" w:hAnsi="Times New Roman" w:cs="Times New Roman"/>
          <w:noProof/>
          <w:sz w:val="24"/>
          <w:szCs w:val="24"/>
          <w:lang w:val="en-IE"/>
        </w:rPr>
        <w:t xml:space="preserve">. </w:t>
      </w:r>
      <w:r w:rsidR="68C3AD66" w:rsidRPr="005B4339">
        <w:rPr>
          <w:rFonts w:ascii="Times New Roman" w:eastAsia="Times New Roman" w:hAnsi="Times New Roman" w:cs="Times New Roman"/>
          <w:noProof/>
          <w:sz w:val="24"/>
          <w:szCs w:val="24"/>
          <w:lang w:val="en-IE"/>
        </w:rPr>
        <w:t>There are re-occurring (depending on the amount of traders used by the sorters) costs to the sorting facility operators (to note that under measure 2.</w:t>
      </w:r>
      <w:r w:rsidR="615A5650" w:rsidRPr="005B4339">
        <w:rPr>
          <w:rFonts w:ascii="Times New Roman" w:eastAsia="Times New Roman" w:hAnsi="Times New Roman" w:cs="Times New Roman"/>
          <w:noProof/>
          <w:sz w:val="24"/>
          <w:szCs w:val="24"/>
          <w:lang w:val="en-IE"/>
        </w:rPr>
        <w:t>9</w:t>
      </w:r>
      <w:r w:rsidR="68C3AD66" w:rsidRPr="005B4339">
        <w:rPr>
          <w:rFonts w:ascii="Times New Roman" w:eastAsia="Times New Roman" w:hAnsi="Times New Roman" w:cs="Times New Roman"/>
          <w:noProof/>
          <w:sz w:val="24"/>
          <w:szCs w:val="24"/>
          <w:lang w:val="en-IE"/>
        </w:rPr>
        <w:t xml:space="preserve"> this cost is due to producers subject to an extended producer obligation) to </w:t>
      </w:r>
      <w:r w:rsidR="00E33689" w:rsidRPr="005B4339">
        <w:rPr>
          <w:rFonts w:ascii="Times New Roman" w:eastAsia="Times New Roman" w:hAnsi="Times New Roman" w:cs="Times New Roman"/>
          <w:noProof/>
          <w:sz w:val="24"/>
          <w:szCs w:val="24"/>
          <w:lang w:val="en-IE"/>
        </w:rPr>
        <w:t xml:space="preserve">gather data about the </w:t>
      </w:r>
      <w:r w:rsidR="00E33689" w:rsidRPr="005B4339">
        <w:rPr>
          <w:rFonts w:ascii="Times New Roman" w:eastAsia="Times New Roman" w:hAnsi="Times New Roman" w:cs="Times New Roman"/>
          <w:noProof/>
          <w:sz w:val="24"/>
          <w:szCs w:val="24"/>
          <w:lang w:val="en-IE"/>
        </w:rPr>
        <w:lastRenderedPageBreak/>
        <w:t xml:space="preserve">countries (including third countries) where textiles are exported for reuse and an analysis of data and subsequent adaptation of the facilities’ sorting protocols and training of sorting staff to adapt to the new sorting protocols. </w:t>
      </w:r>
      <w:r w:rsidR="43A792C2" w:rsidRPr="005B4339">
        <w:rPr>
          <w:rFonts w:ascii="Times New Roman" w:eastAsia="Times New Roman" w:hAnsi="Times New Roman" w:cs="Times New Roman"/>
          <w:noProof/>
          <w:sz w:val="24"/>
          <w:szCs w:val="24"/>
          <w:lang w:val="en-IE"/>
        </w:rPr>
        <w:t>This entail</w:t>
      </w:r>
      <w:r w:rsidR="5BA93BAC" w:rsidRPr="005B4339">
        <w:rPr>
          <w:rFonts w:ascii="Times New Roman" w:eastAsia="Times New Roman" w:hAnsi="Times New Roman" w:cs="Times New Roman"/>
          <w:noProof/>
          <w:sz w:val="24"/>
          <w:szCs w:val="24"/>
          <w:lang w:val="en-IE"/>
        </w:rPr>
        <w:t>s gathering information from their trading partners where their textiles are being shipped to, which can be attained through contractual means.</w:t>
      </w:r>
      <w:r w:rsidR="43A792C2" w:rsidRPr="005B4339">
        <w:rPr>
          <w:rFonts w:ascii="Times New Roman" w:eastAsia="Times New Roman" w:hAnsi="Times New Roman" w:cs="Times New Roman"/>
          <w:noProof/>
          <w:sz w:val="24"/>
          <w:szCs w:val="24"/>
          <w:lang w:val="en-IE"/>
        </w:rPr>
        <w:t xml:space="preserve"> </w:t>
      </w:r>
    </w:p>
    <w:p w14:paraId="64E7CDC3" w14:textId="1FF0F609" w:rsidR="48F0B103" w:rsidRPr="005B4339" w:rsidRDefault="48F0B103" w:rsidP="07FB192A">
      <w:pPr>
        <w:pStyle w:val="WDBody"/>
        <w:spacing w:after="120" w:line="240" w:lineRule="auto"/>
        <w:jc w:val="both"/>
        <w:rPr>
          <w:rFonts w:ascii="Times New Roman" w:eastAsia="Times New Roman" w:hAnsi="Times New Roman" w:cs="Times New Roman"/>
          <w:noProof/>
          <w:sz w:val="24"/>
          <w:szCs w:val="24"/>
          <w:lang w:val="en-IE"/>
        </w:rPr>
      </w:pPr>
      <w:r w:rsidRPr="005B4339">
        <w:rPr>
          <w:rFonts w:ascii="Times New Roman" w:eastAsia="Times New Roman" w:hAnsi="Times New Roman" w:cs="Times New Roman"/>
          <w:noProof/>
          <w:sz w:val="24"/>
          <w:szCs w:val="24"/>
          <w:lang w:val="en-IE"/>
        </w:rPr>
        <w:t>The adoption of an implementing act in the future by the Commission would facilitate the monitoring and enforcement activities of the competent authorit</w:t>
      </w:r>
      <w:r w:rsidR="1256561F" w:rsidRPr="005B4339">
        <w:rPr>
          <w:rFonts w:ascii="Times New Roman" w:eastAsia="Times New Roman" w:hAnsi="Times New Roman" w:cs="Times New Roman"/>
          <w:noProof/>
          <w:sz w:val="24"/>
          <w:szCs w:val="24"/>
          <w:lang w:val="en-IE"/>
        </w:rPr>
        <w:t xml:space="preserve">ies since a more detailed set of requirements would </w:t>
      </w:r>
      <w:r w:rsidR="4C17780D" w:rsidRPr="005B4339">
        <w:rPr>
          <w:rFonts w:ascii="Times New Roman" w:eastAsia="Times New Roman" w:hAnsi="Times New Roman" w:cs="Times New Roman"/>
          <w:noProof/>
          <w:sz w:val="24"/>
          <w:szCs w:val="24"/>
          <w:lang w:val="en-IE"/>
        </w:rPr>
        <w:t xml:space="preserve">provide more clarity on the regulatory expectation. It would also </w:t>
      </w:r>
      <w:r w:rsidR="5EFF89F5" w:rsidRPr="005B4339">
        <w:rPr>
          <w:rFonts w:ascii="Times New Roman" w:eastAsia="Times New Roman" w:hAnsi="Times New Roman" w:cs="Times New Roman"/>
          <w:noProof/>
          <w:sz w:val="24"/>
          <w:szCs w:val="24"/>
          <w:lang w:val="en-IE"/>
        </w:rPr>
        <w:t>facilitate</w:t>
      </w:r>
      <w:r w:rsidR="4C17780D" w:rsidRPr="005B4339">
        <w:rPr>
          <w:rFonts w:ascii="Times New Roman" w:eastAsia="Times New Roman" w:hAnsi="Times New Roman" w:cs="Times New Roman"/>
          <w:noProof/>
          <w:sz w:val="24"/>
          <w:szCs w:val="24"/>
          <w:lang w:val="en-IE"/>
        </w:rPr>
        <w:t xml:space="preserve"> the </w:t>
      </w:r>
      <w:r w:rsidR="47C54909" w:rsidRPr="005B4339">
        <w:rPr>
          <w:rFonts w:ascii="Times New Roman" w:eastAsia="Times New Roman" w:hAnsi="Times New Roman" w:cs="Times New Roman"/>
          <w:noProof/>
          <w:sz w:val="24"/>
          <w:szCs w:val="24"/>
          <w:lang w:val="en-IE"/>
        </w:rPr>
        <w:t>compliance</w:t>
      </w:r>
      <w:r w:rsidR="4C17780D" w:rsidRPr="005B4339">
        <w:rPr>
          <w:rFonts w:ascii="Times New Roman" w:eastAsia="Times New Roman" w:hAnsi="Times New Roman" w:cs="Times New Roman"/>
          <w:noProof/>
          <w:sz w:val="24"/>
          <w:szCs w:val="24"/>
          <w:lang w:val="en-IE"/>
        </w:rPr>
        <w:t xml:space="preserve"> costs for economic operators as it would ensure a level playing field across the EU and entities that operate in several countries.</w:t>
      </w:r>
      <w:r w:rsidR="1256561F" w:rsidRPr="005B4339">
        <w:rPr>
          <w:rFonts w:ascii="Times New Roman" w:eastAsia="Times New Roman" w:hAnsi="Times New Roman" w:cs="Times New Roman"/>
          <w:noProof/>
          <w:sz w:val="24"/>
          <w:szCs w:val="24"/>
          <w:lang w:val="en-IE"/>
        </w:rPr>
        <w:t xml:space="preserve"> </w:t>
      </w:r>
    </w:p>
    <w:p w14:paraId="0AB584D9" w14:textId="53C42F5E" w:rsidR="008465DD" w:rsidRPr="005B4339" w:rsidRDefault="40134476" w:rsidP="11629EBF">
      <w:pPr>
        <w:pStyle w:val="WDBody"/>
        <w:spacing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This obligation would be enforced as part of the other permitting requirements for the sorting facilities; therefore, allowing for synergies with the existing enforcement processes. </w:t>
      </w:r>
      <w:r w:rsidR="50CE1FE5" w:rsidRPr="005B4339">
        <w:rPr>
          <w:rFonts w:ascii="Times New Roman" w:hAnsi="Times New Roman" w:cs="Times New Roman"/>
          <w:noProof/>
          <w:sz w:val="24"/>
          <w:szCs w:val="24"/>
          <w:lang w:val="en-IE"/>
        </w:rPr>
        <w:t xml:space="preserve">Depending on the national </w:t>
      </w:r>
      <w:r w:rsidR="00997F47" w:rsidRPr="005B4339">
        <w:rPr>
          <w:rFonts w:ascii="Times New Roman" w:hAnsi="Times New Roman" w:cs="Times New Roman"/>
          <w:noProof/>
          <w:sz w:val="24"/>
          <w:szCs w:val="24"/>
          <w:lang w:val="en-IE"/>
        </w:rPr>
        <w:t>permitting</w:t>
      </w:r>
      <w:r w:rsidR="50CE1FE5" w:rsidRPr="005B4339">
        <w:rPr>
          <w:rFonts w:ascii="Times New Roman" w:hAnsi="Times New Roman" w:cs="Times New Roman"/>
          <w:noProof/>
          <w:sz w:val="24"/>
          <w:szCs w:val="24"/>
          <w:lang w:val="en-IE"/>
        </w:rPr>
        <w:t xml:space="preserve"> and registration systems, the </w:t>
      </w:r>
      <w:r w:rsidR="00997F47" w:rsidRPr="005B4339">
        <w:rPr>
          <w:rFonts w:ascii="Times New Roman" w:hAnsi="Times New Roman" w:cs="Times New Roman"/>
          <w:noProof/>
          <w:sz w:val="24"/>
          <w:szCs w:val="24"/>
          <w:lang w:val="en-IE"/>
        </w:rPr>
        <w:t>permitting</w:t>
      </w:r>
      <w:r w:rsidR="50CE1FE5" w:rsidRPr="005B4339">
        <w:rPr>
          <w:rFonts w:ascii="Times New Roman" w:hAnsi="Times New Roman" w:cs="Times New Roman"/>
          <w:noProof/>
          <w:sz w:val="24"/>
          <w:szCs w:val="24"/>
          <w:lang w:val="en-IE"/>
        </w:rPr>
        <w:t xml:space="preserve"> or </w:t>
      </w:r>
      <w:r w:rsidR="00997F47" w:rsidRPr="005B4339">
        <w:rPr>
          <w:rFonts w:ascii="Times New Roman" w:hAnsi="Times New Roman" w:cs="Times New Roman"/>
          <w:noProof/>
          <w:sz w:val="24"/>
          <w:szCs w:val="24"/>
          <w:lang w:val="en-IE"/>
        </w:rPr>
        <w:t>registration</w:t>
      </w:r>
      <w:r w:rsidR="50CE1FE5" w:rsidRPr="005B4339">
        <w:rPr>
          <w:rFonts w:ascii="Times New Roman" w:hAnsi="Times New Roman" w:cs="Times New Roman"/>
          <w:noProof/>
          <w:sz w:val="24"/>
          <w:szCs w:val="24"/>
          <w:lang w:val="en-IE"/>
        </w:rPr>
        <w:t xml:space="preserve"> conditions for sorting operato</w:t>
      </w:r>
      <w:r w:rsidR="00997F47" w:rsidRPr="005B4339">
        <w:rPr>
          <w:rFonts w:ascii="Times New Roman" w:hAnsi="Times New Roman" w:cs="Times New Roman"/>
          <w:noProof/>
          <w:sz w:val="24"/>
          <w:szCs w:val="24"/>
          <w:lang w:val="en-IE"/>
        </w:rPr>
        <w:t>r</w:t>
      </w:r>
      <w:r w:rsidR="50CE1FE5" w:rsidRPr="005B4339">
        <w:rPr>
          <w:rFonts w:ascii="Times New Roman" w:hAnsi="Times New Roman" w:cs="Times New Roman"/>
          <w:noProof/>
          <w:sz w:val="24"/>
          <w:szCs w:val="24"/>
          <w:lang w:val="en-IE"/>
        </w:rPr>
        <w:t xml:space="preserve">s may need to be revised. </w:t>
      </w:r>
      <w:r w:rsidRPr="005B4339">
        <w:rPr>
          <w:rFonts w:ascii="Times New Roman" w:hAnsi="Times New Roman" w:cs="Times New Roman"/>
          <w:noProof/>
          <w:sz w:val="24"/>
          <w:szCs w:val="24"/>
          <w:lang w:val="en-IE"/>
        </w:rPr>
        <w:t xml:space="preserve">There may be need for additional staff to perform such inspections as well as operator time to assist in such inspections. It is assumed that, as part of the existing national inspection policies for the permitting processes, the inspections of the requirements in this measure, would take place once every three years </w:t>
      </w:r>
      <w:r w:rsidR="00EF65B8" w:rsidRPr="005B4339">
        <w:rPr>
          <w:rFonts w:ascii="Times New Roman" w:hAnsi="Times New Roman" w:cs="Times New Roman"/>
          <w:noProof/>
          <w:sz w:val="24"/>
          <w:szCs w:val="24"/>
          <w:lang w:val="en-IE"/>
        </w:rPr>
        <w:t>and entail three days of effort on behalf of competent authorities entailing preparation for the inspection, undertaking the inspection and recording the results of the inspection.</w:t>
      </w:r>
    </w:p>
    <w:p w14:paraId="21A9670F" w14:textId="5ACE3610" w:rsidR="008465DD" w:rsidRPr="005B4339" w:rsidRDefault="103B8F09" w:rsidP="00CF0DFB">
      <w:pPr>
        <w:pStyle w:val="WDBody"/>
        <w:numPr>
          <w:ilvl w:val="0"/>
          <w:numId w:val="122"/>
        </w:numPr>
        <w:spacing w:after="120" w:line="240" w:lineRule="auto"/>
        <w:jc w:val="both"/>
        <w:rPr>
          <w:rFonts w:ascii="Times New Roman" w:hAnsi="Times New Roman" w:cs="Times New Roman"/>
          <w:noProof/>
          <w:sz w:val="24"/>
          <w:szCs w:val="24"/>
          <w:lang w:val="en-IE"/>
        </w:rPr>
      </w:pPr>
      <w:r w:rsidRPr="005B4339">
        <w:rPr>
          <w:rFonts w:ascii="Times New Roman" w:eastAsia="Times New Roman" w:hAnsi="Times New Roman" w:cs="Times New Roman"/>
          <w:noProof/>
          <w:sz w:val="24"/>
          <w:szCs w:val="24"/>
          <w:lang w:val="en-IE"/>
        </w:rPr>
        <w:t>One day of assistance per operator per inspect</w:t>
      </w:r>
      <w:r w:rsidRPr="005B4339">
        <w:rPr>
          <w:rFonts w:ascii="Times New Roman" w:hAnsi="Times New Roman" w:cs="Times New Roman"/>
          <w:noProof/>
          <w:sz w:val="24"/>
          <w:szCs w:val="24"/>
          <w:lang w:val="en-IE"/>
        </w:rPr>
        <w:t xml:space="preserve">ion would be required.  </w:t>
      </w:r>
    </w:p>
    <w:p w14:paraId="3EC0D795" w14:textId="30E181D8" w:rsidR="008465DD" w:rsidRPr="005B4339" w:rsidRDefault="103B8F09" w:rsidP="00CF0DFB">
      <w:pPr>
        <w:pStyle w:val="WDBody"/>
        <w:numPr>
          <w:ilvl w:val="0"/>
          <w:numId w:val="122"/>
        </w:numPr>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annualised costs per inspection would be approximately 208 euro per competent authority and 78 euro per operators</w:t>
      </w:r>
      <w:r w:rsidR="004E1642" w:rsidRPr="005B4339">
        <w:rPr>
          <w:rFonts w:ascii="Times New Roman" w:hAnsi="Times New Roman" w:cs="Times New Roman"/>
          <w:noProof/>
          <w:sz w:val="24"/>
          <w:szCs w:val="24"/>
          <w:lang w:val="en-IE"/>
        </w:rPr>
        <w:t xml:space="preserve"> for the additional inspection</w:t>
      </w:r>
      <w:r w:rsidRPr="005B4339">
        <w:rPr>
          <w:rFonts w:ascii="Times New Roman" w:hAnsi="Times New Roman" w:cs="Times New Roman"/>
          <w:noProof/>
          <w:sz w:val="24"/>
          <w:szCs w:val="24"/>
          <w:lang w:val="en-IE"/>
        </w:rPr>
        <w:t xml:space="preserve">. </w:t>
      </w:r>
    </w:p>
    <w:p w14:paraId="4814576E" w14:textId="42473C1A" w:rsidR="008465DD" w:rsidRPr="005B4339" w:rsidRDefault="00312A39" w:rsidP="004E1642">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w:t>
      </w:r>
      <w:r w:rsidR="008373D9" w:rsidRPr="005B4339">
        <w:rPr>
          <w:rFonts w:ascii="Times New Roman" w:hAnsi="Times New Roman" w:cs="Times New Roman"/>
          <w:noProof/>
          <w:sz w:val="24"/>
          <w:szCs w:val="24"/>
          <w:lang w:val="en-IE"/>
        </w:rPr>
        <w:t xml:space="preserve">mporters in </w:t>
      </w:r>
      <w:r w:rsidR="008465DD" w:rsidRPr="005B4339">
        <w:rPr>
          <w:rFonts w:ascii="Times New Roman" w:hAnsi="Times New Roman" w:cs="Times New Roman"/>
          <w:noProof/>
          <w:sz w:val="24"/>
          <w:szCs w:val="24"/>
          <w:lang w:val="en-IE"/>
        </w:rPr>
        <w:t>third country businesses that currently manage unsorted textiles</w:t>
      </w:r>
      <w:r w:rsidR="008373D9" w:rsidRPr="005B4339">
        <w:rPr>
          <w:rFonts w:ascii="Times New Roman" w:hAnsi="Times New Roman" w:cs="Times New Roman"/>
          <w:noProof/>
          <w:sz w:val="24"/>
          <w:szCs w:val="24"/>
          <w:lang w:val="en-IE"/>
        </w:rPr>
        <w:t xml:space="preserve"> </w:t>
      </w:r>
      <w:r w:rsidR="382A5C0B" w:rsidRPr="005B4339">
        <w:rPr>
          <w:rFonts w:ascii="Times New Roman" w:hAnsi="Times New Roman" w:cs="Times New Roman"/>
          <w:noProof/>
          <w:sz w:val="24"/>
          <w:szCs w:val="24"/>
          <w:lang w:val="en-IE"/>
        </w:rPr>
        <w:t>- exported ou</w:t>
      </w:r>
      <w:r w:rsidR="418B1872" w:rsidRPr="005B4339">
        <w:rPr>
          <w:rFonts w:ascii="Times New Roman" w:hAnsi="Times New Roman" w:cs="Times New Roman"/>
          <w:noProof/>
          <w:sz w:val="24"/>
          <w:szCs w:val="24"/>
          <w:lang w:val="en-IE"/>
        </w:rPr>
        <w:t>t</w:t>
      </w:r>
      <w:r w:rsidR="382A5C0B" w:rsidRPr="005B4339">
        <w:rPr>
          <w:rFonts w:ascii="Times New Roman" w:hAnsi="Times New Roman" w:cs="Times New Roman"/>
          <w:noProof/>
          <w:sz w:val="24"/>
          <w:szCs w:val="24"/>
          <w:lang w:val="en-IE"/>
        </w:rPr>
        <w:t xml:space="preserve">side the EU as non-waste - </w:t>
      </w:r>
      <w:r w:rsidR="008373D9" w:rsidRPr="005B4339">
        <w:rPr>
          <w:rFonts w:ascii="Times New Roman" w:hAnsi="Times New Roman" w:cs="Times New Roman"/>
          <w:noProof/>
          <w:sz w:val="24"/>
          <w:szCs w:val="24"/>
          <w:lang w:val="en-IE"/>
        </w:rPr>
        <w:t xml:space="preserve">and that perform preparing for </w:t>
      </w:r>
      <w:r w:rsidR="00D96247" w:rsidRPr="005B4339">
        <w:rPr>
          <w:rFonts w:ascii="Times New Roman" w:hAnsi="Times New Roman" w:cs="Times New Roman"/>
          <w:noProof/>
          <w:sz w:val="24"/>
          <w:szCs w:val="24"/>
          <w:lang w:val="en-IE"/>
        </w:rPr>
        <w:t>reuse</w:t>
      </w:r>
      <w:r w:rsidR="008373D9" w:rsidRPr="005B4339">
        <w:rPr>
          <w:rFonts w:ascii="Times New Roman" w:hAnsi="Times New Roman" w:cs="Times New Roman"/>
          <w:noProof/>
          <w:sz w:val="24"/>
          <w:szCs w:val="24"/>
          <w:lang w:val="en-IE"/>
        </w:rPr>
        <w:t xml:space="preserve"> activities, are likely to receive less unsorted waste in the future. Th</w:t>
      </w:r>
      <w:r w:rsidR="72B00BEC" w:rsidRPr="005B4339">
        <w:rPr>
          <w:rFonts w:ascii="Times New Roman" w:hAnsi="Times New Roman" w:cs="Times New Roman"/>
          <w:noProof/>
          <w:sz w:val="24"/>
          <w:szCs w:val="24"/>
          <w:lang w:val="en-IE"/>
        </w:rPr>
        <w:t>ey would receive unsorted textiles classified as waste and ther</w:t>
      </w:r>
      <w:r w:rsidR="42BAD918" w:rsidRPr="005B4339">
        <w:rPr>
          <w:rFonts w:ascii="Times New Roman" w:hAnsi="Times New Roman" w:cs="Times New Roman"/>
          <w:noProof/>
          <w:sz w:val="24"/>
          <w:szCs w:val="24"/>
          <w:lang w:val="en-IE"/>
        </w:rPr>
        <w:t xml:space="preserve">efore would need to abide by waste rules in carrying out sorting activities which would </w:t>
      </w:r>
      <w:r w:rsidR="6ABDE4FF" w:rsidRPr="005B4339">
        <w:rPr>
          <w:rFonts w:ascii="Times New Roman" w:hAnsi="Times New Roman" w:cs="Times New Roman"/>
          <w:noProof/>
          <w:sz w:val="24"/>
          <w:szCs w:val="24"/>
          <w:lang w:val="en-IE"/>
        </w:rPr>
        <w:t>increase</w:t>
      </w:r>
      <w:r w:rsidR="42BAD918" w:rsidRPr="005B4339">
        <w:rPr>
          <w:rFonts w:ascii="Times New Roman" w:hAnsi="Times New Roman" w:cs="Times New Roman"/>
          <w:noProof/>
          <w:sz w:val="24"/>
          <w:szCs w:val="24"/>
          <w:lang w:val="en-IE"/>
        </w:rPr>
        <w:t xml:space="preserve"> costs.</w:t>
      </w:r>
      <w:r w:rsidR="00FB1A83" w:rsidRPr="005B4339">
        <w:rPr>
          <w:rFonts w:ascii="Times New Roman" w:hAnsi="Times New Roman" w:cs="Times New Roman"/>
          <w:noProof/>
          <w:sz w:val="24"/>
          <w:szCs w:val="24"/>
          <w:lang w:val="en-IE"/>
        </w:rPr>
        <w:t xml:space="preserve"> However, the sorted textiles, meant for </w:t>
      </w:r>
      <w:r w:rsidR="00D96247" w:rsidRPr="005B4339">
        <w:rPr>
          <w:rFonts w:ascii="Times New Roman" w:hAnsi="Times New Roman" w:cs="Times New Roman"/>
          <w:noProof/>
          <w:sz w:val="24"/>
          <w:szCs w:val="24"/>
          <w:lang w:val="en-IE"/>
        </w:rPr>
        <w:t>reuse</w:t>
      </w:r>
      <w:r w:rsidR="00FB1A83" w:rsidRPr="005B4339">
        <w:rPr>
          <w:rFonts w:ascii="Times New Roman" w:hAnsi="Times New Roman" w:cs="Times New Roman"/>
          <w:noProof/>
          <w:sz w:val="24"/>
          <w:szCs w:val="24"/>
          <w:lang w:val="en-IE"/>
        </w:rPr>
        <w:t xml:space="preserve"> that they will receive are expected to be more suitable for their market and this should contain limited amounts of waste, reducing the costs of </w:t>
      </w:r>
      <w:r w:rsidR="00320D2D" w:rsidRPr="005B4339">
        <w:rPr>
          <w:rFonts w:ascii="Times New Roman" w:hAnsi="Times New Roman" w:cs="Times New Roman"/>
          <w:noProof/>
          <w:sz w:val="24"/>
          <w:szCs w:val="24"/>
          <w:lang w:val="en-IE"/>
        </w:rPr>
        <w:t>disposing it in an environmentally sound manner</w:t>
      </w:r>
      <w:r w:rsidR="008465DD" w:rsidRPr="005B4339">
        <w:rPr>
          <w:rFonts w:ascii="Times New Roman" w:hAnsi="Times New Roman" w:cs="Times New Roman"/>
          <w:noProof/>
          <w:sz w:val="24"/>
          <w:szCs w:val="24"/>
          <w:lang w:val="en-IE"/>
        </w:rPr>
        <w:t>.</w:t>
      </w:r>
    </w:p>
    <w:p w14:paraId="449EB8AB" w14:textId="36073BD7" w:rsidR="00766648" w:rsidRPr="005B4339" w:rsidRDefault="00766648" w:rsidP="004E1642">
      <w:pPr>
        <w:pStyle w:val="WDBody"/>
        <w:spacing w:after="24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With regard to pre-consumer textiles, the different fractions of textiles materials and textiles items would be required to be kept separate at the point of waste generation in order to facilitate subsequent preparation for reuse or recycling and subject to recovery operations. This may require changes to the way in which wastes are separated at the point of generation and collected by waste operators. Whilst the volumes of waste being generated would not change, the manner of their storage and collection would change. This may, in turn, generate some small additional costs to enact.</w:t>
      </w:r>
    </w:p>
    <w:p w14:paraId="4401A3D3" w14:textId="77777777" w:rsidR="008465DD" w:rsidRPr="005B4339" w:rsidRDefault="008465DD" w:rsidP="009F1CEF">
      <w:pPr>
        <w:spacing w:after="120"/>
        <w:rPr>
          <w:b/>
          <w:noProof/>
          <w:lang w:val="en-IE"/>
        </w:rPr>
      </w:pPr>
      <w:r w:rsidRPr="005B4339">
        <w:rPr>
          <w:b/>
          <w:noProof/>
          <w:lang w:val="en-IE"/>
        </w:rPr>
        <w:t>Environmental impacts</w:t>
      </w:r>
    </w:p>
    <w:p w14:paraId="7ED67A50" w14:textId="51B4A3B7" w:rsidR="008465DD" w:rsidRPr="005B4339" w:rsidRDefault="008465DD" w:rsidP="007D69D3">
      <w:pPr>
        <w:pStyle w:val="WDBody"/>
        <w:spacing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Requiring sorting is likely to have two main environmental impacts</w:t>
      </w:r>
      <w:r w:rsidR="00320D2D" w:rsidRPr="005B4339">
        <w:rPr>
          <w:rFonts w:ascii="Times New Roman" w:hAnsi="Times New Roman" w:cs="Times New Roman"/>
          <w:noProof/>
          <w:sz w:val="24"/>
          <w:szCs w:val="24"/>
          <w:lang w:val="en-IE"/>
        </w:rPr>
        <w:t>. Firstly, a</w:t>
      </w:r>
      <w:r w:rsidR="00B20CEA" w:rsidRPr="005B4339">
        <w:rPr>
          <w:rFonts w:ascii="Times New Roman" w:hAnsi="Times New Roman" w:cs="Times New Roman"/>
          <w:noProof/>
          <w:sz w:val="24"/>
          <w:szCs w:val="24"/>
          <w:lang w:val="en-IE"/>
        </w:rPr>
        <w:t>n</w:t>
      </w:r>
      <w:r w:rsidRPr="005B4339">
        <w:rPr>
          <w:rFonts w:ascii="Times New Roman" w:hAnsi="Times New Roman" w:cs="Times New Roman"/>
          <w:noProof/>
          <w:sz w:val="24"/>
          <w:szCs w:val="24"/>
          <w:lang w:val="en-IE"/>
        </w:rPr>
        <w:t xml:space="preserve"> obligation to sort textiles </w:t>
      </w:r>
      <w:r w:rsidR="00B20CEA" w:rsidRPr="005B4339">
        <w:rPr>
          <w:rFonts w:ascii="Times New Roman" w:hAnsi="Times New Roman" w:cs="Times New Roman"/>
          <w:noProof/>
          <w:sz w:val="24"/>
          <w:szCs w:val="24"/>
          <w:lang w:val="en-IE"/>
        </w:rPr>
        <w:t xml:space="preserve">in order to export them for </w:t>
      </w:r>
      <w:r w:rsidR="00D96247" w:rsidRPr="005B4339">
        <w:rPr>
          <w:rFonts w:ascii="Times New Roman" w:hAnsi="Times New Roman" w:cs="Times New Roman"/>
          <w:noProof/>
          <w:sz w:val="24"/>
          <w:szCs w:val="24"/>
          <w:lang w:val="en-IE"/>
        </w:rPr>
        <w:t>reuse</w:t>
      </w:r>
      <w:r w:rsidR="00B20CE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would assist in the </w:t>
      </w:r>
      <w:r w:rsidR="00B20CEA" w:rsidRPr="005B4339">
        <w:rPr>
          <w:rFonts w:ascii="Times New Roman" w:hAnsi="Times New Roman" w:cs="Times New Roman"/>
          <w:noProof/>
          <w:sz w:val="24"/>
          <w:szCs w:val="24"/>
          <w:lang w:val="en-IE"/>
        </w:rPr>
        <w:t xml:space="preserve">strong reduction </w:t>
      </w:r>
      <w:r w:rsidRPr="005B4339">
        <w:rPr>
          <w:rFonts w:ascii="Times New Roman" w:hAnsi="Times New Roman" w:cs="Times New Roman"/>
          <w:noProof/>
          <w:sz w:val="24"/>
          <w:szCs w:val="24"/>
          <w:lang w:val="en-IE"/>
        </w:rPr>
        <w:t>of textiles that are not actually reusable (i.e.</w:t>
      </w:r>
      <w:r w:rsidR="009E162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they are waste) as these would either be retained within the EU and </w:t>
      </w:r>
      <w:r w:rsidR="007D69D3" w:rsidRPr="005B4339">
        <w:rPr>
          <w:rFonts w:ascii="Times New Roman" w:hAnsi="Times New Roman" w:cs="Times New Roman"/>
          <w:noProof/>
          <w:sz w:val="24"/>
          <w:szCs w:val="24"/>
          <w:lang w:val="en-IE"/>
        </w:rPr>
        <w:t xml:space="preserve">be </w:t>
      </w:r>
      <w:r w:rsidR="007D69D3" w:rsidRPr="005B4339">
        <w:rPr>
          <w:rFonts w:ascii="Times New Roman" w:hAnsi="Times New Roman" w:cs="Times New Roman"/>
          <w:noProof/>
          <w:sz w:val="24"/>
          <w:szCs w:val="24"/>
          <w:lang w:val="en-IE"/>
        </w:rPr>
        <w:lastRenderedPageBreak/>
        <w:t>disposed of or would be exported unsorted (i.e., as waste) and subject to</w:t>
      </w:r>
      <w:r w:rsidRPr="005B4339">
        <w:rPr>
          <w:rFonts w:ascii="Times New Roman" w:hAnsi="Times New Roman" w:cs="Times New Roman"/>
          <w:noProof/>
          <w:sz w:val="24"/>
          <w:szCs w:val="24"/>
          <w:lang w:val="en-IE"/>
        </w:rPr>
        <w:t xml:space="preserve"> the requirements of the WSR. The negative impacts of the materials that are </w:t>
      </w:r>
      <w:r w:rsidR="007D69D3" w:rsidRPr="005B4339">
        <w:rPr>
          <w:rFonts w:ascii="Times New Roman" w:hAnsi="Times New Roman" w:cs="Times New Roman"/>
          <w:noProof/>
          <w:sz w:val="24"/>
          <w:szCs w:val="24"/>
          <w:lang w:val="en-IE"/>
        </w:rPr>
        <w:t xml:space="preserve">in fact </w:t>
      </w:r>
      <w:r w:rsidRPr="005B4339">
        <w:rPr>
          <w:rFonts w:ascii="Times New Roman" w:hAnsi="Times New Roman" w:cs="Times New Roman"/>
          <w:noProof/>
          <w:sz w:val="24"/>
          <w:szCs w:val="24"/>
          <w:lang w:val="en-IE"/>
        </w:rPr>
        <w:t xml:space="preserve">waste and are </w:t>
      </w:r>
      <w:r w:rsidR="007D69D3" w:rsidRPr="005B4339">
        <w:rPr>
          <w:rFonts w:ascii="Times New Roman" w:hAnsi="Times New Roman" w:cs="Times New Roman"/>
          <w:noProof/>
          <w:sz w:val="24"/>
          <w:szCs w:val="24"/>
          <w:lang w:val="en-IE"/>
        </w:rPr>
        <w:t xml:space="preserve">currently </w:t>
      </w:r>
      <w:r w:rsidRPr="005B4339">
        <w:rPr>
          <w:rFonts w:ascii="Times New Roman" w:hAnsi="Times New Roman" w:cs="Times New Roman"/>
          <w:noProof/>
          <w:sz w:val="24"/>
          <w:szCs w:val="24"/>
          <w:lang w:val="en-IE"/>
        </w:rPr>
        <w:t xml:space="preserve">exported </w:t>
      </w:r>
      <w:r w:rsidR="007D69D3" w:rsidRPr="005B4339">
        <w:rPr>
          <w:rFonts w:ascii="Times New Roman" w:hAnsi="Times New Roman" w:cs="Times New Roman"/>
          <w:noProof/>
          <w:sz w:val="24"/>
          <w:szCs w:val="24"/>
          <w:lang w:val="en-IE"/>
        </w:rPr>
        <w:t xml:space="preserve">as </w:t>
      </w:r>
      <w:r w:rsidR="0014738B" w:rsidRPr="005B4339">
        <w:rPr>
          <w:rFonts w:ascii="Times New Roman" w:hAnsi="Times New Roman" w:cs="Times New Roman"/>
          <w:noProof/>
          <w:sz w:val="24"/>
          <w:szCs w:val="24"/>
          <w:lang w:val="en-IE"/>
        </w:rPr>
        <w:t>reusable</w:t>
      </w:r>
      <w:r w:rsidR="007D69D3" w:rsidRPr="005B4339">
        <w:rPr>
          <w:rFonts w:ascii="Times New Roman" w:hAnsi="Times New Roman" w:cs="Times New Roman"/>
          <w:noProof/>
          <w:sz w:val="24"/>
          <w:szCs w:val="24"/>
          <w:lang w:val="en-IE"/>
        </w:rPr>
        <w:t xml:space="preserve"> textiles </w:t>
      </w:r>
      <w:r w:rsidRPr="005B4339">
        <w:rPr>
          <w:rFonts w:ascii="Times New Roman" w:hAnsi="Times New Roman" w:cs="Times New Roman"/>
          <w:noProof/>
          <w:sz w:val="24"/>
          <w:szCs w:val="24"/>
          <w:lang w:val="en-IE"/>
        </w:rPr>
        <w:t>would, therefore, be mitigated.</w:t>
      </w:r>
      <w:r w:rsidR="007D69D3" w:rsidRPr="005B4339">
        <w:rPr>
          <w:rFonts w:ascii="Times New Roman" w:hAnsi="Times New Roman" w:cs="Times New Roman"/>
          <w:noProof/>
          <w:sz w:val="24"/>
          <w:szCs w:val="24"/>
          <w:lang w:val="en-IE"/>
        </w:rPr>
        <w:t xml:space="preserve"> Secondly, a</w:t>
      </w:r>
      <w:r w:rsidRPr="005B4339">
        <w:rPr>
          <w:rFonts w:ascii="Times New Roman" w:hAnsi="Times New Roman" w:cs="Times New Roman"/>
          <w:noProof/>
          <w:sz w:val="24"/>
          <w:szCs w:val="24"/>
          <w:lang w:val="en-IE"/>
        </w:rPr>
        <w:t xml:space="preserve">n obligation to sort textiles according to EU wide criteria is likely to result in a more consistent sorting process that </w:t>
      </w:r>
      <w:r w:rsidR="009D6AB6" w:rsidRPr="005B4339">
        <w:rPr>
          <w:rFonts w:ascii="Times New Roman" w:hAnsi="Times New Roman" w:cs="Times New Roman"/>
          <w:noProof/>
          <w:sz w:val="24"/>
          <w:szCs w:val="24"/>
          <w:lang w:val="en-IE"/>
        </w:rPr>
        <w:t xml:space="preserve">maximises reuse </w:t>
      </w:r>
      <w:r w:rsidRPr="005B4339">
        <w:rPr>
          <w:rFonts w:ascii="Times New Roman" w:hAnsi="Times New Roman" w:cs="Times New Roman"/>
          <w:noProof/>
          <w:sz w:val="24"/>
          <w:szCs w:val="24"/>
          <w:lang w:val="en-IE"/>
        </w:rPr>
        <w:t xml:space="preserve">and recycling of textiles in the first instance, ensuring that a greater volume of textiles are </w:t>
      </w:r>
      <w:r w:rsidR="00DF5564" w:rsidRPr="005B4339">
        <w:rPr>
          <w:rFonts w:ascii="Times New Roman" w:hAnsi="Times New Roman" w:cs="Times New Roman"/>
          <w:noProof/>
          <w:sz w:val="24"/>
          <w:szCs w:val="24"/>
          <w:lang w:val="en-IE"/>
        </w:rPr>
        <w:t>managed</w:t>
      </w:r>
      <w:r w:rsidRPr="005B4339">
        <w:rPr>
          <w:rFonts w:ascii="Times New Roman" w:hAnsi="Times New Roman" w:cs="Times New Roman"/>
          <w:noProof/>
          <w:sz w:val="24"/>
          <w:szCs w:val="24"/>
          <w:lang w:val="en-IE"/>
        </w:rPr>
        <w:t xml:space="preserve"> higher up the waste hierarchy and, as a result, the environmental impacts of those materials are mitigated to the extent possible.</w:t>
      </w:r>
    </w:p>
    <w:p w14:paraId="7DD84338" w14:textId="16DBB77C" w:rsidR="00ED5427" w:rsidRPr="005B4339" w:rsidRDefault="00C97CA8" w:rsidP="007A62AB">
      <w:pPr>
        <w:spacing w:after="120"/>
        <w:rPr>
          <w:noProof/>
          <w:color w:val="000000" w:themeColor="text1"/>
          <w:lang w:val="en-IE"/>
        </w:rPr>
      </w:pPr>
      <w:r w:rsidRPr="005B4339">
        <w:rPr>
          <w:noProof/>
          <w:color w:val="000000" w:themeColor="text1"/>
          <w:lang w:val="en-IE"/>
        </w:rPr>
        <w:t xml:space="preserve">The effect of displacement of </w:t>
      </w:r>
      <w:r w:rsidR="00DA1624" w:rsidRPr="005B4339">
        <w:rPr>
          <w:noProof/>
          <w:color w:val="000000" w:themeColor="text1"/>
          <w:lang w:val="en-IE"/>
        </w:rPr>
        <w:t xml:space="preserve">new textiles by reused textiles is also likely to take place.  However, there is little certainty as to the level of displacement that would take place.  </w:t>
      </w:r>
      <w:r w:rsidR="00ED5427" w:rsidRPr="005B4339">
        <w:rPr>
          <w:noProof/>
          <w:color w:val="000000" w:themeColor="text1"/>
          <w:lang w:val="en-IE"/>
        </w:rPr>
        <w:t>In an assessment of the environmental benefits of reusing clothes</w:t>
      </w:r>
      <w:r w:rsidR="00ED5427" w:rsidRPr="005B4339">
        <w:rPr>
          <w:noProof/>
          <w:color w:val="000000"/>
          <w:vertAlign w:val="superscript"/>
          <w:lang w:val="en-IE"/>
        </w:rPr>
        <w:footnoteReference w:id="50"/>
      </w:r>
      <w:r w:rsidR="00ED5427" w:rsidRPr="005B4339">
        <w:rPr>
          <w:noProof/>
          <w:color w:val="000000" w:themeColor="text1"/>
          <w:lang w:val="en-IE"/>
        </w:rPr>
        <w:t xml:space="preserve"> Farrant et al examined the displacement of new clothing purchases through second hand clothing sales and found that the purchase of 100 items of second-hand clothing was estimated to reduce the purchase of between 60 and 85 virgin clothes, depending on the place of reuse.  At the same time, however, it is important to note that only approximately 15% of clothing suitable for reuse following separate collection in the EU is actually reused within the EU, with the rest exported to third countries for reuse.  Consequently, the effect of increased sorting and reuse within the EU on sales of new textiles equivalents is likely to be limited.  Using the lower estimate of Farrant et al of 60 percent replacement and the changes in sorting and reusable fractions foreseen under this measure the additional volume of displacement would be approximately 58 500 tonnes by 2035, or approximately a 1% effect on new textile sales in the EU. A displacement effect outside of the EU is also possible but given the wide variety of nations that receive EU used textiles the effects in those recipient countries cannot be quantified.</w:t>
      </w:r>
    </w:p>
    <w:p w14:paraId="4D980114" w14:textId="5EE15A2A" w:rsidR="00C26C8F" w:rsidRPr="005B4339" w:rsidRDefault="00C26C8F" w:rsidP="00C26C8F">
      <w:pPr>
        <w:spacing w:after="120"/>
        <w:rPr>
          <w:noProof/>
          <w:color w:val="000000"/>
          <w:lang w:val="en-IE"/>
        </w:rPr>
      </w:pPr>
      <w:r w:rsidRPr="005B4339">
        <w:rPr>
          <w:noProof/>
          <w:color w:val="000000" w:themeColor="text1"/>
          <w:lang w:val="en-IE"/>
        </w:rPr>
        <w:t xml:space="preserve">Additionally, the recycling of textiles would replace some virgin fibre production with recycled fibres. As noted under the economic impacts </w:t>
      </w:r>
      <w:r w:rsidRPr="005B4339">
        <w:rPr>
          <w:noProof/>
          <w:lang w:val="en-IE"/>
        </w:rPr>
        <w:t>using a basic assumption that between 20 – 50% of the volumes available for recycling would replace virgin fibres would result in between 118 000 tonnes and 295 000 tonnes of virgin fibres being replaced by recycled fibres under this measure. Under such circumstances the environmental impacts of virgin fibre production would be avoided. McKinsey</w:t>
      </w:r>
      <w:r w:rsidRPr="005B4339">
        <w:rPr>
          <w:rStyle w:val="FootnoteReference"/>
          <w:noProof/>
          <w:lang w:val="en-IE"/>
        </w:rPr>
        <w:footnoteReference w:id="51"/>
      </w:r>
      <w:r w:rsidRPr="005B4339">
        <w:rPr>
          <w:noProof/>
          <w:lang w:val="en-IE"/>
        </w:rPr>
        <w:t xml:space="preserve"> uses values from the Stockholm Environmental Institute to calculate land use for the production of virgin fibres whereby ~2 hectare per tonne of fibre output as an average all fibres is applied to calculate the land-use saved through displacement of virgin fibres by recycled fibres. Additionally, McKinsey calculates water consumption of approximately 600m</w:t>
      </w:r>
      <w:r w:rsidRPr="005B4339">
        <w:rPr>
          <w:noProof/>
          <w:vertAlign w:val="superscript"/>
          <w:lang w:val="en-IE"/>
        </w:rPr>
        <w:t>3</w:t>
      </w:r>
      <w:r w:rsidRPr="005B4339">
        <w:rPr>
          <w:noProof/>
          <w:lang w:val="en-IE"/>
        </w:rPr>
        <w:t xml:space="preserve"> per tonne of fibre output using data from Mistra Future Fashion which in itself summarises various data points.  Applying the same values to the potential savings in virgin fibre production calculated under this measures would result in land use savings of between 236 000 hectares and 590 000 hectares and water savings of between 71 million and 177 million m</w:t>
      </w:r>
      <w:r w:rsidRPr="005B4339">
        <w:rPr>
          <w:noProof/>
          <w:vertAlign w:val="superscript"/>
          <w:lang w:val="en-IE"/>
        </w:rPr>
        <w:t>3</w:t>
      </w:r>
      <w:r w:rsidRPr="005B4339">
        <w:rPr>
          <w:noProof/>
          <w:lang w:val="en-IE"/>
        </w:rPr>
        <w:t xml:space="preserve"> per year.</w:t>
      </w:r>
    </w:p>
    <w:p w14:paraId="4A3DE3C5" w14:textId="7FA11756" w:rsidR="008465DD" w:rsidRPr="005B4339" w:rsidRDefault="00635B47" w:rsidP="003D3F38">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T</w:t>
      </w:r>
      <w:r w:rsidR="008465DD" w:rsidRPr="005B4339">
        <w:rPr>
          <w:rFonts w:ascii="Times New Roman" w:hAnsi="Times New Roman" w:cs="Times New Roman"/>
          <w:noProof/>
          <w:sz w:val="24"/>
          <w:szCs w:val="24"/>
          <w:lang w:val="en-IE"/>
        </w:rPr>
        <w:t xml:space="preserve">he volume of textiles exported from the EU to third countries each year </w:t>
      </w:r>
      <w:r w:rsidRPr="005B4339">
        <w:rPr>
          <w:rFonts w:ascii="Times New Roman" w:hAnsi="Times New Roman" w:cs="Times New Roman"/>
          <w:noProof/>
          <w:sz w:val="24"/>
          <w:szCs w:val="24"/>
          <w:lang w:val="en-IE"/>
        </w:rPr>
        <w:t>was</w:t>
      </w:r>
      <w:r w:rsidR="008465DD"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predicted</w:t>
      </w:r>
      <w:r w:rsidR="008465DD" w:rsidRPr="005B4339">
        <w:rPr>
          <w:rFonts w:ascii="Times New Roman" w:hAnsi="Times New Roman" w:cs="Times New Roman"/>
          <w:noProof/>
          <w:sz w:val="24"/>
          <w:szCs w:val="24"/>
          <w:lang w:val="en-IE"/>
        </w:rPr>
        <w:t xml:space="preserve"> in the Commission Impact Assessment accompanying the proposal to amend the WSR</w:t>
      </w:r>
      <w:r w:rsidR="008465DD" w:rsidRPr="005B4339">
        <w:rPr>
          <w:rFonts w:ascii="Times New Roman" w:hAnsi="Times New Roman" w:cs="Times New Roman"/>
          <w:noProof/>
          <w:sz w:val="24"/>
          <w:szCs w:val="24"/>
          <w:vertAlign w:val="superscript"/>
          <w:lang w:val="en-IE"/>
        </w:rPr>
        <w:footnoteReference w:id="52"/>
      </w:r>
      <w:r w:rsidR="008465DD" w:rsidRPr="005B4339">
        <w:rPr>
          <w:rFonts w:ascii="Times New Roman" w:hAnsi="Times New Roman" w:cs="Times New Roman"/>
          <w:noProof/>
          <w:sz w:val="24"/>
          <w:szCs w:val="24"/>
          <w:lang w:val="en-IE"/>
        </w:rPr>
        <w:t xml:space="preserve"> that </w:t>
      </w:r>
      <w:r w:rsidRPr="005B4339">
        <w:rPr>
          <w:rFonts w:ascii="Times New Roman" w:hAnsi="Times New Roman" w:cs="Times New Roman"/>
          <w:noProof/>
          <w:sz w:val="24"/>
          <w:szCs w:val="24"/>
          <w:lang w:val="en-IE"/>
        </w:rPr>
        <w:t>indicated that</w:t>
      </w:r>
      <w:r w:rsidR="008465DD" w:rsidRPr="005B4339">
        <w:rPr>
          <w:rFonts w:ascii="Times New Roman" w:hAnsi="Times New Roman" w:cs="Times New Roman"/>
          <w:noProof/>
          <w:sz w:val="24"/>
          <w:szCs w:val="24"/>
          <w:lang w:val="en-IE"/>
        </w:rPr>
        <w:t xml:space="preserve"> exports beyond 2030 would equate to over 2 million tonnes</w:t>
      </w:r>
      <w:r w:rsidRPr="005B4339">
        <w:rPr>
          <w:rFonts w:ascii="Times New Roman" w:hAnsi="Times New Roman" w:cs="Times New Roman"/>
          <w:noProof/>
          <w:sz w:val="24"/>
          <w:szCs w:val="24"/>
          <w:lang w:val="en-IE"/>
        </w:rPr>
        <w:t xml:space="preserve">. </w:t>
      </w:r>
      <w:r w:rsidR="002606D4" w:rsidRPr="005B4339">
        <w:rPr>
          <w:rFonts w:ascii="Times New Roman" w:hAnsi="Times New Roman" w:cs="Times New Roman"/>
          <w:noProof/>
          <w:sz w:val="24"/>
          <w:szCs w:val="24"/>
          <w:lang w:val="en-IE"/>
        </w:rPr>
        <w:t>As noted under the impacts for measure 2.</w:t>
      </w:r>
      <w:r w:rsidR="0073E185" w:rsidRPr="005B4339">
        <w:rPr>
          <w:rFonts w:ascii="Times New Roman" w:hAnsi="Times New Roman" w:cs="Times New Roman"/>
          <w:noProof/>
          <w:sz w:val="24"/>
          <w:szCs w:val="24"/>
          <w:lang w:val="en-IE"/>
        </w:rPr>
        <w:t>8</w:t>
      </w:r>
      <w:r w:rsidR="002606D4" w:rsidRPr="005B4339">
        <w:rPr>
          <w:rFonts w:ascii="Times New Roman" w:hAnsi="Times New Roman" w:cs="Times New Roman"/>
          <w:noProof/>
          <w:sz w:val="24"/>
          <w:szCs w:val="24"/>
          <w:lang w:val="en-IE"/>
        </w:rPr>
        <w:t xml:space="preserve"> that looks at waste </w:t>
      </w:r>
      <w:r w:rsidR="7A47FE18" w:rsidRPr="005B4339">
        <w:rPr>
          <w:rFonts w:ascii="Times New Roman" w:hAnsi="Times New Roman" w:cs="Times New Roman"/>
          <w:noProof/>
          <w:sz w:val="24"/>
          <w:szCs w:val="24"/>
          <w:lang w:val="en-IE"/>
        </w:rPr>
        <w:t>shipment</w:t>
      </w:r>
      <w:r w:rsidR="002606D4" w:rsidRPr="005B4339">
        <w:rPr>
          <w:rFonts w:ascii="Times New Roman" w:hAnsi="Times New Roman" w:cs="Times New Roman"/>
          <w:noProof/>
          <w:sz w:val="24"/>
          <w:szCs w:val="24"/>
          <w:lang w:val="en-IE"/>
        </w:rPr>
        <w:t xml:space="preserve"> practices in the main receiving countries of EU textile waste</w:t>
      </w:r>
      <w:r w:rsidR="00724FDC" w:rsidRPr="005B4339">
        <w:rPr>
          <w:rFonts w:ascii="Times New Roman" w:hAnsi="Times New Roman" w:cs="Times New Roman"/>
          <w:noProof/>
          <w:sz w:val="24"/>
          <w:szCs w:val="24"/>
          <w:lang w:val="en-IE"/>
        </w:rPr>
        <w:t xml:space="preserve">, the recycling infrastructure in those countries is limited and high levels of landfilling and open dumping of waste is prevalent. Using a conservative estimate </w:t>
      </w:r>
      <w:r w:rsidR="008465DD" w:rsidRPr="005B4339">
        <w:rPr>
          <w:rFonts w:ascii="Times New Roman" w:hAnsi="Times New Roman" w:cs="Times New Roman"/>
          <w:noProof/>
          <w:sz w:val="24"/>
          <w:szCs w:val="24"/>
          <w:lang w:val="en-IE"/>
        </w:rPr>
        <w:t xml:space="preserve">that </w:t>
      </w:r>
      <w:r w:rsidR="00840A40" w:rsidRPr="005B4339">
        <w:rPr>
          <w:rFonts w:ascii="Times New Roman" w:hAnsi="Times New Roman" w:cs="Times New Roman"/>
          <w:noProof/>
          <w:sz w:val="24"/>
          <w:szCs w:val="24"/>
          <w:lang w:val="en-IE"/>
        </w:rPr>
        <w:t xml:space="preserve">8% of </w:t>
      </w:r>
      <w:r w:rsidR="008465DD" w:rsidRPr="005B4339">
        <w:rPr>
          <w:rFonts w:ascii="Times New Roman" w:hAnsi="Times New Roman" w:cs="Times New Roman"/>
          <w:noProof/>
          <w:sz w:val="24"/>
          <w:szCs w:val="24"/>
          <w:lang w:val="en-IE"/>
        </w:rPr>
        <w:t xml:space="preserve">the materials sent to third countries </w:t>
      </w:r>
      <w:r w:rsidR="00724FDC" w:rsidRPr="005B4339">
        <w:rPr>
          <w:rFonts w:ascii="Times New Roman" w:hAnsi="Times New Roman" w:cs="Times New Roman"/>
          <w:noProof/>
          <w:sz w:val="24"/>
          <w:szCs w:val="24"/>
          <w:lang w:val="en-IE"/>
        </w:rPr>
        <w:t xml:space="preserve">that </w:t>
      </w:r>
      <w:r w:rsidR="008465DD" w:rsidRPr="005B4339">
        <w:rPr>
          <w:rFonts w:ascii="Times New Roman" w:hAnsi="Times New Roman" w:cs="Times New Roman"/>
          <w:noProof/>
          <w:sz w:val="24"/>
          <w:szCs w:val="24"/>
          <w:lang w:val="en-IE"/>
        </w:rPr>
        <w:t xml:space="preserve">is disposed could otherwise have been recycled would entail a reduction in CO2e emissions of approximately 160 000 tonnes per </w:t>
      </w:r>
      <w:r w:rsidR="00D00D1B" w:rsidRPr="005B4339">
        <w:rPr>
          <w:rFonts w:ascii="Times New Roman" w:hAnsi="Times New Roman" w:cs="Times New Roman"/>
          <w:noProof/>
          <w:sz w:val="24"/>
          <w:szCs w:val="24"/>
          <w:lang w:val="en-IE"/>
        </w:rPr>
        <w:t>year</w:t>
      </w:r>
      <w:r w:rsidR="008465DD" w:rsidRPr="005B4339">
        <w:rPr>
          <w:rFonts w:ascii="Times New Roman" w:hAnsi="Times New Roman" w:cs="Times New Roman"/>
          <w:noProof/>
          <w:sz w:val="24"/>
          <w:szCs w:val="24"/>
          <w:lang w:val="en-IE"/>
        </w:rPr>
        <w:t xml:space="preserve"> equalling 16 million </w:t>
      </w:r>
      <w:r w:rsidR="00DC7CC2" w:rsidRPr="005B4339">
        <w:rPr>
          <w:rFonts w:ascii="Times New Roman" w:hAnsi="Times New Roman" w:cs="Times New Roman"/>
          <w:noProof/>
          <w:sz w:val="24"/>
          <w:szCs w:val="24"/>
          <w:lang w:val="en-IE"/>
        </w:rPr>
        <w:t xml:space="preserve">euro </w:t>
      </w:r>
      <w:r w:rsidR="00D00D1B" w:rsidRPr="005B4339">
        <w:rPr>
          <w:rFonts w:ascii="Times New Roman" w:hAnsi="Times New Roman" w:cs="Times New Roman"/>
          <w:noProof/>
          <w:sz w:val="24"/>
          <w:szCs w:val="24"/>
          <w:lang w:val="en-IE"/>
        </w:rPr>
        <w:t>year</w:t>
      </w:r>
      <w:r w:rsidR="235B1FCC" w:rsidRPr="005B4339">
        <w:rPr>
          <w:rFonts w:ascii="Times New Roman" w:hAnsi="Times New Roman" w:cs="Times New Roman"/>
          <w:noProof/>
          <w:sz w:val="24"/>
          <w:szCs w:val="24"/>
          <w:lang w:val="en-IE"/>
        </w:rPr>
        <w:t xml:space="preserve"> </w:t>
      </w:r>
      <w:r w:rsidR="00724FDC" w:rsidRPr="005B4339">
        <w:rPr>
          <w:rFonts w:ascii="Times New Roman" w:hAnsi="Times New Roman" w:cs="Times New Roman"/>
          <w:noProof/>
          <w:sz w:val="24"/>
          <w:szCs w:val="24"/>
          <w:lang w:val="en-IE"/>
        </w:rPr>
        <w:t>of environmental damage avoided by greater recycling by 2035</w:t>
      </w:r>
      <w:r w:rsidR="008465DD" w:rsidRPr="005B4339">
        <w:rPr>
          <w:rFonts w:ascii="Times New Roman" w:hAnsi="Times New Roman" w:cs="Times New Roman"/>
          <w:noProof/>
          <w:sz w:val="24"/>
          <w:szCs w:val="24"/>
          <w:lang w:val="en-IE"/>
        </w:rPr>
        <w:t>. Additionally, impacts from the release of pollutants due to incineration and / or landfilling in third countries would be avoided, including air pollution, water and groundwater pollution and release of microplastics.</w:t>
      </w:r>
    </w:p>
    <w:p w14:paraId="188A8C28" w14:textId="77106632" w:rsidR="0ED93961" w:rsidRPr="005B4339" w:rsidRDefault="0ED93961" w:rsidP="0D2C1126">
      <w:pPr>
        <w:pStyle w:val="WDBody"/>
        <w:spacing w:line="240" w:lineRule="auto"/>
        <w:jc w:val="both"/>
        <w:rPr>
          <w:rFonts w:ascii="Times New Roman" w:eastAsia="Times New Roman" w:hAnsi="Times New Roman" w:cs="Times New Roman"/>
          <w:noProof/>
          <w:sz w:val="24"/>
          <w:szCs w:val="24"/>
          <w:lang w:val="en-IE"/>
        </w:rPr>
      </w:pPr>
      <w:r w:rsidRPr="005B4339">
        <w:rPr>
          <w:rFonts w:ascii="Times New Roman" w:eastAsia="Times New Roman" w:hAnsi="Times New Roman" w:cs="Times New Roman"/>
          <w:noProof/>
          <w:sz w:val="24"/>
          <w:szCs w:val="24"/>
          <w:lang w:val="en-IE"/>
        </w:rPr>
        <w:t>The expectation is that exports of textiles that are not actually reusable (i.e. they are waste) will be retained within the EU and managed accordingly or exported outside the EU for further treatment in accordance with the Waste Shipment Regulation which once the recast regulation enters into force  will entail a verification mechanism that waste is exported only to those countries that have an appropriate waste management policy and infrastructure that ensures an equivalent treatment requirements for the waste than in the EU. The negative impacts of the materials that are waste and are exported at present would therefore be mitigated.</w:t>
      </w:r>
    </w:p>
    <w:p w14:paraId="654484C0" w14:textId="77777777" w:rsidR="008465DD" w:rsidRPr="005B4339" w:rsidRDefault="008465DD" w:rsidP="009F1CEF">
      <w:pPr>
        <w:spacing w:after="120"/>
        <w:rPr>
          <w:b/>
          <w:noProof/>
          <w:lang w:val="en-IE"/>
        </w:rPr>
      </w:pPr>
      <w:r w:rsidRPr="005B4339">
        <w:rPr>
          <w:b/>
          <w:noProof/>
          <w:lang w:val="en-IE"/>
        </w:rPr>
        <w:t>Social impacts</w:t>
      </w:r>
    </w:p>
    <w:p w14:paraId="10A5A606" w14:textId="271CE029" w:rsidR="008465DD" w:rsidRPr="005B4339" w:rsidRDefault="004634D3" w:rsidP="00BA1610">
      <w:pPr>
        <w:spacing w:after="120"/>
        <w:rPr>
          <w:noProof/>
          <w:lang w:val="en-IE"/>
        </w:rPr>
      </w:pPr>
      <w:r w:rsidRPr="005B4339">
        <w:rPr>
          <w:noProof/>
          <w:lang w:val="en-IE"/>
        </w:rPr>
        <w:t xml:space="preserve">Setting </w:t>
      </w:r>
      <w:r w:rsidR="008465DD" w:rsidRPr="005B4339">
        <w:rPr>
          <w:noProof/>
          <w:lang w:val="en-IE"/>
        </w:rPr>
        <w:t xml:space="preserve">sorting </w:t>
      </w:r>
      <w:r w:rsidRPr="005B4339">
        <w:rPr>
          <w:noProof/>
          <w:lang w:val="en-IE"/>
        </w:rPr>
        <w:t xml:space="preserve">requirements </w:t>
      </w:r>
      <w:r w:rsidR="008465DD" w:rsidRPr="005B4339">
        <w:rPr>
          <w:noProof/>
          <w:lang w:val="en-IE"/>
        </w:rPr>
        <w:t>would be expected to lead to additional employment in the sorting</w:t>
      </w:r>
      <w:r w:rsidR="00597435" w:rsidRPr="005B4339">
        <w:rPr>
          <w:noProof/>
          <w:lang w:val="en-IE"/>
        </w:rPr>
        <w:t xml:space="preserve">, the </w:t>
      </w:r>
      <w:r w:rsidR="00D96247" w:rsidRPr="005B4339">
        <w:rPr>
          <w:noProof/>
          <w:lang w:val="en-IE"/>
        </w:rPr>
        <w:t>reuse</w:t>
      </w:r>
      <w:r w:rsidR="00597435" w:rsidRPr="005B4339">
        <w:rPr>
          <w:noProof/>
          <w:lang w:val="en-IE"/>
        </w:rPr>
        <w:t xml:space="preserve"> </w:t>
      </w:r>
      <w:r w:rsidR="008465DD" w:rsidRPr="005B4339">
        <w:rPr>
          <w:noProof/>
          <w:lang w:val="en-IE"/>
        </w:rPr>
        <w:t xml:space="preserve">and further treatment of materials </w:t>
      </w:r>
      <w:r w:rsidR="00597435" w:rsidRPr="005B4339">
        <w:rPr>
          <w:noProof/>
          <w:lang w:val="en-IE"/>
        </w:rPr>
        <w:t>sectors</w:t>
      </w:r>
      <w:r w:rsidR="2B40BFAA" w:rsidRPr="005B4339">
        <w:rPr>
          <w:noProof/>
          <w:lang w:val="en-IE"/>
        </w:rPr>
        <w:t>, in the EU or in third countries</w:t>
      </w:r>
      <w:r w:rsidR="00597435" w:rsidRPr="005B4339">
        <w:rPr>
          <w:noProof/>
          <w:lang w:val="en-IE"/>
        </w:rPr>
        <w:t xml:space="preserve">. </w:t>
      </w:r>
      <w:r w:rsidR="008465DD" w:rsidRPr="005B4339">
        <w:rPr>
          <w:noProof/>
          <w:lang w:val="en-IE"/>
        </w:rPr>
        <w:t>Whilst it is difficult to determine the downstream processing employment that would result, in terms of sorting capacity alone</w:t>
      </w:r>
      <w:r w:rsidRPr="005B4339">
        <w:rPr>
          <w:noProof/>
          <w:lang w:val="en-IE"/>
        </w:rPr>
        <w:t xml:space="preserve">, </w:t>
      </w:r>
      <w:r w:rsidR="00587F8B" w:rsidRPr="005B4339">
        <w:rPr>
          <w:noProof/>
          <w:lang w:val="en-IE"/>
        </w:rPr>
        <w:t>8 740</w:t>
      </w:r>
      <w:r w:rsidR="008465DD" w:rsidRPr="005B4339">
        <w:rPr>
          <w:noProof/>
          <w:lang w:val="en-IE"/>
        </w:rPr>
        <w:t xml:space="preserve"> jobs </w:t>
      </w:r>
      <w:r w:rsidRPr="005B4339">
        <w:rPr>
          <w:noProof/>
          <w:lang w:val="en-IE"/>
        </w:rPr>
        <w:t xml:space="preserve">are expected to be </w:t>
      </w:r>
      <w:r w:rsidR="008465DD" w:rsidRPr="005B4339">
        <w:rPr>
          <w:noProof/>
          <w:lang w:val="en-IE"/>
        </w:rPr>
        <w:t>created to handle the increase in textile waste generation foreseen.</w:t>
      </w:r>
    </w:p>
    <w:p w14:paraId="4A808474" w14:textId="1B79C212" w:rsidR="00BD71BE" w:rsidRPr="005B4339" w:rsidRDefault="00BD71BE" w:rsidP="006554B6">
      <w:pPr>
        <w:spacing w:after="120"/>
        <w:rPr>
          <w:noProof/>
          <w:lang w:val="en-IE"/>
        </w:rPr>
      </w:pPr>
      <w:r w:rsidRPr="005B4339">
        <w:rPr>
          <w:noProof/>
          <w:color w:val="000000" w:themeColor="text1"/>
          <w:lang w:val="en-IE"/>
        </w:rPr>
        <w:t>Additionally, the social impacts of textiles waste in third countries is emphasised in the Commission’s Staff Working Document accompanying the ecodesign proposal</w:t>
      </w:r>
      <w:r w:rsidRPr="005B4339">
        <w:rPr>
          <w:noProof/>
          <w:color w:val="000000"/>
          <w:vertAlign w:val="superscript"/>
          <w:lang w:val="en-IE"/>
        </w:rPr>
        <w:footnoteReference w:id="53"/>
      </w:r>
      <w:r w:rsidRPr="005B4339">
        <w:rPr>
          <w:noProof/>
          <w:color w:val="000000" w:themeColor="text1"/>
          <w:lang w:val="en-IE"/>
        </w:rPr>
        <w:t xml:space="preserve"> that notes that garments exported for reuse often end up being burnt, which impacts the local environment and inhabitants as developing countries generally do not have the suitable infrastructure to discard them safely. The same SWD quotes that 40% of the clothing traded at the Kantamanto Market (Ghana) ends up in landfill almost immediately due to its poo</w:t>
      </w:r>
      <w:r w:rsidR="004B060C" w:rsidRPr="005B4339">
        <w:rPr>
          <w:noProof/>
          <w:color w:val="000000" w:themeColor="text1"/>
          <w:lang w:val="en-IE"/>
        </w:rPr>
        <w:t>r quality.</w:t>
      </w:r>
      <w:r w:rsidRPr="005B4339">
        <w:rPr>
          <w:noProof/>
          <w:color w:val="000000" w:themeColor="text1"/>
          <w:lang w:val="en-IE"/>
        </w:rPr>
        <w:t xml:space="preserve"> McKinsey</w:t>
      </w:r>
      <w:r w:rsidRPr="005B4339">
        <w:rPr>
          <w:noProof/>
          <w:color w:val="000000"/>
          <w:vertAlign w:val="superscript"/>
          <w:lang w:val="en-IE"/>
        </w:rPr>
        <w:footnoteReference w:id="54"/>
      </w:r>
      <w:r w:rsidRPr="005B4339">
        <w:rPr>
          <w:noProof/>
          <w:color w:val="000000" w:themeColor="text1"/>
          <w:lang w:val="en-IE"/>
        </w:rPr>
        <w:t xml:space="preserve"> also notes that exports of used clothing and household textiles to third countries are partly legitimate and aligned with the waste hierarchy as some goes to reuse. However, McKinsey also identifies that there is simultaneously a large problem with textile-waste management, especially in some of the Global South countries to which European textiles are exported—particularly the ex</w:t>
      </w:r>
      <w:r w:rsidR="004B060C" w:rsidRPr="005B4339">
        <w:rPr>
          <w:noProof/>
          <w:color w:val="000000" w:themeColor="text1"/>
          <w:lang w:val="en-IE"/>
        </w:rPr>
        <w:t>ports of unsorted textile waste</w:t>
      </w:r>
      <w:r w:rsidRPr="005B4339">
        <w:rPr>
          <w:noProof/>
          <w:color w:val="000000" w:themeColor="text1"/>
          <w:lang w:val="en-IE"/>
        </w:rPr>
        <w:t xml:space="preserve"> as many of these countries do not have the capacity to recycle this waste, and, as a consequence, much of it ends up in landfills or incineration. Whilst several NGOs have </w:t>
      </w:r>
      <w:r w:rsidRPr="005B4339">
        <w:rPr>
          <w:noProof/>
          <w:color w:val="000000" w:themeColor="text1"/>
          <w:lang w:val="en-IE"/>
        </w:rPr>
        <w:lastRenderedPageBreak/>
        <w:t>highlighted the challenges resulting from exports of textile from the EU to third countries Greenpeace</w:t>
      </w:r>
      <w:r w:rsidRPr="005B4339">
        <w:rPr>
          <w:noProof/>
          <w:color w:val="000000"/>
          <w:vertAlign w:val="superscript"/>
          <w:lang w:val="en-IE"/>
        </w:rPr>
        <w:footnoteReference w:id="55"/>
      </w:r>
      <w:r w:rsidRPr="005B4339">
        <w:rPr>
          <w:noProof/>
          <w:color w:val="000000" w:themeColor="text1"/>
          <w:lang w:val="en-IE"/>
        </w:rPr>
        <w:t>, the Plastic Soup Foundation</w:t>
      </w:r>
      <w:r w:rsidRPr="005B4339">
        <w:rPr>
          <w:noProof/>
          <w:color w:val="000000"/>
          <w:vertAlign w:val="superscript"/>
          <w:lang w:val="en-IE"/>
        </w:rPr>
        <w:footnoteReference w:id="56"/>
      </w:r>
      <w:r w:rsidRPr="005B4339">
        <w:rPr>
          <w:noProof/>
          <w:color w:val="000000" w:themeColor="text1"/>
          <w:lang w:val="en-IE"/>
        </w:rPr>
        <w:t xml:space="preserve"> and the movie ‘Textile Mountain’</w:t>
      </w:r>
      <w:r w:rsidRPr="005B4339">
        <w:rPr>
          <w:noProof/>
          <w:color w:val="000000"/>
          <w:vertAlign w:val="superscript"/>
          <w:lang w:val="en-IE"/>
        </w:rPr>
        <w:footnoteReference w:id="57"/>
      </w:r>
      <w:r w:rsidR="00F81A43" w:rsidRPr="005B4339">
        <w:rPr>
          <w:noProof/>
          <w:color w:val="000000"/>
          <w:lang w:val="en-IE"/>
        </w:rPr>
        <w:t>,</w:t>
      </w:r>
      <w:r w:rsidRPr="005B4339">
        <w:rPr>
          <w:noProof/>
          <w:color w:val="000000" w:themeColor="text1"/>
          <w:lang w:val="en-IE"/>
        </w:rPr>
        <w:t xml:space="preserve"> the challenges of fast fashion have also been acknowledged by UNEP</w:t>
      </w:r>
      <w:r w:rsidRPr="005B4339">
        <w:rPr>
          <w:noProof/>
          <w:color w:val="000000"/>
          <w:vertAlign w:val="superscript"/>
          <w:lang w:val="en-IE"/>
        </w:rPr>
        <w:footnoteReference w:id="58"/>
      </w:r>
      <w:r w:rsidRPr="005B4339">
        <w:rPr>
          <w:noProof/>
          <w:color w:val="000000" w:themeColor="text1"/>
          <w:lang w:val="en-IE"/>
        </w:rPr>
        <w:t xml:space="preserve"> and the OECD</w:t>
      </w:r>
      <w:r w:rsidRPr="005B4339">
        <w:rPr>
          <w:noProof/>
          <w:color w:val="000000"/>
          <w:vertAlign w:val="superscript"/>
          <w:lang w:val="en-IE"/>
        </w:rPr>
        <w:footnoteReference w:id="59"/>
      </w:r>
      <w:r w:rsidRPr="005B4339">
        <w:rPr>
          <w:noProof/>
          <w:color w:val="000000" w:themeColor="text1"/>
          <w:lang w:val="en-IE"/>
        </w:rPr>
        <w:t xml:space="preserve"> at the end of textile life.  The export of these quantities also leads to additional transport, further weighing down on the environmental impact of textiles.</w:t>
      </w:r>
      <w:r w:rsidR="00B73729" w:rsidRPr="005B4339">
        <w:rPr>
          <w:noProof/>
          <w:color w:val="000000" w:themeColor="text1"/>
          <w:lang w:val="en-IE"/>
        </w:rPr>
        <w:t xml:space="preserve"> </w:t>
      </w:r>
      <w:r w:rsidR="00832836" w:rsidRPr="005B4339">
        <w:rPr>
          <w:noProof/>
          <w:color w:val="000000" w:themeColor="text1"/>
          <w:lang w:val="en-IE"/>
        </w:rPr>
        <w:t>Ensuring that better sorted textiles are sent to third countries for reuse should add to the value of those exports and to those receiving them in third countries whilst negating the waste management costs that currently arise through the contamination of reusable textiles with waste.</w:t>
      </w:r>
    </w:p>
    <w:p w14:paraId="18E03AF3" w14:textId="77777777" w:rsidR="003E2032" w:rsidRPr="005B4339" w:rsidRDefault="00BD71BE" w:rsidP="003E2032">
      <w:pPr>
        <w:rPr>
          <w:noProof/>
          <w:lang w:val="en-IE"/>
        </w:rPr>
      </w:pPr>
      <w:r w:rsidRPr="005B4339">
        <w:rPr>
          <w:noProof/>
          <w:lang w:val="en-IE"/>
        </w:rPr>
        <w:t>The further targeting of textile wastes sent to such third countries would undoubtedly reduce the volumes of materials dumped and open-burned in such a manner, having a positive impact on the social wellbeing on people in proximity to such waste sites as well as in relation to the health and safety of those currently involved in such waste management activities.</w:t>
      </w:r>
      <w:r w:rsidR="003558D8" w:rsidRPr="005B4339">
        <w:rPr>
          <w:noProof/>
          <w:lang w:val="en-IE"/>
        </w:rPr>
        <w:t xml:space="preserve"> </w:t>
      </w:r>
      <w:r w:rsidR="003E2032" w:rsidRPr="005B4339">
        <w:rPr>
          <w:noProof/>
          <w:lang w:val="en-IE"/>
        </w:rPr>
        <w:t>Conversely, however, the employment of those currently involved in sorting textiles in third countries may be negatively impacted from an economic standpoint as sorting may instead be taking place within the EU (otherwise the requirements of the WSR would apply to protect workers in the country of receipt).  It has not been possible to quantify the number of jobs that would be impacted but the number would almost certainly be higher than the number of additional jobs expected to be generated within the EU through additional sorting as a result of the more automated sorting practices that take place within the EU in comparison to third countries.</w:t>
      </w:r>
    </w:p>
    <w:p w14:paraId="6D423C7D" w14:textId="77777777" w:rsidR="003E2032" w:rsidRPr="005B4339" w:rsidRDefault="003E2032" w:rsidP="003E2032">
      <w:pPr>
        <w:rPr>
          <w:noProof/>
          <w:lang w:val="en-IE"/>
        </w:rPr>
      </w:pPr>
      <w:r w:rsidRPr="005B4339">
        <w:rPr>
          <w:noProof/>
          <w:lang w:val="en-IE"/>
        </w:rPr>
        <w:t>Finally, as noted in the Commission Staff Working Document accompanying the proposal for a Regulation establishing a framework for setting ecodesign requirements for sustainable products</w:t>
      </w:r>
      <w:r w:rsidRPr="005B4339">
        <w:rPr>
          <w:rStyle w:val="FootnoteReference"/>
          <w:noProof/>
          <w:lang w:val="en-IE"/>
        </w:rPr>
        <w:footnoteReference w:id="60"/>
      </w:r>
      <w:r w:rsidRPr="005B4339">
        <w:rPr>
          <w:noProof/>
          <w:lang w:val="en-IE"/>
        </w:rPr>
        <w:t xml:space="preserve"> workers in third countries are most often not protected against the health risks related to the pesticides and chemicals involved in the production of cotton and cotton products, as they generally work without a contract and / or without social security benefits</w:t>
      </w:r>
      <w:r w:rsidRPr="005B4339">
        <w:rPr>
          <w:rStyle w:val="FootnoteReference"/>
          <w:noProof/>
          <w:lang w:val="en-IE"/>
        </w:rPr>
        <w:footnoteReference w:id="61"/>
      </w:r>
      <w:r w:rsidRPr="005B4339">
        <w:rPr>
          <w:noProof/>
          <w:lang w:val="en-IE"/>
        </w:rPr>
        <w:t xml:space="preserve">. With a salary below the minimum wage, workers can barely afford housing, food, education, and medical treatment. </w:t>
      </w:r>
      <w:r w:rsidRPr="005B4339">
        <w:rPr>
          <w:noProof/>
          <w:lang w:val="en-IE"/>
        </w:rPr>
        <w:lastRenderedPageBreak/>
        <w:t>Child labour is also common across the production line, because of the strong demand for cotton and garments, poverty, and weak legislation</w:t>
      </w:r>
      <w:r w:rsidRPr="005B4339">
        <w:rPr>
          <w:rStyle w:val="FootnoteReference"/>
          <w:noProof/>
          <w:lang w:val="en-IE"/>
        </w:rPr>
        <w:footnoteReference w:id="62"/>
      </w:r>
      <w:r w:rsidRPr="005B4339">
        <w:rPr>
          <w:noProof/>
          <w:lang w:val="en-IE"/>
        </w:rPr>
        <w:t>.</w:t>
      </w:r>
    </w:p>
    <w:p w14:paraId="33AAE4CA" w14:textId="77777777" w:rsidR="008465DD" w:rsidRPr="005B4339" w:rsidRDefault="6523C54C" w:rsidP="006554B6">
      <w:pPr>
        <w:pStyle w:val="WDBody"/>
        <w:spacing w:after="120" w:line="240" w:lineRule="auto"/>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4F39A38F" w14:textId="766DBFE5" w:rsidR="13118DF8" w:rsidRPr="005B4339" w:rsidRDefault="6523C54C" w:rsidP="004B060C">
      <w:pPr>
        <w:spacing w:after="120"/>
        <w:rPr>
          <w:rFonts w:eastAsia="Times New Roman"/>
          <w:i/>
          <w:noProof/>
          <w:lang w:val="en-IE"/>
        </w:rPr>
      </w:pPr>
      <w:r w:rsidRPr="005B4339">
        <w:rPr>
          <w:rFonts w:eastAsia="Times New Roman"/>
          <w:noProof/>
          <w:lang w:val="en-IE"/>
        </w:rPr>
        <w:t xml:space="preserve">Given the majority of those involved in collecting textiles </w:t>
      </w:r>
      <w:r w:rsidR="00164A52" w:rsidRPr="005B4339">
        <w:rPr>
          <w:rFonts w:eastAsia="Times New Roman"/>
          <w:noProof/>
          <w:lang w:val="en-IE"/>
        </w:rPr>
        <w:t>and their subsequent sorting</w:t>
      </w:r>
      <w:r w:rsidRPr="005B4339">
        <w:rPr>
          <w:rFonts w:eastAsia="Times New Roman"/>
          <w:noProof/>
          <w:lang w:val="en-IE"/>
        </w:rPr>
        <w:t xml:space="preserve"> are </w:t>
      </w:r>
      <w:r w:rsidR="231FDA6E" w:rsidRPr="005B4339">
        <w:rPr>
          <w:rFonts w:eastAsia="Times New Roman"/>
          <w:noProof/>
          <w:lang w:val="en-IE"/>
        </w:rPr>
        <w:t xml:space="preserve">SMEs and </w:t>
      </w:r>
      <w:r w:rsidRPr="005B4339">
        <w:rPr>
          <w:rFonts w:eastAsia="Times New Roman"/>
          <w:noProof/>
          <w:lang w:val="en-IE"/>
        </w:rPr>
        <w:t xml:space="preserve">social enterprises as well as some </w:t>
      </w:r>
      <w:r w:rsidR="00164A52" w:rsidRPr="005B4339">
        <w:rPr>
          <w:rFonts w:eastAsia="Times New Roman"/>
          <w:noProof/>
          <w:lang w:val="en-IE"/>
        </w:rPr>
        <w:t>commercial</w:t>
      </w:r>
      <w:r w:rsidRPr="005B4339">
        <w:rPr>
          <w:rFonts w:eastAsia="Times New Roman"/>
          <w:noProof/>
          <w:lang w:val="en-IE"/>
        </w:rPr>
        <w:t xml:space="preserve"> SMEs the obligation to make sure that textiles are sorted would generally fall on these enterprises, without prejudice to Member State </w:t>
      </w:r>
      <w:r w:rsidR="2900C090" w:rsidRPr="005B4339">
        <w:rPr>
          <w:rFonts w:eastAsia="Times New Roman"/>
          <w:noProof/>
          <w:lang w:val="en-IE"/>
        </w:rPr>
        <w:t>right to engage other actors in</w:t>
      </w:r>
      <w:r w:rsidRPr="005B4339">
        <w:rPr>
          <w:rFonts w:eastAsia="Times New Roman"/>
          <w:noProof/>
          <w:lang w:val="en-IE"/>
        </w:rPr>
        <w:t xml:space="preserve"> implementing the separate collection obligation</w:t>
      </w:r>
      <w:r w:rsidR="1AE1E3E2" w:rsidRPr="005B4339">
        <w:rPr>
          <w:rFonts w:eastAsia="Times New Roman"/>
          <w:noProof/>
          <w:lang w:val="en-IE"/>
        </w:rPr>
        <w:t>, including public waste management entities,</w:t>
      </w:r>
      <w:r w:rsidRPr="005B4339">
        <w:rPr>
          <w:rFonts w:eastAsia="Times New Roman"/>
          <w:noProof/>
          <w:lang w:val="en-IE"/>
        </w:rPr>
        <w:t xml:space="preserve"> and measure 2.</w:t>
      </w:r>
      <w:r w:rsidR="29A210C9" w:rsidRPr="005B4339">
        <w:rPr>
          <w:rFonts w:eastAsia="Times New Roman"/>
          <w:noProof/>
          <w:lang w:val="en-IE"/>
        </w:rPr>
        <w:t>9</w:t>
      </w:r>
      <w:r w:rsidRPr="005B4339">
        <w:rPr>
          <w:rFonts w:eastAsia="Times New Roman"/>
          <w:noProof/>
          <w:lang w:val="en-IE"/>
        </w:rPr>
        <w:t xml:space="preserve"> in this initiative. As noted above, with increasing sorting</w:t>
      </w:r>
      <w:r w:rsidR="00E632AA" w:rsidRPr="005B4339">
        <w:rPr>
          <w:rFonts w:eastAsia="Times New Roman"/>
          <w:noProof/>
          <w:lang w:val="en-IE"/>
        </w:rPr>
        <w:t>,</w:t>
      </w:r>
      <w:r w:rsidRPr="005B4339">
        <w:rPr>
          <w:rFonts w:eastAsia="Times New Roman"/>
          <w:noProof/>
          <w:lang w:val="en-IE"/>
        </w:rPr>
        <w:t xml:space="preserve"> the revenue from reuse and recycling is also likely to increase to </w:t>
      </w:r>
      <w:r w:rsidR="2077AF60" w:rsidRPr="005B4339">
        <w:rPr>
          <w:rFonts w:eastAsia="Times New Roman"/>
          <w:noProof/>
          <w:lang w:val="en-IE"/>
        </w:rPr>
        <w:t xml:space="preserve">partially </w:t>
      </w:r>
      <w:r w:rsidRPr="005B4339">
        <w:rPr>
          <w:rFonts w:eastAsia="Times New Roman"/>
          <w:noProof/>
          <w:lang w:val="en-IE"/>
        </w:rPr>
        <w:t>offset the additional costs that will be required to implement the sorting requirements. Th</w:t>
      </w:r>
      <w:r w:rsidR="00C834C0" w:rsidRPr="005B4339">
        <w:rPr>
          <w:rFonts w:eastAsia="Times New Roman"/>
          <w:noProof/>
          <w:lang w:val="en-IE"/>
        </w:rPr>
        <w:t>is</w:t>
      </w:r>
      <w:r w:rsidRPr="005B4339">
        <w:rPr>
          <w:rFonts w:eastAsia="Times New Roman"/>
          <w:noProof/>
          <w:lang w:val="en-IE"/>
        </w:rPr>
        <w:t xml:space="preserve"> </w:t>
      </w:r>
      <w:r w:rsidR="18C45BD5" w:rsidRPr="005B4339">
        <w:rPr>
          <w:rFonts w:eastAsia="Times New Roman"/>
          <w:noProof/>
          <w:lang w:val="en-IE"/>
        </w:rPr>
        <w:t xml:space="preserve">additional cost incurred by the sorting operators would bring economic benefits to operators </w:t>
      </w:r>
      <w:r w:rsidR="333B8CE4" w:rsidRPr="005B4339">
        <w:rPr>
          <w:rFonts w:eastAsia="Times New Roman"/>
          <w:noProof/>
          <w:lang w:val="en-IE"/>
        </w:rPr>
        <w:t>placing used textiles on</w:t>
      </w:r>
      <w:r w:rsidRPr="005B4339">
        <w:rPr>
          <w:rFonts w:eastAsia="Times New Roman"/>
          <w:noProof/>
          <w:lang w:val="en-IE"/>
        </w:rPr>
        <w:t xml:space="preserve"> the </w:t>
      </w:r>
      <w:r w:rsidR="333B8CE4" w:rsidRPr="005B4339">
        <w:rPr>
          <w:rFonts w:eastAsia="Times New Roman"/>
          <w:noProof/>
          <w:lang w:val="en-IE"/>
        </w:rPr>
        <w:t>market or producing textiles using recycled textiles due to the economies</w:t>
      </w:r>
      <w:r w:rsidRPr="005B4339">
        <w:rPr>
          <w:rFonts w:eastAsia="Times New Roman"/>
          <w:noProof/>
          <w:lang w:val="en-IE"/>
        </w:rPr>
        <w:t xml:space="preserve"> of </w:t>
      </w:r>
      <w:r w:rsidR="333B8CE4" w:rsidRPr="005B4339">
        <w:rPr>
          <w:rFonts w:eastAsia="Times New Roman"/>
          <w:noProof/>
          <w:lang w:val="en-IE"/>
        </w:rPr>
        <w:t>scale that would reduce the cost</w:t>
      </w:r>
      <w:r w:rsidRPr="005B4339">
        <w:rPr>
          <w:rFonts w:eastAsia="Times New Roman"/>
          <w:noProof/>
          <w:lang w:val="en-IE"/>
        </w:rPr>
        <w:t xml:space="preserve"> and </w:t>
      </w:r>
      <w:r w:rsidR="0B3DBE04" w:rsidRPr="005B4339">
        <w:rPr>
          <w:rFonts w:eastAsia="Times New Roman"/>
          <w:noProof/>
          <w:lang w:val="en-IE"/>
        </w:rPr>
        <w:t xml:space="preserve">improve the consistency and availability </w:t>
      </w:r>
      <w:r w:rsidR="333B8CE4" w:rsidRPr="005B4339">
        <w:rPr>
          <w:rFonts w:eastAsia="Times New Roman"/>
          <w:noProof/>
          <w:lang w:val="en-IE"/>
        </w:rPr>
        <w:t>of these materials</w:t>
      </w:r>
      <w:r w:rsidR="61A9E3D5" w:rsidRPr="005B4339">
        <w:rPr>
          <w:rFonts w:eastAsia="Times New Roman"/>
          <w:noProof/>
          <w:lang w:val="en-IE"/>
        </w:rPr>
        <w:t xml:space="preserve"> of high quality</w:t>
      </w:r>
      <w:r w:rsidR="333B8CE4" w:rsidRPr="005B4339">
        <w:rPr>
          <w:rFonts w:eastAsia="Times New Roman"/>
          <w:noProof/>
          <w:lang w:val="en-IE"/>
        </w:rPr>
        <w:t>.</w:t>
      </w:r>
      <w:r w:rsidRPr="005B4339">
        <w:rPr>
          <w:rFonts w:eastAsia="Times New Roman"/>
          <w:noProof/>
          <w:lang w:val="en-IE"/>
        </w:rPr>
        <w:t xml:space="preserve"> The additional costs of meeting the sorting criteria are expected to be minor</w:t>
      </w:r>
      <w:r w:rsidR="01A92214" w:rsidRPr="005B4339">
        <w:rPr>
          <w:rFonts w:eastAsia="Times New Roman"/>
          <w:noProof/>
          <w:lang w:val="en-IE"/>
        </w:rPr>
        <w:t xml:space="preserve"> where measure</w:t>
      </w:r>
      <w:r w:rsidR="00C834C0" w:rsidRPr="005B4339">
        <w:rPr>
          <w:rFonts w:eastAsia="Times New Roman"/>
          <w:noProof/>
          <w:lang w:val="en-IE"/>
        </w:rPr>
        <w:t xml:space="preserve"> </w:t>
      </w:r>
      <w:r w:rsidR="11DEE070" w:rsidRPr="005B4339">
        <w:rPr>
          <w:rFonts w:eastAsia="Times New Roman"/>
          <w:noProof/>
          <w:lang w:val="en-IE"/>
        </w:rPr>
        <w:t>2.</w:t>
      </w:r>
      <w:r w:rsidR="3B565D55" w:rsidRPr="005B4339">
        <w:rPr>
          <w:rFonts w:eastAsia="Times New Roman"/>
          <w:noProof/>
          <w:lang w:val="en-IE"/>
        </w:rPr>
        <w:t>9</w:t>
      </w:r>
      <w:r w:rsidR="01A92214" w:rsidRPr="005B4339">
        <w:rPr>
          <w:rFonts w:eastAsia="Times New Roman"/>
          <w:noProof/>
          <w:lang w:val="en-IE"/>
        </w:rPr>
        <w:t xml:space="preserve"> </w:t>
      </w:r>
      <w:r w:rsidR="00C834C0" w:rsidRPr="005B4339">
        <w:rPr>
          <w:rFonts w:eastAsia="Times New Roman"/>
          <w:noProof/>
          <w:lang w:val="en-IE"/>
        </w:rPr>
        <w:t>(EPR schemes</w:t>
      </w:r>
      <w:r w:rsidR="01A92214" w:rsidRPr="005B4339">
        <w:rPr>
          <w:rFonts w:eastAsia="Times New Roman"/>
          <w:noProof/>
          <w:lang w:val="en-IE"/>
        </w:rPr>
        <w:t xml:space="preserve"> </w:t>
      </w:r>
      <w:r w:rsidR="1BA2361B" w:rsidRPr="005B4339">
        <w:rPr>
          <w:rFonts w:eastAsia="Times New Roman"/>
          <w:noProof/>
          <w:lang w:val="en-IE"/>
        </w:rPr>
        <w:t>for textiles</w:t>
      </w:r>
      <w:r w:rsidR="00C834C0" w:rsidRPr="005B4339">
        <w:rPr>
          <w:rFonts w:eastAsia="Times New Roman"/>
          <w:noProof/>
          <w:lang w:val="en-IE"/>
        </w:rPr>
        <w:t>)</w:t>
      </w:r>
      <w:r w:rsidR="01A92214" w:rsidRPr="005B4339">
        <w:rPr>
          <w:rFonts w:eastAsia="Times New Roman"/>
          <w:noProof/>
          <w:lang w:val="en-IE"/>
        </w:rPr>
        <w:t xml:space="preserve"> is </w:t>
      </w:r>
      <w:r w:rsidR="00C834C0" w:rsidRPr="005B4339">
        <w:rPr>
          <w:rFonts w:eastAsia="Times New Roman"/>
          <w:noProof/>
          <w:lang w:val="en-IE"/>
        </w:rPr>
        <w:t>in place</w:t>
      </w:r>
      <w:r w:rsidR="1244E972" w:rsidRPr="005B4339">
        <w:rPr>
          <w:rFonts w:eastAsia="Times New Roman"/>
          <w:noProof/>
          <w:lang w:val="en-IE"/>
        </w:rPr>
        <w:t xml:space="preserve"> and would facilitate their operations since the cost of managing residual waste is assigned to the EPR</w:t>
      </w:r>
      <w:r w:rsidRPr="005B4339">
        <w:rPr>
          <w:rFonts w:eastAsia="Times New Roman"/>
          <w:noProof/>
          <w:lang w:val="en-IE"/>
        </w:rPr>
        <w:t>.</w:t>
      </w:r>
      <w:r w:rsidR="6EBBE66A" w:rsidRPr="005B4339">
        <w:rPr>
          <w:rFonts w:eastAsia="Times New Roman"/>
          <w:noProof/>
          <w:lang w:val="en-IE"/>
        </w:rPr>
        <w:t xml:space="preserve"> </w:t>
      </w:r>
    </w:p>
    <w:p w14:paraId="033714C9" w14:textId="7C9F87A3" w:rsidR="498EE0DB" w:rsidRPr="005B4339" w:rsidRDefault="498EE0DB" w:rsidP="13118DF8">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An additional 0.5 FTE would be required within the European Commission to adopt the necessary implementing act setting out harmonised sorting requirements for re-use and recycling.</w:t>
      </w:r>
    </w:p>
    <w:p w14:paraId="2E1EAA89" w14:textId="1ECF5B3F" w:rsidR="008465DD" w:rsidRPr="005B4339" w:rsidRDefault="008465DD" w:rsidP="003D3F38">
      <w:pPr>
        <w:pStyle w:val="WDBody"/>
        <w:spacing w:after="120" w:line="240" w:lineRule="auto"/>
        <w:jc w:val="both"/>
        <w:rPr>
          <w:rFonts w:ascii="Times New Roman" w:eastAsia="Times New Roman" w:hAnsi="Times New Roman" w:cs="Times New Roman"/>
          <w:i/>
          <w:noProof/>
          <w:color w:val="auto"/>
          <w:sz w:val="24"/>
          <w:szCs w:val="24"/>
          <w:lang w:val="en-IE"/>
        </w:rPr>
      </w:pPr>
      <w:r w:rsidRPr="005B4339">
        <w:rPr>
          <w:rFonts w:ascii="Times New Roman" w:eastAsia="Times New Roman" w:hAnsi="Times New Roman" w:cs="Times New Roman"/>
          <w:i/>
          <w:noProof/>
          <w:color w:val="auto"/>
          <w:sz w:val="24"/>
          <w:szCs w:val="24"/>
          <w:lang w:val="en-IE"/>
        </w:rPr>
        <w:t>Stakeholder evidence</w:t>
      </w:r>
    </w:p>
    <w:p w14:paraId="3B4FE4D7" w14:textId="5A8E257C" w:rsidR="008465DD" w:rsidRPr="005B4339" w:rsidRDefault="620171A2" w:rsidP="00E3247E">
      <w:pPr>
        <w:spacing w:after="120"/>
        <w:rPr>
          <w:rFonts w:eastAsia="Times New Roman"/>
          <w:noProof/>
          <w:lang w:val="en-IE"/>
        </w:rPr>
      </w:pPr>
      <w:r w:rsidRPr="005B4339">
        <w:rPr>
          <w:rFonts w:eastAsia="Times New Roman"/>
          <w:noProof/>
          <w:lang w:val="en-IE"/>
        </w:rPr>
        <w:t xml:space="preserve">Stakeholders </w:t>
      </w:r>
      <w:r w:rsidR="00D74F68" w:rsidRPr="005B4339">
        <w:rPr>
          <w:rFonts w:eastAsia="Times New Roman"/>
          <w:noProof/>
          <w:lang w:val="en-IE"/>
        </w:rPr>
        <w:t>focu</w:t>
      </w:r>
      <w:r w:rsidRPr="005B4339">
        <w:rPr>
          <w:rFonts w:eastAsia="Times New Roman"/>
          <w:noProof/>
          <w:lang w:val="en-IE"/>
        </w:rPr>
        <w:t>sed on two key challenges in relation to sorting</w:t>
      </w:r>
      <w:r w:rsidR="396DE03C" w:rsidRPr="005B4339">
        <w:rPr>
          <w:rFonts w:eastAsia="Times New Roman"/>
          <w:noProof/>
          <w:lang w:val="en-IE"/>
        </w:rPr>
        <w:t>. Textile value chain representatives</w:t>
      </w:r>
      <w:r w:rsidRPr="005B4339">
        <w:rPr>
          <w:rFonts w:eastAsia="Times New Roman"/>
          <w:noProof/>
          <w:vertAlign w:val="superscript"/>
          <w:lang w:val="en-IE"/>
        </w:rPr>
        <w:footnoteReference w:id="63"/>
      </w:r>
      <w:r w:rsidRPr="005B4339">
        <w:rPr>
          <w:rFonts w:eastAsia="Times New Roman"/>
          <w:noProof/>
          <w:lang w:val="en-IE"/>
        </w:rPr>
        <w:t xml:space="preserve"> considered that a lack of harmonization for sorting criteria and fragmentation of the sorting market at the EU level hinder large scale circulation of used textiles and textile wastes. </w:t>
      </w:r>
      <w:r w:rsidR="003D3F38" w:rsidRPr="005B4339">
        <w:rPr>
          <w:rFonts w:eastAsia="Times New Roman"/>
          <w:noProof/>
          <w:lang w:val="en-IE"/>
        </w:rPr>
        <w:t>Industry representatives</w:t>
      </w:r>
      <w:r w:rsidR="003934A6" w:rsidRPr="005B4339">
        <w:rPr>
          <w:rFonts w:eastAsia="Times New Roman"/>
          <w:noProof/>
          <w:lang w:val="en-IE"/>
        </w:rPr>
        <w:t xml:space="preserve"> indicated a particular challenge is the </w:t>
      </w:r>
      <w:r w:rsidRPr="005B4339">
        <w:rPr>
          <w:rFonts w:eastAsia="Times New Roman"/>
          <w:noProof/>
          <w:lang w:val="en-IE"/>
        </w:rPr>
        <w:t>cost of manual sorting and the lack of automated sorting technologies.</w:t>
      </w:r>
      <w:r w:rsidR="5658AA1F" w:rsidRPr="005B4339">
        <w:rPr>
          <w:rFonts w:eastAsia="Times New Roman"/>
          <w:noProof/>
          <w:lang w:val="en-IE"/>
        </w:rPr>
        <w:t xml:space="preserve"> All stakeholder groups have recognized the available </w:t>
      </w:r>
      <w:r w:rsidR="5FD8C3C5" w:rsidRPr="005B4339">
        <w:rPr>
          <w:rFonts w:eastAsia="Times New Roman"/>
          <w:noProof/>
          <w:lang w:val="en-IE"/>
        </w:rPr>
        <w:t>information</w:t>
      </w:r>
      <w:r w:rsidR="5658AA1F" w:rsidRPr="005B4339">
        <w:rPr>
          <w:rFonts w:eastAsia="Times New Roman"/>
          <w:noProof/>
          <w:lang w:val="en-IE"/>
        </w:rPr>
        <w:t xml:space="preserve"> </w:t>
      </w:r>
      <w:r w:rsidR="04DF1154" w:rsidRPr="005B4339">
        <w:rPr>
          <w:rFonts w:eastAsia="Times New Roman"/>
          <w:noProof/>
          <w:lang w:val="en-IE"/>
        </w:rPr>
        <w:t>by NGOs that place unsorted or badly sorted</w:t>
      </w:r>
      <w:r w:rsidR="5658AA1F" w:rsidRPr="005B4339">
        <w:rPr>
          <w:rFonts w:eastAsia="Times New Roman"/>
          <w:noProof/>
          <w:lang w:val="en-IE"/>
        </w:rPr>
        <w:t xml:space="preserve"> textiles</w:t>
      </w:r>
      <w:r w:rsidR="1C7247AB" w:rsidRPr="005B4339">
        <w:rPr>
          <w:rFonts w:eastAsia="Times New Roman"/>
          <w:noProof/>
          <w:lang w:val="en-IE"/>
        </w:rPr>
        <w:t xml:space="preserve"> </w:t>
      </w:r>
      <w:r w:rsidR="04DF1154" w:rsidRPr="005B4339">
        <w:rPr>
          <w:rFonts w:eastAsia="Times New Roman"/>
          <w:noProof/>
          <w:lang w:val="en-IE"/>
        </w:rPr>
        <w:t xml:space="preserve">in the EU as one of the culprits of </w:t>
      </w:r>
      <w:r w:rsidR="0D84DE35" w:rsidRPr="005B4339">
        <w:rPr>
          <w:rFonts w:eastAsia="Times New Roman"/>
          <w:noProof/>
          <w:lang w:val="en-IE"/>
        </w:rPr>
        <w:t>unsustainable</w:t>
      </w:r>
      <w:r w:rsidR="04DF1154" w:rsidRPr="005B4339">
        <w:rPr>
          <w:rFonts w:eastAsia="Times New Roman"/>
          <w:noProof/>
          <w:lang w:val="en-IE"/>
        </w:rPr>
        <w:t xml:space="preserve"> textile waste </w:t>
      </w:r>
      <w:r w:rsidR="250D4FA8" w:rsidRPr="005B4339">
        <w:rPr>
          <w:rFonts w:eastAsia="Times New Roman"/>
          <w:noProof/>
          <w:lang w:val="en-IE"/>
        </w:rPr>
        <w:t>management</w:t>
      </w:r>
      <w:r w:rsidR="04DF1154" w:rsidRPr="005B4339">
        <w:rPr>
          <w:rFonts w:eastAsia="Times New Roman"/>
          <w:noProof/>
          <w:lang w:val="en-IE"/>
        </w:rPr>
        <w:t xml:space="preserve"> in the</w:t>
      </w:r>
      <w:r w:rsidR="1C7247AB" w:rsidRPr="005B4339">
        <w:rPr>
          <w:rFonts w:eastAsia="Times New Roman"/>
          <w:noProof/>
          <w:lang w:val="en-IE"/>
        </w:rPr>
        <w:t xml:space="preserve"> third countries</w:t>
      </w:r>
      <w:r w:rsidR="1E9999C4" w:rsidRPr="005B4339">
        <w:rPr>
          <w:rFonts w:eastAsia="Times New Roman"/>
          <w:noProof/>
          <w:lang w:val="en-IE"/>
        </w:rPr>
        <w:t>.</w:t>
      </w:r>
    </w:p>
    <w:p w14:paraId="75BE6C72" w14:textId="20490A82" w:rsidR="00CD2728" w:rsidRPr="005B4339" w:rsidRDefault="00CD2728" w:rsidP="00CD2728">
      <w:pPr>
        <w:rPr>
          <w:noProof/>
          <w:lang w:val="en-IE"/>
        </w:rPr>
      </w:pPr>
      <w:bookmarkStart w:id="102" w:name="_Toc133229472"/>
      <w:bookmarkStart w:id="103" w:name="_Toc139032026"/>
      <w:r w:rsidRPr="005B4339">
        <w:rPr>
          <w:i/>
          <w:noProof/>
          <w:lang w:val="en-IE"/>
        </w:rPr>
        <w:t xml:space="preserve">Table </w:t>
      </w:r>
      <w:r w:rsidR="00393DFA">
        <w:rPr>
          <w:i/>
          <w:iCs/>
          <w:noProof/>
        </w:rPr>
        <w:t>10</w:t>
      </w:r>
      <w:r w:rsidRPr="005B4339">
        <w:rPr>
          <w:i/>
          <w:noProof/>
          <w:lang w:val="en-IE"/>
        </w:rPr>
        <w:t xml:space="preserve"> : Summary of impacts for measure 2.</w:t>
      </w:r>
      <w:r w:rsidR="4B51F716" w:rsidRPr="005B4339">
        <w:rPr>
          <w:i/>
          <w:noProof/>
          <w:lang w:val="en-IE"/>
        </w:rPr>
        <w:t>5</w:t>
      </w:r>
      <w:bookmarkEnd w:id="102"/>
      <w:bookmarkEnd w:id="103"/>
    </w:p>
    <w:tbl>
      <w:tblPr>
        <w:tblStyle w:val="PlainTable1"/>
        <w:tblW w:w="9268" w:type="dxa"/>
        <w:tblLook w:val="04A0" w:firstRow="1" w:lastRow="0" w:firstColumn="1" w:lastColumn="0" w:noHBand="0" w:noVBand="1"/>
      </w:tblPr>
      <w:tblGrid>
        <w:gridCol w:w="2530"/>
        <w:gridCol w:w="2253"/>
        <w:gridCol w:w="2316"/>
        <w:gridCol w:w="2169"/>
      </w:tblGrid>
      <w:tr w:rsidR="009C1989" w:rsidRPr="005B4339" w14:paraId="4EE64638" w14:textId="77777777" w:rsidTr="00CD2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9B6A3B" w14:textId="77777777" w:rsidR="009C1989" w:rsidRPr="005B4339" w:rsidRDefault="009C1989">
            <w:pPr>
              <w:jc w:val="left"/>
              <w:rPr>
                <w:noProof/>
                <w:lang w:val="en-IE"/>
              </w:rPr>
            </w:pPr>
            <w:r w:rsidRPr="005B4339">
              <w:rPr>
                <w:noProof/>
                <w:lang w:val="en-IE"/>
              </w:rPr>
              <w:t>Stakeholder affected</w:t>
            </w:r>
          </w:p>
        </w:tc>
        <w:tc>
          <w:tcPr>
            <w:tcW w:w="2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74C60"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49E1DC"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6A6660" w14:textId="77777777" w:rsidR="009C1989" w:rsidRPr="005B4339" w:rsidRDefault="009C1989">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9C1989" w:rsidRPr="005B4339" w14:paraId="3D1E3FED" w14:textId="77777777" w:rsidTr="00CD2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20A7E9" w14:textId="77777777" w:rsidR="009C1989" w:rsidRPr="005B4339" w:rsidRDefault="009C1989">
            <w:pPr>
              <w:jc w:val="left"/>
              <w:rPr>
                <w:noProof/>
                <w:lang w:val="en-IE"/>
              </w:rPr>
            </w:pPr>
            <w:r w:rsidRPr="005B4339">
              <w:rPr>
                <w:noProof/>
                <w:lang w:val="en-IE"/>
              </w:rPr>
              <w:t xml:space="preserve">Producers, waste managers (encompassing collectors, sorters and </w:t>
            </w:r>
            <w:r w:rsidRPr="005B4339">
              <w:rPr>
                <w:noProof/>
                <w:lang w:val="en-IE"/>
              </w:rPr>
              <w:lastRenderedPageBreak/>
              <w:t>managers)</w:t>
            </w:r>
          </w:p>
        </w:tc>
        <w:tc>
          <w:tcPr>
            <w:tcW w:w="2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FFC6C1" w14:textId="344AB0DC" w:rsidR="009C1989" w:rsidRPr="005B4339" w:rsidRDefault="003934A6">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lastRenderedPageBreak/>
              <w:t xml:space="preserve">More textiles </w:t>
            </w:r>
            <w:r w:rsidR="00DA38CA" w:rsidRPr="005B4339">
              <w:rPr>
                <w:noProof/>
                <w:lang w:val="en-IE"/>
              </w:rPr>
              <w:t xml:space="preserve">available for </w:t>
            </w:r>
            <w:r w:rsidR="00D96247" w:rsidRPr="005B4339">
              <w:rPr>
                <w:noProof/>
                <w:lang w:val="en-IE"/>
              </w:rPr>
              <w:t>reuse</w:t>
            </w:r>
            <w:r w:rsidR="00DA38CA" w:rsidRPr="005B4339">
              <w:rPr>
                <w:noProof/>
                <w:lang w:val="en-IE"/>
              </w:rPr>
              <w:t xml:space="preserve"> with a</w:t>
            </w:r>
            <w:r w:rsidRPr="005B4339">
              <w:rPr>
                <w:noProof/>
                <w:lang w:val="en-IE"/>
              </w:rPr>
              <w:t>n</w:t>
            </w:r>
            <w:r w:rsidR="00DA38CA" w:rsidRPr="005B4339">
              <w:rPr>
                <w:noProof/>
                <w:lang w:val="en-IE"/>
              </w:rPr>
              <w:t xml:space="preserve"> additional value of </w:t>
            </w:r>
            <w:r w:rsidR="00E70B66" w:rsidRPr="005B4339">
              <w:rPr>
                <w:noProof/>
                <w:lang w:val="en-IE"/>
              </w:rPr>
              <w:t>534</w:t>
            </w:r>
            <w:r w:rsidR="00DA38CA" w:rsidRPr="005B4339">
              <w:rPr>
                <w:noProof/>
                <w:lang w:val="en-IE"/>
              </w:rPr>
              <w:t xml:space="preserve"> million </w:t>
            </w:r>
            <w:r w:rsidR="00DC7CC2" w:rsidRPr="005B4339">
              <w:rPr>
                <w:noProof/>
                <w:lang w:val="en-IE"/>
              </w:rPr>
              <w:lastRenderedPageBreak/>
              <w:t xml:space="preserve">euro </w:t>
            </w:r>
            <w:r w:rsidR="00DA38CA" w:rsidRPr="005B4339">
              <w:rPr>
                <w:noProof/>
                <w:lang w:val="en-IE"/>
              </w:rPr>
              <w:t>by 2035.</w:t>
            </w:r>
          </w:p>
          <w:p w14:paraId="3CB7C1B8" w14:textId="0F972CA5" w:rsidR="00DA38CA" w:rsidRPr="005B4339" w:rsidRDefault="00515E96">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More textiles available </w:t>
            </w:r>
            <w:r w:rsidR="00DA38CA" w:rsidRPr="005B4339">
              <w:rPr>
                <w:noProof/>
                <w:lang w:val="en-IE"/>
              </w:rPr>
              <w:t xml:space="preserve">for recycling with a value of </w:t>
            </w:r>
            <w:r w:rsidR="00664172" w:rsidRPr="005B4339">
              <w:rPr>
                <w:noProof/>
                <w:lang w:val="en-IE"/>
              </w:rPr>
              <w:t>117</w:t>
            </w:r>
            <w:r w:rsidR="00DC7CC2" w:rsidRPr="005B4339">
              <w:rPr>
                <w:noProof/>
                <w:lang w:val="en-IE"/>
              </w:rPr>
              <w:t xml:space="preserve"> million euro</w:t>
            </w:r>
            <w:r w:rsidR="00DA38CA" w:rsidRPr="005B4339">
              <w:rPr>
                <w:noProof/>
                <w:lang w:val="en-IE"/>
              </w:rPr>
              <w:t xml:space="preserve"> per </w:t>
            </w:r>
            <w:r w:rsidR="00D00D1B" w:rsidRPr="005B4339">
              <w:rPr>
                <w:noProof/>
                <w:lang w:val="en-IE"/>
              </w:rPr>
              <w:t>year</w:t>
            </w:r>
            <w:r w:rsidR="00DA38CA" w:rsidRPr="005B4339">
              <w:rPr>
                <w:noProof/>
                <w:lang w:val="en-IE"/>
              </w:rPr>
              <w:t>.</w:t>
            </w:r>
          </w:p>
          <w:p w14:paraId="46D6801E" w14:textId="3FAE9089" w:rsidR="009C1989" w:rsidRPr="005B4339" w:rsidRDefault="00F56350">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Less</w:t>
            </w:r>
            <w:r w:rsidR="00DA38CA" w:rsidRPr="005B4339">
              <w:rPr>
                <w:noProof/>
                <w:lang w:val="en-IE"/>
              </w:rPr>
              <w:t xml:space="preserve"> waste sent for disposal affecting waste disposal operator income</w:t>
            </w:r>
            <w:r w:rsidRPr="005B4339">
              <w:rPr>
                <w:noProof/>
                <w:lang w:val="en-IE"/>
              </w:rPr>
              <w:t xml:space="preserve"> and </w:t>
            </w:r>
            <w:r w:rsidR="3BC0A4EA" w:rsidRPr="005B4339">
              <w:rPr>
                <w:noProof/>
                <w:lang w:val="en-IE"/>
              </w:rPr>
              <w:t>M</w:t>
            </w:r>
            <w:r w:rsidR="1358D7D6" w:rsidRPr="005B4339">
              <w:rPr>
                <w:noProof/>
                <w:lang w:val="en-IE"/>
              </w:rPr>
              <w:t xml:space="preserve">ember </w:t>
            </w:r>
            <w:r w:rsidR="3BC0A4EA" w:rsidRPr="005B4339">
              <w:rPr>
                <w:noProof/>
                <w:lang w:val="en-IE"/>
              </w:rPr>
              <w:t>S</w:t>
            </w:r>
            <w:r w:rsidR="307306B4" w:rsidRPr="005B4339">
              <w:rPr>
                <w:noProof/>
                <w:lang w:val="en-IE"/>
              </w:rPr>
              <w:t>tate</w:t>
            </w:r>
            <w:r w:rsidRPr="005B4339">
              <w:rPr>
                <w:noProof/>
                <w:lang w:val="en-IE"/>
              </w:rPr>
              <w:t xml:space="preserve"> tax revenue</w:t>
            </w:r>
            <w:r w:rsidR="25D25D38" w:rsidRPr="005B4339">
              <w:rPr>
                <w:noProof/>
                <w:lang w:val="en-IE"/>
              </w:rPr>
              <w:t xml:space="preserve"> and costs for re-use operators, in particular, in third countries</w:t>
            </w:r>
            <w:r w:rsidRPr="005B4339">
              <w:rPr>
                <w:noProof/>
                <w:lang w:val="en-IE"/>
              </w:rPr>
              <w:t>.</w:t>
            </w: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FDDD16" w14:textId="77777777" w:rsidR="009C1989" w:rsidRPr="005B4339" w:rsidRDefault="009C1989">
            <w:pPr>
              <w:cnfStyle w:val="000000100000" w:firstRow="0" w:lastRow="0" w:firstColumn="0" w:lastColumn="0" w:oddVBand="0" w:evenVBand="0" w:oddHBand="1" w:evenHBand="0" w:firstRowFirstColumn="0" w:firstRowLastColumn="0" w:lastRowFirstColumn="0" w:lastRowLastColumn="0"/>
              <w:rPr>
                <w:noProof/>
                <w:lang w:val="en-IE"/>
              </w:rPr>
            </w:pP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1754D4" w14:textId="77777777" w:rsidR="009C1989" w:rsidRPr="005B4339" w:rsidRDefault="009C1989">
            <w:pPr>
              <w:cnfStyle w:val="000000100000" w:firstRow="0" w:lastRow="0" w:firstColumn="0" w:lastColumn="0" w:oddVBand="0" w:evenVBand="0" w:oddHBand="1" w:evenHBand="0" w:firstRowFirstColumn="0" w:firstRowLastColumn="0" w:lastRowFirstColumn="0" w:lastRowLastColumn="0"/>
              <w:rPr>
                <w:noProof/>
                <w:lang w:val="en-IE"/>
              </w:rPr>
            </w:pPr>
          </w:p>
        </w:tc>
      </w:tr>
      <w:tr w:rsidR="009C1989" w:rsidRPr="005B4339" w14:paraId="21562CC4" w14:textId="77777777" w:rsidTr="00CD2728">
        <w:trPr>
          <w:trHeight w:val="870"/>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874B20" w14:textId="77777777" w:rsidR="009C1989" w:rsidRPr="005B4339" w:rsidRDefault="009C1989">
            <w:pPr>
              <w:jc w:val="left"/>
              <w:rPr>
                <w:noProof/>
                <w:lang w:val="en-IE"/>
              </w:rPr>
            </w:pPr>
            <w:r w:rsidRPr="005B4339">
              <w:rPr>
                <w:noProof/>
                <w:lang w:val="en-IE"/>
              </w:rPr>
              <w:t>Public authorities</w:t>
            </w:r>
          </w:p>
        </w:tc>
        <w:tc>
          <w:tcPr>
            <w:tcW w:w="2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07EC68" w14:textId="024FFC4F" w:rsidR="009C1989" w:rsidRPr="005B4339" w:rsidRDefault="00F56350">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A</w:t>
            </w:r>
            <w:r w:rsidR="00F51934" w:rsidRPr="005B4339">
              <w:rPr>
                <w:noProof/>
                <w:lang w:val="en-IE"/>
              </w:rPr>
              <w:t xml:space="preserve">dditional costs for sorting waste, predicted to total an additional </w:t>
            </w:r>
            <w:r w:rsidR="00FB03E1" w:rsidRPr="005B4339">
              <w:rPr>
                <w:noProof/>
                <w:lang w:val="en-IE"/>
              </w:rPr>
              <w:t>91</w:t>
            </w:r>
            <w:r w:rsidR="002D0310" w:rsidRPr="005B4339">
              <w:rPr>
                <w:noProof/>
                <w:lang w:val="en-IE"/>
              </w:rPr>
              <w:t>3</w:t>
            </w:r>
            <w:r w:rsidR="00F51934" w:rsidRPr="005B4339">
              <w:rPr>
                <w:noProof/>
                <w:lang w:val="en-IE"/>
              </w:rPr>
              <w:t xml:space="preserve"> million </w:t>
            </w:r>
            <w:r w:rsidR="008B314D" w:rsidRPr="005B4339">
              <w:rPr>
                <w:noProof/>
                <w:lang w:val="en-IE"/>
              </w:rPr>
              <w:t xml:space="preserve">euro </w:t>
            </w:r>
            <w:r w:rsidR="00F51934" w:rsidRPr="005B4339">
              <w:rPr>
                <w:noProof/>
                <w:lang w:val="en-IE"/>
              </w:rPr>
              <w:t>by 2035</w:t>
            </w:r>
            <w:r w:rsidR="5DBEF732" w:rsidRPr="005B4339">
              <w:rPr>
                <w:noProof/>
                <w:lang w:val="en-IE"/>
              </w:rPr>
              <w:t>.</w:t>
            </w:r>
          </w:p>
          <w:p w14:paraId="7D59F745" w14:textId="1237FAE5" w:rsidR="009C1989" w:rsidRPr="005B4339" w:rsidRDefault="2F18C24B" w:rsidP="4FBF6E35">
            <w:pPr>
              <w:spacing w:after="0" w:line="240" w:lineRule="atLeast"/>
              <w:jc w:val="left"/>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sidRPr="005B4339">
              <w:rPr>
                <w:noProof/>
                <w:color w:val="000000" w:themeColor="text1"/>
                <w:lang w:val="en-IE"/>
              </w:rPr>
              <w:t>This measure would create administrative burden on public authorities t</w:t>
            </w:r>
            <w:r w:rsidR="20B153B3" w:rsidRPr="005B4339">
              <w:rPr>
                <w:noProof/>
                <w:color w:val="000000" w:themeColor="text1"/>
                <w:lang w:val="en-IE"/>
              </w:rPr>
              <w:t xml:space="preserve">o </w:t>
            </w:r>
            <w:r w:rsidR="7181051A" w:rsidRPr="005B4339">
              <w:rPr>
                <w:noProof/>
                <w:color w:val="000000" w:themeColor="text1"/>
                <w:lang w:val="en-IE"/>
              </w:rPr>
              <w:t>revise, where necessary,</w:t>
            </w:r>
            <w:r w:rsidR="5E0F069E" w:rsidRPr="005B4339">
              <w:rPr>
                <w:noProof/>
                <w:color w:val="000000" w:themeColor="text1"/>
                <w:lang w:val="en-IE"/>
              </w:rPr>
              <w:t xml:space="preserve"> </w:t>
            </w:r>
            <w:r w:rsidR="20B153B3" w:rsidRPr="005B4339">
              <w:rPr>
                <w:noProof/>
                <w:color w:val="000000" w:themeColor="text1"/>
                <w:lang w:val="en-IE"/>
              </w:rPr>
              <w:t>monitor and enforce specific permitting requir</w:t>
            </w:r>
            <w:r w:rsidR="2C7F1558" w:rsidRPr="005B4339">
              <w:rPr>
                <w:noProof/>
                <w:color w:val="000000" w:themeColor="text1"/>
                <w:lang w:val="en-IE"/>
              </w:rPr>
              <w:t>ements</w:t>
            </w:r>
            <w:r w:rsidR="20B153B3" w:rsidRPr="005B4339">
              <w:rPr>
                <w:noProof/>
                <w:color w:val="000000" w:themeColor="text1"/>
                <w:lang w:val="en-IE"/>
              </w:rPr>
              <w:t xml:space="preserve"> for</w:t>
            </w:r>
            <w:r w:rsidRPr="005B4339">
              <w:rPr>
                <w:noProof/>
                <w:color w:val="000000" w:themeColor="text1"/>
                <w:lang w:val="en-IE"/>
              </w:rPr>
              <w:t xml:space="preserve"> sorters</w:t>
            </w:r>
            <w:r w:rsidR="20B153B3" w:rsidRPr="005B4339">
              <w:rPr>
                <w:noProof/>
                <w:color w:val="000000" w:themeColor="text1"/>
                <w:lang w:val="en-IE"/>
              </w:rPr>
              <w:t>.</w:t>
            </w:r>
            <w:r w:rsidRPr="005B4339">
              <w:rPr>
                <w:noProof/>
                <w:color w:val="000000" w:themeColor="text1"/>
                <w:lang w:val="en-IE"/>
              </w:rPr>
              <w:t xml:space="preserve"> </w:t>
            </w:r>
            <w:r w:rsidR="03608593" w:rsidRPr="005B4339">
              <w:rPr>
                <w:noProof/>
                <w:color w:val="000000" w:themeColor="text1"/>
                <w:lang w:val="en-IE"/>
              </w:rPr>
              <w:t xml:space="preserve">Reporting by </w:t>
            </w:r>
            <w:r w:rsidRPr="005B4339">
              <w:rPr>
                <w:noProof/>
                <w:color w:val="000000" w:themeColor="text1"/>
                <w:lang w:val="en-IE"/>
              </w:rPr>
              <w:t xml:space="preserve">waste </w:t>
            </w:r>
            <w:r w:rsidR="03608593" w:rsidRPr="005B4339">
              <w:rPr>
                <w:noProof/>
                <w:color w:val="000000" w:themeColor="text1"/>
                <w:lang w:val="en-IE"/>
              </w:rPr>
              <w:t>managers is considered already as part of current practices in Member States</w:t>
            </w:r>
            <w:r w:rsidRPr="005B4339">
              <w:rPr>
                <w:noProof/>
                <w:color w:val="000000" w:themeColor="text1"/>
                <w:lang w:val="en-IE"/>
              </w:rPr>
              <w:t>.</w:t>
            </w: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6FFA70" w14:textId="77777777" w:rsidR="009C1989" w:rsidRPr="005B4339" w:rsidRDefault="009C1989">
            <w:pPr>
              <w:cnfStyle w:val="000000000000" w:firstRow="0" w:lastRow="0" w:firstColumn="0" w:lastColumn="0" w:oddVBand="0" w:evenVBand="0" w:oddHBand="0" w:evenHBand="0" w:firstRowFirstColumn="0" w:firstRowLastColumn="0" w:lastRowFirstColumn="0" w:lastRowLastColumn="0"/>
              <w:rPr>
                <w:b/>
                <w:noProof/>
                <w:lang w:val="en-IE"/>
              </w:rPr>
            </w:pP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E79BF1" w14:textId="1CBC0504" w:rsidR="009C1989" w:rsidRPr="005B4339" w:rsidRDefault="0050501A">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A</w:t>
            </w:r>
            <w:r w:rsidR="00DA38CA" w:rsidRPr="005B4339">
              <w:rPr>
                <w:noProof/>
                <w:lang w:val="en-IE"/>
              </w:rPr>
              <w:t>dditional data on volume sorted and volume of separately collected waste.</w:t>
            </w:r>
          </w:p>
        </w:tc>
      </w:tr>
      <w:tr w:rsidR="009C1989" w:rsidRPr="005B4339" w14:paraId="1CB9A5E1" w14:textId="77777777" w:rsidTr="00CD2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00283C" w14:textId="39817A91" w:rsidR="009C1989" w:rsidRPr="005B4339" w:rsidRDefault="4E09BC4B">
            <w:pPr>
              <w:jc w:val="left"/>
              <w:rPr>
                <w:noProof/>
                <w:lang w:val="en-IE"/>
              </w:rPr>
            </w:pPr>
            <w:r w:rsidRPr="005B4339">
              <w:rPr>
                <w:noProof/>
                <w:lang w:val="en-IE"/>
              </w:rPr>
              <w:t>C</w:t>
            </w:r>
            <w:r w:rsidR="00DA38CA" w:rsidRPr="005B4339">
              <w:rPr>
                <w:noProof/>
                <w:lang w:val="en-IE"/>
              </w:rPr>
              <w:t>itizens</w:t>
            </w:r>
          </w:p>
        </w:tc>
        <w:tc>
          <w:tcPr>
            <w:tcW w:w="2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42EC8" w14:textId="77777777" w:rsidR="009C1989" w:rsidRPr="005B4339" w:rsidRDefault="009C1989">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539636" w14:textId="77777777" w:rsidR="009C1989" w:rsidRPr="005B4339" w:rsidRDefault="009C1989">
            <w:pPr>
              <w:cnfStyle w:val="000000100000" w:firstRow="0" w:lastRow="0" w:firstColumn="0" w:lastColumn="0" w:oddVBand="0" w:evenVBand="0" w:oddHBand="1" w:evenHBand="0" w:firstRowFirstColumn="0" w:firstRowLastColumn="0" w:lastRowFirstColumn="0" w:lastRowLastColumn="0"/>
              <w:rPr>
                <w:b/>
                <w:noProof/>
                <w:lang w:val="en-IE"/>
              </w:rPr>
            </w:pP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B66126" w14:textId="2332BC2E" w:rsidR="009C1989" w:rsidRPr="005B4339" w:rsidRDefault="0074653E" w:rsidP="000D40D5">
            <w:pPr>
              <w:pStyle w:val="WD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More</w:t>
            </w:r>
            <w:r w:rsidR="00DA38CA" w:rsidRPr="005B4339">
              <w:rPr>
                <w:rFonts w:ascii="Times New Roman" w:hAnsi="Times New Roman" w:cs="Times New Roman"/>
                <w:noProof/>
                <w:sz w:val="24"/>
                <w:szCs w:val="24"/>
                <w:lang w:val="en-IE"/>
              </w:rPr>
              <w:t xml:space="preserve"> sustainable consumption of textile goods, as consumers would be </w:t>
            </w:r>
            <w:r w:rsidR="510116A9" w:rsidRPr="005B4339">
              <w:rPr>
                <w:rFonts w:ascii="Times New Roman" w:hAnsi="Times New Roman" w:cs="Times New Roman"/>
                <w:noProof/>
                <w:sz w:val="24"/>
                <w:szCs w:val="24"/>
                <w:lang w:val="en-IE"/>
              </w:rPr>
              <w:t xml:space="preserve">exposed to </w:t>
            </w:r>
            <w:r w:rsidR="510116A9" w:rsidRPr="005B4339">
              <w:rPr>
                <w:rFonts w:ascii="Times New Roman" w:hAnsi="Times New Roman" w:cs="Times New Roman"/>
                <w:noProof/>
                <w:sz w:val="24"/>
                <w:szCs w:val="24"/>
                <w:lang w:val="en-IE"/>
              </w:rPr>
              <w:lastRenderedPageBreak/>
              <w:t xml:space="preserve">broader </w:t>
            </w:r>
            <w:r w:rsidR="7247342C" w:rsidRPr="005B4339">
              <w:rPr>
                <w:rFonts w:ascii="Times New Roman" w:hAnsi="Times New Roman" w:cs="Times New Roman"/>
                <w:noProof/>
                <w:sz w:val="24"/>
                <w:szCs w:val="24"/>
                <w:lang w:val="en-IE"/>
              </w:rPr>
              <w:t>availability</w:t>
            </w:r>
            <w:r w:rsidR="510116A9" w:rsidRPr="005B4339">
              <w:rPr>
                <w:rFonts w:ascii="Times New Roman" w:hAnsi="Times New Roman" w:cs="Times New Roman"/>
                <w:noProof/>
                <w:sz w:val="24"/>
                <w:szCs w:val="24"/>
                <w:lang w:val="en-IE"/>
              </w:rPr>
              <w:t xml:space="preserve"> of used textiles and more </w:t>
            </w:r>
            <w:r w:rsidR="4EC12673" w:rsidRPr="005B4339">
              <w:rPr>
                <w:rFonts w:ascii="Times New Roman" w:hAnsi="Times New Roman" w:cs="Times New Roman"/>
                <w:noProof/>
                <w:sz w:val="24"/>
                <w:szCs w:val="24"/>
                <w:lang w:val="en-IE"/>
              </w:rPr>
              <w:t>sustainable</w:t>
            </w:r>
            <w:r w:rsidR="510116A9" w:rsidRPr="005B4339">
              <w:rPr>
                <w:rFonts w:ascii="Times New Roman" w:hAnsi="Times New Roman" w:cs="Times New Roman"/>
                <w:noProof/>
                <w:sz w:val="24"/>
                <w:szCs w:val="24"/>
                <w:lang w:val="en-IE"/>
              </w:rPr>
              <w:t xml:space="preserve"> textiles</w:t>
            </w:r>
            <w:r w:rsidR="00DA38CA" w:rsidRPr="005B4339">
              <w:rPr>
                <w:rFonts w:ascii="Times New Roman" w:hAnsi="Times New Roman" w:cs="Times New Roman"/>
                <w:noProof/>
                <w:sz w:val="24"/>
                <w:szCs w:val="24"/>
                <w:lang w:val="en-IE"/>
              </w:rPr>
              <w:t>.</w:t>
            </w:r>
          </w:p>
        </w:tc>
      </w:tr>
      <w:tr w:rsidR="009C1989" w:rsidRPr="005B4339" w14:paraId="70809D2B" w14:textId="77777777" w:rsidTr="00CD2728">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1D6FA0" w14:textId="77777777" w:rsidR="009C1989" w:rsidRPr="005B4339" w:rsidRDefault="009C1989" w:rsidP="00E71310">
            <w:pPr>
              <w:spacing w:after="120"/>
              <w:jc w:val="left"/>
              <w:rPr>
                <w:noProof/>
                <w:lang w:val="en-IE"/>
              </w:rPr>
            </w:pPr>
            <w:r w:rsidRPr="005B4339">
              <w:rPr>
                <w:noProof/>
                <w:lang w:val="en-IE"/>
              </w:rPr>
              <w:lastRenderedPageBreak/>
              <w:t>All stakeholders</w:t>
            </w:r>
          </w:p>
        </w:tc>
        <w:tc>
          <w:tcPr>
            <w:tcW w:w="2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4FFA29" w14:textId="77777777" w:rsidR="009C1989" w:rsidRPr="005B4339" w:rsidRDefault="009C1989" w:rsidP="00E71310">
            <w:pPr>
              <w:spacing w:after="120"/>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734F8" w14:textId="55F12DB8" w:rsidR="0074653E" w:rsidRPr="005B4339" w:rsidRDefault="0074653E" w:rsidP="00E71310">
            <w:pPr>
              <w:pStyle w:val="WDBody"/>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Less unsorted </w:t>
            </w:r>
            <w:r w:rsidR="000D40D5" w:rsidRPr="005B4339">
              <w:rPr>
                <w:rFonts w:ascii="Times New Roman" w:hAnsi="Times New Roman" w:cs="Times New Roman"/>
                <w:noProof/>
                <w:sz w:val="24"/>
                <w:szCs w:val="24"/>
                <w:lang w:val="en-IE"/>
              </w:rPr>
              <w:t xml:space="preserve">textiles </w:t>
            </w:r>
            <w:r w:rsidR="637C92B3" w:rsidRPr="005B4339">
              <w:rPr>
                <w:rFonts w:ascii="Times New Roman" w:hAnsi="Times New Roman" w:cs="Times New Roman"/>
                <w:noProof/>
                <w:sz w:val="24"/>
                <w:szCs w:val="24"/>
                <w:lang w:val="en-IE"/>
              </w:rPr>
              <w:t>and better sorted textiles</w:t>
            </w:r>
            <w:r w:rsidR="000D40D5" w:rsidRPr="005B4339">
              <w:rPr>
                <w:rFonts w:ascii="Times New Roman" w:hAnsi="Times New Roman" w:cs="Times New Roman"/>
                <w:noProof/>
                <w:sz w:val="24"/>
                <w:szCs w:val="24"/>
                <w:lang w:val="en-IE"/>
              </w:rPr>
              <w:t xml:space="preserve"> exported to third countries</w:t>
            </w:r>
            <w:r w:rsidRPr="005B4339">
              <w:rPr>
                <w:rFonts w:ascii="Times New Roman" w:hAnsi="Times New Roman" w:cs="Times New Roman"/>
                <w:noProof/>
                <w:sz w:val="24"/>
                <w:szCs w:val="24"/>
                <w:lang w:val="en-IE"/>
              </w:rPr>
              <w:t>, reducing pressures on the local infrastructure and avoiding disposal of textile waste that ends up being treated in poor waste management systems.</w:t>
            </w:r>
          </w:p>
          <w:p w14:paraId="3FBEB547" w14:textId="1263B92E" w:rsidR="00D85ADA" w:rsidRPr="005B4339" w:rsidRDefault="0074653E" w:rsidP="00E71310">
            <w:pPr>
              <w:pStyle w:val="WDBody"/>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Lower</w:t>
            </w:r>
            <w:r w:rsidR="00D85ADA" w:rsidRPr="005B4339">
              <w:rPr>
                <w:rFonts w:ascii="Times New Roman" w:hAnsi="Times New Roman" w:cs="Times New Roman"/>
                <w:noProof/>
                <w:sz w:val="24"/>
                <w:szCs w:val="24"/>
                <w:lang w:val="en-IE"/>
              </w:rPr>
              <w:t xml:space="preserve"> emissions and contribut</w:t>
            </w:r>
            <w:r w:rsidRPr="005B4339">
              <w:rPr>
                <w:rFonts w:ascii="Times New Roman" w:hAnsi="Times New Roman" w:cs="Times New Roman"/>
                <w:noProof/>
                <w:sz w:val="24"/>
                <w:szCs w:val="24"/>
                <w:lang w:val="en-IE"/>
              </w:rPr>
              <w:t>ion</w:t>
            </w:r>
            <w:r w:rsidR="00D85ADA" w:rsidRPr="005B4339">
              <w:rPr>
                <w:rFonts w:ascii="Times New Roman" w:hAnsi="Times New Roman" w:cs="Times New Roman"/>
                <w:noProof/>
                <w:sz w:val="24"/>
                <w:szCs w:val="24"/>
                <w:lang w:val="en-IE"/>
              </w:rPr>
              <w:t xml:space="preserve"> to GHG reduction targets as sorting requirements would decrease the amount of textile that is landfilled.</w:t>
            </w:r>
          </w:p>
          <w:p w14:paraId="401E9D6D" w14:textId="5CC6C7D3" w:rsidR="00D85ADA" w:rsidRPr="005B4339" w:rsidRDefault="00D85ADA" w:rsidP="00E71310">
            <w:pPr>
              <w:pStyle w:val="WDBody"/>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This measure would improve air, soil, and water quality thanks to reduced waste disposal practices.</w:t>
            </w:r>
          </w:p>
          <w:p w14:paraId="2C3CB0BE" w14:textId="61B7E570" w:rsidR="009C1989" w:rsidRPr="005B4339" w:rsidRDefault="00D85ADA" w:rsidP="00E71310">
            <w:pPr>
              <w:pStyle w:val="WDBody"/>
              <w:spacing w:after="120" w:line="240" w:lineRule="auto"/>
              <w:cnfStyle w:val="000000000000" w:firstRow="0" w:lastRow="0" w:firstColumn="0" w:lastColumn="0" w:oddVBand="0" w:evenVBand="0" w:oddHBand="0" w:evenHBand="0" w:firstRowFirstColumn="0" w:firstRowLastColumn="0" w:lastRowFirstColumn="0" w:lastRowLastColumn="0"/>
              <w:rPr>
                <w:b/>
                <w:noProof/>
                <w:lang w:val="en-IE"/>
              </w:rPr>
            </w:pPr>
            <w:r w:rsidRPr="005B4339">
              <w:rPr>
                <w:rFonts w:ascii="Times New Roman" w:hAnsi="Times New Roman" w:cs="Times New Roman"/>
                <w:noProof/>
                <w:sz w:val="24"/>
                <w:szCs w:val="24"/>
                <w:lang w:val="en-IE"/>
              </w:rPr>
              <w:t>Similarly, it would protect landscapes thanks to reduced landfilling.</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A0715B" w14:textId="58C0CB4D" w:rsidR="009C1989" w:rsidRPr="005B4339" w:rsidRDefault="1DBD411B" w:rsidP="00E71310">
            <w:pPr>
              <w:pStyle w:val="WDBody"/>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Better public health and safety, as sorting obligations would decrease the amount of textile that is landfilled, and/or poorly managed outside the EU, leading to a reduction in pollution.</w:t>
            </w:r>
          </w:p>
          <w:p w14:paraId="2F552531" w14:textId="77777777" w:rsidR="009C1989" w:rsidRPr="005B4339" w:rsidRDefault="009C1989" w:rsidP="00E71310">
            <w:pPr>
              <w:spacing w:after="120"/>
              <w:cnfStyle w:val="000000000000" w:firstRow="0" w:lastRow="0" w:firstColumn="0" w:lastColumn="0" w:oddVBand="0" w:evenVBand="0" w:oddHBand="0" w:evenHBand="0" w:firstRowFirstColumn="0" w:firstRowLastColumn="0" w:lastRowFirstColumn="0" w:lastRowLastColumn="0"/>
              <w:rPr>
                <w:b/>
                <w:noProof/>
                <w:lang w:val="en-IE"/>
              </w:rPr>
            </w:pPr>
          </w:p>
        </w:tc>
      </w:tr>
    </w:tbl>
    <w:p w14:paraId="08184FFC" w14:textId="283427B4" w:rsidR="0084113D" w:rsidRPr="005B4339" w:rsidRDefault="0084113D" w:rsidP="0084113D">
      <w:pPr>
        <w:rPr>
          <w:b/>
          <w:noProof/>
          <w:lang w:val="en-IE"/>
        </w:rPr>
      </w:pPr>
      <w:r w:rsidRPr="005B4339">
        <w:rPr>
          <w:b/>
          <w:noProof/>
          <w:lang w:val="en-IE"/>
        </w:rPr>
        <w:br/>
        <w:t xml:space="preserve">Impacts on competitiveness </w:t>
      </w:r>
    </w:p>
    <w:p w14:paraId="27C12B4C" w14:textId="77777777" w:rsidR="0084113D" w:rsidRPr="005B4339" w:rsidRDefault="0084113D" w:rsidP="0084113D">
      <w:pPr>
        <w:rPr>
          <w:noProof/>
          <w:lang w:val="en-IE"/>
        </w:rPr>
      </w:pPr>
      <w:r w:rsidRPr="005B4339">
        <w:rPr>
          <w:noProof/>
          <w:lang w:val="en-IE"/>
        </w:rPr>
        <w:t>The following impacts on competitiveness have been assessed under this measure.</w:t>
      </w:r>
    </w:p>
    <w:p w14:paraId="77494A47" w14:textId="7941D13B" w:rsidR="0084113D" w:rsidRPr="005B4339" w:rsidRDefault="0084113D" w:rsidP="0084113D">
      <w:pPr>
        <w:rPr>
          <w:i/>
          <w:noProof/>
          <w:lang w:val="en-IE"/>
        </w:rPr>
      </w:pPr>
      <w:bookmarkStart w:id="104" w:name="_Toc133229473"/>
      <w:bookmarkStart w:id="105" w:name="_Toc139032027"/>
      <w:r w:rsidRPr="005B4339">
        <w:rPr>
          <w:i/>
          <w:noProof/>
          <w:lang w:val="en-IE"/>
        </w:rPr>
        <w:t xml:space="preserve">Table </w:t>
      </w:r>
      <w:r w:rsidR="00393DFA">
        <w:rPr>
          <w:i/>
          <w:iCs/>
          <w:noProof/>
        </w:rPr>
        <w:t>11</w:t>
      </w:r>
      <w:r w:rsidRPr="005B4339">
        <w:rPr>
          <w:i/>
          <w:noProof/>
          <w:lang w:val="en-IE"/>
        </w:rPr>
        <w:t xml:space="preserve"> - impacts on competitiveness of measure 2.</w:t>
      </w:r>
      <w:r w:rsidR="7F2AF904" w:rsidRPr="005B4339">
        <w:rPr>
          <w:i/>
          <w:noProof/>
          <w:lang w:val="en-IE"/>
        </w:rPr>
        <w:t>5</w:t>
      </w:r>
      <w:bookmarkEnd w:id="104"/>
      <w:bookmarkEnd w:id="105"/>
    </w:p>
    <w:tbl>
      <w:tblPr>
        <w:tblStyle w:val="TableGrid"/>
        <w:tblW w:w="0" w:type="auto"/>
        <w:tblLook w:val="04A0" w:firstRow="1" w:lastRow="0" w:firstColumn="1" w:lastColumn="0" w:noHBand="0" w:noVBand="1"/>
      </w:tblPr>
      <w:tblGrid>
        <w:gridCol w:w="2399"/>
        <w:gridCol w:w="7177"/>
      </w:tblGrid>
      <w:tr w:rsidR="0084113D" w:rsidRPr="005B4339" w14:paraId="115E54F3" w14:textId="77777777">
        <w:tc>
          <w:tcPr>
            <w:tcW w:w="2405" w:type="dxa"/>
          </w:tcPr>
          <w:p w14:paraId="38A6D7A7"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Price competitiveness </w:t>
            </w:r>
            <w:r w:rsidRPr="005B4339">
              <w:rPr>
                <w:rFonts w:ascii="Times New Roman" w:hAnsi="Times New Roman"/>
                <w:noProof/>
                <w:sz w:val="24"/>
                <w:szCs w:val="24"/>
                <w:lang w:val="en-IE"/>
              </w:rPr>
              <w:lastRenderedPageBreak/>
              <w:t>impacts</w:t>
            </w:r>
          </w:p>
        </w:tc>
        <w:tc>
          <w:tcPr>
            <w:tcW w:w="7223" w:type="dxa"/>
          </w:tcPr>
          <w:p w14:paraId="73AC01B9"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The largest price competitiveness impacts are likely to be felt in those </w:t>
            </w:r>
            <w:r w:rsidRPr="005B4339">
              <w:rPr>
                <w:rFonts w:ascii="Times New Roman" w:hAnsi="Times New Roman"/>
                <w:noProof/>
                <w:sz w:val="24"/>
                <w:szCs w:val="24"/>
                <w:lang w:val="en-IE"/>
              </w:rPr>
              <w:lastRenderedPageBreak/>
              <w:t>Member States that have significant levels of collection but low levels of national sorting capacity as the need for additional sorting capacity under this measure potentially drives up competition for the sorting capacity available.  In this respect AT, DE, DK, IT, and SE would be likely to note the largest impacts on price competitiveness as these countries currently have a heavy reliance on sorting taking place in other countries where lower costs are likely to be a factor in their shortages in their own domestic sorting capacity.</w:t>
            </w:r>
          </w:p>
          <w:p w14:paraId="28CB112B" w14:textId="754EB56E"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At the same time, the possibility exists for other Member States to expand their sorting capacity, a significant part of which is already related to imported discarded textiles from other Member States and third countries, and increase their price competitiveness. This would include BG, CZ, EE, HU, LT, LV, PL, RO and SK.</w:t>
            </w:r>
          </w:p>
        </w:tc>
      </w:tr>
      <w:tr w:rsidR="0084113D" w:rsidRPr="005B4339" w14:paraId="311745DF" w14:textId="77777777">
        <w:tc>
          <w:tcPr>
            <w:tcW w:w="2405" w:type="dxa"/>
          </w:tcPr>
          <w:p w14:paraId="6AED95D6"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Dynamic competitiveness impacts</w:t>
            </w:r>
          </w:p>
        </w:tc>
        <w:tc>
          <w:tcPr>
            <w:tcW w:w="7223" w:type="dxa"/>
          </w:tcPr>
          <w:p w14:paraId="379A2F59" w14:textId="77777777" w:rsidR="0084113D" w:rsidRPr="005B4339" w:rsidRDefault="0084113D">
            <w:pPr>
              <w:pStyle w:val="WDBody"/>
              <w:rPr>
                <w:rFonts w:ascii="Times New Roman" w:hAnsi="Times New Roman"/>
                <w:noProof/>
                <w:sz w:val="24"/>
                <w:szCs w:val="24"/>
                <w:lang w:val="en-IE"/>
              </w:rPr>
            </w:pPr>
            <w:r w:rsidRPr="005B4339">
              <w:rPr>
                <w:rFonts w:ascii="Times New Roman" w:hAnsi="Times New Roman"/>
                <w:noProof/>
                <w:sz w:val="24"/>
                <w:szCs w:val="24"/>
                <w:lang w:val="en-IE"/>
              </w:rPr>
              <w:t xml:space="preserve">A greater amount of sorting taking place within the EU under this measure would drive greater levels of reuse and recycling within the EU of the textiles sorted.  In turn, this should drive greater R&amp;I activities in the EU to deal with the reusable and recyclable textiles derived from sorting.  This offers the opportunity for the EU to become a market leader in textile recycling technologies.  </w:t>
            </w:r>
          </w:p>
        </w:tc>
      </w:tr>
      <w:tr w:rsidR="0084113D" w:rsidRPr="005B4339" w14:paraId="5C1B32C2" w14:textId="77777777">
        <w:tc>
          <w:tcPr>
            <w:tcW w:w="2405" w:type="dxa"/>
          </w:tcPr>
          <w:p w14:paraId="64E03C00"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096AAA7D"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Waste sorting measures are likely to reduce the volumes of used textiles exported from the EU to third countries, particularly as more material are collected for recycling within the EU.  This would potentially reduce the incomes of used textile exporters within the EU as whole due to the reduced volumes available to market whilst increasing the volumes available for EU textile recyclers.</w:t>
            </w:r>
          </w:p>
        </w:tc>
      </w:tr>
      <w:tr w:rsidR="0084113D" w:rsidRPr="005B4339" w14:paraId="22735D1B" w14:textId="77777777">
        <w:tc>
          <w:tcPr>
            <w:tcW w:w="2405" w:type="dxa"/>
          </w:tcPr>
          <w:p w14:paraId="1A7722E8"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7223" w:type="dxa"/>
          </w:tcPr>
          <w:p w14:paraId="6782DD5E" w14:textId="77777777" w:rsidR="0084113D" w:rsidRPr="005B4339" w:rsidRDefault="0084113D">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Waste prevention measures offer the possibility to reduce the need for imports of textiles in the future as greater reuse, repair and recycling within the EU replaces the need for new textile goods to be purchased and for the import of natural textile fibres for use in the production of EU textile goods.  As noted under economic impacts above in between 118 000 tonnes and 295 000 tonnes of virgin fibres could be replaced by recycled fibres under this measure.</w:t>
            </w:r>
          </w:p>
        </w:tc>
      </w:tr>
    </w:tbl>
    <w:p w14:paraId="4C4CC974" w14:textId="77777777" w:rsidR="009C1989" w:rsidRPr="005B4339" w:rsidRDefault="009C1989" w:rsidP="008465DD">
      <w:pPr>
        <w:pStyle w:val="WDBody"/>
        <w:spacing w:line="240" w:lineRule="auto"/>
        <w:jc w:val="both"/>
        <w:rPr>
          <w:rFonts w:ascii="Times New Roman" w:hAnsi="Times New Roman" w:cs="Times New Roman"/>
          <w:noProof/>
          <w:sz w:val="24"/>
          <w:szCs w:val="24"/>
          <w:lang w:val="en-IE"/>
        </w:rPr>
      </w:pPr>
    </w:p>
    <w:p w14:paraId="183CDFA7" w14:textId="05E345DC" w:rsidR="00A022BC" w:rsidRPr="005B4339" w:rsidRDefault="00A022BC" w:rsidP="00A022BC">
      <w:pPr>
        <w:pStyle w:val="Heading3"/>
        <w:rPr>
          <w:noProof/>
          <w:lang w:val="en-IE"/>
        </w:rPr>
      </w:pPr>
      <w:bookmarkStart w:id="106" w:name="_Toc416065652"/>
      <w:bookmarkStart w:id="107" w:name="_Toc1648255464"/>
      <w:bookmarkStart w:id="108" w:name="_Toc700482366"/>
      <w:bookmarkStart w:id="109" w:name="_Toc440147828"/>
      <w:bookmarkStart w:id="110" w:name="_Toc1930248059"/>
      <w:bookmarkStart w:id="111" w:name="_Toc597860542"/>
      <w:bookmarkStart w:id="112" w:name="_Toc1070827775"/>
      <w:bookmarkStart w:id="113" w:name="_Toc895145429"/>
      <w:bookmarkStart w:id="114" w:name="_Toc139032094"/>
      <w:bookmarkStart w:id="115" w:name="_Toc120782619"/>
      <w:bookmarkStart w:id="116" w:name="_Toc124777322"/>
      <w:r w:rsidRPr="005B4339">
        <w:rPr>
          <w:noProof/>
          <w:lang w:val="en-IE"/>
        </w:rPr>
        <w:t>Measure 2.</w:t>
      </w:r>
      <w:r w:rsidR="136D435D" w:rsidRPr="005B4339">
        <w:rPr>
          <w:noProof/>
          <w:lang w:val="en-IE"/>
        </w:rPr>
        <w:t>6</w:t>
      </w:r>
      <w:r w:rsidRPr="005B4339">
        <w:rPr>
          <w:noProof/>
          <w:lang w:val="en-IE"/>
        </w:rPr>
        <w:t xml:space="preserve"> – Adopting end of waste criteria</w:t>
      </w:r>
      <w:bookmarkEnd w:id="106"/>
      <w:bookmarkEnd w:id="107"/>
      <w:bookmarkEnd w:id="108"/>
      <w:bookmarkEnd w:id="109"/>
      <w:bookmarkEnd w:id="110"/>
      <w:bookmarkEnd w:id="111"/>
      <w:bookmarkEnd w:id="112"/>
      <w:bookmarkEnd w:id="113"/>
      <w:bookmarkEnd w:id="114"/>
    </w:p>
    <w:p w14:paraId="4CBD22CA" w14:textId="15FE4E3F" w:rsidR="0F423B7A" w:rsidRPr="005B4339" w:rsidRDefault="2F34FFA0" w:rsidP="6208E090">
      <w:pPr>
        <w:spacing w:after="120"/>
        <w:rPr>
          <w:b/>
          <w:noProof/>
          <w:lang w:val="en-IE"/>
        </w:rPr>
      </w:pPr>
      <w:r w:rsidRPr="005B4339">
        <w:rPr>
          <w:b/>
          <w:noProof/>
          <w:lang w:val="en-IE"/>
        </w:rPr>
        <w:t xml:space="preserve">Assessment of impact Measure </w:t>
      </w:r>
      <w:r w:rsidR="560F4512" w:rsidRPr="005B4339">
        <w:rPr>
          <w:b/>
          <w:noProof/>
          <w:lang w:val="en-IE"/>
        </w:rPr>
        <w:t>2</w:t>
      </w:r>
      <w:r w:rsidRPr="005B4339">
        <w:rPr>
          <w:b/>
          <w:noProof/>
          <w:lang w:val="en-IE"/>
        </w:rPr>
        <w:t>.</w:t>
      </w:r>
      <w:r w:rsidR="6850746F" w:rsidRPr="005B4339">
        <w:rPr>
          <w:b/>
          <w:noProof/>
          <w:lang w:val="en-IE"/>
        </w:rPr>
        <w:t>6</w:t>
      </w:r>
    </w:p>
    <w:p w14:paraId="78DEC17A" w14:textId="13853A9D" w:rsidR="517DF728" w:rsidRPr="005B4339" w:rsidRDefault="517DF728" w:rsidP="6208E090">
      <w:pPr>
        <w:spacing w:after="120"/>
        <w:rPr>
          <w:b/>
          <w:noProof/>
          <w:lang w:val="en-IE"/>
        </w:rPr>
      </w:pPr>
      <w:r w:rsidRPr="005B4339">
        <w:rPr>
          <w:rFonts w:eastAsia="Times New Roman"/>
          <w:b/>
          <w:noProof/>
          <w:lang w:val="en-IE"/>
        </w:rPr>
        <w:t>Economic impacts</w:t>
      </w:r>
    </w:p>
    <w:p w14:paraId="4F99D304" w14:textId="2D84A4DF" w:rsidR="2F34FFA0" w:rsidRPr="005B4339" w:rsidRDefault="2F34FFA0" w:rsidP="6208E090">
      <w:pPr>
        <w:spacing w:after="120"/>
        <w:rPr>
          <w:noProof/>
          <w:lang w:val="en-IE"/>
        </w:rPr>
      </w:pPr>
      <w:r w:rsidRPr="005B4339">
        <w:rPr>
          <w:noProof/>
          <w:lang w:val="en-IE"/>
        </w:rPr>
        <w:lastRenderedPageBreak/>
        <w:t>Minimising divergence of approaches to end-of-waste criteria ensures a level playing field and provides the opportunity</w:t>
      </w:r>
      <w:r w:rsidR="7F6C62F6" w:rsidRPr="005B4339">
        <w:rPr>
          <w:noProof/>
          <w:lang w:val="en-IE"/>
        </w:rPr>
        <w:t xml:space="preserve"> to ensure that </w:t>
      </w:r>
      <w:r w:rsidR="40B0AEC9" w:rsidRPr="005B4339">
        <w:rPr>
          <w:noProof/>
          <w:lang w:val="en-IE"/>
        </w:rPr>
        <w:t>sorted textiles for re-use are fit for re-use and there is consistency in the sorting outputs for the variety of re-use ma</w:t>
      </w:r>
      <w:r w:rsidR="47DD33B5" w:rsidRPr="005B4339">
        <w:rPr>
          <w:noProof/>
          <w:lang w:val="en-IE"/>
        </w:rPr>
        <w:t xml:space="preserve">rkets. The criteria would have a notable benefit for the </w:t>
      </w:r>
      <w:r w:rsidRPr="005B4339">
        <w:rPr>
          <w:noProof/>
          <w:lang w:val="en-IE"/>
        </w:rPr>
        <w:t>textile recycling sector</w:t>
      </w:r>
      <w:r w:rsidR="4D845299" w:rsidRPr="005B4339">
        <w:rPr>
          <w:noProof/>
          <w:lang w:val="en-IE"/>
        </w:rPr>
        <w:t xml:space="preserve"> by ensuring </w:t>
      </w:r>
      <w:r w:rsidRPr="005B4339">
        <w:rPr>
          <w:noProof/>
          <w:lang w:val="en-IE"/>
        </w:rPr>
        <w:t xml:space="preserve">sufficiently consistent feedstock </w:t>
      </w:r>
      <w:r w:rsidR="705BEED4" w:rsidRPr="005B4339">
        <w:rPr>
          <w:noProof/>
          <w:lang w:val="en-IE"/>
        </w:rPr>
        <w:t xml:space="preserve">from the sorting processes as input to the recycling processes and the certainty of a product status </w:t>
      </w:r>
      <w:r w:rsidR="5EBC609E" w:rsidRPr="005B4339">
        <w:rPr>
          <w:noProof/>
          <w:lang w:val="en-IE"/>
        </w:rPr>
        <w:t>for the outputs of recycling. This certainty would</w:t>
      </w:r>
      <w:r w:rsidRPr="005B4339">
        <w:rPr>
          <w:noProof/>
          <w:lang w:val="en-IE"/>
        </w:rPr>
        <w:t xml:space="preserve"> foster recycling techniques that are dependent on a sufficiently defined supply of materials to reach commercial viability in the future.</w:t>
      </w:r>
      <w:r w:rsidRPr="005B4339">
        <w:rPr>
          <w:rFonts w:ascii="Segoe UI" w:hAnsi="Segoe UI" w:cs="Segoe UI"/>
          <w:noProof/>
          <w:color w:val="000000" w:themeColor="text1"/>
          <w:sz w:val="20"/>
          <w:szCs w:val="20"/>
          <w:lang w:val="en-IE"/>
        </w:rPr>
        <w:t xml:space="preserve"> </w:t>
      </w:r>
      <w:r w:rsidRPr="005B4339">
        <w:rPr>
          <w:noProof/>
          <w:lang w:val="en-IE"/>
        </w:rPr>
        <w:t>This would encourage investment in infrastructure projects and promote a market for high quality secondary textile materials.</w:t>
      </w:r>
      <w:r w:rsidR="2A7C6DC5" w:rsidRPr="005B4339">
        <w:rPr>
          <w:noProof/>
          <w:lang w:val="en-IE"/>
        </w:rPr>
        <w:t xml:space="preserve"> This would also ensure a level playing field for the operat</w:t>
      </w:r>
      <w:r w:rsidR="280A1368" w:rsidRPr="005B4339">
        <w:rPr>
          <w:noProof/>
          <w:lang w:val="en-IE"/>
        </w:rPr>
        <w:t>or</w:t>
      </w:r>
      <w:r w:rsidR="2A7C6DC5" w:rsidRPr="005B4339">
        <w:rPr>
          <w:noProof/>
          <w:lang w:val="en-IE"/>
        </w:rPr>
        <w:t xml:space="preserve">s based in different countries to avoid distortion of competition which could </w:t>
      </w:r>
      <w:r w:rsidR="1996F1D3" w:rsidRPr="005B4339">
        <w:rPr>
          <w:noProof/>
          <w:lang w:val="en-IE"/>
        </w:rPr>
        <w:t xml:space="preserve">otherwise </w:t>
      </w:r>
      <w:r w:rsidR="2A7C6DC5" w:rsidRPr="005B4339">
        <w:rPr>
          <w:noProof/>
          <w:lang w:val="en-IE"/>
        </w:rPr>
        <w:t>create more favourable circumstances for companies</w:t>
      </w:r>
      <w:r w:rsidR="14D9286C" w:rsidRPr="005B4339">
        <w:rPr>
          <w:noProof/>
          <w:lang w:val="en-IE"/>
        </w:rPr>
        <w:t>, for example,</w:t>
      </w:r>
      <w:r w:rsidR="2A7C6DC5" w:rsidRPr="005B4339">
        <w:rPr>
          <w:noProof/>
          <w:lang w:val="en-IE"/>
        </w:rPr>
        <w:t xml:space="preserve"> that are operating in </w:t>
      </w:r>
      <w:r w:rsidR="634EC4CE" w:rsidRPr="005B4339">
        <w:rPr>
          <w:noProof/>
          <w:lang w:val="en-IE"/>
        </w:rPr>
        <w:t>countries</w:t>
      </w:r>
      <w:r w:rsidR="2A7C6DC5" w:rsidRPr="005B4339">
        <w:rPr>
          <w:noProof/>
          <w:lang w:val="en-IE"/>
        </w:rPr>
        <w:t xml:space="preserve"> with national end of waste criteria</w:t>
      </w:r>
      <w:r w:rsidR="62009233" w:rsidRPr="005B4339">
        <w:rPr>
          <w:noProof/>
          <w:lang w:val="en-IE"/>
        </w:rPr>
        <w:t>.</w:t>
      </w:r>
      <w:r w:rsidR="00BC5C00" w:rsidRPr="005B4339">
        <w:rPr>
          <w:noProof/>
          <w:lang w:val="en-IE"/>
        </w:rPr>
        <w:t xml:space="preserve"> However, given the precise scope of the textiles that may be impacted by the final end-of-waste criteria is unknown it is not possible to state with certainty the changes in flows by volume that would actually take place. However, as a result of materials reaching end of waste status the costs of managing those materials is likely to reduce, albeit by a relatively small amount.  The extent to which these savings may be passed on to consumers is unknown, and in reality it is likely that any savings will be felt by businesses rather than directly by consumers of textile goods. This would, in turn, not result in a change in prices to consumers but may result in an increase in profitability for the reuse and recycling sector within the EU</w:t>
      </w:r>
    </w:p>
    <w:p w14:paraId="6486AA60" w14:textId="034A38AD" w:rsidR="2F34FFA0" w:rsidRPr="005B4339" w:rsidRDefault="2F34FFA0" w:rsidP="6208E090">
      <w:pPr>
        <w:spacing w:after="120"/>
        <w:rPr>
          <w:noProof/>
          <w:lang w:val="en-IE"/>
        </w:rPr>
      </w:pPr>
      <w:r w:rsidRPr="005B4339">
        <w:rPr>
          <w:noProof/>
          <w:lang w:val="en-IE"/>
        </w:rPr>
        <w:t>The JRC</w:t>
      </w:r>
      <w:r w:rsidRPr="005B4339">
        <w:rPr>
          <w:rStyle w:val="FootnoteReference"/>
          <w:noProof/>
          <w:lang w:val="en-IE"/>
        </w:rPr>
        <w:footnoteReference w:id="64"/>
      </w:r>
      <w:r w:rsidRPr="005B4339">
        <w:rPr>
          <w:noProof/>
          <w:lang w:val="en-IE"/>
        </w:rPr>
        <w:t xml:space="preserve"> notes that for certain wastes, end-of-waste criteria can promote the production of higher quality secondary products by defining technical and environmental minimum requirements to be fulfilled by the materials. Information on the product characteristics facilitates their comparison, enhance the final quality of the final product and may alleviate user prejudice. These would all lead to an increase in their demand and their recycling rates.</w:t>
      </w:r>
    </w:p>
    <w:p w14:paraId="617DFEBC" w14:textId="61CA8679" w:rsidR="2F34FFA0" w:rsidRPr="005B4339" w:rsidRDefault="2F34FFA0" w:rsidP="6208E090">
      <w:pPr>
        <w:spacing w:after="120"/>
        <w:rPr>
          <w:noProof/>
          <w:lang w:val="en-IE"/>
        </w:rPr>
      </w:pPr>
      <w:r w:rsidRPr="005B4339">
        <w:rPr>
          <w:noProof/>
          <w:lang w:val="en-IE"/>
        </w:rPr>
        <w:t>This echoes messages identified in relation to end-of-waste criteria for other wastes including metal scrap</w:t>
      </w:r>
      <w:r w:rsidRPr="005B4339">
        <w:rPr>
          <w:noProof/>
          <w:vertAlign w:val="superscript"/>
          <w:lang w:val="en-IE"/>
        </w:rPr>
        <w:footnoteReference w:id="65"/>
      </w:r>
      <w:r w:rsidRPr="005B4339">
        <w:rPr>
          <w:noProof/>
          <w:lang w:val="en-IE"/>
        </w:rPr>
        <w:t xml:space="preserve">. </w:t>
      </w:r>
      <w:r w:rsidR="253B2185" w:rsidRPr="005B4339">
        <w:rPr>
          <w:noProof/>
          <w:lang w:val="en-IE"/>
        </w:rPr>
        <w:t xml:space="preserve">Harmonised EU criteria would ensure free </w:t>
      </w:r>
      <w:r w:rsidRPr="005B4339">
        <w:rPr>
          <w:noProof/>
          <w:lang w:val="en-IE"/>
        </w:rPr>
        <w:t>movement of textile materials within the EU as intra-shipment will no longer be in relation to a waste but will be in relation to a textile material that is no longer waste.</w:t>
      </w:r>
    </w:p>
    <w:p w14:paraId="12DEDF4C" w14:textId="4E4B761F" w:rsidR="2F34FFA0" w:rsidRPr="005B4339" w:rsidRDefault="2F34FFA0">
      <w:pPr>
        <w:rPr>
          <w:noProof/>
          <w:lang w:val="en-IE"/>
        </w:rPr>
      </w:pPr>
      <w:r w:rsidRPr="005B4339">
        <w:rPr>
          <w:noProof/>
          <w:lang w:val="en-IE"/>
        </w:rPr>
        <w:t>Textiles come in a variety of types of material and scope of application. It is expected that end-of-waste criteria will need to be developed for this broad family of materials over time and developing end-of-waste criteria may be delayed for certain textile materials whilst priority textiles are initially addressed. This would allow investment to be focussed on the most environmentally important textile wastes in the first instance and to be addressed more efficiently than is presently the case.</w:t>
      </w:r>
    </w:p>
    <w:p w14:paraId="1527DA39" w14:textId="10FB1C8E" w:rsidR="48321A4C" w:rsidRPr="005B4339" w:rsidRDefault="48321A4C" w:rsidP="0BFCC24F">
      <w:pPr>
        <w:rPr>
          <w:noProof/>
          <w:lang w:val="en-IE"/>
        </w:rPr>
      </w:pPr>
      <w:r w:rsidRPr="005B4339">
        <w:rPr>
          <w:noProof/>
          <w:lang w:val="en-IE"/>
        </w:rPr>
        <w:t>Certainty on the end-of-waste status for sorted re-usable textiles exported outside the EU wou</w:t>
      </w:r>
      <w:r w:rsidR="2BF2B9BB" w:rsidRPr="005B4339">
        <w:rPr>
          <w:noProof/>
          <w:lang w:val="en-IE"/>
        </w:rPr>
        <w:t xml:space="preserve">ld positively impact the re-use operators as it would reduce their waste management costs since the </w:t>
      </w:r>
      <w:r w:rsidR="2BF2B9BB" w:rsidRPr="005B4339">
        <w:rPr>
          <w:noProof/>
          <w:lang w:val="en-IE"/>
        </w:rPr>
        <w:lastRenderedPageBreak/>
        <w:t>potential waste fraction within the textile bales would be minimised</w:t>
      </w:r>
      <w:r w:rsidR="3C62BA5E" w:rsidRPr="005B4339">
        <w:rPr>
          <w:noProof/>
          <w:lang w:val="en-IE"/>
        </w:rPr>
        <w:t xml:space="preserve"> through more rigorous sorting in the EU (this is the combined impact of measures 2.</w:t>
      </w:r>
      <w:r w:rsidR="58859DE3" w:rsidRPr="005B4339">
        <w:rPr>
          <w:noProof/>
          <w:lang w:val="en-IE"/>
        </w:rPr>
        <w:t>5</w:t>
      </w:r>
      <w:r w:rsidR="3C62BA5E" w:rsidRPr="005B4339">
        <w:rPr>
          <w:noProof/>
          <w:lang w:val="en-IE"/>
        </w:rPr>
        <w:t>, 2.6, 2.</w:t>
      </w:r>
      <w:r w:rsidR="587B732C" w:rsidRPr="005B4339">
        <w:rPr>
          <w:noProof/>
          <w:lang w:val="en-IE"/>
        </w:rPr>
        <w:t>8</w:t>
      </w:r>
      <w:r w:rsidR="1818D024" w:rsidRPr="005B4339">
        <w:rPr>
          <w:noProof/>
          <w:lang w:val="en-IE"/>
        </w:rPr>
        <w:t>)</w:t>
      </w:r>
      <w:r w:rsidR="2BF2B9BB" w:rsidRPr="005B4339">
        <w:rPr>
          <w:noProof/>
          <w:lang w:val="en-IE"/>
        </w:rPr>
        <w:t>.</w:t>
      </w:r>
    </w:p>
    <w:p w14:paraId="76452A8C" w14:textId="034A38AD" w:rsidR="2F34FFA0" w:rsidRPr="005B4339" w:rsidRDefault="2F34FFA0" w:rsidP="6208E090">
      <w:pPr>
        <w:spacing w:after="120"/>
        <w:rPr>
          <w:b/>
          <w:noProof/>
          <w:lang w:val="en-IE"/>
        </w:rPr>
      </w:pPr>
      <w:r w:rsidRPr="005B4339">
        <w:rPr>
          <w:b/>
          <w:noProof/>
          <w:lang w:val="en-IE"/>
        </w:rPr>
        <w:t>Environmental impacts</w:t>
      </w:r>
    </w:p>
    <w:p w14:paraId="1375EED6" w14:textId="7B609C02" w:rsidR="2F34FFA0" w:rsidRPr="005B4339" w:rsidRDefault="2F34FFA0" w:rsidP="0BFCC24F">
      <w:pPr>
        <w:spacing w:after="120"/>
        <w:rPr>
          <w:noProof/>
          <w:lang w:val="en-IE"/>
        </w:rPr>
      </w:pPr>
      <w:r w:rsidRPr="005B4339">
        <w:rPr>
          <w:noProof/>
          <w:lang w:val="en-IE"/>
        </w:rPr>
        <w:t xml:space="preserve">Article 6 of the WFD makes clear that end-of-waste can only apply if the use of the substance or object will not lead to overall adverse environmental or human health impacts. In keeping with this provision it is considered that there are unlikely to be any significant negative environmental impacts resulting from this measure. </w:t>
      </w:r>
      <w:r w:rsidR="5A0D7D8E" w:rsidRPr="005B4339">
        <w:rPr>
          <w:noProof/>
          <w:lang w:val="en-IE"/>
        </w:rPr>
        <w:t xml:space="preserve">The application of the criteria will facilitate the shipments of waste for </w:t>
      </w:r>
      <w:r w:rsidR="543C1944" w:rsidRPr="005B4339">
        <w:rPr>
          <w:noProof/>
          <w:lang w:val="en-IE"/>
        </w:rPr>
        <w:t>the treatment as well as</w:t>
      </w:r>
      <w:r w:rsidR="5A0D7D8E" w:rsidRPr="005B4339">
        <w:rPr>
          <w:noProof/>
          <w:lang w:val="en-IE"/>
        </w:rPr>
        <w:t xml:space="preserve"> end of waste material across the Union</w:t>
      </w:r>
      <w:r w:rsidR="3BDA288D" w:rsidRPr="005B4339">
        <w:rPr>
          <w:noProof/>
          <w:lang w:val="en-IE"/>
        </w:rPr>
        <w:t xml:space="preserve"> and outside. For end of waste material, the rules of the Waste Shipment Regulation would not apply and ther</w:t>
      </w:r>
      <w:r w:rsidR="1BCFBAAF" w:rsidRPr="005B4339">
        <w:rPr>
          <w:noProof/>
          <w:lang w:val="en-IE"/>
        </w:rPr>
        <w:t>e</w:t>
      </w:r>
      <w:r w:rsidR="3BDA288D" w:rsidRPr="005B4339">
        <w:rPr>
          <w:noProof/>
          <w:lang w:val="en-IE"/>
        </w:rPr>
        <w:t xml:space="preserve">fore would </w:t>
      </w:r>
      <w:r w:rsidR="79EB1B40" w:rsidRPr="005B4339">
        <w:rPr>
          <w:noProof/>
          <w:lang w:val="en-IE"/>
        </w:rPr>
        <w:t>facilitate the shipments outside the EU</w:t>
      </w:r>
      <w:r w:rsidR="3BDA288D" w:rsidRPr="005B4339">
        <w:rPr>
          <w:noProof/>
          <w:lang w:val="en-IE"/>
        </w:rPr>
        <w:t>.</w:t>
      </w:r>
      <w:r w:rsidR="510D75AE" w:rsidRPr="005B4339">
        <w:rPr>
          <w:noProof/>
          <w:lang w:val="en-IE"/>
        </w:rPr>
        <w:t xml:space="preserve"> The end-of-waste criteria</w:t>
      </w:r>
      <w:r w:rsidR="49055D39" w:rsidRPr="005B4339">
        <w:rPr>
          <w:noProof/>
          <w:lang w:val="en-IE"/>
        </w:rPr>
        <w:t>, that build also on measure 2.</w:t>
      </w:r>
      <w:r w:rsidR="0CD577BE" w:rsidRPr="005B4339">
        <w:rPr>
          <w:noProof/>
          <w:lang w:val="en-IE"/>
        </w:rPr>
        <w:t>5</w:t>
      </w:r>
      <w:r w:rsidR="49055D39" w:rsidRPr="005B4339">
        <w:rPr>
          <w:noProof/>
          <w:lang w:val="en-IE"/>
        </w:rPr>
        <w:t>. and 2.</w:t>
      </w:r>
      <w:r w:rsidR="57E42C8D" w:rsidRPr="005B4339">
        <w:rPr>
          <w:noProof/>
          <w:lang w:val="en-IE"/>
        </w:rPr>
        <w:t>8</w:t>
      </w:r>
      <w:r w:rsidR="49055D39" w:rsidRPr="005B4339">
        <w:rPr>
          <w:noProof/>
          <w:lang w:val="en-IE"/>
        </w:rPr>
        <w:t>,</w:t>
      </w:r>
      <w:r w:rsidR="510D75AE" w:rsidRPr="005B4339">
        <w:rPr>
          <w:noProof/>
          <w:lang w:val="en-IE"/>
        </w:rPr>
        <w:t xml:space="preserve"> will minimise the risk that the loads exported as sorted textiles may contain waste fractions. </w:t>
      </w:r>
    </w:p>
    <w:p w14:paraId="239E7DBA" w14:textId="0C910B67" w:rsidR="2F34FFA0" w:rsidRPr="005B4339" w:rsidRDefault="2F34FFA0" w:rsidP="0BFCC24F">
      <w:pPr>
        <w:spacing w:after="120"/>
        <w:rPr>
          <w:noProof/>
          <w:lang w:val="en-IE"/>
        </w:rPr>
      </w:pPr>
      <w:r w:rsidRPr="005B4339">
        <w:rPr>
          <w:noProof/>
          <w:lang w:val="en-IE"/>
        </w:rPr>
        <w:t>In relation to the potential replacement of primary products with end-of-waste products it would be expected that this replacement would have environmental benefits by driving down the need for virgin materials in the future</w:t>
      </w:r>
      <w:r w:rsidR="091C4347" w:rsidRPr="005B4339">
        <w:rPr>
          <w:noProof/>
          <w:lang w:val="en-IE"/>
        </w:rPr>
        <w:t xml:space="preserve"> and the environmental impacts of the production of virgin materials</w:t>
      </w:r>
      <w:r w:rsidRPr="005B4339">
        <w:rPr>
          <w:noProof/>
          <w:lang w:val="en-IE"/>
        </w:rPr>
        <w:t>. It is not possible to quantify these impacts</w:t>
      </w:r>
      <w:r w:rsidR="005936A7" w:rsidRPr="005B4339">
        <w:rPr>
          <w:noProof/>
          <w:lang w:val="en-IE"/>
        </w:rPr>
        <w:t xml:space="preserve"> as the precise scope of textiles that would impacted by the end-of-waste criteria is unknown</w:t>
      </w:r>
      <w:r w:rsidRPr="005B4339">
        <w:rPr>
          <w:noProof/>
          <w:lang w:val="en-IE"/>
        </w:rPr>
        <w:t>.</w:t>
      </w:r>
    </w:p>
    <w:p w14:paraId="6FE99A78" w14:textId="02BBABA8" w:rsidR="6E7CE883" w:rsidRPr="005B4339" w:rsidRDefault="6E7CE883" w:rsidP="0BFCC24F">
      <w:pPr>
        <w:spacing w:after="120"/>
        <w:rPr>
          <w:noProof/>
          <w:lang w:val="en-IE"/>
        </w:rPr>
      </w:pPr>
      <w:r w:rsidRPr="005B4339">
        <w:rPr>
          <w:noProof/>
          <w:lang w:val="en-IE"/>
        </w:rPr>
        <w:t xml:space="preserve">In view of the production of textiles consumed in the EU largely taking place outside the EU and the majority of </w:t>
      </w:r>
      <w:r w:rsidR="3429DC3F" w:rsidRPr="005B4339">
        <w:rPr>
          <w:noProof/>
          <w:lang w:val="en-IE"/>
        </w:rPr>
        <w:t xml:space="preserve">textiles collected and sorted for </w:t>
      </w:r>
      <w:r w:rsidRPr="005B4339">
        <w:rPr>
          <w:noProof/>
          <w:lang w:val="en-IE"/>
        </w:rPr>
        <w:t xml:space="preserve">re-use </w:t>
      </w:r>
      <w:r w:rsidR="40BFCDC2" w:rsidRPr="005B4339">
        <w:rPr>
          <w:noProof/>
          <w:lang w:val="en-IE"/>
        </w:rPr>
        <w:t>being destined to global re-use markets</w:t>
      </w:r>
      <w:r w:rsidR="36A08FC8" w:rsidRPr="005B4339">
        <w:rPr>
          <w:noProof/>
          <w:lang w:val="en-IE"/>
        </w:rPr>
        <w:t xml:space="preserve">, the environmental benefits are largely allocated in third countries. </w:t>
      </w:r>
    </w:p>
    <w:p w14:paraId="1AE4549F" w14:textId="034A38AD" w:rsidR="2F34FFA0" w:rsidRPr="005B4339" w:rsidRDefault="2F34FFA0" w:rsidP="6208E090">
      <w:pPr>
        <w:spacing w:after="120"/>
        <w:rPr>
          <w:b/>
          <w:noProof/>
          <w:lang w:val="en-IE"/>
        </w:rPr>
      </w:pPr>
      <w:r w:rsidRPr="005B4339">
        <w:rPr>
          <w:b/>
          <w:noProof/>
          <w:lang w:val="en-IE"/>
        </w:rPr>
        <w:t>Social impacts</w:t>
      </w:r>
    </w:p>
    <w:p w14:paraId="3E963DAC" w14:textId="5F0E523F" w:rsidR="2F34FFA0" w:rsidRPr="005B4339" w:rsidRDefault="2F34FFA0">
      <w:pPr>
        <w:rPr>
          <w:noProof/>
          <w:lang w:val="en-IE"/>
        </w:rPr>
      </w:pPr>
      <w:r w:rsidRPr="005B4339">
        <w:rPr>
          <w:noProof/>
          <w:lang w:val="en-IE"/>
        </w:rPr>
        <w:t>No significant social impacts have been identified.</w:t>
      </w:r>
    </w:p>
    <w:p w14:paraId="01F99677" w14:textId="034A38AD" w:rsidR="2F34FFA0" w:rsidRPr="005B4339" w:rsidRDefault="2F34FFA0" w:rsidP="0BFCC24F">
      <w:pPr>
        <w:rPr>
          <w:b/>
          <w:noProof/>
          <w:lang w:val="en-IE"/>
        </w:rPr>
      </w:pPr>
      <w:r w:rsidRPr="005B4339">
        <w:rPr>
          <w:b/>
          <w:noProof/>
          <w:lang w:val="en-IE"/>
        </w:rPr>
        <w:t>Administrative burden</w:t>
      </w:r>
    </w:p>
    <w:p w14:paraId="74CC5226" w14:textId="16850A62" w:rsidR="2F34FFA0" w:rsidRPr="005B4339" w:rsidRDefault="2F34FFA0" w:rsidP="0BFCC24F">
      <w:pPr>
        <w:rPr>
          <w:noProof/>
          <w:lang w:val="en-IE"/>
        </w:rPr>
      </w:pPr>
      <w:r w:rsidRPr="005B4339">
        <w:rPr>
          <w:noProof/>
          <w:lang w:val="en-IE"/>
        </w:rPr>
        <w:t xml:space="preserve">Under the current EU regime, waste textiles even if they may be suitable for reuse or as a feedstock for recycling, are subject to a waste control mechanism for the movements between Member States. The development of </w:t>
      </w:r>
      <w:r w:rsidR="5DAD047E" w:rsidRPr="005B4339">
        <w:rPr>
          <w:noProof/>
          <w:lang w:val="en-IE"/>
        </w:rPr>
        <w:t>end-of-waste</w:t>
      </w:r>
      <w:r w:rsidRPr="005B4339">
        <w:rPr>
          <w:noProof/>
          <w:lang w:val="en-IE"/>
        </w:rPr>
        <w:t xml:space="preserve"> criteria would mean that the</w:t>
      </w:r>
      <w:r w:rsidR="75F288A8" w:rsidRPr="005B4339">
        <w:rPr>
          <w:noProof/>
          <w:lang w:val="en-IE"/>
        </w:rPr>
        <w:t xml:space="preserve"> shipment of waste</w:t>
      </w:r>
      <w:r w:rsidRPr="005B4339">
        <w:rPr>
          <w:noProof/>
          <w:lang w:val="en-IE"/>
        </w:rPr>
        <w:t xml:space="preserve"> </w:t>
      </w:r>
      <w:r w:rsidR="3E5A4D49" w:rsidRPr="005B4339">
        <w:rPr>
          <w:noProof/>
          <w:lang w:val="en-IE"/>
        </w:rPr>
        <w:t xml:space="preserve">for recovery </w:t>
      </w:r>
      <w:r w:rsidRPr="005B4339">
        <w:rPr>
          <w:noProof/>
          <w:lang w:val="en-IE"/>
        </w:rPr>
        <w:t xml:space="preserve">that meet those criteria would </w:t>
      </w:r>
      <w:r w:rsidR="5B428114" w:rsidRPr="005B4339">
        <w:rPr>
          <w:noProof/>
          <w:lang w:val="en-IE"/>
        </w:rPr>
        <w:t xml:space="preserve">be facilitated. The materials that meet the criteria for the output of the recovery operation would </w:t>
      </w:r>
      <w:r w:rsidRPr="005B4339">
        <w:rPr>
          <w:noProof/>
          <w:lang w:val="en-IE"/>
        </w:rPr>
        <w:t xml:space="preserve">no longer be subject to waste </w:t>
      </w:r>
      <w:r w:rsidR="5D1531A7" w:rsidRPr="005B4339">
        <w:rPr>
          <w:noProof/>
          <w:lang w:val="en-IE"/>
        </w:rPr>
        <w:t>legislation and controls</w:t>
      </w:r>
      <w:r w:rsidRPr="005B4339">
        <w:rPr>
          <w:noProof/>
          <w:lang w:val="en-IE"/>
        </w:rPr>
        <w:t>. This would remove the administration in relation to the waste status and simplify shipments of textiles accordingly both within and outside the EU.</w:t>
      </w:r>
      <w:r w:rsidR="41A328C1" w:rsidRPr="005B4339">
        <w:rPr>
          <w:noProof/>
          <w:lang w:val="en-IE"/>
        </w:rPr>
        <w:t xml:space="preserve"> Inspections of shipments for compliance with the waste legislation would be facilitated as compliance would be checked against a set of harmonised rules in the EU; furthermore, the criteria wo</w:t>
      </w:r>
      <w:r w:rsidR="66309824" w:rsidRPr="005B4339">
        <w:rPr>
          <w:noProof/>
          <w:lang w:val="en-IE"/>
        </w:rPr>
        <w:t>uld also provide for the evidence (traceability and quality check requirements) to demonstrate compliance</w:t>
      </w:r>
      <w:r w:rsidR="41A328C1" w:rsidRPr="005B4339">
        <w:rPr>
          <w:noProof/>
          <w:lang w:val="en-IE"/>
        </w:rPr>
        <w:t>.</w:t>
      </w:r>
    </w:p>
    <w:p w14:paraId="34A18DBB" w14:textId="11C596B7" w:rsidR="0D5E1ECA" w:rsidRPr="005B4339" w:rsidRDefault="0D5E1ECA" w:rsidP="13118DF8">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An additional 0.5 FTE would be required within the European Commission to adopt the necessary implementing act setting out harmonised end of waste criteria.</w:t>
      </w:r>
    </w:p>
    <w:p w14:paraId="7CA7D969" w14:textId="034A38AD" w:rsidR="2F34FFA0" w:rsidRPr="005B4339" w:rsidRDefault="2F34FFA0" w:rsidP="6208E090">
      <w:pPr>
        <w:spacing w:after="120"/>
        <w:rPr>
          <w:b/>
          <w:noProof/>
          <w:lang w:val="en-IE"/>
        </w:rPr>
      </w:pPr>
      <w:r w:rsidRPr="005B4339">
        <w:rPr>
          <w:b/>
          <w:noProof/>
          <w:lang w:val="en-IE"/>
        </w:rPr>
        <w:t>Impact on SMEs and social enterprises</w:t>
      </w:r>
    </w:p>
    <w:p w14:paraId="199E1A4B" w14:textId="5FD267FA" w:rsidR="2F34FFA0" w:rsidRPr="005B4339" w:rsidRDefault="2F34FFA0">
      <w:pPr>
        <w:rPr>
          <w:noProof/>
          <w:lang w:val="en-IE"/>
        </w:rPr>
      </w:pPr>
      <w:r w:rsidRPr="005B4339">
        <w:rPr>
          <w:noProof/>
          <w:lang w:val="en-IE"/>
        </w:rPr>
        <w:lastRenderedPageBreak/>
        <w:t xml:space="preserve">Given SMEs, including social enterprises, are the majority of those involved in the placing on the market of textiles as well as in </w:t>
      </w:r>
      <w:r w:rsidR="16B87232" w:rsidRPr="005B4339">
        <w:rPr>
          <w:noProof/>
          <w:lang w:val="en-IE"/>
        </w:rPr>
        <w:t>their waste management (sorting, transportation, recycling and re-use)</w:t>
      </w:r>
      <w:r w:rsidRPr="005B4339">
        <w:rPr>
          <w:noProof/>
          <w:lang w:val="en-IE"/>
        </w:rPr>
        <w:t>, the application of end-of-waste criteria is most likely to provide benefits to SMEs and social enterprises above other stakeholders.</w:t>
      </w:r>
    </w:p>
    <w:p w14:paraId="29563132" w14:textId="034A38AD" w:rsidR="2F34FFA0" w:rsidRPr="005B4339" w:rsidRDefault="2F34FFA0" w:rsidP="6208E090">
      <w:pPr>
        <w:spacing w:after="120"/>
        <w:rPr>
          <w:noProof/>
          <w:lang w:val="en-IE"/>
        </w:rPr>
      </w:pPr>
      <w:r w:rsidRPr="005B4339">
        <w:rPr>
          <w:i/>
          <w:noProof/>
          <w:lang w:val="en-IE"/>
        </w:rPr>
        <w:t>Stakeholder evidenc</w:t>
      </w:r>
      <w:r w:rsidRPr="005B4339">
        <w:rPr>
          <w:noProof/>
          <w:lang w:val="en-IE"/>
        </w:rPr>
        <w:t>e</w:t>
      </w:r>
    </w:p>
    <w:p w14:paraId="78A263AB" w14:textId="7B8911D3" w:rsidR="2F34FFA0" w:rsidRPr="005B4339" w:rsidRDefault="2F34FFA0" w:rsidP="6208E090">
      <w:pPr>
        <w:spacing w:after="120"/>
        <w:rPr>
          <w:noProof/>
          <w:lang w:val="en-IE"/>
        </w:rPr>
      </w:pPr>
      <w:r w:rsidRPr="005B4339">
        <w:rPr>
          <w:noProof/>
          <w:lang w:val="en-IE"/>
        </w:rPr>
        <w:t>Both the industry and a major NGO recognise that there is a need to define end-of-waste criteria and that this measure plays a crucial role in establishing shared systems and understanding</w:t>
      </w:r>
      <w:r w:rsidRPr="005B4339">
        <w:rPr>
          <w:noProof/>
          <w:vertAlign w:val="superscript"/>
          <w:lang w:val="en-IE"/>
        </w:rPr>
        <w:footnoteReference w:id="66"/>
      </w:r>
      <w:r w:rsidRPr="005B4339">
        <w:rPr>
          <w:noProof/>
          <w:lang w:val="en-IE"/>
        </w:rPr>
        <w:t xml:space="preserve"> </w:t>
      </w:r>
      <w:r w:rsidRPr="005B4339">
        <w:rPr>
          <w:noProof/>
          <w:vertAlign w:val="superscript"/>
          <w:lang w:val="en-IE"/>
        </w:rPr>
        <w:footnoteReference w:id="67"/>
      </w:r>
      <w:r w:rsidRPr="005B4339">
        <w:rPr>
          <w:noProof/>
          <w:lang w:val="en-IE"/>
        </w:rPr>
        <w:t xml:space="preserve">. Due to their capacity to support coordination of systems across states, </w:t>
      </w:r>
      <w:r w:rsidR="00A15256" w:rsidRPr="005B4339">
        <w:rPr>
          <w:noProof/>
          <w:lang w:val="en-IE"/>
        </w:rPr>
        <w:t xml:space="preserve">addressing definitions, guidance development and sharing of best practice and the adoption of EU end-of-waste criteria for textiles </w:t>
      </w:r>
      <w:r w:rsidRPr="005B4339">
        <w:rPr>
          <w:noProof/>
          <w:lang w:val="en-IE"/>
        </w:rPr>
        <w:t>were regarded as key enablers, and suggestions were that they should potentially be applied together. Combined these would reduce the administrative burdens, cost and exporting challenges in relation to certain textile materials, whilst driving economies of scale. In turn, this would decrease costs for recyclers as well as brands, retailers and consumers by reducing the price for recycled materials</w:t>
      </w:r>
      <w:r w:rsidRPr="005B4339">
        <w:rPr>
          <w:noProof/>
          <w:vertAlign w:val="superscript"/>
          <w:lang w:val="en-IE"/>
        </w:rPr>
        <w:t>52</w:t>
      </w:r>
      <w:r w:rsidRPr="005B4339">
        <w:rPr>
          <w:noProof/>
          <w:lang w:val="en-IE"/>
        </w:rPr>
        <w:t>. These measures could also be further paired with EPR to accelerate their impact</w:t>
      </w:r>
      <w:r w:rsidRPr="005B4339">
        <w:rPr>
          <w:noProof/>
          <w:vertAlign w:val="superscript"/>
          <w:lang w:val="en-IE"/>
        </w:rPr>
        <w:footnoteReference w:id="68"/>
      </w:r>
      <w:r w:rsidRPr="005B4339">
        <w:rPr>
          <w:noProof/>
          <w:lang w:val="en-IE"/>
        </w:rPr>
        <w:t xml:space="preserve"> </w:t>
      </w:r>
      <w:r w:rsidRPr="005B4339">
        <w:rPr>
          <w:noProof/>
          <w:vertAlign w:val="superscript"/>
          <w:lang w:val="en-IE"/>
        </w:rPr>
        <w:footnoteReference w:id="69"/>
      </w:r>
      <w:r w:rsidRPr="005B4339">
        <w:rPr>
          <w:noProof/>
          <w:lang w:val="en-IE"/>
        </w:rPr>
        <w:t xml:space="preserve">.  </w:t>
      </w:r>
    </w:p>
    <w:p w14:paraId="4471071B" w14:textId="1D935ACA" w:rsidR="2F34FFA0" w:rsidRPr="005B4339" w:rsidRDefault="2F34FFA0" w:rsidP="6208E090">
      <w:pPr>
        <w:spacing w:after="120"/>
        <w:rPr>
          <w:noProof/>
          <w:lang w:val="en-IE"/>
        </w:rPr>
      </w:pPr>
      <w:r w:rsidRPr="005B4339">
        <w:rPr>
          <w:noProof/>
          <w:lang w:val="en-IE"/>
        </w:rPr>
        <w:t>The role of harmonisation across states was also identified as vital to avoid distortion of competition which could create more favourable c</w:t>
      </w:r>
      <w:r w:rsidR="00545149" w:rsidRPr="005B4339">
        <w:rPr>
          <w:noProof/>
          <w:lang w:val="en-IE"/>
        </w:rPr>
        <w:t>ircumstances for some companies</w:t>
      </w:r>
      <w:r w:rsidRPr="005B4339">
        <w:rPr>
          <w:noProof/>
          <w:vertAlign w:val="superscript"/>
          <w:lang w:val="en-IE"/>
        </w:rPr>
        <w:footnoteReference w:id="70"/>
      </w:r>
      <w:r w:rsidRPr="005B4339">
        <w:rPr>
          <w:noProof/>
          <w:lang w:val="en-IE"/>
        </w:rPr>
        <w:t xml:space="preserve">. </w:t>
      </w:r>
    </w:p>
    <w:p w14:paraId="22242872" w14:textId="6BA1F418" w:rsidR="2F34FFA0" w:rsidRPr="005B4339" w:rsidRDefault="2F34FFA0" w:rsidP="6208E090">
      <w:pPr>
        <w:spacing w:after="120"/>
        <w:rPr>
          <w:noProof/>
          <w:lang w:val="en-IE"/>
        </w:rPr>
      </w:pPr>
      <w:r w:rsidRPr="005B4339">
        <w:rPr>
          <w:noProof/>
          <w:lang w:val="en-IE"/>
        </w:rPr>
        <w:t>The Commission – through the JRC – is already exploring end-of-waste criteria for textiles and there is need for further understanding on textile waste vs used textiles. The Commission should develop guidance on end-of-waste status (both when a product becomes a waste and when a waste becomes a product). Harmonising those rules at European level is key to facilitate preparation for reuse</w:t>
      </w:r>
      <w:r w:rsidR="00545149" w:rsidRPr="005B4339">
        <w:rPr>
          <w:noProof/>
          <w:lang w:val="en-IE"/>
        </w:rPr>
        <w:t xml:space="preserve"> targets</w:t>
      </w:r>
      <w:r w:rsidRPr="005B4339">
        <w:rPr>
          <w:noProof/>
          <w:vertAlign w:val="superscript"/>
          <w:lang w:val="en-IE"/>
        </w:rPr>
        <w:footnoteReference w:id="71"/>
      </w:r>
      <w:r w:rsidRPr="005B4339">
        <w:rPr>
          <w:noProof/>
          <w:lang w:val="en-IE"/>
        </w:rPr>
        <w:t xml:space="preserve">. Participants particularly desired a better understanding of how to treat and process textile waste as a resource which will create the volumes needed to make recovery worthwhile and scalable. </w:t>
      </w:r>
    </w:p>
    <w:p w14:paraId="17EB5CC6" w14:textId="29A3FAC3" w:rsidR="2F34FFA0" w:rsidRPr="005B4339" w:rsidRDefault="2F34FFA0">
      <w:pPr>
        <w:rPr>
          <w:noProof/>
          <w:lang w:val="en-IE"/>
        </w:rPr>
      </w:pPr>
      <w:r w:rsidRPr="005B4339">
        <w:rPr>
          <w:noProof/>
          <w:lang w:val="en-IE"/>
        </w:rPr>
        <w:t>As is the case with other measures, feedback indicated the need for end-of-waste criteria to align with the focus of other key regulatory initiatives such as the ESPR, alongside investment in recycling. It was also suggested that EoW criteria be focused on high volume materials such as pure cotton streams which could allow for key learnings to be captured which would inform application to other textile waste streams. EoW criteria should then be considered for the wider range of fibre and blends used across the industry, to ensure investment in technologies which can also recycle these</w:t>
      </w:r>
      <w:r w:rsidR="00A20B48" w:rsidRPr="005B4339">
        <w:rPr>
          <w:rStyle w:val="FootnoteReference"/>
          <w:noProof/>
          <w:lang w:val="en-IE"/>
        </w:rPr>
        <w:footnoteReference w:id="72"/>
      </w:r>
      <w:r w:rsidRPr="005B4339">
        <w:rPr>
          <w:noProof/>
          <w:lang w:val="en-IE"/>
        </w:rPr>
        <w:t xml:space="preserve">. In addition, the textile-related definitions currently being developed by </w:t>
      </w:r>
      <w:r w:rsidRPr="005B4339">
        <w:rPr>
          <w:noProof/>
          <w:lang w:val="en-IE"/>
        </w:rPr>
        <w:lastRenderedPageBreak/>
        <w:t>the European Committee for Standardization should be fully considered in the revised directive</w:t>
      </w:r>
      <w:r w:rsidR="0084530F" w:rsidRPr="005B4339">
        <w:rPr>
          <w:rStyle w:val="FootnoteReference"/>
          <w:noProof/>
          <w:lang w:val="en-IE"/>
        </w:rPr>
        <w:footnoteReference w:id="73"/>
      </w:r>
      <w:r w:rsidRPr="005B4339">
        <w:rPr>
          <w:noProof/>
          <w:lang w:val="en-IE"/>
        </w:rPr>
        <w:t>.</w:t>
      </w:r>
    </w:p>
    <w:p w14:paraId="0FD79DCE" w14:textId="69F5BE99" w:rsidR="00024E6E" w:rsidRPr="005B4339" w:rsidRDefault="00024E6E" w:rsidP="00024E6E">
      <w:pPr>
        <w:rPr>
          <w:noProof/>
          <w:lang w:val="en-IE"/>
        </w:rPr>
      </w:pPr>
      <w:bookmarkStart w:id="117" w:name="_Toc133229474"/>
      <w:bookmarkStart w:id="118" w:name="_Toc139032028"/>
      <w:r w:rsidRPr="005B4339">
        <w:rPr>
          <w:i/>
          <w:noProof/>
          <w:lang w:val="en-IE"/>
        </w:rPr>
        <w:t xml:space="preserve">Table </w:t>
      </w:r>
      <w:r w:rsidR="00393DFA">
        <w:rPr>
          <w:i/>
          <w:iCs/>
          <w:noProof/>
        </w:rPr>
        <w:t>12</w:t>
      </w:r>
      <w:r w:rsidRPr="005B4339">
        <w:rPr>
          <w:i/>
          <w:noProof/>
          <w:lang w:val="en-IE"/>
        </w:rPr>
        <w:t xml:space="preserve"> : Summary of impacts for measure 2.</w:t>
      </w:r>
      <w:r w:rsidR="52A339A1" w:rsidRPr="005B4339">
        <w:rPr>
          <w:i/>
          <w:noProof/>
          <w:lang w:val="en-IE"/>
        </w:rPr>
        <w:t>6</w:t>
      </w:r>
      <w:bookmarkEnd w:id="117"/>
      <w:bookmarkEnd w:id="118"/>
    </w:p>
    <w:tbl>
      <w:tblPr>
        <w:tblStyle w:val="PlainTable1"/>
        <w:tblW w:w="0" w:type="auto"/>
        <w:tblLook w:val="04A0" w:firstRow="1" w:lastRow="0" w:firstColumn="1" w:lastColumn="0" w:noHBand="0" w:noVBand="1"/>
      </w:tblPr>
      <w:tblGrid>
        <w:gridCol w:w="2547"/>
        <w:gridCol w:w="2268"/>
        <w:gridCol w:w="2268"/>
        <w:gridCol w:w="2185"/>
      </w:tblGrid>
      <w:tr w:rsidR="6208E090" w:rsidRPr="005B4339" w14:paraId="1B06A83D" w14:textId="77777777" w:rsidTr="6208E0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09EB0" w14:textId="77777777" w:rsidR="6208E090" w:rsidRPr="005B4339" w:rsidRDefault="6208E090" w:rsidP="6208E090">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0CB847" w14:textId="77777777" w:rsidR="6208E090" w:rsidRPr="005B4339" w:rsidRDefault="6208E090">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4C5B71" w14:textId="77777777" w:rsidR="6208E090" w:rsidRPr="005B4339" w:rsidRDefault="6208E090">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4ECE89" w14:textId="77777777" w:rsidR="6208E090" w:rsidRPr="005B4339" w:rsidRDefault="6208E090">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6208E090" w:rsidRPr="005B4339" w14:paraId="24994C72" w14:textId="77777777" w:rsidTr="6208E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4DFD6E" w14:textId="77777777" w:rsidR="6208E090" w:rsidRPr="005B4339" w:rsidRDefault="6208E090" w:rsidP="6208E090">
            <w:pPr>
              <w:jc w:val="left"/>
              <w:rPr>
                <w:noProof/>
                <w:lang w:val="en-IE"/>
              </w:rPr>
            </w:pPr>
            <w:r w:rsidRPr="005B4339">
              <w:rPr>
                <w:noProof/>
                <w:lang w:val="en-IE"/>
              </w:rPr>
              <w:t>Producers, waste managers (encompassing collectors,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2E62F" w14:textId="77777777" w:rsidR="6208E090" w:rsidRPr="005B4339" w:rsidRDefault="6208E090" w:rsidP="6208E090">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create new market and investment opportunities for both companies and SMEs. End-of-waste criteria would increase the quantity of recycled products, thus creating new opportunities.</w:t>
            </w:r>
          </w:p>
          <w:p w14:paraId="6A4F545F" w14:textId="7D493839" w:rsidR="6208E090" w:rsidRPr="005B4339" w:rsidRDefault="6208E090" w:rsidP="6208E090">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would boost the circular economy and reduce the export of textile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7CF57D" w14:textId="77777777" w:rsidR="6208E090" w:rsidRPr="005B4339" w:rsidRDefault="6208E090" w:rsidP="6208E090">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874461" w14:textId="77777777" w:rsidR="6208E090" w:rsidRPr="005B4339" w:rsidRDefault="6208E090" w:rsidP="6208E090">
            <w:pPr>
              <w:cnfStyle w:val="000000100000" w:firstRow="0" w:lastRow="0" w:firstColumn="0" w:lastColumn="0" w:oddVBand="0" w:evenVBand="0" w:oddHBand="1" w:evenHBand="0" w:firstRowFirstColumn="0" w:firstRowLastColumn="0" w:lastRowFirstColumn="0" w:lastRowLastColumn="0"/>
              <w:rPr>
                <w:b/>
                <w:noProof/>
                <w:lang w:val="en-IE"/>
              </w:rPr>
            </w:pPr>
          </w:p>
        </w:tc>
      </w:tr>
      <w:tr w:rsidR="6208E090" w:rsidRPr="005B4339" w14:paraId="39C9B2F8" w14:textId="77777777" w:rsidTr="6208E090">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EFB8DD" w14:textId="77777777" w:rsidR="6208E090" w:rsidRPr="005B4339" w:rsidRDefault="6208E090" w:rsidP="6208E090">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AC7AE" w14:textId="1721C0C8" w:rsidR="6208E090" w:rsidRPr="005B4339" w:rsidRDefault="6208E090" w:rsidP="6208E090">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This measure would reduce the administrative burden for waste shipping and exports as lower amount of textile would be considered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728AD" w14:textId="77777777" w:rsidR="6208E090" w:rsidRPr="005B4339" w:rsidRDefault="6208E090" w:rsidP="6208E090">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6F2C60" w14:textId="77777777" w:rsidR="6208E090" w:rsidRPr="005B4339" w:rsidRDefault="6208E090" w:rsidP="6208E090">
            <w:pPr>
              <w:cnfStyle w:val="000000000000" w:firstRow="0" w:lastRow="0" w:firstColumn="0" w:lastColumn="0" w:oddVBand="0" w:evenVBand="0" w:oddHBand="0" w:evenHBand="0" w:firstRowFirstColumn="0" w:firstRowLastColumn="0" w:lastRowFirstColumn="0" w:lastRowLastColumn="0"/>
              <w:rPr>
                <w:b/>
                <w:noProof/>
                <w:lang w:val="en-IE"/>
              </w:rPr>
            </w:pPr>
          </w:p>
        </w:tc>
      </w:tr>
      <w:tr w:rsidR="6208E090" w:rsidRPr="005B4339" w14:paraId="747E4FFA" w14:textId="77777777" w:rsidTr="6208E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891F81" w14:textId="77777777" w:rsidR="6208E090" w:rsidRPr="005B4339" w:rsidRDefault="6208E090" w:rsidP="6208E090">
            <w:pPr>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0837A4" w14:textId="77777777" w:rsidR="6208E090" w:rsidRPr="005B4339" w:rsidRDefault="6208E090" w:rsidP="6208E090">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72838" w14:textId="398E7211" w:rsidR="6208E090" w:rsidRPr="005B4339" w:rsidRDefault="6208E090" w:rsidP="6208E090">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 xml:space="preserve">This measure would reduce the amount of disposed textile, replacing virgin materials with </w:t>
            </w:r>
            <w:r w:rsidRPr="005B4339">
              <w:rPr>
                <w:noProof/>
                <w:lang w:val="en-IE"/>
              </w:rPr>
              <w:lastRenderedPageBreak/>
              <w:t>textiles that were waste.</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3315CE" w14:textId="04710AF3" w:rsidR="6208E090" w:rsidRPr="005B4339" w:rsidRDefault="6208E090" w:rsidP="6208E090">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lastRenderedPageBreak/>
              <w:t>Minor impact</w:t>
            </w:r>
          </w:p>
        </w:tc>
      </w:tr>
    </w:tbl>
    <w:p w14:paraId="4F731CD2" w14:textId="77777777" w:rsidR="00DA1DD0" w:rsidRPr="005B4339" w:rsidRDefault="00DA1DD0" w:rsidP="00DA1DD0">
      <w:pPr>
        <w:rPr>
          <w:b/>
          <w:noProof/>
          <w:lang w:val="en-IE"/>
        </w:rPr>
      </w:pPr>
    </w:p>
    <w:p w14:paraId="63F9E269" w14:textId="51A203A8" w:rsidR="00DA1DD0" w:rsidRPr="005B4339" w:rsidRDefault="00DA1DD0" w:rsidP="00DA1DD0">
      <w:pPr>
        <w:rPr>
          <w:b/>
          <w:noProof/>
          <w:lang w:val="en-IE"/>
        </w:rPr>
      </w:pPr>
      <w:r w:rsidRPr="005B4339">
        <w:rPr>
          <w:b/>
          <w:noProof/>
          <w:lang w:val="en-IE"/>
        </w:rPr>
        <w:t xml:space="preserve">Impacts on competitiveness </w:t>
      </w:r>
    </w:p>
    <w:p w14:paraId="046FB2E9" w14:textId="77777777" w:rsidR="00DA1DD0" w:rsidRPr="005B4339" w:rsidRDefault="00DA1DD0" w:rsidP="00DA1DD0">
      <w:pPr>
        <w:rPr>
          <w:noProof/>
          <w:lang w:val="en-IE"/>
        </w:rPr>
      </w:pPr>
      <w:r w:rsidRPr="005B4339">
        <w:rPr>
          <w:noProof/>
          <w:lang w:val="en-IE"/>
        </w:rPr>
        <w:t>The following impacts on competitiveness have been assessed under this measure.</w:t>
      </w:r>
    </w:p>
    <w:p w14:paraId="0DDB4AEA" w14:textId="2CB2824C" w:rsidR="00DA1DD0" w:rsidRPr="005B4339" w:rsidRDefault="00DA1DD0" w:rsidP="00DA1DD0">
      <w:pPr>
        <w:rPr>
          <w:i/>
          <w:noProof/>
          <w:lang w:val="en-IE"/>
        </w:rPr>
      </w:pPr>
      <w:bookmarkStart w:id="119" w:name="_Toc133229475"/>
      <w:bookmarkStart w:id="120" w:name="_Toc139032029"/>
      <w:r w:rsidRPr="005B4339">
        <w:rPr>
          <w:i/>
          <w:noProof/>
          <w:lang w:val="en-IE"/>
        </w:rPr>
        <w:t xml:space="preserve">Table </w:t>
      </w:r>
      <w:r w:rsidR="00393DFA">
        <w:rPr>
          <w:i/>
          <w:iCs/>
          <w:noProof/>
        </w:rPr>
        <w:t>13</w:t>
      </w:r>
      <w:r w:rsidRPr="005B4339">
        <w:rPr>
          <w:i/>
          <w:noProof/>
          <w:lang w:val="en-IE"/>
        </w:rPr>
        <w:t xml:space="preserve"> - impacts on competitiveness of measure 2.</w:t>
      </w:r>
      <w:r w:rsidR="4CE57413" w:rsidRPr="005B4339">
        <w:rPr>
          <w:i/>
          <w:noProof/>
          <w:lang w:val="en-IE"/>
        </w:rPr>
        <w:t>6</w:t>
      </w:r>
      <w:bookmarkEnd w:id="119"/>
      <w:bookmarkEnd w:id="120"/>
    </w:p>
    <w:tbl>
      <w:tblPr>
        <w:tblStyle w:val="TableGrid"/>
        <w:tblW w:w="0" w:type="auto"/>
        <w:tblLook w:val="04A0" w:firstRow="1" w:lastRow="0" w:firstColumn="1" w:lastColumn="0" w:noHBand="0" w:noVBand="1"/>
      </w:tblPr>
      <w:tblGrid>
        <w:gridCol w:w="2400"/>
        <w:gridCol w:w="7176"/>
      </w:tblGrid>
      <w:tr w:rsidR="00DA1DD0" w:rsidRPr="005B4339" w14:paraId="0B2CC36F" w14:textId="77777777">
        <w:tc>
          <w:tcPr>
            <w:tcW w:w="2405" w:type="dxa"/>
          </w:tcPr>
          <w:p w14:paraId="4C2F432D"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4C30E778" w14:textId="754C3158"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impacts on price competitiveness have been identified under this measure given that the end-of-waste criteria would apply uniformly across the EU. Those firms and Member States with already existing end-of-waste criteria may increase or decrease their competitive positions depending on the changes required to adapt to the EU wide criteria.</w:t>
            </w:r>
          </w:p>
        </w:tc>
      </w:tr>
      <w:tr w:rsidR="00DA1DD0" w:rsidRPr="005B4339" w14:paraId="57CD3DE1" w14:textId="77777777">
        <w:tc>
          <w:tcPr>
            <w:tcW w:w="2405" w:type="dxa"/>
          </w:tcPr>
          <w:p w14:paraId="4F522ED3"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1EDB22A8"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has the potential to incentivise the repair and reuse market as well as the recycling markets in Member States by potentially allowing easier movements of reusable and recyclable materials that would no longer be categorised as waste in the future.  </w:t>
            </w:r>
          </w:p>
        </w:tc>
      </w:tr>
      <w:tr w:rsidR="00DA1DD0" w:rsidRPr="005B4339" w14:paraId="4875096A" w14:textId="77777777">
        <w:tc>
          <w:tcPr>
            <w:tcW w:w="2405" w:type="dxa"/>
          </w:tcPr>
          <w:p w14:paraId="77CBB913"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5D881406"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significant export competitiveness impacts have been identified for this measure.</w:t>
            </w:r>
          </w:p>
        </w:tc>
      </w:tr>
      <w:tr w:rsidR="00DA1DD0" w:rsidRPr="005B4339" w14:paraId="252FC64D" w14:textId="77777777">
        <w:tc>
          <w:tcPr>
            <w:tcW w:w="2405" w:type="dxa"/>
          </w:tcPr>
          <w:p w14:paraId="4CF6FC2D"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7223" w:type="dxa"/>
          </w:tcPr>
          <w:p w14:paraId="3A352DEE" w14:textId="77777777" w:rsidR="00DA1DD0" w:rsidRPr="005B4339" w:rsidRDefault="00DA1DD0">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The potential to improve feedstock movements for the reuse and recycling markets under this measure would assist in developing textile reuse, repair and recycling at the EU level.  </w:t>
            </w:r>
          </w:p>
        </w:tc>
      </w:tr>
    </w:tbl>
    <w:p w14:paraId="02AFAB65" w14:textId="31378B65" w:rsidR="6208E090" w:rsidRPr="005B4339" w:rsidRDefault="6208E090" w:rsidP="6208E090">
      <w:pPr>
        <w:rPr>
          <w:i/>
          <w:noProof/>
          <w:lang w:val="en-IE"/>
        </w:rPr>
      </w:pPr>
    </w:p>
    <w:p w14:paraId="21C6257C" w14:textId="4EB397C7" w:rsidR="002F6239" w:rsidRPr="005B4339" w:rsidRDefault="002F6239" w:rsidP="002F6239">
      <w:pPr>
        <w:pStyle w:val="Heading3"/>
        <w:rPr>
          <w:noProof/>
          <w:lang w:val="en-IE"/>
        </w:rPr>
      </w:pPr>
      <w:bookmarkStart w:id="121" w:name="_Toc1671076548"/>
      <w:bookmarkStart w:id="122" w:name="_Toc369108908"/>
      <w:bookmarkStart w:id="123" w:name="_Toc990912444"/>
      <w:bookmarkStart w:id="124" w:name="_Toc1846294028"/>
      <w:bookmarkStart w:id="125" w:name="_Toc317339672"/>
      <w:bookmarkStart w:id="126" w:name="_Toc52217262"/>
      <w:bookmarkStart w:id="127" w:name="_Toc1196662926"/>
      <w:bookmarkStart w:id="128" w:name="_Toc1110646335"/>
      <w:bookmarkStart w:id="129" w:name="_Toc139032095"/>
      <w:r w:rsidRPr="005B4339">
        <w:rPr>
          <w:noProof/>
          <w:lang w:val="en-IE"/>
        </w:rPr>
        <w:t>Measure 2.</w:t>
      </w:r>
      <w:r w:rsidR="3036D2BF" w:rsidRPr="005B4339">
        <w:rPr>
          <w:noProof/>
          <w:lang w:val="en-IE"/>
        </w:rPr>
        <w:t>8</w:t>
      </w:r>
      <w:r w:rsidRPr="005B4339">
        <w:rPr>
          <w:noProof/>
          <w:lang w:val="en-IE"/>
        </w:rPr>
        <w:t xml:space="preserve"> – </w:t>
      </w:r>
      <w:bookmarkEnd w:id="115"/>
      <w:r w:rsidR="0009756B" w:rsidRPr="005B4339">
        <w:rPr>
          <w:noProof/>
          <w:lang w:val="en-IE"/>
        </w:rPr>
        <w:t>Setting requirements for shipments of textiles</w:t>
      </w:r>
      <w:bookmarkEnd w:id="116"/>
      <w:r w:rsidR="00A01ECD" w:rsidRPr="005B4339">
        <w:rPr>
          <w:noProof/>
          <w:lang w:val="en-IE"/>
        </w:rPr>
        <w:t xml:space="preserve"> for reuse</w:t>
      </w:r>
      <w:bookmarkEnd w:id="121"/>
      <w:bookmarkEnd w:id="122"/>
      <w:bookmarkEnd w:id="123"/>
      <w:bookmarkEnd w:id="124"/>
      <w:bookmarkEnd w:id="125"/>
      <w:bookmarkEnd w:id="126"/>
      <w:bookmarkEnd w:id="127"/>
      <w:bookmarkEnd w:id="128"/>
      <w:bookmarkEnd w:id="129"/>
    </w:p>
    <w:p w14:paraId="50949173" w14:textId="69C6DD92" w:rsidR="007F521A" w:rsidRPr="005B4339" w:rsidRDefault="00904352" w:rsidP="007F521A">
      <w:pPr>
        <w:pStyle w:val="WDBody"/>
        <w:spacing w:line="240" w:lineRule="auto"/>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Assessment of impact Measure 2.</w:t>
      </w:r>
    </w:p>
    <w:p w14:paraId="155F20EC" w14:textId="77777777" w:rsidR="00904352" w:rsidRPr="005B4339" w:rsidRDefault="00904352" w:rsidP="009F1CEF">
      <w:pPr>
        <w:spacing w:after="120"/>
        <w:rPr>
          <w:b/>
          <w:noProof/>
          <w:lang w:val="en-IE"/>
        </w:rPr>
      </w:pPr>
      <w:r w:rsidRPr="005B4339">
        <w:rPr>
          <w:b/>
          <w:noProof/>
          <w:lang w:val="en-IE"/>
        </w:rPr>
        <w:t>Economic impacts</w:t>
      </w:r>
    </w:p>
    <w:p w14:paraId="7D7EACDC" w14:textId="77777777" w:rsidR="00904352" w:rsidRPr="005B4339" w:rsidRDefault="00904352" w:rsidP="009F1CEF">
      <w:pPr>
        <w:pStyle w:val="WDBody"/>
        <w:spacing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Implementation of this measure would entail costs in relation to:</w:t>
      </w:r>
    </w:p>
    <w:p w14:paraId="7FBA7DC9" w14:textId="2063B09F" w:rsidR="00904352" w:rsidRPr="005B4339" w:rsidRDefault="3B59C7C9" w:rsidP="0F0B9C28">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w:t>
      </w:r>
      <w:r w:rsidR="0F4E6B51" w:rsidRPr="005B4339">
        <w:rPr>
          <w:rFonts w:ascii="Times New Roman" w:hAnsi="Times New Roman" w:cs="Times New Roman"/>
          <w:noProof/>
          <w:sz w:val="24"/>
          <w:szCs w:val="24"/>
          <w:lang w:val="en-IE"/>
        </w:rPr>
        <w:t xml:space="preserve">ember </w:t>
      </w:r>
      <w:r w:rsidRPr="005B4339">
        <w:rPr>
          <w:rFonts w:ascii="Times New Roman" w:hAnsi="Times New Roman" w:cs="Times New Roman"/>
          <w:noProof/>
          <w:sz w:val="24"/>
          <w:szCs w:val="24"/>
          <w:lang w:val="en-IE"/>
        </w:rPr>
        <w:t>S</w:t>
      </w:r>
      <w:r w:rsidR="5B500EF3" w:rsidRPr="005B4339">
        <w:rPr>
          <w:rFonts w:ascii="Times New Roman" w:hAnsi="Times New Roman" w:cs="Times New Roman"/>
          <w:noProof/>
          <w:sz w:val="24"/>
          <w:szCs w:val="24"/>
          <w:lang w:val="en-IE"/>
        </w:rPr>
        <w:t>tates</w:t>
      </w:r>
      <w:r w:rsidRPr="005B4339">
        <w:rPr>
          <w:rFonts w:ascii="Times New Roman" w:hAnsi="Times New Roman" w:cs="Times New Roman"/>
          <w:noProof/>
          <w:sz w:val="24"/>
          <w:szCs w:val="24"/>
          <w:lang w:val="en-IE"/>
        </w:rPr>
        <w:t xml:space="preserve"> set</w:t>
      </w:r>
      <w:r w:rsidR="00FF3F79" w:rsidRPr="005B4339">
        <w:rPr>
          <w:rFonts w:ascii="Times New Roman" w:hAnsi="Times New Roman" w:cs="Times New Roman"/>
          <w:noProof/>
          <w:sz w:val="24"/>
          <w:szCs w:val="24"/>
          <w:lang w:val="en-IE"/>
        </w:rPr>
        <w:t>ting</w:t>
      </w:r>
      <w:r w:rsidRPr="005B4339">
        <w:rPr>
          <w:rFonts w:ascii="Times New Roman" w:hAnsi="Times New Roman" w:cs="Times New Roman"/>
          <w:noProof/>
          <w:sz w:val="24"/>
          <w:szCs w:val="24"/>
          <w:lang w:val="en-IE"/>
        </w:rPr>
        <w:t xml:space="preserve"> up the templates for the presentation of the infor</w:t>
      </w:r>
      <w:r w:rsidR="004022AA" w:rsidRPr="005B4339">
        <w:rPr>
          <w:rFonts w:ascii="Times New Roman" w:hAnsi="Times New Roman" w:cs="Times New Roman"/>
          <w:noProof/>
          <w:sz w:val="24"/>
          <w:szCs w:val="24"/>
          <w:lang w:val="en-IE"/>
        </w:rPr>
        <w:t>m</w:t>
      </w:r>
      <w:r w:rsidRPr="005B4339">
        <w:rPr>
          <w:rFonts w:ascii="Times New Roman" w:hAnsi="Times New Roman" w:cs="Times New Roman"/>
          <w:noProof/>
          <w:sz w:val="24"/>
          <w:szCs w:val="24"/>
          <w:lang w:val="en-IE"/>
        </w:rPr>
        <w:t>ation required</w:t>
      </w:r>
      <w:r w:rsidR="4138C27B" w:rsidRPr="005B4339">
        <w:rPr>
          <w:rFonts w:ascii="Times New Roman" w:hAnsi="Times New Roman" w:cs="Times New Roman"/>
          <w:noProof/>
          <w:sz w:val="24"/>
          <w:szCs w:val="24"/>
          <w:lang w:val="en-IE"/>
        </w:rPr>
        <w:t xml:space="preserve"> upon inspection</w:t>
      </w:r>
      <w:r w:rsidRPr="005B4339">
        <w:rPr>
          <w:rFonts w:ascii="Times New Roman" w:hAnsi="Times New Roman" w:cs="Times New Roman"/>
          <w:noProof/>
          <w:sz w:val="24"/>
          <w:szCs w:val="24"/>
          <w:lang w:val="en-IE"/>
        </w:rPr>
        <w:t xml:space="preserve">. However, </w:t>
      </w:r>
      <w:r w:rsidR="34FDC9F3" w:rsidRPr="005B4339">
        <w:rPr>
          <w:rFonts w:ascii="Times New Roman" w:hAnsi="Times New Roman" w:cs="Times New Roman"/>
          <w:noProof/>
          <w:sz w:val="24"/>
          <w:szCs w:val="24"/>
          <w:lang w:val="en-IE"/>
        </w:rPr>
        <w:t>the requirements in the measure are focused on factual information</w:t>
      </w:r>
      <w:r w:rsidR="00024E6E" w:rsidRPr="005B4339">
        <w:rPr>
          <w:rFonts w:ascii="Times New Roman" w:hAnsi="Times New Roman" w:cs="Times New Roman"/>
          <w:noProof/>
          <w:sz w:val="24"/>
          <w:szCs w:val="24"/>
          <w:lang w:val="en-IE"/>
        </w:rPr>
        <w:t>. T</w:t>
      </w:r>
      <w:r w:rsidR="523F1EF4" w:rsidRPr="005B4339">
        <w:rPr>
          <w:rFonts w:ascii="Times New Roman" w:hAnsi="Times New Roman" w:cs="Times New Roman"/>
          <w:noProof/>
          <w:sz w:val="24"/>
          <w:szCs w:val="24"/>
          <w:lang w:val="en-IE"/>
        </w:rPr>
        <w:t>herefore</w:t>
      </w:r>
      <w:r w:rsidR="34FDC9F3" w:rsidRPr="005B4339">
        <w:rPr>
          <w:rFonts w:ascii="Times New Roman" w:hAnsi="Times New Roman" w:cs="Times New Roman"/>
          <w:noProof/>
          <w:sz w:val="24"/>
          <w:szCs w:val="24"/>
          <w:lang w:val="en-IE"/>
        </w:rPr>
        <w:t xml:space="preserve">, there should not be much room for </w:t>
      </w:r>
      <w:r w:rsidR="25E4D80A" w:rsidRPr="005B4339">
        <w:rPr>
          <w:rFonts w:ascii="Times New Roman" w:hAnsi="Times New Roman" w:cs="Times New Roman"/>
          <w:noProof/>
          <w:sz w:val="24"/>
          <w:szCs w:val="24"/>
          <w:lang w:val="en-IE"/>
        </w:rPr>
        <w:t xml:space="preserve">national adaptations. Furthermore, </w:t>
      </w:r>
      <w:r w:rsidRPr="005B4339">
        <w:rPr>
          <w:rFonts w:ascii="Times New Roman" w:hAnsi="Times New Roman" w:cs="Times New Roman"/>
          <w:noProof/>
          <w:sz w:val="24"/>
          <w:szCs w:val="24"/>
          <w:lang w:val="en-IE"/>
        </w:rPr>
        <w:t xml:space="preserve">this information is already readily available to the operators. </w:t>
      </w:r>
      <w:r w:rsidR="6DD432F4" w:rsidRPr="005B4339">
        <w:rPr>
          <w:rFonts w:ascii="Times New Roman" w:hAnsi="Times New Roman" w:cs="Times New Roman"/>
          <w:noProof/>
          <w:sz w:val="24"/>
          <w:szCs w:val="24"/>
          <w:lang w:val="en-IE"/>
        </w:rPr>
        <w:t xml:space="preserve">This </w:t>
      </w:r>
      <w:r w:rsidR="1FEDAEA4" w:rsidRPr="005B4339">
        <w:rPr>
          <w:rFonts w:ascii="Times New Roman" w:hAnsi="Times New Roman" w:cs="Times New Roman"/>
          <w:noProof/>
          <w:sz w:val="24"/>
          <w:szCs w:val="24"/>
          <w:lang w:val="en-IE"/>
        </w:rPr>
        <w:t>information</w:t>
      </w:r>
      <w:r w:rsidR="6DD432F4" w:rsidRPr="005B4339">
        <w:rPr>
          <w:rFonts w:ascii="Times New Roman" w:hAnsi="Times New Roman" w:cs="Times New Roman"/>
          <w:noProof/>
          <w:sz w:val="24"/>
          <w:szCs w:val="24"/>
          <w:lang w:val="en-IE"/>
        </w:rPr>
        <w:t xml:space="preserve"> is to be held by the </w:t>
      </w:r>
      <w:r w:rsidR="6DD432F4" w:rsidRPr="005B4339">
        <w:rPr>
          <w:rFonts w:ascii="Times New Roman" w:hAnsi="Times New Roman" w:cs="Times New Roman"/>
          <w:noProof/>
          <w:sz w:val="24"/>
          <w:szCs w:val="24"/>
          <w:lang w:val="en-IE"/>
        </w:rPr>
        <w:lastRenderedPageBreak/>
        <w:t>entities transporting used textiles.</w:t>
      </w:r>
      <w:r w:rsidR="004022AA" w:rsidRPr="005B4339">
        <w:rPr>
          <w:rFonts w:ascii="Times New Roman" w:hAnsi="Times New Roman" w:cs="Times New Roman"/>
          <w:noProof/>
          <w:sz w:val="24"/>
          <w:szCs w:val="24"/>
          <w:lang w:val="en-IE"/>
        </w:rPr>
        <w:t xml:space="preserve"> Since this information is likely to be already available, no significant additional costs would be attributed to the compliance with these requirements</w:t>
      </w:r>
      <w:r w:rsidR="585A843B" w:rsidRPr="005B4339">
        <w:rPr>
          <w:rFonts w:ascii="Times New Roman" w:hAnsi="Times New Roman" w:cs="Times New Roman"/>
          <w:noProof/>
          <w:sz w:val="24"/>
          <w:szCs w:val="24"/>
          <w:lang w:val="en-IE"/>
        </w:rPr>
        <w:t>.</w:t>
      </w:r>
    </w:p>
    <w:p w14:paraId="5F61CA40" w14:textId="7742FFDD" w:rsidR="00904352" w:rsidRPr="005B4339" w:rsidRDefault="585A843B" w:rsidP="0F0B9C28">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O</w:t>
      </w:r>
      <w:r w:rsidR="72B8FAEA" w:rsidRPr="005B4339">
        <w:rPr>
          <w:rFonts w:ascii="Times New Roman" w:hAnsi="Times New Roman" w:cs="Times New Roman"/>
          <w:noProof/>
          <w:sz w:val="24"/>
          <w:szCs w:val="24"/>
          <w:lang w:val="en-IE"/>
        </w:rPr>
        <w:t xml:space="preserve">perators </w:t>
      </w:r>
      <w:r w:rsidR="001660D7" w:rsidRPr="005B4339">
        <w:rPr>
          <w:rFonts w:ascii="Times New Roman" w:hAnsi="Times New Roman" w:cs="Times New Roman"/>
          <w:noProof/>
          <w:sz w:val="24"/>
          <w:szCs w:val="24"/>
          <w:lang w:val="en-IE"/>
        </w:rPr>
        <w:t>would</w:t>
      </w:r>
      <w:r w:rsidR="72B8FAEA" w:rsidRPr="005B4339">
        <w:rPr>
          <w:rFonts w:ascii="Times New Roman" w:hAnsi="Times New Roman" w:cs="Times New Roman"/>
          <w:noProof/>
          <w:sz w:val="24"/>
          <w:szCs w:val="24"/>
          <w:lang w:val="en-IE"/>
        </w:rPr>
        <w:t xml:space="preserve"> </w:t>
      </w:r>
      <w:r w:rsidR="1C7A4B4E" w:rsidRPr="005B4339">
        <w:rPr>
          <w:rFonts w:ascii="Times New Roman" w:hAnsi="Times New Roman" w:cs="Times New Roman"/>
          <w:noProof/>
          <w:sz w:val="24"/>
          <w:szCs w:val="24"/>
          <w:lang w:val="en-IE"/>
        </w:rPr>
        <w:t>need</w:t>
      </w:r>
      <w:r w:rsidR="007778FD" w:rsidRPr="005B4339">
        <w:rPr>
          <w:rFonts w:ascii="Times New Roman" w:hAnsi="Times New Roman" w:cs="Times New Roman"/>
          <w:noProof/>
          <w:sz w:val="24"/>
          <w:szCs w:val="24"/>
          <w:lang w:val="en-IE"/>
        </w:rPr>
        <w:t xml:space="preserve"> to provide </w:t>
      </w:r>
      <w:r w:rsidR="626DF194" w:rsidRPr="005B4339">
        <w:rPr>
          <w:rFonts w:ascii="Times New Roman" w:hAnsi="Times New Roman" w:cs="Times New Roman"/>
          <w:noProof/>
          <w:sz w:val="24"/>
          <w:szCs w:val="24"/>
          <w:lang w:val="en-IE"/>
        </w:rPr>
        <w:t>a</w:t>
      </w:r>
      <w:r w:rsidR="52861AB5" w:rsidRPr="005B4339">
        <w:rPr>
          <w:rFonts w:ascii="Times New Roman" w:hAnsi="Times New Roman" w:cs="Times New Roman"/>
          <w:noProof/>
          <w:sz w:val="24"/>
          <w:szCs w:val="24"/>
          <w:lang w:val="en-IE"/>
        </w:rPr>
        <w:t xml:space="preserve"> declaration </w:t>
      </w:r>
      <w:r w:rsidR="007778FD" w:rsidRPr="005B4339">
        <w:rPr>
          <w:rFonts w:ascii="Times New Roman" w:hAnsi="Times New Roman" w:cs="Times New Roman"/>
          <w:noProof/>
          <w:sz w:val="24"/>
          <w:szCs w:val="24"/>
          <w:lang w:val="en-IE"/>
        </w:rPr>
        <w:t xml:space="preserve">that the textiles exported are not waste. </w:t>
      </w:r>
      <w:r w:rsidR="004022AA" w:rsidRPr="005B4339">
        <w:rPr>
          <w:rFonts w:ascii="Times New Roman" w:hAnsi="Times New Roman" w:cs="Times New Roman"/>
          <w:noProof/>
          <w:sz w:val="24"/>
          <w:szCs w:val="24"/>
          <w:lang w:val="en-IE"/>
        </w:rPr>
        <w:t>This</w:t>
      </w:r>
      <w:r w:rsidR="299A8D9A" w:rsidRPr="005B4339">
        <w:rPr>
          <w:rFonts w:ascii="Times New Roman" w:hAnsi="Times New Roman" w:cs="Times New Roman"/>
          <w:noProof/>
          <w:sz w:val="24"/>
          <w:szCs w:val="24"/>
          <w:lang w:val="en-IE"/>
        </w:rPr>
        <w:t xml:space="preserve"> is</w:t>
      </w:r>
      <w:r w:rsidR="52861AB5" w:rsidRPr="005B4339">
        <w:rPr>
          <w:rFonts w:ascii="Times New Roman" w:hAnsi="Times New Roman" w:cs="Times New Roman"/>
          <w:noProof/>
          <w:sz w:val="24"/>
          <w:szCs w:val="24"/>
          <w:lang w:val="en-IE"/>
        </w:rPr>
        <w:t xml:space="preserve"> expected to be less than an hour per declaration, with the main cost related to the reporting of materials to the relevant competent authority once per </w:t>
      </w:r>
      <w:r w:rsidR="00D00D1B" w:rsidRPr="005B4339">
        <w:rPr>
          <w:rFonts w:ascii="Times New Roman" w:hAnsi="Times New Roman" w:cs="Times New Roman"/>
          <w:noProof/>
          <w:sz w:val="24"/>
          <w:szCs w:val="24"/>
          <w:lang w:val="en-IE"/>
        </w:rPr>
        <w:t>year</w:t>
      </w:r>
      <w:r w:rsidR="49E533F7" w:rsidRPr="005B4339">
        <w:rPr>
          <w:rFonts w:ascii="Times New Roman" w:hAnsi="Times New Roman" w:cs="Times New Roman"/>
          <w:noProof/>
          <w:sz w:val="24"/>
          <w:szCs w:val="24"/>
          <w:lang w:val="en-IE"/>
        </w:rPr>
        <w:t xml:space="preserve"> under the existing reporting obligations</w:t>
      </w:r>
      <w:r w:rsidR="52861AB5" w:rsidRPr="005B4339">
        <w:rPr>
          <w:rFonts w:ascii="Times New Roman" w:hAnsi="Times New Roman" w:cs="Times New Roman"/>
          <w:noProof/>
          <w:sz w:val="24"/>
          <w:szCs w:val="24"/>
          <w:lang w:val="en-IE"/>
        </w:rPr>
        <w:t xml:space="preserve">. This would amount to approximately </w:t>
      </w:r>
      <w:r w:rsidR="00585AD0" w:rsidRPr="005B4339">
        <w:rPr>
          <w:rFonts w:ascii="Times New Roman" w:hAnsi="Times New Roman" w:cs="Times New Roman"/>
          <w:noProof/>
          <w:sz w:val="24"/>
          <w:szCs w:val="24"/>
          <w:lang w:val="en-IE"/>
        </w:rPr>
        <w:t xml:space="preserve">208 euro </w:t>
      </w:r>
      <w:r w:rsidR="52861AB5" w:rsidRPr="005B4339">
        <w:rPr>
          <w:rFonts w:ascii="Times New Roman" w:hAnsi="Times New Roman" w:cs="Times New Roman"/>
          <w:noProof/>
          <w:sz w:val="24"/>
          <w:szCs w:val="24"/>
          <w:lang w:val="en-IE"/>
        </w:rPr>
        <w:t xml:space="preserve">per operator </w:t>
      </w:r>
      <w:r w:rsidR="007518E9" w:rsidRPr="005B4339">
        <w:rPr>
          <w:rFonts w:ascii="Times New Roman" w:hAnsi="Times New Roman" w:cs="Times New Roman"/>
          <w:noProof/>
          <w:sz w:val="24"/>
          <w:szCs w:val="24"/>
          <w:lang w:val="en-IE"/>
        </w:rPr>
        <w:t xml:space="preserve">per year </w:t>
      </w:r>
      <w:r w:rsidR="52861AB5" w:rsidRPr="005B4339">
        <w:rPr>
          <w:rFonts w:ascii="Times New Roman" w:hAnsi="Times New Roman" w:cs="Times New Roman"/>
          <w:noProof/>
          <w:sz w:val="24"/>
          <w:szCs w:val="24"/>
          <w:lang w:val="en-IE"/>
        </w:rPr>
        <w:t>affected</w:t>
      </w:r>
      <w:r w:rsidR="005E47C7" w:rsidRPr="005B4339">
        <w:rPr>
          <w:rStyle w:val="FootnoteReference"/>
          <w:rFonts w:ascii="Times New Roman" w:hAnsi="Times New Roman" w:cs="Times New Roman"/>
          <w:noProof/>
          <w:sz w:val="24"/>
          <w:szCs w:val="24"/>
          <w:lang w:val="en-IE"/>
        </w:rPr>
        <w:footnoteReference w:id="74"/>
      </w:r>
      <w:r w:rsidR="52861AB5" w:rsidRPr="005B4339">
        <w:rPr>
          <w:rFonts w:ascii="Times New Roman" w:hAnsi="Times New Roman" w:cs="Times New Roman"/>
          <w:noProof/>
          <w:sz w:val="24"/>
          <w:szCs w:val="24"/>
          <w:lang w:val="en-IE"/>
        </w:rPr>
        <w:t>. I</w:t>
      </w:r>
      <w:r w:rsidR="66709E2F" w:rsidRPr="005B4339">
        <w:rPr>
          <w:rFonts w:ascii="Times New Roman" w:hAnsi="Times New Roman" w:cs="Times New Roman"/>
          <w:noProof/>
          <w:sz w:val="24"/>
          <w:szCs w:val="24"/>
          <w:lang w:val="en-IE"/>
        </w:rPr>
        <w:t>t</w:t>
      </w:r>
      <w:r w:rsidR="52861AB5" w:rsidRPr="005B4339">
        <w:rPr>
          <w:rFonts w:ascii="Times New Roman" w:hAnsi="Times New Roman" w:cs="Times New Roman"/>
          <w:noProof/>
          <w:sz w:val="24"/>
          <w:szCs w:val="24"/>
          <w:lang w:val="en-IE"/>
        </w:rPr>
        <w:t xml:space="preserve"> i</w:t>
      </w:r>
      <w:r w:rsidR="66709E2F" w:rsidRPr="005B4339">
        <w:rPr>
          <w:rFonts w:ascii="Times New Roman" w:hAnsi="Times New Roman" w:cs="Times New Roman"/>
          <w:noProof/>
          <w:sz w:val="24"/>
          <w:szCs w:val="24"/>
          <w:lang w:val="en-IE"/>
        </w:rPr>
        <w:t>s</w:t>
      </w:r>
      <w:r w:rsidR="52861AB5" w:rsidRPr="005B4339">
        <w:rPr>
          <w:rFonts w:ascii="Times New Roman" w:hAnsi="Times New Roman" w:cs="Times New Roman"/>
          <w:noProof/>
          <w:sz w:val="24"/>
          <w:szCs w:val="24"/>
          <w:lang w:val="en-IE"/>
        </w:rPr>
        <w:t xml:space="preserve"> unknown how many enterprises would be affected by such an obligation as the total number of relevant exporters is not recorded at the EU level.</w:t>
      </w:r>
    </w:p>
    <w:p w14:paraId="778A4CA5" w14:textId="604F7D20" w:rsidR="53267C9B" w:rsidRPr="005B4339" w:rsidRDefault="53267C9B" w:rsidP="0F0B9C28">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The requirements in relation to the preparation of the bales of sorted textiles for transportation reflect the best practice of the industry to ensure that the value of the products is maintained; therefore, no </w:t>
      </w:r>
      <w:r w:rsidR="004022AA" w:rsidRPr="005B4339">
        <w:rPr>
          <w:rFonts w:ascii="Times New Roman" w:hAnsi="Times New Roman" w:cs="Times New Roman"/>
          <w:noProof/>
          <w:sz w:val="24"/>
          <w:szCs w:val="24"/>
          <w:lang w:val="en-IE"/>
        </w:rPr>
        <w:t>significant</w:t>
      </w:r>
      <w:r w:rsidRPr="005B4339">
        <w:rPr>
          <w:rFonts w:ascii="Times New Roman" w:hAnsi="Times New Roman" w:cs="Times New Roman"/>
          <w:noProof/>
          <w:sz w:val="24"/>
          <w:szCs w:val="24"/>
          <w:lang w:val="en-IE"/>
        </w:rPr>
        <w:t xml:space="preserve"> additional costs would be attributed to the compliance with these requirements for the sorters or transporters of goods.</w:t>
      </w:r>
    </w:p>
    <w:p w14:paraId="1F30904E" w14:textId="4544AC01" w:rsidR="00435021" w:rsidRPr="005B4339" w:rsidRDefault="47399EB3" w:rsidP="19C5C855">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With regard to the enforcement activities of the competent authorities</w:t>
      </w:r>
      <w:r w:rsidR="001D0AE5"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requirements for the </w:t>
      </w:r>
      <w:r w:rsidR="127AA05A" w:rsidRPr="005B4339">
        <w:rPr>
          <w:rFonts w:ascii="Times New Roman" w:hAnsi="Times New Roman" w:cs="Times New Roman"/>
          <w:noProof/>
          <w:sz w:val="24"/>
          <w:szCs w:val="24"/>
          <w:lang w:val="en-IE"/>
        </w:rPr>
        <w:t>availability</w:t>
      </w:r>
      <w:r w:rsidRPr="005B4339">
        <w:rPr>
          <w:rFonts w:ascii="Times New Roman" w:hAnsi="Times New Roman" w:cs="Times New Roman"/>
          <w:noProof/>
          <w:sz w:val="24"/>
          <w:szCs w:val="24"/>
          <w:lang w:val="en-IE"/>
        </w:rPr>
        <w:t xml:space="preserve"> of documentation proving the product status</w:t>
      </w:r>
      <w:r w:rsidR="06FA6BBA" w:rsidRPr="005B4339">
        <w:rPr>
          <w:rFonts w:ascii="Times New Roman" w:hAnsi="Times New Roman" w:cs="Times New Roman"/>
          <w:noProof/>
          <w:sz w:val="24"/>
          <w:szCs w:val="24"/>
          <w:lang w:val="en-IE"/>
        </w:rPr>
        <w:t xml:space="preserve"> of textiles should </w:t>
      </w:r>
      <w:r w:rsidR="572872EB" w:rsidRPr="005B4339">
        <w:rPr>
          <w:rFonts w:ascii="Times New Roman" w:hAnsi="Times New Roman" w:cs="Times New Roman"/>
          <w:noProof/>
          <w:sz w:val="24"/>
          <w:szCs w:val="24"/>
          <w:lang w:val="en-IE"/>
        </w:rPr>
        <w:t>facilitate</w:t>
      </w:r>
      <w:r w:rsidR="06FA6BBA" w:rsidRPr="005B4339">
        <w:rPr>
          <w:rFonts w:ascii="Times New Roman" w:hAnsi="Times New Roman" w:cs="Times New Roman"/>
          <w:noProof/>
          <w:sz w:val="24"/>
          <w:szCs w:val="24"/>
          <w:lang w:val="en-IE"/>
        </w:rPr>
        <w:t xml:space="preserve"> the </w:t>
      </w:r>
      <w:r w:rsidR="0D7AF292" w:rsidRPr="005B4339">
        <w:rPr>
          <w:rFonts w:ascii="Times New Roman" w:hAnsi="Times New Roman" w:cs="Times New Roman"/>
          <w:noProof/>
          <w:sz w:val="24"/>
          <w:szCs w:val="24"/>
          <w:lang w:val="en-IE"/>
        </w:rPr>
        <w:t>existing</w:t>
      </w:r>
      <w:r w:rsidR="06FA6BBA" w:rsidRPr="005B4339">
        <w:rPr>
          <w:rFonts w:ascii="Times New Roman" w:hAnsi="Times New Roman" w:cs="Times New Roman"/>
          <w:noProof/>
          <w:sz w:val="24"/>
          <w:szCs w:val="24"/>
          <w:lang w:val="en-IE"/>
        </w:rPr>
        <w:t xml:space="preserve"> </w:t>
      </w:r>
      <w:r w:rsidR="3B6A0B6C" w:rsidRPr="005B4339">
        <w:rPr>
          <w:rFonts w:ascii="Times New Roman" w:hAnsi="Times New Roman" w:cs="Times New Roman"/>
          <w:noProof/>
          <w:sz w:val="24"/>
          <w:szCs w:val="24"/>
          <w:lang w:val="en-IE"/>
        </w:rPr>
        <w:t>enforcement</w:t>
      </w:r>
      <w:r w:rsidR="06FA6BBA" w:rsidRPr="005B4339">
        <w:rPr>
          <w:rFonts w:ascii="Times New Roman" w:hAnsi="Times New Roman" w:cs="Times New Roman"/>
          <w:noProof/>
          <w:sz w:val="24"/>
          <w:szCs w:val="24"/>
          <w:lang w:val="en-IE"/>
        </w:rPr>
        <w:t xml:space="preserve"> and inspection processes carried out by the </w:t>
      </w:r>
      <w:r w:rsidR="637A98E9" w:rsidRPr="005B4339">
        <w:rPr>
          <w:rFonts w:ascii="Times New Roman" w:hAnsi="Times New Roman" w:cs="Times New Roman"/>
          <w:noProof/>
          <w:sz w:val="24"/>
          <w:szCs w:val="24"/>
          <w:lang w:val="en-IE"/>
        </w:rPr>
        <w:t>authorities</w:t>
      </w:r>
      <w:r w:rsidR="06FA6BBA" w:rsidRPr="005B4339">
        <w:rPr>
          <w:rFonts w:ascii="Times New Roman" w:hAnsi="Times New Roman" w:cs="Times New Roman"/>
          <w:noProof/>
          <w:sz w:val="24"/>
          <w:szCs w:val="24"/>
          <w:lang w:val="en-IE"/>
        </w:rPr>
        <w:t xml:space="preserve"> in </w:t>
      </w:r>
      <w:r w:rsidR="16243E6E" w:rsidRPr="005B4339">
        <w:rPr>
          <w:rFonts w:ascii="Times New Roman" w:hAnsi="Times New Roman" w:cs="Times New Roman"/>
          <w:noProof/>
          <w:sz w:val="24"/>
          <w:szCs w:val="24"/>
          <w:lang w:val="en-IE"/>
        </w:rPr>
        <w:t>the</w:t>
      </w:r>
      <w:r w:rsidR="06FA6BBA" w:rsidRPr="005B4339">
        <w:rPr>
          <w:rFonts w:ascii="Times New Roman" w:hAnsi="Times New Roman" w:cs="Times New Roman"/>
          <w:noProof/>
          <w:sz w:val="24"/>
          <w:szCs w:val="24"/>
          <w:lang w:val="en-IE"/>
        </w:rPr>
        <w:t xml:space="preserve"> enforcement of Waste </w:t>
      </w:r>
      <w:r w:rsidR="15A476B1" w:rsidRPr="005B4339">
        <w:rPr>
          <w:rFonts w:ascii="Times New Roman" w:hAnsi="Times New Roman" w:cs="Times New Roman"/>
          <w:noProof/>
          <w:sz w:val="24"/>
          <w:szCs w:val="24"/>
          <w:lang w:val="en-IE"/>
        </w:rPr>
        <w:t>Shipment</w:t>
      </w:r>
      <w:r w:rsidR="06FA6BBA" w:rsidRPr="005B4339">
        <w:rPr>
          <w:rFonts w:ascii="Times New Roman" w:hAnsi="Times New Roman" w:cs="Times New Roman"/>
          <w:noProof/>
          <w:sz w:val="24"/>
          <w:szCs w:val="24"/>
          <w:lang w:val="en-IE"/>
        </w:rPr>
        <w:t xml:space="preserve"> Regulation</w:t>
      </w:r>
      <w:r w:rsidR="001D0AE5" w:rsidRPr="005B4339">
        <w:rPr>
          <w:rFonts w:ascii="Times New Roman" w:hAnsi="Times New Roman" w:cs="Times New Roman"/>
          <w:noProof/>
          <w:sz w:val="24"/>
          <w:szCs w:val="24"/>
          <w:lang w:val="en-IE"/>
        </w:rPr>
        <w:t>. T</w:t>
      </w:r>
      <w:r w:rsidR="06FA6BBA" w:rsidRPr="005B4339">
        <w:rPr>
          <w:rFonts w:ascii="Times New Roman" w:hAnsi="Times New Roman" w:cs="Times New Roman"/>
          <w:noProof/>
          <w:sz w:val="24"/>
          <w:szCs w:val="24"/>
          <w:lang w:val="en-IE"/>
        </w:rPr>
        <w:t>herefore,</w:t>
      </w:r>
      <w:r w:rsidR="001D0AE5" w:rsidRPr="005B4339">
        <w:rPr>
          <w:rFonts w:ascii="Times New Roman" w:hAnsi="Times New Roman" w:cs="Times New Roman"/>
          <w:noProof/>
          <w:sz w:val="24"/>
          <w:szCs w:val="24"/>
          <w:lang w:val="en-IE"/>
        </w:rPr>
        <w:t xml:space="preserve"> a</w:t>
      </w:r>
      <w:r w:rsidR="06FA6BBA" w:rsidRPr="005B4339">
        <w:rPr>
          <w:rFonts w:ascii="Times New Roman" w:hAnsi="Times New Roman" w:cs="Times New Roman"/>
          <w:noProof/>
          <w:sz w:val="24"/>
          <w:szCs w:val="24"/>
          <w:lang w:val="en-IE"/>
        </w:rPr>
        <w:t xml:space="preserve"> reduced </w:t>
      </w:r>
      <w:r w:rsidR="001D0AE5" w:rsidRPr="005B4339">
        <w:rPr>
          <w:rFonts w:ascii="Times New Roman" w:hAnsi="Times New Roman" w:cs="Times New Roman"/>
          <w:noProof/>
          <w:sz w:val="24"/>
          <w:szCs w:val="24"/>
          <w:lang w:val="en-IE"/>
        </w:rPr>
        <w:t>admin</w:t>
      </w:r>
      <w:r w:rsidR="6C95DED4" w:rsidRPr="005B4339">
        <w:rPr>
          <w:rFonts w:ascii="Times New Roman" w:hAnsi="Times New Roman" w:cs="Times New Roman"/>
          <w:noProof/>
          <w:sz w:val="24"/>
          <w:szCs w:val="24"/>
          <w:lang w:val="en-IE"/>
        </w:rPr>
        <w:t>istrative</w:t>
      </w:r>
      <w:r w:rsidR="001D0AE5" w:rsidRPr="005B4339">
        <w:rPr>
          <w:rFonts w:ascii="Times New Roman" w:hAnsi="Times New Roman" w:cs="Times New Roman"/>
          <w:noProof/>
          <w:sz w:val="24"/>
          <w:szCs w:val="24"/>
          <w:lang w:val="en-IE"/>
        </w:rPr>
        <w:t xml:space="preserve"> burden is expected for inspectors that could not be quantified precisely.</w:t>
      </w:r>
      <w:r w:rsidR="20528A08" w:rsidRPr="005B4339">
        <w:rPr>
          <w:rFonts w:ascii="Times New Roman" w:hAnsi="Times New Roman" w:cs="Times New Roman"/>
          <w:noProof/>
          <w:sz w:val="24"/>
          <w:szCs w:val="24"/>
          <w:lang w:val="en-IE"/>
        </w:rPr>
        <w:t xml:space="preserve"> </w:t>
      </w:r>
    </w:p>
    <w:p w14:paraId="49F89694" w14:textId="68EAF29D" w:rsidR="001C428D" w:rsidRPr="005B4339" w:rsidRDefault="001C428D" w:rsidP="19C5C855">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Inspections in the third countries receiving </w:t>
      </w:r>
      <w:r w:rsidR="00815744" w:rsidRPr="005B4339">
        <w:rPr>
          <w:rFonts w:ascii="Times New Roman" w:hAnsi="Times New Roman" w:cs="Times New Roman"/>
          <w:noProof/>
          <w:sz w:val="24"/>
          <w:szCs w:val="24"/>
          <w:lang w:val="en-IE"/>
        </w:rPr>
        <w:t>textiles are not foreseen under this measure</w:t>
      </w:r>
      <w:r w:rsidR="00056313" w:rsidRPr="005B4339">
        <w:rPr>
          <w:rFonts w:ascii="Times New Roman" w:hAnsi="Times New Roman" w:cs="Times New Roman"/>
          <w:noProof/>
          <w:sz w:val="24"/>
          <w:szCs w:val="24"/>
          <w:lang w:val="en-IE"/>
        </w:rPr>
        <w:t xml:space="preserve"> so there is no additional admin</w:t>
      </w:r>
      <w:r w:rsidR="737E6064" w:rsidRPr="005B4339">
        <w:rPr>
          <w:rFonts w:ascii="Times New Roman" w:hAnsi="Times New Roman" w:cs="Times New Roman"/>
          <w:noProof/>
          <w:sz w:val="24"/>
          <w:szCs w:val="24"/>
          <w:lang w:val="en-IE"/>
        </w:rPr>
        <w:t>istrative</w:t>
      </w:r>
      <w:r w:rsidR="00056313" w:rsidRPr="005B4339">
        <w:rPr>
          <w:rFonts w:ascii="Times New Roman" w:hAnsi="Times New Roman" w:cs="Times New Roman"/>
          <w:noProof/>
          <w:sz w:val="24"/>
          <w:szCs w:val="24"/>
          <w:lang w:val="en-IE"/>
        </w:rPr>
        <w:t xml:space="preserve"> burden</w:t>
      </w:r>
      <w:r w:rsidR="00815744" w:rsidRPr="005B4339">
        <w:rPr>
          <w:rFonts w:ascii="Times New Roman" w:hAnsi="Times New Roman" w:cs="Times New Roman"/>
          <w:noProof/>
          <w:sz w:val="24"/>
          <w:szCs w:val="24"/>
          <w:lang w:val="en-IE"/>
        </w:rPr>
        <w:t>.</w:t>
      </w:r>
      <w:r w:rsidR="00056313" w:rsidRPr="005B4339">
        <w:rPr>
          <w:rFonts w:ascii="Times New Roman" w:hAnsi="Times New Roman" w:cs="Times New Roman"/>
          <w:noProof/>
          <w:sz w:val="24"/>
          <w:szCs w:val="24"/>
          <w:lang w:val="en-IE"/>
        </w:rPr>
        <w:t xml:space="preserve"> </w:t>
      </w:r>
    </w:p>
    <w:p w14:paraId="771A39D7" w14:textId="5C97D357" w:rsidR="1A4A96F0" w:rsidRPr="005B4339" w:rsidRDefault="6356A278" w:rsidP="00236AF2">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New business opportunities for entities (based in the EU or outside the EU) to assist the sorting operators in data collection in third countries where textiles are</w:t>
      </w:r>
      <w:r w:rsidR="6B08A5A0" w:rsidRPr="005B4339">
        <w:rPr>
          <w:rFonts w:ascii="Times New Roman" w:hAnsi="Times New Roman" w:cs="Times New Roman"/>
          <w:noProof/>
          <w:sz w:val="24"/>
          <w:szCs w:val="24"/>
          <w:lang w:val="en-IE"/>
        </w:rPr>
        <w:t xml:space="preserve"> exported for </w:t>
      </w:r>
      <w:r w:rsidR="00D96247" w:rsidRPr="005B4339">
        <w:rPr>
          <w:rFonts w:ascii="Times New Roman" w:hAnsi="Times New Roman" w:cs="Times New Roman"/>
          <w:noProof/>
          <w:sz w:val="24"/>
          <w:szCs w:val="24"/>
          <w:lang w:val="en-IE"/>
        </w:rPr>
        <w:t>reuse</w:t>
      </w:r>
      <w:r w:rsidR="6B08A5A0" w:rsidRPr="005B4339">
        <w:rPr>
          <w:rFonts w:ascii="Times New Roman" w:hAnsi="Times New Roman" w:cs="Times New Roman"/>
          <w:noProof/>
          <w:sz w:val="24"/>
          <w:szCs w:val="24"/>
          <w:lang w:val="en-IE"/>
        </w:rPr>
        <w:t xml:space="preserve"> and data analysis</w:t>
      </w:r>
      <w:r w:rsidR="00236AF2" w:rsidRPr="005B4339">
        <w:rPr>
          <w:rFonts w:ascii="Times New Roman" w:hAnsi="Times New Roman" w:cs="Times New Roman"/>
          <w:noProof/>
          <w:sz w:val="24"/>
          <w:szCs w:val="24"/>
          <w:lang w:val="en-IE"/>
        </w:rPr>
        <w:t xml:space="preserve"> may be expected and r</w:t>
      </w:r>
      <w:r w:rsidR="069D86F5" w:rsidRPr="005B4339">
        <w:rPr>
          <w:rFonts w:ascii="Times New Roman" w:hAnsi="Times New Roman" w:cs="Times New Roman"/>
          <w:noProof/>
          <w:sz w:val="24"/>
          <w:szCs w:val="24"/>
          <w:lang w:val="en-IE"/>
        </w:rPr>
        <w:t xml:space="preserve">educed </w:t>
      </w:r>
      <w:r w:rsidR="20442714" w:rsidRPr="005B4339">
        <w:rPr>
          <w:rFonts w:ascii="Times New Roman" w:hAnsi="Times New Roman" w:cs="Times New Roman"/>
          <w:noProof/>
          <w:sz w:val="24"/>
          <w:szCs w:val="24"/>
          <w:lang w:val="en-IE"/>
        </w:rPr>
        <w:t xml:space="preserve">textile waste management </w:t>
      </w:r>
      <w:r w:rsidR="069D86F5" w:rsidRPr="005B4339">
        <w:rPr>
          <w:rFonts w:ascii="Times New Roman" w:hAnsi="Times New Roman" w:cs="Times New Roman"/>
          <w:noProof/>
          <w:sz w:val="24"/>
          <w:szCs w:val="24"/>
          <w:lang w:val="en-IE"/>
        </w:rPr>
        <w:t xml:space="preserve">costs to the </w:t>
      </w:r>
      <w:r w:rsidR="00D96247" w:rsidRPr="005B4339">
        <w:rPr>
          <w:rFonts w:ascii="Times New Roman" w:hAnsi="Times New Roman" w:cs="Times New Roman"/>
          <w:noProof/>
          <w:sz w:val="24"/>
          <w:szCs w:val="24"/>
          <w:lang w:val="en-IE"/>
        </w:rPr>
        <w:t>reuse</w:t>
      </w:r>
      <w:r w:rsidR="069D86F5" w:rsidRPr="005B4339">
        <w:rPr>
          <w:rFonts w:ascii="Times New Roman" w:hAnsi="Times New Roman" w:cs="Times New Roman"/>
          <w:noProof/>
          <w:sz w:val="24"/>
          <w:szCs w:val="24"/>
          <w:lang w:val="en-IE"/>
        </w:rPr>
        <w:t xml:space="preserve"> operators </w:t>
      </w:r>
      <w:r w:rsidR="230CEAC6" w:rsidRPr="005B4339">
        <w:rPr>
          <w:rFonts w:ascii="Times New Roman" w:hAnsi="Times New Roman" w:cs="Times New Roman"/>
          <w:noProof/>
          <w:sz w:val="24"/>
          <w:szCs w:val="24"/>
          <w:lang w:val="en-IE"/>
        </w:rPr>
        <w:t>within or outside the EU</w:t>
      </w:r>
      <w:r w:rsidR="55FA9384" w:rsidRPr="005B4339">
        <w:rPr>
          <w:rFonts w:ascii="Times New Roman" w:hAnsi="Times New Roman" w:cs="Times New Roman"/>
          <w:noProof/>
          <w:sz w:val="24"/>
          <w:szCs w:val="24"/>
          <w:lang w:val="en-IE"/>
        </w:rPr>
        <w:t xml:space="preserve"> </w:t>
      </w:r>
      <w:r w:rsidR="069D86F5" w:rsidRPr="005B4339">
        <w:rPr>
          <w:rFonts w:ascii="Times New Roman" w:hAnsi="Times New Roman" w:cs="Times New Roman"/>
          <w:noProof/>
          <w:sz w:val="24"/>
          <w:szCs w:val="24"/>
          <w:lang w:val="en-IE"/>
        </w:rPr>
        <w:t xml:space="preserve">on account of reduced share of potential </w:t>
      </w:r>
      <w:r w:rsidR="3D2CB91C" w:rsidRPr="005B4339">
        <w:rPr>
          <w:rFonts w:ascii="Times New Roman" w:hAnsi="Times New Roman" w:cs="Times New Roman"/>
          <w:noProof/>
          <w:sz w:val="24"/>
          <w:szCs w:val="24"/>
          <w:lang w:val="en-IE"/>
        </w:rPr>
        <w:t xml:space="preserve">waste fractions in the bales of sorted textiles for </w:t>
      </w:r>
      <w:r w:rsidR="00D96247" w:rsidRPr="005B4339">
        <w:rPr>
          <w:rFonts w:ascii="Times New Roman" w:hAnsi="Times New Roman" w:cs="Times New Roman"/>
          <w:noProof/>
          <w:sz w:val="24"/>
          <w:szCs w:val="24"/>
          <w:lang w:val="en-IE"/>
        </w:rPr>
        <w:t>reuse</w:t>
      </w:r>
      <w:r w:rsidR="3D2CB91C" w:rsidRPr="005B4339">
        <w:rPr>
          <w:rFonts w:ascii="Times New Roman" w:hAnsi="Times New Roman" w:cs="Times New Roman"/>
          <w:noProof/>
          <w:sz w:val="24"/>
          <w:szCs w:val="24"/>
          <w:lang w:val="en-IE"/>
        </w:rPr>
        <w:t xml:space="preserve"> imported from the EU</w:t>
      </w:r>
      <w:r w:rsidR="001660D7" w:rsidRPr="005B4339">
        <w:rPr>
          <w:rFonts w:ascii="Times New Roman" w:hAnsi="Times New Roman" w:cs="Times New Roman"/>
          <w:noProof/>
          <w:sz w:val="24"/>
          <w:szCs w:val="24"/>
          <w:lang w:val="en-IE"/>
        </w:rPr>
        <w:t xml:space="preserve"> should be realised</w:t>
      </w:r>
      <w:r w:rsidR="3D2CB91C" w:rsidRPr="005B4339">
        <w:rPr>
          <w:rFonts w:ascii="Times New Roman" w:hAnsi="Times New Roman" w:cs="Times New Roman"/>
          <w:noProof/>
          <w:sz w:val="24"/>
          <w:szCs w:val="24"/>
          <w:lang w:val="en-IE"/>
        </w:rPr>
        <w:t xml:space="preserve">. </w:t>
      </w:r>
    </w:p>
    <w:p w14:paraId="6DA9CBC2" w14:textId="2D92032A" w:rsidR="00756CED" w:rsidRPr="005B4339" w:rsidRDefault="00756CED" w:rsidP="00756CED">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Potential impacts on flows of textile waste are presented under environmental impacts below.</w:t>
      </w:r>
    </w:p>
    <w:p w14:paraId="0CF35252" w14:textId="2D92032A" w:rsidR="00756CED" w:rsidRPr="005B4339" w:rsidRDefault="00756CED" w:rsidP="00236AF2">
      <w:pPr>
        <w:pStyle w:val="WDBody"/>
        <w:spacing w:after="120" w:line="240" w:lineRule="auto"/>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No significant impact on the price of textile goods would result from this measure.</w:t>
      </w:r>
    </w:p>
    <w:p w14:paraId="04180AAB" w14:textId="714EB6F5" w:rsidR="00904352" w:rsidRPr="005B4339" w:rsidRDefault="52861AB5" w:rsidP="00927E7D">
      <w:pPr>
        <w:pStyle w:val="WDBody"/>
        <w:spacing w:after="120" w:line="240" w:lineRule="auto"/>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Environmental impacts</w:t>
      </w:r>
    </w:p>
    <w:p w14:paraId="6EBAEA44" w14:textId="4B8F8979" w:rsidR="008D7D23" w:rsidRPr="005B4339" w:rsidRDefault="00F77A81" w:rsidP="00927E7D">
      <w:pPr>
        <w:spacing w:after="120"/>
        <w:rPr>
          <w:noProof/>
          <w:lang w:val="en-IE"/>
        </w:rPr>
      </w:pPr>
      <w:r w:rsidRPr="005B4339">
        <w:rPr>
          <w:noProof/>
          <w:lang w:val="en-IE"/>
        </w:rPr>
        <w:t>The majority of exports</w:t>
      </w:r>
      <w:r w:rsidR="00080149" w:rsidRPr="005B4339">
        <w:rPr>
          <w:noProof/>
          <w:lang w:val="en-IE"/>
        </w:rPr>
        <w:t xml:space="preserve"> from the EU to third countries</w:t>
      </w:r>
      <w:r w:rsidRPr="005B4339">
        <w:rPr>
          <w:noProof/>
          <w:lang w:val="en-IE"/>
        </w:rPr>
        <w:t xml:space="preserve"> of used clothing</w:t>
      </w:r>
      <w:r w:rsidR="00FE2558" w:rsidRPr="005B4339">
        <w:rPr>
          <w:noProof/>
          <w:lang w:val="en-IE"/>
        </w:rPr>
        <w:t xml:space="preserve"> and clothing accessories, blankets and travelling rugs, household linen and articles for interior furnishing and textile materials including all types of footwear and headgear are to non-OECD countries. </w:t>
      </w:r>
      <w:r w:rsidR="00080149" w:rsidRPr="005B4339">
        <w:rPr>
          <w:noProof/>
          <w:lang w:val="en-IE"/>
        </w:rPr>
        <w:t>An examination of data from Comext</w:t>
      </w:r>
      <w:r w:rsidR="003A0AC5" w:rsidRPr="005B4339">
        <w:rPr>
          <w:rStyle w:val="FootnoteReference"/>
          <w:noProof/>
          <w:lang w:val="en-IE"/>
        </w:rPr>
        <w:footnoteReference w:id="75"/>
      </w:r>
      <w:r w:rsidR="00080149" w:rsidRPr="005B4339">
        <w:rPr>
          <w:noProof/>
          <w:lang w:val="en-IE"/>
        </w:rPr>
        <w:t xml:space="preserve"> for the period 2017-2021</w:t>
      </w:r>
      <w:r w:rsidR="003A0AC5" w:rsidRPr="005B4339">
        <w:rPr>
          <w:noProof/>
          <w:lang w:val="en-IE"/>
        </w:rPr>
        <w:t xml:space="preserve"> shows that </w:t>
      </w:r>
      <w:r w:rsidR="00315512" w:rsidRPr="005B4339">
        <w:rPr>
          <w:noProof/>
          <w:lang w:val="en-IE"/>
        </w:rPr>
        <w:t xml:space="preserve">in 2021, </w:t>
      </w:r>
      <w:r w:rsidR="00D80FC9" w:rsidRPr="005B4339">
        <w:rPr>
          <w:noProof/>
          <w:lang w:val="en-IE"/>
        </w:rPr>
        <w:t>61 countries receiv</w:t>
      </w:r>
      <w:r w:rsidR="00315512" w:rsidRPr="005B4339">
        <w:rPr>
          <w:noProof/>
          <w:lang w:val="en-IE"/>
        </w:rPr>
        <w:t>ed 98.8% of volumes exported from the EU, amounting to</w:t>
      </w:r>
      <w:r w:rsidR="00D80FC9" w:rsidRPr="005B4339">
        <w:rPr>
          <w:noProof/>
          <w:lang w:val="en-IE"/>
        </w:rPr>
        <w:t xml:space="preserve"> at least 1 000 tonnes of used textiles from the EU. The controls in place for the management of these materials are likely to vary dramatically.</w:t>
      </w:r>
    </w:p>
    <w:p w14:paraId="436DD4A7" w14:textId="67CAEB8A" w:rsidR="00F77A81" w:rsidRPr="005B4339" w:rsidRDefault="00584DDB" w:rsidP="006554B6">
      <w:pPr>
        <w:rPr>
          <w:noProof/>
          <w:lang w:val="en-IE"/>
        </w:rPr>
      </w:pPr>
      <w:r w:rsidRPr="005B4339">
        <w:rPr>
          <w:noProof/>
          <w:lang w:val="en-IE"/>
        </w:rPr>
        <w:lastRenderedPageBreak/>
        <w:t>The top ten destination countries for</w:t>
      </w:r>
      <w:r w:rsidR="008D7D23" w:rsidRPr="005B4339">
        <w:rPr>
          <w:noProof/>
          <w:lang w:val="en-IE"/>
        </w:rPr>
        <w:t xml:space="preserve"> EU exports</w:t>
      </w:r>
      <w:r w:rsidRPr="005B4339">
        <w:rPr>
          <w:noProof/>
          <w:lang w:val="en-IE"/>
        </w:rPr>
        <w:t xml:space="preserve"> the period 2017-2021 are shown below.</w:t>
      </w:r>
    </w:p>
    <w:p w14:paraId="52A17634" w14:textId="6AF155E6" w:rsidR="004C2ABD" w:rsidRPr="005B4339" w:rsidRDefault="004C2ABD" w:rsidP="006554B6">
      <w:pPr>
        <w:rPr>
          <w:noProof/>
          <w:lang w:val="en-IE"/>
        </w:rPr>
      </w:pPr>
      <w:bookmarkStart w:id="130" w:name="_Toc133229476"/>
      <w:bookmarkStart w:id="131" w:name="_Toc139032030"/>
      <w:r w:rsidRPr="005B4339">
        <w:rPr>
          <w:i/>
          <w:iCs/>
          <w:noProof/>
          <w:lang w:val="en-IE"/>
        </w:rPr>
        <w:t xml:space="preserve">Table </w:t>
      </w:r>
      <w:r w:rsidR="00393DFA">
        <w:rPr>
          <w:i/>
          <w:iCs/>
          <w:noProof/>
          <w:lang w:val="en-IE"/>
        </w:rPr>
        <w:t>14</w:t>
      </w:r>
      <w:r w:rsidRPr="005B4339">
        <w:rPr>
          <w:i/>
          <w:iCs/>
          <w:noProof/>
          <w:lang w:val="en-IE"/>
        </w:rPr>
        <w:t xml:space="preserve"> : Destination countries for EU exports of </w:t>
      </w:r>
      <w:r w:rsidR="00263B50" w:rsidRPr="005B4339">
        <w:rPr>
          <w:i/>
          <w:iCs/>
          <w:noProof/>
          <w:lang w:val="en-IE"/>
        </w:rPr>
        <w:t xml:space="preserve">used </w:t>
      </w:r>
      <w:r w:rsidRPr="005B4339">
        <w:rPr>
          <w:i/>
          <w:iCs/>
          <w:noProof/>
          <w:lang w:val="en-IE"/>
        </w:rPr>
        <w:t>te</w:t>
      </w:r>
      <w:r w:rsidR="00263B50" w:rsidRPr="005B4339">
        <w:rPr>
          <w:i/>
          <w:iCs/>
          <w:noProof/>
          <w:lang w:val="en-IE"/>
        </w:rPr>
        <w:t>xtiles</w:t>
      </w:r>
      <w:bookmarkEnd w:id="130"/>
      <w:bookmarkEnd w:id="131"/>
    </w:p>
    <w:p w14:paraId="266CB89A" w14:textId="1D11DCB0" w:rsidR="008D7D23" w:rsidRPr="005B4339" w:rsidRDefault="008D7D23" w:rsidP="008D7D23">
      <w:pPr>
        <w:jc w:val="center"/>
        <w:rPr>
          <w:noProof/>
          <w:lang w:val="en-IE"/>
        </w:rPr>
      </w:pPr>
      <w:r w:rsidRPr="005B4339">
        <w:rPr>
          <w:noProof/>
          <w:color w:val="2B579A"/>
          <w:shd w:val="clear" w:color="auto" w:fill="E6E6E6"/>
          <w:lang w:eastAsia="en-GB"/>
        </w:rPr>
        <w:drawing>
          <wp:inline distT="0" distB="0" distL="0" distR="0" wp14:anchorId="06D8AA1C" wp14:editId="0EB3A6C7">
            <wp:extent cx="4781550" cy="2867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867025"/>
                    </a:xfrm>
                    <a:prstGeom prst="rect">
                      <a:avLst/>
                    </a:prstGeom>
                    <a:noFill/>
                    <a:ln>
                      <a:noFill/>
                    </a:ln>
                  </pic:spPr>
                </pic:pic>
              </a:graphicData>
            </a:graphic>
          </wp:inline>
        </w:drawing>
      </w:r>
    </w:p>
    <w:p w14:paraId="10D7FC10" w14:textId="4C5E0531" w:rsidR="000407BA" w:rsidRPr="005B4339" w:rsidRDefault="009B57EA" w:rsidP="0084079E">
      <w:pPr>
        <w:spacing w:after="120"/>
        <w:rPr>
          <w:noProof/>
          <w:lang w:val="en-IE"/>
        </w:rPr>
      </w:pPr>
      <w:r w:rsidRPr="005B4339">
        <w:rPr>
          <w:noProof/>
          <w:lang w:val="en-IE"/>
        </w:rPr>
        <w:t>S</w:t>
      </w:r>
      <w:r w:rsidR="004A5768" w:rsidRPr="005B4339">
        <w:rPr>
          <w:noProof/>
          <w:lang w:val="en-IE"/>
        </w:rPr>
        <w:t>takeholders in the context of the impact assessment accompanying the proposal for a revision of the Waste Ship</w:t>
      </w:r>
      <w:r w:rsidR="00F33D6E" w:rsidRPr="005B4339">
        <w:rPr>
          <w:noProof/>
          <w:lang w:val="en-IE"/>
        </w:rPr>
        <w:t>ments Regulation</w:t>
      </w:r>
      <w:r w:rsidR="00BA2070" w:rsidRPr="005B4339">
        <w:rPr>
          <w:rStyle w:val="FootnoteReference"/>
          <w:noProof/>
          <w:lang w:val="en-IE"/>
        </w:rPr>
        <w:footnoteReference w:id="76"/>
      </w:r>
      <w:r w:rsidRPr="005B4339">
        <w:rPr>
          <w:noProof/>
          <w:lang w:val="en-IE"/>
        </w:rPr>
        <w:t xml:space="preserve"> raised the issue that</w:t>
      </w:r>
      <w:r w:rsidR="004A5768" w:rsidRPr="005B4339">
        <w:rPr>
          <w:noProof/>
          <w:lang w:val="en-IE"/>
        </w:rPr>
        <w:t xml:space="preserve"> third countries often welcome EU wastes as they are generally well sorted and have a higher economic value </w:t>
      </w:r>
      <w:r w:rsidRPr="005B4339">
        <w:rPr>
          <w:noProof/>
          <w:lang w:val="en-IE"/>
        </w:rPr>
        <w:t xml:space="preserve">compared </w:t>
      </w:r>
      <w:r w:rsidR="004A5768" w:rsidRPr="005B4339">
        <w:rPr>
          <w:noProof/>
          <w:lang w:val="en-IE"/>
        </w:rPr>
        <w:t xml:space="preserve">to </w:t>
      </w:r>
      <w:r w:rsidRPr="005B4339">
        <w:rPr>
          <w:noProof/>
          <w:lang w:val="en-IE"/>
        </w:rPr>
        <w:t xml:space="preserve">domestic </w:t>
      </w:r>
      <w:r w:rsidR="004A5768" w:rsidRPr="005B4339">
        <w:rPr>
          <w:noProof/>
          <w:lang w:val="en-IE"/>
        </w:rPr>
        <w:t>waste</w:t>
      </w:r>
      <w:r w:rsidRPr="005B4339">
        <w:rPr>
          <w:noProof/>
          <w:lang w:val="en-IE"/>
        </w:rPr>
        <w:t xml:space="preserve"> or waste</w:t>
      </w:r>
      <w:r w:rsidR="004A5768" w:rsidRPr="005B4339">
        <w:rPr>
          <w:noProof/>
          <w:lang w:val="en-IE"/>
        </w:rPr>
        <w:t xml:space="preserve"> from other countries. However, </w:t>
      </w:r>
      <w:r w:rsidR="00AF7BC3" w:rsidRPr="005B4339">
        <w:rPr>
          <w:noProof/>
          <w:lang w:val="en-IE"/>
        </w:rPr>
        <w:t xml:space="preserve">the import of </w:t>
      </w:r>
      <w:r w:rsidR="004A5768" w:rsidRPr="005B4339">
        <w:rPr>
          <w:noProof/>
          <w:lang w:val="en-IE"/>
        </w:rPr>
        <w:t xml:space="preserve">EU wastes can displace domestically generated wastes in </w:t>
      </w:r>
      <w:r w:rsidR="00AF7BC3" w:rsidRPr="005B4339">
        <w:rPr>
          <w:noProof/>
          <w:lang w:val="en-IE"/>
        </w:rPr>
        <w:t xml:space="preserve">other </w:t>
      </w:r>
      <w:r w:rsidR="004A5768" w:rsidRPr="005B4339">
        <w:rPr>
          <w:noProof/>
          <w:lang w:val="en-IE"/>
        </w:rPr>
        <w:t>countries</w:t>
      </w:r>
      <w:r w:rsidR="00AF7BC3" w:rsidRPr="005B4339">
        <w:rPr>
          <w:noProof/>
          <w:lang w:val="en-IE"/>
        </w:rPr>
        <w:t xml:space="preserve"> with even less </w:t>
      </w:r>
      <w:r w:rsidR="004A5768" w:rsidRPr="005B4339">
        <w:rPr>
          <w:noProof/>
          <w:lang w:val="en-IE"/>
        </w:rPr>
        <w:t xml:space="preserve">effective management of </w:t>
      </w:r>
      <w:r w:rsidR="00361E9E" w:rsidRPr="005B4339">
        <w:rPr>
          <w:noProof/>
          <w:lang w:val="en-IE"/>
        </w:rPr>
        <w:t xml:space="preserve">waste or cause them to be simply disposed or </w:t>
      </w:r>
      <w:r w:rsidR="0084079E" w:rsidRPr="005B4339">
        <w:rPr>
          <w:noProof/>
          <w:lang w:val="en-IE"/>
        </w:rPr>
        <w:t xml:space="preserve">even </w:t>
      </w:r>
      <w:r w:rsidR="00361E9E" w:rsidRPr="005B4339">
        <w:rPr>
          <w:noProof/>
          <w:lang w:val="en-IE"/>
        </w:rPr>
        <w:t xml:space="preserve">dumped rather than </w:t>
      </w:r>
      <w:r w:rsidR="0084079E" w:rsidRPr="005B4339">
        <w:rPr>
          <w:noProof/>
          <w:lang w:val="en-IE"/>
        </w:rPr>
        <w:t xml:space="preserve">being </w:t>
      </w:r>
      <w:r w:rsidR="00361E9E" w:rsidRPr="005B4339">
        <w:rPr>
          <w:noProof/>
          <w:lang w:val="en-IE"/>
        </w:rPr>
        <w:t>managed appropriately</w:t>
      </w:r>
      <w:r w:rsidR="0084079E" w:rsidRPr="005B4339">
        <w:rPr>
          <w:noProof/>
          <w:lang w:val="en-IE"/>
        </w:rPr>
        <w:t xml:space="preserve"> as shown in Table below</w:t>
      </w:r>
      <w:r w:rsidR="004A5768" w:rsidRPr="005B4339">
        <w:rPr>
          <w:noProof/>
          <w:lang w:val="en-IE"/>
        </w:rPr>
        <w:t>.</w:t>
      </w:r>
    </w:p>
    <w:p w14:paraId="76E5F65C" w14:textId="678B9FD7" w:rsidR="00C241CD" w:rsidRPr="005B4339" w:rsidRDefault="00C241CD" w:rsidP="00C241CD">
      <w:pPr>
        <w:rPr>
          <w:noProof/>
          <w:lang w:val="en-IE"/>
        </w:rPr>
      </w:pPr>
      <w:r w:rsidRPr="005B4339">
        <w:rPr>
          <w:noProof/>
          <w:lang w:val="en-IE"/>
        </w:rPr>
        <w:t>An examination of waste management practices in the top destination countries of used EU textiles listed using data from the World Bank</w:t>
      </w:r>
      <w:r w:rsidR="00C738B3" w:rsidRPr="005B4339">
        <w:rPr>
          <w:rStyle w:val="FootnoteReference"/>
          <w:noProof/>
          <w:lang w:val="en-IE"/>
        </w:rPr>
        <w:footnoteReference w:id="77"/>
      </w:r>
      <w:r w:rsidRPr="005B4339">
        <w:rPr>
          <w:noProof/>
          <w:lang w:val="en-IE"/>
        </w:rPr>
        <w:t xml:space="preserve"> </w:t>
      </w:r>
      <w:r w:rsidR="00843B46" w:rsidRPr="005B4339">
        <w:rPr>
          <w:noProof/>
          <w:lang w:val="en-IE"/>
        </w:rPr>
        <w:t xml:space="preserve">notes a high level of landfilling and open burning </w:t>
      </w:r>
      <w:r w:rsidR="009F0AC5" w:rsidRPr="005B4339">
        <w:rPr>
          <w:noProof/>
          <w:lang w:val="en-IE"/>
        </w:rPr>
        <w:t>in those countries.</w:t>
      </w:r>
    </w:p>
    <w:p w14:paraId="714D8592" w14:textId="107AD3D6" w:rsidR="00EB6550" w:rsidRPr="005B4339" w:rsidRDefault="00EB6550" w:rsidP="00EB6550">
      <w:pPr>
        <w:rPr>
          <w:noProof/>
          <w:lang w:val="en-IE"/>
        </w:rPr>
      </w:pPr>
      <w:bookmarkStart w:id="132" w:name="_Toc133229477"/>
      <w:bookmarkStart w:id="133" w:name="_Toc139032031"/>
      <w:r w:rsidRPr="005B4339">
        <w:rPr>
          <w:i/>
          <w:noProof/>
          <w:lang w:val="en-IE"/>
        </w:rPr>
        <w:t xml:space="preserve">Table </w:t>
      </w:r>
      <w:r w:rsidR="00393DFA">
        <w:rPr>
          <w:i/>
          <w:iCs/>
          <w:noProof/>
        </w:rPr>
        <w:t>15</w:t>
      </w:r>
      <w:r w:rsidRPr="005B4339">
        <w:rPr>
          <w:i/>
          <w:noProof/>
          <w:lang w:val="en-IE"/>
        </w:rPr>
        <w:t xml:space="preserve"> : Waste management practices in </w:t>
      </w:r>
      <w:r w:rsidR="00D53C85" w:rsidRPr="005B4339">
        <w:rPr>
          <w:i/>
          <w:noProof/>
          <w:lang w:val="en-IE"/>
        </w:rPr>
        <w:t>importing third countries</w:t>
      </w:r>
      <w:bookmarkEnd w:id="132"/>
      <w:bookmarkEnd w:id="133"/>
    </w:p>
    <w:p w14:paraId="5E6610D5" w14:textId="3D742109" w:rsidR="009F0AC5" w:rsidRPr="005B4339" w:rsidRDefault="10540AE8" w:rsidP="00D53C85">
      <w:pPr>
        <w:spacing w:after="120"/>
        <w:rPr>
          <w:noProof/>
          <w:lang w:val="en-IE"/>
        </w:rPr>
      </w:pPr>
      <w:r w:rsidRPr="005B4339">
        <w:rPr>
          <w:noProof/>
          <w:color w:val="2B579A"/>
          <w:shd w:val="clear" w:color="auto" w:fill="E6E6E6"/>
          <w:lang w:eastAsia="en-GB"/>
        </w:rPr>
        <w:lastRenderedPageBreak/>
        <w:drawing>
          <wp:inline distT="0" distB="0" distL="0" distR="0" wp14:anchorId="2D1CB064" wp14:editId="5F77889F">
            <wp:extent cx="5943600" cy="20777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2">
                      <a:extLst>
                        <a:ext uri="{28A0092B-C50C-407E-A947-70E740481C1C}">
                          <a14:useLocalDpi xmlns:a14="http://schemas.microsoft.com/office/drawing/2010/main" val="0"/>
                        </a:ext>
                      </a:extLst>
                    </a:blip>
                    <a:stretch>
                      <a:fillRect/>
                    </a:stretch>
                  </pic:blipFill>
                  <pic:spPr>
                    <a:xfrm>
                      <a:off x="0" y="0"/>
                      <a:ext cx="5943600" cy="2077720"/>
                    </a:xfrm>
                    <a:prstGeom prst="rect">
                      <a:avLst/>
                    </a:prstGeom>
                  </pic:spPr>
                </pic:pic>
              </a:graphicData>
            </a:graphic>
          </wp:inline>
        </w:drawing>
      </w:r>
    </w:p>
    <w:p w14:paraId="22DEA227" w14:textId="70D59158" w:rsidR="00BD549E" w:rsidRPr="005B4339" w:rsidRDefault="00BD549E" w:rsidP="006554B6">
      <w:pPr>
        <w:jc w:val="center"/>
        <w:rPr>
          <w:noProof/>
          <w:sz w:val="22"/>
          <w:szCs w:val="22"/>
          <w:lang w:val="en-IE"/>
        </w:rPr>
      </w:pPr>
      <w:r w:rsidRPr="005B4339">
        <w:rPr>
          <w:noProof/>
          <w:sz w:val="22"/>
          <w:szCs w:val="22"/>
          <w:lang w:val="en-IE"/>
        </w:rPr>
        <w:t>Source: World Bank</w:t>
      </w:r>
      <w:r w:rsidR="00D53C85" w:rsidRPr="005B4339">
        <w:rPr>
          <w:noProof/>
          <w:sz w:val="22"/>
          <w:szCs w:val="22"/>
          <w:lang w:val="en-IE"/>
        </w:rPr>
        <w:t>,</w:t>
      </w:r>
      <w:r w:rsidRPr="005B4339">
        <w:rPr>
          <w:noProof/>
          <w:sz w:val="22"/>
          <w:szCs w:val="22"/>
          <w:lang w:val="en-IE"/>
        </w:rPr>
        <w:t xml:space="preserve"> 2020</w:t>
      </w:r>
    </w:p>
    <w:p w14:paraId="2EA798DB" w14:textId="691CB106" w:rsidR="00D543DA" w:rsidRPr="005B4339" w:rsidRDefault="19DE6AD9" w:rsidP="00596BAA">
      <w:pPr>
        <w:spacing w:after="120"/>
        <w:rPr>
          <w:noProof/>
          <w:lang w:val="en-IE"/>
        </w:rPr>
      </w:pPr>
      <w:r w:rsidRPr="005B4339">
        <w:rPr>
          <w:noProof/>
          <w:lang w:val="en-IE"/>
        </w:rPr>
        <w:t xml:space="preserve">In </w:t>
      </w:r>
      <w:r w:rsidR="1BB79DDF" w:rsidRPr="005B4339">
        <w:rPr>
          <w:noProof/>
          <w:lang w:val="en-IE"/>
        </w:rPr>
        <w:t xml:space="preserve">general (except Turkey) within </w:t>
      </w:r>
      <w:r w:rsidR="23CF3122" w:rsidRPr="005B4339">
        <w:rPr>
          <w:noProof/>
          <w:lang w:val="en-IE"/>
        </w:rPr>
        <w:t>OECD and EU countries only 35% of waste is landfilled</w:t>
      </w:r>
      <w:r w:rsidR="00F75D08" w:rsidRPr="005B4339">
        <w:rPr>
          <w:rStyle w:val="FootnoteReference"/>
          <w:noProof/>
          <w:lang w:val="en-IE"/>
        </w:rPr>
        <w:footnoteReference w:id="78"/>
      </w:r>
      <w:r w:rsidR="431BBF2C" w:rsidRPr="005B4339">
        <w:rPr>
          <w:noProof/>
          <w:lang w:val="en-IE"/>
        </w:rPr>
        <w:t xml:space="preserve"> </w:t>
      </w:r>
      <w:r w:rsidR="00F75D08" w:rsidRPr="005B4339">
        <w:rPr>
          <w:noProof/>
          <w:lang w:val="en-IE"/>
        </w:rPr>
        <w:t xml:space="preserve">meaning that these countries have more effective waste management in place in comparison to those countries receiving used EU textiles. This would support the hypotheses therefore </w:t>
      </w:r>
      <w:r w:rsidR="431BBF2C" w:rsidRPr="005B4339">
        <w:rPr>
          <w:noProof/>
          <w:lang w:val="en-IE"/>
        </w:rPr>
        <w:t xml:space="preserve">that EU textile wastes </w:t>
      </w:r>
      <w:r w:rsidR="00F75D08" w:rsidRPr="005B4339">
        <w:rPr>
          <w:noProof/>
          <w:lang w:val="en-IE"/>
        </w:rPr>
        <w:t xml:space="preserve">are likely to be contributing to </w:t>
      </w:r>
      <w:r w:rsidR="00E00433" w:rsidRPr="005B4339">
        <w:rPr>
          <w:noProof/>
          <w:lang w:val="en-IE"/>
        </w:rPr>
        <w:t xml:space="preserve">the </w:t>
      </w:r>
      <w:r w:rsidR="2967898B" w:rsidRPr="005B4339">
        <w:rPr>
          <w:noProof/>
          <w:lang w:val="en-IE"/>
        </w:rPr>
        <w:t xml:space="preserve">blocking more effective management of domestic wastes </w:t>
      </w:r>
      <w:r w:rsidR="00E00433" w:rsidRPr="005B4339">
        <w:rPr>
          <w:noProof/>
          <w:lang w:val="en-IE"/>
        </w:rPr>
        <w:t>in those third countries</w:t>
      </w:r>
      <w:r w:rsidR="23CF3122" w:rsidRPr="005B4339">
        <w:rPr>
          <w:noProof/>
          <w:lang w:val="en-IE"/>
        </w:rPr>
        <w:t xml:space="preserve">. Placing a financial cost on such displacement is not possible. </w:t>
      </w:r>
      <w:r w:rsidR="12589EBB" w:rsidRPr="005B4339">
        <w:rPr>
          <w:noProof/>
          <w:lang w:val="en-IE"/>
        </w:rPr>
        <w:t>However, e</w:t>
      </w:r>
      <w:r w:rsidR="2967898B" w:rsidRPr="005B4339">
        <w:rPr>
          <w:noProof/>
          <w:lang w:val="en-IE"/>
        </w:rPr>
        <w:t>nsuring</w:t>
      </w:r>
      <w:r w:rsidR="12589EBB" w:rsidRPr="005B4339">
        <w:rPr>
          <w:noProof/>
          <w:lang w:val="en-IE"/>
        </w:rPr>
        <w:t xml:space="preserve"> </w:t>
      </w:r>
      <w:r w:rsidR="2967898B" w:rsidRPr="005B4339">
        <w:rPr>
          <w:noProof/>
          <w:lang w:val="en-IE"/>
        </w:rPr>
        <w:t xml:space="preserve">that </w:t>
      </w:r>
      <w:r w:rsidR="490C9362" w:rsidRPr="005B4339">
        <w:rPr>
          <w:noProof/>
          <w:lang w:val="en-IE"/>
        </w:rPr>
        <w:t>textiles exported are fit for reuse and are not a waste would</w:t>
      </w:r>
      <w:r w:rsidR="72257C4C" w:rsidRPr="005B4339">
        <w:rPr>
          <w:noProof/>
          <w:lang w:val="en-IE"/>
        </w:rPr>
        <w:t xml:space="preserve"> clearly have </w:t>
      </w:r>
      <w:r w:rsidR="23CF3122" w:rsidRPr="005B4339">
        <w:rPr>
          <w:noProof/>
          <w:lang w:val="en-IE"/>
        </w:rPr>
        <w:t xml:space="preserve">a positive </w:t>
      </w:r>
      <w:r w:rsidR="3A90E9ED" w:rsidRPr="005B4339">
        <w:rPr>
          <w:noProof/>
          <w:lang w:val="en-IE"/>
        </w:rPr>
        <w:t xml:space="preserve">impact on the management of waste in those countries and the related </w:t>
      </w:r>
      <w:r w:rsidR="23CF3122" w:rsidRPr="005B4339">
        <w:rPr>
          <w:noProof/>
          <w:lang w:val="en-IE"/>
        </w:rPr>
        <w:t xml:space="preserve">environmental </w:t>
      </w:r>
      <w:r w:rsidR="72257C4C" w:rsidRPr="005B4339">
        <w:rPr>
          <w:noProof/>
          <w:lang w:val="en-IE"/>
        </w:rPr>
        <w:t>benefit</w:t>
      </w:r>
      <w:r w:rsidR="490C9362" w:rsidRPr="005B4339">
        <w:rPr>
          <w:noProof/>
          <w:lang w:val="en-IE"/>
        </w:rPr>
        <w:t>.</w:t>
      </w:r>
    </w:p>
    <w:p w14:paraId="42076CCE" w14:textId="424C8E6D" w:rsidR="00CB70FB" w:rsidRPr="005B4339" w:rsidRDefault="6B6F4E01" w:rsidP="00596BAA">
      <w:pPr>
        <w:spacing w:after="120"/>
        <w:rPr>
          <w:noProof/>
          <w:lang w:val="en-IE"/>
        </w:rPr>
      </w:pPr>
      <w:r w:rsidRPr="005B4339">
        <w:rPr>
          <w:noProof/>
          <w:lang w:val="en-IE"/>
        </w:rPr>
        <w:t xml:space="preserve">To determine the </w:t>
      </w:r>
      <w:r w:rsidR="6F64E646" w:rsidRPr="005B4339">
        <w:rPr>
          <w:noProof/>
          <w:lang w:val="en-IE"/>
        </w:rPr>
        <w:t>environmental impacts resulting from textile waste management in third countries in comparison to the EU</w:t>
      </w:r>
      <w:r w:rsidR="0099430A" w:rsidRPr="005B4339">
        <w:rPr>
          <w:noProof/>
          <w:lang w:val="en-IE"/>
        </w:rPr>
        <w:t xml:space="preserve"> </w:t>
      </w:r>
      <w:r w:rsidR="38FFEF11" w:rsidRPr="005B4339">
        <w:rPr>
          <w:noProof/>
          <w:lang w:val="en-IE"/>
        </w:rPr>
        <w:t xml:space="preserve">the support study used </w:t>
      </w:r>
      <w:r w:rsidR="05E88CAC" w:rsidRPr="005B4339">
        <w:rPr>
          <w:noProof/>
          <w:lang w:val="en-IE"/>
        </w:rPr>
        <w:t xml:space="preserve">the </w:t>
      </w:r>
      <w:r w:rsidR="408D5B9C" w:rsidRPr="005B4339">
        <w:rPr>
          <w:noProof/>
          <w:lang w:val="en-IE"/>
        </w:rPr>
        <w:t>dedicated waste LCA-model EASETECH</w:t>
      </w:r>
      <w:r w:rsidR="00C96496" w:rsidRPr="005B4339">
        <w:rPr>
          <w:rStyle w:val="FootnoteReference"/>
          <w:noProof/>
          <w:lang w:val="en-IE"/>
        </w:rPr>
        <w:footnoteReference w:id="79"/>
      </w:r>
      <w:r w:rsidR="0099430A" w:rsidRPr="005B4339">
        <w:rPr>
          <w:noProof/>
          <w:lang w:val="en-IE"/>
        </w:rPr>
        <w:t xml:space="preserve"> </w:t>
      </w:r>
      <w:r w:rsidR="408D5B9C" w:rsidRPr="005B4339">
        <w:rPr>
          <w:noProof/>
          <w:lang w:val="en-IE"/>
        </w:rPr>
        <w:t xml:space="preserve"> </w:t>
      </w:r>
      <w:r w:rsidR="38FFEF11" w:rsidRPr="005B4339">
        <w:rPr>
          <w:noProof/>
          <w:lang w:val="en-IE"/>
        </w:rPr>
        <w:t>also</w:t>
      </w:r>
      <w:r w:rsidR="2C0208C2" w:rsidRPr="005B4339">
        <w:rPr>
          <w:noProof/>
          <w:lang w:val="en-IE"/>
        </w:rPr>
        <w:t xml:space="preserve"> </w:t>
      </w:r>
      <w:r w:rsidR="408D5B9C" w:rsidRPr="005B4339">
        <w:rPr>
          <w:noProof/>
          <w:lang w:val="en-IE"/>
        </w:rPr>
        <w:t>used</w:t>
      </w:r>
      <w:r w:rsidR="38FFEF11" w:rsidRPr="005B4339">
        <w:rPr>
          <w:noProof/>
          <w:lang w:val="en-IE"/>
        </w:rPr>
        <w:t xml:space="preserve"> by the </w:t>
      </w:r>
      <w:r w:rsidR="408D5B9C" w:rsidRPr="005B4339">
        <w:rPr>
          <w:noProof/>
          <w:lang w:val="en-IE"/>
        </w:rPr>
        <w:t>JRC</w:t>
      </w:r>
      <w:r w:rsidR="0099430A" w:rsidRPr="005B4339">
        <w:rPr>
          <w:noProof/>
          <w:lang w:val="en-IE"/>
        </w:rPr>
        <w:t xml:space="preserve"> </w:t>
      </w:r>
      <w:r w:rsidR="55A5F3DD" w:rsidRPr="005B4339">
        <w:rPr>
          <w:noProof/>
          <w:lang w:val="en-IE"/>
        </w:rPr>
        <w:t xml:space="preserve">applied </w:t>
      </w:r>
      <w:r w:rsidR="408D5B9C" w:rsidRPr="005B4339">
        <w:rPr>
          <w:noProof/>
          <w:lang w:val="en-IE"/>
        </w:rPr>
        <w:t>the datasets describing open dump and open burning activities for individual waste materials</w:t>
      </w:r>
      <w:r w:rsidR="69C27621" w:rsidRPr="005B4339">
        <w:rPr>
          <w:noProof/>
          <w:lang w:val="en-IE"/>
        </w:rPr>
        <w:t>.</w:t>
      </w:r>
      <w:r w:rsidR="408D5B9C" w:rsidRPr="005B4339">
        <w:rPr>
          <w:noProof/>
          <w:lang w:val="en-IE"/>
        </w:rPr>
        <w:t xml:space="preserve"> In the absence of </w:t>
      </w:r>
      <w:r w:rsidR="69C27621" w:rsidRPr="005B4339">
        <w:rPr>
          <w:noProof/>
          <w:lang w:val="en-IE"/>
        </w:rPr>
        <w:t xml:space="preserve">a </w:t>
      </w:r>
      <w:r w:rsidR="408D5B9C" w:rsidRPr="005B4339">
        <w:rPr>
          <w:noProof/>
          <w:lang w:val="en-IE"/>
        </w:rPr>
        <w:t>specific dataset for textile the impact of textile waste has been approximated as a mix of plastic (15%) and paper/cardboard (85%) based on the assumption that ca. 15% of the textile is composed of biological fibres while the rest is synthetic (Riber et al.</w:t>
      </w:r>
      <w:r w:rsidR="0099430A" w:rsidRPr="005B4339">
        <w:rPr>
          <w:noProof/>
          <w:lang w:val="en-IE"/>
        </w:rPr>
        <w:t xml:space="preserve"> </w:t>
      </w:r>
      <w:r w:rsidR="408D5B9C" w:rsidRPr="005B4339">
        <w:rPr>
          <w:noProof/>
          <w:lang w:val="en-IE"/>
        </w:rPr>
        <w:t>2009</w:t>
      </w:r>
      <w:r w:rsidR="006F6614" w:rsidRPr="005B4339">
        <w:rPr>
          <w:rStyle w:val="FootnoteReference"/>
          <w:noProof/>
          <w:lang w:val="en-IE"/>
        </w:rPr>
        <w:footnoteReference w:id="80"/>
      </w:r>
      <w:r w:rsidR="408D5B9C" w:rsidRPr="005B4339">
        <w:rPr>
          <w:noProof/>
          <w:lang w:val="en-IE"/>
        </w:rPr>
        <w:t>).</w:t>
      </w:r>
      <w:r w:rsidR="5B1B4C42" w:rsidRPr="005B4339">
        <w:rPr>
          <w:noProof/>
          <w:lang w:val="en-IE"/>
        </w:rPr>
        <w:t xml:space="preserve"> To calculate the net environmental benefits of managing textile wastes in the EU in comparison to third countries the following </w:t>
      </w:r>
      <w:r w:rsidR="47053376" w:rsidRPr="005B4339">
        <w:rPr>
          <w:noProof/>
          <w:lang w:val="en-IE"/>
        </w:rPr>
        <w:t>results from EASETECH have been applied</w:t>
      </w:r>
      <w:r w:rsidR="00A937E2" w:rsidRPr="005B4339">
        <w:rPr>
          <w:noProof/>
          <w:lang w:val="en-IE"/>
        </w:rPr>
        <w:t>:</w:t>
      </w:r>
      <w:r w:rsidR="16661776" w:rsidRPr="005B4339">
        <w:rPr>
          <w:noProof/>
          <w:lang w:val="en-IE"/>
        </w:rPr>
        <w:t xml:space="preserve"> a </w:t>
      </w:r>
      <w:r w:rsidR="7107DAAC" w:rsidRPr="005B4339">
        <w:rPr>
          <w:noProof/>
          <w:lang w:val="en-IE"/>
        </w:rPr>
        <w:t>GHG</w:t>
      </w:r>
      <w:r w:rsidR="7F46ACA7" w:rsidRPr="005B4339">
        <w:rPr>
          <w:noProof/>
          <w:lang w:val="en-IE"/>
        </w:rPr>
        <w:t xml:space="preserve"> saving by treatment in the EU in comparison to third countries of</w:t>
      </w:r>
      <w:r w:rsidR="7107DAAC" w:rsidRPr="005B4339">
        <w:rPr>
          <w:noProof/>
          <w:lang w:val="en-IE"/>
        </w:rPr>
        <w:t xml:space="preserve"> 1.7 tonnes</w:t>
      </w:r>
      <w:r w:rsidR="381B18DF" w:rsidRPr="005B4339">
        <w:rPr>
          <w:noProof/>
          <w:lang w:val="en-IE"/>
        </w:rPr>
        <w:t xml:space="preserve"> </w:t>
      </w:r>
      <w:r w:rsidR="00CC28FC" w:rsidRPr="005B4339">
        <w:rPr>
          <w:noProof/>
          <w:lang w:val="en-IE"/>
        </w:rPr>
        <w:t>CO2e</w:t>
      </w:r>
      <w:r w:rsidR="7107DAAC" w:rsidRPr="005B4339">
        <w:rPr>
          <w:noProof/>
          <w:lang w:val="en-IE"/>
        </w:rPr>
        <w:t xml:space="preserve"> per tonne of textiles </w:t>
      </w:r>
      <w:r w:rsidR="7F46ACA7" w:rsidRPr="005B4339">
        <w:rPr>
          <w:noProof/>
          <w:lang w:val="en-IE"/>
        </w:rPr>
        <w:t xml:space="preserve">disposed of and saving in terms of externalities </w:t>
      </w:r>
      <w:r w:rsidR="514C23C2" w:rsidRPr="005B4339">
        <w:rPr>
          <w:noProof/>
          <w:lang w:val="en-IE"/>
        </w:rPr>
        <w:t xml:space="preserve">when </w:t>
      </w:r>
      <w:r w:rsidR="7F46ACA7" w:rsidRPr="005B4339">
        <w:rPr>
          <w:noProof/>
          <w:lang w:val="en-IE"/>
        </w:rPr>
        <w:t xml:space="preserve">285 </w:t>
      </w:r>
      <w:r w:rsidR="514C23C2" w:rsidRPr="005B4339">
        <w:rPr>
          <w:noProof/>
          <w:lang w:val="en-IE"/>
        </w:rPr>
        <w:t xml:space="preserve">euro </w:t>
      </w:r>
      <w:r w:rsidR="7F46ACA7" w:rsidRPr="005B4339">
        <w:rPr>
          <w:noProof/>
          <w:lang w:val="en-IE"/>
        </w:rPr>
        <w:t>per tonne has been applied</w:t>
      </w:r>
      <w:r w:rsidR="003C4A21" w:rsidRPr="005B4339">
        <w:rPr>
          <w:rStyle w:val="FootnoteReference"/>
          <w:noProof/>
          <w:lang w:val="en-IE"/>
        </w:rPr>
        <w:footnoteReference w:id="81"/>
      </w:r>
      <w:r w:rsidR="7F46ACA7" w:rsidRPr="005B4339">
        <w:rPr>
          <w:noProof/>
          <w:lang w:val="en-IE"/>
        </w:rPr>
        <w:t>.</w:t>
      </w:r>
    </w:p>
    <w:p w14:paraId="4A90E43B" w14:textId="2B522F93" w:rsidR="00000935" w:rsidRPr="005B4339" w:rsidRDefault="00844E08" w:rsidP="00596BAA">
      <w:pPr>
        <w:spacing w:after="120"/>
        <w:rPr>
          <w:noProof/>
          <w:lang w:val="en-IE"/>
        </w:rPr>
      </w:pPr>
      <w:r w:rsidRPr="005B4339">
        <w:rPr>
          <w:noProof/>
          <w:lang w:val="en-IE"/>
        </w:rPr>
        <w:lastRenderedPageBreak/>
        <w:t xml:space="preserve">It is difficult to determine the volumes of waste textiles currently included in total exports of EU clothing to third countries. </w:t>
      </w:r>
      <w:r w:rsidR="00625F7F" w:rsidRPr="005B4339">
        <w:rPr>
          <w:noProof/>
          <w:lang w:val="en-IE"/>
        </w:rPr>
        <w:t xml:space="preserve">Using </w:t>
      </w:r>
      <w:r w:rsidR="004A5A0B" w:rsidRPr="005B4339">
        <w:rPr>
          <w:noProof/>
          <w:lang w:val="en-IE"/>
        </w:rPr>
        <w:t xml:space="preserve">the </w:t>
      </w:r>
      <w:r w:rsidRPr="005B4339">
        <w:rPr>
          <w:noProof/>
          <w:lang w:val="en-IE"/>
        </w:rPr>
        <w:t xml:space="preserve">rejection rate </w:t>
      </w:r>
      <w:r w:rsidR="00625F7F" w:rsidRPr="005B4339">
        <w:rPr>
          <w:noProof/>
          <w:lang w:val="en-IE"/>
        </w:rPr>
        <w:t xml:space="preserve">of </w:t>
      </w:r>
      <w:r w:rsidRPr="005B4339">
        <w:rPr>
          <w:noProof/>
          <w:lang w:val="en-IE"/>
        </w:rPr>
        <w:t xml:space="preserve">collection bins </w:t>
      </w:r>
      <w:r w:rsidR="00625F7F" w:rsidRPr="005B4339">
        <w:rPr>
          <w:noProof/>
          <w:lang w:val="en-IE"/>
        </w:rPr>
        <w:t>(</w:t>
      </w:r>
      <w:r w:rsidRPr="005B4339">
        <w:rPr>
          <w:noProof/>
          <w:lang w:val="en-IE"/>
        </w:rPr>
        <w:t>approximately 10%</w:t>
      </w:r>
      <w:r w:rsidR="00625F7F" w:rsidRPr="005B4339">
        <w:rPr>
          <w:noProof/>
          <w:lang w:val="en-IE"/>
        </w:rPr>
        <w:t>)</w:t>
      </w:r>
      <w:r w:rsidR="002D139D" w:rsidRPr="005B4339">
        <w:rPr>
          <w:noProof/>
          <w:lang w:val="en-IE"/>
        </w:rPr>
        <w:t xml:space="preserve"> on the</w:t>
      </w:r>
      <w:r w:rsidR="00B51180" w:rsidRPr="005B4339">
        <w:rPr>
          <w:noProof/>
          <w:lang w:val="en-IE"/>
        </w:rPr>
        <w:t xml:space="preserve"> </w:t>
      </w:r>
      <w:r w:rsidR="002D139D" w:rsidRPr="005B4339">
        <w:rPr>
          <w:noProof/>
          <w:lang w:val="en-IE"/>
        </w:rPr>
        <w:t>475 000 tonnes of textiles sorting that is currently undertaken in third countries</w:t>
      </w:r>
      <w:r w:rsidR="00DE55DC" w:rsidRPr="005B4339">
        <w:rPr>
          <w:noProof/>
          <w:lang w:val="en-IE"/>
        </w:rPr>
        <w:t>,</w:t>
      </w:r>
      <w:r w:rsidR="002D139D" w:rsidRPr="005B4339">
        <w:rPr>
          <w:noProof/>
          <w:lang w:val="en-IE"/>
        </w:rPr>
        <w:t xml:space="preserve"> </w:t>
      </w:r>
      <w:r w:rsidR="004A5A0B" w:rsidRPr="005B4339">
        <w:rPr>
          <w:noProof/>
          <w:lang w:val="en-IE"/>
        </w:rPr>
        <w:t xml:space="preserve">would </w:t>
      </w:r>
      <w:r w:rsidR="002D139D" w:rsidRPr="005B4339">
        <w:rPr>
          <w:noProof/>
          <w:lang w:val="en-IE"/>
        </w:rPr>
        <w:t xml:space="preserve">result in </w:t>
      </w:r>
      <w:r w:rsidR="00AD7E5D" w:rsidRPr="005B4339">
        <w:rPr>
          <w:noProof/>
          <w:lang w:val="en-IE"/>
        </w:rPr>
        <w:t xml:space="preserve">47 500 tonnes </w:t>
      </w:r>
      <w:r w:rsidR="002D139D" w:rsidRPr="005B4339">
        <w:rPr>
          <w:noProof/>
          <w:lang w:val="en-IE"/>
        </w:rPr>
        <w:t xml:space="preserve">of textiles being waste. </w:t>
      </w:r>
      <w:r w:rsidR="00E5043F" w:rsidRPr="005B4339">
        <w:rPr>
          <w:noProof/>
          <w:lang w:val="en-IE"/>
        </w:rPr>
        <w:t xml:space="preserve">Alternatively, </w:t>
      </w:r>
      <w:r w:rsidR="00A25FAD" w:rsidRPr="005B4339">
        <w:rPr>
          <w:noProof/>
          <w:lang w:val="en-IE"/>
        </w:rPr>
        <w:t xml:space="preserve">using Comext values </w:t>
      </w:r>
      <w:r w:rsidR="000B155F" w:rsidRPr="005B4339">
        <w:rPr>
          <w:noProof/>
          <w:lang w:val="en-IE"/>
        </w:rPr>
        <w:t xml:space="preserve">for all EU exports of used textiles in 2021 of 1.325 million tonnes and applying the same 10% waste content of all such shipments would mean that </w:t>
      </w:r>
      <w:r w:rsidR="00A25FAD" w:rsidRPr="005B4339">
        <w:rPr>
          <w:noProof/>
          <w:lang w:val="en-IE"/>
        </w:rPr>
        <w:t xml:space="preserve"> for 2021,</w:t>
      </w:r>
      <w:r w:rsidRPr="005B4339">
        <w:rPr>
          <w:noProof/>
          <w:lang w:val="en-IE"/>
        </w:rPr>
        <w:t xml:space="preserve"> 132 500 tonnes</w:t>
      </w:r>
      <w:r w:rsidR="00A25FAD" w:rsidRPr="005B4339">
        <w:rPr>
          <w:noProof/>
          <w:lang w:val="en-IE"/>
        </w:rPr>
        <w:t xml:space="preserve"> </w:t>
      </w:r>
      <w:r w:rsidRPr="005B4339">
        <w:rPr>
          <w:noProof/>
          <w:lang w:val="en-IE"/>
        </w:rPr>
        <w:t xml:space="preserve">of textile wastes may be found in </w:t>
      </w:r>
      <w:r w:rsidR="0005051C" w:rsidRPr="005B4339">
        <w:rPr>
          <w:noProof/>
          <w:lang w:val="en-IE"/>
        </w:rPr>
        <w:t>materials currently exported</w:t>
      </w:r>
      <w:r w:rsidR="00AD7E5D" w:rsidRPr="005B4339">
        <w:rPr>
          <w:noProof/>
          <w:lang w:val="en-IE"/>
        </w:rPr>
        <w:t xml:space="preserve">. </w:t>
      </w:r>
      <w:r w:rsidR="00E00433" w:rsidRPr="005B4339">
        <w:rPr>
          <w:noProof/>
          <w:lang w:val="en-IE"/>
        </w:rPr>
        <w:t>If the values reported in relation to Staff Working Document accompanying the ecodesign proposal</w:t>
      </w:r>
      <w:r w:rsidR="00E00433" w:rsidRPr="005B4339">
        <w:rPr>
          <w:noProof/>
          <w:vertAlign w:val="superscript"/>
          <w:lang w:val="en-IE"/>
        </w:rPr>
        <w:footnoteReference w:id="82"/>
      </w:r>
      <w:r w:rsidR="00E00433" w:rsidRPr="005B4339">
        <w:rPr>
          <w:noProof/>
          <w:lang w:val="en-IE"/>
        </w:rPr>
        <w:t xml:space="preserve"> of 40% of the</w:t>
      </w:r>
      <w:r w:rsidR="00AD7E5D" w:rsidRPr="005B4339">
        <w:rPr>
          <w:noProof/>
          <w:lang w:val="en-IE"/>
        </w:rPr>
        <w:t xml:space="preserve"> </w:t>
      </w:r>
      <w:r w:rsidR="003E30CB" w:rsidRPr="005B4339">
        <w:rPr>
          <w:noProof/>
          <w:lang w:val="en-IE"/>
        </w:rPr>
        <w:t xml:space="preserve">materials exported being waste were used these values would climb to between 190 000 and 530 000 tonnes. </w:t>
      </w:r>
      <w:r w:rsidR="00142DE0" w:rsidRPr="005B4339">
        <w:rPr>
          <w:noProof/>
          <w:lang w:val="en-IE"/>
        </w:rPr>
        <w:t xml:space="preserve">Managing these wastes within the EU in comparison to </w:t>
      </w:r>
      <w:r w:rsidR="00A4437A" w:rsidRPr="005B4339">
        <w:rPr>
          <w:noProof/>
          <w:lang w:val="en-IE"/>
        </w:rPr>
        <w:t xml:space="preserve">third countries </w:t>
      </w:r>
      <w:r w:rsidR="00142DE0" w:rsidRPr="005B4339">
        <w:rPr>
          <w:noProof/>
          <w:lang w:val="en-IE"/>
        </w:rPr>
        <w:t xml:space="preserve">would result in CO2 eq savings of </w:t>
      </w:r>
      <w:r w:rsidR="00F81262" w:rsidRPr="005B4339">
        <w:rPr>
          <w:noProof/>
          <w:lang w:val="en-IE"/>
        </w:rPr>
        <w:t xml:space="preserve">approximately 81 000 </w:t>
      </w:r>
      <w:r w:rsidR="00495E30" w:rsidRPr="005B4339">
        <w:rPr>
          <w:noProof/>
          <w:lang w:val="en-IE"/>
        </w:rPr>
        <w:t>–</w:t>
      </w:r>
      <w:r w:rsidR="00F81262" w:rsidRPr="005B4339">
        <w:rPr>
          <w:noProof/>
          <w:lang w:val="en-IE"/>
        </w:rPr>
        <w:t xml:space="preserve"> </w:t>
      </w:r>
      <w:r w:rsidR="00495E30" w:rsidRPr="005B4339">
        <w:rPr>
          <w:noProof/>
          <w:lang w:val="en-IE"/>
        </w:rPr>
        <w:t xml:space="preserve">225 000 tonnes per </w:t>
      </w:r>
      <w:r w:rsidR="00D00D1B" w:rsidRPr="005B4339">
        <w:rPr>
          <w:noProof/>
          <w:lang w:val="en-IE"/>
        </w:rPr>
        <w:t>year</w:t>
      </w:r>
      <w:r w:rsidR="00495E30" w:rsidRPr="005B4339">
        <w:rPr>
          <w:noProof/>
          <w:lang w:val="en-IE"/>
        </w:rPr>
        <w:t xml:space="preserve"> and externality savings of between </w:t>
      </w:r>
      <w:r w:rsidR="00367865" w:rsidRPr="005B4339">
        <w:rPr>
          <w:noProof/>
          <w:lang w:val="en-IE"/>
        </w:rPr>
        <w:t xml:space="preserve">13.5 million and 37.7 million </w:t>
      </w:r>
      <w:r w:rsidR="003A4173" w:rsidRPr="005B4339">
        <w:rPr>
          <w:noProof/>
          <w:lang w:val="en-IE"/>
        </w:rPr>
        <w:t xml:space="preserve">euro </w:t>
      </w:r>
      <w:r w:rsidR="00367865" w:rsidRPr="005B4339">
        <w:rPr>
          <w:noProof/>
          <w:lang w:val="en-IE"/>
        </w:rPr>
        <w:t xml:space="preserve">per </w:t>
      </w:r>
      <w:r w:rsidR="003A4173" w:rsidRPr="005B4339">
        <w:rPr>
          <w:noProof/>
          <w:lang w:val="en-IE"/>
        </w:rPr>
        <w:t>year</w:t>
      </w:r>
      <w:r w:rsidR="003E30CB" w:rsidRPr="005B4339">
        <w:rPr>
          <w:noProof/>
          <w:lang w:val="en-IE"/>
        </w:rPr>
        <w:t xml:space="preserve"> using the 10% waste value and 54 million euro and </w:t>
      </w:r>
      <w:r w:rsidR="00B72819" w:rsidRPr="005B4339">
        <w:rPr>
          <w:noProof/>
          <w:lang w:val="en-IE"/>
        </w:rPr>
        <w:t>150.8 million euro per year</w:t>
      </w:r>
      <w:r w:rsidR="00367865" w:rsidRPr="005B4339">
        <w:rPr>
          <w:noProof/>
          <w:lang w:val="en-IE"/>
        </w:rPr>
        <w:t>.</w:t>
      </w:r>
    </w:p>
    <w:p w14:paraId="68940B8D" w14:textId="2A6A3BF0" w:rsidR="00904352" w:rsidRPr="005B4339" w:rsidRDefault="00904352" w:rsidP="00596BAA">
      <w:pPr>
        <w:pStyle w:val="WDBody"/>
        <w:spacing w:after="120" w:line="240" w:lineRule="auto"/>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Social impacts</w:t>
      </w:r>
    </w:p>
    <w:p w14:paraId="53070BEC" w14:textId="45FB2297" w:rsidR="00B45E26" w:rsidRPr="005B4339" w:rsidRDefault="50C7933B" w:rsidP="00B45E26">
      <w:pPr>
        <w:spacing w:after="120"/>
        <w:rPr>
          <w:noProof/>
          <w:lang w:val="en-IE"/>
        </w:rPr>
      </w:pPr>
      <w:r w:rsidRPr="005B4339">
        <w:rPr>
          <w:noProof/>
          <w:lang w:val="en-IE"/>
        </w:rPr>
        <w:t>T</w:t>
      </w:r>
      <w:r w:rsidR="4A19B52A" w:rsidRPr="005B4339">
        <w:rPr>
          <w:noProof/>
          <w:lang w:val="en-IE"/>
        </w:rPr>
        <w:t xml:space="preserve">he social impacts of textiles waste </w:t>
      </w:r>
      <w:r w:rsidR="5ED2C86B" w:rsidRPr="005B4339">
        <w:rPr>
          <w:noProof/>
          <w:lang w:val="en-IE"/>
        </w:rPr>
        <w:t>are</w:t>
      </w:r>
      <w:r w:rsidR="2450D009" w:rsidRPr="005B4339">
        <w:rPr>
          <w:noProof/>
          <w:lang w:val="en-IE"/>
        </w:rPr>
        <w:t xml:space="preserve"> emphasised in the Commission’s Staff Working Document accompanying the ecodesign proposal</w:t>
      </w:r>
      <w:r w:rsidR="00A70515" w:rsidRPr="005B4339">
        <w:rPr>
          <w:rStyle w:val="FootnoteReference"/>
          <w:noProof/>
          <w:lang w:val="en-IE"/>
        </w:rPr>
        <w:footnoteReference w:id="83"/>
      </w:r>
      <w:r w:rsidR="2450D009" w:rsidRPr="005B4339">
        <w:rPr>
          <w:noProof/>
          <w:lang w:val="en-IE"/>
        </w:rPr>
        <w:t xml:space="preserve"> that note</w:t>
      </w:r>
      <w:r w:rsidR="3B2723BA" w:rsidRPr="005B4339">
        <w:rPr>
          <w:noProof/>
          <w:lang w:val="en-IE"/>
        </w:rPr>
        <w:t>s</w:t>
      </w:r>
      <w:r w:rsidR="2450D009" w:rsidRPr="005B4339">
        <w:rPr>
          <w:noProof/>
          <w:lang w:val="en-IE"/>
        </w:rPr>
        <w:t xml:space="preserve"> that garments exported for reuse often end up being burnt</w:t>
      </w:r>
      <w:r w:rsidR="00596BAA" w:rsidRPr="005B4339">
        <w:rPr>
          <w:noProof/>
          <w:lang w:val="en-IE"/>
        </w:rPr>
        <w:t>,</w:t>
      </w:r>
      <w:r w:rsidR="2450D009" w:rsidRPr="005B4339">
        <w:rPr>
          <w:noProof/>
          <w:lang w:val="en-IE"/>
        </w:rPr>
        <w:t xml:space="preserve"> which impacts the local environment and inhabitants as developing countries generally do not have the suitable infrastructure to discard them safely. The same SWD quotes that 40% of the clothing traded at the Kantamanto Market (Ghana) ends up in landfill almost immediately due to its poor quality. McKinsey</w:t>
      </w:r>
      <w:r w:rsidR="00D01E6E" w:rsidRPr="005B4339">
        <w:rPr>
          <w:rStyle w:val="FootnoteReference"/>
          <w:noProof/>
          <w:lang w:val="en-IE"/>
        </w:rPr>
        <w:footnoteReference w:id="84"/>
      </w:r>
      <w:r w:rsidR="2450D009" w:rsidRPr="005B4339">
        <w:rPr>
          <w:noProof/>
          <w:lang w:val="en-IE"/>
        </w:rPr>
        <w:t xml:space="preserve"> also notes that exports of used clothing and household textiles to third countries are partly legitimate and aligned with the waste hierarchy as some goes to reuse. However</w:t>
      </w:r>
      <w:r w:rsidR="00596BAA" w:rsidRPr="005B4339">
        <w:rPr>
          <w:noProof/>
          <w:lang w:val="en-IE"/>
        </w:rPr>
        <w:t>,</w:t>
      </w:r>
      <w:r w:rsidR="2450D009" w:rsidRPr="005B4339">
        <w:rPr>
          <w:noProof/>
          <w:lang w:val="en-IE"/>
        </w:rPr>
        <w:t xml:space="preserve"> McKinsey also identifies that there is simultaneously a large problem with textile-waste management</w:t>
      </w:r>
      <w:r w:rsidR="0099430A" w:rsidRPr="005B4339">
        <w:rPr>
          <w:noProof/>
          <w:lang w:val="en-IE"/>
        </w:rPr>
        <w:t xml:space="preserve"> </w:t>
      </w:r>
      <w:r w:rsidR="2450D009" w:rsidRPr="005B4339">
        <w:rPr>
          <w:noProof/>
          <w:lang w:val="en-IE"/>
        </w:rPr>
        <w:t>especially in some of the Global South countries to which European textiles are exported—particularly the exports of unsorted textile waste as many of these countries do not have the capacity to recycle this waste</w:t>
      </w:r>
      <w:r w:rsidR="0099430A" w:rsidRPr="005B4339">
        <w:rPr>
          <w:noProof/>
          <w:lang w:val="en-IE"/>
        </w:rPr>
        <w:t xml:space="preserve"> </w:t>
      </w:r>
      <w:r w:rsidR="2450D009" w:rsidRPr="005B4339">
        <w:rPr>
          <w:noProof/>
          <w:lang w:val="en-IE"/>
        </w:rPr>
        <w:t>and as a consequence</w:t>
      </w:r>
      <w:r w:rsidR="0099430A" w:rsidRPr="005B4339">
        <w:rPr>
          <w:noProof/>
          <w:lang w:val="en-IE"/>
        </w:rPr>
        <w:t xml:space="preserve"> </w:t>
      </w:r>
      <w:r w:rsidR="2450D009" w:rsidRPr="005B4339">
        <w:rPr>
          <w:noProof/>
          <w:lang w:val="en-IE"/>
        </w:rPr>
        <w:t>much of it ends up in landfills or incineration. Whilst several NGOs have highlighted the challenges resulting from exports of textile from the EU to third countries</w:t>
      </w:r>
      <w:r w:rsidR="0099430A" w:rsidRPr="005B4339">
        <w:rPr>
          <w:noProof/>
          <w:lang w:val="en-IE"/>
        </w:rPr>
        <w:t xml:space="preserve"> </w:t>
      </w:r>
      <w:r w:rsidR="0005347F" w:rsidRPr="005B4339">
        <w:rPr>
          <w:noProof/>
          <w:lang w:val="en-IE"/>
        </w:rPr>
        <w:t>(</w:t>
      </w:r>
      <w:r w:rsidR="2450D009" w:rsidRPr="005B4339">
        <w:rPr>
          <w:noProof/>
          <w:lang w:val="en-IE"/>
        </w:rPr>
        <w:t>Greenpeace</w:t>
      </w:r>
      <w:r w:rsidR="00B45E26" w:rsidRPr="005B4339">
        <w:rPr>
          <w:noProof/>
          <w:vertAlign w:val="superscript"/>
          <w:lang w:val="en-IE"/>
        </w:rPr>
        <w:footnoteReference w:id="85"/>
      </w:r>
      <w:r w:rsidR="0005347F" w:rsidRPr="005B4339">
        <w:rPr>
          <w:noProof/>
          <w:lang w:val="en-IE"/>
        </w:rPr>
        <w:t>,</w:t>
      </w:r>
      <w:r w:rsidR="2450D009" w:rsidRPr="005B4339">
        <w:rPr>
          <w:noProof/>
          <w:lang w:val="en-IE"/>
        </w:rPr>
        <w:t xml:space="preserve"> the Plastic Soup Foundation</w:t>
      </w:r>
      <w:r w:rsidR="00B45E26" w:rsidRPr="005B4339">
        <w:rPr>
          <w:noProof/>
          <w:vertAlign w:val="superscript"/>
          <w:lang w:val="en-IE"/>
        </w:rPr>
        <w:footnoteReference w:id="86"/>
      </w:r>
      <w:r w:rsidR="0005347F" w:rsidRPr="005B4339">
        <w:rPr>
          <w:noProof/>
          <w:lang w:val="en-IE"/>
        </w:rPr>
        <w:t>,</w:t>
      </w:r>
      <w:r w:rsidR="2450D009" w:rsidRPr="005B4339">
        <w:rPr>
          <w:noProof/>
          <w:lang w:val="en-IE"/>
        </w:rPr>
        <w:t xml:space="preserve"> and the movie ‘Textile Mountain’</w:t>
      </w:r>
      <w:r w:rsidR="00B45E26" w:rsidRPr="005B4339">
        <w:rPr>
          <w:noProof/>
          <w:vertAlign w:val="superscript"/>
          <w:lang w:val="en-IE"/>
        </w:rPr>
        <w:footnoteReference w:id="87"/>
      </w:r>
      <w:r w:rsidR="0005347F" w:rsidRPr="005B4339">
        <w:rPr>
          <w:noProof/>
          <w:lang w:val="en-IE"/>
        </w:rPr>
        <w:t>),</w:t>
      </w:r>
      <w:r w:rsidR="2450D009" w:rsidRPr="005B4339">
        <w:rPr>
          <w:noProof/>
          <w:lang w:val="en-IE"/>
        </w:rPr>
        <w:t xml:space="preserve"> the challenges of fast fashion have also been acknowledged by UNEP</w:t>
      </w:r>
      <w:r w:rsidR="00B45E26" w:rsidRPr="005B4339">
        <w:rPr>
          <w:noProof/>
          <w:vertAlign w:val="superscript"/>
          <w:lang w:val="en-IE"/>
        </w:rPr>
        <w:footnoteReference w:id="88"/>
      </w:r>
      <w:r w:rsidR="2450D009" w:rsidRPr="005B4339">
        <w:rPr>
          <w:noProof/>
          <w:lang w:val="en-IE"/>
        </w:rPr>
        <w:t xml:space="preserve"> and the OECD</w:t>
      </w:r>
      <w:r w:rsidR="00B45E26" w:rsidRPr="005B4339">
        <w:rPr>
          <w:noProof/>
          <w:vertAlign w:val="superscript"/>
          <w:lang w:val="en-IE"/>
        </w:rPr>
        <w:footnoteReference w:id="89"/>
      </w:r>
      <w:r w:rsidR="2450D009" w:rsidRPr="005B4339">
        <w:rPr>
          <w:noProof/>
          <w:lang w:val="en-IE"/>
        </w:rPr>
        <w:t xml:space="preserve"> at the end of textile life. The export of </w:t>
      </w:r>
      <w:r w:rsidR="2450D009" w:rsidRPr="005B4339">
        <w:rPr>
          <w:noProof/>
          <w:lang w:val="en-IE"/>
        </w:rPr>
        <w:lastRenderedPageBreak/>
        <w:t>these quantities also leads to additional transport</w:t>
      </w:r>
      <w:r w:rsidR="0099430A" w:rsidRPr="005B4339">
        <w:rPr>
          <w:noProof/>
          <w:lang w:val="en-IE"/>
        </w:rPr>
        <w:t xml:space="preserve"> </w:t>
      </w:r>
      <w:r w:rsidR="2450D009" w:rsidRPr="005B4339">
        <w:rPr>
          <w:noProof/>
          <w:lang w:val="en-IE"/>
        </w:rPr>
        <w:t xml:space="preserve">further weighing down on the environmental impact of textiles.  </w:t>
      </w:r>
    </w:p>
    <w:p w14:paraId="01F5C245" w14:textId="69ACA723" w:rsidR="009812D6" w:rsidRPr="005B4339" w:rsidRDefault="000376AF" w:rsidP="00F4119E">
      <w:pPr>
        <w:rPr>
          <w:noProof/>
          <w:lang w:val="en-IE"/>
        </w:rPr>
      </w:pPr>
      <w:r w:rsidRPr="005B4339">
        <w:rPr>
          <w:noProof/>
          <w:lang w:val="en-IE"/>
        </w:rPr>
        <w:t>Th</w:t>
      </w:r>
      <w:r w:rsidR="000D2538" w:rsidRPr="005B4339">
        <w:rPr>
          <w:noProof/>
          <w:lang w:val="en-IE"/>
        </w:rPr>
        <w:t xml:space="preserve">is measure </w:t>
      </w:r>
      <w:r w:rsidR="4B77FB23" w:rsidRPr="005B4339">
        <w:rPr>
          <w:noProof/>
          <w:lang w:val="en-IE"/>
        </w:rPr>
        <w:t>with regard to</w:t>
      </w:r>
      <w:r w:rsidR="000D2538" w:rsidRPr="005B4339">
        <w:rPr>
          <w:noProof/>
          <w:lang w:val="en-IE"/>
        </w:rPr>
        <w:t xml:space="preserve"> </w:t>
      </w:r>
      <w:r w:rsidRPr="005B4339">
        <w:rPr>
          <w:noProof/>
          <w:lang w:val="en-IE"/>
        </w:rPr>
        <w:t xml:space="preserve">textile </w:t>
      </w:r>
      <w:r w:rsidR="009812D6" w:rsidRPr="005B4339">
        <w:rPr>
          <w:noProof/>
          <w:lang w:val="en-IE"/>
        </w:rPr>
        <w:t>wastes sent to third countries would undoubtedly reduce the volumes of materials dumped and open-burned in such a manner</w:t>
      </w:r>
      <w:r w:rsidR="0099430A" w:rsidRPr="005B4339">
        <w:rPr>
          <w:noProof/>
          <w:lang w:val="en-IE"/>
        </w:rPr>
        <w:t xml:space="preserve"> </w:t>
      </w:r>
      <w:r w:rsidR="009812D6" w:rsidRPr="005B4339">
        <w:rPr>
          <w:noProof/>
          <w:lang w:val="en-IE"/>
        </w:rPr>
        <w:t>having a positive impact on the social wellbeing on people in proximity to such waste sites as well as in relation to the health and safety of those currently involved in such waste management activities.</w:t>
      </w:r>
      <w:r w:rsidR="005538F6" w:rsidRPr="005B4339">
        <w:rPr>
          <w:noProof/>
          <w:lang w:val="en-IE"/>
        </w:rPr>
        <w:t xml:space="preserve"> Conversely, however, and in keeping with the social impacts of measure 2.</w:t>
      </w:r>
      <w:r w:rsidR="27AEE947" w:rsidRPr="005B4339">
        <w:rPr>
          <w:noProof/>
          <w:lang w:val="en-IE"/>
        </w:rPr>
        <w:t>5</w:t>
      </w:r>
      <w:r w:rsidR="005538F6" w:rsidRPr="005B4339">
        <w:rPr>
          <w:noProof/>
          <w:lang w:val="en-IE"/>
        </w:rPr>
        <w:t xml:space="preserve">, the employment of those currently involved in sorting textiles in third countries would be negatively impacted from an economic standpoint as textiles would be better managed within the EU requiring less sorting to take place in third countries.  </w:t>
      </w:r>
    </w:p>
    <w:p w14:paraId="062EA9F7" w14:textId="65474ACB" w:rsidR="00904352" w:rsidRPr="005B4339" w:rsidRDefault="2390664B" w:rsidP="009F1CEF">
      <w:pPr>
        <w:spacing w:after="120"/>
        <w:rPr>
          <w:b/>
          <w:noProof/>
          <w:lang w:val="en-IE"/>
        </w:rPr>
      </w:pPr>
      <w:r w:rsidRPr="005B4339">
        <w:rPr>
          <w:b/>
          <w:noProof/>
          <w:lang w:val="en-IE"/>
        </w:rPr>
        <w:t>Impact on SMEs and social enterprises</w:t>
      </w:r>
    </w:p>
    <w:p w14:paraId="4A91F4F1" w14:textId="7340649C" w:rsidR="00904352" w:rsidRPr="005B4339" w:rsidRDefault="2390664B" w:rsidP="5D637057">
      <w:pPr>
        <w:rPr>
          <w:rFonts w:eastAsia="Times New Roman"/>
          <w:noProof/>
          <w:lang w:val="en-IE"/>
        </w:rPr>
      </w:pPr>
      <w:r w:rsidRPr="005B4339">
        <w:rPr>
          <w:rFonts w:eastAsia="Times New Roman"/>
          <w:noProof/>
          <w:lang w:val="en-IE"/>
        </w:rPr>
        <w:t xml:space="preserve">Given the majority of those involved in collecting </w:t>
      </w:r>
      <w:r w:rsidR="3ABC0456" w:rsidRPr="005B4339">
        <w:rPr>
          <w:rFonts w:eastAsia="Times New Roman"/>
          <w:noProof/>
          <w:lang w:val="en-IE"/>
        </w:rPr>
        <w:t xml:space="preserve">and sorting </w:t>
      </w:r>
      <w:r w:rsidRPr="005B4339">
        <w:rPr>
          <w:rFonts w:eastAsia="Times New Roman"/>
          <w:noProof/>
          <w:lang w:val="en-IE"/>
        </w:rPr>
        <w:t xml:space="preserve">textiles </w:t>
      </w:r>
      <w:r w:rsidR="0702C42B" w:rsidRPr="005B4339">
        <w:rPr>
          <w:rFonts w:eastAsia="Times New Roman"/>
          <w:noProof/>
          <w:lang w:val="en-IE"/>
        </w:rPr>
        <w:t>are SMEs</w:t>
      </w:r>
      <w:r w:rsidR="0099430A" w:rsidRPr="005B4339">
        <w:rPr>
          <w:rFonts w:eastAsia="Times New Roman"/>
          <w:noProof/>
          <w:lang w:val="en-IE"/>
        </w:rPr>
        <w:t xml:space="preserve"> </w:t>
      </w:r>
      <w:r w:rsidR="0702C42B" w:rsidRPr="005B4339">
        <w:rPr>
          <w:rFonts w:eastAsia="Times New Roman"/>
          <w:noProof/>
          <w:lang w:val="en-IE"/>
        </w:rPr>
        <w:t xml:space="preserve">including </w:t>
      </w:r>
      <w:r w:rsidRPr="005B4339">
        <w:rPr>
          <w:rFonts w:eastAsia="Times New Roman"/>
          <w:noProof/>
          <w:lang w:val="en-IE"/>
        </w:rPr>
        <w:t xml:space="preserve">social enterprises </w:t>
      </w:r>
      <w:r w:rsidR="3BB9F0F5" w:rsidRPr="005B4339">
        <w:rPr>
          <w:rFonts w:eastAsia="Times New Roman"/>
          <w:noProof/>
          <w:lang w:val="en-IE"/>
        </w:rPr>
        <w:t>which currently largely take care of textile collection</w:t>
      </w:r>
      <w:r w:rsidR="0099430A" w:rsidRPr="005B4339">
        <w:rPr>
          <w:rFonts w:eastAsia="Times New Roman"/>
          <w:noProof/>
          <w:lang w:val="en-IE"/>
        </w:rPr>
        <w:t xml:space="preserve"> </w:t>
      </w:r>
      <w:r w:rsidRPr="005B4339">
        <w:rPr>
          <w:rFonts w:eastAsia="Times New Roman"/>
          <w:noProof/>
          <w:lang w:val="en-IE"/>
        </w:rPr>
        <w:t>the obligation</w:t>
      </w:r>
      <w:r w:rsidR="643EFE20" w:rsidRPr="005B4339">
        <w:rPr>
          <w:rFonts w:eastAsia="Times New Roman"/>
          <w:noProof/>
          <w:lang w:val="en-IE"/>
        </w:rPr>
        <w:t>s under this measure (proper preparation of bales for shipment</w:t>
      </w:r>
      <w:r w:rsidR="0099430A" w:rsidRPr="005B4339">
        <w:rPr>
          <w:rFonts w:eastAsia="Times New Roman"/>
          <w:noProof/>
          <w:lang w:val="en-IE"/>
        </w:rPr>
        <w:t xml:space="preserve"> </w:t>
      </w:r>
      <w:r w:rsidR="643EFE20" w:rsidRPr="005B4339">
        <w:rPr>
          <w:rFonts w:eastAsia="Times New Roman"/>
          <w:noProof/>
          <w:lang w:val="en-IE"/>
        </w:rPr>
        <w:t>transportation</w:t>
      </w:r>
      <w:r w:rsidR="631877F2" w:rsidRPr="005B4339">
        <w:rPr>
          <w:rFonts w:eastAsia="Times New Roman"/>
          <w:noProof/>
          <w:lang w:val="en-IE"/>
        </w:rPr>
        <w:t>,</w:t>
      </w:r>
      <w:r w:rsidR="643EFE20" w:rsidRPr="005B4339">
        <w:rPr>
          <w:rFonts w:eastAsia="Times New Roman"/>
          <w:noProof/>
          <w:lang w:val="en-IE"/>
        </w:rPr>
        <w:t xml:space="preserve"> documentation preparation</w:t>
      </w:r>
      <w:r w:rsidR="436313E0" w:rsidRPr="005B4339">
        <w:rPr>
          <w:rFonts w:eastAsia="Times New Roman"/>
          <w:noProof/>
          <w:lang w:val="en-IE"/>
        </w:rPr>
        <w:t>,</w:t>
      </w:r>
      <w:r w:rsidR="4707F1A6" w:rsidRPr="005B4339">
        <w:rPr>
          <w:rFonts w:eastAsia="Times New Roman"/>
          <w:noProof/>
          <w:lang w:val="en-IE"/>
        </w:rPr>
        <w:t xml:space="preserve"> </w:t>
      </w:r>
      <w:r w:rsidRPr="005B4339">
        <w:rPr>
          <w:rFonts w:eastAsia="Times New Roman"/>
          <w:noProof/>
          <w:lang w:val="en-IE"/>
        </w:rPr>
        <w:t xml:space="preserve">as well as support </w:t>
      </w:r>
      <w:r w:rsidR="317CF7BD" w:rsidRPr="005B4339">
        <w:rPr>
          <w:rFonts w:eastAsia="Times New Roman"/>
          <w:noProof/>
          <w:lang w:val="en-IE"/>
        </w:rPr>
        <w:t xml:space="preserve">for related </w:t>
      </w:r>
      <w:r w:rsidRPr="005B4339">
        <w:rPr>
          <w:rFonts w:eastAsia="Times New Roman"/>
          <w:noProof/>
          <w:lang w:val="en-IE"/>
        </w:rPr>
        <w:t xml:space="preserve">inspections </w:t>
      </w:r>
      <w:r w:rsidR="59B29E68" w:rsidRPr="005B4339">
        <w:rPr>
          <w:rFonts w:eastAsia="Times New Roman"/>
          <w:noProof/>
          <w:lang w:val="en-IE"/>
        </w:rPr>
        <w:t xml:space="preserve">by competent authorities) </w:t>
      </w:r>
      <w:r w:rsidRPr="005B4339">
        <w:rPr>
          <w:rFonts w:eastAsia="Times New Roman"/>
          <w:noProof/>
          <w:lang w:val="en-IE"/>
        </w:rPr>
        <w:t xml:space="preserve">would fall on such enterprises. </w:t>
      </w:r>
      <w:r w:rsidR="76C36623" w:rsidRPr="005B4339">
        <w:rPr>
          <w:rFonts w:eastAsia="Times New Roman"/>
          <w:noProof/>
          <w:lang w:val="en-IE"/>
        </w:rPr>
        <w:t>The requirements in relation to the preparation o</w:t>
      </w:r>
      <w:r w:rsidR="76F664E3" w:rsidRPr="005B4339">
        <w:rPr>
          <w:rFonts w:eastAsia="Times New Roman"/>
          <w:noProof/>
          <w:lang w:val="en-IE"/>
        </w:rPr>
        <w:t>f</w:t>
      </w:r>
      <w:r w:rsidR="76C36623" w:rsidRPr="005B4339">
        <w:rPr>
          <w:rFonts w:eastAsia="Times New Roman"/>
          <w:noProof/>
          <w:lang w:val="en-IE"/>
        </w:rPr>
        <w:t xml:space="preserve"> the bales of sorted textiles for transportation reflect the best practice of the industry to ensure that the value of the products is maintained; therefore</w:t>
      </w:r>
      <w:r w:rsidR="0099430A" w:rsidRPr="005B4339">
        <w:rPr>
          <w:rFonts w:eastAsia="Times New Roman"/>
          <w:noProof/>
          <w:lang w:val="en-IE"/>
        </w:rPr>
        <w:t xml:space="preserve"> </w:t>
      </w:r>
      <w:r w:rsidR="76C36623" w:rsidRPr="005B4339">
        <w:rPr>
          <w:rFonts w:eastAsia="Times New Roman"/>
          <w:noProof/>
          <w:lang w:val="en-IE"/>
        </w:rPr>
        <w:t xml:space="preserve">no </w:t>
      </w:r>
      <w:r w:rsidR="37189EC7" w:rsidRPr="005B4339">
        <w:rPr>
          <w:rFonts w:eastAsia="Times New Roman"/>
          <w:noProof/>
          <w:lang w:val="en-IE"/>
        </w:rPr>
        <w:t xml:space="preserve">remarkable additional </w:t>
      </w:r>
      <w:r w:rsidR="76C36623" w:rsidRPr="005B4339">
        <w:rPr>
          <w:rFonts w:eastAsia="Times New Roman"/>
          <w:noProof/>
          <w:lang w:val="en-IE"/>
        </w:rPr>
        <w:t xml:space="preserve">costs would be attributed to </w:t>
      </w:r>
      <w:r w:rsidR="408FD967" w:rsidRPr="005B4339">
        <w:rPr>
          <w:rFonts w:eastAsia="Times New Roman"/>
          <w:noProof/>
          <w:lang w:val="en-IE"/>
        </w:rPr>
        <w:t xml:space="preserve">the compliance with these requirements for the sorters or transporters of </w:t>
      </w:r>
      <w:r w:rsidR="79AB34FC" w:rsidRPr="005B4339">
        <w:rPr>
          <w:rFonts w:eastAsia="Times New Roman"/>
          <w:noProof/>
          <w:lang w:val="en-IE"/>
        </w:rPr>
        <w:t>used textiles</w:t>
      </w:r>
      <w:r w:rsidR="408FD967" w:rsidRPr="005B4339">
        <w:rPr>
          <w:rFonts w:eastAsia="Times New Roman"/>
          <w:noProof/>
          <w:lang w:val="en-IE"/>
        </w:rPr>
        <w:t>.</w:t>
      </w:r>
    </w:p>
    <w:p w14:paraId="20441B22" w14:textId="586E2A12" w:rsidR="00904352" w:rsidRPr="005B4339" w:rsidRDefault="52861AB5" w:rsidP="006554B6">
      <w:pPr>
        <w:rPr>
          <w:i/>
          <w:noProof/>
          <w:lang w:val="en-IE"/>
        </w:rPr>
      </w:pPr>
      <w:r w:rsidRPr="005B4339">
        <w:rPr>
          <w:i/>
          <w:noProof/>
          <w:lang w:val="en-IE"/>
        </w:rPr>
        <w:t>Stakeholder evidence</w:t>
      </w:r>
    </w:p>
    <w:p w14:paraId="061471D8" w14:textId="713FFDA8" w:rsidR="00904352" w:rsidRPr="005B4339" w:rsidRDefault="056D5A1B" w:rsidP="4B768D40">
      <w:pPr>
        <w:tabs>
          <w:tab w:val="left" w:pos="360"/>
        </w:tabs>
        <w:rPr>
          <w:rFonts w:eastAsia="Times New Roman"/>
          <w:noProof/>
          <w:lang w:val="en-IE"/>
        </w:rPr>
      </w:pPr>
      <w:r w:rsidRPr="005B4339">
        <w:rPr>
          <w:rFonts w:eastAsia="Times New Roman"/>
          <w:noProof/>
          <w:lang w:val="en-IE"/>
        </w:rPr>
        <w:t>The</w:t>
      </w:r>
      <w:r w:rsidR="212B7E0C" w:rsidRPr="005B4339">
        <w:rPr>
          <w:rFonts w:eastAsia="Times New Roman"/>
          <w:noProof/>
          <w:lang w:val="en-IE"/>
        </w:rPr>
        <w:t xml:space="preserve"> NGO stakeholders </w:t>
      </w:r>
      <w:r w:rsidR="25ED6719" w:rsidRPr="005B4339">
        <w:rPr>
          <w:rFonts w:eastAsia="Times New Roman"/>
          <w:noProof/>
          <w:lang w:val="en-IE"/>
        </w:rPr>
        <w:t>as well as sorters</w:t>
      </w:r>
      <w:r w:rsidR="212B7E0C" w:rsidRPr="005B4339">
        <w:rPr>
          <w:rFonts w:eastAsia="Times New Roman"/>
          <w:noProof/>
          <w:lang w:val="en-IE"/>
        </w:rPr>
        <w:t xml:space="preserve"> have raised concerns about the impacts on third countries as a result of</w:t>
      </w:r>
      <w:r w:rsidR="462CD3EA" w:rsidRPr="005B4339">
        <w:rPr>
          <w:rFonts w:eastAsia="Times New Roman"/>
          <w:noProof/>
          <w:lang w:val="en-IE"/>
        </w:rPr>
        <w:t xml:space="preserve"> </w:t>
      </w:r>
      <w:r w:rsidR="2A328A7E" w:rsidRPr="005B4339">
        <w:rPr>
          <w:rFonts w:eastAsia="Times New Roman"/>
          <w:noProof/>
          <w:lang w:val="en-IE"/>
        </w:rPr>
        <w:t xml:space="preserve">import </w:t>
      </w:r>
      <w:r w:rsidR="5BB67BCB" w:rsidRPr="005B4339">
        <w:rPr>
          <w:rFonts w:eastAsia="Times New Roman"/>
          <w:noProof/>
          <w:lang w:val="en-IE"/>
        </w:rPr>
        <w:t xml:space="preserve">from the EU </w:t>
      </w:r>
      <w:r w:rsidR="462CD3EA" w:rsidRPr="005B4339">
        <w:rPr>
          <w:rFonts w:eastAsia="Times New Roman"/>
          <w:noProof/>
          <w:lang w:val="en-IE"/>
        </w:rPr>
        <w:t xml:space="preserve">of used </w:t>
      </w:r>
      <w:r w:rsidR="50BEEF65" w:rsidRPr="005B4339">
        <w:rPr>
          <w:rFonts w:eastAsia="Times New Roman"/>
          <w:noProof/>
          <w:lang w:val="en-IE"/>
        </w:rPr>
        <w:t xml:space="preserve">textiles </w:t>
      </w:r>
      <w:r w:rsidR="1B058658" w:rsidRPr="005B4339">
        <w:rPr>
          <w:rFonts w:eastAsia="Times New Roman"/>
          <w:noProof/>
          <w:lang w:val="en-IE"/>
        </w:rPr>
        <w:t xml:space="preserve">due to illegal shipments or legal shipments of used textiles which may </w:t>
      </w:r>
      <w:r w:rsidR="08522F77" w:rsidRPr="005B4339">
        <w:rPr>
          <w:rFonts w:eastAsia="Times New Roman"/>
          <w:noProof/>
          <w:lang w:val="en-IE"/>
        </w:rPr>
        <w:t>nevertheless</w:t>
      </w:r>
      <w:r w:rsidR="1B058658" w:rsidRPr="005B4339">
        <w:rPr>
          <w:rFonts w:eastAsia="Times New Roman"/>
          <w:noProof/>
          <w:lang w:val="en-IE"/>
        </w:rPr>
        <w:t xml:space="preserve"> contain large fractions of non-</w:t>
      </w:r>
      <w:r w:rsidR="0014738B" w:rsidRPr="005B4339">
        <w:rPr>
          <w:rFonts w:eastAsia="Times New Roman"/>
          <w:noProof/>
          <w:lang w:val="en-IE"/>
        </w:rPr>
        <w:t>reusable</w:t>
      </w:r>
      <w:r w:rsidR="1B058658" w:rsidRPr="005B4339">
        <w:rPr>
          <w:rFonts w:eastAsia="Times New Roman"/>
          <w:noProof/>
          <w:lang w:val="en-IE"/>
        </w:rPr>
        <w:t xml:space="preserve"> textiles </w:t>
      </w:r>
      <w:r w:rsidR="1A471F3C" w:rsidRPr="005B4339">
        <w:rPr>
          <w:rFonts w:eastAsia="Times New Roman"/>
          <w:noProof/>
          <w:lang w:val="en-IE"/>
        </w:rPr>
        <w:t>plac</w:t>
      </w:r>
      <w:r w:rsidR="13A77001" w:rsidRPr="005B4339">
        <w:rPr>
          <w:rFonts w:eastAsia="Times New Roman"/>
          <w:noProof/>
          <w:lang w:val="en-IE"/>
        </w:rPr>
        <w:t>ing</w:t>
      </w:r>
      <w:r w:rsidR="1B058658" w:rsidRPr="005B4339">
        <w:rPr>
          <w:rFonts w:eastAsia="Times New Roman"/>
          <w:noProof/>
          <w:lang w:val="en-IE"/>
        </w:rPr>
        <w:t xml:space="preserve"> burden on the waste management systems in those countries. </w:t>
      </w:r>
      <w:r w:rsidR="4484182F" w:rsidRPr="005B4339">
        <w:rPr>
          <w:rFonts w:eastAsia="Times New Roman"/>
          <w:noProof/>
          <w:lang w:val="en-IE"/>
        </w:rPr>
        <w:t>These views have been raised</w:t>
      </w:r>
      <w:r w:rsidR="462CD3EA" w:rsidRPr="005B4339">
        <w:rPr>
          <w:rFonts w:eastAsia="Times New Roman"/>
          <w:noProof/>
          <w:lang w:val="en-IE"/>
        </w:rPr>
        <w:t xml:space="preserve"> in the stakeholder textile workshops</w:t>
      </w:r>
      <w:r w:rsidR="183C7D35" w:rsidRPr="005B4339">
        <w:rPr>
          <w:rFonts w:eastAsia="Times New Roman"/>
          <w:noProof/>
          <w:lang w:val="en-IE"/>
        </w:rPr>
        <w:t>,</w:t>
      </w:r>
      <w:r w:rsidR="518A0422" w:rsidRPr="005B4339">
        <w:rPr>
          <w:rFonts w:eastAsia="Times New Roman"/>
          <w:noProof/>
          <w:lang w:val="en-IE"/>
        </w:rPr>
        <w:t xml:space="preserve"> targeted consultation</w:t>
      </w:r>
      <w:r w:rsidR="462CD3EA" w:rsidRPr="005B4339">
        <w:rPr>
          <w:rFonts w:eastAsia="Times New Roman"/>
          <w:noProof/>
          <w:lang w:val="en-IE"/>
        </w:rPr>
        <w:t xml:space="preserve"> as well as in materials submitted as evidence during this assessment</w:t>
      </w:r>
      <w:r w:rsidR="00904352" w:rsidRPr="005B4339">
        <w:rPr>
          <w:rFonts w:eastAsia="Times New Roman"/>
          <w:noProof/>
          <w:vertAlign w:val="superscript"/>
          <w:lang w:val="en-IE"/>
        </w:rPr>
        <w:footnoteReference w:id="90"/>
      </w:r>
      <w:r w:rsidR="462CD3EA" w:rsidRPr="005B4339">
        <w:rPr>
          <w:rFonts w:eastAsia="Times New Roman"/>
          <w:noProof/>
          <w:lang w:val="en-IE"/>
        </w:rPr>
        <w:t>.</w:t>
      </w:r>
    </w:p>
    <w:p w14:paraId="0C3ABC20" w14:textId="2CE13A17" w:rsidR="0005347F" w:rsidRPr="005B4339" w:rsidRDefault="0005347F" w:rsidP="0005347F">
      <w:pPr>
        <w:rPr>
          <w:noProof/>
          <w:lang w:val="en-IE"/>
        </w:rPr>
      </w:pPr>
      <w:bookmarkStart w:id="134" w:name="_Toc133229478"/>
      <w:bookmarkStart w:id="135" w:name="_Toc139032032"/>
      <w:r w:rsidRPr="005B4339">
        <w:rPr>
          <w:i/>
          <w:noProof/>
          <w:lang w:val="en-IE"/>
        </w:rPr>
        <w:t xml:space="preserve">Table </w:t>
      </w:r>
      <w:r w:rsidR="00393DFA">
        <w:rPr>
          <w:i/>
          <w:iCs/>
          <w:noProof/>
        </w:rPr>
        <w:t>16</w:t>
      </w:r>
      <w:r w:rsidRPr="005B4339">
        <w:rPr>
          <w:i/>
          <w:noProof/>
          <w:lang w:val="en-IE"/>
        </w:rPr>
        <w:t xml:space="preserve"> : Summary of impacts for measure 2.</w:t>
      </w:r>
      <w:r w:rsidR="434AD521" w:rsidRPr="005B4339">
        <w:rPr>
          <w:i/>
          <w:noProof/>
          <w:lang w:val="en-IE"/>
        </w:rPr>
        <w:t>8</w:t>
      </w:r>
      <w:bookmarkEnd w:id="134"/>
      <w:bookmarkEnd w:id="135"/>
    </w:p>
    <w:tbl>
      <w:tblPr>
        <w:tblStyle w:val="PlainTable1"/>
        <w:tblW w:w="9268" w:type="dxa"/>
        <w:tblLook w:val="04A0" w:firstRow="1" w:lastRow="0" w:firstColumn="1" w:lastColumn="0" w:noHBand="0" w:noVBand="1"/>
      </w:tblPr>
      <w:tblGrid>
        <w:gridCol w:w="2547"/>
        <w:gridCol w:w="2268"/>
        <w:gridCol w:w="2268"/>
        <w:gridCol w:w="2185"/>
      </w:tblGrid>
      <w:tr w:rsidR="007153FD" w:rsidRPr="005B4339" w14:paraId="38BBBC56" w14:textId="77777777" w:rsidTr="768B81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45250D" w14:textId="77777777" w:rsidR="007153FD" w:rsidRPr="005B4339" w:rsidRDefault="007153FD">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B3099" w14:textId="77777777" w:rsidR="007153FD" w:rsidRPr="005B4339" w:rsidRDefault="007153FD">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74455B" w14:textId="77777777" w:rsidR="007153FD" w:rsidRPr="005B4339" w:rsidRDefault="007153FD">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95A3DA" w14:textId="77777777" w:rsidR="007153FD" w:rsidRPr="005B4339" w:rsidRDefault="007153FD">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7153FD" w:rsidRPr="005B4339" w14:paraId="79F6B0F6" w14:textId="77777777" w:rsidTr="768B8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34F66D" w14:textId="11821F0A" w:rsidR="007153FD" w:rsidRPr="005B4339" w:rsidRDefault="03E793E9">
            <w:pPr>
              <w:jc w:val="left"/>
              <w:rPr>
                <w:noProof/>
                <w:lang w:val="en-IE"/>
              </w:rPr>
            </w:pPr>
            <w:r w:rsidRPr="005B4339">
              <w:rPr>
                <w:noProof/>
                <w:lang w:val="en-IE"/>
              </w:rPr>
              <w:lastRenderedPageBreak/>
              <w:t>W</w:t>
            </w:r>
            <w:r w:rsidR="48A5E506" w:rsidRPr="005B4339">
              <w:rPr>
                <w:noProof/>
                <w:lang w:val="en-IE"/>
              </w:rPr>
              <w:t>aste</w:t>
            </w:r>
            <w:r w:rsidR="007153FD" w:rsidRPr="005B4339">
              <w:rPr>
                <w:noProof/>
                <w:lang w:val="en-IE"/>
              </w:rPr>
              <w:t xml:space="preserve"> managers (encompassing collectors</w:t>
            </w:r>
            <w:r w:rsidR="74A714C1" w:rsidRPr="005B4339">
              <w:rPr>
                <w:noProof/>
                <w:lang w:val="en-IE"/>
              </w:rPr>
              <w:t>,</w:t>
            </w:r>
            <w:r w:rsidR="0099430A" w:rsidRPr="005B4339">
              <w:rPr>
                <w:noProof/>
                <w:lang w:val="en-IE"/>
              </w:rPr>
              <w:t xml:space="preserve"> </w:t>
            </w:r>
            <w:r w:rsidR="007153FD" w:rsidRPr="005B4339">
              <w:rPr>
                <w:noProof/>
                <w:lang w:val="en-IE"/>
              </w:rPr>
              <w:t>sorters and managers)</w:t>
            </w:r>
            <w:r w:rsidR="37A5AC7A" w:rsidRPr="005B4339">
              <w:rPr>
                <w:noProof/>
                <w:lang w:val="en-IE"/>
              </w:rPr>
              <w:t xml:space="preserve"> or</w:t>
            </w:r>
            <w:r w:rsidR="6F34DBBB" w:rsidRPr="005B4339">
              <w:rPr>
                <w:noProof/>
                <w:lang w:val="en-IE"/>
              </w:rPr>
              <w:t xml:space="preserve"> traders</w:t>
            </w:r>
            <w:r w:rsidR="77A46D05" w:rsidRPr="005B4339">
              <w:rPr>
                <w:noProof/>
                <w:lang w:val="en-IE"/>
              </w:rPr>
              <w:t xml:space="preserve"> transporting textiles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F2DEB4" w14:textId="00826944" w:rsidR="00BD2BDC" w:rsidRPr="005B4339" w:rsidRDefault="00BD2BDC" w:rsidP="768B8127">
            <w:pPr>
              <w:spacing w:after="0" w:line="240" w:lineRule="atLeast"/>
              <w:jc w:val="left"/>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p>
          <w:p w14:paraId="38838F60" w14:textId="3C67F2B1" w:rsidR="007153FD" w:rsidRPr="005B4339" w:rsidRDefault="42BE71C8" w:rsidP="00BD2BDC">
            <w:pPr>
              <w:ind w:left="30"/>
              <w:cnfStyle w:val="000000100000" w:firstRow="0" w:lastRow="0" w:firstColumn="0" w:lastColumn="0" w:oddVBand="0" w:evenVBand="0" w:oddHBand="1" w:evenHBand="0" w:firstRowFirstColumn="0" w:firstRowLastColumn="0" w:lastRowFirstColumn="0" w:lastRowLastColumn="0"/>
              <w:rPr>
                <w:noProof/>
                <w:color w:val="000000"/>
                <w:lang w:val="en-IE"/>
              </w:rPr>
            </w:pPr>
            <w:r w:rsidRPr="005B4339">
              <w:rPr>
                <w:noProof/>
                <w:color w:val="000000" w:themeColor="text1"/>
                <w:lang w:val="en-IE"/>
              </w:rPr>
              <w:t xml:space="preserve">No significant additional impacts identified in view of </w:t>
            </w:r>
            <w:r w:rsidR="5FABA72B" w:rsidRPr="005B4339">
              <w:rPr>
                <w:noProof/>
                <w:color w:val="000000" w:themeColor="text1"/>
                <w:lang w:val="en-IE"/>
              </w:rPr>
              <w:t>existing</w:t>
            </w:r>
            <w:r w:rsidRPr="005B4339">
              <w:rPr>
                <w:noProof/>
                <w:color w:val="000000" w:themeColor="text1"/>
                <w:lang w:val="en-IE"/>
              </w:rPr>
              <w:t xml:space="preserve"> practices. </w:t>
            </w:r>
          </w:p>
          <w:p w14:paraId="2BDE7C81" w14:textId="19DF4F12" w:rsidR="007153FD" w:rsidRPr="005B4339" w:rsidRDefault="24B88845">
            <w:pPr>
              <w:ind w:left="30"/>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sidRPr="005B4339">
              <w:rPr>
                <w:noProof/>
                <w:color w:val="000000" w:themeColor="text1"/>
                <w:lang w:val="en-IE"/>
              </w:rPr>
              <w:t>It</w:t>
            </w:r>
            <w:r w:rsidR="00460218" w:rsidRPr="005B4339">
              <w:rPr>
                <w:noProof/>
                <w:color w:val="000000" w:themeColor="text1"/>
                <w:lang w:val="en-IE"/>
              </w:rPr>
              <w:t xml:space="preserve"> would </w:t>
            </w:r>
            <w:r w:rsidR="099DD326" w:rsidRPr="005B4339">
              <w:rPr>
                <w:noProof/>
                <w:color w:val="000000" w:themeColor="text1"/>
                <w:lang w:val="en-IE"/>
              </w:rPr>
              <w:t xml:space="preserve">also </w:t>
            </w:r>
            <w:r w:rsidR="00460218" w:rsidRPr="005B4339">
              <w:rPr>
                <w:noProof/>
                <w:color w:val="000000" w:themeColor="text1"/>
                <w:lang w:val="en-IE"/>
              </w:rPr>
              <w:t xml:space="preserve">improve the level playing </w:t>
            </w:r>
            <w:r w:rsidR="5958F5C6" w:rsidRPr="005B4339">
              <w:rPr>
                <w:noProof/>
                <w:color w:val="000000" w:themeColor="text1"/>
                <w:lang w:val="en-IE"/>
              </w:rPr>
              <w:t>field</w:t>
            </w:r>
            <w:r w:rsidR="338F464E" w:rsidRPr="005B4339">
              <w:rPr>
                <w:noProof/>
                <w:color w:val="000000" w:themeColor="text1"/>
                <w:lang w:val="en-IE"/>
              </w:rPr>
              <w:t xml:space="preserve"> among the operators</w:t>
            </w:r>
            <w:r w:rsidR="00460218" w:rsidRPr="005B4339">
              <w:rPr>
                <w:noProof/>
                <w:color w:val="000000" w:themeColor="text1"/>
                <w:lang w:val="en-IE"/>
              </w:rPr>
              <w:t xml:space="preserve"> as it would </w:t>
            </w:r>
            <w:r w:rsidR="07659B4B" w:rsidRPr="005B4339">
              <w:rPr>
                <w:noProof/>
                <w:color w:val="000000" w:themeColor="text1"/>
                <w:lang w:val="en-IE"/>
              </w:rPr>
              <w:t xml:space="preserve">reduce </w:t>
            </w:r>
            <w:r w:rsidR="5958F5C6" w:rsidRPr="005B4339">
              <w:rPr>
                <w:noProof/>
                <w:color w:val="000000" w:themeColor="text1"/>
                <w:lang w:val="en-IE"/>
              </w:rPr>
              <w:t xml:space="preserve">the </w:t>
            </w:r>
            <w:r w:rsidR="2102AA3D" w:rsidRPr="005B4339">
              <w:rPr>
                <w:noProof/>
                <w:color w:val="000000" w:themeColor="text1"/>
                <w:lang w:val="en-IE"/>
              </w:rPr>
              <w:t>occurrence</w:t>
            </w:r>
            <w:r w:rsidR="00460218" w:rsidRPr="005B4339">
              <w:rPr>
                <w:noProof/>
                <w:color w:val="000000" w:themeColor="text1"/>
                <w:lang w:val="en-IE"/>
              </w:rPr>
              <w:t xml:space="preserve"> of </w:t>
            </w:r>
            <w:r w:rsidR="2DB1676C" w:rsidRPr="005B4339">
              <w:rPr>
                <w:noProof/>
                <w:color w:val="000000" w:themeColor="text1"/>
                <w:lang w:val="en-IE"/>
              </w:rPr>
              <w:t>illegal shipments</w:t>
            </w:r>
            <w:r w:rsidR="00460218" w:rsidRPr="005B4339">
              <w:rPr>
                <w:noProof/>
                <w:color w:val="000000" w:themeColor="text1"/>
                <w:lang w:val="en-IE"/>
              </w:rPr>
              <w: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5B3097" w14:textId="77777777" w:rsidR="007153FD" w:rsidRPr="005B4339" w:rsidRDefault="007153FD">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3CE85" w14:textId="77777777" w:rsidR="007153FD" w:rsidRPr="005B4339" w:rsidRDefault="007153FD">
            <w:pPr>
              <w:cnfStyle w:val="000000100000" w:firstRow="0" w:lastRow="0" w:firstColumn="0" w:lastColumn="0" w:oddVBand="0" w:evenVBand="0" w:oddHBand="1" w:evenHBand="0" w:firstRowFirstColumn="0" w:firstRowLastColumn="0" w:lastRowFirstColumn="0" w:lastRowLastColumn="0"/>
              <w:rPr>
                <w:b/>
                <w:noProof/>
                <w:lang w:val="en-IE"/>
              </w:rPr>
            </w:pPr>
          </w:p>
        </w:tc>
      </w:tr>
      <w:tr w:rsidR="007153FD" w:rsidRPr="005B4339" w14:paraId="16D3587F"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EFB5E5" w14:textId="77777777" w:rsidR="007153FD" w:rsidRPr="005B4339" w:rsidRDefault="007153FD">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1D4A8" w14:textId="4FD40B62" w:rsidR="007153FD" w:rsidRPr="005B4339" w:rsidRDefault="0077116E" w:rsidP="392D02F3">
            <w:pPr>
              <w:spacing w:after="0" w:line="240" w:lineRule="atLeast"/>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sidRPr="005B4339">
              <w:rPr>
                <w:noProof/>
                <w:color w:val="000000" w:themeColor="text1"/>
                <w:lang w:val="en-IE"/>
              </w:rPr>
              <w:t>Positive impact as the measure would facilitate the enforcement of illegal shipments</w:t>
            </w:r>
            <w:r w:rsidR="269A4029" w:rsidRPr="005B4339">
              <w:rPr>
                <w:noProof/>
                <w:color w:val="000000" w:themeColor="text1"/>
                <w:lang w:val="en-IE"/>
              </w:rPr>
              <w:t xml:space="preserve"> in the framework of continuous enforcement activities</w:t>
            </w:r>
            <w:r w:rsidRPr="005B4339">
              <w:rPr>
                <w:noProof/>
                <w:color w:val="000000" w:themeColor="text1"/>
                <w:lang w:val="en-IE"/>
              </w:rPr>
              <w:t xml:space="preserve">. </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7E8EE" w14:textId="77777777" w:rsidR="007153FD" w:rsidRPr="005B4339" w:rsidRDefault="007153FD">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DFB944" w14:textId="7AF42486" w:rsidR="007153FD" w:rsidRPr="005B4339" w:rsidRDefault="007153FD">
            <w:pPr>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p>
        </w:tc>
      </w:tr>
      <w:tr w:rsidR="007153FD" w:rsidRPr="005B4339" w14:paraId="4A16E488" w14:textId="77777777" w:rsidTr="768B8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4F6BE1A" w14:textId="34109A12" w:rsidR="007153FD" w:rsidRPr="005B4339" w:rsidRDefault="48A5E506">
            <w:pPr>
              <w:jc w:val="left"/>
              <w:rPr>
                <w:noProof/>
                <w:lang w:val="en-IE"/>
              </w:rPr>
            </w:pPr>
            <w:r w:rsidRPr="005B4339">
              <w:rPr>
                <w:noProof/>
                <w:lang w:val="en-IE"/>
              </w:rPr>
              <w:t>Citizens</w:t>
            </w:r>
            <w:r w:rsidR="2BC35B04" w:rsidRPr="005B4339">
              <w:rPr>
                <w:noProof/>
                <w:lang w:val="en-IE"/>
              </w:rPr>
              <w:t xml:space="preserve"> (in particular</w:t>
            </w:r>
            <w:r w:rsidR="723C763C" w:rsidRPr="005B4339">
              <w:rPr>
                <w:noProof/>
                <w:lang w:val="en-IE"/>
              </w:rPr>
              <w:t>,</w:t>
            </w:r>
            <w:r w:rsidR="2BC35B04" w:rsidRPr="005B4339">
              <w:rPr>
                <w:noProof/>
                <w:lang w:val="en-IE"/>
              </w:rPr>
              <w:t xml:space="preserve"> in third countries)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7CD9A" w14:textId="77777777" w:rsidR="007153FD" w:rsidRPr="005B4339" w:rsidRDefault="007153FD">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764D5" w14:textId="77777777" w:rsidR="007153FD" w:rsidRPr="005B4339" w:rsidRDefault="007153FD">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4420E" w14:textId="258980E3" w:rsidR="007153FD" w:rsidRPr="005B4339" w:rsidRDefault="5958F5C6">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color w:val="000000" w:themeColor="text1"/>
                <w:lang w:val="en-IE"/>
              </w:rPr>
              <w:t xml:space="preserve">The social impacts of textile wastes exported </w:t>
            </w:r>
            <w:r w:rsidR="0E4DEEE0" w:rsidRPr="005B4339">
              <w:rPr>
                <w:noProof/>
                <w:color w:val="000000" w:themeColor="text1"/>
                <w:lang w:val="en-IE"/>
              </w:rPr>
              <w:t xml:space="preserve">and handled by </w:t>
            </w:r>
            <w:r w:rsidR="00D96247" w:rsidRPr="005B4339">
              <w:rPr>
                <w:noProof/>
                <w:color w:val="000000" w:themeColor="text1"/>
                <w:lang w:val="en-IE"/>
              </w:rPr>
              <w:t>reuse</w:t>
            </w:r>
            <w:r w:rsidR="0E4DEEE0" w:rsidRPr="005B4339">
              <w:rPr>
                <w:noProof/>
                <w:color w:val="000000" w:themeColor="text1"/>
                <w:lang w:val="en-IE"/>
              </w:rPr>
              <w:t xml:space="preserve"> (non-waste) operators or citizens </w:t>
            </w:r>
            <w:r w:rsidR="774C2ED1" w:rsidRPr="005B4339">
              <w:rPr>
                <w:noProof/>
                <w:color w:val="000000" w:themeColor="text1"/>
                <w:lang w:val="en-IE"/>
              </w:rPr>
              <w:t xml:space="preserve">in the vicinity of the illegal waste disposal operations </w:t>
            </w:r>
            <w:r w:rsidR="0E4DEEE0" w:rsidRPr="005B4339">
              <w:rPr>
                <w:noProof/>
                <w:color w:val="000000" w:themeColor="text1"/>
                <w:lang w:val="en-IE"/>
              </w:rPr>
              <w:t>in</w:t>
            </w:r>
            <w:r w:rsidRPr="005B4339">
              <w:rPr>
                <w:noProof/>
                <w:color w:val="000000" w:themeColor="text1"/>
                <w:lang w:val="en-IE"/>
              </w:rPr>
              <w:t xml:space="preserve"> third countries would be </w:t>
            </w:r>
            <w:r w:rsidR="130BB847" w:rsidRPr="005B4339">
              <w:rPr>
                <w:noProof/>
                <w:color w:val="000000" w:themeColor="text1"/>
                <w:lang w:val="en-IE"/>
              </w:rPr>
              <w:t>minimised by the reduction of illegal shipments of waste</w:t>
            </w:r>
            <w:r w:rsidRPr="005B4339">
              <w:rPr>
                <w:noProof/>
                <w:color w:val="000000" w:themeColor="text1"/>
                <w:lang w:val="en-IE"/>
              </w:rPr>
              <w:t>.</w:t>
            </w:r>
          </w:p>
        </w:tc>
      </w:tr>
      <w:tr w:rsidR="007153FD" w:rsidRPr="005B4339" w14:paraId="42327CC9" w14:textId="77777777" w:rsidTr="768B8127">
        <w:trPr>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A2040" w14:textId="0082B226" w:rsidR="007153FD" w:rsidRPr="005B4339" w:rsidRDefault="48A5E506">
            <w:pPr>
              <w:jc w:val="left"/>
              <w:rPr>
                <w:noProof/>
                <w:lang w:val="en-IE"/>
              </w:rPr>
            </w:pPr>
            <w:r w:rsidRPr="005B4339">
              <w:rPr>
                <w:noProof/>
                <w:lang w:val="en-IE"/>
              </w:rPr>
              <w:t>All stakeholders</w:t>
            </w:r>
            <w:r w:rsidR="040966E5" w:rsidRPr="005B4339">
              <w:rPr>
                <w:noProof/>
                <w:lang w:val="en-IE"/>
              </w:rPr>
              <w:t xml:space="preserve"> (in particular</w:t>
            </w:r>
            <w:r w:rsidR="4E044F24" w:rsidRPr="005B4339">
              <w:rPr>
                <w:noProof/>
                <w:lang w:val="en-IE"/>
              </w:rPr>
              <w:t>,</w:t>
            </w:r>
            <w:r w:rsidR="040966E5" w:rsidRPr="005B4339">
              <w:rPr>
                <w:noProof/>
                <w:lang w:val="en-IE"/>
              </w:rPr>
              <w:t xml:space="preserve"> in third countries)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43834" w14:textId="77777777" w:rsidR="007153FD" w:rsidRPr="005B4339" w:rsidRDefault="007153FD">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B9C703" w14:textId="69A6BD5C" w:rsidR="00460218" w:rsidRPr="005B4339" w:rsidRDefault="00460218" w:rsidP="392D02F3">
            <w:pPr>
              <w:spacing w:after="0" w:line="240" w:lineRule="atLeast"/>
              <w:cnfStyle w:val="000000000000" w:firstRow="0" w:lastRow="0" w:firstColumn="0" w:lastColumn="0" w:oddVBand="0" w:evenVBand="0" w:oddHBand="0" w:evenHBand="0" w:firstRowFirstColumn="0" w:firstRowLastColumn="0" w:lastRowFirstColumn="0" w:lastRowLastColumn="0"/>
              <w:rPr>
                <w:noProof/>
                <w:color w:val="000000"/>
                <w:lang w:val="en-IE"/>
              </w:rPr>
            </w:pPr>
            <w:r w:rsidRPr="005B4339">
              <w:rPr>
                <w:noProof/>
                <w:color w:val="000000" w:themeColor="text1"/>
                <w:lang w:val="en-IE"/>
              </w:rPr>
              <w:t xml:space="preserve">This measure would improve </w:t>
            </w:r>
            <w:r w:rsidR="009E162E" w:rsidRPr="005B4339">
              <w:rPr>
                <w:noProof/>
                <w:color w:val="000000" w:themeColor="text1"/>
                <w:lang w:val="en-IE"/>
              </w:rPr>
              <w:t>environmental</w:t>
            </w:r>
            <w:r w:rsidRPr="005B4339">
              <w:rPr>
                <w:noProof/>
                <w:color w:val="000000" w:themeColor="text1"/>
                <w:lang w:val="en-IE"/>
              </w:rPr>
              <w:t xml:space="preserve"> quality as it would help avoid </w:t>
            </w:r>
            <w:r w:rsidR="5AD5A944" w:rsidRPr="005B4339">
              <w:rPr>
                <w:noProof/>
                <w:color w:val="000000" w:themeColor="text1"/>
                <w:lang w:val="en-IE"/>
              </w:rPr>
              <w:t xml:space="preserve">illegal </w:t>
            </w:r>
            <w:r w:rsidR="5AD5A944" w:rsidRPr="005B4339">
              <w:rPr>
                <w:noProof/>
                <w:color w:val="000000" w:themeColor="text1"/>
                <w:lang w:val="en-IE"/>
              </w:rPr>
              <w:lastRenderedPageBreak/>
              <w:t>shipments</w:t>
            </w:r>
            <w:r w:rsidRPr="005B4339">
              <w:rPr>
                <w:noProof/>
                <w:color w:val="000000" w:themeColor="text1"/>
                <w:lang w:val="en-IE"/>
              </w:rPr>
              <w:t xml:space="preserve"> of </w:t>
            </w:r>
            <w:r w:rsidR="5AD5A944" w:rsidRPr="005B4339">
              <w:rPr>
                <w:noProof/>
                <w:color w:val="000000" w:themeColor="text1"/>
                <w:lang w:val="en-IE"/>
              </w:rPr>
              <w:t xml:space="preserve">waste disguised as used </w:t>
            </w:r>
            <w:r w:rsidRPr="005B4339">
              <w:rPr>
                <w:noProof/>
                <w:color w:val="000000" w:themeColor="text1"/>
                <w:lang w:val="en-IE"/>
              </w:rPr>
              <w:t>products</w:t>
            </w:r>
            <w:r w:rsidR="5AD5A944" w:rsidRPr="005B4339">
              <w:rPr>
                <w:noProof/>
                <w:color w:val="000000" w:themeColor="text1"/>
                <w:lang w:val="en-IE"/>
              </w:rPr>
              <w:t xml:space="preserve"> due to export of unsorted or inappropriately sorted textiles</w:t>
            </w:r>
            <w:r w:rsidRPr="005B4339">
              <w:rPr>
                <w:noProof/>
                <w:color w:val="000000" w:themeColor="text1"/>
                <w:lang w:val="en-IE"/>
              </w:rPr>
              <w:t>.</w:t>
            </w:r>
          </w:p>
          <w:p w14:paraId="7BDDBC1D" w14:textId="77777777" w:rsidR="00460218" w:rsidRPr="005B4339" w:rsidRDefault="00460218" w:rsidP="392D02F3">
            <w:pPr>
              <w:spacing w:after="0" w:line="240" w:lineRule="atLeast"/>
              <w:jc w:val="left"/>
              <w:cnfStyle w:val="000000000000" w:firstRow="0" w:lastRow="0" w:firstColumn="0" w:lastColumn="0" w:oddVBand="0" w:evenVBand="0" w:oddHBand="0" w:evenHBand="0" w:firstRowFirstColumn="0" w:firstRowLastColumn="0" w:lastRowFirstColumn="0" w:lastRowLastColumn="0"/>
              <w:rPr>
                <w:noProof/>
                <w:color w:val="000000"/>
                <w:lang w:val="en-IE"/>
              </w:rPr>
            </w:pPr>
          </w:p>
          <w:p w14:paraId="23ACED99" w14:textId="6B8BB363" w:rsidR="007153FD" w:rsidRPr="005B4339" w:rsidRDefault="00460218">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color w:val="000000" w:themeColor="text1"/>
                <w:lang w:val="en-IE"/>
              </w:rPr>
              <w:t>This measure would bolster the reuse of textiles in non-EU countries that are textile export destinations. This would have environmental but also social and economic benefits for the residents of these countries.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3BDBB" w14:textId="77777777" w:rsidR="007153FD" w:rsidRPr="005B4339" w:rsidRDefault="007153FD">
            <w:pPr>
              <w:cnfStyle w:val="000000000000" w:firstRow="0" w:lastRow="0" w:firstColumn="0" w:lastColumn="0" w:oddVBand="0" w:evenVBand="0" w:oddHBand="0" w:evenHBand="0" w:firstRowFirstColumn="0" w:firstRowLastColumn="0" w:lastRowFirstColumn="0" w:lastRowLastColumn="0"/>
              <w:rPr>
                <w:b/>
                <w:noProof/>
                <w:lang w:val="en-IE"/>
              </w:rPr>
            </w:pPr>
          </w:p>
        </w:tc>
      </w:tr>
    </w:tbl>
    <w:p w14:paraId="24A09E4D" w14:textId="77777777" w:rsidR="008C6549" w:rsidRPr="005B4339" w:rsidRDefault="008C6549" w:rsidP="008C6549">
      <w:pPr>
        <w:rPr>
          <w:b/>
          <w:noProof/>
          <w:lang w:val="en-IE"/>
        </w:rPr>
      </w:pPr>
      <w:bookmarkStart w:id="136" w:name="_Toc120782620"/>
      <w:bookmarkStart w:id="137" w:name="_Toc124777323"/>
      <w:r w:rsidRPr="005B4339">
        <w:rPr>
          <w:b/>
          <w:noProof/>
          <w:lang w:val="en-IE"/>
        </w:rPr>
        <w:t xml:space="preserve">Impacts on competitiveness </w:t>
      </w:r>
    </w:p>
    <w:p w14:paraId="40E5B3DC" w14:textId="77777777" w:rsidR="008C6549" w:rsidRPr="005B4339" w:rsidRDefault="008C6549" w:rsidP="008C6549">
      <w:pPr>
        <w:rPr>
          <w:noProof/>
          <w:lang w:val="en-IE"/>
        </w:rPr>
      </w:pPr>
      <w:r w:rsidRPr="005B4339">
        <w:rPr>
          <w:noProof/>
          <w:lang w:val="en-IE"/>
        </w:rPr>
        <w:t>The following impacts on competitiveness have been assessed under this measure.</w:t>
      </w:r>
    </w:p>
    <w:p w14:paraId="0278302A" w14:textId="269A0E35" w:rsidR="008C6549" w:rsidRPr="005B4339" w:rsidRDefault="008C6549" w:rsidP="008C6549">
      <w:pPr>
        <w:rPr>
          <w:i/>
          <w:noProof/>
          <w:lang w:val="en-IE"/>
        </w:rPr>
      </w:pPr>
      <w:bookmarkStart w:id="138" w:name="_Toc133229479"/>
      <w:bookmarkStart w:id="139" w:name="_Toc139032033"/>
      <w:r w:rsidRPr="005B4339">
        <w:rPr>
          <w:i/>
          <w:noProof/>
          <w:lang w:val="en-IE"/>
        </w:rPr>
        <w:t xml:space="preserve">Table </w:t>
      </w:r>
      <w:r w:rsidR="00393DFA">
        <w:rPr>
          <w:i/>
          <w:iCs/>
          <w:noProof/>
        </w:rPr>
        <w:t>17</w:t>
      </w:r>
      <w:r w:rsidRPr="005B4339">
        <w:rPr>
          <w:i/>
          <w:noProof/>
          <w:lang w:val="en-IE"/>
        </w:rPr>
        <w:t xml:space="preserve"> - impacts on competitiveness of measure 2.</w:t>
      </w:r>
      <w:r w:rsidR="114FB340" w:rsidRPr="005B4339">
        <w:rPr>
          <w:i/>
          <w:noProof/>
          <w:lang w:val="en-IE"/>
        </w:rPr>
        <w:t>8</w:t>
      </w:r>
      <w:bookmarkEnd w:id="138"/>
      <w:bookmarkEnd w:id="139"/>
    </w:p>
    <w:tbl>
      <w:tblPr>
        <w:tblStyle w:val="TableGrid"/>
        <w:tblW w:w="0" w:type="auto"/>
        <w:tblLook w:val="04A0" w:firstRow="1" w:lastRow="0" w:firstColumn="1" w:lastColumn="0" w:noHBand="0" w:noVBand="1"/>
      </w:tblPr>
      <w:tblGrid>
        <w:gridCol w:w="2400"/>
        <w:gridCol w:w="7176"/>
      </w:tblGrid>
      <w:tr w:rsidR="008C6549" w:rsidRPr="005B4339" w14:paraId="706CE140" w14:textId="77777777">
        <w:tc>
          <w:tcPr>
            <w:tcW w:w="2405" w:type="dxa"/>
          </w:tcPr>
          <w:p w14:paraId="4731C820"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5BD75F38"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The largest price impacts are likely to be felt by those Member States that most heavily rely on exports of discarded textiles to third countries.  This would particularly impact on BE (16% of all EU exports), DE (17% of all EU exports), ES (8% of all EU exports), FR (8% of all EU exports), IT (12% of all EU exports), NL (8% of all EU exports) and PL (14% of all EU exports).  However, as the costs impacts are administrative and reflect a small cost in total the impacts are likely to be low overall.</w:t>
            </w:r>
          </w:p>
        </w:tc>
      </w:tr>
      <w:tr w:rsidR="008C6549" w:rsidRPr="005B4339" w14:paraId="7092900A" w14:textId="77777777">
        <w:tc>
          <w:tcPr>
            <w:tcW w:w="2405" w:type="dxa"/>
          </w:tcPr>
          <w:p w14:paraId="1C0A4266"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50A1F721" w14:textId="77777777" w:rsidR="008C6549" w:rsidRPr="005B4339" w:rsidRDefault="008C6549">
            <w:pPr>
              <w:pStyle w:val="WDBody"/>
              <w:rPr>
                <w:rFonts w:ascii="Times New Roman" w:hAnsi="Times New Roman"/>
                <w:noProof/>
                <w:sz w:val="24"/>
                <w:szCs w:val="24"/>
                <w:lang w:val="en-IE"/>
              </w:rPr>
            </w:pPr>
            <w:r w:rsidRPr="005B4339">
              <w:rPr>
                <w:rFonts w:ascii="Times New Roman" w:hAnsi="Times New Roman"/>
                <w:noProof/>
                <w:sz w:val="24"/>
                <w:szCs w:val="24"/>
                <w:lang w:val="en-IE"/>
              </w:rPr>
              <w:t xml:space="preserve">No significant dynamic competitiveness impacts have been identified under this measure.  </w:t>
            </w:r>
          </w:p>
        </w:tc>
      </w:tr>
      <w:tr w:rsidR="008C6549" w:rsidRPr="005B4339" w14:paraId="28C8E68E" w14:textId="77777777">
        <w:tc>
          <w:tcPr>
            <w:tcW w:w="2405" w:type="dxa"/>
          </w:tcPr>
          <w:p w14:paraId="41ACD4C8"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7223" w:type="dxa"/>
          </w:tcPr>
          <w:p w14:paraId="1E6BCDF5"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significant export competitiveness impacts have been identified under this measure.</w:t>
            </w:r>
          </w:p>
        </w:tc>
      </w:tr>
      <w:tr w:rsidR="008C6549" w:rsidRPr="005B4339" w14:paraId="5D6B9D50" w14:textId="77777777">
        <w:tc>
          <w:tcPr>
            <w:tcW w:w="2405" w:type="dxa"/>
          </w:tcPr>
          <w:p w14:paraId="3E41920E"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Strategic </w:t>
            </w:r>
            <w:r w:rsidRPr="005B4339">
              <w:rPr>
                <w:rFonts w:ascii="Times New Roman" w:hAnsi="Times New Roman"/>
                <w:noProof/>
                <w:sz w:val="24"/>
                <w:szCs w:val="24"/>
                <w:lang w:val="en-IE"/>
              </w:rPr>
              <w:lastRenderedPageBreak/>
              <w:t>competitiveness impacts</w:t>
            </w:r>
          </w:p>
        </w:tc>
        <w:tc>
          <w:tcPr>
            <w:tcW w:w="7223" w:type="dxa"/>
          </w:tcPr>
          <w:p w14:paraId="748CECF6" w14:textId="77777777" w:rsidR="008C6549" w:rsidRPr="005B4339" w:rsidRDefault="008C6549">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No significant strategic competitiveness impacts have been identified </w:t>
            </w:r>
            <w:r w:rsidRPr="005B4339">
              <w:rPr>
                <w:rFonts w:ascii="Times New Roman" w:hAnsi="Times New Roman"/>
                <w:noProof/>
                <w:sz w:val="24"/>
                <w:szCs w:val="24"/>
                <w:lang w:val="en-IE"/>
              </w:rPr>
              <w:lastRenderedPageBreak/>
              <w:t xml:space="preserve">under this measure.  </w:t>
            </w:r>
          </w:p>
        </w:tc>
      </w:tr>
    </w:tbl>
    <w:p w14:paraId="559D7636" w14:textId="77777777" w:rsidR="008C6549" w:rsidRPr="005B4339" w:rsidRDefault="008C6549" w:rsidP="008C6549">
      <w:pPr>
        <w:rPr>
          <w:noProof/>
          <w:lang w:val="en-IE"/>
        </w:rPr>
      </w:pPr>
    </w:p>
    <w:p w14:paraId="1466BFE3" w14:textId="03241AC9" w:rsidR="002F6239" w:rsidRPr="005B4339" w:rsidRDefault="002F6239" w:rsidP="0005347F">
      <w:pPr>
        <w:pStyle w:val="Heading3"/>
        <w:spacing w:before="240" w:after="120"/>
        <w:rPr>
          <w:noProof/>
          <w:lang w:val="en-IE"/>
        </w:rPr>
      </w:pPr>
      <w:bookmarkStart w:id="140" w:name="_Toc228131611"/>
      <w:bookmarkStart w:id="141" w:name="_Toc185960482"/>
      <w:bookmarkStart w:id="142" w:name="_Toc1222708506"/>
      <w:bookmarkStart w:id="143" w:name="_Toc1920560591"/>
      <w:bookmarkStart w:id="144" w:name="_Toc500254306"/>
      <w:bookmarkStart w:id="145" w:name="_Toc967628601"/>
      <w:bookmarkStart w:id="146" w:name="_Toc825139316"/>
      <w:bookmarkStart w:id="147" w:name="_Toc139032096"/>
      <w:r w:rsidRPr="005B4339">
        <w:rPr>
          <w:noProof/>
          <w:lang w:val="en-IE"/>
        </w:rPr>
        <w:t>Measure 2.</w:t>
      </w:r>
      <w:r w:rsidR="4CB621A2" w:rsidRPr="005B4339">
        <w:rPr>
          <w:noProof/>
          <w:lang w:val="en-IE"/>
        </w:rPr>
        <w:t>9</w:t>
      </w:r>
      <w:r w:rsidRPr="005B4339">
        <w:rPr>
          <w:noProof/>
          <w:lang w:val="en-IE"/>
        </w:rPr>
        <w:t xml:space="preserve"> – Mandating the use of EPR</w:t>
      </w:r>
      <w:bookmarkEnd w:id="136"/>
      <w:bookmarkEnd w:id="137"/>
      <w:bookmarkEnd w:id="140"/>
      <w:bookmarkEnd w:id="141"/>
      <w:bookmarkEnd w:id="142"/>
      <w:bookmarkEnd w:id="143"/>
      <w:bookmarkEnd w:id="144"/>
      <w:bookmarkEnd w:id="145"/>
      <w:bookmarkEnd w:id="146"/>
      <w:bookmarkEnd w:id="147"/>
    </w:p>
    <w:p w14:paraId="2844F4E3" w14:textId="741F6511" w:rsidR="00B921A6" w:rsidRPr="005B4339" w:rsidRDefault="00EE3D9D" w:rsidP="0005347F">
      <w:pPr>
        <w:spacing w:after="120"/>
        <w:rPr>
          <w:b/>
          <w:noProof/>
          <w:lang w:val="en-IE"/>
        </w:rPr>
      </w:pPr>
      <w:r w:rsidRPr="005B4339">
        <w:rPr>
          <w:b/>
          <w:noProof/>
          <w:lang w:val="en-IE"/>
        </w:rPr>
        <w:t>Assessment of impact Measure 2.</w:t>
      </w:r>
      <w:r w:rsidR="390128FE" w:rsidRPr="005B4339">
        <w:rPr>
          <w:b/>
          <w:noProof/>
          <w:lang w:val="en-IE"/>
        </w:rPr>
        <w:t>9</w:t>
      </w:r>
    </w:p>
    <w:p w14:paraId="5C1595D5" w14:textId="6948D584" w:rsidR="0089503F" w:rsidRPr="005B4339" w:rsidRDefault="0089503F" w:rsidP="00EE3D9D">
      <w:pPr>
        <w:rPr>
          <w:noProof/>
          <w:lang w:val="en-IE"/>
        </w:rPr>
      </w:pPr>
      <w:r w:rsidRPr="005B4339">
        <w:rPr>
          <w:noProof/>
          <w:lang w:val="en-IE"/>
        </w:rPr>
        <w:t>Due to a lack of data on pre-consumer textiles</w:t>
      </w:r>
      <w:r w:rsidR="0005347F" w:rsidRPr="005B4339">
        <w:rPr>
          <w:noProof/>
          <w:lang w:val="en-IE"/>
        </w:rPr>
        <w:t>,</w:t>
      </w:r>
      <w:r w:rsidRPr="005B4339">
        <w:rPr>
          <w:noProof/>
          <w:lang w:val="en-IE"/>
        </w:rPr>
        <w:t xml:space="preserve"> post-commercial textiles and post-industrials textiles the assessment of impacts below focusses on the post-consumer fractions of textile waste. </w:t>
      </w:r>
    </w:p>
    <w:p w14:paraId="3C1E0693" w14:textId="4BA876CA" w:rsidR="00EE3D9D" w:rsidRPr="005B4339" w:rsidRDefault="00EE3D9D" w:rsidP="0005347F">
      <w:pPr>
        <w:spacing w:after="120"/>
        <w:rPr>
          <w:b/>
          <w:noProof/>
          <w:lang w:val="en-IE"/>
        </w:rPr>
      </w:pPr>
      <w:r w:rsidRPr="005B4339">
        <w:rPr>
          <w:b/>
          <w:noProof/>
          <w:lang w:val="en-IE"/>
        </w:rPr>
        <w:t>Economic impact</w:t>
      </w:r>
    </w:p>
    <w:p w14:paraId="6CB3C20B" w14:textId="77777777" w:rsidR="00D86323" w:rsidRPr="005B4339" w:rsidRDefault="00EE3D9D" w:rsidP="001325B9">
      <w:pPr>
        <w:spacing w:after="120"/>
        <w:rPr>
          <w:noProof/>
          <w:lang w:val="en-IE"/>
        </w:rPr>
      </w:pPr>
      <w:r w:rsidRPr="005B4339">
        <w:rPr>
          <w:noProof/>
          <w:lang w:val="en-IE"/>
        </w:rPr>
        <w:t xml:space="preserve">The intention behind </w:t>
      </w:r>
      <w:r w:rsidR="5A414F68" w:rsidRPr="005B4339">
        <w:rPr>
          <w:noProof/>
          <w:lang w:val="en-IE"/>
        </w:rPr>
        <w:t>an</w:t>
      </w:r>
      <w:r w:rsidRPr="005B4339">
        <w:rPr>
          <w:noProof/>
          <w:lang w:val="en-IE"/>
        </w:rPr>
        <w:t xml:space="preserve"> EPR is to ensure that the producers of textiles take into account the costs of end-of-life management of the textiles that they produce. </w:t>
      </w:r>
      <w:r w:rsidR="00B7523B" w:rsidRPr="005B4339">
        <w:rPr>
          <w:noProof/>
          <w:lang w:val="en-IE"/>
        </w:rPr>
        <w:t xml:space="preserve">According to the evidence collected the management of discarded textiles both across the EU and within EU Member States is fragmented with a mix of different actors from the public, private and social enterprise sector involved in different aspects of collection, sorting, reuse, recycling and disposal. This inevitably leads to inefficiencies in waste management and the transfer of overall responsibility from this mix of actors to EPR would look to address these inefficiencies whilst making sure that the actors already involved in such waste management as well as new actors in the future are given a role in the operation of EPR as required under Article 8a(6) of the WFD. </w:t>
      </w:r>
      <w:r w:rsidRPr="005B4339">
        <w:rPr>
          <w:noProof/>
          <w:lang w:val="en-IE"/>
        </w:rPr>
        <w:t xml:space="preserve">In this respect and reflecting on the economic impacts addressed </w:t>
      </w:r>
      <w:r w:rsidR="1A7DEA06" w:rsidRPr="005B4339">
        <w:rPr>
          <w:noProof/>
          <w:lang w:val="en-IE"/>
        </w:rPr>
        <w:t>in</w:t>
      </w:r>
      <w:r w:rsidRPr="005B4339">
        <w:rPr>
          <w:noProof/>
          <w:lang w:val="en-IE"/>
        </w:rPr>
        <w:t xml:space="preserve"> the individual elements </w:t>
      </w:r>
      <w:r w:rsidR="00B72819" w:rsidRPr="005B4339">
        <w:rPr>
          <w:noProof/>
          <w:lang w:val="en-IE"/>
        </w:rPr>
        <w:t>in Annex 10</w:t>
      </w:r>
      <w:r w:rsidR="09676BB0" w:rsidRPr="005B4339">
        <w:rPr>
          <w:noProof/>
          <w:lang w:val="en-IE"/>
        </w:rPr>
        <w:t>,</w:t>
      </w:r>
      <w:r w:rsidRPr="005B4339">
        <w:rPr>
          <w:noProof/>
          <w:lang w:val="en-IE"/>
        </w:rPr>
        <w:t xml:space="preserve"> the costs </w:t>
      </w:r>
      <w:r w:rsidR="004F2777" w:rsidRPr="005B4339">
        <w:rPr>
          <w:noProof/>
          <w:lang w:val="en-IE"/>
        </w:rPr>
        <w:t xml:space="preserve">that would be moved from the variety of actors that currently and in the future would be managing waste </w:t>
      </w:r>
      <w:r w:rsidRPr="005B4339">
        <w:rPr>
          <w:noProof/>
          <w:lang w:val="en-IE"/>
        </w:rPr>
        <w:t xml:space="preserve">to </w:t>
      </w:r>
      <w:r w:rsidR="004F2777" w:rsidRPr="005B4339">
        <w:rPr>
          <w:noProof/>
          <w:lang w:val="en-IE"/>
        </w:rPr>
        <w:t>PROs acting on behalf of</w:t>
      </w:r>
      <w:r w:rsidRPr="005B4339">
        <w:rPr>
          <w:noProof/>
          <w:lang w:val="en-IE"/>
        </w:rPr>
        <w:t xml:space="preserve"> producers </w:t>
      </w:r>
      <w:r w:rsidR="004F2777" w:rsidRPr="005B4339">
        <w:rPr>
          <w:noProof/>
          <w:lang w:val="en-IE"/>
        </w:rPr>
        <w:t>under EPR</w:t>
      </w:r>
      <w:r w:rsidRPr="005B4339">
        <w:rPr>
          <w:noProof/>
          <w:lang w:val="en-IE"/>
        </w:rPr>
        <w:t xml:space="preserve"> would equate to approximately 2.28 billion </w:t>
      </w:r>
      <w:r w:rsidR="00D140E9" w:rsidRPr="005B4339">
        <w:rPr>
          <w:noProof/>
          <w:lang w:val="en-IE"/>
        </w:rPr>
        <w:t xml:space="preserve">euro </w:t>
      </w:r>
      <w:r w:rsidRPr="005B4339">
        <w:rPr>
          <w:noProof/>
          <w:lang w:val="en-IE"/>
        </w:rPr>
        <w:t xml:space="preserve">by 2035 </w:t>
      </w:r>
      <w:r w:rsidR="006637B2" w:rsidRPr="005B4339">
        <w:rPr>
          <w:noProof/>
          <w:lang w:val="en-IE"/>
        </w:rPr>
        <w:t xml:space="preserve">or </w:t>
      </w:r>
      <w:r w:rsidR="001F0ABA" w:rsidRPr="005B4339">
        <w:rPr>
          <w:noProof/>
          <w:lang w:val="en-IE"/>
        </w:rPr>
        <w:t>approximately 3.5% of the turnover of the clothing sector in 2022</w:t>
      </w:r>
      <w:r w:rsidR="001F0ABA" w:rsidRPr="005B4339">
        <w:rPr>
          <w:rStyle w:val="FootnoteReference"/>
          <w:noProof/>
          <w:lang w:val="en-IE"/>
        </w:rPr>
        <w:footnoteReference w:id="91"/>
      </w:r>
      <w:r w:rsidR="6CAC5979" w:rsidRPr="005B4339">
        <w:rPr>
          <w:noProof/>
          <w:lang w:val="en-IE"/>
        </w:rPr>
        <w:t xml:space="preserve"> </w:t>
      </w:r>
      <w:r w:rsidR="001F0ABA" w:rsidRPr="005B4339">
        <w:rPr>
          <w:noProof/>
          <w:lang w:val="en-IE"/>
        </w:rPr>
        <w:t>and 1.5% of the turnover of the textiles sector overall</w:t>
      </w:r>
      <w:r w:rsidR="4381D508" w:rsidRPr="005B4339">
        <w:rPr>
          <w:noProof/>
          <w:lang w:val="en-IE"/>
        </w:rPr>
        <w:t>. Approximately 457</w:t>
      </w:r>
      <w:r w:rsidR="00275929" w:rsidRPr="005B4339">
        <w:rPr>
          <w:noProof/>
          <w:lang w:val="en-IE"/>
        </w:rPr>
        <w:t xml:space="preserve"> </w:t>
      </w:r>
      <w:r w:rsidR="4381D508" w:rsidRPr="005B4339">
        <w:rPr>
          <w:noProof/>
          <w:lang w:val="en-IE"/>
        </w:rPr>
        <w:t xml:space="preserve">million </w:t>
      </w:r>
      <w:r w:rsidR="00275929" w:rsidRPr="005B4339">
        <w:rPr>
          <w:noProof/>
          <w:lang w:val="en-IE"/>
        </w:rPr>
        <w:t xml:space="preserve">euro </w:t>
      </w:r>
      <w:r w:rsidR="4381D508" w:rsidRPr="005B4339">
        <w:rPr>
          <w:noProof/>
          <w:lang w:val="en-IE"/>
        </w:rPr>
        <w:t xml:space="preserve">of the total relates to collection costs with the remaining 1.8 billion </w:t>
      </w:r>
      <w:r w:rsidR="00762CA2" w:rsidRPr="005B4339">
        <w:rPr>
          <w:noProof/>
          <w:lang w:val="en-IE"/>
        </w:rPr>
        <w:t xml:space="preserve">euro </w:t>
      </w:r>
      <w:r w:rsidR="4381D508" w:rsidRPr="005B4339">
        <w:rPr>
          <w:noProof/>
          <w:lang w:val="en-IE"/>
        </w:rPr>
        <w:t>related to sorting and treatment</w:t>
      </w:r>
      <w:r w:rsidR="00D86323" w:rsidRPr="005B4339">
        <w:rPr>
          <w:noProof/>
          <w:lang w:val="en-IE"/>
        </w:rPr>
        <w:t xml:space="preserve"> costs</w:t>
      </w:r>
      <w:r w:rsidR="4381D508" w:rsidRPr="005B4339">
        <w:rPr>
          <w:noProof/>
          <w:lang w:val="en-IE"/>
        </w:rPr>
        <w:t>.</w:t>
      </w:r>
      <w:r w:rsidR="001F0ABA" w:rsidRPr="005B4339">
        <w:rPr>
          <w:noProof/>
          <w:lang w:val="en-IE"/>
        </w:rPr>
        <w:t xml:space="preserve"> </w:t>
      </w:r>
      <w:r w:rsidR="00813A0E" w:rsidRPr="005B4339">
        <w:rPr>
          <w:noProof/>
          <w:lang w:val="en-IE"/>
        </w:rPr>
        <w:t xml:space="preserve">At the same time approximately 1.1 billion </w:t>
      </w:r>
      <w:r w:rsidR="00B020B8" w:rsidRPr="005B4339">
        <w:rPr>
          <w:noProof/>
          <w:lang w:val="en-IE"/>
        </w:rPr>
        <w:t xml:space="preserve">euro </w:t>
      </w:r>
      <w:r w:rsidR="00813A0E" w:rsidRPr="005B4339">
        <w:rPr>
          <w:noProof/>
          <w:lang w:val="en-IE"/>
        </w:rPr>
        <w:t xml:space="preserve">of reusable textiles would be available to the market as well as 188 million </w:t>
      </w:r>
      <w:r w:rsidR="00B020B8" w:rsidRPr="005B4339">
        <w:rPr>
          <w:noProof/>
          <w:lang w:val="en-IE"/>
        </w:rPr>
        <w:t xml:space="preserve">euro </w:t>
      </w:r>
      <w:r w:rsidR="00813A0E" w:rsidRPr="005B4339">
        <w:rPr>
          <w:noProof/>
          <w:lang w:val="en-IE"/>
        </w:rPr>
        <w:t xml:space="preserve">of textiles for feeding into closed loop recycling and 49 million of textiles for </w:t>
      </w:r>
      <w:r w:rsidR="00BC3085" w:rsidRPr="005B4339">
        <w:rPr>
          <w:noProof/>
          <w:lang w:val="en-IE"/>
        </w:rPr>
        <w:t>open</w:t>
      </w:r>
      <w:r w:rsidR="00813A0E" w:rsidRPr="005B4339">
        <w:rPr>
          <w:noProof/>
          <w:lang w:val="en-IE"/>
        </w:rPr>
        <w:t xml:space="preserve"> loop recycling</w:t>
      </w:r>
      <w:r w:rsidR="00D86323" w:rsidRPr="005B4339">
        <w:rPr>
          <w:noProof/>
          <w:lang w:val="en-IE"/>
        </w:rPr>
        <w:t xml:space="preserve"> – these impacts may be expected to take place under the baseline but the funding necessary to ensure that this is the case would be far more unsure across the EU than under an obligatory EPR scheme</w:t>
      </w:r>
      <w:r w:rsidR="00813A0E" w:rsidRPr="005B4339">
        <w:rPr>
          <w:noProof/>
          <w:lang w:val="en-IE"/>
        </w:rPr>
        <w:t xml:space="preserve">. </w:t>
      </w:r>
    </w:p>
    <w:p w14:paraId="108F87E2" w14:textId="7A1758BA" w:rsidR="001325B9" w:rsidRPr="005B4339" w:rsidRDefault="00813A0E" w:rsidP="001325B9">
      <w:pPr>
        <w:spacing w:after="120"/>
        <w:rPr>
          <w:noProof/>
          <w:lang w:val="en-IE"/>
        </w:rPr>
      </w:pPr>
      <w:r w:rsidRPr="005B4339">
        <w:rPr>
          <w:noProof/>
          <w:lang w:val="en-IE"/>
        </w:rPr>
        <w:t xml:space="preserve">It is also important to note that </w:t>
      </w:r>
      <w:r w:rsidR="0029096D" w:rsidRPr="005B4339">
        <w:rPr>
          <w:noProof/>
          <w:lang w:val="en-IE"/>
        </w:rPr>
        <w:t>much of th</w:t>
      </w:r>
      <w:r w:rsidR="00BC3085" w:rsidRPr="005B4339">
        <w:rPr>
          <w:noProof/>
          <w:lang w:val="en-IE"/>
        </w:rPr>
        <w:t>ese</w:t>
      </w:r>
      <w:r w:rsidR="0029096D" w:rsidRPr="005B4339">
        <w:rPr>
          <w:noProof/>
          <w:lang w:val="en-IE"/>
        </w:rPr>
        <w:t xml:space="preserve"> costs </w:t>
      </w:r>
      <w:r w:rsidR="00BC3085" w:rsidRPr="005B4339">
        <w:rPr>
          <w:noProof/>
          <w:lang w:val="en-IE"/>
        </w:rPr>
        <w:t>are</w:t>
      </w:r>
      <w:r w:rsidR="0029096D" w:rsidRPr="005B4339">
        <w:rPr>
          <w:noProof/>
          <w:lang w:val="en-IE"/>
        </w:rPr>
        <w:t xml:space="preserve"> not additional</w:t>
      </w:r>
      <w:r w:rsidR="0099430A" w:rsidRPr="005B4339">
        <w:rPr>
          <w:noProof/>
          <w:lang w:val="en-IE"/>
        </w:rPr>
        <w:t xml:space="preserve"> </w:t>
      </w:r>
      <w:r w:rsidR="0029096D" w:rsidRPr="005B4339">
        <w:rPr>
          <w:noProof/>
          <w:lang w:val="en-IE"/>
        </w:rPr>
        <w:t xml:space="preserve">but </w:t>
      </w:r>
      <w:r w:rsidR="00BC3085" w:rsidRPr="005B4339">
        <w:rPr>
          <w:noProof/>
          <w:lang w:val="en-IE"/>
        </w:rPr>
        <w:t>are</w:t>
      </w:r>
      <w:r w:rsidR="0029096D" w:rsidRPr="005B4339">
        <w:rPr>
          <w:noProof/>
          <w:lang w:val="en-IE"/>
        </w:rPr>
        <w:t xml:space="preserve"> instead otherwise covered through general waste management funding at the Member State level including through general taxation.</w:t>
      </w:r>
      <w:r w:rsidR="101F47D9" w:rsidRPr="005B4339">
        <w:rPr>
          <w:noProof/>
          <w:lang w:val="en-IE"/>
        </w:rPr>
        <w:t xml:space="preserve"> Therefore, this entail</w:t>
      </w:r>
      <w:r w:rsidR="00BC3085" w:rsidRPr="005B4339">
        <w:rPr>
          <w:noProof/>
          <w:lang w:val="en-IE"/>
        </w:rPr>
        <w:t>s</w:t>
      </w:r>
      <w:r w:rsidR="101F47D9" w:rsidRPr="005B4339">
        <w:rPr>
          <w:noProof/>
          <w:lang w:val="en-IE"/>
        </w:rPr>
        <w:t xml:space="preserve"> a transfer of costs from public authorities and waste management actors to the producers. </w:t>
      </w:r>
      <w:r w:rsidR="001325B9" w:rsidRPr="005B4339">
        <w:rPr>
          <w:noProof/>
          <w:lang w:val="en-IE"/>
        </w:rPr>
        <w:t xml:space="preserve">In effect 58% of the costs would be recovered through the </w:t>
      </w:r>
      <w:r w:rsidR="001325B9" w:rsidRPr="005B4339">
        <w:rPr>
          <w:noProof/>
          <w:lang w:val="en-IE"/>
        </w:rPr>
        <w:lastRenderedPageBreak/>
        <w:t>onward reuse and recycling of the textile wastes collected, sorted and subsequently resold or recycled.</w:t>
      </w:r>
    </w:p>
    <w:p w14:paraId="42D8E57E" w14:textId="35D6C643" w:rsidR="0069179B" w:rsidRPr="005B4339" w:rsidRDefault="0069179B" w:rsidP="001325B9">
      <w:pPr>
        <w:spacing w:after="120"/>
        <w:rPr>
          <w:noProof/>
          <w:lang w:val="en-IE"/>
        </w:rPr>
      </w:pPr>
      <w:r w:rsidRPr="005B4339">
        <w:rPr>
          <w:noProof/>
          <w:lang w:val="en-IE"/>
        </w:rPr>
        <w:t>The impacts on the price of textile goods would equate to an average cost increase of 0.6%. For an average T-shirt this would be a maximum of 12c per T-shirt with the actual cost likely to be lower.  For more complex textiles items containing disruptors such as zips and buttons the cost per item in cents would be higher but as a proportion of the total cost of the product is likely to remain the same</w:t>
      </w:r>
    </w:p>
    <w:p w14:paraId="316AAE37" w14:textId="77777777" w:rsidR="00DD6CA2" w:rsidRPr="005B4339" w:rsidRDefault="00EA2C3E" w:rsidP="00EA2C3E">
      <w:pPr>
        <w:spacing w:after="120"/>
        <w:rPr>
          <w:rFonts w:eastAsia="Times New Roman"/>
          <w:noProof/>
          <w:color w:val="000000" w:themeColor="text1"/>
          <w:lang w:val="en-IE"/>
        </w:rPr>
      </w:pPr>
      <w:r w:rsidRPr="005B4339">
        <w:rPr>
          <w:noProof/>
          <w:lang w:val="en-IE"/>
        </w:rPr>
        <w:t xml:space="preserve">It is important to note that the introduction of EPR has the potential to change the nature of the organisations involved in the collection, sorting and subsequent reuse, recycling and disposal of textiles.  As noted in Annexes 5 and 6 </w:t>
      </w:r>
      <w:r w:rsidRPr="005B4339">
        <w:rPr>
          <w:rFonts w:eastAsia="Times New Roman"/>
          <w:noProof/>
          <w:color w:val="000000" w:themeColor="text1"/>
          <w:lang w:val="en-IE"/>
        </w:rPr>
        <w:t>in all countries where data is available the major share of used textile collection is currently carried out by charitable and commercial collectors. In Denmark, Finland, Latvia and Sweden, the collection is dominated by charitable organisations. In Lithuania, commercial collectors are responsible for 54 % of collection.</w:t>
      </w:r>
      <w:r w:rsidRPr="005B4339">
        <w:rPr>
          <w:rStyle w:val="FootnoteReference"/>
          <w:rFonts w:eastAsia="Times New Roman"/>
          <w:noProof/>
          <w:color w:val="000000" w:themeColor="text1"/>
          <w:lang w:val="en-IE"/>
        </w:rPr>
        <w:footnoteReference w:id="92"/>
      </w:r>
      <w:r w:rsidRPr="005B4339">
        <w:rPr>
          <w:rFonts w:eastAsia="Times New Roman"/>
          <w:noProof/>
          <w:color w:val="000000" w:themeColor="text1"/>
          <w:lang w:val="en-IE"/>
        </w:rPr>
        <w:t xml:space="preserve"> In France, Germany and the Netherlands, commercial collectors also have a reportedly high share of the market, though there are no concrete figures on how big this share is.</w:t>
      </w:r>
      <w:r w:rsidRPr="005B4339">
        <w:rPr>
          <w:rStyle w:val="FootnoteReference"/>
          <w:rFonts w:eastAsia="Times New Roman"/>
          <w:noProof/>
          <w:color w:val="000000" w:themeColor="text1"/>
          <w:lang w:val="en-IE"/>
        </w:rPr>
        <w:footnoteReference w:id="93"/>
      </w:r>
      <w:r w:rsidRPr="005B4339">
        <w:rPr>
          <w:rFonts w:eastAsia="Times New Roman"/>
          <w:noProof/>
          <w:color w:val="000000" w:themeColor="text1"/>
          <w:lang w:val="en-IE"/>
        </w:rPr>
        <w:t xml:space="preserve"> Municipal waste companies play an increasing role in used textile collection in many countries. In Estonia, due to legal obligations, municipalities carry out 37 % of all collection, and in Lithuania they have a 30 % share.</w:t>
      </w:r>
      <w:r w:rsidRPr="005B4339">
        <w:rPr>
          <w:rStyle w:val="FootnoteReference"/>
          <w:rFonts w:eastAsia="Times New Roman"/>
          <w:noProof/>
          <w:color w:val="000000" w:themeColor="text1"/>
          <w:lang w:val="en-IE"/>
        </w:rPr>
        <w:footnoteReference w:id="94"/>
      </w:r>
      <w:r w:rsidRPr="005B4339">
        <w:rPr>
          <w:rFonts w:eastAsia="Times New Roman"/>
          <w:noProof/>
          <w:color w:val="000000" w:themeColor="text1"/>
          <w:lang w:val="en-IE"/>
        </w:rPr>
        <w:t xml:space="preserve"> Collection by municipal waste companies in Denmark, Netherlands and Sweden are thought to be lower. In Denmark for example municipalities had a share of 5 % in all collection in 2017, but this is increasing over time.</w:t>
      </w:r>
      <w:r w:rsidRPr="005B4339">
        <w:rPr>
          <w:rStyle w:val="FootnoteReference"/>
          <w:rFonts w:eastAsia="Times New Roman"/>
          <w:noProof/>
          <w:color w:val="000000" w:themeColor="text1"/>
          <w:lang w:val="en-IE"/>
        </w:rPr>
        <w:footnoteReference w:id="95"/>
      </w:r>
      <w:r w:rsidRPr="005B4339">
        <w:rPr>
          <w:rFonts w:eastAsia="Times New Roman"/>
          <w:noProof/>
          <w:color w:val="000000" w:themeColor="text1"/>
          <w:lang w:val="en-IE"/>
        </w:rPr>
        <w:t xml:space="preserve"> Implementation of EPR has the potential to change this approach as Member States may increasingly look to municipalities and commercial operators to ensure the collection of textiles wastes and their subsequent sorting and treatment. </w:t>
      </w:r>
    </w:p>
    <w:p w14:paraId="0FF72DFF" w14:textId="604621C0" w:rsidR="00EA2C3E" w:rsidRPr="005B4339" w:rsidRDefault="00EA2C3E" w:rsidP="00EA2C3E">
      <w:pPr>
        <w:spacing w:after="120"/>
        <w:rPr>
          <w:noProof/>
          <w:lang w:val="en-IE"/>
        </w:rPr>
      </w:pPr>
      <w:r w:rsidRPr="005B4339">
        <w:rPr>
          <w:rFonts w:eastAsia="Times New Roman"/>
          <w:noProof/>
          <w:color w:val="000000" w:themeColor="text1"/>
          <w:lang w:val="en-IE"/>
        </w:rPr>
        <w:t xml:space="preserve">The measure foresees the need for Member States to ensure that social enterprises are involved in the operation of EPR schemes as well as in an active dialogue in implementation in accordance with Article 8 of the WFD in order to mitigate the potential negative impacts of EPR on their operations.  However, it is expected that the costs of collection and sorting would increasingly fall upon commercial operators and municipalities, particularly given the likely fall in the quality of textiles for reuse that would result from increased collection in the future. The funding generated by EPR is likely, therefore, to focus on the additional collection and sorting that will take place in the future with municipalities and commercial waste collectors and sorters receiving the majority of funds generated through EPR to address these costs. This will be particularly important for the recycling sector that requires funding to support research and </w:t>
      </w:r>
      <w:r w:rsidRPr="005B4339">
        <w:rPr>
          <w:rFonts w:eastAsia="Times New Roman"/>
          <w:noProof/>
          <w:color w:val="000000" w:themeColor="text1"/>
          <w:lang w:val="en-IE"/>
        </w:rPr>
        <w:lastRenderedPageBreak/>
        <w:t>development and is not the primary focus of textile collections operated by social enterprises that focus on reuse. This is ably demonstrated by the estimated costs of the likes of the Re</w:t>
      </w:r>
      <w:r w:rsidR="00F17B5D" w:rsidRPr="005B4339">
        <w:rPr>
          <w:rFonts w:eastAsia="Times New Roman"/>
          <w:noProof/>
          <w:color w:val="000000" w:themeColor="text1"/>
          <w:lang w:val="en-IE"/>
        </w:rPr>
        <w:t>H</w:t>
      </w:r>
      <w:r w:rsidRPr="005B4339">
        <w:rPr>
          <w:rFonts w:eastAsia="Times New Roman"/>
          <w:noProof/>
          <w:color w:val="000000" w:themeColor="text1"/>
          <w:lang w:val="en-IE"/>
        </w:rPr>
        <w:t xml:space="preserve">ubs initiative that has identified costs of implementation of 6-7 billion </w:t>
      </w:r>
      <w:r w:rsidR="008F6B7E" w:rsidRPr="005B4339">
        <w:rPr>
          <w:rFonts w:eastAsia="Times New Roman"/>
          <w:noProof/>
          <w:color w:val="000000" w:themeColor="text1"/>
          <w:lang w:val="en-IE"/>
        </w:rPr>
        <w:t xml:space="preserve">euro </w:t>
      </w:r>
      <w:r w:rsidRPr="005B4339">
        <w:rPr>
          <w:rFonts w:eastAsia="Times New Roman"/>
          <w:noProof/>
          <w:color w:val="000000" w:themeColor="text1"/>
          <w:lang w:val="en-IE"/>
        </w:rPr>
        <w:t>up to 2030 but for which funding is sought</w:t>
      </w:r>
      <w:r w:rsidRPr="005B4339">
        <w:rPr>
          <w:rStyle w:val="FootnoteReference"/>
          <w:rFonts w:eastAsia="Times New Roman"/>
          <w:noProof/>
          <w:color w:val="000000" w:themeColor="text1"/>
          <w:lang w:val="en-IE"/>
        </w:rPr>
        <w:footnoteReference w:id="96"/>
      </w:r>
      <w:r w:rsidRPr="005B4339">
        <w:rPr>
          <w:rFonts w:eastAsia="Times New Roman"/>
          <w:noProof/>
          <w:color w:val="000000" w:themeColor="text1"/>
          <w:lang w:val="en-IE"/>
        </w:rPr>
        <w:t>.</w:t>
      </w:r>
      <w:r w:rsidR="0073039B" w:rsidRPr="005B4339">
        <w:rPr>
          <w:rFonts w:eastAsia="Times New Roman"/>
          <w:noProof/>
          <w:color w:val="000000" w:themeColor="text1"/>
          <w:lang w:val="en-IE"/>
        </w:rPr>
        <w:t xml:space="preserve"> Additionally, the geographical scope of Rehubs envisages five Member States acting as recycling centres - Belgium, Finland, Germany, Italy and Spain.  These Member States would also serve other EU Member States.  However, this leaves a gap geographically in central Europe, particularly for the likes of Romania, Bulgaria, Greece, Hungary and Slovakia that are some distance from the nearest Rehub, each requiring textile wastes to transit over at least one other country to reach the necessary recycling centre.  The need to ensure sufficient and cost-effective recycling is provided for these Member States would also likely require PRO funding.</w:t>
      </w:r>
    </w:p>
    <w:p w14:paraId="1E388917" w14:textId="77777777" w:rsidR="00445869" w:rsidRPr="005B4339" w:rsidRDefault="00B63C39" w:rsidP="00B63C39">
      <w:pPr>
        <w:spacing w:after="120"/>
        <w:rPr>
          <w:noProof/>
          <w:lang w:val="en-IE"/>
        </w:rPr>
      </w:pPr>
      <w:r w:rsidRPr="005B4339">
        <w:rPr>
          <w:noProof/>
          <w:lang w:val="en-IE"/>
        </w:rPr>
        <w:t xml:space="preserve">The development of a producer register would require a new </w:t>
      </w:r>
      <w:r w:rsidR="54DC7FE6" w:rsidRPr="005B4339">
        <w:rPr>
          <w:noProof/>
          <w:lang w:val="en-IE"/>
        </w:rPr>
        <w:t>register</w:t>
      </w:r>
      <w:r w:rsidR="007F4E1B" w:rsidRPr="005B4339">
        <w:rPr>
          <w:noProof/>
          <w:lang w:val="en-IE"/>
        </w:rPr>
        <w:t xml:space="preserve"> to be developed.</w:t>
      </w:r>
      <w:r w:rsidRPr="005B4339">
        <w:rPr>
          <w:noProof/>
          <w:lang w:val="en-IE"/>
        </w:rPr>
        <w:t xml:space="preserve"> Setting up a register will generate </w:t>
      </w:r>
      <w:r w:rsidR="0069179B" w:rsidRPr="005B4339">
        <w:rPr>
          <w:noProof/>
          <w:lang w:val="en-IE"/>
        </w:rPr>
        <w:t>additional</w:t>
      </w:r>
      <w:r w:rsidRPr="005B4339">
        <w:rPr>
          <w:noProof/>
          <w:lang w:val="en-IE"/>
        </w:rPr>
        <w:t xml:space="preserve"> costs both in terms of establishment and in terms of maintenance of the system. In ascertaining the costs of such a system an examination of the costs identified in the application of registration under the WEEE Directive has been performed. In </w:t>
      </w:r>
      <w:r w:rsidR="0033580A" w:rsidRPr="005B4339">
        <w:rPr>
          <w:noProof/>
          <w:lang w:val="en-IE"/>
        </w:rPr>
        <w:t>the</w:t>
      </w:r>
      <w:r w:rsidRPr="005B4339">
        <w:rPr>
          <w:noProof/>
          <w:lang w:val="en-IE"/>
        </w:rPr>
        <w:t xml:space="preserve"> impact assessment accompanying </w:t>
      </w:r>
      <w:r w:rsidR="0033580A" w:rsidRPr="005B4339">
        <w:rPr>
          <w:noProof/>
          <w:lang w:val="en-IE"/>
        </w:rPr>
        <w:t>the</w:t>
      </w:r>
      <w:r w:rsidRPr="005B4339">
        <w:rPr>
          <w:noProof/>
          <w:lang w:val="en-IE"/>
        </w:rPr>
        <w:t xml:space="preserve"> proposal to recast the WEEE Directive in 2008</w:t>
      </w:r>
      <w:r w:rsidR="0033580A" w:rsidRPr="005B4339">
        <w:rPr>
          <w:noProof/>
          <w:lang w:val="en-IE"/>
        </w:rPr>
        <w:t>,</w:t>
      </w:r>
      <w:r w:rsidRPr="005B4339">
        <w:rPr>
          <w:noProof/>
          <w:lang w:val="en-IE"/>
        </w:rPr>
        <w:t xml:space="preserve"> the costs of drawing up registers of producers across the EU was determined as 14M </w:t>
      </w:r>
      <w:r w:rsidR="0033580A" w:rsidRPr="005B4339">
        <w:rPr>
          <w:noProof/>
          <w:lang w:val="en-IE"/>
        </w:rPr>
        <w:t xml:space="preserve">euro </w:t>
      </w:r>
      <w:r w:rsidRPr="005B4339">
        <w:rPr>
          <w:noProof/>
          <w:lang w:val="en-IE"/>
        </w:rPr>
        <w:t>in total. Adjusted for inflation the present</w:t>
      </w:r>
      <w:r w:rsidR="01622C88" w:rsidRPr="005B4339">
        <w:rPr>
          <w:noProof/>
          <w:lang w:val="en-IE"/>
        </w:rPr>
        <w:t>-</w:t>
      </w:r>
      <w:r w:rsidRPr="005B4339">
        <w:rPr>
          <w:noProof/>
          <w:lang w:val="en-IE"/>
        </w:rPr>
        <w:t xml:space="preserve">day cost would be 18.7M </w:t>
      </w:r>
      <w:r w:rsidR="0033580A" w:rsidRPr="005B4339">
        <w:rPr>
          <w:noProof/>
          <w:lang w:val="en-IE"/>
        </w:rPr>
        <w:t xml:space="preserve">euro </w:t>
      </w:r>
      <w:r w:rsidRPr="005B4339">
        <w:rPr>
          <w:noProof/>
          <w:lang w:val="en-IE"/>
        </w:rPr>
        <w:t xml:space="preserve">for the EU in total. However, these registers for WEEE address almost 90 000 producers in the EU overall. Depending on the inclusion of exclusion of micro-enterprises (see Table </w:t>
      </w:r>
      <w:r w:rsidR="007F4E1B" w:rsidRPr="005B4339">
        <w:rPr>
          <w:noProof/>
          <w:lang w:val="en-IE"/>
        </w:rPr>
        <w:t>59</w:t>
      </w:r>
      <w:r w:rsidRPr="005B4339">
        <w:rPr>
          <w:noProof/>
          <w:lang w:val="en-IE"/>
        </w:rPr>
        <w:t xml:space="preserve"> below) the number of producers likely to be impacted in the EU for textiles would more likely sit between 16 500 and 68 000 producers. The costs for textiles would, therefore, be lower and more likely sit between 2 </w:t>
      </w:r>
      <w:r w:rsidR="00984D8B" w:rsidRPr="005B4339">
        <w:rPr>
          <w:noProof/>
          <w:lang w:val="en-IE"/>
        </w:rPr>
        <w:t xml:space="preserve">and 12.3 </w:t>
      </w:r>
      <w:r w:rsidRPr="005B4339">
        <w:rPr>
          <w:noProof/>
          <w:lang w:val="en-IE"/>
        </w:rPr>
        <w:t xml:space="preserve">million </w:t>
      </w:r>
      <w:r w:rsidR="00984D8B" w:rsidRPr="005B4339">
        <w:rPr>
          <w:noProof/>
          <w:lang w:val="en-IE"/>
        </w:rPr>
        <w:t>euro</w:t>
      </w:r>
      <w:r w:rsidRPr="005B4339">
        <w:rPr>
          <w:noProof/>
          <w:lang w:val="en-IE"/>
        </w:rPr>
        <w:t xml:space="preserve">. </w:t>
      </w:r>
      <w:r w:rsidR="13C09103" w:rsidRPr="005B4339">
        <w:rPr>
          <w:noProof/>
          <w:lang w:val="en-IE"/>
        </w:rPr>
        <w:t xml:space="preserve">It is </w:t>
      </w:r>
      <w:r w:rsidR="31D2B9E0" w:rsidRPr="005B4339">
        <w:rPr>
          <w:noProof/>
          <w:lang w:val="en-IE"/>
        </w:rPr>
        <w:t xml:space="preserve">likely that the upper bound </w:t>
      </w:r>
      <w:r w:rsidR="043223CB" w:rsidRPr="005B4339">
        <w:rPr>
          <w:noProof/>
          <w:lang w:val="en-IE"/>
        </w:rPr>
        <w:t xml:space="preserve">is </w:t>
      </w:r>
      <w:r w:rsidR="79458EB5" w:rsidRPr="005B4339">
        <w:rPr>
          <w:noProof/>
          <w:lang w:val="en-IE"/>
        </w:rPr>
        <w:t>still overestimated</w:t>
      </w:r>
      <w:r w:rsidR="043223CB" w:rsidRPr="005B4339">
        <w:rPr>
          <w:noProof/>
          <w:lang w:val="en-IE"/>
        </w:rPr>
        <w:t xml:space="preserve"> since it should be </w:t>
      </w:r>
      <w:r w:rsidR="13C09103" w:rsidRPr="005B4339">
        <w:rPr>
          <w:noProof/>
          <w:lang w:val="en-IE"/>
        </w:rPr>
        <w:t xml:space="preserve">feasible to reduce the costs by integrating the register into other existing systems for </w:t>
      </w:r>
      <w:r w:rsidR="0D3573F3" w:rsidRPr="005B4339">
        <w:rPr>
          <w:noProof/>
          <w:lang w:val="en-IE"/>
        </w:rPr>
        <w:t>producer</w:t>
      </w:r>
      <w:r w:rsidR="13C09103" w:rsidRPr="005B4339">
        <w:rPr>
          <w:noProof/>
          <w:lang w:val="en-IE"/>
        </w:rPr>
        <w:t xml:space="preserve"> registers under other EPR schemes; it is a practice in several Member States to operat</w:t>
      </w:r>
      <w:r w:rsidR="2AC5F847" w:rsidRPr="005B4339">
        <w:rPr>
          <w:noProof/>
          <w:lang w:val="en-IE"/>
        </w:rPr>
        <w:t xml:space="preserve">e producer registers that serve </w:t>
      </w:r>
      <w:r w:rsidR="7FDA39A3" w:rsidRPr="005B4339">
        <w:rPr>
          <w:noProof/>
          <w:lang w:val="en-IE"/>
        </w:rPr>
        <w:t>simultaneously</w:t>
      </w:r>
      <w:r w:rsidR="2AC5F847" w:rsidRPr="005B4339">
        <w:rPr>
          <w:noProof/>
          <w:lang w:val="en-IE"/>
        </w:rPr>
        <w:t xml:space="preserve"> several EPR systems.</w:t>
      </w:r>
      <w:r w:rsidR="13C09103" w:rsidRPr="005B4339">
        <w:rPr>
          <w:noProof/>
          <w:lang w:val="en-IE"/>
        </w:rPr>
        <w:t xml:space="preserve"> </w:t>
      </w:r>
    </w:p>
    <w:p w14:paraId="6BEFF6C2" w14:textId="75CEEBCA" w:rsidR="00B63C39" w:rsidRPr="005B4339" w:rsidRDefault="00B63C39" w:rsidP="00B63C39">
      <w:pPr>
        <w:spacing w:after="120"/>
        <w:rPr>
          <w:noProof/>
          <w:lang w:val="en-IE"/>
        </w:rPr>
      </w:pPr>
      <w:r w:rsidRPr="005B4339">
        <w:rPr>
          <w:noProof/>
          <w:lang w:val="en-IE"/>
        </w:rPr>
        <w:t>With the two systems already in operation</w:t>
      </w:r>
      <w:r w:rsidR="7F734AF6" w:rsidRPr="005B4339">
        <w:rPr>
          <w:noProof/>
          <w:lang w:val="en-IE"/>
        </w:rPr>
        <w:t xml:space="preserve"> in France and the Netherlands</w:t>
      </w:r>
      <w:r w:rsidRPr="005B4339">
        <w:rPr>
          <w:noProof/>
          <w:lang w:val="en-IE"/>
        </w:rPr>
        <w:t xml:space="preserve">, the average cost per Member State would, therefore, be between 80 000 and 492 000 </w:t>
      </w:r>
      <w:r w:rsidR="00C24FA2" w:rsidRPr="005B4339">
        <w:rPr>
          <w:noProof/>
          <w:lang w:val="en-IE"/>
        </w:rPr>
        <w:t xml:space="preserve">million euro </w:t>
      </w:r>
      <w:r w:rsidRPr="005B4339">
        <w:rPr>
          <w:noProof/>
          <w:lang w:val="en-IE"/>
        </w:rPr>
        <w:t xml:space="preserve">per Member State dependent on the inclusion or exclusion of micro-enterprises. Maintenance costs, in keeping with the estimated maintenance costs of registers at the EU level as presented in the Commission Impact Assessment accompanying the proposal to revise the </w:t>
      </w:r>
      <w:r w:rsidR="5FF25DCA" w:rsidRPr="005B4339">
        <w:rPr>
          <w:noProof/>
          <w:lang w:val="en-IE"/>
        </w:rPr>
        <w:t>W</w:t>
      </w:r>
      <w:r w:rsidRPr="005B4339">
        <w:rPr>
          <w:noProof/>
          <w:lang w:val="en-IE"/>
        </w:rPr>
        <w:t xml:space="preserve">aste </w:t>
      </w:r>
      <w:r w:rsidR="5A190BC9" w:rsidRPr="005B4339">
        <w:rPr>
          <w:noProof/>
          <w:lang w:val="en-IE"/>
        </w:rPr>
        <w:t>S</w:t>
      </w:r>
      <w:r w:rsidRPr="005B4339">
        <w:rPr>
          <w:noProof/>
          <w:lang w:val="en-IE"/>
        </w:rPr>
        <w:t xml:space="preserve">hipments Regulation are estimated at between 11 200 and 69 000 </w:t>
      </w:r>
      <w:r w:rsidR="00C24FA2" w:rsidRPr="005B4339">
        <w:rPr>
          <w:noProof/>
          <w:lang w:val="en-IE"/>
        </w:rPr>
        <w:t xml:space="preserve">euro </w:t>
      </w:r>
      <w:r w:rsidRPr="005B4339">
        <w:rPr>
          <w:noProof/>
          <w:lang w:val="en-IE"/>
        </w:rPr>
        <w:t xml:space="preserve">per Member State per </w:t>
      </w:r>
      <w:r w:rsidR="00D00D1B" w:rsidRPr="005B4339">
        <w:rPr>
          <w:noProof/>
          <w:lang w:val="en-IE"/>
        </w:rPr>
        <w:t>year</w:t>
      </w:r>
      <w:r w:rsidRPr="005B4339">
        <w:rPr>
          <w:noProof/>
          <w:lang w:val="en-IE"/>
        </w:rPr>
        <w:t xml:space="preserve">. </w:t>
      </w:r>
    </w:p>
    <w:p w14:paraId="6A1AD6A1" w14:textId="4F1F850E" w:rsidR="00B8276F" w:rsidRPr="005B4339" w:rsidRDefault="00B8276F" w:rsidP="00276CBB">
      <w:pPr>
        <w:rPr>
          <w:noProof/>
          <w:lang w:val="en-IE"/>
        </w:rPr>
      </w:pPr>
      <w:r w:rsidRPr="005B4339">
        <w:rPr>
          <w:noProof/>
          <w:lang w:val="en-IE"/>
        </w:rPr>
        <w:t xml:space="preserve">Additional costs would apply in relation to producers registering with the system. The main costs would be in completing producer details to enable the generation of the relevant Producer number. Such costs would expect to equate to 0.5 day per producer to complete the relevant details with a total cost of 104 </w:t>
      </w:r>
      <w:r w:rsidR="00C24FA2" w:rsidRPr="005B4339">
        <w:rPr>
          <w:noProof/>
          <w:lang w:val="en-IE"/>
        </w:rPr>
        <w:t xml:space="preserve">euro </w:t>
      </w:r>
      <w:r w:rsidRPr="005B4339">
        <w:rPr>
          <w:noProof/>
          <w:lang w:val="en-IE"/>
        </w:rPr>
        <w:t>per registration. Whilst the total number of Producers that would be impacted is unknown for those not manufacturing products within the EU, for manufacturers of textiles within the EU this would be a one</w:t>
      </w:r>
      <w:r w:rsidR="218F33CD" w:rsidRPr="005B4339">
        <w:rPr>
          <w:noProof/>
          <w:lang w:val="en-IE"/>
        </w:rPr>
        <w:t>-</w:t>
      </w:r>
      <w:r w:rsidRPr="005B4339">
        <w:rPr>
          <w:noProof/>
          <w:lang w:val="en-IE"/>
        </w:rPr>
        <w:t>off cost and is assessed below.</w:t>
      </w:r>
      <w:r w:rsidR="00C0A418" w:rsidRPr="005B4339">
        <w:rPr>
          <w:noProof/>
          <w:lang w:val="en-IE"/>
        </w:rPr>
        <w:t xml:space="preserve"> </w:t>
      </w:r>
    </w:p>
    <w:p w14:paraId="7554F745" w14:textId="03089E8B" w:rsidR="00276CBB" w:rsidRPr="005B4339" w:rsidRDefault="00B56C52" w:rsidP="00276CBB">
      <w:pPr>
        <w:rPr>
          <w:i/>
          <w:noProof/>
          <w:lang w:val="en-IE"/>
        </w:rPr>
      </w:pPr>
      <w:bookmarkStart w:id="148" w:name="_Toc133229480"/>
      <w:bookmarkStart w:id="149" w:name="_Toc139032034"/>
      <w:r w:rsidRPr="005B4339">
        <w:rPr>
          <w:i/>
          <w:noProof/>
          <w:lang w:val="en-IE"/>
        </w:rPr>
        <w:lastRenderedPageBreak/>
        <w:t xml:space="preserve">Table </w:t>
      </w:r>
      <w:r w:rsidR="00393DFA">
        <w:rPr>
          <w:i/>
          <w:iCs/>
          <w:noProof/>
          <w:sz w:val="22"/>
          <w:szCs w:val="22"/>
        </w:rPr>
        <w:t>18</w:t>
      </w:r>
      <w:r w:rsidR="00276CBB" w:rsidRPr="005B4339">
        <w:rPr>
          <w:i/>
          <w:noProof/>
          <w:lang w:val="en-IE"/>
        </w:rPr>
        <w:t xml:space="preserve"> : Indicative one-off costs for registering in </w:t>
      </w:r>
      <w:r w:rsidR="1DCFC61C" w:rsidRPr="005B4339">
        <w:rPr>
          <w:i/>
          <w:noProof/>
          <w:lang w:val="en-IE"/>
        </w:rPr>
        <w:t>a national producer</w:t>
      </w:r>
      <w:r w:rsidR="00276CBB" w:rsidRPr="005B4339">
        <w:rPr>
          <w:i/>
          <w:noProof/>
          <w:lang w:val="en-IE"/>
        </w:rPr>
        <w:t xml:space="preserve"> register</w:t>
      </w:r>
      <w:bookmarkEnd w:id="148"/>
      <w:bookmarkEnd w:id="149"/>
    </w:p>
    <w:tbl>
      <w:tblPr>
        <w:tblW w:w="0" w:type="auto"/>
        <w:tblInd w:w="-5" w:type="dxa"/>
        <w:tblLook w:val="04A0" w:firstRow="1" w:lastRow="0" w:firstColumn="1" w:lastColumn="0" w:noHBand="0" w:noVBand="1"/>
      </w:tblPr>
      <w:tblGrid>
        <w:gridCol w:w="3229"/>
        <w:gridCol w:w="2245"/>
        <w:gridCol w:w="2563"/>
      </w:tblGrid>
      <w:tr w:rsidR="003C52B8" w:rsidRPr="005B4339" w14:paraId="5205DD2C" w14:textId="77777777" w:rsidTr="003E582B">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EAF38E" w14:textId="77777777" w:rsidR="00E614E2" w:rsidRPr="005B4339" w:rsidRDefault="00E614E2">
            <w:pPr>
              <w:spacing w:after="0"/>
              <w:rPr>
                <w:b/>
                <w:bCs/>
                <w:noProof/>
                <w:color w:val="000000"/>
                <w:sz w:val="22"/>
                <w:szCs w:val="22"/>
              </w:rPr>
            </w:pPr>
            <w:r w:rsidRPr="005B4339">
              <w:rPr>
                <w:b/>
                <w:bCs/>
                <w:noProof/>
                <w:color w:val="000000"/>
                <w:sz w:val="22"/>
                <w:szCs w:val="22"/>
              </w:rPr>
              <w:t>Size of company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38E601C" w14:textId="77777777" w:rsidR="00E614E2" w:rsidRPr="005B4339" w:rsidRDefault="00E614E2">
            <w:pPr>
              <w:rPr>
                <w:b/>
                <w:bCs/>
                <w:noProof/>
                <w:color w:val="000000"/>
                <w:sz w:val="22"/>
                <w:szCs w:val="22"/>
              </w:rPr>
            </w:pPr>
            <w:r w:rsidRPr="005B4339">
              <w:rPr>
                <w:b/>
                <w:bCs/>
                <w:noProof/>
                <w:color w:val="000000"/>
                <w:sz w:val="22"/>
                <w:szCs w:val="22"/>
              </w:rPr>
              <w:t>Number of producers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09DD9F" w14:textId="77777777" w:rsidR="00E614E2" w:rsidRPr="005B4339" w:rsidRDefault="00E614E2">
            <w:pPr>
              <w:rPr>
                <w:b/>
                <w:bCs/>
                <w:noProof/>
                <w:color w:val="000000"/>
                <w:sz w:val="22"/>
                <w:szCs w:val="22"/>
              </w:rPr>
            </w:pPr>
            <w:r w:rsidRPr="005B4339">
              <w:rPr>
                <w:b/>
                <w:bCs/>
                <w:noProof/>
                <w:color w:val="000000"/>
                <w:sz w:val="22"/>
                <w:szCs w:val="22"/>
              </w:rPr>
              <w:t>Cost of annual PoM data</w:t>
            </w:r>
          </w:p>
        </w:tc>
      </w:tr>
      <w:tr w:rsidR="003C52B8" w:rsidRPr="005B4339" w14:paraId="04204B3C"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03C879" w14:textId="77777777" w:rsidR="00E614E2" w:rsidRPr="005B4339" w:rsidRDefault="00E614E2">
            <w:pPr>
              <w:rPr>
                <w:noProof/>
                <w:color w:val="000000"/>
                <w:sz w:val="22"/>
                <w:szCs w:val="22"/>
              </w:rPr>
            </w:pPr>
            <w:r w:rsidRPr="005B4339">
              <w:rPr>
                <w:noProof/>
                <w:color w:val="000000"/>
                <w:sz w:val="22"/>
                <w:szCs w:val="22"/>
              </w:rPr>
              <w:t>From 0 to 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4C2E7F15" w14:textId="77777777" w:rsidR="00E614E2" w:rsidRPr="005B4339" w:rsidRDefault="00E614E2">
            <w:pPr>
              <w:jc w:val="right"/>
              <w:rPr>
                <w:noProof/>
                <w:color w:val="000000"/>
                <w:sz w:val="22"/>
                <w:szCs w:val="22"/>
              </w:rPr>
            </w:pPr>
            <w:r w:rsidRPr="005B4339">
              <w:rPr>
                <w:noProof/>
                <w:color w:val="000000"/>
                <w:sz w:val="22"/>
                <w:szCs w:val="22"/>
              </w:rPr>
              <w:t>115,943</w:t>
            </w:r>
          </w:p>
        </w:tc>
        <w:tc>
          <w:tcPr>
            <w:tcW w:w="0" w:type="auto"/>
            <w:tcBorders>
              <w:top w:val="nil"/>
              <w:left w:val="nil"/>
              <w:bottom w:val="single" w:sz="8" w:space="0" w:color="auto"/>
              <w:right w:val="single" w:sz="8" w:space="0" w:color="auto"/>
            </w:tcBorders>
            <w:shd w:val="clear" w:color="auto" w:fill="auto"/>
            <w:noWrap/>
            <w:vAlign w:val="center"/>
            <w:hideMark/>
          </w:tcPr>
          <w:p w14:paraId="2ECE1A27" w14:textId="77777777" w:rsidR="00E614E2" w:rsidRPr="005B4339" w:rsidRDefault="00E614E2">
            <w:pPr>
              <w:jc w:val="center"/>
              <w:rPr>
                <w:noProof/>
                <w:color w:val="000000"/>
                <w:sz w:val="22"/>
                <w:szCs w:val="22"/>
              </w:rPr>
            </w:pPr>
            <w:r w:rsidRPr="005B4339">
              <w:rPr>
                <w:noProof/>
                <w:color w:val="000000"/>
                <w:sz w:val="22"/>
                <w:szCs w:val="22"/>
              </w:rPr>
              <w:t>12,058,072</w:t>
            </w:r>
          </w:p>
        </w:tc>
      </w:tr>
      <w:tr w:rsidR="003C52B8" w:rsidRPr="005B4339" w14:paraId="35B00EC9"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F2E16F" w14:textId="77777777" w:rsidR="00E614E2" w:rsidRPr="005B4339" w:rsidRDefault="00E614E2">
            <w:pPr>
              <w:rPr>
                <w:noProof/>
                <w:color w:val="000000"/>
                <w:sz w:val="22"/>
                <w:szCs w:val="22"/>
              </w:rPr>
            </w:pPr>
            <w:r w:rsidRPr="005B4339">
              <w:rPr>
                <w:noProof/>
                <w:color w:val="000000"/>
                <w:sz w:val="22"/>
                <w:szCs w:val="22"/>
              </w:rPr>
              <w:t>From 10 to 19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31BF58B6" w14:textId="77777777" w:rsidR="00E614E2" w:rsidRPr="005B4339" w:rsidRDefault="00E614E2">
            <w:pPr>
              <w:jc w:val="right"/>
              <w:rPr>
                <w:noProof/>
                <w:color w:val="000000"/>
                <w:sz w:val="22"/>
                <w:szCs w:val="22"/>
              </w:rPr>
            </w:pPr>
            <w:r w:rsidRPr="005B4339">
              <w:rPr>
                <w:noProof/>
                <w:color w:val="000000"/>
                <w:sz w:val="22"/>
                <w:szCs w:val="22"/>
              </w:rPr>
              <w:t>6,767</w:t>
            </w:r>
          </w:p>
        </w:tc>
        <w:tc>
          <w:tcPr>
            <w:tcW w:w="0" w:type="auto"/>
            <w:tcBorders>
              <w:top w:val="nil"/>
              <w:left w:val="nil"/>
              <w:bottom w:val="single" w:sz="8" w:space="0" w:color="auto"/>
              <w:right w:val="single" w:sz="8" w:space="0" w:color="auto"/>
            </w:tcBorders>
            <w:shd w:val="clear" w:color="auto" w:fill="auto"/>
            <w:noWrap/>
            <w:vAlign w:val="center"/>
            <w:hideMark/>
          </w:tcPr>
          <w:p w14:paraId="14BAFB7D" w14:textId="77777777" w:rsidR="00E614E2" w:rsidRPr="005B4339" w:rsidRDefault="00E614E2">
            <w:pPr>
              <w:jc w:val="center"/>
              <w:rPr>
                <w:noProof/>
                <w:color w:val="000000"/>
                <w:sz w:val="22"/>
                <w:szCs w:val="22"/>
              </w:rPr>
            </w:pPr>
            <w:r w:rsidRPr="005B4339">
              <w:rPr>
                <w:noProof/>
                <w:color w:val="000000"/>
                <w:sz w:val="22"/>
                <w:szCs w:val="22"/>
              </w:rPr>
              <w:t>703,768</w:t>
            </w:r>
          </w:p>
        </w:tc>
      </w:tr>
      <w:tr w:rsidR="003C52B8" w:rsidRPr="005B4339" w14:paraId="15EED08B"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340E56" w14:textId="77777777" w:rsidR="00E614E2" w:rsidRPr="005B4339" w:rsidRDefault="00E614E2">
            <w:pPr>
              <w:rPr>
                <w:noProof/>
                <w:color w:val="000000"/>
                <w:sz w:val="22"/>
                <w:szCs w:val="22"/>
              </w:rPr>
            </w:pPr>
            <w:r w:rsidRPr="005B4339">
              <w:rPr>
                <w:noProof/>
                <w:color w:val="000000"/>
                <w:sz w:val="22"/>
                <w:szCs w:val="22"/>
              </w:rPr>
              <w:t>From 20 to 49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6E16C07F" w14:textId="77777777" w:rsidR="00E614E2" w:rsidRPr="005B4339" w:rsidRDefault="00E614E2">
            <w:pPr>
              <w:jc w:val="right"/>
              <w:rPr>
                <w:noProof/>
                <w:color w:val="000000"/>
                <w:sz w:val="22"/>
                <w:szCs w:val="22"/>
              </w:rPr>
            </w:pPr>
            <w:r w:rsidRPr="005B4339">
              <w:rPr>
                <w:noProof/>
                <w:color w:val="000000"/>
                <w:sz w:val="22"/>
                <w:szCs w:val="22"/>
              </w:rPr>
              <w:t>4,137</w:t>
            </w:r>
          </w:p>
        </w:tc>
        <w:tc>
          <w:tcPr>
            <w:tcW w:w="0" w:type="auto"/>
            <w:tcBorders>
              <w:top w:val="nil"/>
              <w:left w:val="nil"/>
              <w:bottom w:val="single" w:sz="8" w:space="0" w:color="auto"/>
              <w:right w:val="single" w:sz="8" w:space="0" w:color="auto"/>
            </w:tcBorders>
            <w:shd w:val="clear" w:color="auto" w:fill="auto"/>
            <w:noWrap/>
            <w:vAlign w:val="center"/>
            <w:hideMark/>
          </w:tcPr>
          <w:p w14:paraId="79E3BE5F" w14:textId="77777777" w:rsidR="00E614E2" w:rsidRPr="005B4339" w:rsidRDefault="00E614E2">
            <w:pPr>
              <w:jc w:val="center"/>
              <w:rPr>
                <w:noProof/>
                <w:color w:val="000000"/>
                <w:sz w:val="22"/>
                <w:szCs w:val="22"/>
              </w:rPr>
            </w:pPr>
            <w:r w:rsidRPr="005B4339">
              <w:rPr>
                <w:noProof/>
                <w:color w:val="000000"/>
                <w:sz w:val="22"/>
                <w:szCs w:val="22"/>
              </w:rPr>
              <w:t>430,248</w:t>
            </w:r>
          </w:p>
        </w:tc>
      </w:tr>
      <w:tr w:rsidR="003C52B8" w:rsidRPr="005B4339" w14:paraId="7E5D61FB"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C325FD" w14:textId="77777777" w:rsidR="00E614E2" w:rsidRPr="005B4339" w:rsidRDefault="00E614E2">
            <w:pPr>
              <w:rPr>
                <w:noProof/>
                <w:color w:val="000000"/>
                <w:sz w:val="22"/>
                <w:szCs w:val="22"/>
              </w:rPr>
            </w:pPr>
            <w:r w:rsidRPr="005B4339">
              <w:rPr>
                <w:noProof/>
                <w:color w:val="000000"/>
                <w:sz w:val="22"/>
                <w:szCs w:val="22"/>
              </w:rPr>
              <w:t>From 50 to 249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2A9504F2" w14:textId="77777777" w:rsidR="00E614E2" w:rsidRPr="005B4339" w:rsidRDefault="00E614E2">
            <w:pPr>
              <w:jc w:val="right"/>
              <w:rPr>
                <w:noProof/>
                <w:color w:val="000000"/>
                <w:sz w:val="22"/>
                <w:szCs w:val="22"/>
              </w:rPr>
            </w:pPr>
            <w:r w:rsidRPr="005B4339">
              <w:rPr>
                <w:noProof/>
                <w:color w:val="000000"/>
                <w:sz w:val="22"/>
                <w:szCs w:val="22"/>
              </w:rPr>
              <w:t>1,920</w:t>
            </w:r>
          </w:p>
        </w:tc>
        <w:tc>
          <w:tcPr>
            <w:tcW w:w="0" w:type="auto"/>
            <w:tcBorders>
              <w:top w:val="nil"/>
              <w:left w:val="nil"/>
              <w:bottom w:val="single" w:sz="8" w:space="0" w:color="auto"/>
              <w:right w:val="single" w:sz="8" w:space="0" w:color="auto"/>
            </w:tcBorders>
            <w:shd w:val="clear" w:color="auto" w:fill="auto"/>
            <w:noWrap/>
            <w:vAlign w:val="center"/>
            <w:hideMark/>
          </w:tcPr>
          <w:p w14:paraId="31EB8DEF" w14:textId="77777777" w:rsidR="00E614E2" w:rsidRPr="005B4339" w:rsidRDefault="00E614E2">
            <w:pPr>
              <w:jc w:val="center"/>
              <w:rPr>
                <w:noProof/>
                <w:color w:val="000000"/>
                <w:sz w:val="22"/>
                <w:szCs w:val="22"/>
              </w:rPr>
            </w:pPr>
            <w:r w:rsidRPr="005B4339">
              <w:rPr>
                <w:noProof/>
                <w:color w:val="000000"/>
                <w:sz w:val="22"/>
                <w:szCs w:val="22"/>
              </w:rPr>
              <w:t>199,680</w:t>
            </w:r>
          </w:p>
        </w:tc>
      </w:tr>
      <w:tr w:rsidR="003C52B8" w:rsidRPr="005B4339" w14:paraId="7CEA8E5C"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84E207" w14:textId="77777777" w:rsidR="00E614E2" w:rsidRPr="005B4339" w:rsidRDefault="00E614E2">
            <w:pPr>
              <w:rPr>
                <w:noProof/>
                <w:color w:val="000000"/>
                <w:sz w:val="22"/>
                <w:szCs w:val="22"/>
              </w:rPr>
            </w:pPr>
            <w:r w:rsidRPr="005B4339">
              <w:rPr>
                <w:noProof/>
                <w:color w:val="000000"/>
                <w:sz w:val="22"/>
                <w:szCs w:val="22"/>
              </w:rPr>
              <w:t>250 persons employed or more</w:t>
            </w:r>
          </w:p>
        </w:tc>
        <w:tc>
          <w:tcPr>
            <w:tcW w:w="0" w:type="auto"/>
            <w:tcBorders>
              <w:top w:val="nil"/>
              <w:left w:val="nil"/>
              <w:bottom w:val="single" w:sz="8" w:space="0" w:color="auto"/>
              <w:right w:val="single" w:sz="8" w:space="0" w:color="auto"/>
            </w:tcBorders>
            <w:shd w:val="clear" w:color="auto" w:fill="auto"/>
            <w:noWrap/>
            <w:vAlign w:val="center"/>
            <w:hideMark/>
          </w:tcPr>
          <w:p w14:paraId="07E00C86" w14:textId="77777777" w:rsidR="00E614E2" w:rsidRPr="005B4339" w:rsidRDefault="00E614E2">
            <w:pPr>
              <w:jc w:val="right"/>
              <w:rPr>
                <w:noProof/>
                <w:color w:val="000000"/>
                <w:sz w:val="22"/>
                <w:szCs w:val="22"/>
              </w:rPr>
            </w:pPr>
            <w:r w:rsidRPr="005B4339">
              <w:rPr>
                <w:noProof/>
                <w:color w:val="000000"/>
                <w:sz w:val="22"/>
                <w:szCs w:val="22"/>
              </w:rPr>
              <w:t>240</w:t>
            </w:r>
          </w:p>
        </w:tc>
        <w:tc>
          <w:tcPr>
            <w:tcW w:w="0" w:type="auto"/>
            <w:tcBorders>
              <w:top w:val="nil"/>
              <w:left w:val="nil"/>
              <w:bottom w:val="single" w:sz="8" w:space="0" w:color="auto"/>
              <w:right w:val="single" w:sz="8" w:space="0" w:color="auto"/>
            </w:tcBorders>
            <w:shd w:val="clear" w:color="auto" w:fill="auto"/>
            <w:noWrap/>
            <w:vAlign w:val="center"/>
            <w:hideMark/>
          </w:tcPr>
          <w:p w14:paraId="394D2C53" w14:textId="77777777" w:rsidR="00E614E2" w:rsidRPr="005B4339" w:rsidRDefault="00E614E2">
            <w:pPr>
              <w:jc w:val="center"/>
              <w:rPr>
                <w:noProof/>
                <w:color w:val="000000"/>
                <w:sz w:val="22"/>
                <w:szCs w:val="22"/>
              </w:rPr>
            </w:pPr>
            <w:r w:rsidRPr="005B4339">
              <w:rPr>
                <w:noProof/>
                <w:color w:val="000000"/>
                <w:sz w:val="22"/>
                <w:szCs w:val="22"/>
              </w:rPr>
              <w:t>24,960</w:t>
            </w:r>
          </w:p>
        </w:tc>
      </w:tr>
      <w:tr w:rsidR="003C52B8" w:rsidRPr="005B4339" w14:paraId="50656D82" w14:textId="77777777" w:rsidTr="003E582B">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64567C" w14:textId="77777777" w:rsidR="00E614E2" w:rsidRPr="005B4339" w:rsidRDefault="00E614E2">
            <w:pPr>
              <w:rPr>
                <w:noProof/>
                <w:color w:val="000000"/>
                <w:sz w:val="22"/>
                <w:szCs w:val="22"/>
              </w:rPr>
            </w:pPr>
            <w:r w:rsidRPr="005B4339">
              <w:rPr>
                <w:noProof/>
                <w:color w:val="000000"/>
                <w:sz w:val="22"/>
                <w:szCs w:val="22"/>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1D569EA7" w14:textId="77777777" w:rsidR="00E614E2" w:rsidRPr="005B4339" w:rsidRDefault="00E614E2">
            <w:pPr>
              <w:jc w:val="right"/>
              <w:rPr>
                <w:noProof/>
                <w:color w:val="000000"/>
                <w:sz w:val="22"/>
                <w:szCs w:val="22"/>
              </w:rPr>
            </w:pPr>
            <w:r w:rsidRPr="005B4339">
              <w:rPr>
                <w:noProof/>
                <w:color w:val="000000"/>
                <w:sz w:val="22"/>
                <w:szCs w:val="22"/>
              </w:rPr>
              <w:t>129,007</w:t>
            </w:r>
          </w:p>
        </w:tc>
        <w:tc>
          <w:tcPr>
            <w:tcW w:w="0" w:type="auto"/>
            <w:tcBorders>
              <w:top w:val="nil"/>
              <w:left w:val="nil"/>
              <w:bottom w:val="single" w:sz="8" w:space="0" w:color="auto"/>
              <w:right w:val="single" w:sz="8" w:space="0" w:color="auto"/>
            </w:tcBorders>
            <w:shd w:val="clear" w:color="auto" w:fill="auto"/>
            <w:noWrap/>
            <w:vAlign w:val="center"/>
            <w:hideMark/>
          </w:tcPr>
          <w:p w14:paraId="1F112AB6" w14:textId="77777777" w:rsidR="00E614E2" w:rsidRPr="005B4339" w:rsidRDefault="00E614E2">
            <w:pPr>
              <w:jc w:val="center"/>
              <w:rPr>
                <w:noProof/>
                <w:color w:val="000000"/>
                <w:sz w:val="22"/>
                <w:szCs w:val="22"/>
              </w:rPr>
            </w:pPr>
            <w:r w:rsidRPr="005B4339">
              <w:rPr>
                <w:noProof/>
                <w:color w:val="000000"/>
                <w:sz w:val="22"/>
                <w:szCs w:val="22"/>
              </w:rPr>
              <w:t>13,416,728</w:t>
            </w:r>
          </w:p>
        </w:tc>
      </w:tr>
    </w:tbl>
    <w:p w14:paraId="694FADDB" w14:textId="77777777" w:rsidR="00B56C52" w:rsidRPr="005B4339" w:rsidRDefault="00B56C52" w:rsidP="00B63C39">
      <w:pPr>
        <w:spacing w:after="120"/>
        <w:rPr>
          <w:noProof/>
          <w:lang w:val="en-IE"/>
        </w:rPr>
      </w:pPr>
    </w:p>
    <w:p w14:paraId="63EFCA40" w14:textId="520FE928" w:rsidR="00B63C39" w:rsidRPr="005B4339" w:rsidRDefault="00B63C39" w:rsidP="00B63C39">
      <w:pPr>
        <w:spacing w:after="120"/>
        <w:rPr>
          <w:noProof/>
          <w:lang w:val="en-IE"/>
        </w:rPr>
      </w:pPr>
      <w:r w:rsidRPr="005B4339">
        <w:rPr>
          <w:noProof/>
          <w:lang w:val="en-IE"/>
        </w:rPr>
        <w:t>As can be seen, should micro-enterprises be included in the scope of EPR</w:t>
      </w:r>
      <w:r w:rsidR="004E0325" w:rsidRPr="005B4339">
        <w:rPr>
          <w:noProof/>
          <w:lang w:val="en-IE"/>
        </w:rPr>
        <w:t xml:space="preserve">, </w:t>
      </w:r>
      <w:r w:rsidRPr="005B4339">
        <w:rPr>
          <w:noProof/>
          <w:lang w:val="en-IE"/>
        </w:rPr>
        <w:t xml:space="preserve">the majority of costs would fall upon this fraction of EU textile manufacturers. Should </w:t>
      </w:r>
      <w:r w:rsidR="009F40D1" w:rsidRPr="005B4339">
        <w:rPr>
          <w:noProof/>
          <w:lang w:val="en-IE"/>
        </w:rPr>
        <w:t>micro-enterprises</w:t>
      </w:r>
      <w:r w:rsidRPr="005B4339">
        <w:rPr>
          <w:noProof/>
          <w:lang w:val="en-IE"/>
        </w:rPr>
        <w:t xml:space="preserve"> be excluded the total administrative burden would </w:t>
      </w:r>
      <w:r w:rsidR="00164574" w:rsidRPr="005B4339">
        <w:rPr>
          <w:noProof/>
          <w:lang w:val="en-IE"/>
        </w:rPr>
        <w:t xml:space="preserve">decrease from </w:t>
      </w:r>
      <w:r w:rsidR="00657608" w:rsidRPr="005B4339">
        <w:rPr>
          <w:noProof/>
          <w:lang w:val="en-IE"/>
        </w:rPr>
        <w:t>13</w:t>
      </w:r>
      <w:r w:rsidR="00164574" w:rsidRPr="005B4339">
        <w:rPr>
          <w:noProof/>
          <w:lang w:val="en-IE"/>
        </w:rPr>
        <w:t>.</w:t>
      </w:r>
      <w:r w:rsidR="00657608" w:rsidRPr="005B4339">
        <w:rPr>
          <w:noProof/>
          <w:lang w:val="en-IE"/>
        </w:rPr>
        <w:t>35</w:t>
      </w:r>
      <w:r w:rsidR="00164574" w:rsidRPr="005B4339">
        <w:rPr>
          <w:noProof/>
          <w:lang w:val="en-IE"/>
        </w:rPr>
        <w:t xml:space="preserve"> million to </w:t>
      </w:r>
      <w:r w:rsidR="00260645" w:rsidRPr="005B4339">
        <w:rPr>
          <w:noProof/>
          <w:lang w:val="en-IE"/>
        </w:rPr>
        <w:t>1.35 million</w:t>
      </w:r>
      <w:r w:rsidRPr="005B4339">
        <w:rPr>
          <w:noProof/>
          <w:lang w:val="en-IE"/>
        </w:rPr>
        <w:t xml:space="preserve"> </w:t>
      </w:r>
      <w:r w:rsidR="004E0325" w:rsidRPr="005B4339">
        <w:rPr>
          <w:noProof/>
          <w:lang w:val="en-IE"/>
        </w:rPr>
        <w:t xml:space="preserve">euro </w:t>
      </w:r>
      <w:r w:rsidRPr="005B4339">
        <w:rPr>
          <w:noProof/>
          <w:lang w:val="en-IE"/>
        </w:rPr>
        <w:t>for the EU overall.</w:t>
      </w:r>
    </w:p>
    <w:p w14:paraId="1C181D22" w14:textId="767DAA1D" w:rsidR="00A742B6" w:rsidRPr="005B4339" w:rsidRDefault="00A742B6" w:rsidP="00A742B6">
      <w:pPr>
        <w:spacing w:after="120"/>
        <w:rPr>
          <w:noProof/>
          <w:lang w:val="en-IE"/>
        </w:rPr>
      </w:pPr>
      <w:r w:rsidRPr="005B4339">
        <w:rPr>
          <w:noProof/>
          <w:lang w:val="en-IE"/>
        </w:rPr>
        <w:t>The calculations o</w:t>
      </w:r>
      <w:r w:rsidR="004E0325" w:rsidRPr="005B4339">
        <w:rPr>
          <w:noProof/>
          <w:lang w:val="en-IE"/>
        </w:rPr>
        <w:t>f</w:t>
      </w:r>
      <w:r w:rsidRPr="005B4339">
        <w:rPr>
          <w:noProof/>
          <w:lang w:val="en-IE"/>
        </w:rPr>
        <w:t xml:space="preserve"> the </w:t>
      </w:r>
      <w:r w:rsidR="004E0325" w:rsidRPr="005B4339">
        <w:rPr>
          <w:noProof/>
          <w:lang w:val="en-IE"/>
        </w:rPr>
        <w:t>one-off</w:t>
      </w:r>
      <w:r w:rsidRPr="005B4339">
        <w:rPr>
          <w:noProof/>
          <w:lang w:val="en-IE"/>
        </w:rPr>
        <w:t xml:space="preserve"> registration costs reflect on a situation whereby each producer registers in one producer register. However, there are likely to be situations whereby producers place goods on the market of more than one Member State. The one-off costs identified above would, therefore, multiply in the case where producers place goods on the market of more than one Member States. If, for example, producers placed goods on the market of five different Member States which even for smaller producers is possible with the rise of online sales, the total costs would be approximately five times higher as whilst the basic requirements should be the same across the EU the variations in actual systems of registration and language requirement will likely result in little saving in terms of time taken to register in additional countries once registration has taken place in another.</w:t>
      </w:r>
      <w:r w:rsidR="20669F0A" w:rsidRPr="005B4339">
        <w:rPr>
          <w:noProof/>
          <w:lang w:val="en-IE"/>
        </w:rPr>
        <w:t xml:space="preserve"> The </w:t>
      </w:r>
      <w:r w:rsidR="0D71FAB5" w:rsidRPr="005B4339">
        <w:rPr>
          <w:noProof/>
          <w:lang w:val="en-IE"/>
        </w:rPr>
        <w:t xml:space="preserve">measure therefore provides that the </w:t>
      </w:r>
      <w:r w:rsidR="00095FD1" w:rsidRPr="005B4339">
        <w:rPr>
          <w:noProof/>
          <w:lang w:val="en-IE"/>
        </w:rPr>
        <w:t>information</w:t>
      </w:r>
      <w:r w:rsidR="20669F0A" w:rsidRPr="005B4339">
        <w:rPr>
          <w:noProof/>
          <w:lang w:val="en-IE"/>
        </w:rPr>
        <w:t xml:space="preserve"> </w:t>
      </w:r>
      <w:r w:rsidR="00095FD1" w:rsidRPr="005B4339">
        <w:rPr>
          <w:noProof/>
          <w:lang w:val="en-IE"/>
        </w:rPr>
        <w:t>requirements</w:t>
      </w:r>
      <w:r w:rsidR="0D71FAB5" w:rsidRPr="005B4339">
        <w:rPr>
          <w:noProof/>
          <w:lang w:val="en-IE"/>
        </w:rPr>
        <w:t xml:space="preserve"> that producers need to submit to</w:t>
      </w:r>
      <w:r w:rsidR="20669F0A" w:rsidRPr="005B4339">
        <w:rPr>
          <w:noProof/>
          <w:lang w:val="en-IE"/>
        </w:rPr>
        <w:t xml:space="preserve"> the </w:t>
      </w:r>
      <w:r w:rsidR="0D71FAB5" w:rsidRPr="005B4339">
        <w:rPr>
          <w:noProof/>
          <w:lang w:val="en-IE"/>
        </w:rPr>
        <w:t xml:space="preserve">register are harmonised and specified in the WFD so that </w:t>
      </w:r>
      <w:r w:rsidR="6042F183" w:rsidRPr="005B4339">
        <w:rPr>
          <w:noProof/>
          <w:lang w:val="en-IE"/>
        </w:rPr>
        <w:t>it is clear from the outset of the WFD revision</w:t>
      </w:r>
      <w:r w:rsidR="20669F0A" w:rsidRPr="005B4339">
        <w:rPr>
          <w:noProof/>
          <w:lang w:val="en-IE"/>
        </w:rPr>
        <w:t xml:space="preserve"> across the EU </w:t>
      </w:r>
      <w:r w:rsidR="5DB5C613" w:rsidRPr="005B4339">
        <w:rPr>
          <w:noProof/>
          <w:lang w:val="en-IE"/>
        </w:rPr>
        <w:t>and</w:t>
      </w:r>
      <w:r w:rsidR="20669F0A" w:rsidRPr="005B4339">
        <w:rPr>
          <w:noProof/>
          <w:lang w:val="en-IE"/>
        </w:rPr>
        <w:t xml:space="preserve"> reduce compliance costs for producers operating across several countries.</w:t>
      </w:r>
    </w:p>
    <w:p w14:paraId="6913C746" w14:textId="7F7768E8" w:rsidR="004D27E4" w:rsidRPr="005B4339" w:rsidRDefault="004D27E4" w:rsidP="004D27E4">
      <w:pPr>
        <w:spacing w:after="120"/>
        <w:rPr>
          <w:noProof/>
          <w:lang w:val="en-IE"/>
        </w:rPr>
      </w:pPr>
      <w:r w:rsidRPr="005B4339">
        <w:rPr>
          <w:noProof/>
          <w:lang w:val="en-IE"/>
        </w:rPr>
        <w:t>In the case of producers selling goods in Member States where they have no legal registration they will need to register with an authorised representative in the country of sale. An authorized representative is a natural or legal person who assumes EPR obligations in a country on behalf of such a producer. Authorised representatives will charge fees to represent producers in third countries.  By way of example, a service provider</w:t>
      </w:r>
      <w:r w:rsidRPr="005B4339">
        <w:rPr>
          <w:rStyle w:val="FootnoteReference"/>
          <w:noProof/>
          <w:lang w:val="en-IE"/>
        </w:rPr>
        <w:footnoteReference w:id="97"/>
      </w:r>
      <w:r w:rsidRPr="005B4339">
        <w:rPr>
          <w:noProof/>
          <w:lang w:val="en-IE"/>
        </w:rPr>
        <w:t xml:space="preserve"> offering authorised representative services to </w:t>
      </w:r>
      <w:r w:rsidRPr="005B4339">
        <w:rPr>
          <w:noProof/>
          <w:lang w:val="en-IE"/>
        </w:rPr>
        <w:lastRenderedPageBreak/>
        <w:t>both producers located within the EU and producers based in third countries charges an annual fee of approximately 1 800 euro per year plus an hourly rate of 225 euro per hour for additional support. In the case of medical devices that also require an authorised representative a figure of approximately 2 000 euro per year is quoted</w:t>
      </w:r>
      <w:r w:rsidRPr="005B4339">
        <w:rPr>
          <w:rStyle w:val="FootnoteReference"/>
          <w:noProof/>
          <w:lang w:val="en-IE"/>
        </w:rPr>
        <w:footnoteReference w:id="98"/>
      </w:r>
      <w:r w:rsidRPr="005B4339">
        <w:rPr>
          <w:noProof/>
          <w:lang w:val="en-IE"/>
        </w:rPr>
        <w:t>. In both of these examples the services include the costs in relation to product standards that are likely to be higher in terms of resources required to be expended by an Authorised Representative in relation to EPR. With this in mind, the lower cost quoted of approximately 1 800 euro per year for the appointment of an authorised in any given Member State is considered representative in this case. These fees would apply per country of sale and, thereby, should a producer sell in several countries using an authorised representative in each the costs would be multiplied by the additional number of countries concerned. The</w:t>
      </w:r>
      <w:r w:rsidR="00ED19F8" w:rsidRPr="005B4339">
        <w:rPr>
          <w:noProof/>
          <w:lang w:val="en-IE"/>
        </w:rPr>
        <w:t xml:space="preserve">re is also the possibility </w:t>
      </w:r>
      <w:r w:rsidRPr="005B4339">
        <w:rPr>
          <w:noProof/>
          <w:lang w:val="en-IE"/>
        </w:rPr>
        <w:t>for PROs to operate as an Authorised Representative for producers in other Member States placing goods on the market for the Member State within which they are the PRO. In this case the costs of registration with a PRO in the previous paragraph would apply.</w:t>
      </w:r>
    </w:p>
    <w:p w14:paraId="64226323" w14:textId="402AA6D5" w:rsidR="00A742B6" w:rsidRPr="005B4339" w:rsidRDefault="00A742B6" w:rsidP="009F0C67">
      <w:pPr>
        <w:rPr>
          <w:noProof/>
          <w:lang w:val="en-IE"/>
        </w:rPr>
      </w:pPr>
      <w:r w:rsidRPr="005B4339">
        <w:rPr>
          <w:noProof/>
          <w:lang w:val="en-IE"/>
        </w:rPr>
        <w:t>Additionally, producers will be required to provide information on the volume of products placed on the market and in relation to the eco-modulation of fees to determine the fees payable on the basis of the eco-modulation criteria applicable to their products.  The production of data addressing the overall volume of goods placed on the market would be similar to the costs of initial registration i.e.</w:t>
      </w:r>
      <w:r w:rsidR="009F0C67" w:rsidRPr="005B4339">
        <w:rPr>
          <w:noProof/>
          <w:lang w:val="en-IE"/>
        </w:rPr>
        <w:t>,</w:t>
      </w:r>
      <w:r w:rsidRPr="005B4339">
        <w:rPr>
          <w:noProof/>
          <w:lang w:val="en-IE"/>
        </w:rPr>
        <w:t xml:space="preserve"> 0.5 day per producer. The costs highlighted above for one-off registration would, therefore, be duplicated for this reporting measure i.e.</w:t>
      </w:r>
      <w:r w:rsidR="009F0C67" w:rsidRPr="005B4339">
        <w:rPr>
          <w:noProof/>
          <w:lang w:val="en-IE"/>
        </w:rPr>
        <w:t>,</w:t>
      </w:r>
      <w:r w:rsidRPr="005B4339">
        <w:rPr>
          <w:noProof/>
          <w:lang w:val="en-IE"/>
        </w:rPr>
        <w:t xml:space="preserve"> the total costs would be approximately </w:t>
      </w:r>
      <w:r w:rsidR="00874CE7" w:rsidRPr="005B4339">
        <w:rPr>
          <w:noProof/>
          <w:lang w:val="en-IE"/>
        </w:rPr>
        <w:t>13.4</w:t>
      </w:r>
      <w:r w:rsidR="00B31CB0" w:rsidRPr="005B4339">
        <w:rPr>
          <w:noProof/>
          <w:lang w:val="en-IE"/>
        </w:rPr>
        <w:t xml:space="preserve"> million euro</w:t>
      </w:r>
      <w:r w:rsidRPr="005B4339">
        <w:rPr>
          <w:noProof/>
          <w:lang w:val="en-IE"/>
        </w:rPr>
        <w:t xml:space="preserve"> per </w:t>
      </w:r>
      <w:r w:rsidR="00D00D1B" w:rsidRPr="005B4339">
        <w:rPr>
          <w:noProof/>
          <w:lang w:val="en-IE"/>
        </w:rPr>
        <w:t>year</w:t>
      </w:r>
      <w:r w:rsidRPr="005B4339">
        <w:rPr>
          <w:noProof/>
          <w:lang w:val="en-IE"/>
        </w:rPr>
        <w:t xml:space="preserve"> should micro-enterprises be included and </w:t>
      </w:r>
      <w:r w:rsidR="00874CE7" w:rsidRPr="005B4339">
        <w:rPr>
          <w:noProof/>
          <w:lang w:val="en-IE"/>
        </w:rPr>
        <w:t>1.35 million</w:t>
      </w:r>
      <w:r w:rsidRPr="005B4339">
        <w:rPr>
          <w:noProof/>
          <w:lang w:val="en-IE"/>
        </w:rPr>
        <w:t xml:space="preserve"> </w:t>
      </w:r>
      <w:r w:rsidR="009F0C67" w:rsidRPr="005B4339">
        <w:rPr>
          <w:noProof/>
          <w:lang w:val="en-IE"/>
        </w:rPr>
        <w:t xml:space="preserve">euro </w:t>
      </w:r>
      <w:r w:rsidRPr="005B4339">
        <w:rPr>
          <w:noProof/>
          <w:lang w:val="en-IE"/>
        </w:rPr>
        <w:t xml:space="preserve">per </w:t>
      </w:r>
      <w:r w:rsidR="00D00D1B" w:rsidRPr="005B4339">
        <w:rPr>
          <w:noProof/>
          <w:lang w:val="en-IE"/>
        </w:rPr>
        <w:t>year</w:t>
      </w:r>
      <w:r w:rsidRPr="005B4339">
        <w:rPr>
          <w:noProof/>
          <w:lang w:val="en-IE"/>
        </w:rPr>
        <w:t xml:space="preserve"> were they not. The production of data in relation to the eco-modulation of fees, however, will require more time and effort. In the case of </w:t>
      </w:r>
      <w:r w:rsidR="3A18A097" w:rsidRPr="005B4339">
        <w:rPr>
          <w:noProof/>
          <w:lang w:val="en-IE"/>
        </w:rPr>
        <w:t>the French EPR,</w:t>
      </w:r>
      <w:r w:rsidRPr="005B4339">
        <w:rPr>
          <w:noProof/>
          <w:lang w:val="en-IE"/>
        </w:rPr>
        <w:t xml:space="preserve"> the sustainability, integration of recycled materials from household waste and integration of recycled materials from production scrap alongside the base EPR fees effectively results in almost 50 categories to be considered in reporting of eco-modulation fees applicable. The costs are, therefore, dependent on the record keeping of producers against these criteria in any production year to simplify overall reporting alongside any efficiencies that may be achievable by providing standardised reporting tools to producers to assist them in their reporting and calculations. The time taken to report against a similar set of criteria applicable in </w:t>
      </w:r>
      <w:r w:rsidR="789F6141" w:rsidRPr="005B4339">
        <w:rPr>
          <w:noProof/>
          <w:lang w:val="en-IE"/>
        </w:rPr>
        <w:t>F</w:t>
      </w:r>
      <w:r w:rsidR="0180A99B" w:rsidRPr="005B4339">
        <w:rPr>
          <w:noProof/>
          <w:lang w:val="en-IE"/>
        </w:rPr>
        <w:t>rance</w:t>
      </w:r>
      <w:r w:rsidRPr="005B4339">
        <w:rPr>
          <w:noProof/>
          <w:lang w:val="en-IE"/>
        </w:rPr>
        <w:t xml:space="preserve"> is estimated as 2 working days per enterprise or 416 </w:t>
      </w:r>
      <w:r w:rsidR="00B31CB0" w:rsidRPr="005B4339">
        <w:rPr>
          <w:noProof/>
          <w:lang w:val="en-IE"/>
        </w:rPr>
        <w:t xml:space="preserve">euro </w:t>
      </w:r>
      <w:r w:rsidRPr="005B4339">
        <w:rPr>
          <w:noProof/>
          <w:lang w:val="en-IE"/>
        </w:rPr>
        <w:t>per producer. The costs applicable in relation to both of these annual obligations is addressed below.</w:t>
      </w:r>
      <w:r w:rsidR="56B6C104" w:rsidRPr="005B4339">
        <w:rPr>
          <w:noProof/>
          <w:lang w:val="en-IE"/>
        </w:rPr>
        <w:t xml:space="preserve"> </w:t>
      </w:r>
      <w:r w:rsidR="19AA6774" w:rsidRPr="005B4339">
        <w:rPr>
          <w:noProof/>
          <w:lang w:val="en-IE"/>
        </w:rPr>
        <w:t xml:space="preserve">Cost mitigation aspects of this measure entail: mandating the reporting under the PRO to take place </w:t>
      </w:r>
      <w:r w:rsidR="00095FD1" w:rsidRPr="005B4339">
        <w:rPr>
          <w:noProof/>
          <w:lang w:val="en-IE"/>
        </w:rPr>
        <w:t>annually</w:t>
      </w:r>
      <w:r w:rsidR="19AA6774" w:rsidRPr="005B4339">
        <w:rPr>
          <w:noProof/>
          <w:lang w:val="en-IE"/>
        </w:rPr>
        <w:t xml:space="preserve"> and </w:t>
      </w:r>
      <w:r w:rsidR="00095FD1" w:rsidRPr="005B4339">
        <w:rPr>
          <w:noProof/>
          <w:lang w:val="en-IE"/>
        </w:rPr>
        <w:t>envisaging</w:t>
      </w:r>
      <w:r w:rsidR="19AA6774" w:rsidRPr="005B4339">
        <w:rPr>
          <w:noProof/>
          <w:lang w:val="en-IE"/>
        </w:rPr>
        <w:t xml:space="preserve"> a mandate to the Commission to develop harmonised rules for the fee modulation </w:t>
      </w:r>
      <w:r w:rsidR="41E6B91B" w:rsidRPr="005B4339">
        <w:rPr>
          <w:noProof/>
          <w:lang w:val="en-IE"/>
        </w:rPr>
        <w:t>purposes, including on the product category granularity for fee application.</w:t>
      </w:r>
    </w:p>
    <w:p w14:paraId="6B93A0F8" w14:textId="12162CA6" w:rsidR="009F0C67" w:rsidRPr="005B4339" w:rsidRDefault="009F0C67" w:rsidP="00A742B6">
      <w:pPr>
        <w:spacing w:after="120"/>
        <w:rPr>
          <w:noProof/>
          <w:lang w:val="en-IE"/>
        </w:rPr>
      </w:pPr>
      <w:bookmarkStart w:id="150" w:name="_Toc133229481"/>
      <w:bookmarkStart w:id="151" w:name="_Toc139032035"/>
      <w:r w:rsidRPr="005B4339">
        <w:rPr>
          <w:i/>
          <w:noProof/>
          <w:lang w:val="en-IE"/>
        </w:rPr>
        <w:t xml:space="preserve">Table </w:t>
      </w:r>
      <w:r w:rsidR="00393DFA">
        <w:rPr>
          <w:i/>
          <w:iCs/>
          <w:noProof/>
        </w:rPr>
        <w:t>19</w:t>
      </w:r>
      <w:r w:rsidRPr="005B4339">
        <w:rPr>
          <w:i/>
          <w:noProof/>
          <w:lang w:val="en-IE"/>
        </w:rPr>
        <w:t xml:space="preserve"> : Indicative annual costs of reporting total quantities of goods placed on the </w:t>
      </w:r>
      <w:r w:rsidR="00171073" w:rsidRPr="005B4339">
        <w:rPr>
          <w:i/>
          <w:noProof/>
          <w:lang w:val="en-IE"/>
        </w:rPr>
        <w:t>m</w:t>
      </w:r>
      <w:r w:rsidRPr="005B4339">
        <w:rPr>
          <w:i/>
          <w:noProof/>
          <w:lang w:val="en-IE"/>
        </w:rPr>
        <w:t>arket as well as data on eco-modulation for EU manufacturers of textiles</w:t>
      </w:r>
      <w:bookmarkEnd w:id="150"/>
      <w:bookmarkEnd w:id="151"/>
    </w:p>
    <w:tbl>
      <w:tblPr>
        <w:tblW w:w="0" w:type="auto"/>
        <w:tblInd w:w="-5" w:type="dxa"/>
        <w:tblLook w:val="04A0" w:firstRow="1" w:lastRow="0" w:firstColumn="1" w:lastColumn="0" w:noHBand="0" w:noVBand="1"/>
      </w:tblPr>
      <w:tblGrid>
        <w:gridCol w:w="3229"/>
        <w:gridCol w:w="2245"/>
        <w:gridCol w:w="2563"/>
        <w:gridCol w:w="1544"/>
      </w:tblGrid>
      <w:tr w:rsidR="003D36EC" w:rsidRPr="005B4339" w14:paraId="50F5A339" w14:textId="77777777" w:rsidTr="003D36EC">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0628A2" w14:textId="77777777" w:rsidR="00D15F10" w:rsidRPr="005B4339" w:rsidRDefault="00D15F10">
            <w:pPr>
              <w:spacing w:after="0"/>
              <w:rPr>
                <w:b/>
                <w:bCs/>
                <w:noProof/>
                <w:color w:val="000000"/>
                <w:sz w:val="22"/>
                <w:szCs w:val="22"/>
              </w:rPr>
            </w:pPr>
            <w:r w:rsidRPr="005B4339">
              <w:rPr>
                <w:b/>
                <w:bCs/>
                <w:noProof/>
                <w:color w:val="000000"/>
                <w:sz w:val="22"/>
                <w:szCs w:val="22"/>
              </w:rPr>
              <w:lastRenderedPageBreak/>
              <w:t>Size of company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518CAB" w14:textId="77777777" w:rsidR="00D15F10" w:rsidRPr="005B4339" w:rsidRDefault="00D15F10">
            <w:pPr>
              <w:rPr>
                <w:b/>
                <w:bCs/>
                <w:noProof/>
                <w:color w:val="000000"/>
                <w:sz w:val="22"/>
                <w:szCs w:val="22"/>
              </w:rPr>
            </w:pPr>
            <w:r w:rsidRPr="005B4339">
              <w:rPr>
                <w:b/>
                <w:bCs/>
                <w:noProof/>
                <w:color w:val="000000"/>
                <w:sz w:val="22"/>
                <w:szCs w:val="22"/>
              </w:rPr>
              <w:t>Number of producers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8E5057" w14:textId="77777777" w:rsidR="00D15F10" w:rsidRPr="005B4339" w:rsidRDefault="00D15F10">
            <w:pPr>
              <w:rPr>
                <w:b/>
                <w:bCs/>
                <w:noProof/>
                <w:color w:val="000000"/>
                <w:sz w:val="22"/>
                <w:szCs w:val="22"/>
              </w:rPr>
            </w:pPr>
            <w:r w:rsidRPr="005B4339">
              <w:rPr>
                <w:b/>
                <w:bCs/>
                <w:noProof/>
                <w:color w:val="000000"/>
                <w:sz w:val="22"/>
                <w:szCs w:val="22"/>
              </w:rPr>
              <w:t>Cost of annual PoM data</w:t>
            </w:r>
          </w:p>
        </w:tc>
        <w:tc>
          <w:tcPr>
            <w:tcW w:w="1721" w:type="dxa"/>
            <w:tcBorders>
              <w:top w:val="single" w:sz="8" w:space="0" w:color="auto"/>
              <w:left w:val="nil"/>
              <w:bottom w:val="single" w:sz="8" w:space="0" w:color="auto"/>
              <w:right w:val="single" w:sz="8" w:space="0" w:color="auto"/>
            </w:tcBorders>
            <w:shd w:val="clear" w:color="auto" w:fill="auto"/>
            <w:vAlign w:val="center"/>
            <w:hideMark/>
          </w:tcPr>
          <w:p w14:paraId="52ACF9BD" w14:textId="77777777" w:rsidR="00D15F10" w:rsidRPr="005B4339" w:rsidRDefault="00D15F10">
            <w:pPr>
              <w:rPr>
                <w:b/>
                <w:bCs/>
                <w:noProof/>
                <w:color w:val="000000"/>
                <w:sz w:val="22"/>
                <w:szCs w:val="22"/>
              </w:rPr>
            </w:pPr>
            <w:r w:rsidRPr="005B4339">
              <w:rPr>
                <w:b/>
                <w:bCs/>
                <w:noProof/>
                <w:color w:val="000000"/>
                <w:sz w:val="22"/>
                <w:szCs w:val="22"/>
              </w:rPr>
              <w:t>Cost of eco-modulation reporting</w:t>
            </w:r>
          </w:p>
        </w:tc>
      </w:tr>
      <w:tr w:rsidR="003D36EC" w:rsidRPr="005B4339" w14:paraId="798C7B59"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839A32" w14:textId="77777777" w:rsidR="00D15F10" w:rsidRPr="005B4339" w:rsidRDefault="00D15F10">
            <w:pPr>
              <w:rPr>
                <w:noProof/>
                <w:color w:val="000000"/>
                <w:sz w:val="22"/>
                <w:szCs w:val="22"/>
              </w:rPr>
            </w:pPr>
            <w:r w:rsidRPr="005B4339">
              <w:rPr>
                <w:noProof/>
                <w:color w:val="000000"/>
                <w:sz w:val="22"/>
                <w:szCs w:val="22"/>
              </w:rPr>
              <w:t>From 0 to 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25BF5DDC" w14:textId="77777777" w:rsidR="00D15F10" w:rsidRPr="005B4339" w:rsidRDefault="00D15F10">
            <w:pPr>
              <w:jc w:val="right"/>
              <w:rPr>
                <w:noProof/>
                <w:color w:val="000000"/>
                <w:sz w:val="22"/>
                <w:szCs w:val="22"/>
              </w:rPr>
            </w:pPr>
            <w:r w:rsidRPr="005B4339">
              <w:rPr>
                <w:noProof/>
                <w:color w:val="000000"/>
                <w:sz w:val="22"/>
                <w:szCs w:val="22"/>
              </w:rPr>
              <w:t>115,943</w:t>
            </w:r>
          </w:p>
        </w:tc>
        <w:tc>
          <w:tcPr>
            <w:tcW w:w="0" w:type="auto"/>
            <w:tcBorders>
              <w:top w:val="nil"/>
              <w:left w:val="nil"/>
              <w:bottom w:val="single" w:sz="8" w:space="0" w:color="auto"/>
              <w:right w:val="single" w:sz="8" w:space="0" w:color="auto"/>
            </w:tcBorders>
            <w:shd w:val="clear" w:color="auto" w:fill="auto"/>
            <w:noWrap/>
            <w:vAlign w:val="center"/>
            <w:hideMark/>
          </w:tcPr>
          <w:p w14:paraId="398097C4" w14:textId="77777777" w:rsidR="00D15F10" w:rsidRPr="005B4339" w:rsidRDefault="00D15F10">
            <w:pPr>
              <w:jc w:val="center"/>
              <w:rPr>
                <w:noProof/>
                <w:color w:val="000000"/>
                <w:sz w:val="22"/>
                <w:szCs w:val="22"/>
              </w:rPr>
            </w:pPr>
            <w:r w:rsidRPr="005B4339">
              <w:rPr>
                <w:noProof/>
                <w:color w:val="000000"/>
                <w:sz w:val="22"/>
                <w:szCs w:val="22"/>
              </w:rPr>
              <w:t>12,058,072</w:t>
            </w:r>
          </w:p>
        </w:tc>
        <w:tc>
          <w:tcPr>
            <w:tcW w:w="1721" w:type="dxa"/>
            <w:tcBorders>
              <w:top w:val="nil"/>
              <w:left w:val="nil"/>
              <w:bottom w:val="single" w:sz="8" w:space="0" w:color="auto"/>
              <w:right w:val="single" w:sz="8" w:space="0" w:color="auto"/>
            </w:tcBorders>
            <w:shd w:val="clear" w:color="auto" w:fill="auto"/>
            <w:vAlign w:val="center"/>
            <w:hideMark/>
          </w:tcPr>
          <w:p w14:paraId="154B01B0" w14:textId="77777777" w:rsidR="00D15F10" w:rsidRPr="005B4339" w:rsidRDefault="00D15F10">
            <w:pPr>
              <w:jc w:val="center"/>
              <w:rPr>
                <w:noProof/>
                <w:color w:val="000000"/>
                <w:sz w:val="22"/>
                <w:szCs w:val="22"/>
              </w:rPr>
            </w:pPr>
            <w:r w:rsidRPr="005B4339">
              <w:rPr>
                <w:noProof/>
                <w:color w:val="000000"/>
                <w:sz w:val="22"/>
                <w:szCs w:val="22"/>
              </w:rPr>
              <w:t>48,232,288</w:t>
            </w:r>
          </w:p>
        </w:tc>
      </w:tr>
      <w:tr w:rsidR="003D36EC" w:rsidRPr="005B4339" w14:paraId="234C078E"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65114D" w14:textId="77777777" w:rsidR="00D15F10" w:rsidRPr="005B4339" w:rsidRDefault="00D15F10">
            <w:pPr>
              <w:rPr>
                <w:noProof/>
                <w:color w:val="000000"/>
                <w:sz w:val="22"/>
                <w:szCs w:val="22"/>
              </w:rPr>
            </w:pPr>
            <w:r w:rsidRPr="005B4339">
              <w:rPr>
                <w:noProof/>
                <w:color w:val="000000"/>
                <w:sz w:val="22"/>
                <w:szCs w:val="22"/>
              </w:rPr>
              <w:t>From 10 to 19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49557623" w14:textId="77777777" w:rsidR="00D15F10" w:rsidRPr="005B4339" w:rsidRDefault="00D15F10">
            <w:pPr>
              <w:jc w:val="right"/>
              <w:rPr>
                <w:noProof/>
                <w:color w:val="000000"/>
                <w:sz w:val="22"/>
                <w:szCs w:val="22"/>
              </w:rPr>
            </w:pPr>
            <w:r w:rsidRPr="005B4339">
              <w:rPr>
                <w:noProof/>
                <w:color w:val="000000"/>
                <w:sz w:val="22"/>
                <w:szCs w:val="22"/>
              </w:rPr>
              <w:t>6,767</w:t>
            </w:r>
          </w:p>
        </w:tc>
        <w:tc>
          <w:tcPr>
            <w:tcW w:w="0" w:type="auto"/>
            <w:tcBorders>
              <w:top w:val="nil"/>
              <w:left w:val="nil"/>
              <w:bottom w:val="single" w:sz="8" w:space="0" w:color="auto"/>
              <w:right w:val="single" w:sz="8" w:space="0" w:color="auto"/>
            </w:tcBorders>
            <w:shd w:val="clear" w:color="auto" w:fill="auto"/>
            <w:noWrap/>
            <w:vAlign w:val="center"/>
            <w:hideMark/>
          </w:tcPr>
          <w:p w14:paraId="6EA1FB46" w14:textId="77777777" w:rsidR="00D15F10" w:rsidRPr="005B4339" w:rsidRDefault="00D15F10">
            <w:pPr>
              <w:jc w:val="center"/>
              <w:rPr>
                <w:noProof/>
                <w:color w:val="000000"/>
                <w:sz w:val="22"/>
                <w:szCs w:val="22"/>
              </w:rPr>
            </w:pPr>
            <w:r w:rsidRPr="005B4339">
              <w:rPr>
                <w:noProof/>
                <w:color w:val="000000"/>
                <w:sz w:val="22"/>
                <w:szCs w:val="22"/>
              </w:rPr>
              <w:t>703,768</w:t>
            </w:r>
          </w:p>
        </w:tc>
        <w:tc>
          <w:tcPr>
            <w:tcW w:w="1721" w:type="dxa"/>
            <w:tcBorders>
              <w:top w:val="nil"/>
              <w:left w:val="nil"/>
              <w:bottom w:val="single" w:sz="8" w:space="0" w:color="auto"/>
              <w:right w:val="single" w:sz="8" w:space="0" w:color="auto"/>
            </w:tcBorders>
            <w:shd w:val="clear" w:color="auto" w:fill="auto"/>
            <w:vAlign w:val="center"/>
            <w:hideMark/>
          </w:tcPr>
          <w:p w14:paraId="57318F1C" w14:textId="77777777" w:rsidR="00D15F10" w:rsidRPr="005B4339" w:rsidRDefault="00D15F10">
            <w:pPr>
              <w:jc w:val="center"/>
              <w:rPr>
                <w:noProof/>
                <w:color w:val="000000"/>
                <w:sz w:val="22"/>
                <w:szCs w:val="22"/>
              </w:rPr>
            </w:pPr>
            <w:r w:rsidRPr="005B4339">
              <w:rPr>
                <w:noProof/>
                <w:color w:val="000000"/>
                <w:sz w:val="22"/>
                <w:szCs w:val="22"/>
              </w:rPr>
              <w:t>2,815,072</w:t>
            </w:r>
          </w:p>
        </w:tc>
      </w:tr>
      <w:tr w:rsidR="003D36EC" w:rsidRPr="005B4339" w14:paraId="2E910A1E"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CA9905" w14:textId="77777777" w:rsidR="00D15F10" w:rsidRPr="005B4339" w:rsidRDefault="00D15F10">
            <w:pPr>
              <w:rPr>
                <w:noProof/>
                <w:color w:val="000000"/>
                <w:sz w:val="22"/>
                <w:szCs w:val="22"/>
              </w:rPr>
            </w:pPr>
            <w:r w:rsidRPr="005B4339">
              <w:rPr>
                <w:noProof/>
                <w:color w:val="000000"/>
                <w:sz w:val="22"/>
                <w:szCs w:val="22"/>
              </w:rPr>
              <w:t>From 20 to 49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155D24C5" w14:textId="77777777" w:rsidR="00D15F10" w:rsidRPr="005B4339" w:rsidRDefault="00D15F10">
            <w:pPr>
              <w:jc w:val="right"/>
              <w:rPr>
                <w:noProof/>
                <w:color w:val="000000"/>
                <w:sz w:val="22"/>
                <w:szCs w:val="22"/>
              </w:rPr>
            </w:pPr>
            <w:r w:rsidRPr="005B4339">
              <w:rPr>
                <w:noProof/>
                <w:color w:val="000000"/>
                <w:sz w:val="22"/>
                <w:szCs w:val="22"/>
              </w:rPr>
              <w:t>4,137</w:t>
            </w:r>
          </w:p>
        </w:tc>
        <w:tc>
          <w:tcPr>
            <w:tcW w:w="0" w:type="auto"/>
            <w:tcBorders>
              <w:top w:val="nil"/>
              <w:left w:val="nil"/>
              <w:bottom w:val="single" w:sz="8" w:space="0" w:color="auto"/>
              <w:right w:val="single" w:sz="8" w:space="0" w:color="auto"/>
            </w:tcBorders>
            <w:shd w:val="clear" w:color="auto" w:fill="auto"/>
            <w:noWrap/>
            <w:vAlign w:val="center"/>
            <w:hideMark/>
          </w:tcPr>
          <w:p w14:paraId="315845C6" w14:textId="77777777" w:rsidR="00D15F10" w:rsidRPr="005B4339" w:rsidRDefault="00D15F10">
            <w:pPr>
              <w:jc w:val="center"/>
              <w:rPr>
                <w:noProof/>
                <w:color w:val="000000"/>
                <w:sz w:val="22"/>
                <w:szCs w:val="22"/>
              </w:rPr>
            </w:pPr>
            <w:r w:rsidRPr="005B4339">
              <w:rPr>
                <w:noProof/>
                <w:color w:val="000000"/>
                <w:sz w:val="22"/>
                <w:szCs w:val="22"/>
              </w:rPr>
              <w:t>430,248</w:t>
            </w:r>
          </w:p>
        </w:tc>
        <w:tc>
          <w:tcPr>
            <w:tcW w:w="1721" w:type="dxa"/>
            <w:tcBorders>
              <w:top w:val="nil"/>
              <w:left w:val="nil"/>
              <w:bottom w:val="single" w:sz="8" w:space="0" w:color="auto"/>
              <w:right w:val="single" w:sz="8" w:space="0" w:color="auto"/>
            </w:tcBorders>
            <w:shd w:val="clear" w:color="auto" w:fill="auto"/>
            <w:vAlign w:val="center"/>
            <w:hideMark/>
          </w:tcPr>
          <w:p w14:paraId="22799D37" w14:textId="77777777" w:rsidR="00D15F10" w:rsidRPr="005B4339" w:rsidRDefault="00D15F10">
            <w:pPr>
              <w:jc w:val="center"/>
              <w:rPr>
                <w:noProof/>
                <w:color w:val="000000"/>
                <w:sz w:val="22"/>
                <w:szCs w:val="22"/>
              </w:rPr>
            </w:pPr>
            <w:r w:rsidRPr="005B4339">
              <w:rPr>
                <w:noProof/>
                <w:color w:val="000000"/>
                <w:sz w:val="22"/>
                <w:szCs w:val="22"/>
              </w:rPr>
              <w:t>1,720,992</w:t>
            </w:r>
          </w:p>
        </w:tc>
      </w:tr>
      <w:tr w:rsidR="003D36EC" w:rsidRPr="005B4339" w14:paraId="7D845EC4"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3DF126" w14:textId="77777777" w:rsidR="00D15F10" w:rsidRPr="005B4339" w:rsidRDefault="00D15F10">
            <w:pPr>
              <w:rPr>
                <w:noProof/>
                <w:color w:val="000000"/>
                <w:sz w:val="22"/>
                <w:szCs w:val="22"/>
              </w:rPr>
            </w:pPr>
            <w:r w:rsidRPr="005B4339">
              <w:rPr>
                <w:noProof/>
                <w:color w:val="000000"/>
                <w:sz w:val="22"/>
                <w:szCs w:val="22"/>
              </w:rPr>
              <w:t>From 50 to 249 persons employed</w:t>
            </w:r>
          </w:p>
        </w:tc>
        <w:tc>
          <w:tcPr>
            <w:tcW w:w="0" w:type="auto"/>
            <w:tcBorders>
              <w:top w:val="nil"/>
              <w:left w:val="nil"/>
              <w:bottom w:val="single" w:sz="8" w:space="0" w:color="auto"/>
              <w:right w:val="single" w:sz="8" w:space="0" w:color="auto"/>
            </w:tcBorders>
            <w:shd w:val="clear" w:color="auto" w:fill="auto"/>
            <w:noWrap/>
            <w:vAlign w:val="center"/>
            <w:hideMark/>
          </w:tcPr>
          <w:p w14:paraId="1C5906E3" w14:textId="77777777" w:rsidR="00D15F10" w:rsidRPr="005B4339" w:rsidRDefault="00D15F10">
            <w:pPr>
              <w:jc w:val="right"/>
              <w:rPr>
                <w:noProof/>
                <w:color w:val="000000"/>
                <w:sz w:val="22"/>
                <w:szCs w:val="22"/>
              </w:rPr>
            </w:pPr>
            <w:r w:rsidRPr="005B4339">
              <w:rPr>
                <w:noProof/>
                <w:color w:val="000000"/>
                <w:sz w:val="22"/>
                <w:szCs w:val="22"/>
              </w:rPr>
              <w:t>1,920</w:t>
            </w:r>
          </w:p>
        </w:tc>
        <w:tc>
          <w:tcPr>
            <w:tcW w:w="0" w:type="auto"/>
            <w:tcBorders>
              <w:top w:val="nil"/>
              <w:left w:val="nil"/>
              <w:bottom w:val="single" w:sz="8" w:space="0" w:color="auto"/>
              <w:right w:val="single" w:sz="8" w:space="0" w:color="auto"/>
            </w:tcBorders>
            <w:shd w:val="clear" w:color="auto" w:fill="auto"/>
            <w:noWrap/>
            <w:vAlign w:val="center"/>
            <w:hideMark/>
          </w:tcPr>
          <w:p w14:paraId="1E6A0244" w14:textId="77777777" w:rsidR="00D15F10" w:rsidRPr="005B4339" w:rsidRDefault="00D15F10">
            <w:pPr>
              <w:jc w:val="center"/>
              <w:rPr>
                <w:noProof/>
                <w:color w:val="000000"/>
                <w:sz w:val="22"/>
                <w:szCs w:val="22"/>
              </w:rPr>
            </w:pPr>
            <w:r w:rsidRPr="005B4339">
              <w:rPr>
                <w:noProof/>
                <w:color w:val="000000"/>
                <w:sz w:val="22"/>
                <w:szCs w:val="22"/>
              </w:rPr>
              <w:t>199,680</w:t>
            </w:r>
          </w:p>
        </w:tc>
        <w:tc>
          <w:tcPr>
            <w:tcW w:w="1721" w:type="dxa"/>
            <w:tcBorders>
              <w:top w:val="nil"/>
              <w:left w:val="nil"/>
              <w:bottom w:val="single" w:sz="8" w:space="0" w:color="auto"/>
              <w:right w:val="single" w:sz="8" w:space="0" w:color="auto"/>
            </w:tcBorders>
            <w:shd w:val="clear" w:color="auto" w:fill="auto"/>
            <w:vAlign w:val="center"/>
            <w:hideMark/>
          </w:tcPr>
          <w:p w14:paraId="63E5AF56" w14:textId="77777777" w:rsidR="00D15F10" w:rsidRPr="005B4339" w:rsidRDefault="00D15F10">
            <w:pPr>
              <w:jc w:val="center"/>
              <w:rPr>
                <w:noProof/>
                <w:color w:val="000000"/>
                <w:sz w:val="22"/>
                <w:szCs w:val="22"/>
              </w:rPr>
            </w:pPr>
            <w:r w:rsidRPr="005B4339">
              <w:rPr>
                <w:noProof/>
                <w:color w:val="000000"/>
                <w:sz w:val="22"/>
                <w:szCs w:val="22"/>
              </w:rPr>
              <w:t>798,720</w:t>
            </w:r>
          </w:p>
        </w:tc>
      </w:tr>
      <w:tr w:rsidR="003D36EC" w:rsidRPr="005B4339" w14:paraId="73D35E83"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346DF4" w14:textId="77777777" w:rsidR="00D15F10" w:rsidRPr="005B4339" w:rsidRDefault="00D15F10">
            <w:pPr>
              <w:rPr>
                <w:noProof/>
                <w:color w:val="000000"/>
                <w:sz w:val="22"/>
                <w:szCs w:val="22"/>
              </w:rPr>
            </w:pPr>
            <w:r w:rsidRPr="005B4339">
              <w:rPr>
                <w:noProof/>
                <w:color w:val="000000"/>
                <w:sz w:val="22"/>
                <w:szCs w:val="22"/>
              </w:rPr>
              <w:t>250 persons employed or more</w:t>
            </w:r>
          </w:p>
        </w:tc>
        <w:tc>
          <w:tcPr>
            <w:tcW w:w="0" w:type="auto"/>
            <w:tcBorders>
              <w:top w:val="nil"/>
              <w:left w:val="nil"/>
              <w:bottom w:val="single" w:sz="8" w:space="0" w:color="auto"/>
              <w:right w:val="single" w:sz="8" w:space="0" w:color="auto"/>
            </w:tcBorders>
            <w:shd w:val="clear" w:color="auto" w:fill="auto"/>
            <w:noWrap/>
            <w:vAlign w:val="center"/>
            <w:hideMark/>
          </w:tcPr>
          <w:p w14:paraId="286B0115" w14:textId="77777777" w:rsidR="00D15F10" w:rsidRPr="005B4339" w:rsidRDefault="00D15F10">
            <w:pPr>
              <w:jc w:val="right"/>
              <w:rPr>
                <w:noProof/>
                <w:color w:val="000000"/>
                <w:sz w:val="22"/>
                <w:szCs w:val="22"/>
              </w:rPr>
            </w:pPr>
            <w:r w:rsidRPr="005B4339">
              <w:rPr>
                <w:noProof/>
                <w:color w:val="000000"/>
                <w:sz w:val="22"/>
                <w:szCs w:val="22"/>
              </w:rPr>
              <w:t>240</w:t>
            </w:r>
          </w:p>
        </w:tc>
        <w:tc>
          <w:tcPr>
            <w:tcW w:w="0" w:type="auto"/>
            <w:tcBorders>
              <w:top w:val="nil"/>
              <w:left w:val="nil"/>
              <w:bottom w:val="single" w:sz="8" w:space="0" w:color="auto"/>
              <w:right w:val="single" w:sz="8" w:space="0" w:color="auto"/>
            </w:tcBorders>
            <w:shd w:val="clear" w:color="auto" w:fill="auto"/>
            <w:noWrap/>
            <w:vAlign w:val="center"/>
            <w:hideMark/>
          </w:tcPr>
          <w:p w14:paraId="2C155B7F" w14:textId="77777777" w:rsidR="00D15F10" w:rsidRPr="005B4339" w:rsidRDefault="00D15F10">
            <w:pPr>
              <w:jc w:val="center"/>
              <w:rPr>
                <w:noProof/>
                <w:color w:val="000000"/>
                <w:sz w:val="22"/>
                <w:szCs w:val="22"/>
              </w:rPr>
            </w:pPr>
            <w:r w:rsidRPr="005B4339">
              <w:rPr>
                <w:noProof/>
                <w:color w:val="000000"/>
                <w:sz w:val="22"/>
                <w:szCs w:val="22"/>
              </w:rPr>
              <w:t>24,960</w:t>
            </w:r>
          </w:p>
        </w:tc>
        <w:tc>
          <w:tcPr>
            <w:tcW w:w="1721" w:type="dxa"/>
            <w:tcBorders>
              <w:top w:val="nil"/>
              <w:left w:val="nil"/>
              <w:bottom w:val="single" w:sz="8" w:space="0" w:color="auto"/>
              <w:right w:val="single" w:sz="8" w:space="0" w:color="auto"/>
            </w:tcBorders>
            <w:shd w:val="clear" w:color="auto" w:fill="auto"/>
            <w:vAlign w:val="center"/>
            <w:hideMark/>
          </w:tcPr>
          <w:p w14:paraId="4A63DAF2" w14:textId="77777777" w:rsidR="00D15F10" w:rsidRPr="005B4339" w:rsidRDefault="00D15F10">
            <w:pPr>
              <w:jc w:val="center"/>
              <w:rPr>
                <w:noProof/>
                <w:color w:val="000000"/>
                <w:sz w:val="22"/>
                <w:szCs w:val="22"/>
              </w:rPr>
            </w:pPr>
            <w:r w:rsidRPr="005B4339">
              <w:rPr>
                <w:noProof/>
                <w:color w:val="000000"/>
                <w:sz w:val="22"/>
                <w:szCs w:val="22"/>
              </w:rPr>
              <w:t>99,840</w:t>
            </w:r>
          </w:p>
        </w:tc>
      </w:tr>
      <w:tr w:rsidR="003D36EC" w:rsidRPr="005B4339" w14:paraId="36C01332" w14:textId="77777777" w:rsidTr="003D36E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DDB750" w14:textId="77777777" w:rsidR="00D15F10" w:rsidRPr="005B4339" w:rsidRDefault="00D15F10">
            <w:pPr>
              <w:rPr>
                <w:noProof/>
                <w:color w:val="000000"/>
                <w:sz w:val="22"/>
                <w:szCs w:val="22"/>
              </w:rPr>
            </w:pPr>
            <w:r w:rsidRPr="005B4339">
              <w:rPr>
                <w:noProof/>
                <w:color w:val="000000"/>
                <w:sz w:val="22"/>
                <w:szCs w:val="22"/>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6ACE24F1" w14:textId="77777777" w:rsidR="00D15F10" w:rsidRPr="005B4339" w:rsidRDefault="00D15F10">
            <w:pPr>
              <w:jc w:val="right"/>
              <w:rPr>
                <w:noProof/>
                <w:color w:val="000000"/>
                <w:sz w:val="22"/>
                <w:szCs w:val="22"/>
              </w:rPr>
            </w:pPr>
            <w:r w:rsidRPr="005B4339">
              <w:rPr>
                <w:noProof/>
                <w:color w:val="000000"/>
                <w:sz w:val="22"/>
                <w:szCs w:val="22"/>
              </w:rPr>
              <w:t>129,007</w:t>
            </w:r>
          </w:p>
        </w:tc>
        <w:tc>
          <w:tcPr>
            <w:tcW w:w="0" w:type="auto"/>
            <w:tcBorders>
              <w:top w:val="nil"/>
              <w:left w:val="nil"/>
              <w:bottom w:val="single" w:sz="8" w:space="0" w:color="auto"/>
              <w:right w:val="single" w:sz="8" w:space="0" w:color="auto"/>
            </w:tcBorders>
            <w:shd w:val="clear" w:color="auto" w:fill="auto"/>
            <w:noWrap/>
            <w:vAlign w:val="center"/>
            <w:hideMark/>
          </w:tcPr>
          <w:p w14:paraId="016C2A31" w14:textId="77777777" w:rsidR="00D15F10" w:rsidRPr="005B4339" w:rsidRDefault="00D15F10">
            <w:pPr>
              <w:jc w:val="center"/>
              <w:rPr>
                <w:noProof/>
                <w:color w:val="000000"/>
                <w:sz w:val="22"/>
                <w:szCs w:val="22"/>
              </w:rPr>
            </w:pPr>
            <w:r w:rsidRPr="005B4339">
              <w:rPr>
                <w:noProof/>
                <w:color w:val="000000"/>
                <w:sz w:val="22"/>
                <w:szCs w:val="22"/>
              </w:rPr>
              <w:t>13,416,728</w:t>
            </w:r>
          </w:p>
        </w:tc>
        <w:tc>
          <w:tcPr>
            <w:tcW w:w="1721" w:type="dxa"/>
            <w:tcBorders>
              <w:top w:val="nil"/>
              <w:left w:val="nil"/>
              <w:bottom w:val="single" w:sz="8" w:space="0" w:color="auto"/>
              <w:right w:val="single" w:sz="8" w:space="0" w:color="auto"/>
            </w:tcBorders>
            <w:shd w:val="clear" w:color="auto" w:fill="auto"/>
            <w:vAlign w:val="center"/>
            <w:hideMark/>
          </w:tcPr>
          <w:p w14:paraId="2D9B3800" w14:textId="77777777" w:rsidR="00D15F10" w:rsidRPr="005B4339" w:rsidRDefault="00D15F10">
            <w:pPr>
              <w:jc w:val="center"/>
              <w:rPr>
                <w:noProof/>
                <w:color w:val="000000"/>
                <w:sz w:val="22"/>
                <w:szCs w:val="22"/>
              </w:rPr>
            </w:pPr>
            <w:r w:rsidRPr="005B4339">
              <w:rPr>
                <w:noProof/>
                <w:color w:val="000000"/>
                <w:sz w:val="22"/>
                <w:szCs w:val="22"/>
              </w:rPr>
              <w:t>53,666,912</w:t>
            </w:r>
          </w:p>
        </w:tc>
      </w:tr>
    </w:tbl>
    <w:p w14:paraId="38CC60E7" w14:textId="77777777" w:rsidR="00213399" w:rsidRPr="005B4339" w:rsidRDefault="00213399" w:rsidP="6264120E">
      <w:pPr>
        <w:spacing w:after="120"/>
        <w:rPr>
          <w:noProof/>
          <w:lang w:val="en-IE"/>
        </w:rPr>
      </w:pPr>
    </w:p>
    <w:p w14:paraId="5AE6D32D" w14:textId="5CCD96E9" w:rsidR="002538B0" w:rsidRPr="005B4339" w:rsidRDefault="002538B0" w:rsidP="6264120E">
      <w:pPr>
        <w:spacing w:after="120"/>
        <w:rPr>
          <w:noProof/>
          <w:lang w:val="en-IE"/>
        </w:rPr>
      </w:pPr>
      <w:r w:rsidRPr="005B4339">
        <w:rPr>
          <w:noProof/>
          <w:lang w:val="en-IE"/>
        </w:rPr>
        <w:t xml:space="preserve">In keeping with existing EPR obligations under the acquis addressing </w:t>
      </w:r>
      <w:r w:rsidR="1A6B6516" w:rsidRPr="005B4339">
        <w:rPr>
          <w:noProof/>
          <w:lang w:val="en-IE"/>
        </w:rPr>
        <w:t>electric and electronic equipment, batteries and packaging,</w:t>
      </w:r>
      <w:r w:rsidRPr="005B4339">
        <w:rPr>
          <w:noProof/>
          <w:lang w:val="en-IE"/>
        </w:rPr>
        <w:t xml:space="preserve"> Member States would be able to decide whether the register of producers is publicly accessible or not. </w:t>
      </w:r>
      <w:r w:rsidR="4F275BA2" w:rsidRPr="005B4339">
        <w:rPr>
          <w:noProof/>
          <w:lang w:val="en-IE"/>
        </w:rPr>
        <w:t xml:space="preserve">In order for the online platforms to fulfil their obligations under this measure </w:t>
      </w:r>
      <w:r w:rsidR="58FACDA4" w:rsidRPr="005B4339">
        <w:rPr>
          <w:noProof/>
          <w:lang w:val="en-IE"/>
        </w:rPr>
        <w:t>as a verifier of</w:t>
      </w:r>
      <w:r w:rsidR="4F275BA2" w:rsidRPr="005B4339">
        <w:rPr>
          <w:noProof/>
          <w:lang w:val="en-IE"/>
        </w:rPr>
        <w:t xml:space="preserve"> traders using their services</w:t>
      </w:r>
      <w:r w:rsidRPr="005B4339">
        <w:rPr>
          <w:noProof/>
          <w:lang w:val="en-IE"/>
        </w:rPr>
        <w:t>, it would be necessary for online platforms to have access to national registers</w:t>
      </w:r>
      <w:r w:rsidR="7E3AADBB" w:rsidRPr="005B4339">
        <w:rPr>
          <w:noProof/>
          <w:lang w:val="en-IE"/>
        </w:rPr>
        <w:t xml:space="preserve">. This should not entail </w:t>
      </w:r>
      <w:r w:rsidR="03EDC3FF" w:rsidRPr="005B4339">
        <w:rPr>
          <w:noProof/>
          <w:lang w:val="en-IE"/>
        </w:rPr>
        <w:t xml:space="preserve">significant </w:t>
      </w:r>
      <w:r w:rsidR="7E3AADBB" w:rsidRPr="005B4339">
        <w:rPr>
          <w:noProof/>
          <w:lang w:val="en-IE"/>
        </w:rPr>
        <w:t>co</w:t>
      </w:r>
      <w:r w:rsidR="1677CF3A" w:rsidRPr="005B4339">
        <w:rPr>
          <w:noProof/>
          <w:lang w:val="en-IE"/>
        </w:rPr>
        <w:t>sts to the producer re</w:t>
      </w:r>
      <w:r w:rsidR="3BF7C222" w:rsidRPr="005B4339">
        <w:rPr>
          <w:noProof/>
          <w:lang w:val="en-IE"/>
        </w:rPr>
        <w:t>gisters; also noting that similar obligations are also relevant for other EPR schemes and their producer registers.</w:t>
      </w:r>
      <w:r w:rsidRPr="005B4339">
        <w:rPr>
          <w:noProof/>
          <w:lang w:val="en-IE"/>
        </w:rPr>
        <w:t xml:space="preserve"> </w:t>
      </w:r>
    </w:p>
    <w:p w14:paraId="6E4A8CCE" w14:textId="58F20B81" w:rsidR="00156560" w:rsidRPr="005B4339" w:rsidRDefault="00156560" w:rsidP="00156560">
      <w:pPr>
        <w:spacing w:after="120"/>
        <w:rPr>
          <w:rFonts w:ascii="Times" w:eastAsia="Times" w:hAnsi="Times" w:cs="Times"/>
          <w:noProof/>
          <w:lang w:val="en-IE"/>
        </w:rPr>
      </w:pPr>
      <w:r w:rsidRPr="005B4339">
        <w:rPr>
          <w:rFonts w:ascii="Times" w:eastAsia="Times" w:hAnsi="Times" w:cs="Times"/>
          <w:noProof/>
          <w:lang w:val="en-IE"/>
        </w:rPr>
        <w:t xml:space="preserve">With regard to the manufacturing </w:t>
      </w:r>
      <w:r w:rsidR="003D36EC" w:rsidRPr="005B4339">
        <w:rPr>
          <w:rFonts w:ascii="Times" w:eastAsia="Times" w:hAnsi="Times" w:cs="Times"/>
          <w:noProof/>
          <w:lang w:val="en-IE"/>
        </w:rPr>
        <w:t xml:space="preserve">of wearing apparel </w:t>
      </w:r>
      <w:r w:rsidRPr="005B4339">
        <w:rPr>
          <w:rFonts w:ascii="Times" w:eastAsia="Times" w:hAnsi="Times" w:cs="Times"/>
          <w:noProof/>
          <w:lang w:val="en-IE"/>
        </w:rPr>
        <w:t>sector, the complete exclusion of micro-enterprises would effectively require the remaining 1</w:t>
      </w:r>
      <w:r w:rsidR="003D36EC" w:rsidRPr="005B4339">
        <w:rPr>
          <w:rFonts w:ascii="Times" w:eastAsia="Times" w:hAnsi="Times" w:cs="Times"/>
          <w:noProof/>
          <w:lang w:val="en-IE"/>
        </w:rPr>
        <w:t>0</w:t>
      </w:r>
      <w:r w:rsidRPr="005B4339">
        <w:rPr>
          <w:rFonts w:ascii="Times" w:eastAsia="Times" w:hAnsi="Times" w:cs="Times"/>
          <w:noProof/>
          <w:lang w:val="en-IE"/>
        </w:rPr>
        <w:t>.</w:t>
      </w:r>
      <w:r w:rsidR="003D36EC" w:rsidRPr="005B4339">
        <w:rPr>
          <w:rFonts w:ascii="Times" w:eastAsia="Times" w:hAnsi="Times" w:cs="Times"/>
          <w:noProof/>
          <w:lang w:val="en-IE"/>
        </w:rPr>
        <w:t>1</w:t>
      </w:r>
      <w:r w:rsidRPr="005B4339">
        <w:rPr>
          <w:rFonts w:ascii="Times" w:eastAsia="Times" w:hAnsi="Times" w:cs="Times"/>
          <w:noProof/>
          <w:lang w:val="en-IE"/>
        </w:rPr>
        <w:t>% of enterprises to address the costs stemming from the exempted entities that represent 8</w:t>
      </w:r>
      <w:r w:rsidR="003D36EC" w:rsidRPr="005B4339">
        <w:rPr>
          <w:rFonts w:ascii="Times" w:eastAsia="Times" w:hAnsi="Times" w:cs="Times"/>
          <w:noProof/>
          <w:lang w:val="en-IE"/>
        </w:rPr>
        <w:t>9</w:t>
      </w:r>
      <w:r w:rsidRPr="005B4339">
        <w:rPr>
          <w:rFonts w:ascii="Times" w:eastAsia="Times" w:hAnsi="Times" w:cs="Times"/>
          <w:noProof/>
          <w:lang w:val="en-IE"/>
        </w:rPr>
        <w:t>.</w:t>
      </w:r>
      <w:r w:rsidR="003D36EC" w:rsidRPr="005B4339">
        <w:rPr>
          <w:rFonts w:ascii="Times" w:eastAsia="Times" w:hAnsi="Times" w:cs="Times"/>
          <w:noProof/>
          <w:lang w:val="en-IE"/>
        </w:rPr>
        <w:t>9</w:t>
      </w:r>
      <w:r w:rsidRPr="005B4339">
        <w:rPr>
          <w:rFonts w:ascii="Times" w:eastAsia="Times" w:hAnsi="Times" w:cs="Times"/>
          <w:noProof/>
          <w:lang w:val="en-IE"/>
        </w:rPr>
        <w:t>%. However, by weight of goods, this represents an additional cost to SMEs and larger operators of approximately 1</w:t>
      </w:r>
      <w:r w:rsidR="003D36EC" w:rsidRPr="005B4339">
        <w:rPr>
          <w:rFonts w:ascii="Times" w:eastAsia="Times" w:hAnsi="Times" w:cs="Times"/>
          <w:noProof/>
          <w:lang w:val="en-IE"/>
        </w:rPr>
        <w:t>6</w:t>
      </w:r>
      <w:r w:rsidRPr="005B4339">
        <w:rPr>
          <w:rFonts w:ascii="Times" w:eastAsia="Times" w:hAnsi="Times" w:cs="Times"/>
          <w:noProof/>
          <w:lang w:val="en-IE"/>
        </w:rPr>
        <w:t xml:space="preserve">% of their EPR costs and this is likely to be a small additional cost. This approach would also minimise the administrative cost of applying EPR to </w:t>
      </w:r>
      <w:r w:rsidR="003D36EC" w:rsidRPr="005B4339">
        <w:rPr>
          <w:rFonts w:ascii="Times" w:eastAsia="Times" w:hAnsi="Times" w:cs="Times"/>
          <w:noProof/>
          <w:lang w:val="en-IE"/>
        </w:rPr>
        <w:t xml:space="preserve">116 </w:t>
      </w:r>
      <w:r w:rsidRPr="005B4339">
        <w:rPr>
          <w:rFonts w:ascii="Times" w:eastAsia="Times" w:hAnsi="Times" w:cs="Times"/>
          <w:noProof/>
          <w:lang w:val="en-IE"/>
        </w:rPr>
        <w:t>000 enterprises across the EU, and the enforcement costs for the competent authorities in ensuring that all such micro-enterprises are compliant with the EPR scheme.</w:t>
      </w:r>
    </w:p>
    <w:p w14:paraId="3D08B8A4" w14:textId="4CDFEC16" w:rsidR="00156560" w:rsidRPr="005B4339" w:rsidRDefault="00156560" w:rsidP="00156560">
      <w:pPr>
        <w:rPr>
          <w:rFonts w:ascii="Times" w:eastAsia="Times" w:hAnsi="Times" w:cs="Times"/>
          <w:noProof/>
          <w:lang w:val="en-IE"/>
        </w:rPr>
      </w:pPr>
      <w:r w:rsidRPr="005B4339">
        <w:rPr>
          <w:rFonts w:ascii="Times" w:eastAsia="Times" w:hAnsi="Times" w:cs="Times"/>
          <w:noProof/>
          <w:lang w:val="en-IE"/>
        </w:rPr>
        <w:t>A potential impact of the exclusion of micro-enterprises from EPR obligations is the possibility of the costs for products resulting from micro-enterprises falling upon other SMEs (i.e</w:t>
      </w:r>
      <w:r w:rsidR="002538B0" w:rsidRPr="005B4339">
        <w:rPr>
          <w:rFonts w:ascii="Times" w:eastAsia="Times" w:hAnsi="Times" w:cs="Times"/>
          <w:noProof/>
          <w:lang w:val="en-IE"/>
        </w:rPr>
        <w:t>.</w:t>
      </w:r>
      <w:r w:rsidR="000E290D" w:rsidRPr="005B4339">
        <w:rPr>
          <w:rFonts w:ascii="Times" w:eastAsia="Times" w:hAnsi="Times" w:cs="Times"/>
          <w:noProof/>
          <w:lang w:val="en-IE"/>
        </w:rPr>
        <w:t>,</w:t>
      </w:r>
      <w:r w:rsidRPr="005B4339">
        <w:rPr>
          <w:rFonts w:ascii="Times" w:eastAsia="Times" w:hAnsi="Times" w:cs="Times"/>
          <w:noProof/>
          <w:lang w:val="en-IE"/>
        </w:rPr>
        <w:t xml:space="preserve"> those enterprises that have between 10 and 250 employees). </w:t>
      </w:r>
      <w:r w:rsidR="002538B0" w:rsidRPr="005B4339">
        <w:rPr>
          <w:rFonts w:ascii="Times" w:eastAsia="Times" w:hAnsi="Times" w:cs="Times"/>
          <w:noProof/>
          <w:lang w:val="en-IE"/>
        </w:rPr>
        <w:t>As noted in the Eurostat statistics for manufacturers of textiles within the EU</w:t>
      </w:r>
      <w:r w:rsidR="002538B0" w:rsidRPr="005B4339">
        <w:rPr>
          <w:rFonts w:ascii="Times" w:eastAsia="Times" w:hAnsi="Times" w:cs="Times"/>
          <w:noProof/>
          <w:vertAlign w:val="superscript"/>
          <w:lang w:val="en-IE"/>
        </w:rPr>
        <w:footnoteReference w:id="99"/>
      </w:r>
      <w:r w:rsidR="002538B0" w:rsidRPr="005B4339">
        <w:rPr>
          <w:rFonts w:ascii="Times" w:eastAsia="Times" w:hAnsi="Times" w:cs="Times"/>
          <w:noProof/>
          <w:lang w:val="en-IE"/>
        </w:rPr>
        <w:t xml:space="preserve"> the percentage of total turnover by enterprise size as well as the average turnover by enterprise is shown in the table below.</w:t>
      </w:r>
    </w:p>
    <w:p w14:paraId="035FF737" w14:textId="74BDD857" w:rsidR="00835FA6" w:rsidRPr="005B4339" w:rsidRDefault="00835FA6" w:rsidP="00835FA6">
      <w:pPr>
        <w:rPr>
          <w:noProof/>
          <w:lang w:val="en-IE"/>
        </w:rPr>
      </w:pPr>
      <w:bookmarkStart w:id="152" w:name="_Toc133229482"/>
      <w:bookmarkStart w:id="153" w:name="_Toc139032036"/>
      <w:r w:rsidRPr="005B4339">
        <w:rPr>
          <w:i/>
          <w:noProof/>
          <w:lang w:val="en-IE"/>
        </w:rPr>
        <w:lastRenderedPageBreak/>
        <w:t xml:space="preserve">Table </w:t>
      </w:r>
      <w:r w:rsidR="00393DFA">
        <w:rPr>
          <w:i/>
          <w:iCs/>
          <w:noProof/>
        </w:rPr>
        <w:t>20</w:t>
      </w:r>
      <w:r w:rsidRPr="005B4339">
        <w:rPr>
          <w:i/>
          <w:noProof/>
          <w:lang w:val="en-IE"/>
        </w:rPr>
        <w:t xml:space="preserve"> : </w:t>
      </w:r>
      <w:r w:rsidR="005F0359" w:rsidRPr="005B4339">
        <w:rPr>
          <w:i/>
          <w:noProof/>
          <w:lang w:val="en-IE"/>
        </w:rPr>
        <w:t xml:space="preserve">Total percentage of EU turnover and average turnover per enterprise resulting from </w:t>
      </w:r>
      <w:r w:rsidR="003D36EC" w:rsidRPr="005B4339">
        <w:rPr>
          <w:i/>
          <w:noProof/>
          <w:lang w:val="en-IE"/>
        </w:rPr>
        <w:t xml:space="preserve">the </w:t>
      </w:r>
      <w:r w:rsidR="005F0359" w:rsidRPr="005B4339">
        <w:rPr>
          <w:i/>
          <w:noProof/>
          <w:lang w:val="en-IE"/>
        </w:rPr>
        <w:t xml:space="preserve">manufacture </w:t>
      </w:r>
      <w:r w:rsidR="003D36EC" w:rsidRPr="005B4339">
        <w:rPr>
          <w:i/>
          <w:noProof/>
          <w:lang w:val="en-IE"/>
        </w:rPr>
        <w:t>of wearing apparel</w:t>
      </w:r>
      <w:r w:rsidR="005F0359" w:rsidRPr="005B4339">
        <w:rPr>
          <w:i/>
          <w:noProof/>
          <w:lang w:val="en-IE"/>
        </w:rPr>
        <w:t xml:space="preserve"> in the EU</w:t>
      </w:r>
      <w:bookmarkEnd w:id="152"/>
      <w:bookmarkEnd w:id="153"/>
    </w:p>
    <w:tbl>
      <w:tblPr>
        <w:tblW w:w="9500" w:type="dxa"/>
        <w:tblLook w:val="04A0" w:firstRow="1" w:lastRow="0" w:firstColumn="1" w:lastColumn="0" w:noHBand="0" w:noVBand="1"/>
      </w:tblPr>
      <w:tblGrid>
        <w:gridCol w:w="1560"/>
        <w:gridCol w:w="1719"/>
        <w:gridCol w:w="1660"/>
        <w:gridCol w:w="1783"/>
        <w:gridCol w:w="1811"/>
        <w:gridCol w:w="967"/>
      </w:tblGrid>
      <w:tr w:rsidR="002822E8" w:rsidRPr="005B4339" w14:paraId="4EC93A74" w14:textId="77777777" w:rsidTr="00B633E5">
        <w:trPr>
          <w:trHeight w:val="20"/>
        </w:trPr>
        <w:tc>
          <w:tcPr>
            <w:tcW w:w="17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FA6081F" w14:textId="77777777" w:rsidR="002822E8" w:rsidRPr="005B4339" w:rsidRDefault="002822E8">
            <w:pPr>
              <w:spacing w:after="0"/>
              <w:rPr>
                <w:rFonts w:ascii="Calibri" w:hAnsi="Calibri" w:cs="Calibri"/>
                <w:b/>
                <w:bCs/>
                <w:noProof/>
                <w:color w:val="000000"/>
                <w:sz w:val="22"/>
                <w:szCs w:val="22"/>
              </w:rPr>
            </w:pPr>
            <w:r w:rsidRPr="005B4339">
              <w:rPr>
                <w:rFonts w:ascii="Calibri" w:hAnsi="Calibri" w:cs="Calibri"/>
                <w:b/>
                <w:bCs/>
                <w:noProof/>
                <w:color w:val="000000"/>
                <w:sz w:val="22"/>
                <w:szCs w:val="22"/>
              </w:rPr>
              <w:t>Enterprise size</w:t>
            </w:r>
          </w:p>
        </w:tc>
        <w:tc>
          <w:tcPr>
            <w:tcW w:w="1980" w:type="dxa"/>
            <w:tcBorders>
              <w:top w:val="single" w:sz="8" w:space="0" w:color="auto"/>
              <w:left w:val="nil"/>
              <w:bottom w:val="single" w:sz="8" w:space="0" w:color="auto"/>
              <w:right w:val="single" w:sz="8" w:space="0" w:color="auto"/>
            </w:tcBorders>
            <w:shd w:val="clear" w:color="000000" w:fill="E7E6E6"/>
            <w:vAlign w:val="center"/>
            <w:hideMark/>
          </w:tcPr>
          <w:p w14:paraId="2F926E85" w14:textId="77777777" w:rsidR="002822E8" w:rsidRPr="005B4339" w:rsidRDefault="002822E8">
            <w:pPr>
              <w:jc w:val="left"/>
              <w:rPr>
                <w:rFonts w:ascii="Calibri" w:hAnsi="Calibri" w:cs="Calibri"/>
                <w:b/>
                <w:bCs/>
                <w:noProof/>
                <w:color w:val="000000"/>
                <w:sz w:val="22"/>
                <w:szCs w:val="22"/>
              </w:rPr>
            </w:pPr>
            <w:r w:rsidRPr="005B4339">
              <w:rPr>
                <w:rFonts w:ascii="Calibri" w:hAnsi="Calibri" w:cs="Calibri"/>
                <w:b/>
                <w:bCs/>
                <w:noProof/>
                <w:color w:val="000000"/>
                <w:sz w:val="22"/>
                <w:szCs w:val="22"/>
              </w:rPr>
              <w:t>Percentage of total turnover by enterprise size</w:t>
            </w:r>
          </w:p>
        </w:tc>
        <w:tc>
          <w:tcPr>
            <w:tcW w:w="1840" w:type="dxa"/>
            <w:tcBorders>
              <w:top w:val="single" w:sz="8" w:space="0" w:color="auto"/>
              <w:left w:val="nil"/>
              <w:bottom w:val="single" w:sz="8" w:space="0" w:color="auto"/>
              <w:right w:val="single" w:sz="8" w:space="0" w:color="auto"/>
            </w:tcBorders>
            <w:shd w:val="clear" w:color="000000" w:fill="E7E6E6"/>
            <w:vAlign w:val="center"/>
            <w:hideMark/>
          </w:tcPr>
          <w:p w14:paraId="1FA6B551"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Average turnover per enterprise</w:t>
            </w:r>
          </w:p>
        </w:tc>
        <w:tc>
          <w:tcPr>
            <w:tcW w:w="1900" w:type="dxa"/>
            <w:tcBorders>
              <w:top w:val="single" w:sz="8" w:space="0" w:color="auto"/>
              <w:left w:val="nil"/>
              <w:bottom w:val="single" w:sz="8" w:space="0" w:color="auto"/>
              <w:right w:val="single" w:sz="8" w:space="0" w:color="auto"/>
            </w:tcBorders>
            <w:shd w:val="clear" w:color="000000" w:fill="E7E6E6"/>
            <w:vAlign w:val="center"/>
            <w:hideMark/>
          </w:tcPr>
          <w:p w14:paraId="5986A576" w14:textId="77777777" w:rsidR="002822E8" w:rsidRPr="005B4339" w:rsidRDefault="002822E8">
            <w:pPr>
              <w:rPr>
                <w:rFonts w:ascii="Calibri" w:hAnsi="Calibri" w:cs="Calibri"/>
                <w:b/>
                <w:bCs/>
                <w:noProof/>
                <w:color w:val="000000"/>
                <w:sz w:val="22"/>
                <w:szCs w:val="22"/>
              </w:rPr>
            </w:pPr>
            <w:bookmarkStart w:id="154" w:name="RANGE!N2"/>
            <w:r w:rsidRPr="005B4339">
              <w:rPr>
                <w:rFonts w:ascii="Calibri" w:hAnsi="Calibri" w:cs="Calibri"/>
                <w:b/>
                <w:bCs/>
                <w:noProof/>
                <w:color w:val="000000"/>
                <w:sz w:val="22"/>
                <w:szCs w:val="22"/>
              </w:rPr>
              <w:t>Administrative costs of EPR</w:t>
            </w:r>
            <w:bookmarkEnd w:id="154"/>
          </w:p>
        </w:tc>
        <w:tc>
          <w:tcPr>
            <w:tcW w:w="2000" w:type="dxa"/>
            <w:gridSpan w:val="2"/>
            <w:tcBorders>
              <w:top w:val="single" w:sz="8" w:space="0" w:color="auto"/>
              <w:left w:val="nil"/>
              <w:bottom w:val="single" w:sz="8" w:space="0" w:color="auto"/>
              <w:right w:val="single" w:sz="8" w:space="0" w:color="auto"/>
            </w:tcBorders>
            <w:shd w:val="clear" w:color="000000" w:fill="E7E6E6"/>
            <w:vAlign w:val="center"/>
            <w:hideMark/>
          </w:tcPr>
          <w:p w14:paraId="1D86932F"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Administrative costs of EPR as a % of average turnover</w:t>
            </w:r>
          </w:p>
        </w:tc>
      </w:tr>
      <w:tr w:rsidR="003C52B8" w:rsidRPr="005B4339" w14:paraId="7A52AC4A" w14:textId="77777777" w:rsidTr="002822E8">
        <w:trPr>
          <w:gridAfter w:val="1"/>
          <w:wAfter w:w="1440" w:type="dxa"/>
          <w:trHeight w:val="20"/>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18D45FD1"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0 to 9 persons employed</w:t>
            </w:r>
          </w:p>
        </w:tc>
        <w:tc>
          <w:tcPr>
            <w:tcW w:w="1980" w:type="dxa"/>
            <w:tcBorders>
              <w:top w:val="nil"/>
              <w:left w:val="nil"/>
              <w:bottom w:val="single" w:sz="8" w:space="0" w:color="auto"/>
              <w:right w:val="single" w:sz="8" w:space="0" w:color="auto"/>
            </w:tcBorders>
            <w:shd w:val="clear" w:color="auto" w:fill="auto"/>
            <w:vAlign w:val="center"/>
            <w:hideMark/>
          </w:tcPr>
          <w:p w14:paraId="266C8914"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16%</w:t>
            </w:r>
          </w:p>
        </w:tc>
        <w:tc>
          <w:tcPr>
            <w:tcW w:w="1840" w:type="dxa"/>
            <w:tcBorders>
              <w:top w:val="nil"/>
              <w:left w:val="nil"/>
              <w:bottom w:val="single" w:sz="8" w:space="0" w:color="auto"/>
              <w:right w:val="single" w:sz="8" w:space="0" w:color="auto"/>
            </w:tcBorders>
            <w:shd w:val="clear" w:color="auto" w:fill="auto"/>
            <w:vAlign w:val="center"/>
            <w:hideMark/>
          </w:tcPr>
          <w:p w14:paraId="2CD387ED"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87,709</w:t>
            </w:r>
          </w:p>
        </w:tc>
        <w:tc>
          <w:tcPr>
            <w:tcW w:w="1900" w:type="dxa"/>
            <w:tcBorders>
              <w:top w:val="nil"/>
              <w:left w:val="nil"/>
              <w:bottom w:val="single" w:sz="8" w:space="0" w:color="auto"/>
              <w:right w:val="single" w:sz="8" w:space="0" w:color="auto"/>
            </w:tcBorders>
            <w:shd w:val="clear" w:color="auto" w:fill="auto"/>
            <w:vAlign w:val="center"/>
            <w:hideMark/>
          </w:tcPr>
          <w:p w14:paraId="4A1269C3"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527</w:t>
            </w:r>
          </w:p>
        </w:tc>
        <w:tc>
          <w:tcPr>
            <w:tcW w:w="2000" w:type="dxa"/>
            <w:tcBorders>
              <w:top w:val="nil"/>
              <w:left w:val="nil"/>
              <w:bottom w:val="single" w:sz="8" w:space="0" w:color="auto"/>
              <w:right w:val="single" w:sz="8" w:space="0" w:color="auto"/>
            </w:tcBorders>
            <w:shd w:val="clear" w:color="auto" w:fill="auto"/>
            <w:vAlign w:val="center"/>
            <w:hideMark/>
          </w:tcPr>
          <w:p w14:paraId="3F702F70"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0.60085%</w:t>
            </w:r>
          </w:p>
        </w:tc>
      </w:tr>
      <w:tr w:rsidR="002822E8" w:rsidRPr="005B4339" w14:paraId="23972337" w14:textId="77777777" w:rsidTr="00B633E5">
        <w:trPr>
          <w:trHeight w:val="20"/>
        </w:trPr>
        <w:tc>
          <w:tcPr>
            <w:tcW w:w="1780" w:type="dxa"/>
            <w:tcBorders>
              <w:top w:val="nil"/>
              <w:left w:val="single" w:sz="8" w:space="0" w:color="auto"/>
              <w:bottom w:val="single" w:sz="8" w:space="0" w:color="auto"/>
              <w:right w:val="single" w:sz="8" w:space="0" w:color="auto"/>
            </w:tcBorders>
            <w:shd w:val="clear" w:color="000000" w:fill="E7E6E6"/>
            <w:vAlign w:val="center"/>
            <w:hideMark/>
          </w:tcPr>
          <w:p w14:paraId="0C9C3A86"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10 to 19 persons employed</w:t>
            </w:r>
          </w:p>
        </w:tc>
        <w:tc>
          <w:tcPr>
            <w:tcW w:w="1980" w:type="dxa"/>
            <w:tcBorders>
              <w:top w:val="nil"/>
              <w:left w:val="nil"/>
              <w:bottom w:val="single" w:sz="8" w:space="0" w:color="auto"/>
              <w:right w:val="single" w:sz="8" w:space="0" w:color="auto"/>
            </w:tcBorders>
            <w:shd w:val="clear" w:color="000000" w:fill="E7E6E6"/>
            <w:vAlign w:val="center"/>
            <w:hideMark/>
          </w:tcPr>
          <w:p w14:paraId="607DCBB1"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9%</w:t>
            </w:r>
          </w:p>
        </w:tc>
        <w:tc>
          <w:tcPr>
            <w:tcW w:w="1840" w:type="dxa"/>
            <w:tcBorders>
              <w:top w:val="nil"/>
              <w:left w:val="nil"/>
              <w:bottom w:val="single" w:sz="8" w:space="0" w:color="auto"/>
              <w:right w:val="single" w:sz="8" w:space="0" w:color="auto"/>
            </w:tcBorders>
            <w:shd w:val="clear" w:color="000000" w:fill="E7E6E6"/>
            <w:vAlign w:val="center"/>
            <w:hideMark/>
          </w:tcPr>
          <w:p w14:paraId="54FC3B29"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874,834</w:t>
            </w:r>
          </w:p>
        </w:tc>
        <w:tc>
          <w:tcPr>
            <w:tcW w:w="1900" w:type="dxa"/>
            <w:tcBorders>
              <w:top w:val="nil"/>
              <w:left w:val="nil"/>
              <w:bottom w:val="single" w:sz="8" w:space="0" w:color="auto"/>
              <w:right w:val="single" w:sz="8" w:space="0" w:color="auto"/>
            </w:tcBorders>
            <w:shd w:val="clear" w:color="000000" w:fill="E7E6E6"/>
            <w:vAlign w:val="center"/>
            <w:hideMark/>
          </w:tcPr>
          <w:p w14:paraId="6B768961"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527</w:t>
            </w:r>
          </w:p>
        </w:tc>
        <w:tc>
          <w:tcPr>
            <w:tcW w:w="2000" w:type="dxa"/>
            <w:gridSpan w:val="2"/>
            <w:tcBorders>
              <w:top w:val="nil"/>
              <w:left w:val="nil"/>
              <w:bottom w:val="single" w:sz="8" w:space="0" w:color="auto"/>
              <w:right w:val="single" w:sz="8" w:space="0" w:color="auto"/>
            </w:tcBorders>
            <w:shd w:val="clear" w:color="000000" w:fill="E7E6E6"/>
            <w:vAlign w:val="center"/>
            <w:hideMark/>
          </w:tcPr>
          <w:p w14:paraId="3D81473F"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0.06024%</w:t>
            </w:r>
          </w:p>
        </w:tc>
      </w:tr>
      <w:tr w:rsidR="003C52B8" w:rsidRPr="005B4339" w14:paraId="539F5971" w14:textId="77777777" w:rsidTr="002822E8">
        <w:trPr>
          <w:gridAfter w:val="1"/>
          <w:wAfter w:w="1440" w:type="dxa"/>
          <w:trHeight w:val="20"/>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782EBAF6"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20 to 49 persons employed</w:t>
            </w:r>
          </w:p>
        </w:tc>
        <w:tc>
          <w:tcPr>
            <w:tcW w:w="1980" w:type="dxa"/>
            <w:tcBorders>
              <w:top w:val="nil"/>
              <w:left w:val="nil"/>
              <w:bottom w:val="single" w:sz="8" w:space="0" w:color="auto"/>
              <w:right w:val="single" w:sz="8" w:space="0" w:color="auto"/>
            </w:tcBorders>
            <w:shd w:val="clear" w:color="auto" w:fill="auto"/>
            <w:vAlign w:val="center"/>
            <w:hideMark/>
          </w:tcPr>
          <w:p w14:paraId="33C7623C"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13%</w:t>
            </w:r>
          </w:p>
        </w:tc>
        <w:tc>
          <w:tcPr>
            <w:tcW w:w="1840" w:type="dxa"/>
            <w:tcBorders>
              <w:top w:val="nil"/>
              <w:left w:val="nil"/>
              <w:bottom w:val="single" w:sz="8" w:space="0" w:color="auto"/>
              <w:right w:val="single" w:sz="8" w:space="0" w:color="auto"/>
            </w:tcBorders>
            <w:shd w:val="clear" w:color="auto" w:fill="auto"/>
            <w:vAlign w:val="center"/>
            <w:hideMark/>
          </w:tcPr>
          <w:p w14:paraId="03105CCF"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2,040,126</w:t>
            </w:r>
          </w:p>
        </w:tc>
        <w:tc>
          <w:tcPr>
            <w:tcW w:w="1900" w:type="dxa"/>
            <w:tcBorders>
              <w:top w:val="nil"/>
              <w:left w:val="nil"/>
              <w:bottom w:val="single" w:sz="8" w:space="0" w:color="auto"/>
              <w:right w:val="single" w:sz="8" w:space="0" w:color="auto"/>
            </w:tcBorders>
            <w:shd w:val="clear" w:color="auto" w:fill="auto"/>
            <w:vAlign w:val="center"/>
            <w:hideMark/>
          </w:tcPr>
          <w:p w14:paraId="25C52FD7"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527</w:t>
            </w:r>
          </w:p>
        </w:tc>
        <w:tc>
          <w:tcPr>
            <w:tcW w:w="2000" w:type="dxa"/>
            <w:tcBorders>
              <w:top w:val="nil"/>
              <w:left w:val="nil"/>
              <w:bottom w:val="single" w:sz="8" w:space="0" w:color="auto"/>
              <w:right w:val="single" w:sz="8" w:space="0" w:color="auto"/>
            </w:tcBorders>
            <w:shd w:val="clear" w:color="auto" w:fill="auto"/>
            <w:vAlign w:val="center"/>
            <w:hideMark/>
          </w:tcPr>
          <w:p w14:paraId="18C91F41"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0.02583%</w:t>
            </w:r>
          </w:p>
        </w:tc>
      </w:tr>
      <w:tr w:rsidR="002822E8" w:rsidRPr="005B4339" w14:paraId="0111FC86" w14:textId="77777777" w:rsidTr="00B633E5">
        <w:trPr>
          <w:trHeight w:val="20"/>
        </w:trPr>
        <w:tc>
          <w:tcPr>
            <w:tcW w:w="1780" w:type="dxa"/>
            <w:tcBorders>
              <w:top w:val="nil"/>
              <w:left w:val="single" w:sz="8" w:space="0" w:color="auto"/>
              <w:bottom w:val="single" w:sz="8" w:space="0" w:color="auto"/>
              <w:right w:val="single" w:sz="8" w:space="0" w:color="auto"/>
            </w:tcBorders>
            <w:shd w:val="clear" w:color="000000" w:fill="E7E6E6"/>
            <w:vAlign w:val="center"/>
            <w:hideMark/>
          </w:tcPr>
          <w:p w14:paraId="5D22417D"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50 to 249 persons employed</w:t>
            </w:r>
          </w:p>
        </w:tc>
        <w:tc>
          <w:tcPr>
            <w:tcW w:w="1980" w:type="dxa"/>
            <w:tcBorders>
              <w:top w:val="nil"/>
              <w:left w:val="nil"/>
              <w:bottom w:val="single" w:sz="8" w:space="0" w:color="auto"/>
              <w:right w:val="single" w:sz="8" w:space="0" w:color="auto"/>
            </w:tcBorders>
            <w:shd w:val="clear" w:color="000000" w:fill="E7E6E6"/>
            <w:vAlign w:val="center"/>
            <w:hideMark/>
          </w:tcPr>
          <w:p w14:paraId="0637315B"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25%</w:t>
            </w:r>
          </w:p>
        </w:tc>
        <w:tc>
          <w:tcPr>
            <w:tcW w:w="1840" w:type="dxa"/>
            <w:tcBorders>
              <w:top w:val="nil"/>
              <w:left w:val="nil"/>
              <w:bottom w:val="single" w:sz="8" w:space="0" w:color="auto"/>
              <w:right w:val="single" w:sz="8" w:space="0" w:color="auto"/>
            </w:tcBorders>
            <w:shd w:val="clear" w:color="000000" w:fill="E7E6E6"/>
            <w:vAlign w:val="center"/>
            <w:hideMark/>
          </w:tcPr>
          <w:p w14:paraId="0E6D147A"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8,320,000</w:t>
            </w:r>
          </w:p>
        </w:tc>
        <w:tc>
          <w:tcPr>
            <w:tcW w:w="1900" w:type="dxa"/>
            <w:tcBorders>
              <w:top w:val="nil"/>
              <w:left w:val="nil"/>
              <w:bottom w:val="single" w:sz="8" w:space="0" w:color="auto"/>
              <w:right w:val="single" w:sz="8" w:space="0" w:color="auto"/>
            </w:tcBorders>
            <w:shd w:val="clear" w:color="000000" w:fill="E7E6E6"/>
            <w:vAlign w:val="center"/>
            <w:hideMark/>
          </w:tcPr>
          <w:p w14:paraId="09B74A71"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527</w:t>
            </w:r>
          </w:p>
        </w:tc>
        <w:tc>
          <w:tcPr>
            <w:tcW w:w="2000" w:type="dxa"/>
            <w:gridSpan w:val="2"/>
            <w:tcBorders>
              <w:top w:val="nil"/>
              <w:left w:val="nil"/>
              <w:bottom w:val="single" w:sz="8" w:space="0" w:color="auto"/>
              <w:right w:val="single" w:sz="8" w:space="0" w:color="auto"/>
            </w:tcBorders>
            <w:shd w:val="clear" w:color="000000" w:fill="E7E6E6"/>
            <w:vAlign w:val="center"/>
            <w:hideMark/>
          </w:tcPr>
          <w:p w14:paraId="57AF746A"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0.00633%</w:t>
            </w:r>
          </w:p>
        </w:tc>
      </w:tr>
      <w:tr w:rsidR="003C52B8" w:rsidRPr="005B4339" w14:paraId="7E0985AF" w14:textId="77777777" w:rsidTr="002822E8">
        <w:trPr>
          <w:gridAfter w:val="1"/>
          <w:wAfter w:w="1440" w:type="dxa"/>
          <w:trHeight w:val="20"/>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2A115761" w14:textId="77777777" w:rsidR="002822E8" w:rsidRPr="005B4339" w:rsidRDefault="002822E8">
            <w:pPr>
              <w:rPr>
                <w:rFonts w:ascii="Calibri" w:hAnsi="Calibri" w:cs="Calibri"/>
                <w:b/>
                <w:bCs/>
                <w:noProof/>
                <w:color w:val="000000"/>
                <w:sz w:val="22"/>
                <w:szCs w:val="22"/>
              </w:rPr>
            </w:pPr>
            <w:r w:rsidRPr="005B4339">
              <w:rPr>
                <w:rFonts w:ascii="Calibri" w:hAnsi="Calibri" w:cs="Calibri"/>
                <w:b/>
                <w:bCs/>
                <w:noProof/>
                <w:color w:val="000000"/>
                <w:sz w:val="22"/>
                <w:szCs w:val="22"/>
              </w:rPr>
              <w:t>250 persons employed or more</w:t>
            </w:r>
          </w:p>
        </w:tc>
        <w:tc>
          <w:tcPr>
            <w:tcW w:w="1980" w:type="dxa"/>
            <w:tcBorders>
              <w:top w:val="nil"/>
              <w:left w:val="nil"/>
              <w:bottom w:val="single" w:sz="8" w:space="0" w:color="auto"/>
              <w:right w:val="single" w:sz="8" w:space="0" w:color="auto"/>
            </w:tcBorders>
            <w:shd w:val="clear" w:color="auto" w:fill="auto"/>
            <w:vAlign w:val="center"/>
            <w:hideMark/>
          </w:tcPr>
          <w:p w14:paraId="7651EEA4"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37%</w:t>
            </w:r>
          </w:p>
        </w:tc>
        <w:tc>
          <w:tcPr>
            <w:tcW w:w="1840" w:type="dxa"/>
            <w:tcBorders>
              <w:top w:val="nil"/>
              <w:left w:val="nil"/>
              <w:bottom w:val="single" w:sz="8" w:space="0" w:color="auto"/>
              <w:right w:val="single" w:sz="8" w:space="0" w:color="auto"/>
            </w:tcBorders>
            <w:shd w:val="clear" w:color="auto" w:fill="auto"/>
            <w:vAlign w:val="center"/>
            <w:hideMark/>
          </w:tcPr>
          <w:p w14:paraId="403CFD15"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100,878,750</w:t>
            </w:r>
          </w:p>
        </w:tc>
        <w:tc>
          <w:tcPr>
            <w:tcW w:w="1900" w:type="dxa"/>
            <w:tcBorders>
              <w:top w:val="nil"/>
              <w:left w:val="nil"/>
              <w:bottom w:val="single" w:sz="8" w:space="0" w:color="auto"/>
              <w:right w:val="single" w:sz="8" w:space="0" w:color="auto"/>
            </w:tcBorders>
            <w:shd w:val="clear" w:color="auto" w:fill="auto"/>
            <w:vAlign w:val="center"/>
            <w:hideMark/>
          </w:tcPr>
          <w:p w14:paraId="7EC5D548"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527</w:t>
            </w:r>
          </w:p>
        </w:tc>
        <w:tc>
          <w:tcPr>
            <w:tcW w:w="2000" w:type="dxa"/>
            <w:tcBorders>
              <w:top w:val="nil"/>
              <w:left w:val="nil"/>
              <w:bottom w:val="single" w:sz="8" w:space="0" w:color="auto"/>
              <w:right w:val="single" w:sz="8" w:space="0" w:color="auto"/>
            </w:tcBorders>
            <w:shd w:val="clear" w:color="auto" w:fill="auto"/>
            <w:vAlign w:val="center"/>
            <w:hideMark/>
          </w:tcPr>
          <w:p w14:paraId="06943660" w14:textId="77777777" w:rsidR="002822E8" w:rsidRPr="005B4339" w:rsidRDefault="002822E8">
            <w:pPr>
              <w:jc w:val="center"/>
              <w:rPr>
                <w:rFonts w:ascii="Calibri" w:hAnsi="Calibri" w:cs="Calibri"/>
                <w:noProof/>
                <w:color w:val="000000"/>
                <w:sz w:val="22"/>
                <w:szCs w:val="22"/>
              </w:rPr>
            </w:pPr>
            <w:r w:rsidRPr="005B4339">
              <w:rPr>
                <w:rFonts w:ascii="Calibri" w:hAnsi="Calibri" w:cs="Calibri"/>
                <w:noProof/>
                <w:color w:val="000000"/>
                <w:sz w:val="22"/>
                <w:szCs w:val="22"/>
              </w:rPr>
              <w:t>0.00052%</w:t>
            </w:r>
          </w:p>
        </w:tc>
      </w:tr>
    </w:tbl>
    <w:p w14:paraId="682418A4" w14:textId="77777777" w:rsidR="0042651E" w:rsidRPr="005B4339" w:rsidRDefault="0042651E" w:rsidP="00F64B34">
      <w:pPr>
        <w:spacing w:after="120"/>
        <w:rPr>
          <w:rFonts w:eastAsia="Calibri"/>
          <w:i/>
          <w:noProof/>
          <w:color w:val="44546A"/>
          <w:sz w:val="22"/>
          <w:szCs w:val="22"/>
          <w:lang w:val="en-IE"/>
        </w:rPr>
      </w:pPr>
    </w:p>
    <w:p w14:paraId="5736E6D8" w14:textId="7193EF2B" w:rsidR="0042651E" w:rsidRPr="005B4339" w:rsidRDefault="0042651E" w:rsidP="00073ADE">
      <w:pPr>
        <w:spacing w:after="120"/>
        <w:rPr>
          <w:noProof/>
          <w:lang w:val="en-IE"/>
        </w:rPr>
      </w:pPr>
      <w:r w:rsidRPr="005B4339">
        <w:rPr>
          <w:noProof/>
          <w:lang w:val="en-IE"/>
        </w:rPr>
        <w:t>Comparing the administrative costs of EPR per enterprise</w:t>
      </w:r>
      <w:r w:rsidR="00F64B34" w:rsidRPr="005B4339">
        <w:rPr>
          <w:noProof/>
          <w:lang w:val="en-IE"/>
        </w:rPr>
        <w:t xml:space="preserve">, </w:t>
      </w:r>
      <w:r w:rsidR="00630960" w:rsidRPr="005B4339">
        <w:rPr>
          <w:noProof/>
          <w:lang w:val="en-IE"/>
        </w:rPr>
        <w:t>it is clear</w:t>
      </w:r>
      <w:r w:rsidR="00F64B34" w:rsidRPr="005B4339">
        <w:rPr>
          <w:noProof/>
          <w:lang w:val="en-IE"/>
        </w:rPr>
        <w:t xml:space="preserve"> that </w:t>
      </w:r>
      <w:r w:rsidRPr="005B4339">
        <w:rPr>
          <w:noProof/>
          <w:lang w:val="en-IE"/>
        </w:rPr>
        <w:t>in the case of micro-enterprises the impact as a percentage of turnover is far higher than for other sizes of enterprise – almost 0.</w:t>
      </w:r>
      <w:r w:rsidR="00925B59" w:rsidRPr="005B4339">
        <w:rPr>
          <w:noProof/>
          <w:lang w:val="en-IE"/>
        </w:rPr>
        <w:t>6</w:t>
      </w:r>
      <w:r w:rsidRPr="005B4339">
        <w:rPr>
          <w:noProof/>
          <w:lang w:val="en-IE"/>
        </w:rPr>
        <w:t>% of turnover compared to around 0.0</w:t>
      </w:r>
      <w:r w:rsidR="00925B59" w:rsidRPr="005B4339">
        <w:rPr>
          <w:noProof/>
          <w:lang w:val="en-IE"/>
        </w:rPr>
        <w:t>6</w:t>
      </w:r>
      <w:r w:rsidRPr="005B4339">
        <w:rPr>
          <w:noProof/>
          <w:lang w:val="en-IE"/>
        </w:rPr>
        <w:t>% for the next largest category of 10-19 persons</w:t>
      </w:r>
      <w:r w:rsidR="00925B59" w:rsidRPr="005B4339">
        <w:rPr>
          <w:noProof/>
          <w:lang w:val="en-IE"/>
        </w:rPr>
        <w:t>, 0.02% for 20-49 persons category,</w:t>
      </w:r>
      <w:r w:rsidRPr="005B4339">
        <w:rPr>
          <w:noProof/>
          <w:lang w:val="en-IE"/>
        </w:rPr>
        <w:t xml:space="preserve"> and a negligible impact for the larger sizes</w:t>
      </w:r>
      <w:r w:rsidR="00AC2E58" w:rsidRPr="005B4339">
        <w:rPr>
          <w:noProof/>
          <w:lang w:val="en-IE"/>
        </w:rPr>
        <w:t xml:space="preserve"> of enterprises</w:t>
      </w:r>
      <w:r w:rsidRPr="005B4339">
        <w:rPr>
          <w:noProof/>
          <w:lang w:val="en-IE"/>
        </w:rPr>
        <w:t>.</w:t>
      </w:r>
    </w:p>
    <w:p w14:paraId="4A02A8B1" w14:textId="6C716610" w:rsidR="00156560" w:rsidRPr="005B4339" w:rsidRDefault="00156560" w:rsidP="6264120E">
      <w:pPr>
        <w:rPr>
          <w:noProof/>
          <w:lang w:val="en-IE"/>
        </w:rPr>
      </w:pPr>
      <w:r w:rsidRPr="005B4339">
        <w:rPr>
          <w:noProof/>
          <w:lang w:val="en-IE"/>
        </w:rPr>
        <w:t>The cost of exempting micro-enterprises can be shifted to the fees applicable to products put on the market by enterprises of other sizes. This would result in the following changes.</w:t>
      </w:r>
    </w:p>
    <w:p w14:paraId="3E345958" w14:textId="4644E493" w:rsidR="00835FA6" w:rsidRPr="005B4339" w:rsidRDefault="00835FA6" w:rsidP="00835FA6">
      <w:pPr>
        <w:rPr>
          <w:noProof/>
          <w:lang w:val="en-IE"/>
        </w:rPr>
      </w:pPr>
      <w:bookmarkStart w:id="155" w:name="_Toc133229483"/>
      <w:bookmarkStart w:id="156" w:name="_Toc139032037"/>
      <w:r w:rsidRPr="005B4339">
        <w:rPr>
          <w:i/>
          <w:noProof/>
          <w:lang w:val="en-IE"/>
        </w:rPr>
        <w:t xml:space="preserve">Table </w:t>
      </w:r>
      <w:r w:rsidR="00393DFA">
        <w:rPr>
          <w:i/>
          <w:iCs/>
          <w:noProof/>
        </w:rPr>
        <w:t>21</w:t>
      </w:r>
      <w:r w:rsidRPr="005B4339">
        <w:rPr>
          <w:i/>
          <w:noProof/>
          <w:lang w:val="en-IE"/>
        </w:rPr>
        <w:t xml:space="preserve"> : </w:t>
      </w:r>
      <w:r w:rsidR="005F0359" w:rsidRPr="005B4339">
        <w:rPr>
          <w:i/>
          <w:noProof/>
          <w:lang w:val="en-IE"/>
        </w:rPr>
        <w:t>Cost shifting to the exemption of micro-enterprises</w:t>
      </w:r>
      <w:bookmarkEnd w:id="155"/>
      <w:r w:rsidR="00AC2E58" w:rsidRPr="005B4339">
        <w:rPr>
          <w:i/>
          <w:noProof/>
          <w:lang w:val="en-IE"/>
        </w:rPr>
        <w:t xml:space="preserve"> to larger enterprises</w:t>
      </w:r>
      <w:bookmarkEnd w:id="156"/>
    </w:p>
    <w:tbl>
      <w:tblPr>
        <w:tblW w:w="5000" w:type="pct"/>
        <w:tblLook w:val="04A0" w:firstRow="1" w:lastRow="0" w:firstColumn="1" w:lastColumn="0" w:noHBand="0" w:noVBand="1"/>
      </w:tblPr>
      <w:tblGrid>
        <w:gridCol w:w="4499"/>
        <w:gridCol w:w="2444"/>
        <w:gridCol w:w="2633"/>
      </w:tblGrid>
      <w:tr w:rsidR="00156560" w:rsidRPr="005B4339" w14:paraId="13B63C9F" w14:textId="77777777" w:rsidTr="00B633E5">
        <w:trPr>
          <w:trHeight w:val="1200"/>
        </w:trPr>
        <w:tc>
          <w:tcPr>
            <w:tcW w:w="2349" w:type="pct"/>
            <w:tcBorders>
              <w:top w:val="single" w:sz="8" w:space="0" w:color="auto"/>
              <w:left w:val="single" w:sz="8" w:space="0" w:color="auto"/>
              <w:bottom w:val="single" w:sz="8" w:space="0" w:color="auto"/>
              <w:right w:val="single" w:sz="8" w:space="0" w:color="auto"/>
            </w:tcBorders>
            <w:shd w:val="clear" w:color="auto" w:fill="E7E6E6"/>
            <w:vAlign w:val="center"/>
          </w:tcPr>
          <w:p w14:paraId="630E6B36" w14:textId="69812481" w:rsidR="00156560" w:rsidRPr="005B4339" w:rsidRDefault="000D1187">
            <w:pPr>
              <w:rPr>
                <w:noProof/>
                <w:lang w:val="en-IE"/>
              </w:rPr>
            </w:pPr>
            <w:r w:rsidRPr="005B4339">
              <w:rPr>
                <w:rFonts w:ascii="Calibri" w:hAnsi="Calibri" w:cs="Calibri"/>
                <w:b/>
                <w:bCs/>
                <w:noProof/>
                <w:color w:val="000000"/>
                <w:sz w:val="22"/>
                <w:szCs w:val="22"/>
              </w:rPr>
              <w:t>Enterprise size</w:t>
            </w:r>
          </w:p>
        </w:tc>
        <w:tc>
          <w:tcPr>
            <w:tcW w:w="1276" w:type="pct"/>
            <w:tcBorders>
              <w:top w:val="single" w:sz="8" w:space="0" w:color="auto"/>
              <w:left w:val="single" w:sz="8" w:space="0" w:color="auto"/>
              <w:bottom w:val="single" w:sz="8" w:space="0" w:color="auto"/>
              <w:right w:val="single" w:sz="8" w:space="0" w:color="auto"/>
            </w:tcBorders>
            <w:shd w:val="clear" w:color="auto" w:fill="E7E6E6"/>
            <w:vAlign w:val="center"/>
          </w:tcPr>
          <w:p w14:paraId="3B33D973" w14:textId="1A6259EF" w:rsidR="00156560" w:rsidRPr="005B4339" w:rsidRDefault="000D1187">
            <w:pPr>
              <w:rPr>
                <w:noProof/>
                <w:lang w:val="en-IE"/>
              </w:rPr>
            </w:pPr>
            <w:r w:rsidRPr="005B4339">
              <w:rPr>
                <w:rFonts w:ascii="Calibri" w:hAnsi="Calibri" w:cs="Calibri"/>
                <w:b/>
                <w:bCs/>
                <w:noProof/>
                <w:color w:val="000000"/>
                <w:sz w:val="22"/>
                <w:szCs w:val="22"/>
              </w:rPr>
              <w:t>Total contribution to fees with micro-enterprises included</w:t>
            </w:r>
          </w:p>
        </w:tc>
        <w:tc>
          <w:tcPr>
            <w:tcW w:w="1375" w:type="pct"/>
            <w:tcBorders>
              <w:top w:val="single" w:sz="8" w:space="0" w:color="auto"/>
              <w:left w:val="single" w:sz="8" w:space="0" w:color="auto"/>
              <w:bottom w:val="single" w:sz="8" w:space="0" w:color="auto"/>
              <w:right w:val="single" w:sz="8" w:space="0" w:color="auto"/>
            </w:tcBorders>
            <w:shd w:val="clear" w:color="auto" w:fill="E7E6E6"/>
            <w:vAlign w:val="center"/>
          </w:tcPr>
          <w:p w14:paraId="4F29DAA8" w14:textId="4A20DCF9" w:rsidR="00156560" w:rsidRPr="005B4339" w:rsidRDefault="000D1187">
            <w:pPr>
              <w:rPr>
                <w:noProof/>
                <w:lang w:val="en-IE"/>
              </w:rPr>
            </w:pPr>
            <w:r w:rsidRPr="005B4339">
              <w:rPr>
                <w:rFonts w:ascii="Calibri" w:hAnsi="Calibri" w:cs="Calibri"/>
                <w:b/>
                <w:bCs/>
                <w:noProof/>
                <w:color w:val="000000"/>
                <w:sz w:val="22"/>
                <w:szCs w:val="22"/>
              </w:rPr>
              <w:t>Total contribution to fees with micro-enterprises excluded</w:t>
            </w:r>
          </w:p>
        </w:tc>
      </w:tr>
      <w:tr w:rsidR="00156560" w:rsidRPr="005B4339" w14:paraId="47C48635" w14:textId="77777777" w:rsidTr="00B633E5">
        <w:trPr>
          <w:trHeight w:val="600"/>
        </w:trPr>
        <w:tc>
          <w:tcPr>
            <w:tcW w:w="2349" w:type="pct"/>
            <w:tcBorders>
              <w:top w:val="single" w:sz="8" w:space="0" w:color="auto"/>
              <w:left w:val="single" w:sz="8" w:space="0" w:color="auto"/>
              <w:bottom w:val="single" w:sz="8" w:space="0" w:color="auto"/>
              <w:right w:val="single" w:sz="8" w:space="0" w:color="auto"/>
            </w:tcBorders>
            <w:vAlign w:val="center"/>
          </w:tcPr>
          <w:p w14:paraId="51404E37" w14:textId="69CA0A4E" w:rsidR="00156560" w:rsidRPr="005B4339" w:rsidRDefault="000D1187">
            <w:pPr>
              <w:rPr>
                <w:noProof/>
                <w:lang w:val="en-IE"/>
              </w:rPr>
            </w:pPr>
            <w:r w:rsidRPr="005B4339">
              <w:rPr>
                <w:rFonts w:ascii="Calibri" w:hAnsi="Calibri" w:cs="Calibri"/>
                <w:b/>
                <w:bCs/>
                <w:noProof/>
                <w:color w:val="000000"/>
                <w:sz w:val="22"/>
                <w:szCs w:val="22"/>
              </w:rPr>
              <w:lastRenderedPageBreak/>
              <w:t>From 0 to 9 persons employed</w:t>
            </w:r>
          </w:p>
        </w:tc>
        <w:tc>
          <w:tcPr>
            <w:tcW w:w="1276" w:type="pct"/>
            <w:tcBorders>
              <w:top w:val="single" w:sz="8" w:space="0" w:color="auto"/>
              <w:left w:val="single" w:sz="8" w:space="0" w:color="auto"/>
              <w:bottom w:val="single" w:sz="8" w:space="0" w:color="auto"/>
              <w:right w:val="single" w:sz="8" w:space="0" w:color="auto"/>
            </w:tcBorders>
            <w:vAlign w:val="center"/>
          </w:tcPr>
          <w:p w14:paraId="2B058580" w14:textId="06FA47FA" w:rsidR="00156560" w:rsidRPr="005B4339" w:rsidRDefault="000D1187">
            <w:pPr>
              <w:jc w:val="center"/>
              <w:rPr>
                <w:noProof/>
                <w:lang w:val="en-IE"/>
              </w:rPr>
            </w:pPr>
            <w:r w:rsidRPr="005B4339">
              <w:rPr>
                <w:rFonts w:ascii="Calibri" w:hAnsi="Calibri" w:cs="Calibri"/>
                <w:noProof/>
                <w:color w:val="000000"/>
                <w:sz w:val="22"/>
                <w:szCs w:val="22"/>
              </w:rPr>
              <w:t>16%</w:t>
            </w:r>
          </w:p>
        </w:tc>
        <w:tc>
          <w:tcPr>
            <w:tcW w:w="1375" w:type="pct"/>
            <w:tcBorders>
              <w:top w:val="single" w:sz="8" w:space="0" w:color="auto"/>
              <w:left w:val="single" w:sz="8" w:space="0" w:color="auto"/>
              <w:bottom w:val="single" w:sz="8" w:space="0" w:color="auto"/>
              <w:right w:val="single" w:sz="8" w:space="0" w:color="auto"/>
            </w:tcBorders>
            <w:vAlign w:val="center"/>
          </w:tcPr>
          <w:p w14:paraId="0DDF3A19" w14:textId="4AA7FC0A" w:rsidR="00156560" w:rsidRPr="005B4339" w:rsidRDefault="000D1187">
            <w:pPr>
              <w:jc w:val="center"/>
              <w:rPr>
                <w:noProof/>
                <w:lang w:val="en-IE"/>
              </w:rPr>
            </w:pPr>
            <w:r w:rsidRPr="005B4339">
              <w:rPr>
                <w:rFonts w:ascii="Calibri" w:hAnsi="Calibri" w:cs="Calibri"/>
                <w:noProof/>
                <w:color w:val="000000"/>
                <w:sz w:val="22"/>
                <w:szCs w:val="22"/>
              </w:rPr>
              <w:t>0%</w:t>
            </w:r>
          </w:p>
        </w:tc>
      </w:tr>
      <w:tr w:rsidR="00156560" w:rsidRPr="005B4339" w14:paraId="1C4C92B7" w14:textId="77777777" w:rsidTr="00B633E5">
        <w:trPr>
          <w:trHeight w:val="600"/>
        </w:trPr>
        <w:tc>
          <w:tcPr>
            <w:tcW w:w="2349" w:type="pct"/>
            <w:tcBorders>
              <w:top w:val="single" w:sz="8" w:space="0" w:color="auto"/>
              <w:left w:val="single" w:sz="8" w:space="0" w:color="auto"/>
              <w:bottom w:val="single" w:sz="8" w:space="0" w:color="auto"/>
              <w:right w:val="single" w:sz="8" w:space="0" w:color="auto"/>
            </w:tcBorders>
            <w:shd w:val="clear" w:color="auto" w:fill="E7E6E6"/>
            <w:vAlign w:val="center"/>
          </w:tcPr>
          <w:p w14:paraId="595D70C6" w14:textId="297CEAA5" w:rsidR="00156560" w:rsidRPr="005B4339" w:rsidRDefault="000D1187">
            <w:pPr>
              <w:rPr>
                <w:noProof/>
                <w:lang w:val="en-IE"/>
              </w:rPr>
            </w:pPr>
            <w:r w:rsidRPr="005B4339">
              <w:rPr>
                <w:rFonts w:ascii="Calibri" w:hAnsi="Calibri" w:cs="Calibri"/>
                <w:b/>
                <w:bCs/>
                <w:noProof/>
                <w:color w:val="000000"/>
                <w:sz w:val="22"/>
                <w:szCs w:val="22"/>
              </w:rPr>
              <w:t>From 10 to 19 persons employed</w:t>
            </w:r>
          </w:p>
        </w:tc>
        <w:tc>
          <w:tcPr>
            <w:tcW w:w="1276" w:type="pct"/>
            <w:tcBorders>
              <w:top w:val="single" w:sz="8" w:space="0" w:color="auto"/>
              <w:left w:val="single" w:sz="8" w:space="0" w:color="auto"/>
              <w:bottom w:val="single" w:sz="8" w:space="0" w:color="auto"/>
              <w:right w:val="single" w:sz="8" w:space="0" w:color="auto"/>
            </w:tcBorders>
            <w:shd w:val="clear" w:color="auto" w:fill="E7E6E6"/>
            <w:vAlign w:val="center"/>
          </w:tcPr>
          <w:p w14:paraId="70BC4DBE" w14:textId="38427BB5" w:rsidR="00156560" w:rsidRPr="005B4339" w:rsidRDefault="000D1187">
            <w:pPr>
              <w:jc w:val="center"/>
              <w:rPr>
                <w:noProof/>
                <w:lang w:val="en-IE"/>
              </w:rPr>
            </w:pPr>
            <w:r w:rsidRPr="005B4339">
              <w:rPr>
                <w:rFonts w:ascii="Calibri" w:hAnsi="Calibri" w:cs="Calibri"/>
                <w:noProof/>
                <w:color w:val="000000"/>
                <w:sz w:val="22"/>
                <w:szCs w:val="22"/>
              </w:rPr>
              <w:t>9%</w:t>
            </w:r>
          </w:p>
        </w:tc>
        <w:tc>
          <w:tcPr>
            <w:tcW w:w="1375" w:type="pct"/>
            <w:tcBorders>
              <w:top w:val="single" w:sz="8" w:space="0" w:color="auto"/>
              <w:left w:val="single" w:sz="8" w:space="0" w:color="auto"/>
              <w:bottom w:val="single" w:sz="8" w:space="0" w:color="auto"/>
              <w:right w:val="single" w:sz="8" w:space="0" w:color="auto"/>
            </w:tcBorders>
            <w:shd w:val="clear" w:color="auto" w:fill="E7E6E6"/>
            <w:vAlign w:val="center"/>
          </w:tcPr>
          <w:p w14:paraId="02FF6EDC" w14:textId="69909855" w:rsidR="00156560" w:rsidRPr="005B4339" w:rsidRDefault="000D1187">
            <w:pPr>
              <w:jc w:val="center"/>
              <w:rPr>
                <w:noProof/>
                <w:lang w:val="en-IE"/>
              </w:rPr>
            </w:pPr>
            <w:r w:rsidRPr="005B4339">
              <w:rPr>
                <w:rFonts w:ascii="Calibri" w:hAnsi="Calibri" w:cs="Calibri"/>
                <w:noProof/>
                <w:color w:val="000000"/>
                <w:sz w:val="22"/>
                <w:szCs w:val="22"/>
              </w:rPr>
              <w:t>11%</w:t>
            </w:r>
          </w:p>
        </w:tc>
      </w:tr>
      <w:tr w:rsidR="00156560" w:rsidRPr="005B4339" w14:paraId="2AE03515" w14:textId="77777777" w:rsidTr="00B633E5">
        <w:trPr>
          <w:trHeight w:val="600"/>
        </w:trPr>
        <w:tc>
          <w:tcPr>
            <w:tcW w:w="2349" w:type="pct"/>
            <w:tcBorders>
              <w:top w:val="single" w:sz="8" w:space="0" w:color="auto"/>
              <w:left w:val="single" w:sz="8" w:space="0" w:color="auto"/>
              <w:bottom w:val="single" w:sz="8" w:space="0" w:color="auto"/>
              <w:right w:val="single" w:sz="8" w:space="0" w:color="auto"/>
            </w:tcBorders>
            <w:vAlign w:val="center"/>
          </w:tcPr>
          <w:p w14:paraId="40A53114" w14:textId="6B30DCF4" w:rsidR="00156560" w:rsidRPr="005B4339" w:rsidRDefault="000D1187">
            <w:pPr>
              <w:rPr>
                <w:noProof/>
                <w:lang w:val="en-IE"/>
              </w:rPr>
            </w:pPr>
            <w:r w:rsidRPr="005B4339">
              <w:rPr>
                <w:rFonts w:ascii="Calibri" w:hAnsi="Calibri" w:cs="Calibri"/>
                <w:b/>
                <w:bCs/>
                <w:noProof/>
                <w:color w:val="000000"/>
                <w:sz w:val="22"/>
                <w:szCs w:val="22"/>
              </w:rPr>
              <w:t>From 20 to 49 persons employed</w:t>
            </w:r>
          </w:p>
        </w:tc>
        <w:tc>
          <w:tcPr>
            <w:tcW w:w="1276" w:type="pct"/>
            <w:tcBorders>
              <w:top w:val="single" w:sz="8" w:space="0" w:color="auto"/>
              <w:left w:val="single" w:sz="8" w:space="0" w:color="auto"/>
              <w:bottom w:val="single" w:sz="8" w:space="0" w:color="auto"/>
              <w:right w:val="single" w:sz="8" w:space="0" w:color="auto"/>
            </w:tcBorders>
            <w:vAlign w:val="center"/>
          </w:tcPr>
          <w:p w14:paraId="1C589865" w14:textId="4C9961F1" w:rsidR="00156560" w:rsidRPr="005B4339" w:rsidRDefault="000D1187">
            <w:pPr>
              <w:jc w:val="center"/>
              <w:rPr>
                <w:noProof/>
                <w:lang w:val="en-IE"/>
              </w:rPr>
            </w:pPr>
            <w:r w:rsidRPr="005B4339">
              <w:rPr>
                <w:rFonts w:ascii="Calibri" w:hAnsi="Calibri" w:cs="Calibri"/>
                <w:noProof/>
                <w:color w:val="000000"/>
                <w:sz w:val="22"/>
                <w:szCs w:val="22"/>
              </w:rPr>
              <w:t>13%</w:t>
            </w:r>
          </w:p>
        </w:tc>
        <w:tc>
          <w:tcPr>
            <w:tcW w:w="1375" w:type="pct"/>
            <w:tcBorders>
              <w:top w:val="single" w:sz="8" w:space="0" w:color="auto"/>
              <w:left w:val="single" w:sz="8" w:space="0" w:color="auto"/>
              <w:bottom w:val="single" w:sz="8" w:space="0" w:color="auto"/>
              <w:right w:val="single" w:sz="8" w:space="0" w:color="auto"/>
            </w:tcBorders>
            <w:vAlign w:val="center"/>
          </w:tcPr>
          <w:p w14:paraId="0DDB2327" w14:textId="334F4A92" w:rsidR="00156560" w:rsidRPr="005B4339" w:rsidRDefault="000D1187">
            <w:pPr>
              <w:jc w:val="center"/>
              <w:rPr>
                <w:noProof/>
                <w:lang w:val="en-IE"/>
              </w:rPr>
            </w:pPr>
            <w:r w:rsidRPr="005B4339">
              <w:rPr>
                <w:rFonts w:ascii="Calibri" w:hAnsi="Calibri" w:cs="Calibri"/>
                <w:noProof/>
                <w:color w:val="000000"/>
                <w:sz w:val="22"/>
                <w:szCs w:val="22"/>
              </w:rPr>
              <w:t>15%</w:t>
            </w:r>
          </w:p>
        </w:tc>
      </w:tr>
      <w:tr w:rsidR="00156560" w:rsidRPr="005B4339" w14:paraId="4BA2D49E" w14:textId="77777777" w:rsidTr="00B633E5">
        <w:trPr>
          <w:trHeight w:val="600"/>
        </w:trPr>
        <w:tc>
          <w:tcPr>
            <w:tcW w:w="2349" w:type="pct"/>
            <w:tcBorders>
              <w:top w:val="single" w:sz="8" w:space="0" w:color="auto"/>
              <w:left w:val="single" w:sz="8" w:space="0" w:color="auto"/>
              <w:bottom w:val="single" w:sz="8" w:space="0" w:color="auto"/>
              <w:right w:val="single" w:sz="8" w:space="0" w:color="auto"/>
            </w:tcBorders>
            <w:shd w:val="clear" w:color="auto" w:fill="E7E6E6"/>
            <w:vAlign w:val="center"/>
          </w:tcPr>
          <w:p w14:paraId="76613D05" w14:textId="24B8F307" w:rsidR="00156560" w:rsidRPr="005B4339" w:rsidRDefault="000D1187">
            <w:pPr>
              <w:rPr>
                <w:noProof/>
                <w:lang w:val="en-IE"/>
              </w:rPr>
            </w:pPr>
            <w:r w:rsidRPr="005B4339">
              <w:rPr>
                <w:rFonts w:ascii="Calibri" w:hAnsi="Calibri" w:cs="Calibri"/>
                <w:b/>
                <w:bCs/>
                <w:noProof/>
                <w:color w:val="000000"/>
                <w:sz w:val="22"/>
                <w:szCs w:val="22"/>
              </w:rPr>
              <w:t>From 50 to 249 persons employed</w:t>
            </w:r>
          </w:p>
        </w:tc>
        <w:tc>
          <w:tcPr>
            <w:tcW w:w="1276" w:type="pct"/>
            <w:tcBorders>
              <w:top w:val="single" w:sz="8" w:space="0" w:color="auto"/>
              <w:left w:val="single" w:sz="8" w:space="0" w:color="auto"/>
              <w:bottom w:val="single" w:sz="8" w:space="0" w:color="auto"/>
              <w:right w:val="single" w:sz="8" w:space="0" w:color="auto"/>
            </w:tcBorders>
            <w:shd w:val="clear" w:color="auto" w:fill="E7E6E6"/>
            <w:vAlign w:val="center"/>
          </w:tcPr>
          <w:p w14:paraId="0B6ED338" w14:textId="66501D92" w:rsidR="00156560" w:rsidRPr="005B4339" w:rsidRDefault="000D1187">
            <w:pPr>
              <w:jc w:val="center"/>
              <w:rPr>
                <w:noProof/>
                <w:lang w:val="en-IE"/>
              </w:rPr>
            </w:pPr>
            <w:r w:rsidRPr="005B4339">
              <w:rPr>
                <w:rFonts w:ascii="Calibri" w:hAnsi="Calibri" w:cs="Calibri"/>
                <w:noProof/>
                <w:color w:val="000000"/>
                <w:sz w:val="22"/>
                <w:szCs w:val="22"/>
              </w:rPr>
              <w:t>25%</w:t>
            </w:r>
          </w:p>
        </w:tc>
        <w:tc>
          <w:tcPr>
            <w:tcW w:w="1375" w:type="pct"/>
            <w:tcBorders>
              <w:top w:val="single" w:sz="8" w:space="0" w:color="auto"/>
              <w:left w:val="single" w:sz="8" w:space="0" w:color="auto"/>
              <w:bottom w:val="single" w:sz="8" w:space="0" w:color="auto"/>
              <w:right w:val="single" w:sz="8" w:space="0" w:color="auto"/>
            </w:tcBorders>
            <w:shd w:val="clear" w:color="auto" w:fill="E7E6E6"/>
            <w:vAlign w:val="center"/>
          </w:tcPr>
          <w:p w14:paraId="35A9BC1F" w14:textId="2A8B5590" w:rsidR="00156560" w:rsidRPr="005B4339" w:rsidRDefault="000D1187">
            <w:pPr>
              <w:jc w:val="center"/>
              <w:rPr>
                <w:noProof/>
                <w:lang w:val="en-IE"/>
              </w:rPr>
            </w:pPr>
            <w:r w:rsidRPr="005B4339">
              <w:rPr>
                <w:rFonts w:ascii="Calibri" w:hAnsi="Calibri" w:cs="Calibri"/>
                <w:noProof/>
                <w:color w:val="000000"/>
                <w:sz w:val="22"/>
                <w:szCs w:val="22"/>
              </w:rPr>
              <w:t>30%</w:t>
            </w:r>
          </w:p>
        </w:tc>
      </w:tr>
      <w:tr w:rsidR="00156560" w:rsidRPr="005B4339" w14:paraId="09FE6CCA" w14:textId="77777777" w:rsidTr="00B633E5">
        <w:trPr>
          <w:trHeight w:val="600"/>
        </w:trPr>
        <w:tc>
          <w:tcPr>
            <w:tcW w:w="2349" w:type="pct"/>
            <w:tcBorders>
              <w:top w:val="single" w:sz="8" w:space="0" w:color="auto"/>
              <w:left w:val="single" w:sz="8" w:space="0" w:color="auto"/>
              <w:bottom w:val="single" w:sz="8" w:space="0" w:color="auto"/>
              <w:right w:val="single" w:sz="8" w:space="0" w:color="auto"/>
            </w:tcBorders>
            <w:vAlign w:val="center"/>
          </w:tcPr>
          <w:p w14:paraId="40C385B1" w14:textId="3E5E41E4" w:rsidR="00156560" w:rsidRPr="005B4339" w:rsidRDefault="000D1187">
            <w:pPr>
              <w:rPr>
                <w:noProof/>
                <w:lang w:val="en-IE"/>
              </w:rPr>
            </w:pPr>
            <w:r w:rsidRPr="005B4339">
              <w:rPr>
                <w:rFonts w:ascii="Calibri" w:hAnsi="Calibri" w:cs="Calibri"/>
                <w:b/>
                <w:bCs/>
                <w:noProof/>
                <w:color w:val="000000"/>
                <w:sz w:val="22"/>
                <w:szCs w:val="22"/>
              </w:rPr>
              <w:t>250 persons employed or more</w:t>
            </w:r>
          </w:p>
        </w:tc>
        <w:tc>
          <w:tcPr>
            <w:tcW w:w="1276" w:type="pct"/>
            <w:tcBorders>
              <w:top w:val="single" w:sz="8" w:space="0" w:color="auto"/>
              <w:left w:val="single" w:sz="8" w:space="0" w:color="auto"/>
              <w:bottom w:val="single" w:sz="8" w:space="0" w:color="auto"/>
              <w:right w:val="single" w:sz="8" w:space="0" w:color="auto"/>
            </w:tcBorders>
            <w:vAlign w:val="center"/>
          </w:tcPr>
          <w:p w14:paraId="27ECBE67" w14:textId="411293BB" w:rsidR="00156560" w:rsidRPr="005B4339" w:rsidRDefault="000D1187">
            <w:pPr>
              <w:jc w:val="center"/>
              <w:rPr>
                <w:noProof/>
                <w:lang w:val="en-IE"/>
              </w:rPr>
            </w:pPr>
            <w:r w:rsidRPr="005B4339">
              <w:rPr>
                <w:rFonts w:ascii="Calibri" w:hAnsi="Calibri" w:cs="Calibri"/>
                <w:noProof/>
                <w:color w:val="000000"/>
                <w:sz w:val="22"/>
                <w:szCs w:val="22"/>
              </w:rPr>
              <w:t>37%</w:t>
            </w:r>
          </w:p>
        </w:tc>
        <w:tc>
          <w:tcPr>
            <w:tcW w:w="1375" w:type="pct"/>
            <w:tcBorders>
              <w:top w:val="single" w:sz="8" w:space="0" w:color="auto"/>
              <w:left w:val="single" w:sz="8" w:space="0" w:color="auto"/>
              <w:bottom w:val="single" w:sz="8" w:space="0" w:color="auto"/>
              <w:right w:val="single" w:sz="8" w:space="0" w:color="auto"/>
            </w:tcBorders>
            <w:vAlign w:val="center"/>
          </w:tcPr>
          <w:p w14:paraId="40514CDC" w14:textId="00BA46DA" w:rsidR="00156560" w:rsidRPr="005B4339" w:rsidRDefault="000D1187">
            <w:pPr>
              <w:jc w:val="center"/>
              <w:rPr>
                <w:noProof/>
                <w:lang w:val="en-IE"/>
              </w:rPr>
            </w:pPr>
            <w:r w:rsidRPr="005B4339">
              <w:rPr>
                <w:rFonts w:ascii="Calibri" w:hAnsi="Calibri" w:cs="Calibri"/>
                <w:noProof/>
                <w:color w:val="000000"/>
                <w:sz w:val="22"/>
                <w:szCs w:val="22"/>
              </w:rPr>
              <w:t>44%</w:t>
            </w:r>
          </w:p>
        </w:tc>
      </w:tr>
    </w:tbl>
    <w:p w14:paraId="00A04532" w14:textId="0199A92C" w:rsidR="00156560" w:rsidRPr="005B4339" w:rsidRDefault="00156560" w:rsidP="005F0359">
      <w:pPr>
        <w:spacing w:before="120" w:after="120"/>
        <w:rPr>
          <w:rFonts w:ascii="Times" w:eastAsia="Times" w:hAnsi="Times" w:cs="Times"/>
          <w:noProof/>
          <w:lang w:val="en-IE"/>
        </w:rPr>
      </w:pPr>
      <w:r w:rsidRPr="005B4339">
        <w:rPr>
          <w:rFonts w:ascii="Times" w:eastAsia="Times" w:hAnsi="Times" w:cs="Times"/>
          <w:noProof/>
          <w:lang w:val="en-IE"/>
        </w:rPr>
        <w:t xml:space="preserve">The largest additional costs would fall on enterprises with </w:t>
      </w:r>
      <w:r w:rsidR="00085B7F" w:rsidRPr="005B4339">
        <w:rPr>
          <w:rFonts w:ascii="Times" w:eastAsia="Times" w:hAnsi="Times" w:cs="Times"/>
          <w:noProof/>
          <w:lang w:val="en-IE"/>
        </w:rPr>
        <w:t>250</w:t>
      </w:r>
      <w:r w:rsidRPr="005B4339">
        <w:rPr>
          <w:rFonts w:ascii="Times" w:eastAsia="Times" w:hAnsi="Times" w:cs="Times"/>
          <w:noProof/>
          <w:lang w:val="en-IE"/>
        </w:rPr>
        <w:t xml:space="preserve"> persons </w:t>
      </w:r>
      <w:r w:rsidR="00085B7F" w:rsidRPr="005B4339">
        <w:rPr>
          <w:rFonts w:ascii="Times" w:eastAsia="Times" w:hAnsi="Times" w:cs="Times"/>
          <w:noProof/>
          <w:lang w:val="en-IE"/>
        </w:rPr>
        <w:t xml:space="preserve">or more </w:t>
      </w:r>
      <w:r w:rsidRPr="005B4339">
        <w:rPr>
          <w:rFonts w:ascii="Times" w:eastAsia="Times" w:hAnsi="Times" w:cs="Times"/>
          <w:noProof/>
          <w:lang w:val="en-IE"/>
        </w:rPr>
        <w:t xml:space="preserve">employed, followed by enterprises with </w:t>
      </w:r>
      <w:r w:rsidR="00085B7F" w:rsidRPr="005B4339">
        <w:rPr>
          <w:rFonts w:ascii="Times" w:eastAsia="Times" w:hAnsi="Times" w:cs="Times"/>
          <w:noProof/>
          <w:lang w:val="en-IE"/>
        </w:rPr>
        <w:t xml:space="preserve">50-249 </w:t>
      </w:r>
      <w:r w:rsidRPr="005B4339">
        <w:rPr>
          <w:rFonts w:ascii="Times" w:eastAsia="Times" w:hAnsi="Times" w:cs="Times"/>
          <w:noProof/>
          <w:lang w:val="en-IE"/>
        </w:rPr>
        <w:t>persons employed. Enterprises from 10-49 persons employed would see the smallest increase in costs.</w:t>
      </w:r>
    </w:p>
    <w:p w14:paraId="1F8B5167" w14:textId="17176ACF" w:rsidR="00156560" w:rsidRPr="005B4339" w:rsidRDefault="00156560" w:rsidP="00156560">
      <w:pPr>
        <w:spacing w:after="120"/>
        <w:rPr>
          <w:rFonts w:ascii="Times" w:eastAsia="Times" w:hAnsi="Times" w:cs="Times"/>
          <w:noProof/>
          <w:lang w:val="en-IE"/>
        </w:rPr>
      </w:pPr>
      <w:r w:rsidRPr="005B4339">
        <w:rPr>
          <w:rFonts w:ascii="Times" w:eastAsia="Times" w:hAnsi="Times" w:cs="Times"/>
          <w:noProof/>
          <w:lang w:val="en-IE"/>
        </w:rPr>
        <w:t xml:space="preserve">Alternatively, the application of a single low flat fee for micro-enterprises would mean that at least a partial contribution to the relevant EPR scheme is made by enterprises that contribute to the textile waste generation. For example, in France, a flat fee of 75 </w:t>
      </w:r>
      <w:r w:rsidR="005D7571" w:rsidRPr="005B4339">
        <w:rPr>
          <w:rFonts w:ascii="Times" w:eastAsia="Times" w:hAnsi="Times" w:cs="Times"/>
          <w:noProof/>
          <w:lang w:val="en-IE"/>
        </w:rPr>
        <w:t>euro</w:t>
      </w:r>
      <w:r w:rsidRPr="005B4339">
        <w:rPr>
          <w:rFonts w:ascii="Times" w:eastAsia="Times" w:hAnsi="Times" w:cs="Times"/>
          <w:noProof/>
          <w:lang w:val="en-IE"/>
        </w:rPr>
        <w:t xml:space="preserve"> per year is applied to producers with less than 750 000 </w:t>
      </w:r>
      <w:r w:rsidR="005D7571" w:rsidRPr="005B4339">
        <w:rPr>
          <w:rFonts w:ascii="Times" w:eastAsia="Times" w:hAnsi="Times" w:cs="Times"/>
          <w:noProof/>
          <w:lang w:val="en-IE"/>
        </w:rPr>
        <w:t xml:space="preserve">euro </w:t>
      </w:r>
      <w:r w:rsidRPr="005B4339">
        <w:rPr>
          <w:rFonts w:ascii="Times" w:eastAsia="Times" w:hAnsi="Times" w:cs="Times"/>
          <w:noProof/>
          <w:lang w:val="en-IE"/>
        </w:rPr>
        <w:t xml:space="preserve">turnover per </w:t>
      </w:r>
      <w:r w:rsidR="00D00D1B" w:rsidRPr="005B4339">
        <w:rPr>
          <w:rFonts w:ascii="Times" w:eastAsia="Times" w:hAnsi="Times" w:cs="Times"/>
          <w:noProof/>
          <w:lang w:val="en-IE"/>
        </w:rPr>
        <w:t>year</w:t>
      </w:r>
      <w:r w:rsidRPr="005B4339">
        <w:rPr>
          <w:rFonts w:ascii="Times" w:eastAsia="Times" w:hAnsi="Times" w:cs="Times"/>
          <w:noProof/>
          <w:lang w:val="en-IE"/>
        </w:rPr>
        <w:t xml:space="preserve"> or if they sell less than 5 000 products in France. Should the same fee be applied to micro-enterprises, the revenue raised would be around </w:t>
      </w:r>
      <w:r w:rsidR="00FF3F9B" w:rsidRPr="005B4339">
        <w:rPr>
          <w:rFonts w:ascii="Times" w:eastAsia="Times" w:hAnsi="Times" w:cs="Times"/>
          <w:noProof/>
          <w:lang w:val="en-IE"/>
        </w:rPr>
        <w:t>8.695</w:t>
      </w:r>
      <w:r w:rsidRPr="005B4339">
        <w:rPr>
          <w:rFonts w:ascii="Times" w:eastAsia="Times" w:hAnsi="Times" w:cs="Times"/>
          <w:noProof/>
          <w:lang w:val="en-IE"/>
        </w:rPr>
        <w:t xml:space="preserve"> million </w:t>
      </w:r>
      <w:r w:rsidR="005D7571" w:rsidRPr="005B4339">
        <w:rPr>
          <w:rFonts w:ascii="Times" w:eastAsia="Times" w:hAnsi="Times" w:cs="Times"/>
          <w:noProof/>
          <w:lang w:val="en-IE"/>
        </w:rPr>
        <w:t xml:space="preserve">euro </w:t>
      </w:r>
      <w:r w:rsidRPr="005B4339">
        <w:rPr>
          <w:rFonts w:ascii="Times" w:eastAsia="Times" w:hAnsi="Times" w:cs="Times"/>
          <w:noProof/>
          <w:lang w:val="en-IE"/>
        </w:rPr>
        <w:t xml:space="preserve">per </w:t>
      </w:r>
      <w:r w:rsidR="00D00D1B" w:rsidRPr="005B4339">
        <w:rPr>
          <w:rFonts w:ascii="Times" w:eastAsia="Times" w:hAnsi="Times" w:cs="Times"/>
          <w:noProof/>
          <w:lang w:val="en-IE"/>
        </w:rPr>
        <w:t>year</w:t>
      </w:r>
      <w:r w:rsidRPr="005B4339">
        <w:rPr>
          <w:rFonts w:ascii="Times" w:eastAsia="Times" w:hAnsi="Times" w:cs="Times"/>
          <w:noProof/>
          <w:lang w:val="en-IE"/>
        </w:rPr>
        <w:t xml:space="preserve">. This option would also raise the costs of EPR scheme administration as well as enforcement for the competent authorities. </w:t>
      </w:r>
      <w:r w:rsidR="001016D7" w:rsidRPr="005B4339">
        <w:rPr>
          <w:rFonts w:ascii="Times" w:eastAsia="Times" w:hAnsi="Times" w:cs="Times"/>
          <w:noProof/>
          <w:lang w:val="en-IE"/>
        </w:rPr>
        <w:t>This cost is estimated at around 525 euro per year. Therefore</w:t>
      </w:r>
      <w:r w:rsidR="00603C89" w:rsidRPr="005B4339">
        <w:rPr>
          <w:rFonts w:ascii="Times" w:eastAsia="Times" w:hAnsi="Times" w:cs="Times"/>
          <w:noProof/>
          <w:lang w:val="en-IE"/>
        </w:rPr>
        <w:t xml:space="preserve">, the contribution of a flat fee for micro-enterprises </w:t>
      </w:r>
      <w:r w:rsidR="001016D7" w:rsidRPr="005B4339">
        <w:rPr>
          <w:rFonts w:ascii="Times" w:eastAsia="Times" w:hAnsi="Times" w:cs="Times"/>
          <w:noProof/>
          <w:lang w:val="en-IE"/>
        </w:rPr>
        <w:t xml:space="preserve">seems disproportionate as it adds </w:t>
      </w:r>
      <w:r w:rsidR="00603C89" w:rsidRPr="005B4339">
        <w:rPr>
          <w:rFonts w:ascii="Times" w:eastAsia="Times" w:hAnsi="Times" w:cs="Times"/>
          <w:noProof/>
          <w:lang w:val="en-IE"/>
        </w:rPr>
        <w:t xml:space="preserve">a significant amount of effort on </w:t>
      </w:r>
      <w:r w:rsidR="005D7571" w:rsidRPr="005B4339">
        <w:rPr>
          <w:rFonts w:ascii="Times" w:eastAsia="Times" w:hAnsi="Times" w:cs="Times"/>
          <w:noProof/>
          <w:lang w:val="en-IE"/>
        </w:rPr>
        <w:t xml:space="preserve">micro-enterprises while raising less than </w:t>
      </w:r>
      <w:r w:rsidR="005F42AA" w:rsidRPr="005B4339">
        <w:rPr>
          <w:rFonts w:ascii="Times" w:eastAsia="Times" w:hAnsi="Times" w:cs="Times"/>
          <w:noProof/>
          <w:lang w:val="en-IE"/>
        </w:rPr>
        <w:t>9</w:t>
      </w:r>
      <w:r w:rsidR="005D7571" w:rsidRPr="005B4339">
        <w:rPr>
          <w:rFonts w:ascii="Times" w:eastAsia="Times" w:hAnsi="Times" w:cs="Times"/>
          <w:noProof/>
          <w:lang w:val="en-IE"/>
        </w:rPr>
        <w:t xml:space="preserve"> million per year</w:t>
      </w:r>
      <w:r w:rsidR="00603C89" w:rsidRPr="005B4339">
        <w:rPr>
          <w:rFonts w:ascii="Times" w:eastAsia="Times" w:hAnsi="Times" w:cs="Times"/>
          <w:noProof/>
          <w:lang w:val="en-IE"/>
        </w:rPr>
        <w:t>.</w:t>
      </w:r>
    </w:p>
    <w:p w14:paraId="3EBEA5C6" w14:textId="6963D66D" w:rsidR="00156560" w:rsidRPr="005B4339" w:rsidRDefault="00156560" w:rsidP="00156560">
      <w:pPr>
        <w:spacing w:after="120"/>
        <w:rPr>
          <w:rFonts w:ascii="Times" w:eastAsia="Times" w:hAnsi="Times" w:cs="Times"/>
          <w:noProof/>
          <w:lang w:val="en-IE"/>
        </w:rPr>
      </w:pPr>
      <w:r w:rsidRPr="005B4339">
        <w:rPr>
          <w:rFonts w:ascii="Times" w:eastAsia="Times" w:hAnsi="Times" w:cs="Times"/>
          <w:noProof/>
          <w:lang w:val="en-IE"/>
        </w:rPr>
        <w:t>Based on these considerations, it is proposed that micro-enterprises manufacturing textiles should not be subject to the EPR requirements in view of the effectiveness and proportionality principle.</w:t>
      </w:r>
    </w:p>
    <w:p w14:paraId="7E64FE5F" w14:textId="1E2EA45C" w:rsidR="00EE3D9D" w:rsidRPr="005B4339" w:rsidRDefault="00EE3D9D" w:rsidP="007328B5">
      <w:pPr>
        <w:spacing w:after="120"/>
        <w:rPr>
          <w:noProof/>
          <w:lang w:val="en-IE"/>
        </w:rPr>
      </w:pPr>
      <w:r w:rsidRPr="005B4339">
        <w:rPr>
          <w:noProof/>
          <w:lang w:val="en-IE"/>
        </w:rPr>
        <w:t>The nature of the textiles industry is such that it is heavily dominated by micro-enterprises for which it is considered that the costs of application of the EPR obligations would be high as a fraction of their turnover whilst the additional administration for PROs and Member States in dealing with the large number of micro-enterprises would also be high. For this reason</w:t>
      </w:r>
      <w:r w:rsidR="00A84D7E" w:rsidRPr="005B4339">
        <w:rPr>
          <w:noProof/>
          <w:lang w:val="en-IE"/>
        </w:rPr>
        <w:t>,</w:t>
      </w:r>
      <w:r w:rsidRPr="005B4339">
        <w:rPr>
          <w:noProof/>
          <w:lang w:val="en-IE"/>
        </w:rPr>
        <w:t xml:space="preserve"> the measure has been targeted to exclude micro-enterprises to mitigate this economic impact. Similarly social enterprises involved in the resale of textiles would be excluded given the possible impacts on their operational models and the citizens that benefit from their operation.</w:t>
      </w:r>
    </w:p>
    <w:p w14:paraId="4D11604D" w14:textId="073DDE91" w:rsidR="00EE3D9D" w:rsidRPr="005B4339" w:rsidRDefault="00EE3D9D" w:rsidP="007328B5">
      <w:pPr>
        <w:spacing w:after="120"/>
        <w:rPr>
          <w:noProof/>
          <w:lang w:val="en-IE"/>
        </w:rPr>
      </w:pPr>
      <w:r w:rsidRPr="005B4339">
        <w:rPr>
          <w:noProof/>
          <w:lang w:val="en-IE"/>
        </w:rPr>
        <w:t>Addressing the full costs of waste management would apply the polluter pays principle and</w:t>
      </w:r>
      <w:r w:rsidR="0099430A" w:rsidRPr="005B4339">
        <w:rPr>
          <w:noProof/>
          <w:lang w:val="en-IE"/>
        </w:rPr>
        <w:t xml:space="preserve"> </w:t>
      </w:r>
      <w:r w:rsidRPr="005B4339">
        <w:rPr>
          <w:noProof/>
          <w:lang w:val="en-IE"/>
        </w:rPr>
        <w:t>with greater investment in the management of textile waste would assist in driving forward to reuse</w:t>
      </w:r>
      <w:r w:rsidR="0099430A" w:rsidRPr="005B4339">
        <w:rPr>
          <w:noProof/>
          <w:lang w:val="en-IE"/>
        </w:rPr>
        <w:t xml:space="preserve"> </w:t>
      </w:r>
      <w:r w:rsidRPr="005B4339">
        <w:rPr>
          <w:noProof/>
          <w:lang w:val="en-IE"/>
        </w:rPr>
        <w:t>repair and recycling sectors for textile by ensuring that adequate funding is in place.</w:t>
      </w:r>
    </w:p>
    <w:p w14:paraId="2EA83A72" w14:textId="5CCD973F" w:rsidR="00EE3D9D" w:rsidRPr="005B4339" w:rsidRDefault="00EE3D9D" w:rsidP="00EE3D9D">
      <w:pPr>
        <w:rPr>
          <w:noProof/>
          <w:lang w:val="en-IE"/>
        </w:rPr>
      </w:pPr>
      <w:r w:rsidRPr="005B4339">
        <w:rPr>
          <w:noProof/>
          <w:lang w:val="en-IE"/>
        </w:rPr>
        <w:lastRenderedPageBreak/>
        <w:t>The actual costs per textile item are expected to be low. By way of example</w:t>
      </w:r>
      <w:r w:rsidR="0099430A" w:rsidRPr="005B4339">
        <w:rPr>
          <w:noProof/>
          <w:lang w:val="en-IE"/>
        </w:rPr>
        <w:t xml:space="preserve"> </w:t>
      </w:r>
      <w:r w:rsidRPr="005B4339">
        <w:rPr>
          <w:noProof/>
          <w:lang w:val="en-IE"/>
        </w:rPr>
        <w:t>Eco-Logic</w:t>
      </w:r>
      <w:r w:rsidRPr="005B4339">
        <w:rPr>
          <w:noProof/>
          <w:vertAlign w:val="superscript"/>
          <w:lang w:val="en-IE"/>
        </w:rPr>
        <w:footnoteReference w:id="100"/>
      </w:r>
      <w:r w:rsidRPr="005B4339">
        <w:rPr>
          <w:noProof/>
          <w:lang w:val="en-IE"/>
        </w:rPr>
        <w:t xml:space="preserve"> notes that Eco-TLC</w:t>
      </w:r>
      <w:r w:rsidR="0099430A" w:rsidRPr="005B4339">
        <w:rPr>
          <w:noProof/>
          <w:lang w:val="en-IE"/>
        </w:rPr>
        <w:t xml:space="preserve"> </w:t>
      </w:r>
      <w:r w:rsidRPr="005B4339">
        <w:rPr>
          <w:noProof/>
          <w:lang w:val="en-IE"/>
        </w:rPr>
        <w:t>the French PRO for textiles</w:t>
      </w:r>
      <w:r w:rsidR="0099430A" w:rsidRPr="005B4339">
        <w:rPr>
          <w:noProof/>
          <w:lang w:val="en-IE"/>
        </w:rPr>
        <w:t xml:space="preserve"> </w:t>
      </w:r>
      <w:r w:rsidRPr="005B4339">
        <w:rPr>
          <w:noProof/>
          <w:lang w:val="en-IE"/>
        </w:rPr>
        <w:t>calculates the EPR fees based on the number of items placed on the market. The categories of fees are divided into 4 levels of scale depending on the size of the items: very small</w:t>
      </w:r>
      <w:r w:rsidR="00603C89" w:rsidRPr="005B4339">
        <w:rPr>
          <w:noProof/>
          <w:lang w:val="en-IE"/>
        </w:rPr>
        <w:t>,</w:t>
      </w:r>
      <w:r w:rsidRPr="005B4339">
        <w:rPr>
          <w:noProof/>
          <w:lang w:val="en-IE"/>
        </w:rPr>
        <w:t xml:space="preserve"> small</w:t>
      </w:r>
      <w:r w:rsidR="00603C89" w:rsidRPr="005B4339">
        <w:rPr>
          <w:noProof/>
          <w:lang w:val="en-IE"/>
        </w:rPr>
        <w:t>,</w:t>
      </w:r>
      <w:r w:rsidRPr="005B4339">
        <w:rPr>
          <w:noProof/>
          <w:lang w:val="en-IE"/>
        </w:rPr>
        <w:t xml:space="preserve"> medium and large items (Eco TLC</w:t>
      </w:r>
      <w:r w:rsidR="0099430A" w:rsidRPr="005B4339">
        <w:rPr>
          <w:noProof/>
          <w:lang w:val="en-IE"/>
        </w:rPr>
        <w:t xml:space="preserve"> </w:t>
      </w:r>
      <w:r w:rsidRPr="005B4339">
        <w:rPr>
          <w:noProof/>
          <w:lang w:val="en-IE"/>
        </w:rPr>
        <w:t xml:space="preserve"> 2019). Eco</w:t>
      </w:r>
      <w:r w:rsidR="42262064" w:rsidRPr="005B4339">
        <w:rPr>
          <w:noProof/>
          <w:lang w:val="en-IE"/>
        </w:rPr>
        <w:t>-</w:t>
      </w:r>
      <w:r w:rsidRPr="005B4339">
        <w:rPr>
          <w:noProof/>
          <w:lang w:val="en-IE"/>
        </w:rPr>
        <w:t>modulation is applied on top of the standard fee</w:t>
      </w:r>
      <w:r w:rsidR="00603C89" w:rsidRPr="005B4339">
        <w:rPr>
          <w:noProof/>
          <w:lang w:val="en-IE"/>
        </w:rPr>
        <w:t>,</w:t>
      </w:r>
      <w:r w:rsidRPr="005B4339">
        <w:rPr>
          <w:noProof/>
          <w:lang w:val="en-IE"/>
        </w:rPr>
        <w:t xml:space="preserve"> which in turn is based on the durability of textiles as well as the recycled content of textiles. Ecologic notes that the F</w:t>
      </w:r>
      <w:r w:rsidR="2E0B2D33" w:rsidRPr="005B4339">
        <w:rPr>
          <w:noProof/>
          <w:lang w:val="en-IE"/>
        </w:rPr>
        <w:t>rench</w:t>
      </w:r>
      <w:r w:rsidRPr="005B4339">
        <w:rPr>
          <w:noProof/>
          <w:lang w:val="en-IE"/>
        </w:rPr>
        <w:t xml:space="preserve"> EPR fees along with eco</w:t>
      </w:r>
      <w:r w:rsidR="5908DEE7" w:rsidRPr="005B4339">
        <w:rPr>
          <w:noProof/>
          <w:lang w:val="en-IE"/>
        </w:rPr>
        <w:t>-</w:t>
      </w:r>
      <w:r w:rsidRPr="005B4339">
        <w:rPr>
          <w:noProof/>
          <w:lang w:val="en-IE"/>
        </w:rPr>
        <w:t>modulation make a very small part of the price of the product in France.</w:t>
      </w:r>
    </w:p>
    <w:p w14:paraId="545DB0DE" w14:textId="460C1A4B" w:rsidR="00082B00" w:rsidRPr="005B4339" w:rsidRDefault="000A5F17" w:rsidP="00EE3D9D">
      <w:pPr>
        <w:rPr>
          <w:i/>
          <w:iCs/>
          <w:noProof/>
          <w:lang w:val="en-IE"/>
        </w:rPr>
      </w:pPr>
      <w:bookmarkStart w:id="157" w:name="_Toc133229484"/>
      <w:bookmarkStart w:id="158" w:name="_Toc139032038"/>
      <w:r w:rsidRPr="005B4339">
        <w:rPr>
          <w:i/>
          <w:noProof/>
          <w:lang w:val="en-IE"/>
        </w:rPr>
        <w:t>Table</w:t>
      </w:r>
      <w:r w:rsidR="00082B00" w:rsidRPr="005B4339">
        <w:rPr>
          <w:i/>
          <w:noProof/>
          <w:lang w:val="en-IE"/>
        </w:rPr>
        <w:t xml:space="preserve"> </w:t>
      </w:r>
      <w:r w:rsidR="00393DFA">
        <w:rPr>
          <w:i/>
          <w:iCs/>
          <w:noProof/>
        </w:rPr>
        <w:t>22</w:t>
      </w:r>
      <w:r w:rsidRPr="005B4339">
        <w:rPr>
          <w:i/>
          <w:noProof/>
          <w:lang w:val="en-IE"/>
        </w:rPr>
        <w:t xml:space="preserve"> </w:t>
      </w:r>
      <w:r w:rsidR="00E11355" w:rsidRPr="005B4339">
        <w:rPr>
          <w:i/>
          <w:noProof/>
          <w:lang w:val="en-IE"/>
        </w:rPr>
        <w:t>-</w:t>
      </w:r>
      <w:r w:rsidR="00082B00" w:rsidRPr="005B4339">
        <w:rPr>
          <w:i/>
          <w:noProof/>
          <w:lang w:val="en-IE"/>
        </w:rPr>
        <w:t xml:space="preserve"> EPR and modulated fees for textiles in F</w:t>
      </w:r>
      <w:r w:rsidR="1B0F8C49" w:rsidRPr="005B4339">
        <w:rPr>
          <w:i/>
          <w:noProof/>
          <w:lang w:val="en-IE"/>
        </w:rPr>
        <w:t>rance</w:t>
      </w:r>
      <w:bookmarkEnd w:id="157"/>
      <w:bookmarkEnd w:id="158"/>
    </w:p>
    <w:tbl>
      <w:tblPr>
        <w:tblStyle w:val="TableGrid"/>
        <w:tblW w:w="0" w:type="auto"/>
        <w:tblLayout w:type="fixed"/>
        <w:tblLook w:val="04A0" w:firstRow="1" w:lastRow="0" w:firstColumn="1" w:lastColumn="0" w:noHBand="0" w:noVBand="1"/>
      </w:tblPr>
      <w:tblGrid>
        <w:gridCol w:w="1875"/>
        <w:gridCol w:w="1860"/>
        <w:gridCol w:w="1860"/>
        <w:gridCol w:w="1740"/>
        <w:gridCol w:w="1740"/>
      </w:tblGrid>
      <w:tr w:rsidR="2F4CDF1D" w:rsidRPr="005B4339" w14:paraId="78F7B4F0" w14:textId="77777777" w:rsidTr="2F4CDF1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678F349" w14:textId="4FDA0A02" w:rsidR="2F4CDF1D" w:rsidRPr="005B4339" w:rsidRDefault="2F4CDF1D" w:rsidP="00421D06">
            <w:pPr>
              <w:ind w:left="360"/>
              <w:rPr>
                <w:noProof/>
                <w:lang w:val="en-IE"/>
              </w:rPr>
            </w:pPr>
            <w:r w:rsidRPr="005B4339">
              <w:rPr>
                <w:noProof/>
                <w:lang w:val="en-IE"/>
              </w:rPr>
              <w:t>Size of item</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1D00CA20" w14:textId="3834D9E2" w:rsidR="2F4CDF1D" w:rsidRPr="005B4339" w:rsidRDefault="2F4CDF1D" w:rsidP="00421D06">
            <w:pPr>
              <w:ind w:left="360"/>
              <w:rPr>
                <w:noProof/>
                <w:lang w:val="en-IE"/>
              </w:rPr>
            </w:pPr>
            <w:r w:rsidRPr="005B4339">
              <w:rPr>
                <w:noProof/>
                <w:lang w:val="en-IE"/>
              </w:rPr>
              <w:t>Very small</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5D41E20E" w14:textId="2DCB53DA" w:rsidR="2F4CDF1D" w:rsidRPr="005B4339" w:rsidRDefault="2F4CDF1D" w:rsidP="00421D06">
            <w:pPr>
              <w:ind w:left="360"/>
              <w:rPr>
                <w:noProof/>
                <w:lang w:val="en-IE"/>
              </w:rPr>
            </w:pPr>
            <w:r w:rsidRPr="005B4339">
              <w:rPr>
                <w:noProof/>
                <w:lang w:val="en-IE"/>
              </w:rPr>
              <w:t>Small</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42C5089A" w14:textId="70D07918" w:rsidR="2F4CDF1D" w:rsidRPr="005B4339" w:rsidRDefault="2F4CDF1D" w:rsidP="00421D06">
            <w:pPr>
              <w:ind w:left="360"/>
              <w:rPr>
                <w:noProof/>
                <w:lang w:val="en-IE"/>
              </w:rPr>
            </w:pPr>
            <w:r w:rsidRPr="005B4339">
              <w:rPr>
                <w:noProof/>
                <w:lang w:val="en-IE"/>
              </w:rPr>
              <w:t>Medium</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019002C1" w14:textId="0A1044BB" w:rsidR="2F4CDF1D" w:rsidRPr="005B4339" w:rsidRDefault="2F4CDF1D" w:rsidP="00421D06">
            <w:pPr>
              <w:ind w:left="360"/>
              <w:rPr>
                <w:noProof/>
                <w:lang w:val="en-IE"/>
              </w:rPr>
            </w:pPr>
            <w:r w:rsidRPr="005B4339">
              <w:rPr>
                <w:noProof/>
                <w:lang w:val="en-IE"/>
              </w:rPr>
              <w:t>Large</w:t>
            </w:r>
          </w:p>
        </w:tc>
      </w:tr>
      <w:tr w:rsidR="2F4CDF1D" w:rsidRPr="005B4339" w14:paraId="085085EA" w14:textId="77777777" w:rsidTr="2F4CDF1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7BC6EA12" w14:textId="32078A72" w:rsidR="2F4CDF1D" w:rsidRPr="005B4339" w:rsidRDefault="2F4CDF1D" w:rsidP="00421D06">
            <w:pPr>
              <w:ind w:left="22"/>
              <w:rPr>
                <w:noProof/>
                <w:lang w:val="en-IE"/>
              </w:rPr>
            </w:pPr>
            <w:r w:rsidRPr="005B4339">
              <w:rPr>
                <w:noProof/>
                <w:lang w:val="en-IE"/>
              </w:rPr>
              <w:t>Standard fee scale (</w:t>
            </w:r>
            <w:r w:rsidR="00421D06" w:rsidRPr="005B4339">
              <w:rPr>
                <w:noProof/>
                <w:lang w:val="en-IE"/>
              </w:rPr>
              <w:t xml:space="preserve">EUR </w:t>
            </w:r>
            <w:r w:rsidRPr="005B4339">
              <w:rPr>
                <w:noProof/>
                <w:lang w:val="en-IE"/>
              </w:rPr>
              <w:t>excl. VAT/items)</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0DE57467" w14:textId="0C2F81DD" w:rsidR="2F4CDF1D" w:rsidRPr="005B4339" w:rsidRDefault="2F4CDF1D" w:rsidP="00421D06">
            <w:pPr>
              <w:ind w:left="360"/>
              <w:rPr>
                <w:noProof/>
                <w:lang w:val="en-IE"/>
              </w:rPr>
            </w:pPr>
            <w:r w:rsidRPr="005B4339">
              <w:rPr>
                <w:noProof/>
                <w:lang w:val="en-IE"/>
              </w:rPr>
              <w:t>0.002</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292DBE74" w14:textId="2DD1C2C6" w:rsidR="2F4CDF1D" w:rsidRPr="005B4339" w:rsidRDefault="2F4CDF1D" w:rsidP="00421D06">
            <w:pPr>
              <w:ind w:left="360"/>
              <w:rPr>
                <w:noProof/>
                <w:lang w:val="en-IE"/>
              </w:rPr>
            </w:pPr>
            <w:r w:rsidRPr="005B4339">
              <w:rPr>
                <w:noProof/>
                <w:lang w:val="en-IE"/>
              </w:rPr>
              <w:t>0.009</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49A9FFA" w14:textId="58B08794" w:rsidR="2F4CDF1D" w:rsidRPr="005B4339" w:rsidRDefault="2F4CDF1D" w:rsidP="00421D06">
            <w:pPr>
              <w:ind w:left="360"/>
              <w:rPr>
                <w:noProof/>
                <w:lang w:val="en-IE"/>
              </w:rPr>
            </w:pPr>
            <w:r w:rsidRPr="005B4339">
              <w:rPr>
                <w:noProof/>
                <w:lang w:val="en-IE"/>
              </w:rPr>
              <w:t>0.020</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1F50CCAF" w14:textId="5ADBA2C6" w:rsidR="2F4CDF1D" w:rsidRPr="005B4339" w:rsidRDefault="2F4CDF1D" w:rsidP="00421D06">
            <w:pPr>
              <w:ind w:left="360"/>
              <w:rPr>
                <w:noProof/>
                <w:lang w:val="en-IE"/>
              </w:rPr>
            </w:pPr>
            <w:r w:rsidRPr="005B4339">
              <w:rPr>
                <w:noProof/>
                <w:lang w:val="en-IE"/>
              </w:rPr>
              <w:t>0.063</w:t>
            </w:r>
          </w:p>
        </w:tc>
      </w:tr>
      <w:tr w:rsidR="2F4CDF1D" w:rsidRPr="005B4339" w14:paraId="54364A49" w14:textId="77777777" w:rsidTr="2F4CDF1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5F2C212A" w14:textId="6F2F49CC" w:rsidR="2F4CDF1D" w:rsidRPr="005B4339" w:rsidRDefault="2F4CDF1D" w:rsidP="00421D06">
            <w:pPr>
              <w:ind w:left="22"/>
              <w:rPr>
                <w:noProof/>
                <w:lang w:val="en-IE"/>
              </w:rPr>
            </w:pPr>
            <w:r w:rsidRPr="005B4339">
              <w:rPr>
                <w:noProof/>
                <w:lang w:val="en-IE"/>
              </w:rPr>
              <w:t>EM1 Durability</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6FB0E11F" w14:textId="18449550" w:rsidR="2F4CDF1D" w:rsidRPr="005B4339" w:rsidRDefault="2F4CDF1D" w:rsidP="00421D06">
            <w:pPr>
              <w:ind w:left="360"/>
              <w:rPr>
                <w:noProof/>
                <w:lang w:val="en-IE"/>
              </w:rPr>
            </w:pPr>
            <w:r w:rsidRPr="005B4339">
              <w:rPr>
                <w:noProof/>
                <w:lang w:val="en-IE"/>
              </w:rPr>
              <w:t>0.001</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2E5700A2" w14:textId="6C2BE607" w:rsidR="2F4CDF1D" w:rsidRPr="005B4339" w:rsidRDefault="2F4CDF1D" w:rsidP="00421D06">
            <w:pPr>
              <w:ind w:left="360"/>
              <w:rPr>
                <w:noProof/>
                <w:lang w:val="en-IE"/>
              </w:rPr>
            </w:pPr>
            <w:r w:rsidRPr="005B4339">
              <w:rPr>
                <w:noProof/>
                <w:lang w:val="en-IE"/>
              </w:rPr>
              <w:t>0.0045</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02C0E832" w14:textId="7B836FC5" w:rsidR="2F4CDF1D" w:rsidRPr="005B4339" w:rsidRDefault="2F4CDF1D" w:rsidP="00421D06">
            <w:pPr>
              <w:ind w:left="360"/>
              <w:rPr>
                <w:noProof/>
                <w:lang w:val="en-IE"/>
              </w:rPr>
            </w:pPr>
            <w:r w:rsidRPr="005B4339">
              <w:rPr>
                <w:noProof/>
                <w:lang w:val="en-IE"/>
              </w:rPr>
              <w:t>0.010</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67F0FEB" w14:textId="36A70E55" w:rsidR="2F4CDF1D" w:rsidRPr="005B4339" w:rsidRDefault="2F4CDF1D" w:rsidP="00421D06">
            <w:pPr>
              <w:ind w:left="360"/>
              <w:rPr>
                <w:noProof/>
                <w:lang w:val="en-IE"/>
              </w:rPr>
            </w:pPr>
            <w:r w:rsidRPr="005B4339">
              <w:rPr>
                <w:noProof/>
                <w:lang w:val="en-IE"/>
              </w:rPr>
              <w:t>0.0315</w:t>
            </w:r>
          </w:p>
        </w:tc>
      </w:tr>
      <w:tr w:rsidR="2F4CDF1D" w:rsidRPr="005B4339" w14:paraId="3469EAD0" w14:textId="77777777" w:rsidTr="2F4CDF1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599E1473" w14:textId="69FB1AD5" w:rsidR="2F4CDF1D" w:rsidRPr="005B4339" w:rsidRDefault="2F4CDF1D" w:rsidP="00421D06">
            <w:pPr>
              <w:ind w:left="22"/>
              <w:rPr>
                <w:noProof/>
                <w:lang w:val="en-IE"/>
              </w:rPr>
            </w:pPr>
            <w:r w:rsidRPr="005B4339">
              <w:rPr>
                <w:noProof/>
                <w:lang w:val="en-IE"/>
              </w:rPr>
              <w:t>EM2 Recycled content</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3711778C" w14:textId="2DF6901D" w:rsidR="2F4CDF1D" w:rsidRPr="005B4339" w:rsidRDefault="2F4CDF1D" w:rsidP="00421D06">
            <w:pPr>
              <w:ind w:left="360"/>
              <w:rPr>
                <w:noProof/>
                <w:lang w:val="en-IE"/>
              </w:rPr>
            </w:pPr>
            <w:r w:rsidRPr="005B4339">
              <w:rPr>
                <w:noProof/>
                <w:lang w:val="en-IE"/>
              </w:rPr>
              <w:t>0.001</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02B73773" w14:textId="3BA64B34" w:rsidR="2F4CDF1D" w:rsidRPr="005B4339" w:rsidRDefault="2F4CDF1D" w:rsidP="00421D06">
            <w:pPr>
              <w:ind w:left="360"/>
              <w:rPr>
                <w:noProof/>
                <w:lang w:val="en-IE"/>
              </w:rPr>
            </w:pPr>
            <w:r w:rsidRPr="005B4339">
              <w:rPr>
                <w:noProof/>
                <w:lang w:val="en-IE"/>
              </w:rPr>
              <w:t>0.0045</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4C7796FB" w14:textId="4AC6CF87" w:rsidR="2F4CDF1D" w:rsidRPr="005B4339" w:rsidRDefault="2F4CDF1D" w:rsidP="00421D06">
            <w:pPr>
              <w:ind w:left="360"/>
              <w:rPr>
                <w:noProof/>
                <w:lang w:val="en-IE"/>
              </w:rPr>
            </w:pPr>
            <w:r w:rsidRPr="005B4339">
              <w:rPr>
                <w:noProof/>
                <w:lang w:val="en-IE"/>
              </w:rPr>
              <w:t>0.010</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041AF43" w14:textId="02F6163A" w:rsidR="2F4CDF1D" w:rsidRPr="005B4339" w:rsidRDefault="2F4CDF1D" w:rsidP="00421D06">
            <w:pPr>
              <w:ind w:left="360"/>
              <w:rPr>
                <w:noProof/>
                <w:lang w:val="en-IE"/>
              </w:rPr>
            </w:pPr>
            <w:r w:rsidRPr="005B4339">
              <w:rPr>
                <w:noProof/>
                <w:lang w:val="en-IE"/>
              </w:rPr>
              <w:t>0.0315</w:t>
            </w:r>
          </w:p>
        </w:tc>
      </w:tr>
      <w:tr w:rsidR="2F4CDF1D" w:rsidRPr="005B4339" w14:paraId="46DA2B4D" w14:textId="77777777" w:rsidTr="2F4CDF1D">
        <w:trPr>
          <w:trHeight w:val="30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099D925" w14:textId="2FC52C96" w:rsidR="2F4CDF1D" w:rsidRPr="005B4339" w:rsidRDefault="2F4CDF1D" w:rsidP="00421D06">
            <w:pPr>
              <w:ind w:left="22"/>
              <w:rPr>
                <w:noProof/>
                <w:lang w:val="en-IE"/>
              </w:rPr>
            </w:pPr>
            <w:r w:rsidRPr="005B4339">
              <w:rPr>
                <w:noProof/>
                <w:lang w:val="en-IE"/>
              </w:rPr>
              <w:t>EM3 Recycled content</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56AAFDAD" w14:textId="31A38953" w:rsidR="2F4CDF1D" w:rsidRPr="005B4339" w:rsidRDefault="2F4CDF1D" w:rsidP="00421D06">
            <w:pPr>
              <w:ind w:left="360"/>
              <w:rPr>
                <w:noProof/>
                <w:lang w:val="en-IE"/>
              </w:rPr>
            </w:pPr>
            <w:r w:rsidRPr="005B4339">
              <w:rPr>
                <w:noProof/>
                <w:lang w:val="en-IE"/>
              </w:rPr>
              <w:t>0.0015</w:t>
            </w:r>
          </w:p>
        </w:tc>
        <w:tc>
          <w:tcPr>
            <w:tcW w:w="1860" w:type="dxa"/>
            <w:tcBorders>
              <w:top w:val="single" w:sz="8" w:space="0" w:color="auto"/>
              <w:left w:val="single" w:sz="8" w:space="0" w:color="auto"/>
              <w:bottom w:val="single" w:sz="8" w:space="0" w:color="auto"/>
              <w:right w:val="single" w:sz="8" w:space="0" w:color="auto"/>
            </w:tcBorders>
            <w:tcMar>
              <w:left w:w="108" w:type="dxa"/>
              <w:right w:w="108" w:type="dxa"/>
            </w:tcMar>
          </w:tcPr>
          <w:p w14:paraId="1FAA3B40" w14:textId="2A696146" w:rsidR="2F4CDF1D" w:rsidRPr="005B4339" w:rsidRDefault="2F4CDF1D" w:rsidP="00421D06">
            <w:pPr>
              <w:ind w:left="360"/>
              <w:rPr>
                <w:noProof/>
                <w:lang w:val="en-IE"/>
              </w:rPr>
            </w:pPr>
            <w:r w:rsidRPr="005B4339">
              <w:rPr>
                <w:noProof/>
                <w:lang w:val="en-IE"/>
              </w:rPr>
              <w:t>0.00675</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1AE3B3B4" w14:textId="32E6F480" w:rsidR="2F4CDF1D" w:rsidRPr="005B4339" w:rsidRDefault="2F4CDF1D" w:rsidP="00421D06">
            <w:pPr>
              <w:ind w:left="360"/>
              <w:rPr>
                <w:noProof/>
                <w:lang w:val="en-IE"/>
              </w:rPr>
            </w:pPr>
            <w:r w:rsidRPr="005B4339">
              <w:rPr>
                <w:noProof/>
                <w:lang w:val="en-IE"/>
              </w:rPr>
              <w:t>0.015</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74F1D18D" w14:textId="39E4DE82" w:rsidR="2F4CDF1D" w:rsidRPr="005B4339" w:rsidRDefault="2F4CDF1D" w:rsidP="00421D06">
            <w:pPr>
              <w:ind w:left="360"/>
              <w:rPr>
                <w:noProof/>
                <w:lang w:val="en-IE"/>
              </w:rPr>
            </w:pPr>
            <w:r w:rsidRPr="005B4339">
              <w:rPr>
                <w:noProof/>
                <w:lang w:val="en-IE"/>
              </w:rPr>
              <w:t>0.04725</w:t>
            </w:r>
          </w:p>
        </w:tc>
      </w:tr>
    </w:tbl>
    <w:p w14:paraId="5399A72C" w14:textId="61B71A12" w:rsidR="00AF0EB4" w:rsidRPr="005B4339" w:rsidRDefault="00AF0EB4" w:rsidP="00AF0EB4">
      <w:pPr>
        <w:spacing w:before="120"/>
        <w:rPr>
          <w:noProof/>
          <w:lang w:val="en-IE"/>
        </w:rPr>
      </w:pPr>
      <w:r w:rsidRPr="005B4339">
        <w:rPr>
          <w:noProof/>
          <w:lang w:val="en-IE"/>
        </w:rPr>
        <w:t>A significant economic advantage that cannot be quantified relates to the standardisation of EPR schemes for textiles across the EU under this measure.  As noted in Annexes 6 and 11 FR is currently the only Member State with an EPR for textiles in place. The NL, which was due to implement EPR for textiles on 1 January 2023 (and has been delayed until summer 2023 according to the latest information available) will be the second Member State to implement EPR for textiles and SE is likely to be the third.  However, the scope and operation of the EPR schemes varies and the potential for other competing yet different EPR schemes for textiles across the EU risk the development of rapidly diverging schemes that would significantly hamper producers from accessing Member State markets other than their main Member State of business given the likely levels of confusion that would result from this divergence. A good example of this possible divergence is provided in the table below that considers the scope of the EPR schemes for FR, NL and SE.</w:t>
      </w:r>
    </w:p>
    <w:p w14:paraId="47871874" w14:textId="4512BFF9" w:rsidR="00EE3C35" w:rsidRPr="005B4339" w:rsidRDefault="00EE3C35" w:rsidP="00AF0EB4">
      <w:pPr>
        <w:spacing w:before="120"/>
        <w:rPr>
          <w:noProof/>
          <w:lang w:val="en-IE"/>
        </w:rPr>
      </w:pPr>
      <w:r w:rsidRPr="005B4339">
        <w:rPr>
          <w:noProof/>
          <w:lang w:eastAsia="en-GB"/>
        </w:rPr>
        <w:lastRenderedPageBreak/>
        <w:drawing>
          <wp:inline distT="0" distB="0" distL="0" distR="0" wp14:anchorId="7B5B9CF4" wp14:editId="04A13342">
            <wp:extent cx="5806440" cy="8891905"/>
            <wp:effectExtent l="0" t="0" r="381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6440" cy="8891905"/>
                    </a:xfrm>
                    <a:prstGeom prst="rect">
                      <a:avLst/>
                    </a:prstGeom>
                    <a:noFill/>
                    <a:ln>
                      <a:noFill/>
                    </a:ln>
                  </pic:spPr>
                </pic:pic>
              </a:graphicData>
            </a:graphic>
          </wp:inline>
        </w:drawing>
      </w:r>
    </w:p>
    <w:p w14:paraId="2AD86CE4" w14:textId="77777777" w:rsidR="004E135E" w:rsidRPr="005B4339" w:rsidRDefault="004E135E" w:rsidP="00097FA9">
      <w:pPr>
        <w:spacing w:before="120" w:after="120"/>
        <w:rPr>
          <w:noProof/>
          <w:lang w:val="en-IE"/>
        </w:rPr>
      </w:pPr>
      <w:r w:rsidRPr="005B4339">
        <w:rPr>
          <w:noProof/>
          <w:lang w:val="en-IE"/>
        </w:rPr>
        <w:lastRenderedPageBreak/>
        <w:t>It is apparent that different choices in relation to the scope of the EPR schemes have or are likely to be made, meaning in turn that producers of different types of textile goods are likely to encounter different requirements in different Member States.  The reporting dates also vary, and the application of the requirements to SMEs may also diverge depending on the decisions still to be taken in SE and NL.  Finally, the eco-modulation of fees is likely to vary given the different criteria listed in FR, NL and SE.  In each of these cases variation of the requirements is likely to result in a lack of level playing field across the EU for producers and a lack of consistency in application of requirements when selling goods in more than one Member State.</w:t>
      </w:r>
    </w:p>
    <w:p w14:paraId="438CD2A6" w14:textId="10073A22" w:rsidR="00E11355" w:rsidRPr="005B4339" w:rsidRDefault="00955B28" w:rsidP="00E11355">
      <w:pPr>
        <w:spacing w:before="120"/>
        <w:rPr>
          <w:noProof/>
          <w:lang w:val="en-IE"/>
        </w:rPr>
      </w:pPr>
      <w:r w:rsidRPr="005B4339">
        <w:rPr>
          <w:noProof/>
          <w:lang w:val="en-IE"/>
        </w:rPr>
        <w:t>I</w:t>
      </w:r>
      <w:r w:rsidR="00E11355" w:rsidRPr="005B4339">
        <w:rPr>
          <w:noProof/>
          <w:lang w:val="en-IE"/>
        </w:rPr>
        <w:t>n relation to the adoption of Implementing Acts in relation to the content of the Producer Registers as well as the eco-modulation of fees approximately 1.2 FTEs would be required in the European Commission.</w:t>
      </w:r>
      <w:r w:rsidR="00E11355" w:rsidRPr="005B4339">
        <w:rPr>
          <w:rFonts w:eastAsia="Times New Roman"/>
          <w:noProof/>
          <w:lang w:val="en-IE"/>
        </w:rPr>
        <w:t xml:space="preserve"> Member States would also be asked to make input to the necessary implementing act with the total cost of inputs of Member States of approximately 135 000 euro per implementing act with about 50 individuals making input.</w:t>
      </w:r>
    </w:p>
    <w:p w14:paraId="2332492D" w14:textId="122AF509" w:rsidR="00955B28" w:rsidRPr="005B4339" w:rsidRDefault="00955B28" w:rsidP="00955B28">
      <w:pPr>
        <w:spacing w:after="120"/>
        <w:rPr>
          <w:noProof/>
          <w:lang w:val="en-IE"/>
        </w:rPr>
      </w:pPr>
      <w:r w:rsidRPr="005B4339">
        <w:rPr>
          <w:noProof/>
          <w:lang w:val="en-IE"/>
        </w:rPr>
        <w:t>Textiles have been confirmed as a priority product under ESPR following the stakeholder consultation</w:t>
      </w:r>
      <w:r w:rsidRPr="005B4339">
        <w:rPr>
          <w:rStyle w:val="FootnoteReference"/>
          <w:noProof/>
          <w:lang w:val="en-IE"/>
        </w:rPr>
        <w:footnoteReference w:id="101"/>
      </w:r>
      <w:r w:rsidRPr="005B4339">
        <w:rPr>
          <w:noProof/>
          <w:lang w:val="en-IE"/>
        </w:rPr>
        <w:t xml:space="preserve">, and the technical work supporting the Delegated Act on textiles under the ESPR is underway. It is estimated that the Delegated Act would be adopted in 2024/25 which coincides broadly with the possible adoption and entry into force of the Waste Framework Directive rules on Extended Producer Responsibility considered in this assessment. Therefore, full alignment is possible both at the policy development and implementation stage. Full alignment between the two legislations in terms of scope and standards (e.g. on the design factors and measurement tools) is a top priority for the Commission. In practice, it is important to ensure that fee modulation under EPR is fully consistent with the ESPR sustainability criteria and their measurement standards. This will provide the clearest policy signal and prevent unnecessary administrative burdens. This approach is also strongly supported by the textiles industry. </w:t>
      </w:r>
    </w:p>
    <w:p w14:paraId="63A158C4" w14:textId="5876D3BD" w:rsidR="00EE3D9D" w:rsidRPr="005B4339" w:rsidRDefault="00EE3D9D" w:rsidP="006554B6">
      <w:pPr>
        <w:spacing w:after="120"/>
        <w:rPr>
          <w:b/>
          <w:noProof/>
          <w:lang w:val="en-IE"/>
        </w:rPr>
      </w:pPr>
      <w:r w:rsidRPr="005B4339">
        <w:rPr>
          <w:b/>
          <w:noProof/>
          <w:lang w:val="en-IE"/>
        </w:rPr>
        <w:t>Environmental impacts</w:t>
      </w:r>
    </w:p>
    <w:p w14:paraId="3FD74739" w14:textId="0F063C75" w:rsidR="00EE3D9D" w:rsidRPr="005B4339" w:rsidRDefault="00EE3D9D" w:rsidP="00097FA9">
      <w:pPr>
        <w:spacing w:after="120"/>
        <w:rPr>
          <w:noProof/>
          <w:lang w:val="en-IE"/>
        </w:rPr>
      </w:pPr>
      <w:r w:rsidRPr="005B4339">
        <w:rPr>
          <w:noProof/>
          <w:lang w:val="en-IE"/>
        </w:rPr>
        <w:t>The application of EPR should both ensure that adequate infrastructure for management of textile waste is funded as well as addressing communication to waste holders enabling to better understand the need for and opportunities for separate collection of textiles in the Member State concerned</w:t>
      </w:r>
      <w:r w:rsidR="1F003D96" w:rsidRPr="005B4339">
        <w:rPr>
          <w:noProof/>
          <w:lang w:val="en-IE"/>
        </w:rPr>
        <w:t xml:space="preserve"> as well as on the overall impacts of textiles on the environment and the contribution of consumers, including in the purchase of used textiles</w:t>
      </w:r>
      <w:r w:rsidRPr="005B4339">
        <w:rPr>
          <w:noProof/>
          <w:lang w:val="en-IE"/>
        </w:rPr>
        <w:t xml:space="preserve">. </w:t>
      </w:r>
      <w:r w:rsidR="00053475" w:rsidRPr="005B4339">
        <w:rPr>
          <w:noProof/>
          <w:lang w:val="en-IE"/>
        </w:rPr>
        <w:t>The environmental impacts may be expected to take place under the baseline, the main advantage of EPR being that the necessary funding to pay for the textiles management necessary to achieve these impacts would both be more likely and more consistent across the EU. Consequently, t</w:t>
      </w:r>
      <w:r w:rsidRPr="005B4339">
        <w:rPr>
          <w:noProof/>
          <w:lang w:val="en-IE"/>
        </w:rPr>
        <w:t xml:space="preserve">he </w:t>
      </w:r>
      <w:r w:rsidR="00053475" w:rsidRPr="005B4339">
        <w:rPr>
          <w:noProof/>
          <w:lang w:val="en-IE"/>
        </w:rPr>
        <w:t>indirect</w:t>
      </w:r>
      <w:r w:rsidRPr="005B4339">
        <w:rPr>
          <w:noProof/>
          <w:lang w:val="en-IE"/>
        </w:rPr>
        <w:t xml:space="preserve"> environmental impacts of textiles that would otherwise be discarded in residual waste should</w:t>
      </w:r>
      <w:r w:rsidR="0099430A" w:rsidRPr="005B4339">
        <w:rPr>
          <w:noProof/>
          <w:lang w:val="en-IE"/>
        </w:rPr>
        <w:t xml:space="preserve"> </w:t>
      </w:r>
      <w:r w:rsidRPr="005B4339">
        <w:rPr>
          <w:noProof/>
          <w:lang w:val="en-IE"/>
        </w:rPr>
        <w:t xml:space="preserve">therefore be </w:t>
      </w:r>
      <w:r w:rsidR="00053475" w:rsidRPr="005B4339">
        <w:rPr>
          <w:noProof/>
          <w:lang w:val="en-IE"/>
        </w:rPr>
        <w:t xml:space="preserve">more likely to be </w:t>
      </w:r>
      <w:r w:rsidRPr="005B4339">
        <w:rPr>
          <w:noProof/>
          <w:lang w:val="en-IE"/>
        </w:rPr>
        <w:t>reduced under this measure including in relation to GHG emissions through both greater reuse of textiles as well as recycling of textiles in comparison to their dis</w:t>
      </w:r>
      <w:r w:rsidR="0D24A5E8" w:rsidRPr="005B4339">
        <w:rPr>
          <w:noProof/>
          <w:lang w:val="en-IE"/>
        </w:rPr>
        <w:t>posal</w:t>
      </w:r>
      <w:r w:rsidRPr="005B4339">
        <w:rPr>
          <w:noProof/>
          <w:lang w:val="en-IE"/>
        </w:rPr>
        <w:t xml:space="preserve"> as well as </w:t>
      </w:r>
      <w:r w:rsidRPr="005B4339">
        <w:rPr>
          <w:noProof/>
          <w:lang w:val="en-IE"/>
        </w:rPr>
        <w:lastRenderedPageBreak/>
        <w:t>emissions to air</w:t>
      </w:r>
      <w:r w:rsidR="65CD3941" w:rsidRPr="005B4339">
        <w:rPr>
          <w:noProof/>
          <w:lang w:val="en-IE"/>
        </w:rPr>
        <w:t>,</w:t>
      </w:r>
      <w:r w:rsidR="0099430A" w:rsidRPr="005B4339">
        <w:rPr>
          <w:noProof/>
          <w:lang w:val="en-IE"/>
        </w:rPr>
        <w:t xml:space="preserve"> </w:t>
      </w:r>
      <w:r w:rsidRPr="005B4339">
        <w:rPr>
          <w:noProof/>
          <w:lang w:val="en-IE"/>
        </w:rPr>
        <w:t>water and land through the avoidance of disposal in the future.</w:t>
      </w:r>
      <w:r w:rsidR="0029096D" w:rsidRPr="005B4339">
        <w:rPr>
          <w:noProof/>
          <w:lang w:val="en-IE"/>
        </w:rPr>
        <w:t xml:space="preserve"> </w:t>
      </w:r>
      <w:r w:rsidR="004A0B1C" w:rsidRPr="005B4339">
        <w:rPr>
          <w:noProof/>
          <w:lang w:val="en-IE"/>
        </w:rPr>
        <w:t>As a proportion of total textile waste generation in the EU</w:t>
      </w:r>
      <w:r w:rsidR="0099430A" w:rsidRPr="005B4339">
        <w:rPr>
          <w:noProof/>
          <w:lang w:val="en-IE"/>
        </w:rPr>
        <w:t xml:space="preserve"> </w:t>
      </w:r>
      <w:r w:rsidR="004A0B1C" w:rsidRPr="005B4339">
        <w:rPr>
          <w:noProof/>
          <w:lang w:val="en-IE"/>
        </w:rPr>
        <w:t xml:space="preserve">disposal would drop from </w:t>
      </w:r>
      <w:r w:rsidR="00704096" w:rsidRPr="005B4339">
        <w:rPr>
          <w:noProof/>
          <w:lang w:val="en-IE"/>
        </w:rPr>
        <w:t>74% at present to 56% by 2035</w:t>
      </w:r>
      <w:r w:rsidR="0099430A" w:rsidRPr="005B4339">
        <w:rPr>
          <w:noProof/>
          <w:lang w:val="en-IE"/>
        </w:rPr>
        <w:t xml:space="preserve"> </w:t>
      </w:r>
      <w:r w:rsidR="00704096" w:rsidRPr="005B4339">
        <w:rPr>
          <w:noProof/>
          <w:lang w:val="en-IE"/>
        </w:rPr>
        <w:t>with a drop of nearly</w:t>
      </w:r>
      <w:r w:rsidR="00204FE0" w:rsidRPr="005B4339">
        <w:rPr>
          <w:noProof/>
          <w:lang w:val="en-IE"/>
        </w:rPr>
        <w:t xml:space="preserve"> 670 000 tonnes in total. </w:t>
      </w:r>
      <w:r w:rsidR="009024E3" w:rsidRPr="005B4339">
        <w:rPr>
          <w:noProof/>
          <w:lang w:val="en-IE"/>
        </w:rPr>
        <w:t>Notably in relation to recycling</w:t>
      </w:r>
      <w:r w:rsidR="7DA06AB4" w:rsidRPr="005B4339">
        <w:rPr>
          <w:noProof/>
          <w:lang w:val="en-IE"/>
        </w:rPr>
        <w:t>,</w:t>
      </w:r>
      <w:r w:rsidR="009024E3" w:rsidRPr="005B4339">
        <w:rPr>
          <w:noProof/>
          <w:lang w:val="en-IE"/>
        </w:rPr>
        <w:t xml:space="preserve"> the plans of the European Apparel and Textile Confederation (EURATEX) to significantly boost recycling of textiles is dependent on certainty in relation to the volumes and nature of the feedstock produced. EPR would </w:t>
      </w:r>
      <w:r w:rsidR="004A0B1C" w:rsidRPr="005B4339">
        <w:rPr>
          <w:noProof/>
          <w:lang w:val="en-IE"/>
        </w:rPr>
        <w:t xml:space="preserve">target both aspects feeding into a textiles recycling market that the industry </w:t>
      </w:r>
      <w:r w:rsidR="5717D4AD" w:rsidRPr="005B4339">
        <w:rPr>
          <w:noProof/>
          <w:lang w:val="en-IE"/>
        </w:rPr>
        <w:t>calls for</w:t>
      </w:r>
      <w:r w:rsidR="004A0B1C" w:rsidRPr="005B4339">
        <w:rPr>
          <w:noProof/>
          <w:lang w:val="en-IE"/>
        </w:rPr>
        <w:t xml:space="preserve"> to </w:t>
      </w:r>
      <w:r w:rsidR="5717D4AD" w:rsidRPr="005B4339">
        <w:rPr>
          <w:noProof/>
          <w:lang w:val="en-IE"/>
        </w:rPr>
        <w:t>ensure investment certainty</w:t>
      </w:r>
      <w:r w:rsidR="004A0B1C" w:rsidRPr="005B4339">
        <w:rPr>
          <w:noProof/>
          <w:lang w:val="en-IE"/>
        </w:rPr>
        <w:t>.</w:t>
      </w:r>
    </w:p>
    <w:p w14:paraId="259EEE25" w14:textId="5BE60335" w:rsidR="00301BA4" w:rsidRPr="005B4339" w:rsidRDefault="00301BA4" w:rsidP="00301BA4">
      <w:pPr>
        <w:rPr>
          <w:noProof/>
          <w:lang w:val="en-IE"/>
        </w:rPr>
      </w:pPr>
      <w:r w:rsidRPr="005B4339">
        <w:rPr>
          <w:noProof/>
          <w:lang w:val="en-IE"/>
        </w:rPr>
        <w:t>As noted under measure 2.</w:t>
      </w:r>
      <w:r w:rsidR="7A1EC168" w:rsidRPr="005B4339">
        <w:rPr>
          <w:noProof/>
          <w:lang w:val="en-IE"/>
        </w:rPr>
        <w:t>5</w:t>
      </w:r>
      <w:r w:rsidRPr="005B4339">
        <w:rPr>
          <w:noProof/>
          <w:lang w:val="en-IE"/>
        </w:rPr>
        <w:t xml:space="preserve"> in relation to the displacement of new textile products and virgin fibres through increased reuse and recycling, the environmental benefits in all cases outweigh the costs of production of new products and virgin fibres.  Using values provided by EuRIC</w:t>
      </w:r>
      <w:r w:rsidRPr="005B4339">
        <w:rPr>
          <w:rStyle w:val="FootnoteReference"/>
          <w:noProof/>
          <w:lang w:val="en-IE"/>
        </w:rPr>
        <w:footnoteReference w:id="102"/>
      </w:r>
      <w:r w:rsidRPr="005B4339">
        <w:rPr>
          <w:noProof/>
          <w:lang w:val="en-IE"/>
        </w:rPr>
        <w:t xml:space="preserve"> the following savings would be anticipated </w:t>
      </w:r>
      <w:r w:rsidR="00053475" w:rsidRPr="005B4339">
        <w:rPr>
          <w:noProof/>
          <w:lang w:val="en-IE"/>
        </w:rPr>
        <w:t>to be supported through the introduction of EPR</w:t>
      </w:r>
      <w:r w:rsidRPr="005B4339">
        <w:rPr>
          <w:noProof/>
          <w:lang w:val="en-IE"/>
        </w:rPr>
        <w:t xml:space="preserve"> in terms of water use.</w:t>
      </w:r>
    </w:p>
    <w:tbl>
      <w:tblPr>
        <w:tblStyle w:val="TableGrid"/>
        <w:tblW w:w="0" w:type="auto"/>
        <w:tblLook w:val="04A0" w:firstRow="1" w:lastRow="0" w:firstColumn="1" w:lastColumn="0" w:noHBand="0" w:noVBand="1"/>
      </w:tblPr>
      <w:tblGrid>
        <w:gridCol w:w="1485"/>
        <w:gridCol w:w="2352"/>
        <w:gridCol w:w="3022"/>
        <w:gridCol w:w="2717"/>
      </w:tblGrid>
      <w:tr w:rsidR="00301BA4" w:rsidRPr="005B4339" w14:paraId="2FD60E6C" w14:textId="77777777" w:rsidTr="009954F2">
        <w:tc>
          <w:tcPr>
            <w:tcW w:w="1488" w:type="dxa"/>
          </w:tcPr>
          <w:p w14:paraId="5D22C626" w14:textId="77777777" w:rsidR="00301BA4" w:rsidRPr="005B4339" w:rsidRDefault="00301BA4" w:rsidP="009954F2">
            <w:pPr>
              <w:pStyle w:val="WDBody"/>
              <w:spacing w:after="240"/>
              <w:jc w:val="both"/>
              <w:rPr>
                <w:rFonts w:ascii="Times New Roman" w:hAnsi="Times New Roman"/>
                <w:b/>
                <w:noProof/>
                <w:lang w:val="en-IE"/>
              </w:rPr>
            </w:pPr>
            <w:r w:rsidRPr="005B4339">
              <w:rPr>
                <w:rFonts w:ascii="Times New Roman" w:hAnsi="Times New Roman"/>
                <w:b/>
                <w:noProof/>
                <w:lang w:val="en-IE"/>
              </w:rPr>
              <w:t>Quality level</w:t>
            </w:r>
          </w:p>
        </w:tc>
        <w:tc>
          <w:tcPr>
            <w:tcW w:w="2358" w:type="dxa"/>
          </w:tcPr>
          <w:p w14:paraId="1A188F4D" w14:textId="77777777" w:rsidR="00301BA4" w:rsidRPr="005B4339" w:rsidRDefault="00301BA4" w:rsidP="009954F2">
            <w:pPr>
              <w:pStyle w:val="WDBody"/>
              <w:spacing w:after="240"/>
              <w:jc w:val="both"/>
              <w:rPr>
                <w:rFonts w:ascii="Times New Roman" w:hAnsi="Times New Roman"/>
                <w:b/>
                <w:noProof/>
                <w:lang w:val="en-IE"/>
              </w:rPr>
            </w:pPr>
            <w:r w:rsidRPr="005B4339">
              <w:rPr>
                <w:rFonts w:ascii="Times New Roman" w:hAnsi="Times New Roman"/>
                <w:b/>
                <w:noProof/>
                <w:lang w:val="en-IE"/>
              </w:rPr>
              <w:t>Reused water saving compared to new equivalent per tonne of textiles collected</w:t>
            </w:r>
          </w:p>
        </w:tc>
        <w:tc>
          <w:tcPr>
            <w:tcW w:w="3031" w:type="dxa"/>
          </w:tcPr>
          <w:p w14:paraId="3B3E3B3D" w14:textId="77777777" w:rsidR="00301BA4" w:rsidRPr="005B4339" w:rsidRDefault="00301BA4" w:rsidP="009954F2">
            <w:pPr>
              <w:pStyle w:val="WDBody"/>
              <w:spacing w:after="240"/>
              <w:jc w:val="both"/>
              <w:rPr>
                <w:rFonts w:ascii="Times New Roman" w:hAnsi="Times New Roman"/>
                <w:b/>
                <w:noProof/>
                <w:lang w:val="en-IE"/>
              </w:rPr>
            </w:pPr>
            <w:r w:rsidRPr="005B4339">
              <w:rPr>
                <w:rFonts w:ascii="Times New Roman" w:hAnsi="Times New Roman"/>
                <w:b/>
                <w:noProof/>
                <w:lang w:val="en-IE"/>
              </w:rPr>
              <w:t>Recycling closed-loop water saving compared to new equivalent per tonne of textiles collected</w:t>
            </w:r>
          </w:p>
        </w:tc>
        <w:tc>
          <w:tcPr>
            <w:tcW w:w="2725" w:type="dxa"/>
          </w:tcPr>
          <w:p w14:paraId="5D736AD3" w14:textId="77777777" w:rsidR="00301BA4" w:rsidRPr="005B4339" w:rsidRDefault="00301BA4" w:rsidP="009954F2">
            <w:pPr>
              <w:pStyle w:val="WDBody"/>
              <w:spacing w:after="240"/>
              <w:jc w:val="both"/>
              <w:rPr>
                <w:rFonts w:ascii="Times New Roman" w:hAnsi="Times New Roman"/>
                <w:b/>
                <w:noProof/>
                <w:lang w:val="en-IE"/>
              </w:rPr>
            </w:pPr>
            <w:r w:rsidRPr="005B4339">
              <w:rPr>
                <w:rFonts w:ascii="Times New Roman" w:hAnsi="Times New Roman"/>
                <w:b/>
                <w:noProof/>
                <w:lang w:val="en-IE"/>
              </w:rPr>
              <w:t>Recycling open-loop water saving compared to new equivalent per tonne of textiles collected</w:t>
            </w:r>
          </w:p>
        </w:tc>
      </w:tr>
      <w:tr w:rsidR="00301BA4" w:rsidRPr="005B4339" w14:paraId="444EE8C4" w14:textId="77777777" w:rsidTr="009954F2">
        <w:tc>
          <w:tcPr>
            <w:tcW w:w="1488" w:type="dxa"/>
          </w:tcPr>
          <w:p w14:paraId="41F4230B" w14:textId="77777777" w:rsidR="00301BA4" w:rsidRPr="005B4339" w:rsidRDefault="00301BA4" w:rsidP="009954F2">
            <w:pPr>
              <w:pStyle w:val="WDBody"/>
              <w:spacing w:after="240"/>
              <w:jc w:val="both"/>
              <w:rPr>
                <w:rFonts w:ascii="Times New Roman" w:hAnsi="Times New Roman"/>
                <w:noProof/>
                <w:lang w:val="en-IE"/>
              </w:rPr>
            </w:pPr>
            <w:r w:rsidRPr="005B4339">
              <w:rPr>
                <w:rFonts w:ascii="Times New Roman" w:hAnsi="Times New Roman"/>
                <w:noProof/>
                <w:lang w:val="en-IE"/>
              </w:rPr>
              <w:t>Crème</w:t>
            </w:r>
          </w:p>
        </w:tc>
        <w:tc>
          <w:tcPr>
            <w:tcW w:w="2358" w:type="dxa"/>
          </w:tcPr>
          <w:p w14:paraId="4DF146B8"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198 000 m</w:t>
            </w:r>
            <w:r w:rsidRPr="005B4339">
              <w:rPr>
                <w:rFonts w:ascii="Times New Roman" w:hAnsi="Times New Roman"/>
                <w:noProof/>
                <w:vertAlign w:val="superscript"/>
                <w:lang w:val="en-IE"/>
              </w:rPr>
              <w:t>3</w:t>
            </w:r>
          </w:p>
        </w:tc>
        <w:tc>
          <w:tcPr>
            <w:tcW w:w="3031" w:type="dxa"/>
          </w:tcPr>
          <w:p w14:paraId="3C32E5FF"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4 500 m</w:t>
            </w:r>
            <w:r w:rsidRPr="005B4339">
              <w:rPr>
                <w:rFonts w:ascii="Times New Roman" w:hAnsi="Times New Roman"/>
                <w:noProof/>
                <w:vertAlign w:val="superscript"/>
                <w:lang w:val="en-IE"/>
              </w:rPr>
              <w:t>3</w:t>
            </w:r>
            <w:r w:rsidRPr="005B4339">
              <w:rPr>
                <w:rFonts w:ascii="Times New Roman" w:hAnsi="Times New Roman"/>
                <w:noProof/>
                <w:lang w:val="en-IE"/>
              </w:rPr>
              <w:t xml:space="preserve"> </w:t>
            </w:r>
          </w:p>
        </w:tc>
        <w:tc>
          <w:tcPr>
            <w:tcW w:w="2725" w:type="dxa"/>
          </w:tcPr>
          <w:p w14:paraId="07AE49B9"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16 800 m</w:t>
            </w:r>
            <w:r w:rsidRPr="005B4339">
              <w:rPr>
                <w:rFonts w:ascii="Times New Roman" w:hAnsi="Times New Roman"/>
                <w:noProof/>
                <w:vertAlign w:val="superscript"/>
                <w:lang w:val="en-IE"/>
              </w:rPr>
              <w:t>3</w:t>
            </w:r>
          </w:p>
        </w:tc>
      </w:tr>
      <w:tr w:rsidR="00301BA4" w:rsidRPr="005B4339" w14:paraId="20571E27" w14:textId="77777777" w:rsidTr="009954F2">
        <w:tc>
          <w:tcPr>
            <w:tcW w:w="1488" w:type="dxa"/>
          </w:tcPr>
          <w:p w14:paraId="224487A3" w14:textId="77777777" w:rsidR="00301BA4" w:rsidRPr="005B4339" w:rsidRDefault="00301BA4" w:rsidP="009954F2">
            <w:pPr>
              <w:pStyle w:val="WDBody"/>
              <w:spacing w:after="240"/>
              <w:jc w:val="both"/>
              <w:rPr>
                <w:rFonts w:ascii="Times New Roman" w:hAnsi="Times New Roman"/>
                <w:noProof/>
                <w:lang w:val="en-IE"/>
              </w:rPr>
            </w:pPr>
            <w:r w:rsidRPr="005B4339">
              <w:rPr>
                <w:rFonts w:ascii="Times New Roman" w:hAnsi="Times New Roman"/>
                <w:noProof/>
                <w:lang w:val="en-IE"/>
              </w:rPr>
              <w:t>B-grade</w:t>
            </w:r>
          </w:p>
        </w:tc>
        <w:tc>
          <w:tcPr>
            <w:tcW w:w="2358" w:type="dxa"/>
          </w:tcPr>
          <w:p w14:paraId="3A14494A"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138 000 m</w:t>
            </w:r>
            <w:r w:rsidRPr="005B4339">
              <w:rPr>
                <w:rFonts w:ascii="Times New Roman" w:hAnsi="Times New Roman"/>
                <w:noProof/>
                <w:vertAlign w:val="superscript"/>
                <w:lang w:val="en-IE"/>
              </w:rPr>
              <w:t xml:space="preserve">3 </w:t>
            </w:r>
          </w:p>
        </w:tc>
        <w:tc>
          <w:tcPr>
            <w:tcW w:w="3031" w:type="dxa"/>
          </w:tcPr>
          <w:p w14:paraId="374C63E4"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1 290 m</w:t>
            </w:r>
            <w:r w:rsidRPr="005B4339">
              <w:rPr>
                <w:rFonts w:ascii="Times New Roman" w:hAnsi="Times New Roman"/>
                <w:noProof/>
                <w:vertAlign w:val="superscript"/>
                <w:lang w:val="en-IE"/>
              </w:rPr>
              <w:t>3</w:t>
            </w:r>
          </w:p>
        </w:tc>
        <w:tc>
          <w:tcPr>
            <w:tcW w:w="2725" w:type="dxa"/>
          </w:tcPr>
          <w:p w14:paraId="08A0EAAA"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No value used</w:t>
            </w:r>
          </w:p>
        </w:tc>
      </w:tr>
      <w:tr w:rsidR="00301BA4" w:rsidRPr="005B4339" w14:paraId="307728E2" w14:textId="77777777" w:rsidTr="009954F2">
        <w:tc>
          <w:tcPr>
            <w:tcW w:w="1488" w:type="dxa"/>
          </w:tcPr>
          <w:p w14:paraId="492C7FF4" w14:textId="77777777" w:rsidR="00301BA4" w:rsidRPr="005B4339" w:rsidRDefault="00301BA4" w:rsidP="009954F2">
            <w:pPr>
              <w:pStyle w:val="WDBody"/>
              <w:spacing w:after="240"/>
              <w:jc w:val="both"/>
              <w:rPr>
                <w:rFonts w:ascii="Times New Roman" w:hAnsi="Times New Roman"/>
                <w:noProof/>
                <w:lang w:val="en-IE"/>
              </w:rPr>
            </w:pPr>
            <w:r w:rsidRPr="005B4339">
              <w:rPr>
                <w:rFonts w:ascii="Times New Roman" w:hAnsi="Times New Roman"/>
                <w:noProof/>
                <w:lang w:val="en-IE"/>
              </w:rPr>
              <w:t>C-grade</w:t>
            </w:r>
          </w:p>
        </w:tc>
        <w:tc>
          <w:tcPr>
            <w:tcW w:w="2358" w:type="dxa"/>
          </w:tcPr>
          <w:p w14:paraId="4B359FE9"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5 800 m</w:t>
            </w:r>
            <w:r w:rsidRPr="005B4339">
              <w:rPr>
                <w:rFonts w:ascii="Times New Roman" w:hAnsi="Times New Roman"/>
                <w:noProof/>
                <w:vertAlign w:val="superscript"/>
                <w:lang w:val="en-IE"/>
              </w:rPr>
              <w:t>3</w:t>
            </w:r>
            <w:r w:rsidRPr="005B4339">
              <w:rPr>
                <w:rFonts w:ascii="Times New Roman" w:hAnsi="Times New Roman"/>
                <w:noProof/>
                <w:lang w:val="en-IE"/>
              </w:rPr>
              <w:t xml:space="preserve"> </w:t>
            </w:r>
          </w:p>
        </w:tc>
        <w:tc>
          <w:tcPr>
            <w:tcW w:w="3031" w:type="dxa"/>
          </w:tcPr>
          <w:p w14:paraId="6344998A"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1 290 m</w:t>
            </w:r>
            <w:r w:rsidRPr="005B4339">
              <w:rPr>
                <w:rFonts w:ascii="Times New Roman" w:hAnsi="Times New Roman"/>
                <w:noProof/>
                <w:vertAlign w:val="superscript"/>
                <w:lang w:val="en-IE"/>
              </w:rPr>
              <w:t>3</w:t>
            </w:r>
            <w:r w:rsidRPr="005B4339">
              <w:rPr>
                <w:rFonts w:ascii="Times New Roman" w:hAnsi="Times New Roman"/>
                <w:noProof/>
                <w:lang w:val="en-IE"/>
              </w:rPr>
              <w:t xml:space="preserve"> </w:t>
            </w:r>
          </w:p>
        </w:tc>
        <w:tc>
          <w:tcPr>
            <w:tcW w:w="2725" w:type="dxa"/>
          </w:tcPr>
          <w:p w14:paraId="59C3328D" w14:textId="77777777" w:rsidR="00301BA4" w:rsidRPr="005B4339" w:rsidRDefault="00301BA4" w:rsidP="009954F2">
            <w:pPr>
              <w:pStyle w:val="WDBody"/>
              <w:rPr>
                <w:rFonts w:ascii="Times New Roman" w:hAnsi="Times New Roman"/>
                <w:noProof/>
                <w:lang w:val="en-IE"/>
              </w:rPr>
            </w:pPr>
            <w:r w:rsidRPr="005B4339">
              <w:rPr>
                <w:rFonts w:ascii="Times New Roman" w:hAnsi="Times New Roman"/>
                <w:noProof/>
                <w:lang w:val="en-IE"/>
              </w:rPr>
              <w:t>No value used</w:t>
            </w:r>
          </w:p>
        </w:tc>
      </w:tr>
    </w:tbl>
    <w:p w14:paraId="666841E3" w14:textId="77777777" w:rsidR="00301BA4" w:rsidRPr="005B4339" w:rsidRDefault="00301BA4" w:rsidP="00301BA4">
      <w:pPr>
        <w:rPr>
          <w:noProof/>
          <w:lang w:val="en-IE"/>
        </w:rPr>
      </w:pPr>
    </w:p>
    <w:p w14:paraId="2EA79837" w14:textId="2B138DE3" w:rsidR="00301BA4" w:rsidRPr="005B4339" w:rsidDel="00301BA4" w:rsidRDefault="00301BA4" w:rsidP="0BB3F6D2">
      <w:pPr>
        <w:spacing w:after="120"/>
        <w:rPr>
          <w:b/>
          <w:noProof/>
          <w:lang w:val="en-IE"/>
        </w:rPr>
      </w:pPr>
      <w:r w:rsidRPr="005B4339">
        <w:rPr>
          <w:noProof/>
          <w:lang w:val="en-IE"/>
        </w:rPr>
        <w:t xml:space="preserve">Furthermore, in the case of recycling approximately ~2 hectare per tonne of fibre output as an average all fibres is applied to calculate the land-use saved through displacement of virgin fibres by recycled fibres. It is expected, therefore, that the support of EPR to recycling activities would support </w:t>
      </w:r>
      <w:r w:rsidR="004E5911" w:rsidRPr="005B4339">
        <w:rPr>
          <w:noProof/>
          <w:lang w:val="en-IE"/>
        </w:rPr>
        <w:t>actions</w:t>
      </w:r>
      <w:r w:rsidRPr="005B4339">
        <w:rPr>
          <w:noProof/>
          <w:lang w:val="en-IE"/>
        </w:rPr>
        <w:t xml:space="preserve"> that would result in significant saving in terms of land use of up to 1.6 million tonnes by 2035.</w:t>
      </w:r>
    </w:p>
    <w:p w14:paraId="3025C326" w14:textId="74D6447C" w:rsidR="00EE3D9D" w:rsidRPr="005B4339" w:rsidRDefault="00EE3D9D" w:rsidP="006554B6">
      <w:pPr>
        <w:spacing w:after="120"/>
        <w:rPr>
          <w:b/>
          <w:noProof/>
          <w:lang w:val="en-IE"/>
        </w:rPr>
      </w:pPr>
      <w:r w:rsidRPr="005B4339">
        <w:rPr>
          <w:b/>
          <w:noProof/>
          <w:lang w:val="en-IE"/>
        </w:rPr>
        <w:t>Social impacts</w:t>
      </w:r>
    </w:p>
    <w:p w14:paraId="2C97CAE7" w14:textId="0D43E760" w:rsidR="00EE3D9D" w:rsidRPr="005B4339" w:rsidRDefault="00EE3D9D" w:rsidP="001236E0">
      <w:pPr>
        <w:spacing w:after="120"/>
        <w:rPr>
          <w:noProof/>
          <w:lang w:val="en-IE"/>
        </w:rPr>
      </w:pPr>
      <w:r w:rsidRPr="005B4339">
        <w:rPr>
          <w:noProof/>
          <w:lang w:val="en-IE"/>
        </w:rPr>
        <w:t xml:space="preserve">The application of EPR would </w:t>
      </w:r>
      <w:r w:rsidR="004E5911" w:rsidRPr="005B4339">
        <w:rPr>
          <w:noProof/>
          <w:lang w:val="en-IE"/>
        </w:rPr>
        <w:t xml:space="preserve">assist in </w:t>
      </w:r>
      <w:r w:rsidRPr="005B4339">
        <w:rPr>
          <w:noProof/>
          <w:lang w:val="en-IE"/>
        </w:rPr>
        <w:t>both driv</w:t>
      </w:r>
      <w:r w:rsidR="004E5911" w:rsidRPr="005B4339">
        <w:rPr>
          <w:noProof/>
          <w:lang w:val="en-IE"/>
        </w:rPr>
        <w:t>ing</w:t>
      </w:r>
      <w:r w:rsidRPr="005B4339">
        <w:rPr>
          <w:noProof/>
          <w:lang w:val="en-IE"/>
        </w:rPr>
        <w:t xml:space="preserve"> employment by improving investment in textile waste management as well as mitigating the impacts of poor textile waste management for both citizens of the EU as well as in those third countries receiving used textiles from the EU</w:t>
      </w:r>
      <w:r w:rsidR="004E5911" w:rsidRPr="005B4339">
        <w:rPr>
          <w:noProof/>
          <w:lang w:val="en-IE"/>
        </w:rPr>
        <w:t xml:space="preserve"> in comparison to the disparate and inconsistent approach that might otherwise develop in the absence of EPR</w:t>
      </w:r>
      <w:r w:rsidRPr="005B4339">
        <w:rPr>
          <w:noProof/>
          <w:lang w:val="en-IE"/>
        </w:rPr>
        <w:t>. It has not been possible to quantify these impacts.</w:t>
      </w:r>
      <w:r w:rsidR="00D6427F" w:rsidRPr="005B4339">
        <w:rPr>
          <w:noProof/>
          <w:lang w:val="en-IE"/>
        </w:rPr>
        <w:t xml:space="preserve"> Sorting and recycling at scale will create jobs and ensure competitiveness in light of increasing raw material and energy costs and ensure that recyclers have the necessary dependable feedstock to significantly increase closed loop recycling within the EU. By driving forward the necessary changes in textile </w:t>
      </w:r>
      <w:r w:rsidR="00D6427F" w:rsidRPr="005B4339">
        <w:rPr>
          <w:noProof/>
          <w:lang w:val="en-IE"/>
        </w:rPr>
        <w:lastRenderedPageBreak/>
        <w:t>management it is estimated that an additional 5 500 jobs would be created by 2035</w:t>
      </w:r>
      <w:r w:rsidR="004E5911" w:rsidRPr="005B4339">
        <w:rPr>
          <w:noProof/>
          <w:lang w:val="en-IE"/>
        </w:rPr>
        <w:t>, supported directly by the introduction of EPR</w:t>
      </w:r>
      <w:r w:rsidR="00D6427F" w:rsidRPr="005B4339">
        <w:rPr>
          <w:noProof/>
          <w:lang w:val="en-IE"/>
        </w:rPr>
        <w:t>.</w:t>
      </w:r>
    </w:p>
    <w:p w14:paraId="59F68A15" w14:textId="07143E6D" w:rsidR="009B58D6" w:rsidRPr="005B4339" w:rsidRDefault="11272934" w:rsidP="00EE3D9D">
      <w:pPr>
        <w:rPr>
          <w:noProof/>
          <w:lang w:val="en-IE"/>
        </w:rPr>
      </w:pPr>
      <w:r w:rsidRPr="005B4339">
        <w:rPr>
          <w:noProof/>
          <w:lang w:val="en-IE"/>
        </w:rPr>
        <w:t xml:space="preserve">With regard to the impact of the EPR obligations on the cost of product, it is not possible to assess with certainty whether the </w:t>
      </w:r>
      <w:r w:rsidR="5AFC3259" w:rsidRPr="005B4339">
        <w:rPr>
          <w:noProof/>
          <w:lang w:val="en-IE"/>
        </w:rPr>
        <w:t>producers</w:t>
      </w:r>
      <w:r w:rsidRPr="005B4339">
        <w:rPr>
          <w:noProof/>
          <w:lang w:val="en-IE"/>
        </w:rPr>
        <w:t xml:space="preserve"> will internalise t</w:t>
      </w:r>
      <w:r w:rsidR="6440ECBB" w:rsidRPr="005B4339">
        <w:rPr>
          <w:noProof/>
          <w:lang w:val="en-IE"/>
        </w:rPr>
        <w:t xml:space="preserve">he cost or pass it onto the consumers. </w:t>
      </w:r>
      <w:r w:rsidR="47DFA168" w:rsidRPr="005B4339">
        <w:rPr>
          <w:noProof/>
          <w:lang w:val="en-IE"/>
        </w:rPr>
        <w:t>Considering</w:t>
      </w:r>
      <w:r w:rsidR="628704AB" w:rsidRPr="005B4339">
        <w:rPr>
          <w:noProof/>
          <w:lang w:val="en-IE"/>
        </w:rPr>
        <w:t xml:space="preserve"> that the textile market is fiercely competitive, it may be possible that the producers will </w:t>
      </w:r>
      <w:r w:rsidR="6F3BF8A1" w:rsidRPr="005B4339">
        <w:rPr>
          <w:noProof/>
          <w:lang w:val="en-IE"/>
        </w:rPr>
        <w:t>internalise the costs. On the other hand, t</w:t>
      </w:r>
      <w:r w:rsidR="2B845681" w:rsidRPr="005B4339">
        <w:rPr>
          <w:noProof/>
          <w:lang w:val="en-IE"/>
        </w:rPr>
        <w:t>he</w:t>
      </w:r>
      <w:r w:rsidR="00522D35" w:rsidRPr="005B4339">
        <w:rPr>
          <w:noProof/>
          <w:lang w:val="en-IE"/>
        </w:rPr>
        <w:t xml:space="preserve"> costs per item are low as shown in the table</w:t>
      </w:r>
      <w:r w:rsidR="001F7DAB" w:rsidRPr="005B4339">
        <w:rPr>
          <w:noProof/>
          <w:lang w:val="en-IE"/>
        </w:rPr>
        <w:t xml:space="preserve"> above so the overall effects are expected to be limited</w:t>
      </w:r>
      <w:r w:rsidR="1E870A23" w:rsidRPr="005B4339">
        <w:rPr>
          <w:noProof/>
          <w:lang w:val="en-IE"/>
        </w:rPr>
        <w:t xml:space="preserve"> even if the </w:t>
      </w:r>
      <w:r w:rsidR="2B845681" w:rsidRPr="005B4339">
        <w:rPr>
          <w:noProof/>
          <w:lang w:val="en-IE"/>
        </w:rPr>
        <w:t xml:space="preserve">fees </w:t>
      </w:r>
      <w:r w:rsidR="38E55DA8" w:rsidRPr="005B4339">
        <w:rPr>
          <w:noProof/>
          <w:lang w:val="en-IE"/>
        </w:rPr>
        <w:t>applied are passed on to consumers.</w:t>
      </w:r>
    </w:p>
    <w:p w14:paraId="445762F2" w14:textId="281D7577" w:rsidR="00EE3D9D" w:rsidRPr="005B4339" w:rsidRDefault="1CA4C1C9" w:rsidP="003D6E39">
      <w:pPr>
        <w:spacing w:after="120"/>
        <w:rPr>
          <w:b/>
          <w:noProof/>
          <w:lang w:val="en-IE"/>
        </w:rPr>
      </w:pPr>
      <w:r w:rsidRPr="005B4339">
        <w:rPr>
          <w:b/>
          <w:noProof/>
          <w:lang w:val="en-IE"/>
        </w:rPr>
        <w:t>Impact on SMEs and social enterprises</w:t>
      </w:r>
    </w:p>
    <w:p w14:paraId="39EE0A45" w14:textId="3E862AFE" w:rsidR="47386DDE" w:rsidRPr="005B4339" w:rsidRDefault="1CA4C1C9" w:rsidP="00D116C7">
      <w:pPr>
        <w:rPr>
          <w:rFonts w:eastAsia="Times New Roman"/>
          <w:noProof/>
          <w:lang w:val="en-IE"/>
        </w:rPr>
      </w:pPr>
      <w:r w:rsidRPr="005B4339">
        <w:rPr>
          <w:rFonts w:eastAsia="Times New Roman"/>
          <w:noProof/>
          <w:lang w:val="en-IE"/>
        </w:rPr>
        <w:t>Given the majority of those involved as producers are SMEs</w:t>
      </w:r>
      <w:r w:rsidR="22BDCE9E" w:rsidRPr="005B4339">
        <w:rPr>
          <w:rFonts w:eastAsia="Times New Roman"/>
          <w:noProof/>
          <w:lang w:val="en-IE"/>
        </w:rPr>
        <w:t>, the report assessed</w:t>
      </w:r>
      <w:r w:rsidRPr="005B4339">
        <w:rPr>
          <w:rFonts w:eastAsia="Times New Roman"/>
          <w:noProof/>
          <w:lang w:val="en-IE"/>
        </w:rPr>
        <w:t xml:space="preserve"> the implications of excluding certain categories of SMEs (micro enterprises) </w:t>
      </w:r>
      <w:r w:rsidR="02024A70" w:rsidRPr="005B4339">
        <w:rPr>
          <w:rFonts w:eastAsia="Times New Roman"/>
          <w:noProof/>
          <w:lang w:val="en-IE"/>
        </w:rPr>
        <w:t xml:space="preserve">from the EPR obligations as </w:t>
      </w:r>
      <w:r w:rsidRPr="005B4339">
        <w:rPr>
          <w:rFonts w:eastAsia="Times New Roman"/>
          <w:noProof/>
          <w:lang w:val="en-IE"/>
        </w:rPr>
        <w:t>producers</w:t>
      </w:r>
      <w:r w:rsidR="028C832C" w:rsidRPr="005B4339">
        <w:rPr>
          <w:rFonts w:eastAsia="Times New Roman"/>
          <w:noProof/>
          <w:lang w:val="en-IE"/>
        </w:rPr>
        <w:t>.</w:t>
      </w:r>
      <w:r w:rsidR="3F727584" w:rsidRPr="005B4339">
        <w:rPr>
          <w:rFonts w:eastAsia="Times New Roman"/>
          <w:noProof/>
          <w:lang w:val="en-IE"/>
        </w:rPr>
        <w:t xml:space="preserve"> </w:t>
      </w:r>
      <w:r w:rsidR="5F7E8BF2" w:rsidRPr="005B4339">
        <w:rPr>
          <w:rFonts w:eastAsia="Times New Roman"/>
          <w:noProof/>
          <w:lang w:val="en-IE"/>
        </w:rPr>
        <w:t>The same was done</w:t>
      </w:r>
      <w:r w:rsidRPr="005B4339">
        <w:rPr>
          <w:rFonts w:eastAsia="Times New Roman"/>
          <w:noProof/>
          <w:lang w:val="en-IE"/>
        </w:rPr>
        <w:t xml:space="preserve"> in relation to the reuse sector that has a significant proportion of social enterprises involved in the resale of reused textiles</w:t>
      </w:r>
      <w:r w:rsidR="1DB43328" w:rsidRPr="005B4339">
        <w:rPr>
          <w:rFonts w:eastAsia="Times New Roman"/>
          <w:noProof/>
          <w:lang w:val="en-IE"/>
        </w:rPr>
        <w:t xml:space="preserve">. The impacts of </w:t>
      </w:r>
      <w:r w:rsidR="3FF23E99" w:rsidRPr="005B4339">
        <w:rPr>
          <w:rFonts w:eastAsia="Times New Roman"/>
          <w:noProof/>
          <w:lang w:val="en-IE"/>
        </w:rPr>
        <w:t>their inclusion or</w:t>
      </w:r>
      <w:r w:rsidRPr="005B4339">
        <w:rPr>
          <w:rFonts w:eastAsia="Times New Roman"/>
          <w:noProof/>
          <w:lang w:val="en-IE"/>
        </w:rPr>
        <w:t xml:space="preserve"> exclusion </w:t>
      </w:r>
      <w:r w:rsidR="3FF23E99" w:rsidRPr="005B4339">
        <w:rPr>
          <w:rFonts w:eastAsia="Times New Roman"/>
          <w:noProof/>
          <w:lang w:val="en-IE"/>
        </w:rPr>
        <w:t xml:space="preserve">were assessed and conclude with their </w:t>
      </w:r>
      <w:r w:rsidR="028C832C" w:rsidRPr="005B4339">
        <w:rPr>
          <w:rFonts w:eastAsia="Times New Roman"/>
          <w:noProof/>
          <w:lang w:val="en-IE"/>
        </w:rPr>
        <w:t>exclu</w:t>
      </w:r>
      <w:r w:rsidR="24D43E94" w:rsidRPr="005B4339">
        <w:rPr>
          <w:rFonts w:eastAsia="Times New Roman"/>
          <w:noProof/>
          <w:lang w:val="en-IE"/>
        </w:rPr>
        <w:t>sion.</w:t>
      </w:r>
      <w:r w:rsidRPr="005B4339">
        <w:rPr>
          <w:rFonts w:eastAsia="Times New Roman"/>
          <w:noProof/>
          <w:lang w:val="en-IE"/>
        </w:rPr>
        <w:t xml:space="preserve"> </w:t>
      </w:r>
      <w:r w:rsidR="5A1C756C" w:rsidRPr="005B4339">
        <w:rPr>
          <w:rFonts w:eastAsia="Times New Roman"/>
          <w:noProof/>
          <w:lang w:val="en-IE"/>
        </w:rPr>
        <w:t xml:space="preserve">In addition, the </w:t>
      </w:r>
      <w:r w:rsidR="09A59886" w:rsidRPr="005B4339">
        <w:rPr>
          <w:rFonts w:eastAsia="Times New Roman"/>
          <w:noProof/>
          <w:lang w:val="en-IE"/>
        </w:rPr>
        <w:t>implementing acts envisaged harmonising the formats for the producer register registration and fee modulation</w:t>
      </w:r>
      <w:r w:rsidR="0A6B93AE" w:rsidRPr="005B4339">
        <w:rPr>
          <w:rFonts w:eastAsia="Times New Roman"/>
          <w:noProof/>
          <w:lang w:val="en-IE"/>
        </w:rPr>
        <w:t xml:space="preserve">, including the application of the harmonised criteria on </w:t>
      </w:r>
      <w:r w:rsidR="074C83D1" w:rsidRPr="005B4339">
        <w:rPr>
          <w:rFonts w:eastAsia="Times New Roman"/>
          <w:noProof/>
          <w:lang w:val="en-IE"/>
        </w:rPr>
        <w:t>sustainable</w:t>
      </w:r>
      <w:r w:rsidR="0A6B93AE" w:rsidRPr="005B4339">
        <w:rPr>
          <w:rFonts w:eastAsia="Times New Roman"/>
          <w:noProof/>
          <w:lang w:val="en-IE"/>
        </w:rPr>
        <w:t xml:space="preserve"> textiles developed under the ESPR, as well as the obligations for</w:t>
      </w:r>
      <w:r w:rsidR="31A4F203" w:rsidRPr="005B4339">
        <w:rPr>
          <w:rFonts w:eastAsia="Times New Roman"/>
          <w:noProof/>
          <w:lang w:val="en-IE"/>
        </w:rPr>
        <w:t xml:space="preserve"> </w:t>
      </w:r>
      <w:r w:rsidR="0A6B93AE" w:rsidRPr="005B4339">
        <w:rPr>
          <w:rFonts w:eastAsia="Times New Roman"/>
          <w:noProof/>
          <w:lang w:val="en-IE"/>
        </w:rPr>
        <w:t>the PRO member</w:t>
      </w:r>
      <w:r w:rsidR="2871EB2D" w:rsidRPr="005B4339">
        <w:rPr>
          <w:rFonts w:eastAsia="Times New Roman"/>
          <w:noProof/>
          <w:lang w:val="en-IE"/>
        </w:rPr>
        <w:t>ship and reduction of reporting to the PRO to annual exercise are all specific measures aimed at minimising the compliance costs for SMEs.</w:t>
      </w:r>
      <w:r w:rsidR="09A59886" w:rsidRPr="005B4339">
        <w:rPr>
          <w:rFonts w:eastAsia="Times New Roman"/>
          <w:noProof/>
          <w:lang w:val="en-IE"/>
        </w:rPr>
        <w:t xml:space="preserve"> </w:t>
      </w:r>
      <w:r w:rsidR="487B8A42" w:rsidRPr="005B4339">
        <w:rPr>
          <w:rFonts w:eastAsia="Times New Roman"/>
          <w:noProof/>
          <w:lang w:val="en-IE"/>
        </w:rPr>
        <w:t xml:space="preserve">Several features of the proposed EPR scheme aim to ensure that the role of the social enterprises in the management of textile waste for re-use </w:t>
      </w:r>
      <w:r w:rsidR="7C7B8525" w:rsidRPr="005B4339">
        <w:rPr>
          <w:rFonts w:eastAsia="Times New Roman"/>
          <w:noProof/>
          <w:lang w:val="en-IE"/>
        </w:rPr>
        <w:t>purposes</w:t>
      </w:r>
      <w:r w:rsidR="487B8A42" w:rsidRPr="005B4339">
        <w:rPr>
          <w:rFonts w:eastAsia="Times New Roman"/>
          <w:noProof/>
          <w:lang w:val="en-IE"/>
        </w:rPr>
        <w:t xml:space="preserve"> is </w:t>
      </w:r>
      <w:r w:rsidR="1983DCEB" w:rsidRPr="005B4339">
        <w:rPr>
          <w:rFonts w:eastAsia="Times New Roman"/>
          <w:noProof/>
          <w:lang w:val="en-IE"/>
        </w:rPr>
        <w:t xml:space="preserve">maintained or </w:t>
      </w:r>
      <w:r w:rsidR="033506D4" w:rsidRPr="005B4339">
        <w:rPr>
          <w:rFonts w:eastAsia="Times New Roman"/>
          <w:noProof/>
          <w:lang w:val="en-IE"/>
        </w:rPr>
        <w:t>strengthens</w:t>
      </w:r>
      <w:r w:rsidR="1983DCEB" w:rsidRPr="005B4339">
        <w:rPr>
          <w:rFonts w:eastAsia="Times New Roman"/>
          <w:noProof/>
          <w:lang w:val="en-IE"/>
        </w:rPr>
        <w:t xml:space="preserve"> with the establishment of the EPR schemes, namely, through setting an obligation for the EPR schemes to </w:t>
      </w:r>
      <w:r w:rsidR="7CA070EF" w:rsidRPr="005B4339">
        <w:rPr>
          <w:rFonts w:eastAsia="Times New Roman"/>
          <w:noProof/>
          <w:lang w:val="en-IE"/>
        </w:rPr>
        <w:t xml:space="preserve">allow their participation in the collection networks and to finance the treatment of recyclable and residual waste generated by the </w:t>
      </w:r>
      <w:r w:rsidR="1B106AB3" w:rsidRPr="005B4339">
        <w:rPr>
          <w:rFonts w:eastAsia="Times New Roman"/>
          <w:noProof/>
          <w:lang w:val="en-IE"/>
        </w:rPr>
        <w:t xml:space="preserve">textile </w:t>
      </w:r>
      <w:r w:rsidR="7CA070EF" w:rsidRPr="005B4339">
        <w:rPr>
          <w:rFonts w:eastAsia="Times New Roman"/>
          <w:noProof/>
          <w:lang w:val="en-IE"/>
        </w:rPr>
        <w:t>sorting operati</w:t>
      </w:r>
      <w:r w:rsidR="69A99C93" w:rsidRPr="005B4339">
        <w:rPr>
          <w:rFonts w:eastAsia="Times New Roman"/>
          <w:noProof/>
          <w:lang w:val="en-IE"/>
        </w:rPr>
        <w:t>ons operated by social enterprises.</w:t>
      </w:r>
      <w:r w:rsidR="55779AD2" w:rsidRPr="005B4339">
        <w:rPr>
          <w:rFonts w:eastAsia="Times New Roman"/>
          <w:noProof/>
          <w:lang w:val="en-IE"/>
        </w:rPr>
        <w:t xml:space="preserve"> These measures should </w:t>
      </w:r>
      <w:r w:rsidRPr="005B4339">
        <w:rPr>
          <w:rFonts w:eastAsia="Times New Roman"/>
          <w:noProof/>
          <w:lang w:val="en-IE"/>
        </w:rPr>
        <w:t>avoid disrupting the business model of social enterprises</w:t>
      </w:r>
      <w:r w:rsidR="5A3C298E" w:rsidRPr="005B4339">
        <w:rPr>
          <w:rFonts w:eastAsia="Times New Roman"/>
          <w:noProof/>
          <w:lang w:val="en-IE"/>
        </w:rPr>
        <w:t xml:space="preserve"> and</w:t>
      </w:r>
      <w:r w:rsidRPr="005B4339">
        <w:rPr>
          <w:rFonts w:eastAsia="Times New Roman"/>
          <w:noProof/>
          <w:lang w:val="en-IE"/>
        </w:rPr>
        <w:t xml:space="preserve"> </w:t>
      </w:r>
      <w:r w:rsidR="5A3C298E" w:rsidRPr="005B4339">
        <w:rPr>
          <w:rFonts w:eastAsia="Times New Roman"/>
          <w:noProof/>
          <w:lang w:val="en-IE"/>
        </w:rPr>
        <w:t>in fact facili</w:t>
      </w:r>
      <w:r w:rsidR="2155713C" w:rsidRPr="005B4339">
        <w:rPr>
          <w:rFonts w:eastAsia="Times New Roman"/>
          <w:noProof/>
          <w:lang w:val="en-IE"/>
        </w:rPr>
        <w:t>t</w:t>
      </w:r>
      <w:r w:rsidR="5A3C298E" w:rsidRPr="005B4339">
        <w:rPr>
          <w:rFonts w:eastAsia="Times New Roman"/>
          <w:noProof/>
          <w:lang w:val="en-IE"/>
        </w:rPr>
        <w:t>ate it.</w:t>
      </w:r>
      <w:r w:rsidR="3916C232" w:rsidRPr="005B4339">
        <w:rPr>
          <w:rFonts w:eastAsia="Times New Roman"/>
          <w:noProof/>
          <w:lang w:val="en-IE"/>
        </w:rPr>
        <w:t xml:space="preserve"> </w:t>
      </w:r>
    </w:p>
    <w:p w14:paraId="6DBFED07" w14:textId="407B86AD" w:rsidR="11986F65" w:rsidRPr="005B4339" w:rsidRDefault="11986F65" w:rsidP="47386DDE">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An additional 1.2 FTE would be required within the European Commission to adopt the necessary implementing acts setting out harmonised fee modulation and producer register registration format.</w:t>
      </w:r>
    </w:p>
    <w:p w14:paraId="4E67CFE9" w14:textId="77777777" w:rsidR="00EE3D9D" w:rsidRPr="005B4339" w:rsidRDefault="00EE3D9D" w:rsidP="003D6E39">
      <w:pPr>
        <w:spacing w:after="120"/>
        <w:rPr>
          <w:i/>
          <w:noProof/>
          <w:lang w:val="en-IE"/>
        </w:rPr>
      </w:pPr>
      <w:r w:rsidRPr="005B4339">
        <w:rPr>
          <w:i/>
          <w:noProof/>
          <w:lang w:val="en-IE"/>
        </w:rPr>
        <w:t>Stakeholder evidence</w:t>
      </w:r>
    </w:p>
    <w:p w14:paraId="633B160B" w14:textId="57401A8F" w:rsidR="00EE3D9D" w:rsidRPr="005B4339" w:rsidRDefault="558351AD" w:rsidP="00DA4388">
      <w:pPr>
        <w:spacing w:after="120"/>
        <w:rPr>
          <w:rFonts w:eastAsia="Times New Roman"/>
          <w:noProof/>
          <w:lang w:val="en-IE"/>
        </w:rPr>
      </w:pPr>
      <w:r w:rsidRPr="005B4339">
        <w:rPr>
          <w:rFonts w:eastAsia="Times New Roman"/>
          <w:noProof/>
          <w:lang w:val="en-IE"/>
        </w:rPr>
        <w:t>Stakeholders</w:t>
      </w:r>
      <w:r w:rsidR="3038338D" w:rsidRPr="005B4339">
        <w:rPr>
          <w:rFonts w:eastAsia="Times New Roman"/>
          <w:noProof/>
          <w:lang w:val="en-IE"/>
        </w:rPr>
        <w:t xml:space="preserve"> from across the textile value chain including NGOs and social enterprises active in the sector</w:t>
      </w:r>
      <w:r w:rsidRPr="005B4339">
        <w:rPr>
          <w:rFonts w:eastAsia="Times New Roman"/>
          <w:noProof/>
          <w:lang w:val="en-IE"/>
        </w:rPr>
        <w:t xml:space="preserve"> recognise the importance and relevance of introducing </w:t>
      </w:r>
      <w:r w:rsidR="00232C5F" w:rsidRPr="005B4339">
        <w:rPr>
          <w:rFonts w:eastAsia="Times New Roman"/>
          <w:noProof/>
          <w:lang w:val="en-IE"/>
        </w:rPr>
        <w:t xml:space="preserve">EPR </w:t>
      </w:r>
      <w:r w:rsidRPr="005B4339">
        <w:rPr>
          <w:rFonts w:eastAsia="Times New Roman"/>
          <w:noProof/>
          <w:lang w:val="en-IE"/>
        </w:rPr>
        <w:t xml:space="preserve">to </w:t>
      </w:r>
      <w:r w:rsidR="52B02C23" w:rsidRPr="005B4339">
        <w:rPr>
          <w:rFonts w:eastAsia="Times New Roman"/>
          <w:noProof/>
          <w:lang w:val="en-IE"/>
        </w:rPr>
        <w:t>facilitate a harmonised approach to managing textile waste in the EU and</w:t>
      </w:r>
      <w:r w:rsidRPr="005B4339">
        <w:rPr>
          <w:rFonts w:eastAsia="Times New Roman"/>
          <w:noProof/>
          <w:lang w:val="en-IE"/>
        </w:rPr>
        <w:t xml:space="preserve"> consider</w:t>
      </w:r>
      <w:r w:rsidR="5F67EF73" w:rsidRPr="005B4339">
        <w:rPr>
          <w:rFonts w:eastAsia="Times New Roman"/>
          <w:noProof/>
          <w:lang w:val="en-IE"/>
        </w:rPr>
        <w:t xml:space="preserve"> its introduction as </w:t>
      </w:r>
      <w:r w:rsidRPr="005B4339">
        <w:rPr>
          <w:rFonts w:eastAsia="Times New Roman"/>
          <w:noProof/>
          <w:lang w:val="en-IE"/>
        </w:rPr>
        <w:t>a high priority</w:t>
      </w:r>
      <w:r w:rsidR="0BE175BD" w:rsidRPr="005B4339">
        <w:rPr>
          <w:rFonts w:eastAsia="Times New Roman"/>
          <w:noProof/>
          <w:lang w:val="en-IE"/>
        </w:rPr>
        <w:t>.</w:t>
      </w:r>
      <w:r w:rsidRPr="005B4339">
        <w:rPr>
          <w:rFonts w:eastAsia="Times New Roman"/>
          <w:noProof/>
          <w:lang w:val="en-IE"/>
        </w:rPr>
        <w:t xml:space="preserve"> In respect to support to the recycling sector</w:t>
      </w:r>
      <w:r w:rsidR="5C2D2F96" w:rsidRPr="005B4339">
        <w:rPr>
          <w:rFonts w:eastAsia="Times New Roman"/>
          <w:noProof/>
          <w:lang w:val="en-IE"/>
        </w:rPr>
        <w:t>,</w:t>
      </w:r>
      <w:r w:rsidRPr="005B4339">
        <w:rPr>
          <w:rFonts w:eastAsia="Times New Roman"/>
          <w:noProof/>
          <w:lang w:val="en-IE"/>
        </w:rPr>
        <w:t xml:space="preserve"> in particular</w:t>
      </w:r>
      <w:r w:rsidR="00A9BB81" w:rsidRPr="005B4339">
        <w:rPr>
          <w:rFonts w:eastAsia="Times New Roman"/>
          <w:noProof/>
          <w:lang w:val="en-IE"/>
        </w:rPr>
        <w:t>, the</w:t>
      </w:r>
      <w:r w:rsidR="6EF15262" w:rsidRPr="005B4339">
        <w:rPr>
          <w:rFonts w:eastAsia="Times New Roman"/>
          <w:noProof/>
          <w:lang w:val="en-IE"/>
        </w:rPr>
        <w:t xml:space="preserve"> </w:t>
      </w:r>
      <w:r w:rsidRPr="005B4339">
        <w:rPr>
          <w:rFonts w:eastAsia="Times New Roman"/>
          <w:noProof/>
          <w:lang w:val="en-IE"/>
        </w:rPr>
        <w:t xml:space="preserve">industry </w:t>
      </w:r>
      <w:r w:rsidR="6EF15262" w:rsidRPr="005B4339">
        <w:rPr>
          <w:rFonts w:eastAsia="Times New Roman"/>
          <w:noProof/>
          <w:lang w:val="en-IE"/>
        </w:rPr>
        <w:t>consider</w:t>
      </w:r>
      <w:r w:rsidR="4CBCAB38" w:rsidRPr="005B4339">
        <w:rPr>
          <w:rFonts w:eastAsia="Times New Roman"/>
          <w:noProof/>
          <w:lang w:val="en-IE"/>
        </w:rPr>
        <w:t>s</w:t>
      </w:r>
      <w:r w:rsidRPr="005B4339">
        <w:rPr>
          <w:rFonts w:eastAsia="Times New Roman"/>
          <w:noProof/>
          <w:lang w:val="en-IE"/>
        </w:rPr>
        <w:t xml:space="preserve"> EPR as an important funding mechanism to address the R&amp;D and funding gap for such activities. NGOs have also emphasised the importance of EPR for textiles to implement the polluter pays principle.</w:t>
      </w:r>
      <w:r w:rsidR="00EE3D9D" w:rsidRPr="005B4339">
        <w:rPr>
          <w:rFonts w:eastAsia="Times New Roman"/>
          <w:noProof/>
          <w:vertAlign w:val="superscript"/>
          <w:lang w:val="en-IE"/>
        </w:rPr>
        <w:footnoteReference w:id="103"/>
      </w:r>
      <w:r w:rsidR="00FA5D04" w:rsidRPr="005B4339">
        <w:rPr>
          <w:rFonts w:eastAsia="Times New Roman"/>
          <w:noProof/>
          <w:lang w:val="en-IE"/>
        </w:rPr>
        <w:t xml:space="preserve"> </w:t>
      </w:r>
      <w:r w:rsidR="00FA5D04" w:rsidRPr="005B4339">
        <w:rPr>
          <w:noProof/>
          <w:lang w:val="en-IE"/>
        </w:rPr>
        <w:t xml:space="preserve">Diverging EPR systems were raised as a concern within the workshops, mainly due </w:t>
      </w:r>
      <w:r w:rsidR="00FA5D04" w:rsidRPr="005B4339">
        <w:rPr>
          <w:noProof/>
          <w:lang w:val="en-IE"/>
        </w:rPr>
        <w:lastRenderedPageBreak/>
        <w:t>to the potential for complex administration and potential high costs for exporting organisations</w:t>
      </w:r>
      <w:r w:rsidR="00FA5D04" w:rsidRPr="005B4339">
        <w:rPr>
          <w:rStyle w:val="FootnoteReference"/>
          <w:noProof/>
          <w:lang w:val="en-IE"/>
        </w:rPr>
        <w:footnoteReference w:id="104"/>
      </w:r>
      <w:r w:rsidR="00FA5D04" w:rsidRPr="005B4339">
        <w:rPr>
          <w:noProof/>
          <w:lang w:val="en-IE"/>
        </w:rPr>
        <w:t xml:space="preserve">. </w:t>
      </w:r>
    </w:p>
    <w:p w14:paraId="2EB04EFE" w14:textId="5BD5B830" w:rsidR="00DA4388" w:rsidRPr="005B4339" w:rsidRDefault="00EE3D9D" w:rsidP="00DA4388">
      <w:pPr>
        <w:spacing w:after="120"/>
        <w:rPr>
          <w:noProof/>
          <w:lang w:val="en-IE"/>
        </w:rPr>
      </w:pPr>
      <w:r w:rsidRPr="005B4339">
        <w:rPr>
          <w:noProof/>
          <w:lang w:val="en-IE"/>
        </w:rPr>
        <w:t>Due to the complexity and ambition of the measure</w:t>
      </w:r>
      <w:r w:rsidR="003D6E39" w:rsidRPr="005B4339">
        <w:rPr>
          <w:noProof/>
          <w:lang w:val="en-IE"/>
        </w:rPr>
        <w:t>,</w:t>
      </w:r>
      <w:r w:rsidRPr="005B4339">
        <w:rPr>
          <w:noProof/>
          <w:lang w:val="en-IE"/>
        </w:rPr>
        <w:t xml:space="preserve"> it was highlighted that the scheme would benefit from the parallel application of other models such as the Ecodesign for Sustainable Products Regulation (ESPR) to enhance the effect of the targets set</w:t>
      </w:r>
      <w:bookmarkStart w:id="159" w:name="_Ref120288596"/>
      <w:r w:rsidRPr="005B4339">
        <w:rPr>
          <w:noProof/>
          <w:vertAlign w:val="superscript"/>
          <w:lang w:val="en-IE"/>
        </w:rPr>
        <w:footnoteReference w:id="105"/>
      </w:r>
      <w:bookmarkEnd w:id="159"/>
      <w:r w:rsidRPr="005B4339">
        <w:rPr>
          <w:noProof/>
          <w:lang w:val="en-IE"/>
        </w:rPr>
        <w:t xml:space="preserve">. Industries should also be further encouraged to </w:t>
      </w:r>
      <w:r w:rsidR="00D96247" w:rsidRPr="005B4339">
        <w:rPr>
          <w:noProof/>
          <w:lang w:val="en-IE"/>
        </w:rPr>
        <w:t>reuse</w:t>
      </w:r>
      <w:r w:rsidRPr="005B4339">
        <w:rPr>
          <w:noProof/>
          <w:lang w:val="en-IE"/>
        </w:rPr>
        <w:t xml:space="preserve"> and repair their products as part of circular economy</w:t>
      </w:r>
      <w:r w:rsidR="0099430A" w:rsidRPr="005B4339">
        <w:rPr>
          <w:noProof/>
          <w:lang w:val="en-IE"/>
        </w:rPr>
        <w:t xml:space="preserve"> </w:t>
      </w:r>
      <w:r w:rsidRPr="005B4339">
        <w:rPr>
          <w:noProof/>
          <w:lang w:val="en-IE"/>
        </w:rPr>
        <w:t xml:space="preserve">and materials that are no longer </w:t>
      </w:r>
      <w:r w:rsidR="00D96247" w:rsidRPr="005B4339">
        <w:rPr>
          <w:noProof/>
          <w:lang w:val="en-IE"/>
        </w:rPr>
        <w:t>reuse</w:t>
      </w:r>
      <w:r w:rsidRPr="005B4339">
        <w:rPr>
          <w:noProof/>
          <w:lang w:val="en-IE"/>
        </w:rPr>
        <w:t>d should be separately collected. This can potentially increase the currently low textile-to-textile recycling rate as well</w:t>
      </w:r>
      <w:r w:rsidR="00393DFA" w:rsidRPr="00393DFA">
        <w:rPr>
          <w:noProof/>
          <w:vertAlign w:val="superscript"/>
          <w:lang w:val="en-IE"/>
        </w:rPr>
        <w:t>104</w:t>
      </w:r>
      <w:r w:rsidRPr="005B4339">
        <w:rPr>
          <w:noProof/>
          <w:lang w:val="en-IE"/>
        </w:rPr>
        <w:t>.</w:t>
      </w:r>
    </w:p>
    <w:p w14:paraId="364AE8B4" w14:textId="43FD14DE" w:rsidR="00EE3D9D" w:rsidRPr="005B4339" w:rsidRDefault="403E82AD" w:rsidP="00DA4388">
      <w:pPr>
        <w:spacing w:after="120"/>
        <w:rPr>
          <w:noProof/>
          <w:lang w:val="en-IE"/>
        </w:rPr>
      </w:pPr>
      <w:r w:rsidRPr="005B4339">
        <w:rPr>
          <w:noProof/>
          <w:lang w:val="en-IE"/>
        </w:rPr>
        <w:t>There is an overwhelming support for mandating EPR for textiles among</w:t>
      </w:r>
      <w:r w:rsidR="00EE3D9D" w:rsidRPr="005B4339">
        <w:rPr>
          <w:noProof/>
          <w:lang w:val="en-IE"/>
        </w:rPr>
        <w:t xml:space="preserve"> the </w:t>
      </w:r>
      <w:r w:rsidRPr="005B4339">
        <w:rPr>
          <w:noProof/>
          <w:lang w:val="en-IE"/>
        </w:rPr>
        <w:t>industry and NGO stakeholders. There are</w:t>
      </w:r>
      <w:r w:rsidR="01945F83" w:rsidRPr="005B4339">
        <w:rPr>
          <w:noProof/>
          <w:lang w:val="en-IE"/>
        </w:rPr>
        <w:t xml:space="preserve"> however some differing opinions in terms</w:t>
      </w:r>
      <w:r w:rsidR="00EE3D9D" w:rsidRPr="005B4339">
        <w:rPr>
          <w:noProof/>
          <w:lang w:val="en-IE"/>
        </w:rPr>
        <w:t xml:space="preserve"> of </w:t>
      </w:r>
      <w:r w:rsidR="01945F83" w:rsidRPr="005B4339">
        <w:rPr>
          <w:noProof/>
          <w:lang w:val="en-IE"/>
        </w:rPr>
        <w:t xml:space="preserve">the level of </w:t>
      </w:r>
      <w:r w:rsidR="7CA2692D" w:rsidRPr="005B4339">
        <w:rPr>
          <w:noProof/>
          <w:lang w:val="en-IE"/>
        </w:rPr>
        <w:t>harmonisation</w:t>
      </w:r>
      <w:r w:rsidR="00EE3D9D" w:rsidRPr="005B4339">
        <w:rPr>
          <w:noProof/>
          <w:lang w:val="en-IE"/>
        </w:rPr>
        <w:t xml:space="preserve"> that the </w:t>
      </w:r>
      <w:r w:rsidR="01945F83" w:rsidRPr="005B4339">
        <w:rPr>
          <w:noProof/>
          <w:lang w:val="en-IE"/>
        </w:rPr>
        <w:t xml:space="preserve">scheme </w:t>
      </w:r>
      <w:r w:rsidR="00EE3D9D" w:rsidRPr="005B4339">
        <w:rPr>
          <w:noProof/>
          <w:lang w:val="en-IE"/>
        </w:rPr>
        <w:t xml:space="preserve">should </w:t>
      </w:r>
      <w:r w:rsidR="01945F83" w:rsidRPr="005B4339">
        <w:rPr>
          <w:noProof/>
          <w:lang w:val="en-IE"/>
        </w:rPr>
        <w:t xml:space="preserve">pursue acknowledging that both the industry and </w:t>
      </w:r>
      <w:r w:rsidR="00EE3D9D" w:rsidRPr="005B4339">
        <w:rPr>
          <w:noProof/>
          <w:lang w:val="en-IE"/>
        </w:rPr>
        <w:t>M</w:t>
      </w:r>
      <w:r w:rsidR="0D6B2420" w:rsidRPr="005B4339">
        <w:rPr>
          <w:noProof/>
          <w:lang w:val="en-IE"/>
        </w:rPr>
        <w:t xml:space="preserve">ember </w:t>
      </w:r>
      <w:r w:rsidR="00EE3D9D" w:rsidRPr="005B4339">
        <w:rPr>
          <w:noProof/>
          <w:lang w:val="en-IE"/>
        </w:rPr>
        <w:t>S</w:t>
      </w:r>
      <w:r w:rsidR="1638CBAB" w:rsidRPr="005B4339">
        <w:rPr>
          <w:noProof/>
          <w:lang w:val="en-IE"/>
        </w:rPr>
        <w:t>tates</w:t>
      </w:r>
      <w:r w:rsidR="00EE3D9D" w:rsidRPr="005B4339">
        <w:rPr>
          <w:noProof/>
          <w:lang w:val="en-IE"/>
        </w:rPr>
        <w:t xml:space="preserve"> </w:t>
      </w:r>
      <w:r w:rsidR="01945F83" w:rsidRPr="005B4339">
        <w:rPr>
          <w:noProof/>
          <w:lang w:val="en-IE"/>
        </w:rPr>
        <w:t xml:space="preserve">may require some regulatory flexibility </w:t>
      </w:r>
      <w:r w:rsidR="00EE3D9D" w:rsidRPr="005B4339">
        <w:rPr>
          <w:noProof/>
          <w:lang w:val="en-IE"/>
        </w:rPr>
        <w:t xml:space="preserve">to </w:t>
      </w:r>
      <w:r w:rsidR="01945F83" w:rsidRPr="005B4339">
        <w:rPr>
          <w:noProof/>
          <w:lang w:val="en-IE"/>
        </w:rPr>
        <w:t>take</w:t>
      </w:r>
      <w:r w:rsidR="00EE3D9D" w:rsidRPr="005B4339">
        <w:rPr>
          <w:noProof/>
          <w:lang w:val="en-IE"/>
        </w:rPr>
        <w:t xml:space="preserve"> inventive</w:t>
      </w:r>
      <w:r w:rsidR="01945F83" w:rsidRPr="005B4339">
        <w:rPr>
          <w:noProof/>
          <w:lang w:val="en-IE"/>
        </w:rPr>
        <w:t xml:space="preserve"> measur</w:t>
      </w:r>
      <w:r w:rsidR="67E06873" w:rsidRPr="005B4339">
        <w:rPr>
          <w:noProof/>
          <w:lang w:val="en-IE"/>
        </w:rPr>
        <w:t>es</w:t>
      </w:r>
      <w:bookmarkStart w:id="160" w:name="_Ref120529433"/>
      <w:r w:rsidRPr="005B4339">
        <w:rPr>
          <w:noProof/>
          <w:vertAlign w:val="superscript"/>
          <w:lang w:val="en-IE"/>
        </w:rPr>
        <w:footnoteReference w:id="106"/>
      </w:r>
      <w:bookmarkEnd w:id="160"/>
      <w:r w:rsidR="00EE3D9D" w:rsidRPr="005B4339">
        <w:rPr>
          <w:noProof/>
          <w:lang w:val="en-IE"/>
        </w:rPr>
        <w:t xml:space="preserve"> </w:t>
      </w:r>
      <w:bookmarkStart w:id="161" w:name="_Ref120538237"/>
      <w:r w:rsidRPr="005B4339">
        <w:rPr>
          <w:noProof/>
          <w:vertAlign w:val="superscript"/>
          <w:lang w:val="en-IE"/>
        </w:rPr>
        <w:footnoteReference w:id="107"/>
      </w:r>
      <w:bookmarkEnd w:id="161"/>
      <w:r w:rsidR="0434F367" w:rsidRPr="005B4339">
        <w:rPr>
          <w:noProof/>
          <w:lang w:val="en-IE"/>
        </w:rPr>
        <w:t>.</w:t>
      </w:r>
      <w:r w:rsidR="0099430A" w:rsidRPr="005B4339">
        <w:rPr>
          <w:noProof/>
          <w:lang w:val="en-IE"/>
        </w:rPr>
        <w:t xml:space="preserve"> </w:t>
      </w:r>
      <w:r w:rsidR="381107D5" w:rsidRPr="005B4339">
        <w:rPr>
          <w:noProof/>
          <w:lang w:val="en-IE"/>
        </w:rPr>
        <w:t>Others have</w:t>
      </w:r>
      <w:r w:rsidR="00EE3D9D" w:rsidRPr="005B4339">
        <w:rPr>
          <w:noProof/>
          <w:lang w:val="en-IE"/>
        </w:rPr>
        <w:t xml:space="preserve"> argued </w:t>
      </w:r>
      <w:r w:rsidR="381107D5" w:rsidRPr="005B4339">
        <w:rPr>
          <w:noProof/>
          <w:lang w:val="en-IE"/>
        </w:rPr>
        <w:t>the opposite</w:t>
      </w:r>
      <w:r w:rsidR="00EE3D9D" w:rsidRPr="005B4339">
        <w:rPr>
          <w:noProof/>
          <w:lang w:val="en-IE"/>
        </w:rPr>
        <w:t xml:space="preserve"> that </w:t>
      </w:r>
      <w:r w:rsidR="381107D5" w:rsidRPr="005B4339">
        <w:rPr>
          <w:noProof/>
          <w:lang w:val="en-IE"/>
        </w:rPr>
        <w:t>providing</w:t>
      </w:r>
      <w:r w:rsidR="00EE3D9D" w:rsidRPr="005B4339">
        <w:rPr>
          <w:noProof/>
          <w:lang w:val="en-IE"/>
        </w:rPr>
        <w:t xml:space="preserve"> guidelines or </w:t>
      </w:r>
      <w:r w:rsidR="1E68A61D" w:rsidRPr="005B4339">
        <w:rPr>
          <w:noProof/>
          <w:lang w:val="en-IE"/>
        </w:rPr>
        <w:t>encouraging</w:t>
      </w:r>
      <w:r w:rsidR="4B48F04D" w:rsidRPr="005B4339">
        <w:rPr>
          <w:noProof/>
          <w:lang w:val="en-IE"/>
        </w:rPr>
        <w:t xml:space="preserve"> an</w:t>
      </w:r>
      <w:r w:rsidR="00EE3D9D" w:rsidRPr="005B4339">
        <w:rPr>
          <w:noProof/>
          <w:lang w:val="en-IE"/>
        </w:rPr>
        <w:t xml:space="preserve"> implementation of the scheme on a voluntary basis would not be expected to work as effectively as a mandated EPR</w:t>
      </w:r>
      <w:r w:rsidR="4F9875F1" w:rsidRPr="005B4339">
        <w:rPr>
          <w:noProof/>
          <w:lang w:val="en-IE"/>
        </w:rPr>
        <w:t>.</w:t>
      </w:r>
      <w:r w:rsidRPr="005B4339">
        <w:rPr>
          <w:noProof/>
          <w:vertAlign w:val="superscript"/>
          <w:lang w:val="en-IE"/>
        </w:rPr>
        <w:footnoteReference w:id="108"/>
      </w:r>
      <w:r w:rsidR="00EE3D9D" w:rsidRPr="005B4339">
        <w:rPr>
          <w:noProof/>
          <w:lang w:val="en-IE"/>
        </w:rPr>
        <w:t xml:space="preserve"> Additionally</w:t>
      </w:r>
      <w:r w:rsidR="2A3430E5" w:rsidRPr="005B4339">
        <w:rPr>
          <w:noProof/>
          <w:lang w:val="en-IE"/>
        </w:rPr>
        <w:t>,</w:t>
      </w:r>
      <w:r w:rsidR="00EE3D9D" w:rsidRPr="005B4339">
        <w:rPr>
          <w:noProof/>
          <w:lang w:val="en-IE"/>
        </w:rPr>
        <w:t xml:space="preserve"> the latter group suggested that the mandated EPR should be accompanied by a set of harmonised rules for the separate collection and sorting of textiles</w:t>
      </w:r>
      <w:r w:rsidR="0099430A" w:rsidRPr="005B4339">
        <w:rPr>
          <w:noProof/>
          <w:lang w:val="en-IE"/>
        </w:rPr>
        <w:t xml:space="preserve"> </w:t>
      </w:r>
      <w:r w:rsidR="00EE3D9D" w:rsidRPr="005B4339">
        <w:rPr>
          <w:noProof/>
          <w:lang w:val="en-IE"/>
        </w:rPr>
        <w:t xml:space="preserve">as well as for the used textiles and textile waste </w:t>
      </w:r>
      <w:r w:rsidR="60A4E55E" w:rsidRPr="005B4339">
        <w:rPr>
          <w:noProof/>
          <w:lang w:val="en-IE"/>
        </w:rPr>
        <w:t>market</w:t>
      </w:r>
      <w:r w:rsidR="60A4E55E" w:rsidRPr="005B4339">
        <w:rPr>
          <w:noProof/>
          <w:vertAlign w:val="superscript"/>
          <w:lang w:val="en-IE"/>
        </w:rPr>
        <w:t>102</w:t>
      </w:r>
      <w:r w:rsidR="60A4E55E" w:rsidRPr="005B4339">
        <w:rPr>
          <w:noProof/>
          <w:lang w:val="en-IE"/>
        </w:rPr>
        <w:t>.</w:t>
      </w:r>
      <w:r w:rsidR="00EE3D9D" w:rsidRPr="005B4339">
        <w:rPr>
          <w:noProof/>
          <w:lang w:val="en-IE"/>
        </w:rPr>
        <w:t xml:space="preserve"> The EPR organisations should be managed by representatives of the key stakeholders</w:t>
      </w:r>
      <w:r w:rsidR="0099430A" w:rsidRPr="005B4339">
        <w:rPr>
          <w:noProof/>
          <w:lang w:val="en-IE"/>
        </w:rPr>
        <w:t xml:space="preserve"> </w:t>
      </w:r>
      <w:r w:rsidR="00EE3D9D" w:rsidRPr="005B4339">
        <w:rPr>
          <w:noProof/>
          <w:lang w:val="en-IE"/>
        </w:rPr>
        <w:t>such as producers</w:t>
      </w:r>
      <w:r w:rsidR="0099430A" w:rsidRPr="005B4339">
        <w:rPr>
          <w:noProof/>
          <w:lang w:val="en-IE"/>
        </w:rPr>
        <w:t xml:space="preserve"> </w:t>
      </w:r>
      <w:r w:rsidR="00EE3D9D" w:rsidRPr="005B4339">
        <w:rPr>
          <w:noProof/>
          <w:lang w:val="en-IE"/>
        </w:rPr>
        <w:t>waste collectors</w:t>
      </w:r>
      <w:r w:rsidR="0099430A" w:rsidRPr="005B4339">
        <w:rPr>
          <w:noProof/>
          <w:lang w:val="en-IE"/>
        </w:rPr>
        <w:t xml:space="preserve"> </w:t>
      </w:r>
      <w:r w:rsidR="00EE3D9D" w:rsidRPr="005B4339">
        <w:rPr>
          <w:noProof/>
          <w:lang w:val="en-IE"/>
        </w:rPr>
        <w:t>sorters and recyclers</w:t>
      </w:r>
      <w:r w:rsidR="0099430A" w:rsidRPr="005B4339">
        <w:rPr>
          <w:noProof/>
          <w:lang w:val="en-IE"/>
        </w:rPr>
        <w:t xml:space="preserve"> </w:t>
      </w:r>
      <w:r w:rsidR="00EE3D9D" w:rsidRPr="005B4339">
        <w:rPr>
          <w:noProof/>
          <w:lang w:val="en-IE"/>
        </w:rPr>
        <w:t xml:space="preserve">as well as </w:t>
      </w:r>
      <w:r w:rsidR="60A4E55E" w:rsidRPr="005B4339">
        <w:rPr>
          <w:noProof/>
          <w:lang w:val="en-IE"/>
        </w:rPr>
        <w:t>NGOs</w:t>
      </w:r>
      <w:r w:rsidR="60A4E55E" w:rsidRPr="005B4339">
        <w:rPr>
          <w:noProof/>
          <w:vertAlign w:val="superscript"/>
          <w:lang w:val="en-IE"/>
        </w:rPr>
        <w:t>102</w:t>
      </w:r>
      <w:r w:rsidR="60A4E55E" w:rsidRPr="005B4339">
        <w:rPr>
          <w:noProof/>
          <w:lang w:val="en-IE"/>
        </w:rPr>
        <w:t>.</w:t>
      </w:r>
      <w:r w:rsidR="00EE3D9D" w:rsidRPr="005B4339">
        <w:rPr>
          <w:noProof/>
          <w:lang w:val="en-IE"/>
        </w:rPr>
        <w:t xml:space="preserve"> It is additionally recommended that license fees should not apply to second-hand clothing as it is expected to hamper reuse </w:t>
      </w:r>
      <w:r w:rsidR="60A4E55E" w:rsidRPr="005B4339">
        <w:rPr>
          <w:noProof/>
          <w:lang w:val="en-IE"/>
        </w:rPr>
        <w:t>activities</w:t>
      </w:r>
      <w:r w:rsidR="60A4E55E" w:rsidRPr="005B4339">
        <w:rPr>
          <w:noProof/>
          <w:vertAlign w:val="superscript"/>
          <w:lang w:val="en-IE"/>
        </w:rPr>
        <w:t>102</w:t>
      </w:r>
      <w:r w:rsidR="60A4E55E" w:rsidRPr="005B4339">
        <w:rPr>
          <w:noProof/>
          <w:lang w:val="en-IE"/>
        </w:rPr>
        <w:t xml:space="preserve">. </w:t>
      </w:r>
    </w:p>
    <w:p w14:paraId="5FCAD350" w14:textId="2463A55F" w:rsidR="00EE3D9D" w:rsidRPr="005B4339" w:rsidRDefault="00EE3D9D" w:rsidP="402A1515">
      <w:pPr>
        <w:spacing w:after="120"/>
        <w:rPr>
          <w:noProof/>
          <w:lang w:val="en-IE"/>
        </w:rPr>
      </w:pPr>
      <w:r w:rsidRPr="005B4339">
        <w:rPr>
          <w:noProof/>
          <w:lang w:val="en-IE"/>
        </w:rPr>
        <w:t>A stakeholder group supported the mandated EPR measure as it was stated that it will ensure compliance with the requirements set across MS</w:t>
      </w:r>
      <w:r w:rsidR="3A25E243" w:rsidRPr="005B4339">
        <w:rPr>
          <w:noProof/>
          <w:lang w:val="en-IE"/>
        </w:rPr>
        <w:t>,</w:t>
      </w:r>
      <w:r w:rsidR="0099430A" w:rsidRPr="005B4339">
        <w:rPr>
          <w:noProof/>
          <w:lang w:val="en-IE"/>
        </w:rPr>
        <w:t xml:space="preserve"> </w:t>
      </w:r>
      <w:r w:rsidRPr="005B4339">
        <w:rPr>
          <w:noProof/>
          <w:lang w:val="en-IE"/>
        </w:rPr>
        <w:t>increase the effectiveness of the eco-modulation fee</w:t>
      </w:r>
      <w:r w:rsidR="0099430A" w:rsidRPr="005B4339">
        <w:rPr>
          <w:noProof/>
          <w:lang w:val="en-IE"/>
        </w:rPr>
        <w:t xml:space="preserve"> </w:t>
      </w:r>
      <w:r w:rsidRPr="005B4339">
        <w:rPr>
          <w:noProof/>
          <w:lang w:val="en-IE"/>
        </w:rPr>
        <w:t>and enhance the research and development of new preparation for recycling and recycling technologies in Europe</w:t>
      </w:r>
      <w:r w:rsidR="60A4E55E" w:rsidRPr="005B4339">
        <w:rPr>
          <w:noProof/>
          <w:lang w:val="en-IE"/>
        </w:rPr>
        <w:t>.</w:t>
      </w:r>
      <w:r w:rsidRPr="005B4339">
        <w:rPr>
          <w:noProof/>
          <w:lang w:val="en-IE"/>
        </w:rPr>
        <w:t xml:space="preserve">  </w:t>
      </w:r>
      <w:r w:rsidR="149907BD" w:rsidRPr="005B4339">
        <w:rPr>
          <w:noProof/>
          <w:lang w:val="en-IE"/>
        </w:rPr>
        <w:t>Industry stakeholders outlined that different EPR systems across the EU would struggle to drive economies of scale needed for developing recycling capacities to support inc</w:t>
      </w:r>
      <w:r w:rsidR="48D3B782" w:rsidRPr="005B4339">
        <w:rPr>
          <w:noProof/>
          <w:lang w:val="en-IE"/>
        </w:rPr>
        <w:t>reased uptake in textiles</w:t>
      </w:r>
      <w:r w:rsidRPr="005B4339">
        <w:rPr>
          <w:noProof/>
          <w:vertAlign w:val="superscript"/>
          <w:lang w:val="en-IE"/>
        </w:rPr>
        <w:footnoteReference w:id="109"/>
      </w:r>
      <w:r w:rsidR="149907BD" w:rsidRPr="005B4339">
        <w:rPr>
          <w:noProof/>
          <w:lang w:val="en-IE"/>
        </w:rPr>
        <w:t>.</w:t>
      </w:r>
    </w:p>
    <w:p w14:paraId="66C10612" w14:textId="184D7975" w:rsidR="00EE3D9D" w:rsidRPr="005B4339" w:rsidRDefault="00EE3D9D" w:rsidP="00DA4388">
      <w:pPr>
        <w:spacing w:after="120"/>
        <w:rPr>
          <w:noProof/>
          <w:lang w:val="en-IE"/>
        </w:rPr>
      </w:pPr>
      <w:r w:rsidRPr="005B4339">
        <w:rPr>
          <w:noProof/>
          <w:lang w:val="en-IE"/>
        </w:rPr>
        <w:t>Regarding the expected economic impacts of an EPR mandate</w:t>
      </w:r>
      <w:r w:rsidR="0099430A" w:rsidRPr="005B4339">
        <w:rPr>
          <w:noProof/>
          <w:lang w:val="en-IE"/>
        </w:rPr>
        <w:t xml:space="preserve"> </w:t>
      </w:r>
      <w:r w:rsidRPr="005B4339">
        <w:rPr>
          <w:noProof/>
          <w:lang w:val="en-IE"/>
        </w:rPr>
        <w:t>stakeholders underlined the substantial recurring fees</w:t>
      </w:r>
      <w:r w:rsidR="00393DFA" w:rsidRPr="00393DFA">
        <w:rPr>
          <w:noProof/>
          <w:vertAlign w:val="superscript"/>
          <w:lang w:val="en-IE"/>
        </w:rPr>
        <w:t>105</w:t>
      </w:r>
      <w:r w:rsidR="0099430A" w:rsidRPr="005B4339">
        <w:rPr>
          <w:noProof/>
          <w:lang w:val="en-IE"/>
        </w:rPr>
        <w:t xml:space="preserve"> </w:t>
      </w:r>
      <w:r w:rsidRPr="005B4339">
        <w:rPr>
          <w:noProof/>
          <w:lang w:val="en-IE"/>
        </w:rPr>
        <w:t xml:space="preserve"> which one interviewee considered to be a potential obstacle for Eastern European M</w:t>
      </w:r>
      <w:r w:rsidR="4334752A" w:rsidRPr="005B4339">
        <w:rPr>
          <w:noProof/>
          <w:lang w:val="en-IE"/>
        </w:rPr>
        <w:t xml:space="preserve">ember </w:t>
      </w:r>
      <w:r w:rsidRPr="005B4339">
        <w:rPr>
          <w:noProof/>
          <w:lang w:val="en-IE"/>
        </w:rPr>
        <w:t>S</w:t>
      </w:r>
      <w:r w:rsidR="09F1E3B7" w:rsidRPr="005B4339">
        <w:rPr>
          <w:noProof/>
          <w:lang w:val="en-IE"/>
        </w:rPr>
        <w:t>tates</w:t>
      </w:r>
      <w:r w:rsidR="0099430A" w:rsidRPr="005B4339">
        <w:rPr>
          <w:noProof/>
          <w:lang w:val="en-IE"/>
        </w:rPr>
        <w:t xml:space="preserve"> </w:t>
      </w:r>
      <w:r w:rsidRPr="005B4339">
        <w:rPr>
          <w:noProof/>
          <w:lang w:val="en-IE"/>
        </w:rPr>
        <w:t xml:space="preserve">some of which may be unable to meet the set </w:t>
      </w:r>
      <w:r w:rsidR="7FCDCDE2" w:rsidRPr="005B4339">
        <w:rPr>
          <w:noProof/>
          <w:lang w:val="en-IE"/>
        </w:rPr>
        <w:t>objective</w:t>
      </w:r>
      <w:r w:rsidRPr="005B4339">
        <w:rPr>
          <w:noProof/>
          <w:lang w:val="en-IE"/>
        </w:rPr>
        <w:t>s on affordability reasons</w:t>
      </w:r>
      <w:r w:rsidRPr="005B4339">
        <w:rPr>
          <w:noProof/>
          <w:vertAlign w:val="superscript"/>
          <w:lang w:val="en-IE"/>
        </w:rPr>
        <w:footnoteReference w:id="110"/>
      </w:r>
      <w:r w:rsidRPr="005B4339">
        <w:rPr>
          <w:noProof/>
          <w:lang w:val="en-IE"/>
        </w:rPr>
        <w:t>. Additional costs may occur from data collection and validation</w:t>
      </w:r>
      <w:r w:rsidR="0099430A" w:rsidRPr="005B4339">
        <w:rPr>
          <w:noProof/>
          <w:lang w:val="en-IE"/>
        </w:rPr>
        <w:t xml:space="preserve"> </w:t>
      </w:r>
      <w:r w:rsidRPr="005B4339">
        <w:rPr>
          <w:noProof/>
          <w:lang w:val="en-IE"/>
        </w:rPr>
        <w:t>as well as from adaptation to new labels</w:t>
      </w:r>
      <w:bookmarkStart w:id="162" w:name="_Ref120536376"/>
      <w:r w:rsidRPr="005B4339">
        <w:rPr>
          <w:noProof/>
          <w:vertAlign w:val="superscript"/>
          <w:lang w:val="en-IE"/>
        </w:rPr>
        <w:footnoteReference w:id="111"/>
      </w:r>
      <w:bookmarkEnd w:id="162"/>
      <w:r w:rsidRPr="005B4339">
        <w:rPr>
          <w:noProof/>
          <w:lang w:val="en-IE"/>
        </w:rPr>
        <w:t xml:space="preserve">. </w:t>
      </w:r>
    </w:p>
    <w:p w14:paraId="1612D129" w14:textId="208ECCDB" w:rsidR="00EE3D9D" w:rsidRPr="005B4339" w:rsidRDefault="00EE3D9D" w:rsidP="003E7297">
      <w:pPr>
        <w:spacing w:after="120"/>
        <w:rPr>
          <w:noProof/>
          <w:vertAlign w:val="superscript"/>
          <w:lang w:val="en-IE"/>
        </w:rPr>
      </w:pPr>
      <w:r w:rsidRPr="005B4339">
        <w:rPr>
          <w:noProof/>
          <w:lang w:val="en-IE"/>
        </w:rPr>
        <w:lastRenderedPageBreak/>
        <w:t>Furthermore</w:t>
      </w:r>
      <w:r w:rsidR="246576CA" w:rsidRPr="005B4339">
        <w:rPr>
          <w:noProof/>
          <w:lang w:val="en-IE"/>
        </w:rPr>
        <w:t>,</w:t>
      </w:r>
      <w:r w:rsidRPr="005B4339">
        <w:rPr>
          <w:noProof/>
          <w:lang w:val="en-IE"/>
        </w:rPr>
        <w:t xml:space="preserve"> it was highlighted that measure 2.</w:t>
      </w:r>
      <w:r w:rsidR="23111B9B" w:rsidRPr="005B4339">
        <w:rPr>
          <w:noProof/>
          <w:lang w:val="en-IE"/>
        </w:rPr>
        <w:t>9</w:t>
      </w:r>
      <w:r w:rsidR="0099430A" w:rsidRPr="005B4339">
        <w:rPr>
          <w:noProof/>
          <w:lang w:val="en-IE"/>
        </w:rPr>
        <w:t xml:space="preserve"> </w:t>
      </w:r>
      <w:r w:rsidRPr="005B4339">
        <w:rPr>
          <w:noProof/>
          <w:lang w:val="en-IE"/>
        </w:rPr>
        <w:t>in combination with ESPR and other high-priority measures can enable price reductions for recycled textiles and other secondary raw materials</w:t>
      </w:r>
      <w:r w:rsidR="0099430A" w:rsidRPr="005B4339">
        <w:rPr>
          <w:noProof/>
          <w:lang w:val="en-IE"/>
        </w:rPr>
        <w:t xml:space="preserve"> </w:t>
      </w:r>
      <w:r w:rsidRPr="005B4339">
        <w:rPr>
          <w:noProof/>
          <w:lang w:val="en-IE"/>
        </w:rPr>
        <w:t>which would create a competitive market for them. By extension</w:t>
      </w:r>
      <w:r w:rsidR="0099430A" w:rsidRPr="005B4339">
        <w:rPr>
          <w:noProof/>
          <w:lang w:val="en-IE"/>
        </w:rPr>
        <w:t xml:space="preserve"> </w:t>
      </w:r>
      <w:r w:rsidRPr="005B4339">
        <w:rPr>
          <w:noProof/>
          <w:lang w:val="en-IE"/>
        </w:rPr>
        <w:t>and due to ESPR performance targets</w:t>
      </w:r>
      <w:r w:rsidR="0099430A" w:rsidRPr="005B4339">
        <w:rPr>
          <w:noProof/>
          <w:lang w:val="en-IE"/>
        </w:rPr>
        <w:t xml:space="preserve"> </w:t>
      </w:r>
      <w:r w:rsidRPr="005B4339">
        <w:rPr>
          <w:noProof/>
          <w:lang w:val="en-IE"/>
        </w:rPr>
        <w:t>such materials will be rendered more accessible to recyclers</w:t>
      </w:r>
      <w:r w:rsidR="0099430A" w:rsidRPr="005B4339">
        <w:rPr>
          <w:noProof/>
          <w:lang w:val="en-IE"/>
        </w:rPr>
        <w:t xml:space="preserve"> </w:t>
      </w:r>
      <w:r w:rsidRPr="005B4339">
        <w:rPr>
          <w:noProof/>
          <w:lang w:val="en-IE"/>
        </w:rPr>
        <w:t>brands</w:t>
      </w:r>
      <w:r w:rsidR="0099430A" w:rsidRPr="005B4339">
        <w:rPr>
          <w:noProof/>
          <w:lang w:val="en-IE"/>
        </w:rPr>
        <w:t xml:space="preserve"> </w:t>
      </w:r>
      <w:r w:rsidRPr="005B4339">
        <w:rPr>
          <w:noProof/>
          <w:lang w:val="en-IE"/>
        </w:rPr>
        <w:t>retailers and consumers</w:t>
      </w:r>
      <w:r w:rsidR="0099430A" w:rsidRPr="005B4339">
        <w:rPr>
          <w:noProof/>
          <w:lang w:val="en-IE"/>
        </w:rPr>
        <w:t xml:space="preserve"> </w:t>
      </w:r>
      <w:r w:rsidRPr="005B4339">
        <w:rPr>
          <w:noProof/>
          <w:lang w:val="en-IE"/>
        </w:rPr>
        <w:t>as with cost savings both the demand and supply of recycled fibres will increase. Specifically</w:t>
      </w:r>
      <w:r w:rsidR="64DBC1A6" w:rsidRPr="005B4339">
        <w:rPr>
          <w:noProof/>
          <w:lang w:val="en-IE"/>
        </w:rPr>
        <w:t>,</w:t>
      </w:r>
      <w:r w:rsidRPr="005B4339">
        <w:rPr>
          <w:noProof/>
          <w:lang w:val="en-IE"/>
        </w:rPr>
        <w:t xml:space="preserve"> on an EPR mandate across the EU</w:t>
      </w:r>
      <w:r w:rsidR="0099430A" w:rsidRPr="005B4339">
        <w:rPr>
          <w:noProof/>
          <w:lang w:val="en-IE"/>
        </w:rPr>
        <w:t xml:space="preserve"> </w:t>
      </w:r>
      <w:r w:rsidRPr="005B4339">
        <w:rPr>
          <w:noProof/>
          <w:lang w:val="en-IE"/>
        </w:rPr>
        <w:t>a stakeholder group stated that the framework would reduce the operational costs of producers associated with different reporting systems on products placed on the market and the fee structure</w:t>
      </w:r>
      <w:r w:rsidR="00393DFA" w:rsidRPr="00393DFA">
        <w:rPr>
          <w:noProof/>
          <w:vertAlign w:val="superscript"/>
          <w:lang w:val="en-IE"/>
        </w:rPr>
        <w:t>110</w:t>
      </w:r>
      <w:r w:rsidRPr="005B4339">
        <w:rPr>
          <w:noProof/>
          <w:lang w:val="en-IE"/>
        </w:rPr>
        <w:t>. Because of that the EPR should focus on establishing a harmonised reporting format and on strengthening EU-wide collaboration between PROs to secure the alignment of such systems throughout M</w:t>
      </w:r>
      <w:r w:rsidR="00833299" w:rsidRPr="005B4339">
        <w:rPr>
          <w:noProof/>
          <w:lang w:val="en-IE"/>
        </w:rPr>
        <w:t>ember States.</w:t>
      </w:r>
      <w:r w:rsidR="00393DFA" w:rsidRPr="00393DFA">
        <w:rPr>
          <w:noProof/>
          <w:vertAlign w:val="superscript"/>
          <w:lang w:val="en-IE"/>
        </w:rPr>
        <w:t>110</w:t>
      </w:r>
    </w:p>
    <w:p w14:paraId="6AEEC598" w14:textId="62117CBA" w:rsidR="00EE3D9D" w:rsidRPr="005B4339" w:rsidRDefault="778050B3" w:rsidP="003E7297">
      <w:pPr>
        <w:spacing w:after="120"/>
        <w:rPr>
          <w:noProof/>
          <w:lang w:val="en-IE"/>
        </w:rPr>
      </w:pPr>
      <w:r w:rsidRPr="005B4339">
        <w:rPr>
          <w:noProof/>
          <w:lang w:val="en-IE"/>
        </w:rPr>
        <w:t>The design of the EPR measure should also consider how to</w:t>
      </w:r>
      <w:r w:rsidR="00A3281A" w:rsidRPr="005B4339">
        <w:rPr>
          <w:noProof/>
          <w:lang w:val="en-IE"/>
        </w:rPr>
        <w:t xml:space="preserve"> avoid competition between the reuse and preparing for reuse sectors</w:t>
      </w:r>
      <w:r w:rsidR="7ECEC636" w:rsidRPr="005B4339">
        <w:rPr>
          <w:noProof/>
          <w:lang w:val="en-IE"/>
        </w:rPr>
        <w:t xml:space="preserve">. </w:t>
      </w:r>
      <w:r w:rsidR="00A3281A" w:rsidRPr="005B4339">
        <w:rPr>
          <w:noProof/>
          <w:lang w:val="en-IE"/>
        </w:rPr>
        <w:t xml:space="preserve"> </w:t>
      </w:r>
      <w:r w:rsidR="00EE3D9D" w:rsidRPr="005B4339">
        <w:rPr>
          <w:noProof/>
          <w:lang w:val="en-IE"/>
        </w:rPr>
        <w:t>Lastly a key impact area of the mandated EPR measure is the climate. Stakeholders realise the significance of the role of EPR to keep in line with climate objectives</w:t>
      </w:r>
      <w:r w:rsidR="0099430A" w:rsidRPr="005B4339">
        <w:rPr>
          <w:noProof/>
          <w:lang w:val="en-IE"/>
        </w:rPr>
        <w:t xml:space="preserve"> </w:t>
      </w:r>
      <w:r w:rsidR="00EE3D9D" w:rsidRPr="005B4339">
        <w:rPr>
          <w:noProof/>
          <w:lang w:val="en-IE"/>
        </w:rPr>
        <w:t>however they note that more circular business models (such as repair</w:t>
      </w:r>
      <w:r w:rsidR="0099430A" w:rsidRPr="005B4339">
        <w:rPr>
          <w:noProof/>
          <w:lang w:val="en-IE"/>
        </w:rPr>
        <w:t xml:space="preserve"> </w:t>
      </w:r>
      <w:r w:rsidR="00EE3D9D" w:rsidRPr="005B4339">
        <w:rPr>
          <w:noProof/>
          <w:lang w:val="en-IE"/>
        </w:rPr>
        <w:t>reuse remanufacturing and rental) should accompany the scheme to improve its effectiveness and efficiency</w:t>
      </w:r>
      <w:r w:rsidR="00393DFA" w:rsidRPr="00393DFA">
        <w:rPr>
          <w:noProof/>
          <w:vertAlign w:val="superscript"/>
          <w:lang w:val="en-IE"/>
        </w:rPr>
        <w:t>104</w:t>
      </w:r>
      <w:r w:rsidR="00EE3D9D" w:rsidRPr="005B4339">
        <w:rPr>
          <w:noProof/>
          <w:lang w:val="en-IE"/>
        </w:rPr>
        <w:t>. The EPR mandate in combination with circular business models will additionally support sorting and recycling initiatives and further minimise waste generation and unsuitable waste management practices</w:t>
      </w:r>
      <w:r w:rsidR="00393DFA" w:rsidRPr="00393DFA">
        <w:rPr>
          <w:noProof/>
          <w:vertAlign w:val="superscript"/>
          <w:lang w:val="en-IE"/>
        </w:rPr>
        <w:t>110</w:t>
      </w:r>
      <w:r w:rsidR="00EE3D9D" w:rsidRPr="005B4339">
        <w:rPr>
          <w:noProof/>
          <w:lang w:val="en-IE"/>
        </w:rPr>
        <w:t xml:space="preserve"> </w:t>
      </w:r>
      <w:r w:rsidR="00393DFA" w:rsidRPr="00393DFA">
        <w:rPr>
          <w:noProof/>
          <w:vertAlign w:val="superscript"/>
          <w:lang w:val="en-IE"/>
        </w:rPr>
        <w:t>106</w:t>
      </w:r>
      <w:r w:rsidR="00EE3D9D" w:rsidRPr="005B4339">
        <w:rPr>
          <w:noProof/>
          <w:lang w:val="en-IE"/>
        </w:rPr>
        <w:t>.</w:t>
      </w:r>
    </w:p>
    <w:p w14:paraId="0F2EE7AE" w14:textId="75C8A395" w:rsidR="005F0359" w:rsidRPr="005B4339" w:rsidRDefault="005F0359" w:rsidP="005F0359">
      <w:pPr>
        <w:rPr>
          <w:i/>
          <w:noProof/>
          <w:lang w:val="en-IE"/>
        </w:rPr>
      </w:pPr>
      <w:bookmarkStart w:id="163" w:name="_Toc133229485"/>
      <w:bookmarkStart w:id="164" w:name="_Toc139032039"/>
      <w:r w:rsidRPr="005B4339">
        <w:rPr>
          <w:i/>
          <w:noProof/>
          <w:lang w:val="en-IE"/>
        </w:rPr>
        <w:t xml:space="preserve">Table </w:t>
      </w:r>
      <w:r w:rsidR="00393DFA">
        <w:rPr>
          <w:i/>
          <w:iCs/>
          <w:noProof/>
        </w:rPr>
        <w:t>23</w:t>
      </w:r>
      <w:r w:rsidRPr="005B4339">
        <w:rPr>
          <w:i/>
          <w:noProof/>
          <w:lang w:val="en-IE"/>
        </w:rPr>
        <w:t xml:space="preserve"> : Summary of impacts for measure 2.</w:t>
      </w:r>
      <w:r w:rsidR="3A34752D" w:rsidRPr="005B4339">
        <w:rPr>
          <w:i/>
          <w:noProof/>
          <w:lang w:val="en-IE"/>
        </w:rPr>
        <w:t>9</w:t>
      </w:r>
      <w:bookmarkEnd w:id="163"/>
      <w:bookmarkEnd w:id="164"/>
    </w:p>
    <w:tbl>
      <w:tblPr>
        <w:tblStyle w:val="PlainTable1"/>
        <w:tblW w:w="9268" w:type="dxa"/>
        <w:tblLook w:val="04A0" w:firstRow="1" w:lastRow="0" w:firstColumn="1" w:lastColumn="0" w:noHBand="0" w:noVBand="1"/>
      </w:tblPr>
      <w:tblGrid>
        <w:gridCol w:w="2547"/>
        <w:gridCol w:w="2268"/>
        <w:gridCol w:w="2268"/>
        <w:gridCol w:w="2185"/>
      </w:tblGrid>
      <w:tr w:rsidR="00490BAC" w:rsidRPr="005B4339" w14:paraId="6F38FA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606165" w14:textId="77777777" w:rsidR="00490BAC" w:rsidRPr="005B4339" w:rsidRDefault="00490BAC">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853961"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72856"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D34CE0"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490BAC" w:rsidRPr="005B4339" w14:paraId="5C7FA1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FC4FFD" w14:textId="3365A12E" w:rsidR="00490BAC" w:rsidRPr="005B4339" w:rsidRDefault="00490BAC">
            <w:pPr>
              <w:jc w:val="left"/>
              <w:rPr>
                <w:noProof/>
                <w:lang w:val="en-IE"/>
              </w:rPr>
            </w:pPr>
            <w:r w:rsidRPr="005B4339">
              <w:rPr>
                <w:noProof/>
                <w:lang w:val="en-IE"/>
              </w:rPr>
              <w:t>Producers</w:t>
            </w:r>
            <w:r w:rsidR="003D6E39" w:rsidRPr="005B4339">
              <w:rPr>
                <w:noProof/>
                <w:lang w:val="en-IE"/>
              </w:rPr>
              <w:t>,</w:t>
            </w:r>
            <w:r w:rsidRPr="005B4339">
              <w:rPr>
                <w:noProof/>
                <w:lang w:val="en-IE"/>
              </w:rPr>
              <w:t xml:space="preserve"> waste managers (encompassing collectors</w:t>
            </w:r>
            <w:r w:rsidR="003D6E39" w:rsidRPr="005B4339">
              <w:rPr>
                <w:noProof/>
                <w:lang w:val="en-IE"/>
              </w:rPr>
              <w:t>,</w:t>
            </w:r>
            <w:r w:rsidRPr="005B4339">
              <w:rPr>
                <w:noProof/>
                <w:lang w:val="en-IE"/>
              </w:rPr>
              <w:t xml:space="preserve">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19B0EF" w14:textId="1C9D7ED9" w:rsidR="008A08C1" w:rsidRPr="005B4339" w:rsidRDefault="008A08C1" w:rsidP="006554B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Additional costs of 2.28 billion euro per year</w:t>
            </w:r>
            <w:r w:rsidR="00D5016D" w:rsidRPr="005B4339">
              <w:rPr>
                <w:rFonts w:eastAsia="Times New Roman"/>
                <w:noProof/>
                <w:lang w:val="en-IE"/>
              </w:rPr>
              <w:t xml:space="preserve"> for effective textile waste management</w:t>
            </w:r>
            <w:r w:rsidRPr="005B4339">
              <w:rPr>
                <w:rFonts w:eastAsia="Times New Roman"/>
                <w:noProof/>
                <w:lang w:val="en-IE"/>
              </w:rPr>
              <w:t>.</w:t>
            </w:r>
          </w:p>
          <w:p w14:paraId="038D700B" w14:textId="2ABFB1EE" w:rsidR="00B55676" w:rsidRPr="005B4339" w:rsidRDefault="00B55676" w:rsidP="006554B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 xml:space="preserve">This measure would increase the costs of </w:t>
            </w:r>
            <w:r w:rsidR="0E7162B7" w:rsidRPr="005B4339">
              <w:rPr>
                <w:rFonts w:eastAsia="Times New Roman"/>
                <w:noProof/>
                <w:lang w:val="en-IE"/>
              </w:rPr>
              <w:t xml:space="preserve">placing </w:t>
            </w:r>
            <w:r w:rsidRPr="005B4339">
              <w:rPr>
                <w:rFonts w:eastAsia="Times New Roman"/>
                <w:noProof/>
                <w:lang w:val="en-IE"/>
              </w:rPr>
              <w:t>textile products</w:t>
            </w:r>
            <w:r w:rsidR="2FA32240" w:rsidRPr="005B4339">
              <w:rPr>
                <w:rFonts w:eastAsia="Times New Roman"/>
                <w:noProof/>
                <w:lang w:val="en-IE"/>
              </w:rPr>
              <w:t xml:space="preserve"> on the market</w:t>
            </w:r>
            <w:r w:rsidRPr="005B4339">
              <w:rPr>
                <w:rFonts w:eastAsia="Times New Roman"/>
                <w:noProof/>
                <w:lang w:val="en-IE"/>
              </w:rPr>
              <w:t>.</w:t>
            </w:r>
          </w:p>
          <w:p w14:paraId="64100C18" w14:textId="2419B412" w:rsidR="00B55676" w:rsidRPr="005B4339" w:rsidRDefault="00B55676" w:rsidP="006554B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It would add costs o</w:t>
            </w:r>
            <w:r w:rsidR="00CCC58C" w:rsidRPr="005B4339">
              <w:rPr>
                <w:rFonts w:eastAsia="Times New Roman"/>
                <w:noProof/>
                <w:lang w:val="en-IE"/>
              </w:rPr>
              <w:t>n</w:t>
            </w:r>
            <w:r w:rsidRPr="005B4339">
              <w:rPr>
                <w:rFonts w:eastAsia="Times New Roman"/>
                <w:noProof/>
                <w:lang w:val="en-IE"/>
              </w:rPr>
              <w:t xml:space="preserve"> data recording and reporting</w:t>
            </w:r>
            <w:r w:rsidR="02C3F8AA" w:rsidRPr="005B4339">
              <w:rPr>
                <w:rFonts w:eastAsia="Times New Roman"/>
                <w:noProof/>
                <w:lang w:val="en-IE"/>
              </w:rPr>
              <w:t xml:space="preserve"> on products placed on the market and in relation to waste management (as per </w:t>
            </w:r>
            <w:r w:rsidR="02C3F8AA" w:rsidRPr="005B4339">
              <w:rPr>
                <w:rFonts w:eastAsia="Times New Roman"/>
                <w:noProof/>
                <w:lang w:val="en-IE"/>
              </w:rPr>
              <w:lastRenderedPageBreak/>
              <w:t>measure 2.</w:t>
            </w:r>
            <w:r w:rsidR="0178B84E" w:rsidRPr="005B4339">
              <w:rPr>
                <w:rFonts w:eastAsia="Times New Roman"/>
                <w:noProof/>
                <w:lang w:val="en-IE"/>
              </w:rPr>
              <w:t>1</w:t>
            </w:r>
            <w:r w:rsidR="0F0EEAFA" w:rsidRPr="005B4339">
              <w:rPr>
                <w:rFonts w:eastAsia="Times New Roman"/>
                <w:noProof/>
                <w:lang w:val="en-IE"/>
              </w:rPr>
              <w:t>4</w:t>
            </w:r>
            <w:r w:rsidR="02C3F8AA" w:rsidRPr="005B4339">
              <w:rPr>
                <w:rFonts w:eastAsia="Times New Roman"/>
                <w:noProof/>
                <w:lang w:val="en-IE"/>
              </w:rPr>
              <w:t>)</w:t>
            </w:r>
            <w:r w:rsidRPr="005B4339">
              <w:rPr>
                <w:rFonts w:eastAsia="Times New Roman"/>
                <w:noProof/>
                <w:lang w:val="en-IE"/>
              </w:rPr>
              <w:t>.</w:t>
            </w:r>
          </w:p>
          <w:p w14:paraId="5D42124A" w14:textId="469EF6FC" w:rsidR="00DC6DA6" w:rsidRPr="005B4339" w:rsidRDefault="00B55676" w:rsidP="00DC6DA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 xml:space="preserve">Such costs might result in barriers to entry for SMEs although micro-enterprises </w:t>
            </w:r>
            <w:r w:rsidR="4912A8E0" w:rsidRPr="005B4339">
              <w:rPr>
                <w:rFonts w:eastAsia="Times New Roman"/>
                <w:noProof/>
                <w:lang w:val="en-IE"/>
              </w:rPr>
              <w:t>are excluded</w:t>
            </w:r>
            <w:r w:rsidRPr="005B4339">
              <w:rPr>
                <w:rFonts w:eastAsia="Times New Roman"/>
                <w:noProof/>
                <w:lang w:val="en-IE"/>
              </w:rPr>
              <w:t xml:space="preserve"> with minimal knock-on consequences for larger enterprises</w:t>
            </w:r>
            <w:r w:rsidR="00DA5B73" w:rsidRPr="005B4339">
              <w:rPr>
                <w:rFonts w:eastAsia="Times New Roman"/>
                <w:noProof/>
                <w:lang w:val="en-IE"/>
              </w:rPr>
              <w:t>.</w:t>
            </w:r>
            <w:r w:rsidR="00DC6DA6" w:rsidRPr="005B4339">
              <w:rPr>
                <w:rFonts w:eastAsia="Times New Roman"/>
                <w:noProof/>
                <w:lang w:val="en-IE"/>
              </w:rPr>
              <w:t xml:space="preserve"> </w:t>
            </w:r>
          </w:p>
          <w:p w14:paraId="74A8C25C" w14:textId="2ED53D38" w:rsidR="00DC6DA6" w:rsidRPr="005B4339" w:rsidRDefault="00DC6DA6" w:rsidP="690FA31A">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 xml:space="preserve">This measure would </w:t>
            </w:r>
            <w:r w:rsidR="244C12F9" w:rsidRPr="005B4339">
              <w:rPr>
                <w:rFonts w:eastAsia="Times New Roman"/>
                <w:noProof/>
                <w:lang w:val="en-IE"/>
              </w:rPr>
              <w:t>provide savings in compliance costs by anticipating a harmonised EPR system for the EU and prevent</w:t>
            </w:r>
            <w:r w:rsidR="5CF92A70" w:rsidRPr="005B4339">
              <w:rPr>
                <w:rFonts w:eastAsia="Times New Roman"/>
                <w:noProof/>
                <w:lang w:val="en-IE"/>
              </w:rPr>
              <w:t xml:space="preserve"> the obligations on the industry to comp</w:t>
            </w:r>
            <w:r w:rsidR="06CAB437" w:rsidRPr="005B4339">
              <w:rPr>
                <w:rFonts w:eastAsia="Times New Roman"/>
                <w:noProof/>
                <w:lang w:val="en-IE"/>
              </w:rPr>
              <w:t>l</w:t>
            </w:r>
            <w:r w:rsidR="5CF92A70" w:rsidRPr="005B4339">
              <w:rPr>
                <w:rFonts w:eastAsia="Times New Roman"/>
                <w:noProof/>
                <w:lang w:val="en-IE"/>
              </w:rPr>
              <w:t>y with</w:t>
            </w:r>
            <w:r w:rsidR="244C12F9" w:rsidRPr="005B4339">
              <w:rPr>
                <w:rFonts w:eastAsia="Times New Roman"/>
                <w:noProof/>
                <w:lang w:val="en-IE"/>
              </w:rPr>
              <w:t xml:space="preserve"> potentially 27 different systems</w:t>
            </w:r>
            <w:r w:rsidR="2C0A7968" w:rsidRPr="005B4339">
              <w:rPr>
                <w:rFonts w:eastAsia="Times New Roman"/>
                <w:noProof/>
                <w:lang w:val="en-IE"/>
              </w:rPr>
              <w:t xml:space="preserve">. </w:t>
            </w:r>
            <w:r w:rsidR="179A709A" w:rsidRPr="005B4339">
              <w:rPr>
                <w:rFonts w:eastAsia="Times New Roman"/>
                <w:noProof/>
                <w:lang w:val="en-IE"/>
              </w:rPr>
              <w:t xml:space="preserve">This also provides a level playing field for the operators operating across the different countries. </w:t>
            </w:r>
          </w:p>
          <w:p w14:paraId="303515A7" w14:textId="3732BD0F" w:rsidR="00DC6DA6" w:rsidRPr="005B4339" w:rsidRDefault="3C9EE872" w:rsidP="00DC6DA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 xml:space="preserve">Level playing field is also ensured between brick and mortar and online sales </w:t>
            </w:r>
            <w:r w:rsidR="430031B5" w:rsidRPr="005B4339">
              <w:rPr>
                <w:rFonts w:eastAsia="Times New Roman"/>
                <w:noProof/>
                <w:lang w:val="en-IE"/>
              </w:rPr>
              <w:t xml:space="preserve">producers </w:t>
            </w:r>
            <w:r w:rsidRPr="005B4339">
              <w:rPr>
                <w:rFonts w:eastAsia="Times New Roman"/>
                <w:noProof/>
                <w:lang w:val="en-IE"/>
              </w:rPr>
              <w:t>by regulating the</w:t>
            </w:r>
            <w:r w:rsidR="244C12F9" w:rsidRPr="005B4339">
              <w:rPr>
                <w:rFonts w:eastAsia="Times New Roman"/>
                <w:noProof/>
                <w:lang w:val="en-IE"/>
              </w:rPr>
              <w:t xml:space="preserve"> </w:t>
            </w:r>
            <w:r w:rsidR="7DA9FF56" w:rsidRPr="005B4339">
              <w:rPr>
                <w:rFonts w:eastAsia="Times New Roman"/>
                <w:noProof/>
                <w:lang w:val="en-IE"/>
              </w:rPr>
              <w:t>enforcement</w:t>
            </w:r>
            <w:r w:rsidR="244C12F9" w:rsidRPr="005B4339">
              <w:rPr>
                <w:rFonts w:eastAsia="Times New Roman"/>
                <w:noProof/>
                <w:lang w:val="en-IE"/>
              </w:rPr>
              <w:t xml:space="preserve"> </w:t>
            </w:r>
            <w:r w:rsidR="438463D7" w:rsidRPr="005B4339">
              <w:rPr>
                <w:rFonts w:eastAsia="Times New Roman"/>
                <w:noProof/>
                <w:lang w:val="en-IE"/>
              </w:rPr>
              <w:t xml:space="preserve">tools and therefore tackling free riding. </w:t>
            </w:r>
          </w:p>
          <w:p w14:paraId="1CCD656C" w14:textId="7941936B" w:rsidR="00DC6DA6" w:rsidRPr="005B4339" w:rsidRDefault="00DC6DA6" w:rsidP="006554B6">
            <w:pPr>
              <w:cnfStyle w:val="000000100000" w:firstRow="0" w:lastRow="0" w:firstColumn="0" w:lastColumn="0" w:oddVBand="0" w:evenVBand="0" w:oddHBand="1" w:evenHBand="0" w:firstRowFirstColumn="0" w:firstRowLastColumn="0" w:lastRowFirstColumn="0" w:lastRowLastColumn="0"/>
              <w:rPr>
                <w:rFonts w:eastAsia="Times New Roman"/>
                <w:noProof/>
                <w:shd w:val="clear" w:color="auto" w:fill="E6E6E6"/>
                <w:lang w:val="en-IE"/>
              </w:rPr>
            </w:pPr>
            <w:r w:rsidRPr="005B4339">
              <w:rPr>
                <w:rFonts w:eastAsia="Times New Roman"/>
                <w:noProof/>
                <w:lang w:val="en-IE"/>
              </w:rPr>
              <w:t xml:space="preserve">This measure would result in additional support to the reuse and repair sector and the recovery of value </w:t>
            </w:r>
            <w:r w:rsidRPr="005B4339">
              <w:rPr>
                <w:rFonts w:eastAsia="Times New Roman"/>
                <w:noProof/>
                <w:lang w:val="en-IE"/>
              </w:rPr>
              <w:lastRenderedPageBreak/>
              <w:t xml:space="preserve">of </w:t>
            </w:r>
            <w:r w:rsidR="00244E47" w:rsidRPr="005B4339">
              <w:rPr>
                <w:rFonts w:eastAsia="Times New Roman"/>
                <w:noProof/>
                <w:lang w:val="en-IE"/>
              </w:rPr>
              <w:t xml:space="preserve">reused </w:t>
            </w:r>
            <w:r w:rsidRPr="005B4339">
              <w:rPr>
                <w:rFonts w:eastAsia="Times New Roman"/>
                <w:noProof/>
                <w:lang w:val="en-IE"/>
              </w:rPr>
              <w:t xml:space="preserve">textiles </w:t>
            </w:r>
            <w:r w:rsidR="41E9CFF4" w:rsidRPr="005B4339">
              <w:rPr>
                <w:rFonts w:eastAsia="Times New Roman"/>
                <w:noProof/>
                <w:lang w:val="en-IE"/>
              </w:rPr>
              <w:t xml:space="preserve">for </w:t>
            </w:r>
            <w:r w:rsidR="00244E47" w:rsidRPr="005B4339">
              <w:rPr>
                <w:rFonts w:eastAsia="Times New Roman"/>
                <w:noProof/>
                <w:lang w:val="en-IE"/>
              </w:rPr>
              <w:t>1.1 billion euro per year and</w:t>
            </w:r>
            <w:r w:rsidR="41E9CFF4" w:rsidRPr="005B4339">
              <w:rPr>
                <w:rFonts w:eastAsia="Times New Roman"/>
                <w:noProof/>
                <w:lang w:val="en-IE"/>
              </w:rPr>
              <w:t xml:space="preserve"> of </w:t>
            </w:r>
            <w:r w:rsidR="00244E47" w:rsidRPr="005B4339">
              <w:rPr>
                <w:rFonts w:eastAsia="Times New Roman"/>
                <w:noProof/>
                <w:lang w:val="en-IE"/>
              </w:rPr>
              <w:t xml:space="preserve">recycled textiles of </w:t>
            </w:r>
            <w:r w:rsidR="008A08C1" w:rsidRPr="005B4339">
              <w:rPr>
                <w:rFonts w:eastAsia="Times New Roman"/>
                <w:noProof/>
                <w:lang w:val="en-IE"/>
              </w:rPr>
              <w:t>237 million euro per year</w:t>
            </w:r>
            <w:r w:rsidRPr="005B4339">
              <w:rPr>
                <w:rFonts w:eastAsia="Times New Roman"/>
                <w:noProof/>
                <w:shd w:val="clear" w:color="auto" w:fill="E6E6E6"/>
                <w:lang w:val="en-IE"/>
              </w:rPr>
              <w:t>.</w:t>
            </w:r>
          </w:p>
          <w:p w14:paraId="2595922D" w14:textId="05CCFBA1" w:rsidR="00490BAC" w:rsidRPr="005B4339" w:rsidRDefault="00DC6DA6" w:rsidP="006554B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This measure would result in additional support to the textile recycling sector</w:t>
            </w:r>
            <w:r w:rsidR="004D2DB2" w:rsidRPr="005B4339">
              <w:rPr>
                <w:rFonts w:eastAsia="Times New Roman"/>
                <w:noProof/>
                <w:lang w:val="en-IE"/>
              </w:rPr>
              <w:t>,</w:t>
            </w:r>
            <w:r w:rsidR="0099430A" w:rsidRPr="005B4339">
              <w:rPr>
                <w:rFonts w:eastAsia="Times New Roman"/>
                <w:noProof/>
                <w:lang w:val="en-IE"/>
              </w:rPr>
              <w:t xml:space="preserve"> </w:t>
            </w:r>
            <w:r w:rsidRPr="005B4339">
              <w:rPr>
                <w:rFonts w:eastAsia="Times New Roman"/>
                <w:noProof/>
                <w:lang w:val="en-IE"/>
              </w:rPr>
              <w:t>increasing in particular closed-loop recycling and recovering value from non-reusable textiles</w:t>
            </w:r>
            <w:r w:rsidR="099A31E4" w:rsidRPr="005B4339">
              <w:rPr>
                <w:rFonts w:eastAsia="Times New Roman"/>
                <w:noProof/>
                <w:lang w:val="en-IE"/>
              </w:rPr>
              <w:t>, by providing feedstock for the creation of new circular businesses</w:t>
            </w:r>
            <w:r w:rsidRPr="005B4339">
              <w:rPr>
                <w:rFonts w:eastAsia="Times New Roman"/>
                <w:noProof/>
                <w:lang w:val="en-IE"/>
              </w:rPr>
              <w: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158629"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8CD7A" w14:textId="155B75FE" w:rsidR="00490BAC" w:rsidRPr="005B4339" w:rsidRDefault="001255EE">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5500 jobs</w:t>
            </w:r>
            <w:r w:rsidR="000863F8" w:rsidRPr="005B4339">
              <w:rPr>
                <w:noProof/>
                <w:lang w:val="en-IE"/>
              </w:rPr>
              <w:t xml:space="preserve"> in textile waste management</w:t>
            </w:r>
          </w:p>
        </w:tc>
      </w:tr>
      <w:tr w:rsidR="00490BAC" w:rsidRPr="005B4339" w14:paraId="55DCAA1A"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61BAB4" w14:textId="77777777" w:rsidR="00490BAC" w:rsidRPr="005B4339" w:rsidRDefault="00490BAC">
            <w:pPr>
              <w:jc w:val="left"/>
              <w:rPr>
                <w:noProof/>
                <w:lang w:val="en-IE"/>
              </w:rPr>
            </w:pPr>
            <w:r w:rsidRPr="005B4339">
              <w:rPr>
                <w:noProof/>
                <w:lang w:val="en-IE"/>
              </w:rPr>
              <w:lastRenderedPageBreak/>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B6F47" w14:textId="089501B5" w:rsidR="00B55676" w:rsidRPr="005B4339" w:rsidRDefault="4174B7E4" w:rsidP="00B55676">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Reduction in costs of waste management - t</w:t>
            </w:r>
            <w:r w:rsidR="00DC6DA6" w:rsidRPr="005B4339">
              <w:rPr>
                <w:noProof/>
                <w:lang w:val="en-IE"/>
              </w:rPr>
              <w:t xml:space="preserve">his measure would </w:t>
            </w:r>
            <w:r w:rsidR="1A4A56D1" w:rsidRPr="005B4339">
              <w:rPr>
                <w:noProof/>
                <w:lang w:val="en-IE"/>
              </w:rPr>
              <w:t xml:space="preserve">transfer the costs of waste management from the municipalities to the producers to the extent that the costs incurred are necessary costs. </w:t>
            </w:r>
          </w:p>
          <w:p w14:paraId="6B4463E1" w14:textId="52122570" w:rsidR="00490BAC" w:rsidRPr="005B4339" w:rsidRDefault="00DC6DA6" w:rsidP="40E523C2">
            <w:pPr>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This measure would </w:t>
            </w:r>
            <w:r w:rsidR="211EA672" w:rsidRPr="005B4339">
              <w:rPr>
                <w:noProof/>
                <w:lang w:val="en-IE"/>
              </w:rPr>
              <w:t>add</w:t>
            </w:r>
            <w:r w:rsidRPr="005B4339">
              <w:rPr>
                <w:noProof/>
                <w:lang w:val="en-IE"/>
              </w:rPr>
              <w:t xml:space="preserve"> administrative costs </w:t>
            </w:r>
            <w:r w:rsidR="49B24EA3" w:rsidRPr="005B4339">
              <w:rPr>
                <w:noProof/>
                <w:lang w:val="en-IE"/>
              </w:rPr>
              <w:t xml:space="preserve">related to the </w:t>
            </w:r>
            <w:r w:rsidR="620EFAAD" w:rsidRPr="005B4339">
              <w:rPr>
                <w:noProof/>
                <w:lang w:val="en-IE"/>
              </w:rPr>
              <w:t>establishment</w:t>
            </w:r>
            <w:r w:rsidR="49B24EA3" w:rsidRPr="005B4339">
              <w:rPr>
                <w:noProof/>
                <w:lang w:val="en-IE"/>
              </w:rPr>
              <w:t xml:space="preserve"> of the EPR schemes (i.e. the establishment of a producer register, authorisation systems for the </w:t>
            </w:r>
            <w:r w:rsidR="49B24EA3" w:rsidRPr="005B4339">
              <w:rPr>
                <w:noProof/>
                <w:lang w:val="en-IE"/>
              </w:rPr>
              <w:lastRenderedPageBreak/>
              <w:t>permitting of PROs</w:t>
            </w:r>
            <w:r w:rsidR="531F12F1" w:rsidRPr="005B4339">
              <w:rPr>
                <w:noProof/>
                <w:lang w:val="en-IE"/>
              </w:rPr>
              <w:t>, stakeholder platform)</w:t>
            </w:r>
            <w:r w:rsidRPr="005B4339">
              <w:rPr>
                <w:noProof/>
                <w:lang w:val="en-IE"/>
              </w:rPr>
              <w:t xml:space="preserve"> </w:t>
            </w:r>
            <w:r w:rsidR="745690E3" w:rsidRPr="005B4339">
              <w:rPr>
                <w:noProof/>
                <w:lang w:val="en-IE"/>
              </w:rPr>
              <w:t>and for monitoring</w:t>
            </w:r>
            <w:r w:rsidRPr="005B4339">
              <w:rPr>
                <w:noProof/>
                <w:lang w:val="en-IE"/>
              </w:rPr>
              <w:t xml:space="preserve"> compliance </w:t>
            </w:r>
            <w:r w:rsidR="745690E3" w:rsidRPr="005B4339">
              <w:rPr>
                <w:noProof/>
                <w:lang w:val="en-IE"/>
              </w:rPr>
              <w:t xml:space="preserve">and enforcement of the compliance of PROs and producers </w:t>
            </w:r>
            <w:r w:rsidRPr="005B4339">
              <w:rPr>
                <w:noProof/>
                <w:lang w:val="en-IE"/>
              </w:rPr>
              <w:t xml:space="preserve">with </w:t>
            </w:r>
            <w:r w:rsidR="745690E3" w:rsidRPr="005B4339">
              <w:rPr>
                <w:noProof/>
                <w:lang w:val="en-IE"/>
              </w:rPr>
              <w:t xml:space="preserve">their </w:t>
            </w:r>
            <w:r w:rsidRPr="005B4339">
              <w:rPr>
                <w:noProof/>
                <w:lang w:val="en-IE"/>
              </w:rPr>
              <w:t xml:space="preserve">EPR </w:t>
            </w:r>
            <w:r w:rsidR="745690E3" w:rsidRPr="005B4339">
              <w:rPr>
                <w:noProof/>
                <w:lang w:val="en-IE"/>
              </w:rPr>
              <w:t>obligations</w:t>
            </w:r>
            <w:r w:rsidRPr="005B4339">
              <w:rPr>
                <w:noProof/>
                <w:lang w:val="en-IE"/>
              </w:rPr>
              <w: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89C6F" w14:textId="77777777" w:rsidR="00490BAC" w:rsidRPr="005B4339" w:rsidRDefault="00490BAC">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6252A" w14:textId="77777777" w:rsidR="00490BAC" w:rsidRPr="005B4339" w:rsidRDefault="00490BAC">
            <w:pPr>
              <w:cnfStyle w:val="000000000000" w:firstRow="0" w:lastRow="0" w:firstColumn="0" w:lastColumn="0" w:oddVBand="0" w:evenVBand="0" w:oddHBand="0" w:evenHBand="0" w:firstRowFirstColumn="0" w:firstRowLastColumn="0" w:lastRowFirstColumn="0" w:lastRowLastColumn="0"/>
              <w:rPr>
                <w:b/>
                <w:noProof/>
                <w:lang w:val="en-IE"/>
              </w:rPr>
            </w:pPr>
          </w:p>
        </w:tc>
      </w:tr>
      <w:tr w:rsidR="00490BAC" w:rsidRPr="005B4339" w14:paraId="46B4BC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768C61" w14:textId="77777777" w:rsidR="00490BAC" w:rsidRPr="005B4339" w:rsidRDefault="00490BAC">
            <w:pPr>
              <w:jc w:val="left"/>
              <w:rPr>
                <w:noProof/>
                <w:lang w:val="en-IE"/>
              </w:rPr>
            </w:pPr>
            <w:r w:rsidRPr="005B4339">
              <w:rPr>
                <w:noProof/>
                <w:lang w:val="en-IE"/>
              </w:rPr>
              <w:t>Citizens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3CBA9" w14:textId="3CAE5A52" w:rsidR="00490BAC" w:rsidRPr="005B4339" w:rsidRDefault="10269938">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No certainty to what extent the cost of EPR compliance would </w:t>
            </w:r>
            <w:r w:rsidR="7F559EF2" w:rsidRPr="005B4339">
              <w:rPr>
                <w:noProof/>
                <w:lang w:val="en-IE"/>
              </w:rPr>
              <w:t xml:space="preserve">or would not </w:t>
            </w:r>
            <w:r w:rsidRPr="005B4339">
              <w:rPr>
                <w:noProof/>
                <w:lang w:val="en-IE"/>
              </w:rPr>
              <w:t xml:space="preserve">impact the cost of the textile goods for consumers. </w:t>
            </w:r>
          </w:p>
          <w:p w14:paraId="58F4D925" w14:textId="7A231F61" w:rsidR="00490BAC" w:rsidRPr="005B4339" w:rsidRDefault="470A2678" w:rsidP="7F2E5A81">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Reduced costs of residual waste management where pay-as-you-throw systems are applied for that stream.</w:t>
            </w:r>
          </w:p>
          <w:p w14:paraId="17F40C0E" w14:textId="7BF7ED03" w:rsidR="00490BAC" w:rsidRPr="005B4339" w:rsidRDefault="7213B031">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Increased a</w:t>
            </w:r>
            <w:r w:rsidR="470A2678" w:rsidRPr="005B4339">
              <w:rPr>
                <w:noProof/>
                <w:lang w:val="en-IE"/>
              </w:rPr>
              <w:t xml:space="preserve">vailability of </w:t>
            </w:r>
            <w:r w:rsidR="0FE8A651" w:rsidRPr="005B4339">
              <w:rPr>
                <w:noProof/>
                <w:lang w:val="en-IE"/>
              </w:rPr>
              <w:t xml:space="preserve">sustainable </w:t>
            </w:r>
            <w:r w:rsidR="470A2678" w:rsidRPr="005B4339">
              <w:rPr>
                <w:noProof/>
                <w:lang w:val="en-IE"/>
              </w:rPr>
              <w:t>low</w:t>
            </w:r>
            <w:r w:rsidR="192DF4EE" w:rsidRPr="005B4339">
              <w:rPr>
                <w:noProof/>
                <w:lang w:val="en-IE"/>
              </w:rPr>
              <w:t>-</w:t>
            </w:r>
            <w:r w:rsidR="470A2678" w:rsidRPr="005B4339">
              <w:rPr>
                <w:noProof/>
                <w:lang w:val="en-IE"/>
              </w:rPr>
              <w:t xml:space="preserve">cost textiles </w:t>
            </w:r>
            <w:r w:rsidR="0858179A" w:rsidRPr="005B4339">
              <w:rPr>
                <w:noProof/>
                <w:lang w:val="en-IE"/>
              </w:rPr>
              <w:t xml:space="preserve">options </w:t>
            </w:r>
            <w:r w:rsidR="470A2678" w:rsidRPr="005B4339">
              <w:rPr>
                <w:noProof/>
                <w:lang w:val="en-IE"/>
              </w:rPr>
              <w:t xml:space="preserve">from re-use shops and other circular businesses. </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7F2C03"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8280A" w14:textId="0817E3DB" w:rsidR="00490BAC" w:rsidRPr="005B4339" w:rsidRDefault="3EE05543">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Increased awareness of the impact of sustainable textile management and the role of citizens in contributing to this objective through behavioural changes.</w:t>
            </w:r>
          </w:p>
        </w:tc>
      </w:tr>
      <w:tr w:rsidR="00DC6DA6" w:rsidRPr="005B4339" w14:paraId="64DF28C6"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4B24BC" w14:textId="2B7F96F1" w:rsidR="00DC6DA6" w:rsidRPr="005B4339" w:rsidRDefault="00DC6DA6" w:rsidP="00B55676">
            <w:pPr>
              <w:jc w:val="left"/>
              <w:rPr>
                <w:noProof/>
                <w:lang w:val="en-IE"/>
              </w:rPr>
            </w:pPr>
            <w:r w:rsidRPr="005B4339">
              <w:rPr>
                <w:noProof/>
                <w:lang w:val="en-IE"/>
              </w:rPr>
              <w:t>Producers</w:t>
            </w:r>
            <w:r w:rsidR="0697D646" w:rsidRPr="005B4339">
              <w:rPr>
                <w:noProof/>
                <w:lang w:val="en-IE"/>
              </w:rPr>
              <w:t>,</w:t>
            </w:r>
            <w:r w:rsidR="0099430A" w:rsidRPr="005B4339">
              <w:rPr>
                <w:noProof/>
                <w:lang w:val="en-IE"/>
              </w:rPr>
              <w:t xml:space="preserve"> </w:t>
            </w:r>
            <w:r w:rsidRPr="005B4339">
              <w:rPr>
                <w:noProof/>
                <w:lang w:val="en-IE"/>
              </w:rPr>
              <w:t>waste managers (encompassing collectors</w:t>
            </w:r>
            <w:r w:rsidR="5F5205E8" w:rsidRPr="005B4339">
              <w:rPr>
                <w:noProof/>
                <w:lang w:val="en-IE"/>
              </w:rPr>
              <w:t>,</w:t>
            </w:r>
            <w:r w:rsidR="0099430A" w:rsidRPr="005B4339">
              <w:rPr>
                <w:noProof/>
                <w:lang w:val="en-IE"/>
              </w:rPr>
              <w:t xml:space="preserve"> </w:t>
            </w:r>
            <w:r w:rsidRPr="005B4339">
              <w:rPr>
                <w:noProof/>
                <w:lang w:val="en-IE"/>
              </w:rPr>
              <w:t>sorters and managers) and 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D2B71" w14:textId="77777777" w:rsidR="00DC6DA6" w:rsidRPr="005B4339" w:rsidRDefault="00DC6DA6" w:rsidP="00B55676">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884A9" w14:textId="77777777" w:rsidR="00DC6DA6" w:rsidRPr="005B4339" w:rsidRDefault="00DC6DA6" w:rsidP="00B55676">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D635E9" w14:textId="308899E2" w:rsidR="00DC6DA6" w:rsidRPr="005B4339" w:rsidRDefault="00DC6DA6" w:rsidP="00B55676">
            <w:pPr>
              <w:cnfStyle w:val="000000000000" w:firstRow="0" w:lastRow="0" w:firstColumn="0" w:lastColumn="0" w:oddVBand="0" w:evenVBand="0" w:oddHBand="0" w:evenHBand="0" w:firstRowFirstColumn="0" w:firstRowLastColumn="0" w:lastRowFirstColumn="0" w:lastRowLastColumn="0"/>
              <w:rPr>
                <w:b/>
                <w:noProof/>
                <w:lang w:val="en-IE"/>
              </w:rPr>
            </w:pPr>
            <w:r w:rsidRPr="005B4339">
              <w:rPr>
                <w:rFonts w:eastAsia="Times New Roman"/>
                <w:noProof/>
                <w:lang w:val="en-IE"/>
              </w:rPr>
              <w:t xml:space="preserve">This measure would negate the impacts of textile waste on both EU citizens and third country citizens by providing sufficient resourcing to manage textile wastes more </w:t>
            </w:r>
            <w:r w:rsidRPr="005B4339">
              <w:rPr>
                <w:rFonts w:eastAsia="Times New Roman"/>
                <w:noProof/>
                <w:lang w:val="en-IE"/>
              </w:rPr>
              <w:lastRenderedPageBreak/>
              <w:t>effectively.</w:t>
            </w:r>
          </w:p>
        </w:tc>
      </w:tr>
      <w:tr w:rsidR="00490BAC" w:rsidRPr="005B4339" w14:paraId="1EB403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BFEFBE" w14:textId="77777777" w:rsidR="00490BAC" w:rsidRPr="005B4339" w:rsidRDefault="00490BAC">
            <w:pPr>
              <w:jc w:val="left"/>
              <w:rPr>
                <w:noProof/>
                <w:lang w:val="en-IE"/>
              </w:rPr>
            </w:pPr>
            <w:r w:rsidRPr="005B4339">
              <w:rPr>
                <w:noProof/>
                <w:lang w:val="en-IE"/>
              </w:rPr>
              <w:lastRenderedPageBreak/>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5D0F3C" w14:textId="77777777" w:rsidR="00490BAC" w:rsidRPr="005B4339" w:rsidRDefault="00490BAC">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60F8B" w14:textId="567184AA" w:rsidR="00DC6DA6" w:rsidRPr="005B4339" w:rsidRDefault="00DC6DA6" w:rsidP="00DC6DA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 xml:space="preserve">This measure would </w:t>
            </w:r>
            <w:r w:rsidR="1E38E8CD" w:rsidRPr="005B4339">
              <w:rPr>
                <w:rFonts w:eastAsia="Times New Roman"/>
                <w:noProof/>
                <w:lang w:val="en-IE"/>
              </w:rPr>
              <w:t>ensure</w:t>
            </w:r>
            <w:r w:rsidRPr="005B4339">
              <w:rPr>
                <w:rFonts w:eastAsia="Times New Roman"/>
                <w:noProof/>
                <w:lang w:val="en-IE"/>
              </w:rPr>
              <w:t xml:space="preserve"> the </w:t>
            </w:r>
            <w:r w:rsidR="1E38E8CD" w:rsidRPr="005B4339">
              <w:rPr>
                <w:rFonts w:eastAsia="Times New Roman"/>
                <w:noProof/>
                <w:lang w:val="en-IE"/>
              </w:rPr>
              <w:t xml:space="preserve">funding </w:t>
            </w:r>
            <w:r w:rsidRPr="005B4339">
              <w:rPr>
                <w:rFonts w:eastAsia="Times New Roman"/>
                <w:noProof/>
                <w:lang w:val="en-IE"/>
              </w:rPr>
              <w:t>for the collection</w:t>
            </w:r>
            <w:r w:rsidR="2A6D8968" w:rsidRPr="005B4339">
              <w:rPr>
                <w:rFonts w:eastAsia="Times New Roman"/>
                <w:noProof/>
                <w:lang w:val="en-IE"/>
              </w:rPr>
              <w:t>,</w:t>
            </w:r>
            <w:r w:rsidRPr="005B4339">
              <w:rPr>
                <w:rFonts w:eastAsia="Times New Roman"/>
                <w:noProof/>
                <w:lang w:val="en-IE"/>
              </w:rPr>
              <w:t xml:space="preserve"> sorting</w:t>
            </w:r>
            <w:r w:rsidR="689F5147" w:rsidRPr="005B4339">
              <w:rPr>
                <w:rFonts w:eastAsia="Times New Roman"/>
                <w:noProof/>
                <w:lang w:val="en-IE"/>
              </w:rPr>
              <w:t>,</w:t>
            </w:r>
            <w:r w:rsidRPr="005B4339">
              <w:rPr>
                <w:rFonts w:eastAsia="Times New Roman"/>
                <w:noProof/>
                <w:lang w:val="en-IE"/>
              </w:rPr>
              <w:t xml:space="preserve"> reuse</w:t>
            </w:r>
            <w:r w:rsidR="437FCB89" w:rsidRPr="005B4339">
              <w:rPr>
                <w:rFonts w:eastAsia="Times New Roman"/>
                <w:noProof/>
                <w:lang w:val="en-IE"/>
              </w:rPr>
              <w:t>,</w:t>
            </w:r>
            <w:r w:rsidRPr="005B4339">
              <w:rPr>
                <w:rFonts w:eastAsia="Times New Roman"/>
                <w:noProof/>
                <w:lang w:val="en-IE"/>
              </w:rPr>
              <w:t xml:space="preserve"> recycling and other treatment of textile wastes compared to the baseline.  This is particularly </w:t>
            </w:r>
            <w:r w:rsidR="35C9AA33" w:rsidRPr="005B4339">
              <w:rPr>
                <w:rFonts w:eastAsia="Times New Roman"/>
                <w:noProof/>
                <w:lang w:val="en-IE"/>
              </w:rPr>
              <w:t>beneficial</w:t>
            </w:r>
            <w:r w:rsidRPr="005B4339">
              <w:rPr>
                <w:rFonts w:eastAsia="Times New Roman"/>
                <w:noProof/>
                <w:lang w:val="en-IE"/>
              </w:rPr>
              <w:t xml:space="preserve"> for those Member States that currently have low levels of textile collection</w:t>
            </w:r>
            <w:r w:rsidR="3C1D6A7E" w:rsidRPr="005B4339">
              <w:rPr>
                <w:rFonts w:eastAsia="Times New Roman"/>
                <w:noProof/>
                <w:lang w:val="en-IE"/>
              </w:rPr>
              <w:t>, and which have textile production industries that may benefit from new flows of secondary raw materials</w:t>
            </w:r>
            <w:r w:rsidRPr="005B4339">
              <w:rPr>
                <w:rFonts w:eastAsia="Times New Roman"/>
                <w:noProof/>
                <w:lang w:val="en-IE"/>
              </w:rPr>
              <w:t>.</w:t>
            </w:r>
          </w:p>
          <w:p w14:paraId="411E4803" w14:textId="5FB5E9C4" w:rsidR="00490BAC" w:rsidRPr="005B4339" w:rsidRDefault="00DC6DA6">
            <w:pPr>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This measure would support greater reuse and recycling.  In the case of recycling</w:t>
            </w:r>
            <w:r w:rsidR="0099430A" w:rsidRPr="005B4339">
              <w:rPr>
                <w:rFonts w:eastAsia="Times New Roman"/>
                <w:noProof/>
                <w:lang w:val="en-IE"/>
              </w:rPr>
              <w:t xml:space="preserve"> </w:t>
            </w:r>
            <w:r w:rsidRPr="005B4339">
              <w:rPr>
                <w:rFonts w:eastAsia="Times New Roman"/>
                <w:noProof/>
                <w:lang w:val="en-IE"/>
              </w:rPr>
              <w:t>the support to closed-loop recycling expected to come from EPR will directly replace primary raw textile manufacture and the resource use</w:t>
            </w:r>
            <w:r w:rsidR="0099430A" w:rsidRPr="005B4339">
              <w:rPr>
                <w:rFonts w:eastAsia="Times New Roman"/>
                <w:noProof/>
                <w:lang w:val="en-IE"/>
              </w:rPr>
              <w:t xml:space="preserve"> </w:t>
            </w:r>
            <w:r w:rsidRPr="005B4339">
              <w:rPr>
                <w:rFonts w:eastAsia="Times New Roman"/>
                <w:noProof/>
                <w:lang w:val="en-IE"/>
              </w:rPr>
              <w:t>including land use that is presently dedicated to such primary fibre production.</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D856A"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r>
    </w:tbl>
    <w:p w14:paraId="2A74261C" w14:textId="77777777" w:rsidR="00DF1304" w:rsidRPr="005B4339" w:rsidRDefault="00DF1304" w:rsidP="00DF1304">
      <w:pPr>
        <w:rPr>
          <w:b/>
          <w:noProof/>
          <w:lang w:val="en-IE"/>
        </w:rPr>
      </w:pPr>
    </w:p>
    <w:p w14:paraId="7F02B175" w14:textId="07DC534B" w:rsidR="00DF1304" w:rsidRPr="005B4339" w:rsidRDefault="00DF1304" w:rsidP="00DF1304">
      <w:pPr>
        <w:rPr>
          <w:b/>
          <w:noProof/>
          <w:lang w:val="en-IE"/>
        </w:rPr>
      </w:pPr>
      <w:r w:rsidRPr="005B4339">
        <w:rPr>
          <w:b/>
          <w:noProof/>
          <w:lang w:val="en-IE"/>
        </w:rPr>
        <w:t xml:space="preserve">Impacts on competitiveness </w:t>
      </w:r>
    </w:p>
    <w:p w14:paraId="255ECBF8" w14:textId="77777777" w:rsidR="00DF1304" w:rsidRPr="005B4339" w:rsidRDefault="00DF1304" w:rsidP="00DF1304">
      <w:pPr>
        <w:rPr>
          <w:noProof/>
          <w:lang w:val="en-IE"/>
        </w:rPr>
      </w:pPr>
      <w:r w:rsidRPr="005B4339">
        <w:rPr>
          <w:noProof/>
          <w:lang w:val="en-IE"/>
        </w:rPr>
        <w:lastRenderedPageBreak/>
        <w:t>The following impacts on competitiveness have been assessed under this measure.</w:t>
      </w:r>
    </w:p>
    <w:p w14:paraId="59E619FD" w14:textId="6C0F9B97" w:rsidR="00DF1304" w:rsidRPr="005B4339" w:rsidRDefault="00DF1304" w:rsidP="00DF1304">
      <w:pPr>
        <w:rPr>
          <w:i/>
          <w:noProof/>
          <w:lang w:val="en-IE"/>
        </w:rPr>
      </w:pPr>
      <w:bookmarkStart w:id="165" w:name="_Toc133229486"/>
      <w:bookmarkStart w:id="166" w:name="_Toc139032040"/>
      <w:r w:rsidRPr="005B4339">
        <w:rPr>
          <w:i/>
          <w:noProof/>
          <w:lang w:val="en-IE"/>
        </w:rPr>
        <w:t xml:space="preserve">Table </w:t>
      </w:r>
      <w:r w:rsidR="00393DFA">
        <w:rPr>
          <w:i/>
          <w:iCs/>
          <w:noProof/>
        </w:rPr>
        <w:t>24</w:t>
      </w:r>
      <w:r w:rsidRPr="005B4339">
        <w:rPr>
          <w:i/>
          <w:noProof/>
          <w:lang w:val="en-IE"/>
        </w:rPr>
        <w:t xml:space="preserve"> - impacts on competitiveness of measure 2.</w:t>
      </w:r>
      <w:r w:rsidR="6A330121" w:rsidRPr="005B4339">
        <w:rPr>
          <w:i/>
          <w:noProof/>
          <w:lang w:val="en-IE"/>
        </w:rPr>
        <w:t>9</w:t>
      </w:r>
      <w:bookmarkEnd w:id="165"/>
      <w:bookmarkEnd w:id="166"/>
    </w:p>
    <w:tbl>
      <w:tblPr>
        <w:tblStyle w:val="TableGrid"/>
        <w:tblW w:w="0" w:type="auto"/>
        <w:tblLook w:val="04A0" w:firstRow="1" w:lastRow="0" w:firstColumn="1" w:lastColumn="0" w:noHBand="0" w:noVBand="1"/>
      </w:tblPr>
      <w:tblGrid>
        <w:gridCol w:w="2400"/>
        <w:gridCol w:w="7176"/>
      </w:tblGrid>
      <w:tr w:rsidR="00DF1304" w:rsidRPr="005B4339" w14:paraId="797B8CB3" w14:textId="77777777" w:rsidTr="00DF1304">
        <w:tc>
          <w:tcPr>
            <w:tcW w:w="2405" w:type="dxa"/>
          </w:tcPr>
          <w:p w14:paraId="40C3A350"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7223" w:type="dxa"/>
          </w:tcPr>
          <w:p w14:paraId="2C5D1313"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Impacts of price competitiveness are linked to the shift of the costs of managing textiles at the point of discard in comparison to the status quo.  As noted under the assessment of economic impacts above, this has the potential for the costs of textile products within the EU to increase by up to 0.6% if the full costs are applied to the price paid by the consumer and not absorbed by the producer (whereby should some or all of the costs be absorbed by the producer the impact on price would be lower).  At the same time, the nature of textile goods produced within the EU that focusses on high-quality goods supplied to mainly well-developed economies means that this price increase is unlikely to prove detrimental to volumes of exports of EU textile products.  </w:t>
            </w:r>
          </w:p>
          <w:p w14:paraId="09B17FAC"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As the measure would apply universally across the EU the costs should generally be the same per tonne of product managed.  However, the price impacts are likely to be most keenly felt in those Member States that currently lag behind others in their current and predicted rates of separate collection as other Member States have or will already have invested significant capital amounts in textile waste management infrastructure, thereby diminishing the costs that the EPR scheme would have to address.  These shortcomings would mainly impact BG, CY, CZ, EE, EL, ES, HR, HU, LV, PL, PT, RO, SI and SK where collection rates are low at present and will remain behind the majority of Member States according to the baseline.  The need to place higher fees under EPR for these countries has the potential to provide a price differential in comparison to others.  In reality this would be less than 0.6% from the lowest to the highest difference as a result of the need to factor in operational expenditure in those Member States for which capital investment has taken place.  In this respect a differential of up to 0.4% is a likely potential outcome.</w:t>
            </w:r>
          </w:p>
        </w:tc>
      </w:tr>
      <w:tr w:rsidR="00DF1304" w:rsidRPr="005B4339" w14:paraId="634C6046" w14:textId="77777777" w:rsidTr="00DF1304">
        <w:tc>
          <w:tcPr>
            <w:tcW w:w="2405" w:type="dxa"/>
          </w:tcPr>
          <w:p w14:paraId="13D1971B"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7223" w:type="dxa"/>
          </w:tcPr>
          <w:p w14:paraId="6A9EA5D2" w14:textId="25E63BD9"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has the potential to improve research and development for reuse and recycling in a coordinated manner by providing direct funding by PROs to such activities. This is important given the economic challenges facing both repair and recycling markets in the EU at present in comparison to the prices of new and virgin products.  </w:t>
            </w:r>
          </w:p>
        </w:tc>
      </w:tr>
      <w:tr w:rsidR="00DF1304" w:rsidRPr="005B4339" w14:paraId="3E45321F" w14:textId="77777777" w:rsidTr="00DF1304">
        <w:tc>
          <w:tcPr>
            <w:tcW w:w="2405" w:type="dxa"/>
          </w:tcPr>
          <w:p w14:paraId="0416485B"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Export competitiveness </w:t>
            </w:r>
            <w:r w:rsidRPr="005B4339">
              <w:rPr>
                <w:rFonts w:ascii="Times New Roman" w:hAnsi="Times New Roman"/>
                <w:noProof/>
                <w:sz w:val="24"/>
                <w:szCs w:val="24"/>
                <w:lang w:val="en-IE"/>
              </w:rPr>
              <w:lastRenderedPageBreak/>
              <w:t>impacts</w:t>
            </w:r>
          </w:p>
        </w:tc>
        <w:tc>
          <w:tcPr>
            <w:tcW w:w="7223" w:type="dxa"/>
          </w:tcPr>
          <w:p w14:paraId="65E28640"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As noted above, limited, if any, impacts of exports of EU textile products are expected under this measure.  Increase waste collection, sorting and treatment under this measure are likely to reduce the </w:t>
            </w:r>
            <w:r w:rsidRPr="005B4339">
              <w:rPr>
                <w:rFonts w:ascii="Times New Roman" w:hAnsi="Times New Roman"/>
                <w:noProof/>
                <w:sz w:val="24"/>
                <w:szCs w:val="24"/>
                <w:lang w:val="en-IE"/>
              </w:rPr>
              <w:lastRenderedPageBreak/>
              <w:t>volumes of used textiles exported from the EU to third countries, particularly as more material are collected for recycling within the EU.  This would potentially reduce the incomes of used textile exporters within the EU as whole due to the reduced volumes available to market whilst increasing the volumes available for EU textile recyclers.</w:t>
            </w:r>
          </w:p>
        </w:tc>
      </w:tr>
      <w:tr w:rsidR="00DF1304" w:rsidRPr="005B4339" w14:paraId="077D62A1" w14:textId="77777777" w:rsidTr="00DF1304">
        <w:tc>
          <w:tcPr>
            <w:tcW w:w="2405" w:type="dxa"/>
          </w:tcPr>
          <w:p w14:paraId="7FA0A62D"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Strategic competitiveness impacts</w:t>
            </w:r>
          </w:p>
        </w:tc>
        <w:tc>
          <w:tcPr>
            <w:tcW w:w="7223" w:type="dxa"/>
          </w:tcPr>
          <w:p w14:paraId="51140129" w14:textId="77777777" w:rsidR="00DF1304" w:rsidRPr="005B4339" w:rsidRDefault="00DF1304" w:rsidP="00DF1304">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This measure offers the opportunity to reduce the need for imports of textiles in the future as greater reuse and repair within the EU replaces the need for new textile goods to be purchased and improvements in recycling reduce the need for imports of virgin textile materials – in particular natural fibres for which the EU relies heavily on third country imports.  </w:t>
            </w:r>
          </w:p>
        </w:tc>
      </w:tr>
    </w:tbl>
    <w:p w14:paraId="65204F01" w14:textId="77777777" w:rsidR="004E5911" w:rsidRPr="005B4339" w:rsidRDefault="004E5911" w:rsidP="00EE3D9D">
      <w:pPr>
        <w:rPr>
          <w:b/>
          <w:noProof/>
          <w:lang w:val="en-IE"/>
        </w:rPr>
      </w:pPr>
    </w:p>
    <w:p w14:paraId="5C68E951" w14:textId="7BD55068" w:rsidR="003642A0" w:rsidRPr="005B4339" w:rsidRDefault="003642A0" w:rsidP="00436B5E">
      <w:pPr>
        <w:pStyle w:val="Heading3"/>
        <w:rPr>
          <w:b/>
          <w:noProof/>
          <w:lang w:val="en-IE"/>
        </w:rPr>
      </w:pPr>
      <w:bookmarkStart w:id="167" w:name="_Toc2033261971"/>
      <w:bookmarkStart w:id="168" w:name="_Toc758327579"/>
      <w:bookmarkStart w:id="169" w:name="_Toc180508041"/>
      <w:bookmarkStart w:id="170" w:name="_Toc1971324736"/>
      <w:bookmarkStart w:id="171" w:name="_Toc1661743761"/>
      <w:bookmarkStart w:id="172" w:name="_Toc317731119"/>
      <w:bookmarkStart w:id="173" w:name="_Toc878489599"/>
      <w:bookmarkStart w:id="174" w:name="_Toc1340465757"/>
      <w:bookmarkStart w:id="175" w:name="_Toc139032097"/>
      <w:r w:rsidRPr="005B4339">
        <w:rPr>
          <w:noProof/>
          <w:lang w:val="en-IE"/>
        </w:rPr>
        <w:t>Measure 2.</w:t>
      </w:r>
      <w:r w:rsidR="09C77421" w:rsidRPr="005B4339">
        <w:rPr>
          <w:noProof/>
          <w:lang w:val="en-IE"/>
        </w:rPr>
        <w:t>14</w:t>
      </w:r>
      <w:r w:rsidRPr="005B4339">
        <w:rPr>
          <w:noProof/>
          <w:lang w:val="en-IE"/>
        </w:rPr>
        <w:t xml:space="preserve"> – Setting reporting obligations for textiles</w:t>
      </w:r>
      <w:bookmarkEnd w:id="167"/>
      <w:bookmarkEnd w:id="168"/>
      <w:bookmarkEnd w:id="169"/>
      <w:bookmarkEnd w:id="170"/>
      <w:bookmarkEnd w:id="171"/>
      <w:bookmarkEnd w:id="172"/>
      <w:bookmarkEnd w:id="173"/>
      <w:bookmarkEnd w:id="174"/>
      <w:bookmarkEnd w:id="175"/>
    </w:p>
    <w:p w14:paraId="4569E571" w14:textId="63B77592" w:rsidR="003642A0" w:rsidRPr="005B4339" w:rsidRDefault="14BC6C05" w:rsidP="54CB9C1B">
      <w:pPr>
        <w:spacing w:after="120"/>
        <w:rPr>
          <w:b/>
          <w:noProof/>
          <w:lang w:val="en-IE"/>
        </w:rPr>
      </w:pPr>
      <w:r w:rsidRPr="005B4339">
        <w:rPr>
          <w:b/>
          <w:noProof/>
          <w:lang w:val="en-IE"/>
        </w:rPr>
        <w:t>Assessment of impact Measure 2.1</w:t>
      </w:r>
      <w:r w:rsidR="30C998B6" w:rsidRPr="005B4339">
        <w:rPr>
          <w:b/>
          <w:noProof/>
          <w:lang w:val="en-IE"/>
        </w:rPr>
        <w:t>4</w:t>
      </w:r>
    </w:p>
    <w:p w14:paraId="0873C568" w14:textId="59485552" w:rsidR="003642A0" w:rsidRPr="005B4339" w:rsidRDefault="00F718D1" w:rsidP="004D2DB2">
      <w:pPr>
        <w:spacing w:after="120"/>
        <w:rPr>
          <w:b/>
          <w:noProof/>
          <w:lang w:val="en-IE"/>
        </w:rPr>
      </w:pPr>
      <w:r w:rsidRPr="005B4339">
        <w:rPr>
          <w:b/>
          <w:noProof/>
          <w:lang w:val="en-IE"/>
        </w:rPr>
        <w:t>Economic</w:t>
      </w:r>
      <w:r w:rsidR="009F1CEF" w:rsidRPr="005B4339">
        <w:rPr>
          <w:b/>
          <w:noProof/>
          <w:lang w:val="en-IE"/>
        </w:rPr>
        <w:t xml:space="preserve"> impacts</w:t>
      </w:r>
    </w:p>
    <w:p w14:paraId="7808D0F7" w14:textId="5F0424A3"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adjustments to existing reporting mechanisms would ensure that the entire management process of textiles within the EU is better understood at present and</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in </w:t>
      </w:r>
      <w:r w:rsidR="0DE010A6" w:rsidRPr="005B4339">
        <w:rPr>
          <w:rFonts w:ascii="Times New Roman" w:hAnsi="Times New Roman" w:cs="Times New Roman"/>
          <w:noProof/>
          <w:sz w:val="24"/>
          <w:szCs w:val="24"/>
          <w:lang w:val="en-IE"/>
        </w:rPr>
        <w:t>the future</w:t>
      </w:r>
      <w:r w:rsidRPr="005B4339">
        <w:rPr>
          <w:rFonts w:ascii="Times New Roman" w:hAnsi="Times New Roman" w:cs="Times New Roman"/>
          <w:noProof/>
          <w:sz w:val="24"/>
          <w:szCs w:val="24"/>
          <w:lang w:val="en-IE"/>
        </w:rPr>
        <w:t xml:space="preserve"> to </w:t>
      </w:r>
      <w:r w:rsidR="0DE010A6" w:rsidRPr="005B4339">
        <w:rPr>
          <w:rFonts w:ascii="Times New Roman" w:hAnsi="Times New Roman" w:cs="Times New Roman"/>
          <w:noProof/>
          <w:sz w:val="24"/>
          <w:szCs w:val="24"/>
          <w:lang w:val="en-IE"/>
        </w:rPr>
        <w:t xml:space="preserve">improve </w:t>
      </w:r>
      <w:r w:rsidRPr="005B4339">
        <w:rPr>
          <w:rFonts w:ascii="Times New Roman" w:hAnsi="Times New Roman" w:cs="Times New Roman"/>
          <w:noProof/>
          <w:sz w:val="24"/>
          <w:szCs w:val="24"/>
          <w:lang w:val="en-IE"/>
        </w:rPr>
        <w:t>the ability to identify infrastructure in</w:t>
      </w:r>
      <w:r w:rsidR="00ED79BE" w:rsidRPr="005B4339">
        <w:rPr>
          <w:rFonts w:ascii="Times New Roman" w:hAnsi="Times New Roman" w:cs="Times New Roman"/>
          <w:noProof/>
          <w:sz w:val="24"/>
          <w:szCs w:val="24"/>
          <w:lang w:val="en-IE"/>
        </w:rPr>
        <w:t xml:space="preserve">vestment needs </w:t>
      </w:r>
      <w:r w:rsidR="6671420A" w:rsidRPr="005B4339">
        <w:rPr>
          <w:rFonts w:ascii="Times New Roman" w:hAnsi="Times New Roman" w:cs="Times New Roman"/>
          <w:noProof/>
          <w:sz w:val="24"/>
          <w:szCs w:val="24"/>
          <w:lang w:val="en-IE"/>
        </w:rPr>
        <w:t>more easily</w:t>
      </w:r>
      <w:r w:rsidR="1F14D045"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Whilst data on the post-consumer fraction of textiles would be subject to an improvement</w:t>
      </w:r>
      <w:r w:rsidR="00316A5C" w:rsidRPr="005B4339">
        <w:rPr>
          <w:rFonts w:ascii="Times New Roman" w:hAnsi="Times New Roman" w:cs="Times New Roman"/>
          <w:noProof/>
          <w:sz w:val="24"/>
          <w:szCs w:val="24"/>
          <w:lang w:val="en-IE"/>
        </w:rPr>
        <w:t xml:space="preserve"> by eliminating reporting on textile wastes that are not related to the waste fraction of concern under this initiative – removing textile packaging reporting from the scope of textiles -</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the </w:t>
      </w:r>
      <w:r w:rsidR="2A177657" w:rsidRPr="005B4339">
        <w:rPr>
          <w:rFonts w:ascii="Times New Roman" w:hAnsi="Times New Roman" w:cs="Times New Roman"/>
          <w:noProof/>
          <w:sz w:val="24"/>
          <w:szCs w:val="24"/>
          <w:lang w:val="en-IE"/>
        </w:rPr>
        <w:t>most significant</w:t>
      </w:r>
      <w:r w:rsidRPr="005B4339">
        <w:rPr>
          <w:rFonts w:ascii="Times New Roman" w:hAnsi="Times New Roman" w:cs="Times New Roman"/>
          <w:noProof/>
          <w:sz w:val="24"/>
          <w:szCs w:val="24"/>
          <w:lang w:val="en-IE"/>
        </w:rPr>
        <w:t xml:space="preserve"> change would be </w:t>
      </w:r>
      <w:r w:rsidR="5CE90463" w:rsidRPr="005B4339">
        <w:rPr>
          <w:rFonts w:ascii="Times New Roman" w:hAnsi="Times New Roman" w:cs="Times New Roman"/>
          <w:noProof/>
          <w:sz w:val="24"/>
          <w:szCs w:val="24"/>
          <w:lang w:val="en-IE"/>
        </w:rPr>
        <w:t>achieved for the</w:t>
      </w:r>
      <w:r w:rsidR="25D25CD8" w:rsidRPr="005B4339">
        <w:rPr>
          <w:rFonts w:ascii="Times New Roman" w:hAnsi="Times New Roman" w:cs="Times New Roman"/>
          <w:noProof/>
          <w:sz w:val="24"/>
          <w:szCs w:val="24"/>
          <w:lang w:val="en-IE"/>
        </w:rPr>
        <w:t xml:space="preserve"> data </w:t>
      </w:r>
      <w:r w:rsidR="0753207C" w:rsidRPr="005B4339">
        <w:rPr>
          <w:rFonts w:ascii="Times New Roman" w:hAnsi="Times New Roman" w:cs="Times New Roman"/>
          <w:noProof/>
          <w:sz w:val="24"/>
          <w:szCs w:val="24"/>
          <w:lang w:val="en-IE"/>
        </w:rPr>
        <w:t>on</w:t>
      </w:r>
      <w:r w:rsidRPr="005B4339">
        <w:rPr>
          <w:rFonts w:ascii="Times New Roman" w:hAnsi="Times New Roman" w:cs="Times New Roman"/>
          <w:noProof/>
          <w:sz w:val="24"/>
          <w:szCs w:val="24"/>
          <w:lang w:val="en-IE"/>
        </w:rPr>
        <w:t xml:space="preserve"> pre-consumer</w:t>
      </w:r>
      <w:r w:rsidR="20BB4C6F" w:rsidRPr="005B4339">
        <w:rPr>
          <w:rFonts w:ascii="Times New Roman" w:hAnsi="Times New Roman" w:cs="Times New Roman"/>
          <w:noProof/>
          <w:sz w:val="24"/>
          <w:szCs w:val="24"/>
          <w:lang w:val="en-IE"/>
        </w:rPr>
        <w:t>,</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post-commercial and post-industrial wastes for which l</w:t>
      </w:r>
      <w:r w:rsidR="00ED79BE" w:rsidRPr="005B4339">
        <w:rPr>
          <w:rFonts w:ascii="Times New Roman" w:hAnsi="Times New Roman" w:cs="Times New Roman"/>
          <w:noProof/>
          <w:sz w:val="24"/>
          <w:szCs w:val="24"/>
          <w:lang w:val="en-IE"/>
        </w:rPr>
        <w:t>ittle information is available</w:t>
      </w:r>
      <w:r w:rsidR="3B71B22F" w:rsidRPr="005B4339">
        <w:rPr>
          <w:rFonts w:ascii="Times New Roman" w:hAnsi="Times New Roman" w:cs="Times New Roman"/>
          <w:noProof/>
          <w:sz w:val="24"/>
          <w:szCs w:val="24"/>
          <w:lang w:val="en-IE"/>
        </w:rPr>
        <w:t xml:space="preserve"> at the level of granularity necessary to monitor waste management practices at national and E</w:t>
      </w:r>
      <w:r w:rsidR="231A5E8E" w:rsidRPr="005B4339">
        <w:rPr>
          <w:rFonts w:ascii="Times New Roman" w:hAnsi="Times New Roman" w:cs="Times New Roman"/>
          <w:noProof/>
          <w:sz w:val="24"/>
          <w:szCs w:val="24"/>
          <w:lang w:val="en-IE"/>
        </w:rPr>
        <w:t>U</w:t>
      </w:r>
      <w:r w:rsidR="3B71B22F" w:rsidRPr="005B4339">
        <w:rPr>
          <w:rFonts w:ascii="Times New Roman" w:hAnsi="Times New Roman" w:cs="Times New Roman"/>
          <w:noProof/>
          <w:sz w:val="24"/>
          <w:szCs w:val="24"/>
          <w:lang w:val="en-IE"/>
        </w:rPr>
        <w:t xml:space="preserve"> levels</w:t>
      </w:r>
      <w:r w:rsidR="4C56D80A" w:rsidRPr="005B4339">
        <w:rPr>
          <w:rFonts w:ascii="Times New Roman" w:hAnsi="Times New Roman" w:cs="Times New Roman"/>
          <w:noProof/>
          <w:sz w:val="24"/>
          <w:szCs w:val="24"/>
          <w:lang w:val="en-IE"/>
        </w:rPr>
        <w:t>, their compliance with the waste hierarchy and waste management planning</w:t>
      </w:r>
      <w:r w:rsidR="7D628D98" w:rsidRPr="005B4339">
        <w:rPr>
          <w:rFonts w:ascii="Times New Roman" w:hAnsi="Times New Roman" w:cs="Times New Roman"/>
          <w:noProof/>
          <w:sz w:val="24"/>
          <w:szCs w:val="24"/>
          <w:lang w:val="en-IE"/>
        </w:rPr>
        <w:t>.</w:t>
      </w:r>
      <w:r w:rsidR="25D25CD8" w:rsidRPr="005B4339">
        <w:rPr>
          <w:rFonts w:ascii="Times New Roman" w:hAnsi="Times New Roman" w:cs="Times New Roman"/>
          <w:noProof/>
          <w:sz w:val="24"/>
          <w:szCs w:val="24"/>
          <w:lang w:val="en-IE"/>
        </w:rPr>
        <w:t xml:space="preserve"> </w:t>
      </w:r>
      <w:r w:rsidR="097DD5EE" w:rsidRPr="005B4339">
        <w:rPr>
          <w:rFonts w:ascii="Times New Roman" w:hAnsi="Times New Roman" w:cs="Times New Roman"/>
          <w:noProof/>
          <w:sz w:val="24"/>
          <w:szCs w:val="24"/>
          <w:lang w:val="en-IE"/>
        </w:rPr>
        <w:t>For these waste generation sources, the data would be most valuable to identify the recycling potential since th</w:t>
      </w:r>
      <w:r w:rsidR="539E99AD" w:rsidRPr="005B4339">
        <w:rPr>
          <w:rFonts w:ascii="Times New Roman" w:hAnsi="Times New Roman" w:cs="Times New Roman"/>
          <w:noProof/>
          <w:sz w:val="24"/>
          <w:szCs w:val="24"/>
          <w:lang w:val="en-IE"/>
        </w:rPr>
        <w:t xml:space="preserve">e waste generated is expected to be of more homogeneous and known composition and consistency and purity in quality. </w:t>
      </w:r>
    </w:p>
    <w:p w14:paraId="29F952CD" w14:textId="51575586" w:rsidR="00F718D1" w:rsidRPr="005B4339" w:rsidRDefault="4BFCE724" w:rsidP="43823C20">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More cohesive data flow management would also reduce the burdens on the economic operators that operate across several Member States and improve the level playing field among them.</w:t>
      </w:r>
    </w:p>
    <w:p w14:paraId="512B7E6E" w14:textId="77777777" w:rsidR="003915C7" w:rsidRPr="005B4339" w:rsidRDefault="003915C7" w:rsidP="003915C7">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Given the limited cost of additional reporting foreseen (see the administrative burden assessment presented below) represents approximately 1 thousandth of one percent of the turnover for the clothing and apparel sector no noticeable additional cost increases in textile goods are likely to take place to address the additional costs of reporting.</w:t>
      </w:r>
    </w:p>
    <w:p w14:paraId="0F731B5E" w14:textId="640A9DAE" w:rsidR="00F718D1" w:rsidRPr="005B4339" w:rsidRDefault="00F718D1" w:rsidP="43823C20">
      <w:pPr>
        <w:pStyle w:val="WDBody"/>
        <w:spacing w:after="120"/>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Environmental</w:t>
      </w:r>
      <w:r w:rsidR="009F1CEF" w:rsidRPr="005B4339">
        <w:rPr>
          <w:rFonts w:ascii="Times New Roman" w:hAnsi="Times New Roman" w:cs="Times New Roman"/>
          <w:b/>
          <w:noProof/>
          <w:sz w:val="24"/>
          <w:szCs w:val="24"/>
          <w:lang w:val="en-IE"/>
        </w:rPr>
        <w:t xml:space="preserve"> impacts</w:t>
      </w:r>
    </w:p>
    <w:p w14:paraId="4DED9088" w14:textId="42CBC06F"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No direct environmental impacts are expected as a result of the additional data collected. </w:t>
      </w:r>
      <w:r w:rsidR="60937648" w:rsidRPr="005B4339">
        <w:rPr>
          <w:rFonts w:ascii="Times New Roman" w:hAnsi="Times New Roman" w:cs="Times New Roman"/>
          <w:noProof/>
          <w:sz w:val="24"/>
          <w:szCs w:val="24"/>
          <w:lang w:val="en-IE"/>
        </w:rPr>
        <w:t>However</w:t>
      </w:r>
      <w:r w:rsidR="26E9C218" w:rsidRPr="005B4339">
        <w:rPr>
          <w:rFonts w:ascii="Times New Roman" w:hAnsi="Times New Roman" w:cs="Times New Roman"/>
          <w:noProof/>
          <w:sz w:val="24"/>
          <w:szCs w:val="24"/>
          <w:lang w:val="en-IE"/>
        </w:rPr>
        <w:t>,</w:t>
      </w:r>
      <w:r w:rsidR="60937648" w:rsidRPr="005B4339">
        <w:rPr>
          <w:rFonts w:ascii="Times New Roman" w:hAnsi="Times New Roman" w:cs="Times New Roman"/>
          <w:noProof/>
          <w:sz w:val="24"/>
          <w:szCs w:val="24"/>
          <w:lang w:val="en-IE"/>
        </w:rPr>
        <w:t xml:space="preserve"> it is expected that a</w:t>
      </w:r>
      <w:r w:rsidR="2CAF0411" w:rsidRPr="005B4339">
        <w:rPr>
          <w:rFonts w:ascii="Times New Roman" w:hAnsi="Times New Roman" w:cs="Times New Roman"/>
          <w:noProof/>
          <w:sz w:val="24"/>
          <w:szCs w:val="24"/>
          <w:lang w:val="en-IE"/>
        </w:rPr>
        <w:t xml:space="preserve">n improved knowledge base on the sectors generating textile waste </w:t>
      </w:r>
      <w:r w:rsidR="2CAF0411" w:rsidRPr="005B4339">
        <w:rPr>
          <w:rFonts w:ascii="Times New Roman" w:hAnsi="Times New Roman" w:cs="Times New Roman"/>
          <w:noProof/>
          <w:sz w:val="24"/>
          <w:szCs w:val="24"/>
          <w:lang w:val="en-IE"/>
        </w:rPr>
        <w:lastRenderedPageBreak/>
        <w:t>will lead</w:t>
      </w:r>
      <w:r w:rsidR="60937648" w:rsidRPr="005B4339">
        <w:rPr>
          <w:rFonts w:ascii="Times New Roman" w:hAnsi="Times New Roman" w:cs="Times New Roman"/>
          <w:noProof/>
          <w:sz w:val="24"/>
          <w:szCs w:val="24"/>
          <w:lang w:val="en-IE"/>
        </w:rPr>
        <w:t xml:space="preserve"> </w:t>
      </w:r>
      <w:r w:rsidR="5D014AAD" w:rsidRPr="005B4339">
        <w:rPr>
          <w:rFonts w:ascii="Times New Roman" w:hAnsi="Times New Roman" w:cs="Times New Roman"/>
          <w:noProof/>
          <w:sz w:val="24"/>
          <w:szCs w:val="24"/>
          <w:lang w:val="en-IE"/>
        </w:rPr>
        <w:t xml:space="preserve">to </w:t>
      </w:r>
      <w:r w:rsidR="60937648" w:rsidRPr="005B4339">
        <w:rPr>
          <w:rFonts w:ascii="Times New Roman" w:hAnsi="Times New Roman" w:cs="Times New Roman"/>
          <w:noProof/>
          <w:sz w:val="24"/>
          <w:szCs w:val="24"/>
          <w:lang w:val="en-IE"/>
        </w:rPr>
        <w:t xml:space="preserve">better targeted measures to </w:t>
      </w:r>
      <w:r w:rsidR="25338BA2" w:rsidRPr="005B4339">
        <w:rPr>
          <w:rFonts w:ascii="Times New Roman" w:hAnsi="Times New Roman" w:cs="Times New Roman"/>
          <w:noProof/>
          <w:sz w:val="24"/>
          <w:szCs w:val="24"/>
          <w:lang w:val="en-IE"/>
        </w:rPr>
        <w:t xml:space="preserve">improve their treatment in line with the waste hierarchy and the inherent environmental benefits it brings. </w:t>
      </w:r>
    </w:p>
    <w:p w14:paraId="2DCE91C4" w14:textId="2772D5BB" w:rsidR="00F718D1" w:rsidRPr="005B4339" w:rsidRDefault="00F718D1" w:rsidP="00A339B3">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Social</w:t>
      </w:r>
      <w:r w:rsidR="009F1CEF" w:rsidRPr="005B4339">
        <w:rPr>
          <w:rFonts w:ascii="Times New Roman" w:hAnsi="Times New Roman" w:cs="Times New Roman"/>
          <w:b/>
          <w:noProof/>
          <w:sz w:val="24"/>
          <w:szCs w:val="24"/>
          <w:lang w:val="en-IE"/>
        </w:rPr>
        <w:t xml:space="preserve"> impacts</w:t>
      </w:r>
    </w:p>
    <w:p w14:paraId="68BAD64E" w14:textId="77777777" w:rsidR="00F718D1" w:rsidRPr="005B4339" w:rsidRDefault="00F718D1" w:rsidP="00F718D1">
      <w:pPr>
        <w:pStyle w:val="WDBody"/>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No social impacts have been identified in relation to this measure.</w:t>
      </w:r>
    </w:p>
    <w:p w14:paraId="62BC60D3" w14:textId="77777777" w:rsidR="00F718D1" w:rsidRPr="005B4339" w:rsidRDefault="00F718D1" w:rsidP="00A339B3">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Administrative burden assessment</w:t>
      </w:r>
    </w:p>
    <w:p w14:paraId="47228F7E" w14:textId="23AA6AA6" w:rsidR="60937648" w:rsidRPr="005B4339" w:rsidRDefault="60937648" w:rsidP="4622A16E">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W</w:t>
      </w:r>
      <w:r w:rsidR="485AC916" w:rsidRPr="005B4339">
        <w:rPr>
          <w:rFonts w:ascii="Times New Roman" w:hAnsi="Times New Roman" w:cs="Times New Roman"/>
          <w:noProof/>
          <w:sz w:val="24"/>
          <w:szCs w:val="24"/>
          <w:lang w:val="en-IE"/>
        </w:rPr>
        <w:t>FD</w:t>
      </w:r>
      <w:r w:rsidRPr="005B4339">
        <w:rPr>
          <w:rFonts w:ascii="Times New Roman" w:hAnsi="Times New Roman" w:cs="Times New Roman"/>
          <w:noProof/>
          <w:sz w:val="24"/>
          <w:szCs w:val="24"/>
          <w:lang w:val="en-IE"/>
        </w:rPr>
        <w:t xml:space="preserve"> already lays down several obligations for Member States regarding </w:t>
      </w:r>
      <w:r w:rsidR="6F8C2580" w:rsidRPr="005B4339">
        <w:rPr>
          <w:rFonts w:ascii="Times New Roman" w:hAnsi="Times New Roman" w:cs="Times New Roman"/>
          <w:noProof/>
          <w:sz w:val="24"/>
          <w:szCs w:val="24"/>
          <w:lang w:val="en-IE"/>
        </w:rPr>
        <w:t xml:space="preserve">the collection and reporting of </w:t>
      </w:r>
      <w:r w:rsidRPr="005B4339">
        <w:rPr>
          <w:rFonts w:ascii="Times New Roman" w:hAnsi="Times New Roman" w:cs="Times New Roman"/>
          <w:noProof/>
          <w:sz w:val="24"/>
          <w:szCs w:val="24"/>
          <w:lang w:val="en-IE"/>
        </w:rPr>
        <w:t>waste data</w:t>
      </w:r>
      <w:r w:rsidR="50F983E6" w:rsidRPr="005B4339">
        <w:rPr>
          <w:rFonts w:ascii="Times New Roman" w:hAnsi="Times New Roman" w:cs="Times New Roman"/>
          <w:noProof/>
          <w:sz w:val="24"/>
          <w:szCs w:val="24"/>
          <w:lang w:val="en-IE"/>
        </w:rPr>
        <w:t>; therefore, the necessary data management systems are already in operation at national, regional and local levels</w:t>
      </w:r>
      <w:r w:rsidRPr="005B4339">
        <w:rPr>
          <w:rFonts w:ascii="Times New Roman" w:hAnsi="Times New Roman" w:cs="Times New Roman"/>
          <w:noProof/>
          <w:sz w:val="24"/>
          <w:szCs w:val="24"/>
          <w:lang w:val="en-IE"/>
        </w:rPr>
        <w:t xml:space="preserve">. </w:t>
      </w:r>
      <w:r w:rsidR="616DC23D" w:rsidRPr="005B4339">
        <w:rPr>
          <w:rFonts w:ascii="Times New Roman" w:hAnsi="Times New Roman" w:cs="Times New Roman"/>
          <w:noProof/>
          <w:sz w:val="24"/>
          <w:szCs w:val="24"/>
          <w:lang w:val="en-IE"/>
        </w:rPr>
        <w:t xml:space="preserve">In the majority of the Member States, electronic data management systems are in use. </w:t>
      </w:r>
    </w:p>
    <w:p w14:paraId="1CFE9DCA" w14:textId="7F39B6EE" w:rsidR="4528A122" w:rsidRPr="005B4339" w:rsidRDefault="4528A122" w:rsidP="4622A16E">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With regard to the adaptation of the reporting </w:t>
      </w:r>
      <w:r w:rsidR="3E4727D4" w:rsidRPr="005B4339">
        <w:rPr>
          <w:rFonts w:ascii="Times New Roman" w:hAnsi="Times New Roman" w:cs="Times New Roman"/>
          <w:noProof/>
          <w:sz w:val="24"/>
          <w:szCs w:val="24"/>
          <w:lang w:val="en-IE"/>
        </w:rPr>
        <w:t>practices</w:t>
      </w:r>
      <w:r w:rsidRPr="005B4339">
        <w:rPr>
          <w:rFonts w:ascii="Times New Roman" w:hAnsi="Times New Roman" w:cs="Times New Roman"/>
          <w:noProof/>
          <w:sz w:val="24"/>
          <w:szCs w:val="24"/>
          <w:lang w:val="en-IE"/>
        </w:rPr>
        <w:t xml:space="preserve"> for the post-consumer textiles (</w:t>
      </w:r>
      <w:r w:rsidR="28142D3C" w:rsidRPr="005B4339">
        <w:rPr>
          <w:rFonts w:ascii="Times New Roman" w:hAnsi="Times New Roman" w:cs="Times New Roman"/>
          <w:noProof/>
          <w:sz w:val="24"/>
          <w:szCs w:val="24"/>
          <w:lang w:val="en-IE"/>
        </w:rPr>
        <w:t>i.</w:t>
      </w:r>
      <w:r w:rsidRPr="005B4339">
        <w:rPr>
          <w:rFonts w:ascii="Times New Roman" w:hAnsi="Times New Roman" w:cs="Times New Roman"/>
          <w:noProof/>
          <w:sz w:val="24"/>
          <w:szCs w:val="24"/>
          <w:lang w:val="en-IE"/>
        </w:rPr>
        <w:t xml:space="preserve">e. those subject to </w:t>
      </w:r>
      <w:r w:rsidR="6D1C751B" w:rsidRPr="005B4339">
        <w:rPr>
          <w:rFonts w:ascii="Times New Roman" w:hAnsi="Times New Roman" w:cs="Times New Roman"/>
          <w:noProof/>
          <w:sz w:val="24"/>
          <w:szCs w:val="24"/>
          <w:lang w:val="en-IE"/>
        </w:rPr>
        <w:t>measure</w:t>
      </w:r>
      <w:r w:rsidRPr="005B4339">
        <w:rPr>
          <w:rFonts w:ascii="Times New Roman" w:hAnsi="Times New Roman" w:cs="Times New Roman"/>
          <w:noProof/>
          <w:sz w:val="24"/>
          <w:szCs w:val="24"/>
          <w:lang w:val="en-IE"/>
        </w:rPr>
        <w:t xml:space="preserve"> 2.</w:t>
      </w:r>
      <w:r w:rsidR="4D747725" w:rsidRPr="005B4339">
        <w:rPr>
          <w:rFonts w:ascii="Times New Roman" w:hAnsi="Times New Roman" w:cs="Times New Roman"/>
          <w:noProof/>
          <w:sz w:val="24"/>
          <w:szCs w:val="24"/>
          <w:lang w:val="en-IE"/>
        </w:rPr>
        <w:t>9</w:t>
      </w:r>
      <w:r w:rsidRPr="005B4339">
        <w:rPr>
          <w:rFonts w:ascii="Times New Roman" w:hAnsi="Times New Roman" w:cs="Times New Roman"/>
          <w:noProof/>
          <w:sz w:val="24"/>
          <w:szCs w:val="24"/>
          <w:lang w:val="en-IE"/>
        </w:rPr>
        <w:t xml:space="preserve"> and defined in </w:t>
      </w:r>
      <w:r w:rsidR="62DB1C69" w:rsidRPr="005B4339">
        <w:rPr>
          <w:rFonts w:ascii="Times New Roman" w:hAnsi="Times New Roman" w:cs="Times New Roman"/>
          <w:noProof/>
          <w:sz w:val="24"/>
          <w:szCs w:val="24"/>
          <w:lang w:val="en-IE"/>
        </w:rPr>
        <w:t>accordance</w:t>
      </w:r>
      <w:r w:rsidRPr="005B4339">
        <w:rPr>
          <w:rFonts w:ascii="Times New Roman" w:hAnsi="Times New Roman" w:cs="Times New Roman"/>
          <w:noProof/>
          <w:sz w:val="24"/>
          <w:szCs w:val="24"/>
          <w:lang w:val="en-IE"/>
        </w:rPr>
        <w:t xml:space="preserve"> with the approach in meas</w:t>
      </w:r>
      <w:r w:rsidR="4688C78E" w:rsidRPr="005B4339">
        <w:rPr>
          <w:rFonts w:ascii="Times New Roman" w:hAnsi="Times New Roman" w:cs="Times New Roman"/>
          <w:noProof/>
          <w:sz w:val="24"/>
          <w:szCs w:val="24"/>
          <w:lang w:val="en-IE"/>
        </w:rPr>
        <w:t>ure 1.1.1.</w:t>
      </w:r>
      <w:r w:rsidR="00EC3D21" w:rsidRPr="005B4339">
        <w:rPr>
          <w:rFonts w:ascii="Times New Roman" w:hAnsi="Times New Roman" w:cs="Times New Roman"/>
          <w:noProof/>
          <w:sz w:val="24"/>
          <w:szCs w:val="24"/>
          <w:lang w:val="en-IE"/>
        </w:rPr>
        <w:t>2</w:t>
      </w:r>
      <w:r w:rsidR="4688C78E" w:rsidRPr="005B4339">
        <w:rPr>
          <w:rFonts w:ascii="Times New Roman" w:hAnsi="Times New Roman" w:cs="Times New Roman"/>
          <w:noProof/>
          <w:sz w:val="24"/>
          <w:szCs w:val="24"/>
          <w:lang w:val="en-IE"/>
        </w:rPr>
        <w:t>)</w:t>
      </w:r>
      <w:r w:rsidR="2C2E5001" w:rsidRPr="005B4339">
        <w:rPr>
          <w:rFonts w:ascii="Times New Roman" w:hAnsi="Times New Roman" w:cs="Times New Roman"/>
          <w:noProof/>
          <w:sz w:val="24"/>
          <w:szCs w:val="24"/>
          <w:lang w:val="en-IE"/>
        </w:rPr>
        <w:t xml:space="preserve">, the </w:t>
      </w:r>
      <w:r w:rsidR="2B9992A2" w:rsidRPr="005B4339">
        <w:rPr>
          <w:rFonts w:ascii="Times New Roman" w:hAnsi="Times New Roman" w:cs="Times New Roman"/>
          <w:noProof/>
          <w:sz w:val="24"/>
          <w:szCs w:val="24"/>
          <w:lang w:val="en-IE"/>
        </w:rPr>
        <w:t>e</w:t>
      </w:r>
      <w:r w:rsidR="2C2E5001" w:rsidRPr="005B4339">
        <w:rPr>
          <w:rFonts w:ascii="Times New Roman" w:hAnsi="Times New Roman" w:cs="Times New Roman"/>
          <w:noProof/>
          <w:sz w:val="24"/>
          <w:szCs w:val="24"/>
          <w:lang w:val="en-IE"/>
        </w:rPr>
        <w:t xml:space="preserve">xpected administrative burden is </w:t>
      </w:r>
      <w:r w:rsidR="4E9FAD4D" w:rsidRPr="005B4339">
        <w:rPr>
          <w:rFonts w:ascii="Times New Roman" w:hAnsi="Times New Roman" w:cs="Times New Roman"/>
          <w:noProof/>
          <w:sz w:val="24"/>
          <w:szCs w:val="24"/>
          <w:lang w:val="en-IE"/>
        </w:rPr>
        <w:t>no or low cost</w:t>
      </w:r>
      <w:r w:rsidR="2803CFD9" w:rsidRPr="005B4339">
        <w:rPr>
          <w:rFonts w:ascii="Times New Roman" w:hAnsi="Times New Roman" w:cs="Times New Roman"/>
          <w:noProof/>
          <w:sz w:val="24"/>
          <w:szCs w:val="24"/>
          <w:lang w:val="en-IE"/>
        </w:rPr>
        <w:t xml:space="preserve">, because the data is largely already </w:t>
      </w:r>
      <w:r w:rsidR="20570068" w:rsidRPr="005B4339">
        <w:rPr>
          <w:rFonts w:ascii="Times New Roman" w:hAnsi="Times New Roman" w:cs="Times New Roman"/>
          <w:noProof/>
          <w:sz w:val="24"/>
          <w:szCs w:val="24"/>
          <w:lang w:val="en-IE"/>
        </w:rPr>
        <w:t>collected</w:t>
      </w:r>
      <w:r w:rsidR="2803CFD9" w:rsidRPr="005B4339">
        <w:rPr>
          <w:rFonts w:ascii="Times New Roman" w:hAnsi="Times New Roman" w:cs="Times New Roman"/>
          <w:noProof/>
          <w:sz w:val="24"/>
          <w:szCs w:val="24"/>
          <w:lang w:val="en-IE"/>
        </w:rPr>
        <w:t xml:space="preserve"> and reported and changes would concern</w:t>
      </w:r>
      <w:r w:rsidR="30A39A16" w:rsidRPr="005B4339">
        <w:rPr>
          <w:rFonts w:ascii="Times New Roman" w:hAnsi="Times New Roman" w:cs="Times New Roman"/>
          <w:noProof/>
          <w:sz w:val="24"/>
          <w:szCs w:val="24"/>
          <w:lang w:val="en-IE"/>
        </w:rPr>
        <w:t xml:space="preserve"> small scope adjustments, inclusion of certain </w:t>
      </w:r>
      <w:r w:rsidR="1EF2C801" w:rsidRPr="005B4339">
        <w:rPr>
          <w:rFonts w:ascii="Times New Roman" w:hAnsi="Times New Roman" w:cs="Times New Roman"/>
          <w:noProof/>
          <w:sz w:val="24"/>
          <w:szCs w:val="24"/>
          <w:lang w:val="en-IE"/>
        </w:rPr>
        <w:t>operations that are currently voluntary, but concern data that would already exist with the economic operators.</w:t>
      </w:r>
    </w:p>
    <w:p w14:paraId="3267DF57" w14:textId="7A4E0ABD" w:rsidR="00F718D1" w:rsidRPr="005B4339" w:rsidRDefault="60937648"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In relation to data on pre-consumer</w:t>
      </w:r>
      <w:r w:rsidR="049E7FAF" w:rsidRPr="005B4339">
        <w:rPr>
          <w:rFonts w:ascii="Times New Roman" w:hAnsi="Times New Roman" w:cs="Times New Roman"/>
          <w:noProof/>
          <w:sz w:val="24"/>
          <w:szCs w:val="24"/>
          <w:lang w:val="en-IE"/>
        </w:rPr>
        <w:t>,</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post-industrial and post-commercial textiles wastes</w:t>
      </w:r>
      <w:r w:rsidR="52C4D00D" w:rsidRPr="005B4339">
        <w:rPr>
          <w:rFonts w:ascii="Times New Roman" w:hAnsi="Times New Roman" w:cs="Times New Roman"/>
          <w:noProof/>
          <w:sz w:val="24"/>
          <w:szCs w:val="24"/>
          <w:lang w:val="en-IE"/>
        </w:rPr>
        <w:t>, data collection and verification will require more significant adaptations from the curre</w:t>
      </w:r>
      <w:r w:rsidR="64658AA4" w:rsidRPr="005B4339">
        <w:rPr>
          <w:rFonts w:ascii="Times New Roman" w:hAnsi="Times New Roman" w:cs="Times New Roman"/>
          <w:noProof/>
          <w:sz w:val="24"/>
          <w:szCs w:val="24"/>
          <w:lang w:val="en-IE"/>
        </w:rPr>
        <w:t>n</w:t>
      </w:r>
      <w:r w:rsidR="52C4D00D" w:rsidRPr="005B4339">
        <w:rPr>
          <w:rFonts w:ascii="Times New Roman" w:hAnsi="Times New Roman" w:cs="Times New Roman"/>
          <w:noProof/>
          <w:sz w:val="24"/>
          <w:szCs w:val="24"/>
          <w:lang w:val="en-IE"/>
        </w:rPr>
        <w:t xml:space="preserve">t system used for </w:t>
      </w:r>
      <w:r w:rsidR="3CA746F0" w:rsidRPr="005B4339">
        <w:rPr>
          <w:rFonts w:ascii="Times New Roman" w:hAnsi="Times New Roman" w:cs="Times New Roman"/>
          <w:noProof/>
          <w:sz w:val="24"/>
          <w:szCs w:val="24"/>
          <w:lang w:val="en-IE"/>
        </w:rPr>
        <w:t>reporting</w:t>
      </w:r>
      <w:r w:rsidR="52C4D00D" w:rsidRPr="005B4339">
        <w:rPr>
          <w:rFonts w:ascii="Times New Roman" w:hAnsi="Times New Roman" w:cs="Times New Roman"/>
          <w:noProof/>
          <w:sz w:val="24"/>
          <w:szCs w:val="24"/>
          <w:lang w:val="en-IE"/>
        </w:rPr>
        <w:t xml:space="preserve"> unde</w:t>
      </w:r>
      <w:r w:rsidR="62259F4D" w:rsidRPr="005B4339">
        <w:rPr>
          <w:rFonts w:ascii="Times New Roman" w:hAnsi="Times New Roman" w:cs="Times New Roman"/>
          <w:noProof/>
          <w:sz w:val="24"/>
          <w:szCs w:val="24"/>
          <w:lang w:val="en-IE"/>
        </w:rPr>
        <w:t xml:space="preserve">r the Waste Statistics regulation to a system that ensures textile specific data collection from the economic operators as well as </w:t>
      </w:r>
      <w:r w:rsidR="4E8FB2D2" w:rsidRPr="005B4339">
        <w:rPr>
          <w:rFonts w:ascii="Times New Roman" w:hAnsi="Times New Roman" w:cs="Times New Roman"/>
          <w:noProof/>
          <w:sz w:val="24"/>
          <w:szCs w:val="24"/>
          <w:lang w:val="en-IE"/>
        </w:rPr>
        <w:t>data on waste management operations across the end-o</w:t>
      </w:r>
      <w:r w:rsidR="32515717" w:rsidRPr="005B4339">
        <w:rPr>
          <w:rFonts w:ascii="Times New Roman" w:hAnsi="Times New Roman" w:cs="Times New Roman"/>
          <w:noProof/>
          <w:sz w:val="24"/>
          <w:szCs w:val="24"/>
          <w:lang w:val="en-IE"/>
        </w:rPr>
        <w:t>f-</w:t>
      </w:r>
      <w:r w:rsidR="4E8FB2D2" w:rsidRPr="005B4339">
        <w:rPr>
          <w:rFonts w:ascii="Times New Roman" w:hAnsi="Times New Roman" w:cs="Times New Roman"/>
          <w:noProof/>
          <w:sz w:val="24"/>
          <w:szCs w:val="24"/>
          <w:lang w:val="en-IE"/>
        </w:rPr>
        <w:t>life chain and ensure traceability from the point of waste generation to its final treatment</w:t>
      </w:r>
      <w:r w:rsidR="7CE39EC5" w:rsidRPr="005B4339">
        <w:rPr>
          <w:rFonts w:ascii="Times New Roman" w:hAnsi="Times New Roman" w:cs="Times New Roman"/>
          <w:noProof/>
          <w:sz w:val="24"/>
          <w:szCs w:val="24"/>
          <w:lang w:val="en-IE"/>
        </w:rPr>
        <w:t xml:space="preserve"> to attribute waste performance to specific Member States and enable monitoring to underpin possible future waste management target setting</w:t>
      </w:r>
      <w:r w:rsidR="4E8FB2D2" w:rsidRPr="005B4339">
        <w:rPr>
          <w:rFonts w:ascii="Times New Roman" w:hAnsi="Times New Roman" w:cs="Times New Roman"/>
          <w:noProof/>
          <w:sz w:val="24"/>
          <w:szCs w:val="24"/>
          <w:lang w:val="en-IE"/>
        </w:rPr>
        <w:t xml:space="preserve">. </w:t>
      </w:r>
      <w:r w:rsidR="61F91DDA" w:rsidRPr="005B4339">
        <w:rPr>
          <w:rFonts w:ascii="Times New Roman" w:hAnsi="Times New Roman" w:cs="Times New Roman"/>
          <w:noProof/>
          <w:sz w:val="24"/>
          <w:szCs w:val="24"/>
          <w:lang w:val="en-IE"/>
        </w:rPr>
        <w:t>The data collection processes should build on the existing ones applied for compliance with the Waste Statistics Regulation and in that process also improve the quality of data reported under that instrument.</w:t>
      </w:r>
    </w:p>
    <w:p w14:paraId="4C19F23C" w14:textId="74DE149E" w:rsidR="60937648" w:rsidRPr="005B4339" w:rsidRDefault="60937648" w:rsidP="4622A16E">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The obligation </w:t>
      </w:r>
      <w:r w:rsidR="7C43EF62" w:rsidRPr="005B4339">
        <w:rPr>
          <w:rFonts w:ascii="Times New Roman" w:hAnsi="Times New Roman" w:cs="Times New Roman"/>
          <w:noProof/>
          <w:sz w:val="24"/>
          <w:szCs w:val="24"/>
          <w:lang w:val="en-IE"/>
        </w:rPr>
        <w:t>entails data collection and verification by member States and reporting to the E</w:t>
      </w:r>
      <w:r w:rsidR="172C35F5" w:rsidRPr="005B4339">
        <w:rPr>
          <w:rFonts w:ascii="Times New Roman" w:hAnsi="Times New Roman" w:cs="Times New Roman"/>
          <w:noProof/>
          <w:sz w:val="24"/>
          <w:szCs w:val="24"/>
          <w:lang w:val="en-IE"/>
        </w:rPr>
        <w:t>uropean Commission.</w:t>
      </w:r>
      <w:r w:rsidRPr="005B4339">
        <w:rPr>
          <w:rFonts w:ascii="Times New Roman" w:hAnsi="Times New Roman" w:cs="Times New Roman"/>
          <w:noProof/>
          <w:sz w:val="24"/>
          <w:szCs w:val="24"/>
          <w:lang w:val="en-IE"/>
        </w:rPr>
        <w:t xml:space="preserve"> </w:t>
      </w:r>
      <w:r w:rsidR="53666FD5" w:rsidRPr="005B4339">
        <w:rPr>
          <w:rFonts w:ascii="Times New Roman" w:hAnsi="Times New Roman" w:cs="Times New Roman"/>
          <w:noProof/>
          <w:sz w:val="24"/>
          <w:szCs w:val="24"/>
          <w:lang w:val="en-IE"/>
        </w:rPr>
        <w:t>Waste management operators will be required to generate and report data to competent authorities, as a minimum</w:t>
      </w:r>
      <w:r w:rsidR="53666FD5" w:rsidRPr="005B4339">
        <w:rPr>
          <w:rFonts w:ascii="Times New Roman" w:eastAsiaTheme="minorEastAsia" w:hAnsi="Times New Roman"/>
          <w:noProof/>
          <w:color w:val="000000" w:themeColor="text1"/>
          <w:sz w:val="24"/>
          <w:szCs w:val="24"/>
          <w:lang w:val="en-IE"/>
        </w:rPr>
        <w:t xml:space="preserve"> </w:t>
      </w:r>
      <w:r w:rsidR="73980AE5" w:rsidRPr="005B4339">
        <w:rPr>
          <w:rFonts w:ascii="Times New Roman" w:eastAsiaTheme="minorEastAsia" w:hAnsi="Times New Roman"/>
          <w:noProof/>
          <w:color w:val="000000" w:themeColor="text1"/>
          <w:sz w:val="24"/>
          <w:szCs w:val="24"/>
          <w:lang w:val="en-IE"/>
        </w:rPr>
        <w:t>on</w:t>
      </w:r>
      <w:r w:rsidR="53666FD5" w:rsidRPr="005B4339">
        <w:rPr>
          <w:rFonts w:ascii="Times New Roman" w:eastAsiaTheme="minorEastAsia" w:hAnsi="Times New Roman"/>
          <w:noProof/>
          <w:color w:val="000000" w:themeColor="text1"/>
          <w:sz w:val="24"/>
          <w:szCs w:val="24"/>
          <w:lang w:val="en-IE"/>
        </w:rPr>
        <w:t xml:space="preserve"> the following</w:t>
      </w:r>
      <w:r w:rsidRPr="005B4339">
        <w:rPr>
          <w:rFonts w:ascii="Times New Roman" w:eastAsiaTheme="minorEastAsia" w:hAnsi="Times New Roman"/>
          <w:noProof/>
          <w:color w:val="000000" w:themeColor="text1"/>
          <w:sz w:val="24"/>
          <w:szCs w:val="24"/>
          <w:lang w:val="en-IE"/>
        </w:rPr>
        <w:t>:</w:t>
      </w:r>
      <w:r w:rsidR="116763DF" w:rsidRPr="005B4339">
        <w:rPr>
          <w:rFonts w:ascii="Times New Roman" w:eastAsiaTheme="minorEastAsia" w:hAnsi="Times New Roman"/>
          <w:noProof/>
          <w:color w:val="000000" w:themeColor="text1"/>
          <w:sz w:val="24"/>
          <w:szCs w:val="24"/>
          <w:lang w:val="en-IE"/>
        </w:rPr>
        <w:t xml:space="preserve"> w</w:t>
      </w:r>
      <w:r w:rsidR="5632DC30" w:rsidRPr="005B4339">
        <w:rPr>
          <w:rFonts w:ascii="Times New Roman" w:eastAsiaTheme="minorEastAsia" w:hAnsi="Times New Roman"/>
          <w:noProof/>
          <w:color w:val="000000" w:themeColor="text1"/>
          <w:sz w:val="24"/>
          <w:szCs w:val="24"/>
          <w:lang w:val="en-IE"/>
        </w:rPr>
        <w:t xml:space="preserve">aste generated in tonnes, </w:t>
      </w:r>
      <w:r w:rsidR="75E6A836" w:rsidRPr="005B4339">
        <w:rPr>
          <w:rFonts w:ascii="Times New Roman" w:eastAsiaTheme="minorEastAsia" w:hAnsi="Times New Roman"/>
          <w:noProof/>
          <w:color w:val="000000" w:themeColor="text1"/>
          <w:sz w:val="24"/>
          <w:szCs w:val="24"/>
          <w:lang w:val="en-IE"/>
        </w:rPr>
        <w:t>s</w:t>
      </w:r>
      <w:r w:rsidRPr="005B4339">
        <w:rPr>
          <w:rFonts w:ascii="Times New Roman" w:eastAsiaTheme="minorEastAsia" w:hAnsi="Times New Roman"/>
          <w:noProof/>
          <w:color w:val="000000" w:themeColor="text1"/>
          <w:sz w:val="24"/>
          <w:szCs w:val="24"/>
          <w:lang w:val="en-IE"/>
        </w:rPr>
        <w:t>eparate collection in tonnes</w:t>
      </w:r>
      <w:r w:rsidR="2CF6D38C" w:rsidRPr="005B4339">
        <w:rPr>
          <w:rFonts w:ascii="Times New Roman" w:eastAsiaTheme="minorEastAsia" w:hAnsi="Times New Roman"/>
          <w:noProof/>
          <w:color w:val="000000" w:themeColor="text1"/>
          <w:sz w:val="24"/>
          <w:szCs w:val="24"/>
          <w:lang w:val="en-IE"/>
        </w:rPr>
        <w:t>, s</w:t>
      </w:r>
      <w:r w:rsidRPr="005B4339">
        <w:rPr>
          <w:rFonts w:ascii="Times New Roman" w:eastAsiaTheme="minorEastAsia" w:hAnsi="Times New Roman"/>
          <w:noProof/>
          <w:color w:val="000000" w:themeColor="text1"/>
          <w:sz w:val="24"/>
          <w:szCs w:val="24"/>
          <w:lang w:val="en-IE"/>
        </w:rPr>
        <w:t>orted in tonne</w:t>
      </w:r>
      <w:r w:rsidR="2AA363A4" w:rsidRPr="005B4339">
        <w:rPr>
          <w:rFonts w:ascii="Times New Roman" w:eastAsiaTheme="minorEastAsia" w:hAnsi="Times New Roman"/>
          <w:noProof/>
          <w:color w:val="000000" w:themeColor="text1"/>
          <w:sz w:val="24"/>
          <w:szCs w:val="24"/>
          <w:lang w:val="en-IE"/>
        </w:rPr>
        <w:t>s, p</w:t>
      </w:r>
      <w:r w:rsidRPr="005B4339">
        <w:rPr>
          <w:rFonts w:ascii="Times New Roman" w:eastAsiaTheme="minorEastAsia" w:hAnsi="Times New Roman"/>
          <w:noProof/>
          <w:color w:val="000000" w:themeColor="text1"/>
          <w:sz w:val="24"/>
          <w:szCs w:val="24"/>
          <w:lang w:val="en-IE"/>
        </w:rPr>
        <w:t>repared for reuse in tonne</w:t>
      </w:r>
      <w:r w:rsidR="64BAB841" w:rsidRPr="005B4339">
        <w:rPr>
          <w:rFonts w:ascii="Times New Roman" w:eastAsiaTheme="minorEastAsia" w:hAnsi="Times New Roman"/>
          <w:noProof/>
          <w:color w:val="000000" w:themeColor="text1"/>
          <w:sz w:val="24"/>
          <w:szCs w:val="24"/>
          <w:lang w:val="en-IE"/>
        </w:rPr>
        <w:t>s, r</w:t>
      </w:r>
      <w:r w:rsidRPr="005B4339">
        <w:rPr>
          <w:rFonts w:ascii="Times New Roman" w:eastAsiaTheme="minorEastAsia" w:hAnsi="Times New Roman"/>
          <w:noProof/>
          <w:color w:val="000000" w:themeColor="text1"/>
          <w:sz w:val="24"/>
          <w:szCs w:val="24"/>
          <w:lang w:val="en-IE"/>
        </w:rPr>
        <w:t>ecycled in tonnes</w:t>
      </w:r>
      <w:r w:rsidR="1952CB25" w:rsidRPr="005B4339">
        <w:rPr>
          <w:rFonts w:ascii="Times New Roman" w:eastAsiaTheme="minorEastAsia" w:hAnsi="Times New Roman"/>
          <w:noProof/>
          <w:color w:val="000000" w:themeColor="text1"/>
          <w:sz w:val="24"/>
          <w:szCs w:val="24"/>
          <w:lang w:val="en-IE"/>
        </w:rPr>
        <w:t>, e</w:t>
      </w:r>
      <w:r w:rsidRPr="005B4339">
        <w:rPr>
          <w:rFonts w:ascii="Times New Roman" w:eastAsiaTheme="minorEastAsia" w:hAnsi="Times New Roman"/>
          <w:noProof/>
          <w:color w:val="000000" w:themeColor="text1"/>
          <w:sz w:val="24"/>
          <w:szCs w:val="24"/>
          <w:lang w:val="en-IE"/>
        </w:rPr>
        <w:t>nergy recovery in tonnes</w:t>
      </w:r>
      <w:r w:rsidR="0EC88229" w:rsidRPr="005B4339">
        <w:rPr>
          <w:rFonts w:ascii="Times New Roman" w:eastAsiaTheme="minorEastAsia" w:hAnsi="Times New Roman"/>
          <w:noProof/>
          <w:color w:val="000000" w:themeColor="text1"/>
          <w:sz w:val="24"/>
          <w:szCs w:val="24"/>
          <w:lang w:val="en-IE"/>
        </w:rPr>
        <w:t>, o</w:t>
      </w:r>
      <w:r w:rsidR="72D32BE8" w:rsidRPr="005B4339">
        <w:rPr>
          <w:rFonts w:ascii="Times New Roman" w:eastAsiaTheme="minorEastAsia" w:hAnsi="Times New Roman"/>
          <w:noProof/>
          <w:color w:val="000000" w:themeColor="text1"/>
          <w:sz w:val="24"/>
          <w:szCs w:val="24"/>
          <w:lang w:val="en-IE"/>
        </w:rPr>
        <w:t>ther recovery in tonnes,</w:t>
      </w:r>
      <w:r w:rsidR="2D5946FE" w:rsidRPr="005B4339">
        <w:rPr>
          <w:rFonts w:ascii="Times New Roman" w:eastAsiaTheme="minorEastAsia" w:hAnsi="Times New Roman"/>
          <w:noProof/>
          <w:color w:val="000000" w:themeColor="text1"/>
          <w:sz w:val="24"/>
          <w:szCs w:val="24"/>
          <w:lang w:val="en-IE"/>
        </w:rPr>
        <w:t xml:space="preserve"> d</w:t>
      </w:r>
      <w:r w:rsidR="72D32BE8" w:rsidRPr="005B4339">
        <w:rPr>
          <w:rFonts w:ascii="Times New Roman" w:eastAsiaTheme="minorEastAsia" w:hAnsi="Times New Roman"/>
          <w:noProof/>
          <w:color w:val="000000" w:themeColor="text1"/>
          <w:sz w:val="24"/>
          <w:szCs w:val="24"/>
          <w:lang w:val="en-IE"/>
        </w:rPr>
        <w:t>isposal in tonnes.</w:t>
      </w:r>
    </w:p>
    <w:p w14:paraId="7E54AC6B" w14:textId="4C7B64E8" w:rsidR="00F718D1" w:rsidRPr="005B4339" w:rsidRDefault="00F718D1" w:rsidP="00F718D1">
      <w:pPr>
        <w:pStyle w:val="WDBody"/>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It is expected that in relation to existing waste management operators at the commercial level</w:t>
      </w:r>
      <w:r w:rsidR="1618434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additional data to be reported would already be collected by:</w:t>
      </w:r>
    </w:p>
    <w:p w14:paraId="116783F4" w14:textId="427DBA81" w:rsidR="00F718D1" w:rsidRPr="005B4339" w:rsidRDefault="3E0B07D3" w:rsidP="00CF0DFB">
      <w:pPr>
        <w:pStyle w:val="WDBody"/>
        <w:numPr>
          <w:ilvl w:val="0"/>
          <w:numId w:val="41"/>
        </w:numPr>
        <w:spacing w:after="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c</w:t>
      </w:r>
      <w:r w:rsidR="60937648" w:rsidRPr="005B4339">
        <w:rPr>
          <w:rFonts w:ascii="Times New Roman" w:hAnsi="Times New Roman" w:cs="Times New Roman"/>
          <w:noProof/>
          <w:sz w:val="24"/>
          <w:szCs w:val="24"/>
          <w:lang w:val="en-IE"/>
        </w:rPr>
        <w:t>ommercial</w:t>
      </w:r>
      <w:r w:rsidR="00F718D1" w:rsidRPr="005B4339">
        <w:rPr>
          <w:rFonts w:ascii="Times New Roman" w:hAnsi="Times New Roman" w:cs="Times New Roman"/>
          <w:noProof/>
          <w:sz w:val="24"/>
          <w:szCs w:val="24"/>
          <w:lang w:val="en-IE"/>
        </w:rPr>
        <w:t xml:space="preserve"> collectors of waste for which volumes of </w:t>
      </w:r>
      <w:r w:rsidR="14A846B7" w:rsidRPr="005B4339">
        <w:rPr>
          <w:rFonts w:ascii="Times New Roman" w:hAnsi="Times New Roman" w:cs="Times New Roman"/>
          <w:noProof/>
          <w:sz w:val="24"/>
          <w:szCs w:val="24"/>
          <w:lang w:val="en-IE"/>
        </w:rPr>
        <w:t>waste</w:t>
      </w:r>
      <w:r w:rsidR="00F718D1" w:rsidRPr="005B4339">
        <w:rPr>
          <w:rFonts w:ascii="Times New Roman" w:hAnsi="Times New Roman" w:cs="Times New Roman"/>
          <w:noProof/>
          <w:sz w:val="24"/>
          <w:szCs w:val="24"/>
          <w:lang w:val="en-IE"/>
        </w:rPr>
        <w:t xml:space="preserve"> generated and separately collected will already be recorded for contractual purposes between the producer and collector.</w:t>
      </w:r>
    </w:p>
    <w:p w14:paraId="4B3DDD84" w14:textId="7DCB68D3" w:rsidR="00F718D1" w:rsidRPr="005B4339" w:rsidRDefault="2C6715D6" w:rsidP="00CF0DFB">
      <w:pPr>
        <w:pStyle w:val="WDBody"/>
        <w:numPr>
          <w:ilvl w:val="0"/>
          <w:numId w:val="41"/>
        </w:numPr>
        <w:spacing w:after="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c</w:t>
      </w:r>
      <w:r w:rsidR="60937648" w:rsidRPr="005B4339">
        <w:rPr>
          <w:rFonts w:ascii="Times New Roman" w:hAnsi="Times New Roman" w:cs="Times New Roman"/>
          <w:noProof/>
          <w:sz w:val="24"/>
          <w:szCs w:val="24"/>
          <w:lang w:val="en-IE"/>
        </w:rPr>
        <w:t>ommercial</w:t>
      </w:r>
      <w:r w:rsidR="00F718D1" w:rsidRPr="005B4339">
        <w:rPr>
          <w:rFonts w:ascii="Times New Roman" w:hAnsi="Times New Roman" w:cs="Times New Roman"/>
          <w:noProof/>
          <w:sz w:val="24"/>
          <w:szCs w:val="24"/>
          <w:lang w:val="en-IE"/>
        </w:rPr>
        <w:t xml:space="preserve"> recyclers</w:t>
      </w:r>
      <w:r w:rsidR="0387FB1D" w:rsidRPr="005B4339">
        <w:rPr>
          <w:rFonts w:ascii="Times New Roman" w:hAnsi="Times New Roman" w:cs="Times New Roman"/>
          <w:noProof/>
          <w:sz w:val="24"/>
          <w:szCs w:val="24"/>
          <w:lang w:val="en-IE"/>
        </w:rPr>
        <w:t>,</w:t>
      </w:r>
      <w:r w:rsidR="00F718D1" w:rsidRPr="005B4339">
        <w:rPr>
          <w:rFonts w:ascii="Times New Roman" w:hAnsi="Times New Roman" w:cs="Times New Roman"/>
          <w:noProof/>
          <w:sz w:val="24"/>
          <w:szCs w:val="24"/>
          <w:lang w:val="en-IE"/>
        </w:rPr>
        <w:t xml:space="preserve"> where they differ from waste collectors</w:t>
      </w:r>
      <w:r w:rsidR="5B417CA7" w:rsidRPr="005B4339">
        <w:rPr>
          <w:rFonts w:ascii="Times New Roman" w:hAnsi="Times New Roman" w:cs="Times New Roman"/>
          <w:noProof/>
          <w:sz w:val="24"/>
          <w:szCs w:val="24"/>
          <w:lang w:val="en-IE"/>
        </w:rPr>
        <w:t>,</w:t>
      </w:r>
      <w:r w:rsidR="00F718D1" w:rsidRPr="005B4339">
        <w:rPr>
          <w:rFonts w:ascii="Times New Roman" w:hAnsi="Times New Roman" w:cs="Times New Roman"/>
          <w:noProof/>
          <w:sz w:val="24"/>
          <w:szCs w:val="24"/>
          <w:lang w:val="en-IE"/>
        </w:rPr>
        <w:t xml:space="preserve"> once again for contractual purposes between those who deliver </w:t>
      </w:r>
      <w:r w:rsidR="285EAA24" w:rsidRPr="005B4339">
        <w:rPr>
          <w:rFonts w:ascii="Times New Roman" w:hAnsi="Times New Roman" w:cs="Times New Roman"/>
          <w:noProof/>
          <w:sz w:val="24"/>
          <w:szCs w:val="24"/>
          <w:lang w:val="en-IE"/>
        </w:rPr>
        <w:t>waste</w:t>
      </w:r>
      <w:r w:rsidR="00F718D1" w:rsidRPr="005B4339">
        <w:rPr>
          <w:rFonts w:ascii="Times New Roman" w:hAnsi="Times New Roman" w:cs="Times New Roman"/>
          <w:noProof/>
          <w:sz w:val="24"/>
          <w:szCs w:val="24"/>
          <w:lang w:val="en-IE"/>
        </w:rPr>
        <w:t xml:space="preserve"> for recycling and those who recycle it.</w:t>
      </w:r>
    </w:p>
    <w:p w14:paraId="1F67DB6F" w14:textId="1E9F9B57" w:rsidR="00F718D1" w:rsidRPr="005B4339" w:rsidRDefault="5B5B9E6B" w:rsidP="00CF0DFB">
      <w:pPr>
        <w:pStyle w:val="WDBody"/>
        <w:numPr>
          <w:ilvl w:val="0"/>
          <w:numId w:val="41"/>
        </w:numPr>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w:t>
      </w:r>
      <w:r w:rsidR="60937648" w:rsidRPr="005B4339">
        <w:rPr>
          <w:rFonts w:ascii="Times New Roman" w:hAnsi="Times New Roman" w:cs="Times New Roman"/>
          <w:noProof/>
          <w:sz w:val="24"/>
          <w:szCs w:val="24"/>
          <w:lang w:val="en-IE"/>
        </w:rPr>
        <w:t>he</w:t>
      </w:r>
      <w:r w:rsidR="00F718D1" w:rsidRPr="005B4339">
        <w:rPr>
          <w:rFonts w:ascii="Times New Roman" w:hAnsi="Times New Roman" w:cs="Times New Roman"/>
          <w:noProof/>
          <w:sz w:val="24"/>
          <w:szCs w:val="24"/>
          <w:lang w:val="en-IE"/>
        </w:rPr>
        <w:t xml:space="preserve"> amounts sent for energy recovery and disposal will be collected at the point of recovery or disposal.</w:t>
      </w:r>
    </w:p>
    <w:p w14:paraId="6E59F9ED" w14:textId="03DCBAC1"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The elements missing are in relation to the volumes sorted and the volumes prepared for reuse. It is expected that for a large proportion of these wastes recycling rather than reuse will be the waste management operation of choice as these wastes are more suitable for recycling than reuse. Consequently</w:t>
      </w:r>
      <w:r w:rsidR="00A339B3"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biggest data gap will be in relation to volumes that are sorted for which additional data would be required to be gathered by those performing sorting prior to further treatment</w:t>
      </w:r>
      <w:r w:rsidR="71324881" w:rsidRPr="005B4339">
        <w:rPr>
          <w:rFonts w:ascii="Times New Roman" w:hAnsi="Times New Roman" w:cs="Times New Roman"/>
          <w:noProof/>
          <w:sz w:val="24"/>
          <w:szCs w:val="24"/>
          <w:lang w:val="en-IE"/>
        </w:rPr>
        <w:t xml:space="preserve"> or re-use</w:t>
      </w:r>
      <w:r w:rsidR="60937648"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This </w:t>
      </w:r>
      <w:r w:rsidR="60937648" w:rsidRPr="005B4339">
        <w:rPr>
          <w:rFonts w:ascii="Times New Roman" w:hAnsi="Times New Roman" w:cs="Times New Roman"/>
          <w:noProof/>
          <w:sz w:val="24"/>
          <w:szCs w:val="24"/>
          <w:lang w:val="en-IE"/>
        </w:rPr>
        <w:t>information</w:t>
      </w:r>
      <w:r w:rsidR="3706C389" w:rsidRPr="005B4339">
        <w:rPr>
          <w:rFonts w:ascii="Times New Roman" w:hAnsi="Times New Roman" w:cs="Times New Roman"/>
          <w:noProof/>
          <w:sz w:val="24"/>
          <w:szCs w:val="24"/>
          <w:lang w:val="en-IE"/>
        </w:rPr>
        <w:t xml:space="preserve"> should be readily available or generated by sorters based on the amounts entering a facility, sorte</w:t>
      </w:r>
      <w:r w:rsidR="38093EB3" w:rsidRPr="005B4339">
        <w:rPr>
          <w:rFonts w:ascii="Times New Roman" w:hAnsi="Times New Roman" w:cs="Times New Roman"/>
          <w:noProof/>
          <w:sz w:val="24"/>
          <w:szCs w:val="24"/>
          <w:lang w:val="en-IE"/>
        </w:rPr>
        <w:t>d materials in bales for re-use and preparation for re-use and other fractions that are sorted for recycling, energy recovery or disposal</w:t>
      </w:r>
      <w:r w:rsidR="60937648" w:rsidRPr="005B4339">
        <w:rPr>
          <w:rFonts w:ascii="Times New Roman" w:hAnsi="Times New Roman" w:cs="Times New Roman"/>
          <w:noProof/>
          <w:sz w:val="24"/>
          <w:szCs w:val="24"/>
          <w:lang w:val="en-IE"/>
        </w:rPr>
        <w:t xml:space="preserve">.  </w:t>
      </w:r>
    </w:p>
    <w:p w14:paraId="0CD5F9AE" w14:textId="53C5638E"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In 2020</w:t>
      </w:r>
      <w:r w:rsidR="7B22AA70"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last year of reported data</w:t>
      </w:r>
      <w:r w:rsidR="4C9CCAE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there were around 20 000 enterprises involved in waste collection in the EU and 7 700 involved in waste treatment and disposal</w:t>
      </w:r>
      <w:r w:rsidRPr="005B4339">
        <w:rPr>
          <w:rStyle w:val="FootnoteReference"/>
          <w:rFonts w:ascii="Times New Roman" w:hAnsi="Times New Roman" w:cs="Times New Roman"/>
          <w:noProof/>
          <w:sz w:val="24"/>
          <w:szCs w:val="24"/>
          <w:lang w:val="en-IE"/>
        </w:rPr>
        <w:footnoteReference w:id="112"/>
      </w:r>
      <w:r w:rsidRPr="005B4339">
        <w:rPr>
          <w:rFonts w:ascii="Times New Roman" w:hAnsi="Times New Roman" w:cs="Times New Roman"/>
          <w:noProof/>
          <w:sz w:val="24"/>
          <w:szCs w:val="24"/>
          <w:lang w:val="en-IE"/>
        </w:rPr>
        <w:t>. However</w:t>
      </w:r>
      <w:r w:rsidR="500AE79D"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only a proportion of those enterprises are likely to serve those producers involved in pre-consumer</w:t>
      </w:r>
      <w:r w:rsidR="613E4C9B"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post-industrial and post-commercial textiles wastes</w:t>
      </w:r>
      <w:r w:rsidR="1AC14E1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particularly as such wastes represent just under 1 million tonnes of waste generated in comparison to 171 million tonnes of waste generated in the manufacturing sector overall</w:t>
      </w:r>
      <w:r w:rsidRPr="005B4339">
        <w:rPr>
          <w:rStyle w:val="FootnoteReference"/>
          <w:rFonts w:ascii="Times New Roman" w:hAnsi="Times New Roman" w:cs="Times New Roman"/>
          <w:noProof/>
          <w:sz w:val="24"/>
          <w:szCs w:val="24"/>
          <w:lang w:val="en-IE"/>
        </w:rPr>
        <w:footnoteReference w:id="113"/>
      </w:r>
      <w:r w:rsidRPr="005B4339">
        <w:rPr>
          <w:rFonts w:ascii="Times New Roman" w:hAnsi="Times New Roman" w:cs="Times New Roman"/>
          <w:noProof/>
          <w:sz w:val="24"/>
          <w:szCs w:val="24"/>
          <w:lang w:val="en-IE"/>
        </w:rPr>
        <w:t>. A conservative estimate of 5% of all such enterprises handling textiles has been applied to assume that 1 385 waste management operators would be required to generate data each year.</w:t>
      </w:r>
    </w:p>
    <w:p w14:paraId="07D83000" w14:textId="43214895"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Assuming the time taken for reporting of three days per year the total administrative burden would stand at just under €750 000 per </w:t>
      </w:r>
      <w:r w:rsidR="00D00D1B" w:rsidRPr="005B4339">
        <w:rPr>
          <w:rFonts w:ascii="Times New Roman" w:hAnsi="Times New Roman" w:cs="Times New Roman"/>
          <w:noProof/>
          <w:sz w:val="24"/>
          <w:szCs w:val="24"/>
          <w:lang w:val="en-IE"/>
        </w:rPr>
        <w:t>year</w:t>
      </w:r>
      <w:r w:rsidRPr="005B4339">
        <w:rPr>
          <w:rFonts w:ascii="Times New Roman" w:hAnsi="Times New Roman" w:cs="Times New Roman"/>
          <w:noProof/>
          <w:sz w:val="24"/>
          <w:szCs w:val="24"/>
          <w:lang w:val="en-IE"/>
        </w:rPr>
        <w:t xml:space="preserve"> or approximately €540 per operator.</w:t>
      </w:r>
    </w:p>
    <w:p w14:paraId="320D9467" w14:textId="4151EAE9" w:rsidR="3F2008DF" w:rsidRPr="005B4339" w:rsidRDefault="3F2008DF" w:rsidP="43823C20">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Finally, an additional 0.5 FTE would be required within the European Commission to adopt the necessary implementing acts setting out reporting formats and issuing guidance to the Member States (ESTAT) in support of those.</w:t>
      </w:r>
      <w:r w:rsidR="092341BC" w:rsidRPr="005B4339">
        <w:rPr>
          <w:rFonts w:ascii="Times New Roman" w:hAnsi="Times New Roman" w:cs="Times New Roman"/>
          <w:noProof/>
          <w:sz w:val="24"/>
          <w:szCs w:val="24"/>
          <w:lang w:val="en-IE"/>
        </w:rPr>
        <w:t xml:space="preserve"> Additional resources will also be required for the data flow management for all waste textiles (ESTAT).</w:t>
      </w:r>
    </w:p>
    <w:p w14:paraId="0BB634CA" w14:textId="77777777" w:rsidR="00F718D1" w:rsidRPr="005B4339" w:rsidRDefault="00F718D1" w:rsidP="00F718D1">
      <w:pPr>
        <w:pStyle w:val="WDBody"/>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6813D31E" w14:textId="0252B6DC" w:rsidR="00F718D1" w:rsidRPr="005B4339" w:rsidRDefault="00F718D1"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Given the majority of those involved as producers are SMEs they would tend to be impacted by the provisions to a larger extent than non-SM</w:t>
      </w:r>
      <w:r w:rsidR="00ED79BE" w:rsidRPr="005B4339">
        <w:rPr>
          <w:rFonts w:ascii="Times New Roman" w:hAnsi="Times New Roman" w:cs="Times New Roman"/>
          <w:noProof/>
          <w:sz w:val="24"/>
          <w:szCs w:val="24"/>
          <w:lang w:val="en-IE"/>
        </w:rPr>
        <w:t>Es.</w:t>
      </w:r>
      <w:r w:rsidRPr="005B4339">
        <w:rPr>
          <w:rFonts w:ascii="Times New Roman" w:hAnsi="Times New Roman" w:cs="Times New Roman"/>
          <w:noProof/>
          <w:sz w:val="24"/>
          <w:szCs w:val="24"/>
          <w:lang w:val="en-IE"/>
        </w:rPr>
        <w:t xml:space="preserve"> However</w:t>
      </w:r>
      <w:r w:rsidR="46EE1B9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reporting obligations have been targeted to build on already existing obligations to minimise the additional administrative bu</w:t>
      </w:r>
      <w:r w:rsidR="00ED79BE" w:rsidRPr="005B4339">
        <w:rPr>
          <w:rFonts w:ascii="Times New Roman" w:hAnsi="Times New Roman" w:cs="Times New Roman"/>
          <w:noProof/>
          <w:sz w:val="24"/>
          <w:szCs w:val="24"/>
          <w:lang w:val="en-IE"/>
        </w:rPr>
        <w:t>rden impacts that would result.</w:t>
      </w:r>
      <w:r w:rsidRPr="005B4339">
        <w:rPr>
          <w:rFonts w:ascii="Times New Roman" w:hAnsi="Times New Roman" w:cs="Times New Roman"/>
          <w:noProof/>
          <w:sz w:val="24"/>
          <w:szCs w:val="24"/>
          <w:lang w:val="en-IE"/>
        </w:rPr>
        <w:t xml:space="preserve"> </w:t>
      </w:r>
      <w:r w:rsidR="5C47C803" w:rsidRPr="005B4339">
        <w:rPr>
          <w:rFonts w:ascii="Times New Roman" w:hAnsi="Times New Roman" w:cs="Times New Roman"/>
          <w:noProof/>
          <w:sz w:val="24"/>
          <w:szCs w:val="24"/>
          <w:lang w:val="en-IE"/>
        </w:rPr>
        <w:t>Compliance costs for social enterprises linked to reporting obligations</w:t>
      </w:r>
      <w:r w:rsidR="6D66E832" w:rsidRPr="005B4339">
        <w:rPr>
          <w:rFonts w:ascii="Times New Roman" w:hAnsi="Times New Roman" w:cs="Times New Roman"/>
          <w:noProof/>
          <w:sz w:val="24"/>
          <w:szCs w:val="24"/>
          <w:lang w:val="en-IE"/>
        </w:rPr>
        <w:t xml:space="preserve"> on waste collected and further treated</w:t>
      </w:r>
      <w:r w:rsidR="5C47C803" w:rsidRPr="005B4339">
        <w:rPr>
          <w:rFonts w:ascii="Times New Roman" w:hAnsi="Times New Roman" w:cs="Times New Roman"/>
          <w:noProof/>
          <w:sz w:val="24"/>
          <w:szCs w:val="24"/>
          <w:lang w:val="en-IE"/>
        </w:rPr>
        <w:t xml:space="preserve"> would </w:t>
      </w:r>
      <w:r w:rsidR="36084993" w:rsidRPr="005B4339">
        <w:rPr>
          <w:rFonts w:ascii="Times New Roman" w:hAnsi="Times New Roman" w:cs="Times New Roman"/>
          <w:noProof/>
          <w:sz w:val="24"/>
          <w:szCs w:val="24"/>
          <w:lang w:val="en-IE"/>
        </w:rPr>
        <w:t>partially be new, since waste related reporting would already be a national obligation linked to waste permits that they generally have</w:t>
      </w:r>
      <w:r w:rsidR="5C47C803" w:rsidRPr="005B4339">
        <w:rPr>
          <w:rFonts w:ascii="Times New Roman" w:hAnsi="Times New Roman" w:cs="Times New Roman"/>
          <w:noProof/>
          <w:sz w:val="24"/>
          <w:szCs w:val="24"/>
          <w:lang w:val="en-IE"/>
        </w:rPr>
        <w:t>, but it is expected that th</w:t>
      </w:r>
      <w:r w:rsidR="4CDADE83" w:rsidRPr="005B4339">
        <w:rPr>
          <w:rFonts w:ascii="Times New Roman" w:hAnsi="Times New Roman" w:cs="Times New Roman"/>
          <w:noProof/>
          <w:sz w:val="24"/>
          <w:szCs w:val="24"/>
          <w:lang w:val="en-IE"/>
        </w:rPr>
        <w:t>e generation of the required data already takes place and would be offset by the reduction of costs in the management of residual waste in accordance with measure 2.</w:t>
      </w:r>
      <w:r w:rsidR="412E8288" w:rsidRPr="005B4339">
        <w:rPr>
          <w:rFonts w:ascii="Times New Roman" w:hAnsi="Times New Roman" w:cs="Times New Roman"/>
          <w:noProof/>
          <w:sz w:val="24"/>
          <w:szCs w:val="24"/>
          <w:lang w:val="en-IE"/>
        </w:rPr>
        <w:t>9</w:t>
      </w:r>
      <w:r w:rsidR="4CDADE83" w:rsidRPr="005B4339">
        <w:rPr>
          <w:rFonts w:ascii="Times New Roman" w:hAnsi="Times New Roman" w:cs="Times New Roman"/>
          <w:noProof/>
          <w:sz w:val="24"/>
          <w:szCs w:val="24"/>
          <w:lang w:val="en-IE"/>
        </w:rPr>
        <w:t xml:space="preserve">. </w:t>
      </w:r>
    </w:p>
    <w:p w14:paraId="5B970668" w14:textId="77777777" w:rsidR="00F718D1" w:rsidRPr="005B4339" w:rsidRDefault="00F718D1" w:rsidP="00F718D1">
      <w:pPr>
        <w:pStyle w:val="WDBody"/>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0FAFB18A" w14:textId="7326411C" w:rsidR="00F718D1" w:rsidRPr="005B4339" w:rsidRDefault="4B407242" w:rsidP="704E32B5">
      <w:pPr>
        <w:pStyle w:val="WDBody"/>
        <w:jc w:val="both"/>
        <w:rPr>
          <w:rFonts w:ascii="Times New Roman" w:hAnsi="Times New Roman" w:cs="Times New Roman"/>
          <w:noProof/>
          <w:sz w:val="24"/>
          <w:szCs w:val="24"/>
          <w:lang w:val="en-IE"/>
        </w:rPr>
      </w:pPr>
      <w:r w:rsidRPr="005B4339">
        <w:rPr>
          <w:rFonts w:ascii="Times New Roman" w:eastAsia="Times New Roman" w:hAnsi="Times New Roman" w:cs="Times New Roman"/>
          <w:noProof/>
          <w:color w:val="auto"/>
          <w:sz w:val="24"/>
          <w:szCs w:val="24"/>
          <w:lang w:val="en-IE"/>
        </w:rPr>
        <w:lastRenderedPageBreak/>
        <w:t>In</w:t>
      </w:r>
      <w:r w:rsidR="2863391C" w:rsidRPr="005B4339">
        <w:rPr>
          <w:rFonts w:ascii="Times New Roman" w:eastAsia="Times New Roman" w:hAnsi="Times New Roman" w:cs="Times New Roman"/>
          <w:noProof/>
          <w:color w:val="auto"/>
          <w:sz w:val="24"/>
          <w:szCs w:val="24"/>
          <w:lang w:val="en-IE"/>
        </w:rPr>
        <w:t xml:space="preserve"> both stakeholder workshops, i</w:t>
      </w:r>
      <w:r w:rsidRPr="005B4339">
        <w:rPr>
          <w:rFonts w:ascii="Times New Roman" w:eastAsia="Times New Roman" w:hAnsi="Times New Roman" w:cs="Times New Roman"/>
          <w:noProof/>
          <w:color w:val="auto"/>
          <w:sz w:val="24"/>
          <w:szCs w:val="24"/>
          <w:lang w:val="en-IE"/>
        </w:rPr>
        <w:t>ndustry, NGO and Member State s</w:t>
      </w:r>
      <w:r w:rsidR="31ABF787" w:rsidRPr="005B4339">
        <w:rPr>
          <w:rFonts w:ascii="Times New Roman" w:eastAsia="Times New Roman" w:hAnsi="Times New Roman" w:cs="Times New Roman"/>
          <w:noProof/>
          <w:color w:val="auto"/>
          <w:sz w:val="24"/>
          <w:szCs w:val="24"/>
          <w:lang w:val="en-IE"/>
        </w:rPr>
        <w:t>takeholders</w:t>
      </w:r>
      <w:r w:rsidR="375E2D76" w:rsidRPr="005B4339">
        <w:rPr>
          <w:rFonts w:ascii="Times New Roman" w:eastAsia="Times New Roman" w:hAnsi="Times New Roman" w:cs="Times New Roman"/>
          <w:noProof/>
          <w:color w:val="auto"/>
          <w:sz w:val="24"/>
          <w:szCs w:val="24"/>
          <w:lang w:val="en-IE"/>
        </w:rPr>
        <w:t xml:space="preserve"> </w:t>
      </w:r>
      <w:r w:rsidR="31ABF787" w:rsidRPr="005B4339">
        <w:rPr>
          <w:rFonts w:ascii="Times New Roman" w:eastAsia="Times New Roman" w:hAnsi="Times New Roman" w:cs="Times New Roman"/>
          <w:noProof/>
          <w:color w:val="auto"/>
          <w:sz w:val="24"/>
          <w:szCs w:val="24"/>
          <w:lang w:val="en-IE"/>
        </w:rPr>
        <w:t>recognise</w:t>
      </w:r>
      <w:r w:rsidR="7175F54C" w:rsidRPr="005B4339">
        <w:rPr>
          <w:rFonts w:ascii="Times New Roman" w:eastAsia="Times New Roman" w:hAnsi="Times New Roman" w:cs="Times New Roman"/>
          <w:noProof/>
          <w:color w:val="auto"/>
          <w:sz w:val="24"/>
          <w:szCs w:val="24"/>
          <w:lang w:val="en-IE"/>
        </w:rPr>
        <w:t>d</w:t>
      </w:r>
      <w:r w:rsidR="31ABF787" w:rsidRPr="005B4339">
        <w:rPr>
          <w:rFonts w:ascii="Times New Roman" w:eastAsia="Times New Roman" w:hAnsi="Times New Roman" w:cs="Times New Roman"/>
          <w:noProof/>
          <w:color w:val="auto"/>
          <w:sz w:val="24"/>
          <w:szCs w:val="24"/>
          <w:lang w:val="en-IE"/>
        </w:rPr>
        <w:t xml:space="preserve"> </w:t>
      </w:r>
      <w:r w:rsidR="259C4B07" w:rsidRPr="005B4339">
        <w:rPr>
          <w:rFonts w:ascii="Times New Roman" w:eastAsia="Times New Roman" w:hAnsi="Times New Roman" w:cs="Times New Roman"/>
          <w:noProof/>
          <w:color w:val="auto"/>
          <w:sz w:val="24"/>
          <w:szCs w:val="24"/>
          <w:lang w:val="en-IE"/>
        </w:rPr>
        <w:t xml:space="preserve">that improved knowledge base </w:t>
      </w:r>
      <w:r w:rsidR="6A4B3923" w:rsidRPr="005B4339">
        <w:rPr>
          <w:rFonts w:ascii="Times New Roman" w:eastAsia="Times New Roman" w:hAnsi="Times New Roman" w:cs="Times New Roman"/>
          <w:noProof/>
          <w:color w:val="auto"/>
          <w:sz w:val="24"/>
          <w:szCs w:val="24"/>
          <w:lang w:val="en-IE"/>
        </w:rPr>
        <w:t>across the end-of-life val</w:t>
      </w:r>
      <w:r w:rsidR="6A4B3923" w:rsidRPr="005B4339">
        <w:rPr>
          <w:rFonts w:ascii="Times New Roman" w:eastAsiaTheme="minorEastAsia" w:hAnsi="Times New Roman"/>
          <w:noProof/>
          <w:color w:val="000000" w:themeColor="text1"/>
          <w:sz w:val="24"/>
          <w:szCs w:val="24"/>
          <w:lang w:val="en-IE"/>
        </w:rPr>
        <w:t xml:space="preserve">ue chain </w:t>
      </w:r>
      <w:r w:rsidR="259C4B07" w:rsidRPr="005B4339">
        <w:rPr>
          <w:rFonts w:ascii="Times New Roman" w:eastAsiaTheme="minorEastAsia" w:hAnsi="Times New Roman"/>
          <w:noProof/>
          <w:color w:val="000000" w:themeColor="text1"/>
          <w:sz w:val="24"/>
          <w:szCs w:val="24"/>
          <w:lang w:val="en-IE"/>
        </w:rPr>
        <w:t>is a significant barrier to improved waste management of</w:t>
      </w:r>
      <w:r w:rsidR="375E2D76" w:rsidRPr="005B4339">
        <w:rPr>
          <w:rFonts w:ascii="Times New Roman" w:eastAsiaTheme="minorEastAsia" w:hAnsi="Times New Roman"/>
          <w:noProof/>
          <w:color w:val="000000" w:themeColor="text1"/>
          <w:sz w:val="24"/>
          <w:szCs w:val="24"/>
          <w:lang w:val="en-IE"/>
        </w:rPr>
        <w:t xml:space="preserve"> used textiles and textile waste. </w:t>
      </w:r>
      <w:r w:rsidR="3C2BDBBE" w:rsidRPr="005B4339">
        <w:rPr>
          <w:rFonts w:ascii="Times New Roman" w:eastAsiaTheme="minorEastAsia" w:hAnsi="Times New Roman"/>
          <w:noProof/>
          <w:color w:val="000000" w:themeColor="text1"/>
          <w:sz w:val="24"/>
          <w:szCs w:val="24"/>
          <w:lang w:val="en-IE"/>
        </w:rPr>
        <w:t>Improvements in the repor</w:t>
      </w:r>
      <w:r w:rsidR="65CEE0E8" w:rsidRPr="005B4339">
        <w:rPr>
          <w:rFonts w:ascii="Times New Roman" w:eastAsiaTheme="minorEastAsia" w:hAnsi="Times New Roman"/>
          <w:noProof/>
          <w:color w:val="000000" w:themeColor="text1"/>
          <w:sz w:val="24"/>
          <w:szCs w:val="24"/>
          <w:lang w:val="en-IE"/>
        </w:rPr>
        <w:t xml:space="preserve">ted data nationally and at EU level would address the </w:t>
      </w:r>
      <w:r w:rsidR="00F718D1" w:rsidRPr="005B4339">
        <w:rPr>
          <w:rFonts w:ascii="Times New Roman" w:eastAsiaTheme="minorEastAsia" w:hAnsi="Times New Roman"/>
          <w:noProof/>
          <w:color w:val="000000" w:themeColor="text1"/>
          <w:sz w:val="24"/>
          <w:szCs w:val="24"/>
          <w:lang w:val="en-IE"/>
        </w:rPr>
        <w:t xml:space="preserve">need for more transparent data </w:t>
      </w:r>
      <w:r w:rsidR="7619A845" w:rsidRPr="005B4339">
        <w:rPr>
          <w:rFonts w:ascii="Times New Roman" w:eastAsiaTheme="minorEastAsia" w:hAnsi="Times New Roman"/>
          <w:noProof/>
          <w:color w:val="000000" w:themeColor="text1"/>
          <w:sz w:val="24"/>
          <w:szCs w:val="24"/>
          <w:lang w:val="en-IE"/>
        </w:rPr>
        <w:t>to</w:t>
      </w:r>
      <w:r w:rsidR="00F718D1" w:rsidRPr="005B4339">
        <w:rPr>
          <w:rFonts w:ascii="Times New Roman" w:eastAsiaTheme="minorEastAsia" w:hAnsi="Times New Roman"/>
          <w:noProof/>
          <w:color w:val="000000" w:themeColor="text1"/>
          <w:sz w:val="24"/>
          <w:szCs w:val="24"/>
          <w:lang w:val="en-IE"/>
        </w:rPr>
        <w:t xml:space="preserve"> allow for measurement of the environmental impact of the textile industry</w:t>
      </w:r>
      <w:r w:rsidR="7F44CE6D" w:rsidRPr="005B4339">
        <w:rPr>
          <w:rFonts w:ascii="Times New Roman" w:eastAsiaTheme="minorEastAsia" w:hAnsi="Times New Roman"/>
          <w:noProof/>
          <w:color w:val="000000" w:themeColor="text1"/>
          <w:sz w:val="24"/>
          <w:szCs w:val="24"/>
          <w:lang w:val="en-IE"/>
        </w:rPr>
        <w:t>.</w:t>
      </w:r>
      <w:r w:rsidR="00F718D1" w:rsidRPr="005B4339">
        <w:rPr>
          <w:rFonts w:ascii="Times New Roman" w:eastAsiaTheme="minorEastAsia" w:hAnsi="Times New Roman"/>
          <w:noProof/>
          <w:color w:val="000000" w:themeColor="text1"/>
          <w:sz w:val="24"/>
          <w:szCs w:val="24"/>
          <w:lang w:val="en-IE"/>
        </w:rPr>
        <w:t xml:space="preserve"> This would need to be cross-boundary</w:t>
      </w:r>
      <w:r w:rsidR="45882A6F" w:rsidRPr="005B4339">
        <w:rPr>
          <w:rFonts w:ascii="Times New Roman" w:eastAsiaTheme="minorEastAsia" w:hAnsi="Times New Roman"/>
          <w:noProof/>
          <w:color w:val="000000" w:themeColor="text1"/>
          <w:sz w:val="24"/>
          <w:szCs w:val="24"/>
          <w:lang w:val="en-IE"/>
        </w:rPr>
        <w:t>,</w:t>
      </w:r>
      <w:r w:rsidR="00F718D1" w:rsidRPr="005B4339">
        <w:rPr>
          <w:rFonts w:ascii="Times New Roman" w:hAnsi="Times New Roman" w:cs="Times New Roman"/>
          <w:noProof/>
          <w:sz w:val="24"/>
          <w:szCs w:val="24"/>
          <w:lang w:val="en-IE"/>
        </w:rPr>
        <w:t xml:space="preserve"> with shared definitions</w:t>
      </w:r>
      <w:r w:rsidR="3CA9302F" w:rsidRPr="005B4339">
        <w:rPr>
          <w:rFonts w:ascii="Times New Roman" w:hAnsi="Times New Roman" w:cs="Times New Roman"/>
          <w:noProof/>
          <w:sz w:val="24"/>
          <w:szCs w:val="24"/>
          <w:lang w:val="en-IE"/>
        </w:rPr>
        <w:t>,</w:t>
      </w:r>
      <w:r w:rsidR="00F718D1" w:rsidRPr="005B4339">
        <w:rPr>
          <w:rFonts w:ascii="Times New Roman" w:hAnsi="Times New Roman" w:cs="Times New Roman"/>
          <w:noProof/>
          <w:sz w:val="24"/>
          <w:szCs w:val="24"/>
          <w:lang w:val="en-IE"/>
        </w:rPr>
        <w:t xml:space="preserve"> standardised indicators and reporting procedures</w:t>
      </w:r>
      <w:r w:rsidR="1F320EBA" w:rsidRPr="005B4339">
        <w:rPr>
          <w:rFonts w:ascii="Times New Roman" w:hAnsi="Times New Roman" w:cs="Times New Roman"/>
          <w:noProof/>
          <w:sz w:val="24"/>
          <w:szCs w:val="24"/>
          <w:lang w:val="en-IE"/>
        </w:rPr>
        <w:t>,</w:t>
      </w:r>
      <w:r w:rsidR="00F718D1" w:rsidRPr="005B4339">
        <w:rPr>
          <w:rFonts w:ascii="Times New Roman" w:hAnsi="Times New Roman" w:cs="Times New Roman"/>
          <w:noProof/>
          <w:sz w:val="24"/>
          <w:szCs w:val="24"/>
          <w:lang w:val="en-IE"/>
        </w:rPr>
        <w:t xml:space="preserve"> as well as accountability requirements</w:t>
      </w:r>
      <w:r w:rsidR="00F718D1" w:rsidRPr="005B4339">
        <w:rPr>
          <w:rStyle w:val="FootnoteReference"/>
          <w:rFonts w:ascii="Times New Roman" w:hAnsi="Times New Roman" w:cs="Times New Roman"/>
          <w:noProof/>
          <w:sz w:val="24"/>
          <w:szCs w:val="24"/>
          <w:lang w:val="en-IE"/>
        </w:rPr>
        <w:footnoteReference w:id="114"/>
      </w:r>
      <w:r w:rsidR="00F718D1" w:rsidRPr="005B4339">
        <w:rPr>
          <w:rStyle w:val="FootnoteReference"/>
          <w:rFonts w:ascii="Times New Roman" w:hAnsi="Times New Roman" w:cs="Times New Roman"/>
          <w:noProof/>
          <w:sz w:val="24"/>
          <w:szCs w:val="24"/>
          <w:lang w:val="en-IE"/>
        </w:rPr>
        <w:footnoteReference w:id="115"/>
      </w:r>
      <w:r w:rsidR="00F718D1" w:rsidRPr="005B4339">
        <w:rPr>
          <w:rFonts w:ascii="Times New Roman" w:hAnsi="Times New Roman" w:cs="Times New Roman"/>
          <w:noProof/>
          <w:sz w:val="24"/>
          <w:szCs w:val="24"/>
          <w:lang w:val="en-IE"/>
        </w:rPr>
        <w:t xml:space="preserve">. </w:t>
      </w:r>
      <w:r w:rsidR="7F44CE6D" w:rsidRPr="005B4339">
        <w:rPr>
          <w:rFonts w:ascii="Times New Roman" w:hAnsi="Times New Roman" w:cs="Times New Roman"/>
          <w:noProof/>
          <w:sz w:val="24"/>
          <w:szCs w:val="24"/>
          <w:lang w:val="en-IE"/>
        </w:rPr>
        <w:t>If measured and tracked properly</w:t>
      </w:r>
      <w:r w:rsidR="07006AA8" w:rsidRPr="005B4339">
        <w:rPr>
          <w:rFonts w:ascii="Times New Roman" w:hAnsi="Times New Roman" w:cs="Times New Roman"/>
          <w:noProof/>
          <w:sz w:val="24"/>
          <w:szCs w:val="24"/>
          <w:lang w:val="en-IE"/>
        </w:rPr>
        <w:t xml:space="preserve"> and consistently across the EU,</w:t>
      </w:r>
      <w:r w:rsidR="7F44CE6D" w:rsidRPr="005B4339">
        <w:rPr>
          <w:rFonts w:ascii="Times New Roman" w:hAnsi="Times New Roman" w:cs="Times New Roman"/>
          <w:noProof/>
          <w:sz w:val="24"/>
          <w:szCs w:val="24"/>
          <w:lang w:val="en-IE"/>
        </w:rPr>
        <w:t xml:space="preserve"> t</w:t>
      </w:r>
      <w:r w:rsidR="7D4EE3BE" w:rsidRPr="005B4339">
        <w:rPr>
          <w:rFonts w:ascii="Times New Roman" w:hAnsi="Times New Roman" w:cs="Times New Roman"/>
          <w:noProof/>
          <w:sz w:val="24"/>
          <w:szCs w:val="24"/>
          <w:lang w:val="en-IE"/>
        </w:rPr>
        <w:t xml:space="preserve">he data would allow monitoring of the performance on waste prevention and residual waste and available </w:t>
      </w:r>
      <w:r w:rsidR="7F44CE6D" w:rsidRPr="005B4339">
        <w:rPr>
          <w:rFonts w:ascii="Times New Roman" w:hAnsi="Times New Roman" w:cs="Times New Roman"/>
          <w:noProof/>
          <w:sz w:val="24"/>
          <w:szCs w:val="24"/>
          <w:lang w:val="en-IE"/>
        </w:rPr>
        <w:t xml:space="preserve">feedstocks </w:t>
      </w:r>
      <w:r w:rsidR="0D07266E" w:rsidRPr="005B4339">
        <w:rPr>
          <w:rFonts w:ascii="Times New Roman" w:hAnsi="Times New Roman" w:cs="Times New Roman"/>
          <w:noProof/>
          <w:sz w:val="24"/>
          <w:szCs w:val="24"/>
          <w:lang w:val="en-IE"/>
        </w:rPr>
        <w:t xml:space="preserve">for developing </w:t>
      </w:r>
      <w:r w:rsidR="52F26B77" w:rsidRPr="005B4339">
        <w:rPr>
          <w:rFonts w:ascii="Times New Roman" w:hAnsi="Times New Roman" w:cs="Times New Roman"/>
          <w:noProof/>
          <w:sz w:val="24"/>
          <w:szCs w:val="24"/>
          <w:lang w:val="en-IE"/>
        </w:rPr>
        <w:t>preparation</w:t>
      </w:r>
      <w:r w:rsidR="0D07266E" w:rsidRPr="005B4339">
        <w:rPr>
          <w:rFonts w:ascii="Times New Roman" w:hAnsi="Times New Roman" w:cs="Times New Roman"/>
          <w:noProof/>
          <w:sz w:val="24"/>
          <w:szCs w:val="24"/>
          <w:lang w:val="en-IE"/>
        </w:rPr>
        <w:t xml:space="preserve"> for re-use an</w:t>
      </w:r>
      <w:r w:rsidR="3BFBDAE4" w:rsidRPr="005B4339">
        <w:rPr>
          <w:rFonts w:ascii="Times New Roman" w:hAnsi="Times New Roman" w:cs="Times New Roman"/>
          <w:noProof/>
          <w:sz w:val="24"/>
          <w:szCs w:val="24"/>
          <w:lang w:val="en-IE"/>
        </w:rPr>
        <w:t>d</w:t>
      </w:r>
      <w:r w:rsidR="0D07266E" w:rsidRPr="005B4339">
        <w:rPr>
          <w:rFonts w:ascii="Times New Roman" w:hAnsi="Times New Roman" w:cs="Times New Roman"/>
          <w:noProof/>
          <w:sz w:val="24"/>
          <w:szCs w:val="24"/>
          <w:lang w:val="en-IE"/>
        </w:rPr>
        <w:t xml:space="preserve"> recycling </w:t>
      </w:r>
      <w:r w:rsidR="7F44CE6D" w:rsidRPr="005B4339">
        <w:rPr>
          <w:rFonts w:ascii="Times New Roman" w:hAnsi="Times New Roman" w:cs="Times New Roman"/>
          <w:noProof/>
          <w:sz w:val="24"/>
          <w:szCs w:val="24"/>
          <w:lang w:val="en-IE"/>
        </w:rPr>
        <w:t>infrastructure</w:t>
      </w:r>
      <w:r w:rsidR="00F718D1" w:rsidRPr="005B4339">
        <w:rPr>
          <w:rStyle w:val="FootnoteReference"/>
          <w:rFonts w:ascii="Times New Roman" w:hAnsi="Times New Roman" w:cs="Times New Roman"/>
          <w:noProof/>
          <w:sz w:val="24"/>
          <w:szCs w:val="24"/>
          <w:lang w:val="en-IE"/>
        </w:rPr>
        <w:footnoteReference w:id="116"/>
      </w:r>
      <w:r w:rsidR="7F44CE6D" w:rsidRPr="005B4339">
        <w:rPr>
          <w:rFonts w:ascii="Times New Roman" w:hAnsi="Times New Roman" w:cs="Times New Roman"/>
          <w:noProof/>
          <w:sz w:val="24"/>
          <w:szCs w:val="24"/>
          <w:lang w:val="en-IE"/>
        </w:rPr>
        <w:t>.</w:t>
      </w:r>
      <w:r w:rsidR="76680CC3" w:rsidRPr="005B4339">
        <w:rPr>
          <w:rFonts w:ascii="Times New Roman" w:hAnsi="Times New Roman" w:cs="Times New Roman"/>
          <w:noProof/>
          <w:sz w:val="24"/>
          <w:szCs w:val="24"/>
          <w:lang w:val="en-IE"/>
        </w:rPr>
        <w:t xml:space="preserve"> </w:t>
      </w:r>
      <w:r w:rsidR="00F718D1" w:rsidRPr="005B4339">
        <w:rPr>
          <w:rFonts w:ascii="Times New Roman" w:hAnsi="Times New Roman" w:cs="Times New Roman"/>
          <w:noProof/>
          <w:sz w:val="24"/>
          <w:szCs w:val="24"/>
          <w:lang w:val="en-IE"/>
        </w:rPr>
        <w:t xml:space="preserve">Concerns were </w:t>
      </w:r>
      <w:r w:rsidR="20928017" w:rsidRPr="005B4339">
        <w:rPr>
          <w:rFonts w:ascii="Times New Roman" w:hAnsi="Times New Roman" w:cs="Times New Roman"/>
          <w:noProof/>
          <w:sz w:val="24"/>
          <w:szCs w:val="24"/>
          <w:lang w:val="en-IE"/>
        </w:rPr>
        <w:t xml:space="preserve">also </w:t>
      </w:r>
      <w:r w:rsidR="00F718D1" w:rsidRPr="005B4339">
        <w:rPr>
          <w:rFonts w:ascii="Times New Roman" w:hAnsi="Times New Roman" w:cs="Times New Roman"/>
          <w:noProof/>
          <w:sz w:val="24"/>
          <w:szCs w:val="24"/>
          <w:lang w:val="en-IE"/>
        </w:rPr>
        <w:t xml:space="preserve">raised over the cost implications </w:t>
      </w:r>
      <w:r w:rsidR="6B9613C4" w:rsidRPr="005B4339">
        <w:rPr>
          <w:rFonts w:ascii="Times New Roman" w:hAnsi="Times New Roman" w:cs="Times New Roman"/>
          <w:noProof/>
          <w:sz w:val="24"/>
          <w:szCs w:val="24"/>
          <w:lang w:val="en-IE"/>
        </w:rPr>
        <w:t>and the added value of the more granular data on textiles in terms of environmental benefits.</w:t>
      </w:r>
    </w:p>
    <w:p w14:paraId="2D1F4347" w14:textId="4245F067" w:rsidR="00A339B3" w:rsidRPr="005B4339" w:rsidRDefault="00A339B3" w:rsidP="00905D17">
      <w:pPr>
        <w:spacing w:after="120"/>
        <w:rPr>
          <w:i/>
          <w:noProof/>
          <w:lang w:val="en-IE"/>
        </w:rPr>
      </w:pPr>
      <w:bookmarkStart w:id="176" w:name="_Toc133229487"/>
      <w:bookmarkStart w:id="177" w:name="_Toc139032041"/>
      <w:r w:rsidRPr="005B4339">
        <w:rPr>
          <w:i/>
          <w:noProof/>
          <w:lang w:val="en-IE"/>
        </w:rPr>
        <w:t xml:space="preserve">Table </w:t>
      </w:r>
      <w:r w:rsidR="00393DFA">
        <w:rPr>
          <w:i/>
          <w:iCs/>
          <w:noProof/>
        </w:rPr>
        <w:t>25</w:t>
      </w:r>
      <w:r w:rsidRPr="005B4339">
        <w:rPr>
          <w:i/>
          <w:noProof/>
          <w:lang w:val="en-IE"/>
        </w:rPr>
        <w:t xml:space="preserve"> : Summary of impacts for measure 2.</w:t>
      </w:r>
      <w:r w:rsidR="0CDC4E0F" w:rsidRPr="005B4339">
        <w:rPr>
          <w:i/>
          <w:noProof/>
          <w:lang w:val="en-IE"/>
        </w:rPr>
        <w:t>1</w:t>
      </w:r>
      <w:r w:rsidR="0FCA774D" w:rsidRPr="005B4339">
        <w:rPr>
          <w:i/>
          <w:noProof/>
          <w:lang w:val="en-IE"/>
        </w:rPr>
        <w:t>4</w:t>
      </w:r>
      <w:bookmarkEnd w:id="176"/>
      <w:bookmarkEnd w:id="177"/>
    </w:p>
    <w:tbl>
      <w:tblPr>
        <w:tblStyle w:val="PlainTable1"/>
        <w:tblW w:w="9268" w:type="dxa"/>
        <w:tblLook w:val="04A0" w:firstRow="1" w:lastRow="0" w:firstColumn="1" w:lastColumn="0" w:noHBand="0" w:noVBand="1"/>
      </w:tblPr>
      <w:tblGrid>
        <w:gridCol w:w="2547"/>
        <w:gridCol w:w="2268"/>
        <w:gridCol w:w="2268"/>
        <w:gridCol w:w="2185"/>
      </w:tblGrid>
      <w:tr w:rsidR="00490BAC" w:rsidRPr="005B4339" w14:paraId="37C58B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D557" w14:textId="77777777" w:rsidR="00490BAC" w:rsidRPr="005B4339" w:rsidRDefault="00490BAC">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4F3C0E"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BFA993"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D920A1" w14:textId="77777777" w:rsidR="00490BAC" w:rsidRPr="005B4339" w:rsidRDefault="00490BAC">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490BAC" w:rsidRPr="005B4339" w14:paraId="6CA276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76D471" w14:textId="56BE4A37" w:rsidR="00490BAC" w:rsidRPr="005B4339" w:rsidRDefault="00490BAC">
            <w:pPr>
              <w:jc w:val="left"/>
              <w:rPr>
                <w:noProof/>
                <w:lang w:val="en-IE"/>
              </w:rPr>
            </w:pPr>
            <w:r w:rsidRPr="005B4339">
              <w:rPr>
                <w:noProof/>
                <w:lang w:val="en-IE"/>
              </w:rPr>
              <w:t>Producers</w:t>
            </w:r>
            <w:r w:rsidR="080501D1" w:rsidRPr="005B4339">
              <w:rPr>
                <w:noProof/>
                <w:lang w:val="en-IE"/>
              </w:rPr>
              <w:t>,</w:t>
            </w:r>
            <w:r w:rsidRPr="005B4339">
              <w:rPr>
                <w:noProof/>
                <w:lang w:val="en-IE"/>
              </w:rPr>
              <w:t xml:space="preserve"> waste managers (encompassing collectors</w:t>
            </w:r>
            <w:r w:rsidR="4B5252DA" w:rsidRPr="005B4339">
              <w:rPr>
                <w:noProof/>
                <w:lang w:val="en-IE"/>
              </w:rPr>
              <w:t>,</w:t>
            </w:r>
            <w:r w:rsidRPr="005B4339">
              <w:rPr>
                <w:noProof/>
                <w:lang w:val="en-IE"/>
              </w:rPr>
              <w:t xml:space="preserve">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C06D0D" w14:textId="2329D2B8" w:rsidR="00CE56FE" w:rsidRPr="005B4339" w:rsidRDefault="00CE56FE" w:rsidP="00CE56FE">
            <w:pPr>
              <w:pStyle w:val="WDBody"/>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This measure would create administrative burden on businesses for compliance with data reporting.  The total administrative burden is e</w:t>
            </w:r>
            <w:r w:rsidR="008C0C03" w:rsidRPr="005B4339">
              <w:rPr>
                <w:rFonts w:ascii="Times New Roman" w:hAnsi="Times New Roman" w:cs="Times New Roman"/>
                <w:noProof/>
                <w:sz w:val="24"/>
                <w:szCs w:val="24"/>
                <w:lang w:val="en-IE"/>
              </w:rPr>
              <w:t xml:space="preserve">stimated at </w:t>
            </w:r>
            <w:r w:rsidRPr="005B4339">
              <w:rPr>
                <w:rFonts w:ascii="Times New Roman" w:hAnsi="Times New Roman" w:cs="Times New Roman"/>
                <w:noProof/>
                <w:sz w:val="24"/>
                <w:szCs w:val="24"/>
                <w:lang w:val="en-IE"/>
              </w:rPr>
              <w:t>750 000</w:t>
            </w:r>
            <w:r w:rsidR="008C0C03" w:rsidRPr="005B4339">
              <w:rPr>
                <w:rFonts w:ascii="Times New Roman" w:hAnsi="Times New Roman" w:cs="Times New Roman"/>
                <w:noProof/>
                <w:sz w:val="24"/>
                <w:szCs w:val="24"/>
                <w:lang w:val="en-IE"/>
              </w:rPr>
              <w:t xml:space="preserve"> euro</w:t>
            </w:r>
            <w:r w:rsidRPr="005B4339">
              <w:rPr>
                <w:rFonts w:ascii="Times New Roman" w:hAnsi="Times New Roman" w:cs="Times New Roman"/>
                <w:noProof/>
                <w:sz w:val="24"/>
                <w:szCs w:val="24"/>
                <w:lang w:val="en-IE"/>
              </w:rPr>
              <w:t xml:space="preserve"> per </w:t>
            </w:r>
            <w:r w:rsidR="00D00D1B" w:rsidRPr="005B4339">
              <w:rPr>
                <w:rFonts w:ascii="Times New Roman" w:hAnsi="Times New Roman" w:cs="Times New Roman"/>
                <w:noProof/>
                <w:sz w:val="24"/>
                <w:szCs w:val="24"/>
                <w:lang w:val="en-IE"/>
              </w:rPr>
              <w:t>year</w:t>
            </w:r>
            <w:r w:rsidRPr="005B4339">
              <w:rPr>
                <w:rFonts w:ascii="Times New Roman" w:hAnsi="Times New Roman" w:cs="Times New Roman"/>
                <w:noProof/>
                <w:sz w:val="24"/>
                <w:szCs w:val="24"/>
                <w:lang w:val="en-IE"/>
              </w:rPr>
              <w:t>.</w:t>
            </w:r>
          </w:p>
          <w:p w14:paraId="72E81AB1" w14:textId="77777777" w:rsidR="00490BAC" w:rsidRPr="005B4339" w:rsidRDefault="00CE56FE" w:rsidP="00905D17">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Such costs might result in a barrier to entry for SMEs.</w:t>
            </w:r>
          </w:p>
          <w:p w14:paraId="59C0C505" w14:textId="5485628B" w:rsidR="00490BAC" w:rsidRPr="005B4339" w:rsidRDefault="5ACC3C14" w:rsidP="00905D17">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However</w:t>
            </w:r>
            <w:r w:rsidR="5BCA12D4" w:rsidRPr="005B4339">
              <w:rPr>
                <w:noProof/>
                <w:lang w:val="en-IE"/>
              </w:rPr>
              <w:t>,</w:t>
            </w:r>
            <w:r w:rsidRPr="005B4339">
              <w:rPr>
                <w:noProof/>
                <w:lang w:val="en-IE"/>
              </w:rPr>
              <w:t xml:space="preserve"> it would improve the level playing field</w:t>
            </w:r>
            <w:r w:rsidR="38795194" w:rsidRPr="005B4339">
              <w:rPr>
                <w:noProof/>
                <w:lang w:val="en-IE"/>
              </w:rPr>
              <w:t xml:space="preserve"> through harmonised data reporting requirements across the EU and improve the knowledge base on textile value </w:t>
            </w:r>
            <w:r w:rsidR="38795194" w:rsidRPr="005B4339">
              <w:rPr>
                <w:noProof/>
                <w:lang w:val="en-IE"/>
              </w:rPr>
              <w:lastRenderedPageBreak/>
              <w:t xml:space="preserve">chain to inform decisions on further investments in textile waste management and re-use operations. </w:t>
            </w:r>
            <w:r w:rsidRPr="005B4339">
              <w:rPr>
                <w:noProof/>
                <w:lang w:val="en-IE"/>
              </w:rPr>
              <w:t xml:space="preserve"> </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34614"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B4515F"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r>
      <w:tr w:rsidR="00490BAC" w:rsidRPr="005B4339" w14:paraId="6CEE6DD5"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B2FB18" w14:textId="77777777" w:rsidR="00490BAC" w:rsidRPr="005B4339" w:rsidRDefault="00490BAC">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7A310" w14:textId="03F059C3" w:rsidR="00490BAC" w:rsidRPr="005B4339" w:rsidRDefault="00CE56FE" w:rsidP="00905D17">
            <w:pPr>
              <w:pStyle w:val="WDBody"/>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This measure would create administrative burden on public authorities </w:t>
            </w:r>
            <w:r w:rsidR="6CF9E147" w:rsidRPr="005B4339">
              <w:rPr>
                <w:rFonts w:ascii="Times New Roman" w:hAnsi="Times New Roman" w:cs="Times New Roman"/>
                <w:noProof/>
                <w:sz w:val="24"/>
                <w:szCs w:val="24"/>
                <w:lang w:val="en-IE"/>
              </w:rPr>
              <w:t xml:space="preserve">to set up data collection systems and </w:t>
            </w:r>
            <w:r w:rsidRPr="005B4339">
              <w:rPr>
                <w:rFonts w:ascii="Times New Roman" w:hAnsi="Times New Roman" w:cs="Times New Roman"/>
                <w:noProof/>
                <w:sz w:val="24"/>
                <w:szCs w:val="24"/>
                <w:lang w:val="en-IE"/>
              </w:rPr>
              <w:t xml:space="preserve">receive </w:t>
            </w:r>
            <w:r w:rsidR="6CF9E147" w:rsidRPr="005B4339">
              <w:rPr>
                <w:rFonts w:ascii="Times New Roman" w:hAnsi="Times New Roman" w:cs="Times New Roman"/>
                <w:noProof/>
                <w:sz w:val="24"/>
                <w:szCs w:val="24"/>
                <w:lang w:val="en-IE"/>
              </w:rPr>
              <w:t xml:space="preserve">and verify additional data flows </w:t>
            </w:r>
            <w:r w:rsidRPr="005B4339">
              <w:rPr>
                <w:rFonts w:ascii="Times New Roman" w:hAnsi="Times New Roman" w:cs="Times New Roman"/>
                <w:noProof/>
                <w:sz w:val="24"/>
                <w:szCs w:val="24"/>
                <w:lang w:val="en-IE"/>
              </w:rPr>
              <w:t xml:space="preserve">from </w:t>
            </w:r>
            <w:r w:rsidR="6CF9E147" w:rsidRPr="005B4339">
              <w:rPr>
                <w:rFonts w:ascii="Times New Roman" w:hAnsi="Times New Roman" w:cs="Times New Roman"/>
                <w:noProof/>
                <w:sz w:val="24"/>
                <w:szCs w:val="24"/>
                <w:lang w:val="en-IE"/>
              </w:rPr>
              <w:t xml:space="preserve">economic operators and report to the Commission. </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73A09" w14:textId="77777777" w:rsidR="00490BAC" w:rsidRPr="005B4339" w:rsidRDefault="00490BAC">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A3EF7" w14:textId="6C7A98CE" w:rsidR="00490BAC" w:rsidRPr="005B4339" w:rsidRDefault="0012776D" w:rsidP="00905D17">
            <w:pPr>
              <w:spacing w:after="120"/>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This measure would improve the level of data on textiles to enable better waste management planning.</w:t>
            </w:r>
          </w:p>
        </w:tc>
      </w:tr>
      <w:tr w:rsidR="00490BAC" w:rsidRPr="005B4339" w14:paraId="486F79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F877FF" w14:textId="77777777" w:rsidR="00490BAC" w:rsidRPr="005B4339" w:rsidRDefault="00490BAC">
            <w:pPr>
              <w:jc w:val="left"/>
              <w:rPr>
                <w:noProof/>
                <w:lang w:val="en-IE"/>
              </w:rPr>
            </w:pPr>
            <w:r w:rsidRPr="005B4339">
              <w:rPr>
                <w:noProof/>
                <w:lang w:val="en-IE"/>
              </w:rPr>
              <w:t>Citizens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02F9B" w14:textId="77777777" w:rsidR="00490BAC" w:rsidRPr="005B4339" w:rsidRDefault="00490BAC">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F091A"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D0256" w14:textId="77777777" w:rsidR="00490BAC" w:rsidRPr="005B4339" w:rsidRDefault="00490BAC">
            <w:pPr>
              <w:cnfStyle w:val="000000100000" w:firstRow="0" w:lastRow="0" w:firstColumn="0" w:lastColumn="0" w:oddVBand="0" w:evenVBand="0" w:oddHBand="1" w:evenHBand="0" w:firstRowFirstColumn="0" w:firstRowLastColumn="0" w:lastRowFirstColumn="0" w:lastRowLastColumn="0"/>
              <w:rPr>
                <w:b/>
                <w:noProof/>
                <w:lang w:val="en-IE"/>
              </w:rPr>
            </w:pPr>
          </w:p>
        </w:tc>
      </w:tr>
      <w:tr w:rsidR="00490BAC" w:rsidRPr="005B4339" w14:paraId="3F04F303"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970E08" w14:textId="77777777" w:rsidR="00490BAC" w:rsidRPr="005B4339" w:rsidRDefault="00490BAC">
            <w:pPr>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233C0" w14:textId="77777777" w:rsidR="00490BAC" w:rsidRPr="005B4339" w:rsidRDefault="00490BAC">
            <w:pPr>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84DD9" w14:textId="42830442" w:rsidR="00490BAC" w:rsidRPr="005B4339" w:rsidRDefault="000947F1">
            <w:pPr>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Limited direct environmental impacts are expected under this measure.</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F7CD6" w14:textId="77777777" w:rsidR="00490BAC" w:rsidRPr="005B4339" w:rsidRDefault="00490BAC">
            <w:pPr>
              <w:cnfStyle w:val="000000000000" w:firstRow="0" w:lastRow="0" w:firstColumn="0" w:lastColumn="0" w:oddVBand="0" w:evenVBand="0" w:oddHBand="0" w:evenHBand="0" w:firstRowFirstColumn="0" w:firstRowLastColumn="0" w:lastRowFirstColumn="0" w:lastRowLastColumn="0"/>
              <w:rPr>
                <w:b/>
                <w:noProof/>
                <w:lang w:val="en-IE"/>
              </w:rPr>
            </w:pPr>
          </w:p>
        </w:tc>
      </w:tr>
    </w:tbl>
    <w:p w14:paraId="668EDF86" w14:textId="77777777" w:rsidR="00DD49BC" w:rsidRPr="005B4339" w:rsidRDefault="00DD49BC" w:rsidP="00DD49BC">
      <w:pPr>
        <w:rPr>
          <w:b/>
          <w:noProof/>
          <w:lang w:val="en-IE"/>
        </w:rPr>
      </w:pPr>
    </w:p>
    <w:p w14:paraId="1B3466BA" w14:textId="4619CB09" w:rsidR="00DD49BC" w:rsidRPr="005B4339" w:rsidRDefault="00DD49BC" w:rsidP="00DD49BC">
      <w:pPr>
        <w:rPr>
          <w:b/>
          <w:noProof/>
          <w:lang w:val="en-IE"/>
        </w:rPr>
      </w:pPr>
      <w:r w:rsidRPr="005B4339">
        <w:rPr>
          <w:b/>
          <w:noProof/>
          <w:lang w:val="en-IE"/>
        </w:rPr>
        <w:t xml:space="preserve">Impacts on competitiveness </w:t>
      </w:r>
    </w:p>
    <w:p w14:paraId="4455B92C" w14:textId="77777777" w:rsidR="00DD49BC" w:rsidRPr="005B4339" w:rsidRDefault="00DD49BC" w:rsidP="00DD49BC">
      <w:pPr>
        <w:rPr>
          <w:noProof/>
          <w:lang w:val="en-IE"/>
        </w:rPr>
      </w:pPr>
      <w:r w:rsidRPr="005B4339">
        <w:rPr>
          <w:noProof/>
          <w:lang w:val="en-IE"/>
        </w:rPr>
        <w:t>The following impacts on competitiveness have been assessed under this measure.</w:t>
      </w:r>
    </w:p>
    <w:p w14:paraId="30D594F6" w14:textId="61D6CFF3" w:rsidR="007A75D0" w:rsidRPr="005B4339" w:rsidRDefault="007A75D0" w:rsidP="007A75D0">
      <w:pPr>
        <w:spacing w:after="120"/>
        <w:rPr>
          <w:i/>
          <w:noProof/>
          <w:lang w:val="en-IE"/>
        </w:rPr>
      </w:pPr>
      <w:bookmarkStart w:id="178" w:name="_Toc133229488"/>
      <w:bookmarkStart w:id="179" w:name="_Toc139032042"/>
      <w:bookmarkStart w:id="180" w:name="_Toc124777324"/>
      <w:r w:rsidRPr="005B4339">
        <w:rPr>
          <w:i/>
          <w:noProof/>
          <w:lang w:val="en-IE"/>
        </w:rPr>
        <w:t xml:space="preserve">Table </w:t>
      </w:r>
      <w:r w:rsidR="00393DFA">
        <w:rPr>
          <w:i/>
          <w:iCs/>
          <w:noProof/>
        </w:rPr>
        <w:t>26</w:t>
      </w:r>
      <w:r w:rsidRPr="005B4339">
        <w:rPr>
          <w:i/>
          <w:noProof/>
          <w:lang w:val="en-IE"/>
        </w:rPr>
        <w:t xml:space="preserve"> - impacts on competitiveness of measure 2.1</w:t>
      </w:r>
      <w:r w:rsidR="0A6C9552" w:rsidRPr="005B4339">
        <w:rPr>
          <w:i/>
          <w:noProof/>
          <w:lang w:val="en-IE"/>
        </w:rPr>
        <w:t>4</w:t>
      </w:r>
      <w:bookmarkEnd w:id="178"/>
      <w:bookmarkEnd w:id="179"/>
    </w:p>
    <w:tbl>
      <w:tblPr>
        <w:tblStyle w:val="TableGrid"/>
        <w:tblW w:w="0" w:type="auto"/>
        <w:tblLook w:val="04A0" w:firstRow="1" w:lastRow="0" w:firstColumn="1" w:lastColumn="0" w:noHBand="0" w:noVBand="1"/>
      </w:tblPr>
      <w:tblGrid>
        <w:gridCol w:w="2367"/>
        <w:gridCol w:w="6983"/>
      </w:tblGrid>
      <w:tr w:rsidR="00DD49BC" w:rsidRPr="005B4339" w14:paraId="048BA221" w14:textId="77777777" w:rsidTr="007A75D0">
        <w:tc>
          <w:tcPr>
            <w:tcW w:w="2367" w:type="dxa"/>
          </w:tcPr>
          <w:p w14:paraId="27ADB164"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6983" w:type="dxa"/>
          </w:tcPr>
          <w:p w14:paraId="4D7B0C17"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significant price impacts have been identified under this measure.</w:t>
            </w:r>
          </w:p>
        </w:tc>
      </w:tr>
      <w:tr w:rsidR="00DD49BC" w:rsidRPr="005B4339" w14:paraId="765F3426" w14:textId="77777777" w:rsidTr="007A75D0">
        <w:tc>
          <w:tcPr>
            <w:tcW w:w="2367" w:type="dxa"/>
          </w:tcPr>
          <w:p w14:paraId="7BD7824F"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Dynamic competitiveness impacts</w:t>
            </w:r>
          </w:p>
        </w:tc>
        <w:tc>
          <w:tcPr>
            <w:tcW w:w="6983" w:type="dxa"/>
          </w:tcPr>
          <w:p w14:paraId="15AF04FE" w14:textId="77777777" w:rsidR="00DD49BC" w:rsidRPr="005B4339" w:rsidRDefault="00DD49BC" w:rsidP="00DD49BC">
            <w:pPr>
              <w:pStyle w:val="WDBody"/>
              <w:rPr>
                <w:rFonts w:ascii="Times New Roman" w:hAnsi="Times New Roman"/>
                <w:noProof/>
                <w:sz w:val="24"/>
                <w:szCs w:val="24"/>
                <w:lang w:val="en-IE"/>
              </w:rPr>
            </w:pPr>
            <w:r w:rsidRPr="005B4339">
              <w:rPr>
                <w:rFonts w:ascii="Times New Roman" w:hAnsi="Times New Roman"/>
                <w:noProof/>
                <w:sz w:val="24"/>
                <w:szCs w:val="24"/>
                <w:lang w:val="en-IE"/>
              </w:rPr>
              <w:t xml:space="preserve">No significant dynamic competitiveness impacts have been identified under this measure.  </w:t>
            </w:r>
          </w:p>
        </w:tc>
      </w:tr>
      <w:tr w:rsidR="00DD49BC" w:rsidRPr="005B4339" w14:paraId="5E8E085B" w14:textId="77777777" w:rsidTr="007A75D0">
        <w:tc>
          <w:tcPr>
            <w:tcW w:w="2367" w:type="dxa"/>
          </w:tcPr>
          <w:p w14:paraId="3D6098A1"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Export competitiveness impacts</w:t>
            </w:r>
          </w:p>
        </w:tc>
        <w:tc>
          <w:tcPr>
            <w:tcW w:w="6983" w:type="dxa"/>
          </w:tcPr>
          <w:p w14:paraId="3DCC3806"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No significant export competitiveness impacts have been identified under this measure.</w:t>
            </w:r>
          </w:p>
        </w:tc>
      </w:tr>
      <w:tr w:rsidR="00DD49BC" w:rsidRPr="005B4339" w14:paraId="08892153" w14:textId="77777777" w:rsidTr="007A75D0">
        <w:tc>
          <w:tcPr>
            <w:tcW w:w="2367" w:type="dxa"/>
          </w:tcPr>
          <w:p w14:paraId="09E38485"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Strategic </w:t>
            </w:r>
            <w:r w:rsidRPr="005B4339">
              <w:rPr>
                <w:rFonts w:ascii="Times New Roman" w:hAnsi="Times New Roman"/>
                <w:noProof/>
                <w:sz w:val="24"/>
                <w:szCs w:val="24"/>
                <w:lang w:val="en-IE"/>
              </w:rPr>
              <w:lastRenderedPageBreak/>
              <w:t>competitiveness impacts</w:t>
            </w:r>
          </w:p>
        </w:tc>
        <w:tc>
          <w:tcPr>
            <w:tcW w:w="6983" w:type="dxa"/>
          </w:tcPr>
          <w:p w14:paraId="785FA6A6" w14:textId="77777777" w:rsidR="00DD49BC" w:rsidRPr="005B4339" w:rsidRDefault="00DD49BC" w:rsidP="00DD49BC">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No significant strategic competitiveness impacts have been identified </w:t>
            </w:r>
            <w:r w:rsidRPr="005B4339">
              <w:rPr>
                <w:rFonts w:ascii="Times New Roman" w:hAnsi="Times New Roman"/>
                <w:noProof/>
                <w:sz w:val="24"/>
                <w:szCs w:val="24"/>
                <w:lang w:val="en-IE"/>
              </w:rPr>
              <w:lastRenderedPageBreak/>
              <w:t xml:space="preserve">under this measure.  </w:t>
            </w:r>
          </w:p>
        </w:tc>
      </w:tr>
    </w:tbl>
    <w:p w14:paraId="17A36AEC" w14:textId="77777777" w:rsidR="00DD49BC" w:rsidRPr="005B4339" w:rsidRDefault="00DD49BC" w:rsidP="00DD49BC">
      <w:pPr>
        <w:rPr>
          <w:noProof/>
          <w:lang w:val="en-IE"/>
        </w:rPr>
      </w:pPr>
    </w:p>
    <w:p w14:paraId="0F5F31AB" w14:textId="5BCD6175" w:rsidR="009F116A" w:rsidRPr="005B4339" w:rsidRDefault="009F116A" w:rsidP="008F6584">
      <w:pPr>
        <w:pStyle w:val="Heading2"/>
        <w:ind w:left="480" w:firstLine="0"/>
        <w:rPr>
          <w:b w:val="0"/>
          <w:noProof/>
          <w:lang w:val="en-IE"/>
        </w:rPr>
      </w:pPr>
      <w:bookmarkStart w:id="181" w:name="_Toc68527805"/>
      <w:bookmarkStart w:id="182" w:name="_Toc2026736361"/>
      <w:bookmarkStart w:id="183" w:name="_Toc1555334371"/>
      <w:bookmarkStart w:id="184" w:name="_Toc1647695568"/>
      <w:bookmarkStart w:id="185" w:name="_Toc1216844686"/>
      <w:bookmarkStart w:id="186" w:name="_Toc358885132"/>
      <w:bookmarkStart w:id="187" w:name="_Toc125752746"/>
      <w:bookmarkStart w:id="188" w:name="_Toc1175048721"/>
      <w:bookmarkStart w:id="189" w:name="_Toc139032098"/>
      <w:r w:rsidRPr="005B4339">
        <w:rPr>
          <w:noProof/>
          <w:lang w:val="en-IE"/>
        </w:rPr>
        <w:t xml:space="preserve">Option </w:t>
      </w:r>
      <w:r w:rsidR="00E76464" w:rsidRPr="005B4339">
        <w:rPr>
          <w:noProof/>
          <w:lang w:val="en-IE"/>
        </w:rPr>
        <w:t>3</w:t>
      </w:r>
      <w:r w:rsidRPr="005B4339">
        <w:rPr>
          <w:noProof/>
          <w:lang w:val="en-IE"/>
        </w:rPr>
        <w:t xml:space="preserve">: </w:t>
      </w:r>
      <w:bookmarkEnd w:id="180"/>
      <w:r w:rsidR="006E5945" w:rsidRPr="005B4339">
        <w:rPr>
          <w:noProof/>
          <w:lang w:val="en-IE"/>
        </w:rPr>
        <w:t xml:space="preserve">Prescribing </w:t>
      </w:r>
      <w:r w:rsidR="00660569" w:rsidRPr="005B4339">
        <w:rPr>
          <w:noProof/>
          <w:lang w:val="en-IE"/>
        </w:rPr>
        <w:t xml:space="preserve">performance </w:t>
      </w:r>
      <w:r w:rsidR="006E5945" w:rsidRPr="005B4339">
        <w:rPr>
          <w:noProof/>
          <w:lang w:val="en-IE"/>
        </w:rPr>
        <w:t>targets</w:t>
      </w:r>
      <w:bookmarkEnd w:id="181"/>
      <w:bookmarkEnd w:id="182"/>
      <w:bookmarkEnd w:id="183"/>
      <w:bookmarkEnd w:id="184"/>
      <w:bookmarkEnd w:id="185"/>
      <w:bookmarkEnd w:id="186"/>
      <w:bookmarkEnd w:id="187"/>
      <w:bookmarkEnd w:id="188"/>
      <w:bookmarkEnd w:id="189"/>
    </w:p>
    <w:p w14:paraId="604D5F97" w14:textId="1ACEB803" w:rsidR="00684750" w:rsidRPr="005B4339" w:rsidRDefault="00125894" w:rsidP="00684750">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One of the advantages of using a target-based approach is that it </w:t>
      </w:r>
      <w:r w:rsidR="00B80E8E" w:rsidRPr="005B4339">
        <w:rPr>
          <w:rFonts w:ascii="Times New Roman" w:hAnsi="Times New Roman" w:cs="Times New Roman"/>
          <w:noProof/>
          <w:sz w:val="24"/>
          <w:szCs w:val="24"/>
          <w:lang w:val="en-IE"/>
        </w:rPr>
        <w:t>is a top</w:t>
      </w:r>
      <w:r w:rsidR="00AA5518" w:rsidRPr="005B4339">
        <w:rPr>
          <w:rFonts w:ascii="Times New Roman" w:hAnsi="Times New Roman" w:cs="Times New Roman"/>
          <w:noProof/>
          <w:sz w:val="24"/>
          <w:szCs w:val="24"/>
          <w:lang w:val="en-IE"/>
        </w:rPr>
        <w:t>-</w:t>
      </w:r>
      <w:r w:rsidR="00B80E8E" w:rsidRPr="005B4339">
        <w:rPr>
          <w:rFonts w:ascii="Times New Roman" w:hAnsi="Times New Roman" w:cs="Times New Roman"/>
          <w:noProof/>
          <w:sz w:val="24"/>
          <w:szCs w:val="24"/>
          <w:lang w:val="en-IE"/>
        </w:rPr>
        <w:t xml:space="preserve">down approach that aims to reach the same goal </w:t>
      </w:r>
      <w:r w:rsidRPr="005B4339">
        <w:rPr>
          <w:rFonts w:ascii="Times New Roman" w:hAnsi="Times New Roman" w:cs="Times New Roman"/>
          <w:noProof/>
          <w:sz w:val="24"/>
          <w:szCs w:val="24"/>
          <w:lang w:val="en-IE"/>
        </w:rPr>
        <w:t>for all Member States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thereby ensuring a level playing field</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whilst providing flexibility to Member States as to how the targets are achieved in practice</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thereby respecting the subsidiarity principle. This means that the measures implemented can be tailored to the </w:t>
      </w:r>
      <w:r w:rsidR="003165E4" w:rsidRPr="005B4339">
        <w:rPr>
          <w:rFonts w:ascii="Times New Roman" w:hAnsi="Times New Roman" w:cs="Times New Roman"/>
          <w:noProof/>
          <w:sz w:val="24"/>
          <w:szCs w:val="24"/>
          <w:lang w:val="en-IE"/>
        </w:rPr>
        <w:t xml:space="preserve">specific </w:t>
      </w:r>
      <w:r w:rsidR="00B80E8E" w:rsidRPr="005B4339">
        <w:rPr>
          <w:rFonts w:ascii="Times New Roman" w:hAnsi="Times New Roman" w:cs="Times New Roman"/>
          <w:noProof/>
          <w:sz w:val="24"/>
          <w:szCs w:val="24"/>
          <w:lang w:val="en-IE"/>
        </w:rPr>
        <w:t>challenges</w:t>
      </w:r>
      <w:r w:rsidRPr="005B4339">
        <w:rPr>
          <w:rFonts w:ascii="Times New Roman" w:hAnsi="Times New Roman" w:cs="Times New Roman"/>
          <w:noProof/>
          <w:sz w:val="24"/>
          <w:szCs w:val="24"/>
          <w:lang w:val="en-IE"/>
        </w:rPr>
        <w:t xml:space="preserve"> </w:t>
      </w:r>
      <w:r w:rsidR="003165E4" w:rsidRPr="005B4339">
        <w:rPr>
          <w:rFonts w:ascii="Times New Roman" w:hAnsi="Times New Roman" w:cs="Times New Roman"/>
          <w:noProof/>
          <w:sz w:val="24"/>
          <w:szCs w:val="24"/>
          <w:lang w:val="en-IE"/>
        </w:rPr>
        <w:t xml:space="preserve">of </w:t>
      </w:r>
      <w:r w:rsidR="00B80E8E" w:rsidRPr="005B4339">
        <w:rPr>
          <w:rFonts w:ascii="Times New Roman" w:hAnsi="Times New Roman" w:cs="Times New Roman"/>
          <w:noProof/>
          <w:sz w:val="24"/>
          <w:szCs w:val="24"/>
          <w:lang w:val="en-IE"/>
        </w:rPr>
        <w:t>each</w:t>
      </w:r>
      <w:r w:rsidRPr="005B4339">
        <w:rPr>
          <w:rFonts w:ascii="Times New Roman" w:hAnsi="Times New Roman" w:cs="Times New Roman"/>
          <w:noProof/>
          <w:sz w:val="24"/>
          <w:szCs w:val="24"/>
          <w:lang w:val="en-IE"/>
        </w:rPr>
        <w:t xml:space="preserve"> Member State.</w:t>
      </w:r>
      <w:r w:rsidR="00684750" w:rsidRPr="005B4339">
        <w:rPr>
          <w:rFonts w:ascii="Times New Roman" w:hAnsi="Times New Roman" w:cs="Times New Roman"/>
          <w:noProof/>
          <w:sz w:val="24"/>
          <w:szCs w:val="24"/>
          <w:lang w:val="en-IE"/>
        </w:rPr>
        <w:t xml:space="preserve"> Different types of targets can be set to encourage improvement </w:t>
      </w:r>
      <w:r w:rsidR="00C62084" w:rsidRPr="005B4339">
        <w:rPr>
          <w:rFonts w:ascii="Times New Roman" w:hAnsi="Times New Roman" w:cs="Times New Roman"/>
          <w:noProof/>
          <w:sz w:val="24"/>
          <w:szCs w:val="24"/>
          <w:lang w:val="en-IE"/>
        </w:rPr>
        <w:t xml:space="preserve">in different aspects of </w:t>
      </w:r>
      <w:r w:rsidR="00684750" w:rsidRPr="005B4339">
        <w:rPr>
          <w:rFonts w:ascii="Times New Roman" w:hAnsi="Times New Roman" w:cs="Times New Roman"/>
          <w:noProof/>
          <w:sz w:val="24"/>
          <w:szCs w:val="24"/>
          <w:lang w:val="en-IE"/>
        </w:rPr>
        <w:t>waste management. These include targets for waste generation</w:t>
      </w:r>
      <w:r w:rsidR="0099430A" w:rsidRPr="005B4339">
        <w:rPr>
          <w:rFonts w:ascii="Times New Roman" w:hAnsi="Times New Roman" w:cs="Times New Roman"/>
          <w:noProof/>
          <w:sz w:val="24"/>
          <w:szCs w:val="24"/>
          <w:lang w:val="en-IE"/>
        </w:rPr>
        <w:t xml:space="preserve"> </w:t>
      </w:r>
      <w:r w:rsidR="00684750" w:rsidRPr="005B4339">
        <w:rPr>
          <w:rFonts w:ascii="Times New Roman" w:hAnsi="Times New Roman" w:cs="Times New Roman"/>
          <w:noProof/>
          <w:sz w:val="24"/>
          <w:szCs w:val="24"/>
          <w:lang w:val="en-IE"/>
        </w:rPr>
        <w:t xml:space="preserve">separate collection for </w:t>
      </w:r>
      <w:r w:rsidR="00D96247" w:rsidRPr="005B4339">
        <w:rPr>
          <w:rFonts w:ascii="Times New Roman" w:hAnsi="Times New Roman" w:cs="Times New Roman"/>
          <w:noProof/>
          <w:sz w:val="24"/>
          <w:szCs w:val="24"/>
          <w:lang w:val="en-IE"/>
        </w:rPr>
        <w:t>reuse</w:t>
      </w:r>
      <w:r w:rsidR="00684750" w:rsidRPr="005B4339">
        <w:rPr>
          <w:rFonts w:ascii="Times New Roman" w:hAnsi="Times New Roman" w:cs="Times New Roman"/>
          <w:noProof/>
          <w:sz w:val="24"/>
          <w:szCs w:val="24"/>
          <w:lang w:val="en-IE"/>
        </w:rPr>
        <w:t xml:space="preserve"> preparation for </w:t>
      </w:r>
      <w:r w:rsidR="00D96247" w:rsidRPr="005B4339">
        <w:rPr>
          <w:rFonts w:ascii="Times New Roman" w:hAnsi="Times New Roman" w:cs="Times New Roman"/>
          <w:noProof/>
          <w:sz w:val="24"/>
          <w:szCs w:val="24"/>
          <w:lang w:val="en-IE"/>
        </w:rPr>
        <w:t>reuse</w:t>
      </w:r>
      <w:r w:rsidR="00684750" w:rsidRPr="005B4339">
        <w:rPr>
          <w:rFonts w:ascii="Times New Roman" w:hAnsi="Times New Roman" w:cs="Times New Roman"/>
          <w:noProof/>
          <w:sz w:val="24"/>
          <w:szCs w:val="24"/>
          <w:lang w:val="en-IE"/>
        </w:rPr>
        <w:t xml:space="preserve"> and recycling as well as a combined </w:t>
      </w:r>
      <w:r w:rsidR="00D96247" w:rsidRPr="005B4339">
        <w:rPr>
          <w:rFonts w:ascii="Times New Roman" w:hAnsi="Times New Roman" w:cs="Times New Roman"/>
          <w:noProof/>
          <w:sz w:val="24"/>
          <w:szCs w:val="24"/>
          <w:lang w:val="en-IE"/>
        </w:rPr>
        <w:t>reuse</w:t>
      </w:r>
      <w:r w:rsidR="00684750" w:rsidRPr="005B4339">
        <w:rPr>
          <w:rFonts w:ascii="Times New Roman" w:hAnsi="Times New Roman" w:cs="Times New Roman"/>
          <w:noProof/>
          <w:sz w:val="24"/>
          <w:szCs w:val="24"/>
          <w:lang w:val="en-IE"/>
        </w:rPr>
        <w:t xml:space="preserve"> and recycling one. These have been considered in this assessment.</w:t>
      </w:r>
    </w:p>
    <w:p w14:paraId="181262F4" w14:textId="68DC9E01" w:rsidR="007C538E" w:rsidRPr="005B4339" w:rsidRDefault="002535DA" w:rsidP="00C31E79">
      <w:pPr>
        <w:spacing w:after="120"/>
        <w:rPr>
          <w:noProof/>
          <w:lang w:val="en-IE"/>
        </w:rPr>
      </w:pPr>
      <w:r w:rsidRPr="005B4339">
        <w:rPr>
          <w:noProof/>
          <w:lang w:val="en-IE"/>
        </w:rPr>
        <w:t>T</w:t>
      </w:r>
      <w:r w:rsidR="00921D6F" w:rsidRPr="005B4339">
        <w:rPr>
          <w:noProof/>
          <w:lang w:val="en-IE"/>
        </w:rPr>
        <w:t xml:space="preserve">he biggest challenge in relation to setting targets </w:t>
      </w:r>
      <w:r w:rsidR="00662B97" w:rsidRPr="005B4339">
        <w:rPr>
          <w:noProof/>
          <w:lang w:val="en-IE"/>
        </w:rPr>
        <w:t xml:space="preserve">is to make </w:t>
      </w:r>
      <w:r w:rsidR="00921D6F" w:rsidRPr="005B4339">
        <w:rPr>
          <w:noProof/>
          <w:lang w:val="en-IE"/>
        </w:rPr>
        <w:t xml:space="preserve">sure that the targets themselves remain realistic. </w:t>
      </w:r>
      <w:r w:rsidR="00684750" w:rsidRPr="005B4339">
        <w:rPr>
          <w:noProof/>
          <w:lang w:val="en-IE"/>
        </w:rPr>
        <w:t>The problem definition explains the data challenges that exist and measure 2.1</w:t>
      </w:r>
      <w:r w:rsidR="13DD7330" w:rsidRPr="005B4339">
        <w:rPr>
          <w:noProof/>
          <w:lang w:val="en-IE"/>
        </w:rPr>
        <w:t>4</w:t>
      </w:r>
      <w:r w:rsidR="00684750" w:rsidRPr="005B4339">
        <w:rPr>
          <w:noProof/>
          <w:lang w:val="en-IE"/>
        </w:rPr>
        <w:t xml:space="preserve"> describes how they could be resolved. However</w:t>
      </w:r>
      <w:r w:rsidR="002546BC" w:rsidRPr="005B4339">
        <w:rPr>
          <w:noProof/>
          <w:lang w:val="en-IE"/>
        </w:rPr>
        <w:t>,</w:t>
      </w:r>
      <w:r w:rsidR="00684750" w:rsidRPr="005B4339">
        <w:rPr>
          <w:noProof/>
          <w:lang w:val="en-IE"/>
        </w:rPr>
        <w:t xml:space="preserve"> even with the most ambitious of timetables</w:t>
      </w:r>
      <w:r w:rsidR="5364CE36" w:rsidRPr="005B4339">
        <w:rPr>
          <w:noProof/>
          <w:lang w:val="en-IE"/>
        </w:rPr>
        <w:t>,</w:t>
      </w:r>
      <w:r w:rsidR="00684750" w:rsidRPr="005B4339">
        <w:rPr>
          <w:noProof/>
          <w:lang w:val="en-IE"/>
        </w:rPr>
        <w:t xml:space="preserve"> consistent data </w:t>
      </w:r>
      <w:r w:rsidR="000C059B" w:rsidRPr="005B4339">
        <w:rPr>
          <w:noProof/>
          <w:lang w:val="en-IE"/>
        </w:rPr>
        <w:t xml:space="preserve">to </w:t>
      </w:r>
      <w:r w:rsidR="00684750" w:rsidRPr="005B4339">
        <w:rPr>
          <w:noProof/>
          <w:lang w:val="en-IE"/>
        </w:rPr>
        <w:t>enable the setting of targets would realistically only be available in 2031</w:t>
      </w:r>
      <w:r w:rsidR="7908F571" w:rsidRPr="005B4339">
        <w:rPr>
          <w:noProof/>
          <w:lang w:val="en-IE"/>
        </w:rPr>
        <w:t xml:space="preserve"> after 2 to 3 sets of annual data are available based on improved reporting framework under measure 2.1</w:t>
      </w:r>
      <w:r w:rsidR="1A7DB52F" w:rsidRPr="005B4339">
        <w:rPr>
          <w:noProof/>
          <w:lang w:val="en-IE"/>
        </w:rPr>
        <w:t>4</w:t>
      </w:r>
      <w:r w:rsidR="00684750" w:rsidRPr="005B4339">
        <w:rPr>
          <w:noProof/>
          <w:lang w:val="en-IE"/>
        </w:rPr>
        <w:t>.</w:t>
      </w:r>
      <w:r w:rsidR="000C059B" w:rsidRPr="005B4339">
        <w:rPr>
          <w:noProof/>
          <w:lang w:val="en-IE"/>
        </w:rPr>
        <w:t xml:space="preserve"> </w:t>
      </w:r>
      <w:r w:rsidR="00D4178B" w:rsidRPr="005B4339">
        <w:rPr>
          <w:noProof/>
          <w:lang w:val="en-IE"/>
        </w:rPr>
        <w:t xml:space="preserve">Waste management targets are generally set with waste generation data as the denominator </w:t>
      </w:r>
      <w:r w:rsidR="00C62084" w:rsidRPr="005B4339">
        <w:rPr>
          <w:noProof/>
          <w:lang w:val="en-IE"/>
        </w:rPr>
        <w:t xml:space="preserve">and </w:t>
      </w:r>
      <w:r w:rsidR="00B91F44" w:rsidRPr="005B4339">
        <w:rPr>
          <w:noProof/>
          <w:lang w:val="en-IE"/>
        </w:rPr>
        <w:t xml:space="preserve">with a baseline figure </w:t>
      </w:r>
      <w:r w:rsidR="00C62084" w:rsidRPr="005B4339">
        <w:rPr>
          <w:noProof/>
          <w:lang w:val="en-IE"/>
        </w:rPr>
        <w:t xml:space="preserve">at </w:t>
      </w:r>
      <w:r w:rsidR="000D74C8" w:rsidRPr="005B4339">
        <w:rPr>
          <w:noProof/>
          <w:lang w:val="en-IE"/>
        </w:rPr>
        <w:t xml:space="preserve">a given starting year </w:t>
      </w:r>
      <w:r w:rsidR="00D4178B" w:rsidRPr="005B4339">
        <w:rPr>
          <w:noProof/>
          <w:lang w:val="en-IE"/>
        </w:rPr>
        <w:t xml:space="preserve">against which progress could be </w:t>
      </w:r>
      <w:r w:rsidR="000D74C8" w:rsidRPr="005B4339">
        <w:rPr>
          <w:noProof/>
          <w:lang w:val="en-IE"/>
        </w:rPr>
        <w:t xml:space="preserve">prescribed and subsequently </w:t>
      </w:r>
      <w:r w:rsidR="00B91F44" w:rsidRPr="005B4339">
        <w:rPr>
          <w:noProof/>
          <w:lang w:val="en-IE"/>
        </w:rPr>
        <w:t>assessed</w:t>
      </w:r>
      <w:r w:rsidR="00D4178B" w:rsidRPr="005B4339">
        <w:rPr>
          <w:noProof/>
          <w:lang w:val="en-IE"/>
        </w:rPr>
        <w:t xml:space="preserve">. </w:t>
      </w:r>
      <w:r w:rsidR="000D74C8" w:rsidRPr="005B4339">
        <w:rPr>
          <w:noProof/>
          <w:lang w:val="en-IE"/>
        </w:rPr>
        <w:t>However</w:t>
      </w:r>
      <w:r w:rsidR="3F00D4F4" w:rsidRPr="005B4339">
        <w:rPr>
          <w:noProof/>
          <w:lang w:val="en-IE"/>
        </w:rPr>
        <w:t>,</w:t>
      </w:r>
      <w:r w:rsidR="000D74C8" w:rsidRPr="005B4339">
        <w:rPr>
          <w:noProof/>
          <w:lang w:val="en-IE"/>
        </w:rPr>
        <w:t xml:space="preserve"> the current data on textile waste generation is not robust</w:t>
      </w:r>
      <w:r w:rsidR="0099430A" w:rsidRPr="005B4339">
        <w:rPr>
          <w:noProof/>
          <w:lang w:val="en-IE"/>
        </w:rPr>
        <w:t xml:space="preserve"> </w:t>
      </w:r>
      <w:r w:rsidR="00075D3B" w:rsidRPr="005B4339">
        <w:rPr>
          <w:noProof/>
          <w:lang w:val="en-IE"/>
        </w:rPr>
        <w:t xml:space="preserve">partly because of the fragmented </w:t>
      </w:r>
      <w:r w:rsidR="356E1C80" w:rsidRPr="005B4339">
        <w:rPr>
          <w:noProof/>
          <w:lang w:val="en-IE"/>
        </w:rPr>
        <w:t>understanding</w:t>
      </w:r>
      <w:r w:rsidR="00075D3B" w:rsidRPr="005B4339">
        <w:rPr>
          <w:noProof/>
          <w:lang w:val="en-IE"/>
        </w:rPr>
        <w:t xml:space="preserve"> of whether what is collected is waste or not. There is currently no sound method of estimating textile waste (collected and discarded in mixed municipal waste).</w:t>
      </w:r>
      <w:r w:rsidR="00C31E79" w:rsidRPr="005B4339">
        <w:rPr>
          <w:noProof/>
          <w:lang w:val="en-IE"/>
        </w:rPr>
        <w:t xml:space="preserve"> </w:t>
      </w:r>
    </w:p>
    <w:p w14:paraId="4D6AAF99" w14:textId="62A2BBFA" w:rsidR="007C538E" w:rsidRPr="005B4339" w:rsidRDefault="007C538E" w:rsidP="007C538E">
      <w:pPr>
        <w:spacing w:after="120"/>
        <w:rPr>
          <w:b/>
          <w:noProof/>
          <w:lang w:val="en-IE"/>
        </w:rPr>
      </w:pPr>
      <w:r w:rsidRPr="005B4339">
        <w:rPr>
          <w:b/>
          <w:noProof/>
          <w:lang w:val="en-IE"/>
        </w:rPr>
        <w:t>Key missing data/information to set sound targets and other uncertainties</w:t>
      </w:r>
    </w:p>
    <w:p w14:paraId="35D73308" w14:textId="0F574757" w:rsidR="007C538E" w:rsidRPr="005B4339" w:rsidRDefault="2F924288" w:rsidP="00CF0DFB">
      <w:pPr>
        <w:pStyle w:val="ListParagraph"/>
        <w:numPr>
          <w:ilvl w:val="0"/>
          <w:numId w:val="33"/>
        </w:numPr>
        <w:tabs>
          <w:tab w:val="left" w:pos="851"/>
        </w:tabs>
        <w:spacing w:after="120"/>
        <w:rPr>
          <w:noProof/>
          <w:lang w:val="en-IE"/>
        </w:rPr>
      </w:pPr>
      <w:r w:rsidRPr="005B4339">
        <w:rPr>
          <w:noProof/>
          <w:lang w:val="en-IE"/>
        </w:rPr>
        <w:t xml:space="preserve">Assessment of the robustness of the data on re-use of textiles to be reported to the Commission for the first time in mid-2023 under the WFD. </w:t>
      </w:r>
    </w:p>
    <w:p w14:paraId="10DF6331" w14:textId="2305CD28" w:rsidR="007C538E" w:rsidRPr="005B4339" w:rsidRDefault="00881C42" w:rsidP="00CF0DFB">
      <w:pPr>
        <w:pStyle w:val="ListParagraph"/>
        <w:numPr>
          <w:ilvl w:val="0"/>
          <w:numId w:val="33"/>
        </w:numPr>
        <w:tabs>
          <w:tab w:val="left" w:pos="851"/>
        </w:tabs>
        <w:spacing w:after="120"/>
        <w:rPr>
          <w:noProof/>
          <w:lang w:val="en-IE"/>
        </w:rPr>
      </w:pPr>
      <w:r w:rsidRPr="005B4339">
        <w:rPr>
          <w:noProof/>
          <w:lang w:val="en-IE"/>
        </w:rPr>
        <w:t>Estimate</w:t>
      </w:r>
      <w:r w:rsidR="00EB20D8" w:rsidRPr="005B4339">
        <w:rPr>
          <w:noProof/>
          <w:lang w:val="en-IE"/>
        </w:rPr>
        <w:t>d</w:t>
      </w:r>
      <w:r w:rsidRPr="005B4339">
        <w:rPr>
          <w:noProof/>
          <w:lang w:val="en-IE"/>
        </w:rPr>
        <w:t xml:space="preserve"> </w:t>
      </w:r>
      <w:r w:rsidR="007C538E" w:rsidRPr="005B4339">
        <w:rPr>
          <w:noProof/>
          <w:lang w:val="en-IE"/>
        </w:rPr>
        <w:t xml:space="preserve">apparent consumption and </w:t>
      </w:r>
      <w:r w:rsidR="005E0A91" w:rsidRPr="005B4339">
        <w:rPr>
          <w:noProof/>
          <w:lang w:val="en-IE"/>
        </w:rPr>
        <w:t>textile</w:t>
      </w:r>
      <w:r w:rsidR="008965C6" w:rsidRPr="005B4339">
        <w:rPr>
          <w:noProof/>
          <w:lang w:val="en-IE"/>
        </w:rPr>
        <w:t xml:space="preserve"> waste</w:t>
      </w:r>
      <w:r w:rsidR="005E0A91" w:rsidRPr="005B4339">
        <w:rPr>
          <w:noProof/>
          <w:lang w:val="en-IE"/>
        </w:rPr>
        <w:t xml:space="preserve"> generated </w:t>
      </w:r>
      <w:r w:rsidR="007C538E" w:rsidRPr="005B4339">
        <w:rPr>
          <w:noProof/>
          <w:lang w:val="en-IE"/>
        </w:rPr>
        <w:t xml:space="preserve">need to be fine-tuned to better assess the amounts </w:t>
      </w:r>
      <w:r w:rsidR="008F5749" w:rsidRPr="005B4339">
        <w:rPr>
          <w:noProof/>
          <w:lang w:val="en-IE"/>
        </w:rPr>
        <w:t xml:space="preserve">of unsold and returned goods as well as those </w:t>
      </w:r>
      <w:r w:rsidR="007C538E" w:rsidRPr="005B4339">
        <w:rPr>
          <w:noProof/>
          <w:lang w:val="en-IE"/>
        </w:rPr>
        <w:t xml:space="preserve">that are stored </w:t>
      </w:r>
      <w:r w:rsidR="0054379C" w:rsidRPr="005B4339">
        <w:rPr>
          <w:noProof/>
          <w:lang w:val="en-IE"/>
        </w:rPr>
        <w:t xml:space="preserve">by consumers in their households </w:t>
      </w:r>
      <w:r w:rsidR="007C538E" w:rsidRPr="005B4339">
        <w:rPr>
          <w:noProof/>
          <w:lang w:val="en-IE"/>
        </w:rPr>
        <w:t>(difference between apparent textile consumption and post-consumer waste)</w:t>
      </w:r>
      <w:r w:rsidR="00DA6518" w:rsidRPr="005B4339">
        <w:rPr>
          <w:noProof/>
          <w:lang w:val="en-IE"/>
        </w:rPr>
        <w:t xml:space="preserve"> even though these numbers are likely to be relatively small (around 5%)</w:t>
      </w:r>
      <w:r w:rsidR="009E6EC2" w:rsidRPr="005B4339">
        <w:rPr>
          <w:noProof/>
          <w:lang w:val="en-IE"/>
        </w:rPr>
        <w:t>.</w:t>
      </w:r>
    </w:p>
    <w:p w14:paraId="64ED03C6" w14:textId="49FDA361" w:rsidR="007C538E" w:rsidRPr="005B4339" w:rsidRDefault="002A7873" w:rsidP="00CF0DFB">
      <w:pPr>
        <w:pStyle w:val="ListParagraph"/>
        <w:numPr>
          <w:ilvl w:val="0"/>
          <w:numId w:val="33"/>
        </w:numPr>
        <w:tabs>
          <w:tab w:val="left" w:pos="851"/>
        </w:tabs>
        <w:spacing w:after="120"/>
        <w:rPr>
          <w:noProof/>
          <w:lang w:val="en-IE"/>
        </w:rPr>
      </w:pPr>
      <w:r w:rsidRPr="005B4339">
        <w:rPr>
          <w:noProof/>
          <w:lang w:val="en-IE"/>
        </w:rPr>
        <w:t>Updated</w:t>
      </w:r>
      <w:r w:rsidR="007C538E" w:rsidRPr="005B4339">
        <w:rPr>
          <w:noProof/>
          <w:lang w:val="en-IE"/>
        </w:rPr>
        <w:t xml:space="preserve"> assessment of </w:t>
      </w:r>
      <w:r w:rsidRPr="005B4339">
        <w:rPr>
          <w:noProof/>
          <w:lang w:val="en-IE"/>
        </w:rPr>
        <w:t xml:space="preserve">the implementation of </w:t>
      </w:r>
      <w:r w:rsidR="007C538E" w:rsidRPr="005B4339">
        <w:rPr>
          <w:noProof/>
          <w:lang w:val="en-IE"/>
        </w:rPr>
        <w:t>separate collection</w:t>
      </w:r>
      <w:r w:rsidRPr="005B4339">
        <w:rPr>
          <w:noProof/>
          <w:lang w:val="en-IE"/>
        </w:rPr>
        <w:t xml:space="preserve"> systems in the Member States</w:t>
      </w:r>
      <w:r w:rsidR="009E6EC2" w:rsidRPr="005B4339">
        <w:rPr>
          <w:noProof/>
          <w:lang w:val="en-IE"/>
        </w:rPr>
        <w:t>.</w:t>
      </w:r>
    </w:p>
    <w:p w14:paraId="73B6ACE0" w14:textId="791A1AFD" w:rsidR="007C538E" w:rsidRPr="005B4339" w:rsidRDefault="006E2C6A" w:rsidP="00CF0DFB">
      <w:pPr>
        <w:pStyle w:val="ListParagraph"/>
        <w:numPr>
          <w:ilvl w:val="0"/>
          <w:numId w:val="33"/>
        </w:numPr>
        <w:tabs>
          <w:tab w:val="left" w:pos="851"/>
        </w:tabs>
        <w:spacing w:after="120"/>
        <w:rPr>
          <w:noProof/>
          <w:lang w:val="en-IE"/>
        </w:rPr>
      </w:pPr>
      <w:r w:rsidRPr="005B4339">
        <w:rPr>
          <w:noProof/>
          <w:lang w:val="en-IE"/>
        </w:rPr>
        <w:t>Improved p</w:t>
      </w:r>
      <w:r w:rsidR="007C538E" w:rsidRPr="005B4339">
        <w:rPr>
          <w:noProof/>
          <w:lang w:val="en-IE"/>
        </w:rPr>
        <w:t>rojections of future capacities for recycling plants based on realistic capacity growth rates</w:t>
      </w:r>
      <w:r w:rsidR="009E6EC2" w:rsidRPr="005B4339">
        <w:rPr>
          <w:noProof/>
          <w:lang w:val="en-IE"/>
        </w:rPr>
        <w:t>.</w:t>
      </w:r>
    </w:p>
    <w:p w14:paraId="4213076F" w14:textId="4CBDC1A5" w:rsidR="007C538E" w:rsidRPr="005B4339" w:rsidRDefault="007C538E" w:rsidP="00CF0DFB">
      <w:pPr>
        <w:pStyle w:val="ListParagraph"/>
        <w:numPr>
          <w:ilvl w:val="0"/>
          <w:numId w:val="33"/>
        </w:numPr>
        <w:tabs>
          <w:tab w:val="left" w:pos="851"/>
        </w:tabs>
        <w:spacing w:after="120"/>
        <w:rPr>
          <w:noProof/>
          <w:lang w:val="en-IE"/>
        </w:rPr>
      </w:pPr>
      <w:r w:rsidRPr="005B4339">
        <w:rPr>
          <w:noProof/>
          <w:lang w:val="en-IE"/>
        </w:rPr>
        <w:t xml:space="preserve">Assessment to better understand </w:t>
      </w:r>
      <w:r w:rsidR="009E6EC2" w:rsidRPr="005B4339">
        <w:rPr>
          <w:noProof/>
          <w:lang w:val="en-IE"/>
        </w:rPr>
        <w:t xml:space="preserve">the economic feasibility </w:t>
      </w:r>
      <w:r w:rsidRPr="005B4339">
        <w:rPr>
          <w:noProof/>
          <w:lang w:val="en-IE"/>
        </w:rPr>
        <w:t>for recycling plants</w:t>
      </w:r>
      <w:r w:rsidR="009E6EC2" w:rsidRPr="005B4339">
        <w:rPr>
          <w:noProof/>
          <w:lang w:val="en-IE"/>
        </w:rPr>
        <w:t>.</w:t>
      </w:r>
    </w:p>
    <w:p w14:paraId="6F11031D" w14:textId="77777777" w:rsidR="007C538E" w:rsidRPr="005B4339" w:rsidRDefault="007C538E" w:rsidP="00CF0DFB">
      <w:pPr>
        <w:pStyle w:val="ListParagraph"/>
        <w:numPr>
          <w:ilvl w:val="0"/>
          <w:numId w:val="33"/>
        </w:numPr>
        <w:tabs>
          <w:tab w:val="left" w:pos="851"/>
        </w:tabs>
        <w:spacing w:after="120"/>
        <w:rPr>
          <w:noProof/>
          <w:lang w:val="en-IE"/>
        </w:rPr>
      </w:pPr>
      <w:r w:rsidRPr="005B4339">
        <w:rPr>
          <w:noProof/>
          <w:lang w:val="en-IE"/>
        </w:rPr>
        <w:t>Stakeholder feedback.</w:t>
      </w:r>
    </w:p>
    <w:p w14:paraId="402D528A" w14:textId="71E32C93" w:rsidR="009E6EC2" w:rsidRPr="005B4339" w:rsidRDefault="00866E30" w:rsidP="00662B97">
      <w:pPr>
        <w:spacing w:after="120"/>
        <w:rPr>
          <w:noProof/>
          <w:lang w:val="en-IE"/>
        </w:rPr>
      </w:pPr>
      <w:r w:rsidRPr="005B4339">
        <w:rPr>
          <w:noProof/>
          <w:lang w:val="en-IE"/>
        </w:rPr>
        <w:lastRenderedPageBreak/>
        <w:t>As explained in Annex 10</w:t>
      </w:r>
      <w:r w:rsidR="0ACCBC0E" w:rsidRPr="005B4339">
        <w:rPr>
          <w:noProof/>
          <w:lang w:val="en-IE"/>
        </w:rPr>
        <w:t>,</w:t>
      </w:r>
      <w:r w:rsidRPr="005B4339">
        <w:rPr>
          <w:noProof/>
          <w:lang w:val="en-IE"/>
        </w:rPr>
        <w:t xml:space="preserve"> the JRC </w:t>
      </w:r>
      <w:r w:rsidR="009E6EC2" w:rsidRPr="005B4339">
        <w:rPr>
          <w:noProof/>
          <w:lang w:val="en-IE"/>
        </w:rPr>
        <w:t xml:space="preserve">is working on </w:t>
      </w:r>
      <w:r w:rsidR="6E3727B9" w:rsidRPr="005B4339">
        <w:rPr>
          <w:noProof/>
          <w:lang w:val="en-IE"/>
        </w:rPr>
        <w:t>a feasibility assessment for setting future recycling</w:t>
      </w:r>
      <w:r w:rsidRPr="005B4339">
        <w:rPr>
          <w:noProof/>
          <w:lang w:val="en-IE"/>
        </w:rPr>
        <w:t xml:space="preserve"> targets </w:t>
      </w:r>
      <w:r w:rsidR="009E6EC2" w:rsidRPr="005B4339">
        <w:rPr>
          <w:noProof/>
          <w:lang w:val="en-IE"/>
        </w:rPr>
        <w:t xml:space="preserve">and their work is planned for conclusion </w:t>
      </w:r>
      <w:r w:rsidR="7E3F8EBD" w:rsidRPr="005B4339">
        <w:rPr>
          <w:noProof/>
          <w:lang w:val="en-IE"/>
        </w:rPr>
        <w:t xml:space="preserve">by the end of </w:t>
      </w:r>
      <w:r w:rsidR="009E6EC2" w:rsidRPr="005B4339">
        <w:rPr>
          <w:noProof/>
          <w:lang w:val="en-IE"/>
        </w:rPr>
        <w:t>2023.</w:t>
      </w:r>
    </w:p>
    <w:p w14:paraId="6774ECEC" w14:textId="709B7C43" w:rsidR="00684750" w:rsidRPr="005B4339" w:rsidRDefault="03CADF31" w:rsidP="00662B97">
      <w:pPr>
        <w:spacing w:after="120"/>
        <w:rPr>
          <w:noProof/>
          <w:lang w:val="en-IE"/>
        </w:rPr>
      </w:pPr>
      <w:r w:rsidRPr="005B4339">
        <w:rPr>
          <w:noProof/>
          <w:lang w:val="en-IE"/>
        </w:rPr>
        <w:t>Setting targets based on non-robust data is risky because the levels set could be unrealistic and threaten the Member States’ commitment</w:t>
      </w:r>
      <w:r w:rsidR="44473834" w:rsidRPr="005B4339">
        <w:rPr>
          <w:noProof/>
          <w:lang w:val="en-IE"/>
        </w:rPr>
        <w:t xml:space="preserve"> to achieve</w:t>
      </w:r>
      <w:r w:rsidR="00866E30" w:rsidRPr="005B4339">
        <w:rPr>
          <w:noProof/>
          <w:lang w:val="en-IE"/>
        </w:rPr>
        <w:t xml:space="preserve"> them</w:t>
      </w:r>
      <w:r w:rsidRPr="005B4339">
        <w:rPr>
          <w:noProof/>
          <w:lang w:val="en-IE"/>
        </w:rPr>
        <w:t xml:space="preserve">. </w:t>
      </w:r>
      <w:r w:rsidR="44473834" w:rsidRPr="005B4339">
        <w:rPr>
          <w:noProof/>
          <w:lang w:val="en-IE"/>
        </w:rPr>
        <w:t>Indeed</w:t>
      </w:r>
      <w:r w:rsidR="6854C377" w:rsidRPr="005B4339">
        <w:rPr>
          <w:noProof/>
          <w:lang w:val="en-IE"/>
        </w:rPr>
        <w:t>,</w:t>
      </w:r>
      <w:r w:rsidR="44473834" w:rsidRPr="005B4339">
        <w:rPr>
          <w:noProof/>
          <w:lang w:val="en-IE"/>
        </w:rPr>
        <w:t xml:space="preserve"> the </w:t>
      </w:r>
      <w:r w:rsidR="1758467C" w:rsidRPr="005B4339">
        <w:rPr>
          <w:noProof/>
          <w:lang w:val="en-IE"/>
        </w:rPr>
        <w:t xml:space="preserve">commitment from Member States </w:t>
      </w:r>
      <w:r w:rsidR="44473834" w:rsidRPr="005B4339">
        <w:rPr>
          <w:noProof/>
          <w:lang w:val="en-IE"/>
        </w:rPr>
        <w:t>is an additional challenge as such. T</w:t>
      </w:r>
      <w:r w:rsidR="1758467C" w:rsidRPr="005B4339">
        <w:rPr>
          <w:noProof/>
          <w:lang w:val="en-IE"/>
        </w:rPr>
        <w:t xml:space="preserve">here are several examples </w:t>
      </w:r>
      <w:r w:rsidR="68449950" w:rsidRPr="005B4339">
        <w:rPr>
          <w:noProof/>
          <w:lang w:val="en-IE"/>
        </w:rPr>
        <w:t xml:space="preserve">when </w:t>
      </w:r>
      <w:r w:rsidR="1758467C" w:rsidRPr="005B4339">
        <w:rPr>
          <w:noProof/>
          <w:lang w:val="en-IE"/>
        </w:rPr>
        <w:t xml:space="preserve">targets </w:t>
      </w:r>
      <w:r w:rsidR="68449950" w:rsidRPr="005B4339">
        <w:rPr>
          <w:noProof/>
          <w:lang w:val="en-IE"/>
        </w:rPr>
        <w:t xml:space="preserve">set under EU law </w:t>
      </w:r>
      <w:r w:rsidR="1758467C" w:rsidRPr="005B4339">
        <w:rPr>
          <w:noProof/>
          <w:lang w:val="en-IE"/>
        </w:rPr>
        <w:t>have proven to be challenging to achieve</w:t>
      </w:r>
      <w:r w:rsidR="53A5D403" w:rsidRPr="005B4339">
        <w:rPr>
          <w:noProof/>
          <w:lang w:val="en-IE"/>
        </w:rPr>
        <w:t>,</w:t>
      </w:r>
      <w:r w:rsidR="68449950" w:rsidRPr="005B4339">
        <w:rPr>
          <w:noProof/>
          <w:lang w:val="en-IE"/>
        </w:rPr>
        <w:t xml:space="preserve"> for example</w:t>
      </w:r>
      <w:r w:rsidR="74CD760F" w:rsidRPr="005B4339">
        <w:rPr>
          <w:noProof/>
          <w:lang w:val="en-IE"/>
        </w:rPr>
        <w:t>,</w:t>
      </w:r>
      <w:r w:rsidR="68449950" w:rsidRPr="005B4339">
        <w:rPr>
          <w:noProof/>
          <w:lang w:val="en-IE"/>
        </w:rPr>
        <w:t xml:space="preserve"> those related to </w:t>
      </w:r>
      <w:r w:rsidR="1758467C" w:rsidRPr="005B4339">
        <w:rPr>
          <w:noProof/>
          <w:lang w:val="en-IE"/>
        </w:rPr>
        <w:t>the objectives of the Water Framework Directive</w:t>
      </w:r>
      <w:r w:rsidR="1B44DCE1" w:rsidRPr="005B4339">
        <w:rPr>
          <w:noProof/>
          <w:lang w:val="en-IE"/>
        </w:rPr>
        <w:t>,</w:t>
      </w:r>
      <w:r w:rsidR="00921D6F" w:rsidRPr="005B4339">
        <w:rPr>
          <w:rStyle w:val="FootnoteReference"/>
          <w:noProof/>
          <w:lang w:val="en-IE"/>
        </w:rPr>
        <w:footnoteReference w:id="117"/>
      </w:r>
      <w:r w:rsidR="68449950" w:rsidRPr="005B4339">
        <w:rPr>
          <w:noProof/>
          <w:lang w:val="en-IE"/>
        </w:rPr>
        <w:t xml:space="preserve"> the recycling targets in the WFD itself</w:t>
      </w:r>
      <w:r w:rsidR="1758467C" w:rsidRPr="005B4339">
        <w:rPr>
          <w:noProof/>
          <w:lang w:val="en-IE"/>
        </w:rPr>
        <w:t xml:space="preserve"> and the Air Quality Directives</w:t>
      </w:r>
      <w:r w:rsidR="00921D6F" w:rsidRPr="005B4339">
        <w:rPr>
          <w:rStyle w:val="FootnoteReference"/>
          <w:noProof/>
          <w:lang w:val="en-IE"/>
        </w:rPr>
        <w:footnoteReference w:id="118"/>
      </w:r>
      <w:r w:rsidR="68449950" w:rsidRPr="005B4339">
        <w:rPr>
          <w:noProof/>
          <w:lang w:val="en-IE"/>
        </w:rPr>
        <w:t xml:space="preserve">. The </w:t>
      </w:r>
      <w:r w:rsidR="1758467C" w:rsidRPr="005B4339">
        <w:rPr>
          <w:noProof/>
          <w:lang w:val="en-IE"/>
        </w:rPr>
        <w:t>assessment</w:t>
      </w:r>
      <w:r w:rsidR="68449950" w:rsidRPr="005B4339">
        <w:rPr>
          <w:noProof/>
          <w:lang w:val="en-IE"/>
        </w:rPr>
        <w:t>s of the status quo</w:t>
      </w:r>
      <w:r w:rsidR="1758467C" w:rsidRPr="005B4339">
        <w:rPr>
          <w:noProof/>
          <w:lang w:val="en-IE"/>
        </w:rPr>
        <w:t xml:space="preserve"> have demonstrated the challenges in achieving targets </w:t>
      </w:r>
      <w:r w:rsidR="743D3831" w:rsidRPr="005B4339">
        <w:rPr>
          <w:noProof/>
          <w:lang w:val="en-IE"/>
        </w:rPr>
        <w:t>sometimes due to a series of problem drivers</w:t>
      </w:r>
      <w:r w:rsidR="1758467C" w:rsidRPr="005B4339">
        <w:rPr>
          <w:noProof/>
          <w:lang w:val="en-IE"/>
        </w:rPr>
        <w:t xml:space="preserve">. </w:t>
      </w:r>
    </w:p>
    <w:p w14:paraId="35292C31" w14:textId="52F0C722" w:rsidR="00C62122" w:rsidRPr="005B4339" w:rsidRDefault="009A63B9" w:rsidP="002546BC">
      <w:pPr>
        <w:spacing w:after="120"/>
        <w:rPr>
          <w:noProof/>
          <w:lang w:val="en-IE"/>
        </w:rPr>
      </w:pPr>
      <w:r w:rsidRPr="005B4339">
        <w:rPr>
          <w:noProof/>
          <w:lang w:val="en-IE"/>
        </w:rPr>
        <w:t>Therefore</w:t>
      </w:r>
      <w:r w:rsidR="7F76BC33" w:rsidRPr="005B4339">
        <w:rPr>
          <w:noProof/>
          <w:lang w:val="en-IE"/>
        </w:rPr>
        <w:t>,</w:t>
      </w:r>
      <w:r w:rsidRPr="005B4339">
        <w:rPr>
          <w:noProof/>
          <w:lang w:val="en-IE"/>
        </w:rPr>
        <w:t xml:space="preserve"> the sections below for measures 3.1</w:t>
      </w:r>
      <w:r w:rsidR="23A7B278" w:rsidRPr="005B4339">
        <w:rPr>
          <w:noProof/>
          <w:lang w:val="en-IE"/>
        </w:rPr>
        <w:t>,</w:t>
      </w:r>
      <w:r w:rsidRPr="005B4339">
        <w:rPr>
          <w:noProof/>
          <w:lang w:val="en-IE"/>
        </w:rPr>
        <w:t xml:space="preserve"> 3.4</w:t>
      </w:r>
      <w:r w:rsidR="26818DED" w:rsidRPr="005B4339">
        <w:rPr>
          <w:noProof/>
          <w:lang w:val="en-IE"/>
        </w:rPr>
        <w:t>,</w:t>
      </w:r>
      <w:r w:rsidR="00921D6F" w:rsidRPr="005B4339">
        <w:rPr>
          <w:noProof/>
          <w:lang w:val="en-IE"/>
        </w:rPr>
        <w:t xml:space="preserve"> 3.5</w:t>
      </w:r>
      <w:r w:rsidR="7ED9E3CF" w:rsidRPr="005B4339">
        <w:rPr>
          <w:noProof/>
          <w:lang w:val="en-IE"/>
        </w:rPr>
        <w:t>,</w:t>
      </w:r>
      <w:r w:rsidR="001E5AE7" w:rsidRPr="005B4339">
        <w:rPr>
          <w:noProof/>
          <w:lang w:val="en-IE"/>
        </w:rPr>
        <w:t xml:space="preserve"> </w:t>
      </w:r>
      <w:r w:rsidRPr="005B4339">
        <w:rPr>
          <w:noProof/>
          <w:lang w:val="en-IE"/>
        </w:rPr>
        <w:t>and 3.</w:t>
      </w:r>
      <w:r w:rsidR="001E5AE7" w:rsidRPr="005B4339">
        <w:rPr>
          <w:noProof/>
          <w:lang w:val="en-IE"/>
        </w:rPr>
        <w:t>8</w:t>
      </w:r>
      <w:r w:rsidR="00921D6F" w:rsidRPr="005B4339">
        <w:rPr>
          <w:noProof/>
          <w:lang w:val="en-IE"/>
        </w:rPr>
        <w:t xml:space="preserve"> examine the </w:t>
      </w:r>
      <w:r w:rsidR="002546BC" w:rsidRPr="005B4339">
        <w:rPr>
          <w:noProof/>
          <w:lang w:val="en-IE"/>
        </w:rPr>
        <w:t xml:space="preserve">feasibility of the </w:t>
      </w:r>
      <w:r w:rsidR="00921D6F" w:rsidRPr="005B4339">
        <w:rPr>
          <w:noProof/>
          <w:lang w:val="en-IE"/>
        </w:rPr>
        <w:t>mechanism by which a target could be set in the future and the impacts of that process</w:t>
      </w:r>
      <w:r w:rsidR="71D21F08" w:rsidRPr="005B4339">
        <w:rPr>
          <w:noProof/>
          <w:lang w:val="en-IE"/>
        </w:rPr>
        <w:t xml:space="preserve"> and not the actual levels of targets</w:t>
      </w:r>
      <w:r w:rsidR="00921D6F" w:rsidRPr="005B4339">
        <w:rPr>
          <w:noProof/>
          <w:lang w:val="en-IE"/>
        </w:rPr>
        <w:t>. In relation to setting a target for collection</w:t>
      </w:r>
      <w:r w:rsidR="246CF2DC" w:rsidRPr="005B4339">
        <w:rPr>
          <w:noProof/>
          <w:lang w:val="en-IE"/>
        </w:rPr>
        <w:t>,</w:t>
      </w:r>
      <w:r w:rsidR="00921D6F" w:rsidRPr="005B4339">
        <w:rPr>
          <w:noProof/>
          <w:lang w:val="en-IE"/>
        </w:rPr>
        <w:t xml:space="preserve"> a more detailed assessment based on an interim</w:t>
      </w:r>
      <w:r w:rsidR="0099430A" w:rsidRPr="005B4339">
        <w:rPr>
          <w:noProof/>
          <w:lang w:val="en-IE"/>
        </w:rPr>
        <w:t xml:space="preserve"> </w:t>
      </w:r>
      <w:r w:rsidR="00921D6F" w:rsidRPr="005B4339">
        <w:rPr>
          <w:noProof/>
          <w:lang w:val="en-IE"/>
        </w:rPr>
        <w:t>low ambition target is presented.</w:t>
      </w:r>
      <w:r w:rsidR="002546BC" w:rsidRPr="005B4339">
        <w:rPr>
          <w:noProof/>
          <w:lang w:val="en-IE"/>
        </w:rPr>
        <w:t xml:space="preserve"> </w:t>
      </w:r>
      <w:r w:rsidR="00C62122" w:rsidRPr="005B4339">
        <w:rPr>
          <w:noProof/>
          <w:lang w:val="en-IE"/>
        </w:rPr>
        <w:t xml:space="preserve">The setting of targets </w:t>
      </w:r>
      <w:r w:rsidR="002546BC" w:rsidRPr="005B4339">
        <w:rPr>
          <w:noProof/>
          <w:lang w:val="en-IE"/>
        </w:rPr>
        <w:t>is</w:t>
      </w:r>
      <w:r w:rsidR="00C62122" w:rsidRPr="005B4339">
        <w:rPr>
          <w:noProof/>
          <w:lang w:val="en-IE"/>
        </w:rPr>
        <w:t xml:space="preserve"> likely to have a number of common impacts as outlined below.</w:t>
      </w:r>
    </w:p>
    <w:p w14:paraId="079112AB" w14:textId="77777777" w:rsidR="00C62122" w:rsidRPr="005B4339" w:rsidRDefault="00C62122" w:rsidP="008C2052">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Economic impacts</w:t>
      </w:r>
    </w:p>
    <w:p w14:paraId="6385ECCE" w14:textId="507412A9" w:rsidR="00C62122" w:rsidRPr="005B4339" w:rsidRDefault="00C62122" w:rsidP="009241EF">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Setting targets would involve additional costs </w:t>
      </w:r>
      <w:r w:rsidR="0000525D" w:rsidRPr="005B4339">
        <w:rPr>
          <w:rFonts w:ascii="Times New Roman" w:hAnsi="Times New Roman" w:cs="Times New Roman"/>
          <w:noProof/>
          <w:sz w:val="24"/>
          <w:szCs w:val="24"/>
          <w:lang w:val="en-IE"/>
        </w:rPr>
        <w:t xml:space="preserve">in </w:t>
      </w:r>
      <w:r w:rsidRPr="005B4339">
        <w:rPr>
          <w:rFonts w:ascii="Times New Roman" w:hAnsi="Times New Roman" w:cs="Times New Roman"/>
          <w:noProof/>
          <w:sz w:val="24"/>
          <w:szCs w:val="24"/>
          <w:lang w:val="en-IE"/>
        </w:rPr>
        <w:t xml:space="preserve">those Member States that are below the targets set and </w:t>
      </w:r>
      <w:r w:rsidR="0000525D" w:rsidRPr="005B4339">
        <w:rPr>
          <w:rFonts w:ascii="Times New Roman" w:hAnsi="Times New Roman" w:cs="Times New Roman"/>
          <w:noProof/>
          <w:sz w:val="24"/>
          <w:szCs w:val="24"/>
          <w:lang w:val="en-IE"/>
        </w:rPr>
        <w:t>where relevant</w:t>
      </w:r>
      <w:r w:rsidRPr="005B4339">
        <w:rPr>
          <w:rFonts w:ascii="Times New Roman" w:hAnsi="Times New Roman" w:cs="Times New Roman"/>
          <w:noProof/>
          <w:sz w:val="24"/>
          <w:szCs w:val="24"/>
          <w:lang w:val="en-IE"/>
        </w:rPr>
        <w:t xml:space="preserve"> measures are not already foreseen</w:t>
      </w:r>
      <w:r w:rsidR="009241EF" w:rsidRPr="005B4339">
        <w:rPr>
          <w:rFonts w:ascii="Times New Roman" w:hAnsi="Times New Roman" w:cs="Times New Roman"/>
          <w:noProof/>
          <w:sz w:val="24"/>
          <w:szCs w:val="24"/>
          <w:lang w:val="en-IE"/>
        </w:rPr>
        <w:t xml:space="preserve"> to</w:t>
      </w:r>
      <w:r w:rsidRPr="005B4339">
        <w:rPr>
          <w:rFonts w:ascii="Times New Roman" w:hAnsi="Times New Roman" w:cs="Times New Roman"/>
          <w:noProof/>
          <w:sz w:val="24"/>
          <w:szCs w:val="24"/>
          <w:lang w:val="en-IE"/>
        </w:rPr>
        <w:t xml:space="preserve"> achieve the</w:t>
      </w:r>
      <w:r w:rsidR="009241EF" w:rsidRPr="005B4339">
        <w:rPr>
          <w:rFonts w:ascii="Times New Roman" w:hAnsi="Times New Roman" w:cs="Times New Roman"/>
          <w:noProof/>
          <w:sz w:val="24"/>
          <w:szCs w:val="24"/>
          <w:lang w:val="en-IE"/>
        </w:rPr>
        <w:t>m</w:t>
      </w:r>
      <w:r w:rsidRPr="005B4339">
        <w:rPr>
          <w:rFonts w:ascii="Times New Roman" w:hAnsi="Times New Roman" w:cs="Times New Roman"/>
          <w:noProof/>
          <w:sz w:val="24"/>
          <w:szCs w:val="24"/>
          <w:lang w:val="en-IE"/>
        </w:rPr>
        <w:t>. Such impacts would include</w:t>
      </w:r>
      <w:r w:rsidR="009241EF" w:rsidRPr="005B4339">
        <w:rPr>
          <w:rFonts w:ascii="Times New Roman" w:hAnsi="Times New Roman" w:cs="Times New Roman"/>
          <w:noProof/>
          <w:sz w:val="24"/>
          <w:szCs w:val="24"/>
          <w:lang w:val="en-IE"/>
        </w:rPr>
        <w:t xml:space="preserve"> investments </w:t>
      </w:r>
      <w:r w:rsidR="00C00F04" w:rsidRPr="005B4339">
        <w:rPr>
          <w:rFonts w:ascii="Times New Roman" w:hAnsi="Times New Roman" w:cs="Times New Roman"/>
          <w:noProof/>
          <w:sz w:val="24"/>
          <w:szCs w:val="24"/>
          <w:lang w:val="en-IE"/>
        </w:rPr>
        <w:t xml:space="preserve">that would have to come from public or private funding to address </w:t>
      </w:r>
      <w:r w:rsidR="00D61AF1" w:rsidRPr="005B4339">
        <w:rPr>
          <w:rFonts w:ascii="Times New Roman" w:hAnsi="Times New Roman" w:cs="Times New Roman"/>
          <w:noProof/>
          <w:sz w:val="24"/>
          <w:szCs w:val="24"/>
          <w:lang w:val="en-IE"/>
        </w:rPr>
        <w:t>several elements</w:t>
      </w:r>
      <w:r w:rsidRPr="005B4339">
        <w:rPr>
          <w:rFonts w:ascii="Times New Roman" w:hAnsi="Times New Roman" w:cs="Times New Roman"/>
          <w:noProof/>
          <w:sz w:val="24"/>
          <w:szCs w:val="24"/>
          <w:lang w:val="en-IE"/>
        </w:rPr>
        <w:t>:</w:t>
      </w:r>
    </w:p>
    <w:p w14:paraId="23DA8E01" w14:textId="1D9910A0" w:rsidR="00C62122" w:rsidRPr="005B4339" w:rsidRDefault="00C00F04" w:rsidP="00CF0DFB">
      <w:pPr>
        <w:pStyle w:val="WDBody"/>
        <w:numPr>
          <w:ilvl w:val="0"/>
          <w:numId w:val="51"/>
        </w:numPr>
        <w:spacing w:after="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C</w:t>
      </w:r>
      <w:r w:rsidR="00C62122" w:rsidRPr="005B4339">
        <w:rPr>
          <w:rFonts w:ascii="Times New Roman" w:hAnsi="Times New Roman" w:cs="Times New Roman"/>
          <w:noProof/>
          <w:sz w:val="24"/>
          <w:szCs w:val="24"/>
          <w:lang w:val="en-IE"/>
        </w:rPr>
        <w:t>ollection infrastructure</w:t>
      </w:r>
      <w:r w:rsidR="0022496A" w:rsidRPr="005B4339">
        <w:rPr>
          <w:rFonts w:ascii="Times New Roman" w:hAnsi="Times New Roman" w:cs="Times New Roman"/>
          <w:noProof/>
          <w:sz w:val="24"/>
          <w:szCs w:val="24"/>
          <w:lang w:val="en-IE"/>
        </w:rPr>
        <w:t>.</w:t>
      </w:r>
    </w:p>
    <w:p w14:paraId="128676CF" w14:textId="18BB2BF8" w:rsidR="00C62122" w:rsidRPr="005B4339" w:rsidRDefault="00C00F04" w:rsidP="00CF0DFB">
      <w:pPr>
        <w:pStyle w:val="WDBody"/>
        <w:numPr>
          <w:ilvl w:val="0"/>
          <w:numId w:val="51"/>
        </w:numPr>
        <w:spacing w:after="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Sort</w:t>
      </w:r>
      <w:r w:rsidR="00C62122" w:rsidRPr="005B4339">
        <w:rPr>
          <w:rFonts w:ascii="Times New Roman" w:hAnsi="Times New Roman" w:cs="Times New Roman"/>
          <w:noProof/>
          <w:sz w:val="24"/>
          <w:szCs w:val="24"/>
          <w:lang w:val="en-IE"/>
        </w:rPr>
        <w:t>ing infrastructure</w:t>
      </w:r>
    </w:p>
    <w:p w14:paraId="4B88B0C0" w14:textId="3FC0DD54" w:rsidR="00C62122" w:rsidRPr="005B4339" w:rsidRDefault="00C00F04" w:rsidP="00CF0DFB">
      <w:pPr>
        <w:pStyle w:val="WDBody"/>
        <w:numPr>
          <w:ilvl w:val="0"/>
          <w:numId w:val="51"/>
        </w:numPr>
        <w:spacing w:after="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R</w:t>
      </w:r>
      <w:r w:rsidR="00C62122" w:rsidRPr="005B4339">
        <w:rPr>
          <w:rFonts w:ascii="Times New Roman" w:hAnsi="Times New Roman" w:cs="Times New Roman"/>
          <w:noProof/>
          <w:sz w:val="24"/>
          <w:szCs w:val="24"/>
          <w:lang w:val="en-IE"/>
        </w:rPr>
        <w:t>epair infrastructure to enable reuse</w:t>
      </w:r>
    </w:p>
    <w:p w14:paraId="6430215B" w14:textId="53BAA624" w:rsidR="002F6498" w:rsidRPr="005B4339" w:rsidRDefault="002F6498" w:rsidP="00CF0DFB">
      <w:pPr>
        <w:pStyle w:val="WDBody"/>
        <w:numPr>
          <w:ilvl w:val="0"/>
          <w:numId w:val="51"/>
        </w:numPr>
        <w:spacing w:after="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R&amp;D to develop recycling</w:t>
      </w:r>
      <w:r w:rsidR="006C570A" w:rsidRPr="005B4339">
        <w:rPr>
          <w:rFonts w:ascii="Times New Roman" w:hAnsi="Times New Roman" w:cs="Times New Roman"/>
          <w:noProof/>
          <w:sz w:val="24"/>
          <w:szCs w:val="24"/>
          <w:lang w:val="en-IE"/>
        </w:rPr>
        <w:t xml:space="preserve"> technologies at industrial scale</w:t>
      </w:r>
    </w:p>
    <w:p w14:paraId="55F18F83" w14:textId="6339D6A9" w:rsidR="00C62122" w:rsidRPr="005B4339" w:rsidRDefault="00C00F04" w:rsidP="00CF0DFB">
      <w:pPr>
        <w:pStyle w:val="WDBody"/>
        <w:numPr>
          <w:ilvl w:val="0"/>
          <w:numId w:val="51"/>
        </w:numPr>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R</w:t>
      </w:r>
      <w:r w:rsidR="00C62122" w:rsidRPr="005B4339">
        <w:rPr>
          <w:rFonts w:ascii="Times New Roman" w:hAnsi="Times New Roman" w:cs="Times New Roman"/>
          <w:noProof/>
          <w:sz w:val="24"/>
          <w:szCs w:val="24"/>
          <w:lang w:val="en-IE"/>
        </w:rPr>
        <w:t>ecycling infrastructure to enable greater levels of recycling</w:t>
      </w:r>
    </w:p>
    <w:p w14:paraId="2DF8395B" w14:textId="5782A860" w:rsidR="00972E1F" w:rsidRPr="005B4339" w:rsidRDefault="00972E1F" w:rsidP="00972E1F">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As noted under Measure 2.</w:t>
      </w:r>
      <w:r w:rsidR="5B0E9CA9" w:rsidRPr="005B4339">
        <w:rPr>
          <w:rFonts w:ascii="Times New Roman" w:hAnsi="Times New Roman" w:cs="Times New Roman"/>
          <w:noProof/>
          <w:sz w:val="24"/>
          <w:szCs w:val="24"/>
          <w:lang w:val="en-IE"/>
        </w:rPr>
        <w:t>9</w:t>
      </w:r>
      <w:r w:rsidRPr="005B4339">
        <w:rPr>
          <w:rFonts w:ascii="Times New Roman" w:hAnsi="Times New Roman" w:cs="Times New Roman"/>
          <w:noProof/>
          <w:sz w:val="24"/>
          <w:szCs w:val="24"/>
          <w:lang w:val="en-IE"/>
        </w:rPr>
        <w:t>, the maximum likely additional cost per item would be an increase in product costs of 0.6%. In countries where EPR applies or is planned to apply then the costs would fall on the producer. Producers would either have to absorb those costs that would lower their profitability or increase the costs to consumers of the products themselves. Where EPR is not applied then costs may be met via the likes of disposal fees applied at the point of disposal or general taxation.  The spread of costs between producers and consumers would be defined at the Member State level.</w:t>
      </w:r>
    </w:p>
    <w:p w14:paraId="2F1B85A8" w14:textId="29197845" w:rsidR="00C62122" w:rsidRPr="005B4339" w:rsidRDefault="00C62122" w:rsidP="00873469">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At the same time</w:t>
      </w:r>
      <w:r w:rsidR="799457F1"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however</w:t>
      </w:r>
      <w:r w:rsidR="799457F1"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increased collection of textiles </w:t>
      </w:r>
      <w:r w:rsidR="00873469" w:rsidRPr="005B4339">
        <w:rPr>
          <w:rFonts w:ascii="Times New Roman" w:hAnsi="Times New Roman" w:cs="Times New Roman"/>
          <w:noProof/>
          <w:sz w:val="24"/>
          <w:szCs w:val="24"/>
          <w:lang w:val="en-IE"/>
        </w:rPr>
        <w:t xml:space="preserve">and the potential resulting </w:t>
      </w:r>
      <w:r w:rsidR="007975C4" w:rsidRPr="005B4339">
        <w:rPr>
          <w:rFonts w:ascii="Times New Roman" w:hAnsi="Times New Roman" w:cs="Times New Roman"/>
          <w:noProof/>
          <w:sz w:val="24"/>
          <w:szCs w:val="24"/>
          <w:lang w:val="en-IE"/>
        </w:rPr>
        <w:t xml:space="preserve">increased </w:t>
      </w:r>
      <w:r w:rsidR="00D96247" w:rsidRPr="005B4339">
        <w:rPr>
          <w:rFonts w:ascii="Times New Roman" w:hAnsi="Times New Roman" w:cs="Times New Roman"/>
          <w:noProof/>
          <w:sz w:val="24"/>
          <w:szCs w:val="24"/>
          <w:lang w:val="en-IE"/>
        </w:rPr>
        <w:t>reuse</w:t>
      </w:r>
      <w:r w:rsidR="00873469" w:rsidRPr="005B4339">
        <w:rPr>
          <w:rFonts w:ascii="Times New Roman" w:hAnsi="Times New Roman" w:cs="Times New Roman"/>
          <w:noProof/>
          <w:sz w:val="24"/>
          <w:szCs w:val="24"/>
          <w:lang w:val="en-IE"/>
        </w:rPr>
        <w:t xml:space="preserve"> and recycling </w:t>
      </w:r>
      <w:r w:rsidRPr="005B4339">
        <w:rPr>
          <w:rFonts w:ascii="Times New Roman" w:hAnsi="Times New Roman" w:cs="Times New Roman"/>
          <w:noProof/>
          <w:sz w:val="24"/>
          <w:szCs w:val="24"/>
          <w:lang w:val="en-IE"/>
        </w:rPr>
        <w:t>would result in positive economic impacts in relation to the materials reused and recycled</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driving investment in the waste management sector and the second-hand textiles market.</w:t>
      </w:r>
    </w:p>
    <w:p w14:paraId="4DE35B8B" w14:textId="77777777" w:rsidR="00C62122" w:rsidRPr="005B4339" w:rsidRDefault="00C62122" w:rsidP="008C2052">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lastRenderedPageBreak/>
        <w:t>Environmental impacts</w:t>
      </w:r>
    </w:p>
    <w:p w14:paraId="263BB159" w14:textId="3551529E" w:rsidR="00C62122" w:rsidRPr="005B4339" w:rsidRDefault="00C62122" w:rsidP="6B335793">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setting of targets would result in reductions in the environmental impact of textiles that would otherwise be predicted to remain in residual waste and subsequently be disposed.  This would reduce the environmental impacts that currently result from the disposal of textiles including GHG emissions and air pollution</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water pollution and soil and groundwater impacts including in relation to microplastics.</w:t>
      </w:r>
    </w:p>
    <w:p w14:paraId="5B0F729B" w14:textId="77777777" w:rsidR="00C62122" w:rsidRPr="005B4339" w:rsidRDefault="00C62122" w:rsidP="6B335793">
      <w:pPr>
        <w:pStyle w:val="WDBody"/>
        <w:spacing w:after="120"/>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Social impacts</w:t>
      </w:r>
    </w:p>
    <w:p w14:paraId="7AAC84E3" w14:textId="7A1447E7" w:rsidR="00C62122" w:rsidRPr="005B4339" w:rsidRDefault="00C62122" w:rsidP="6B335793">
      <w:pPr>
        <w:pStyle w:val="WDBody"/>
        <w:spacing w:after="24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Additional collection would be expected to lead to additional employment in the collection and downstream sorting and further treatment of materials that would otherwise be disposed of.  Furthermore</w:t>
      </w:r>
      <w:r w:rsidR="002546B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in relation to the social impacts of waste textiles in receiving environments targets would effectively lower these effects that is particularly important given the large proportion of EU used textiles exported to third countries where environmental controls are generally lower than those employed within the EU.</w:t>
      </w:r>
    </w:p>
    <w:p w14:paraId="4D1309C4" w14:textId="0AD55A6A" w:rsidR="00403FAF" w:rsidRPr="005B4339" w:rsidRDefault="00403FAF" w:rsidP="00403FAF">
      <w:pPr>
        <w:pStyle w:val="WDBody"/>
        <w:spacing w:after="120"/>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Impacts on competitiveness</w:t>
      </w:r>
    </w:p>
    <w:p w14:paraId="4D83C54C" w14:textId="7AF2A269" w:rsidR="00403FAF" w:rsidRPr="005B4339" w:rsidRDefault="00403FAF" w:rsidP="00403FAF">
      <w:pPr>
        <w:rPr>
          <w:noProof/>
          <w:lang w:val="en-IE"/>
        </w:rPr>
      </w:pPr>
      <w:r w:rsidRPr="005B4339">
        <w:rPr>
          <w:noProof/>
          <w:lang w:val="en-IE"/>
        </w:rPr>
        <w:t xml:space="preserve">The following impacts on competitiveness have been assessed under this group of measures qualitatively.  It should be noted that actually quantifying these impacts is not possible except in relation to measure 3.6. This is as a result of the fact that no specific targets are proposed for the other target measures and the extent of the targets and the distance away from those targets would determine the majority of competitiveness impacts.  </w:t>
      </w:r>
    </w:p>
    <w:p w14:paraId="2AD03CA6" w14:textId="27CC5194" w:rsidR="00403FAF" w:rsidRPr="005B4339" w:rsidRDefault="00403FAF" w:rsidP="00403FAF">
      <w:pPr>
        <w:spacing w:after="120"/>
        <w:rPr>
          <w:i/>
          <w:noProof/>
          <w:lang w:val="en-IE"/>
        </w:rPr>
      </w:pPr>
      <w:bookmarkStart w:id="190" w:name="_Toc133229489"/>
      <w:bookmarkStart w:id="191" w:name="_Toc139032043"/>
      <w:r w:rsidRPr="005B4339">
        <w:rPr>
          <w:i/>
          <w:noProof/>
          <w:lang w:val="en-IE"/>
        </w:rPr>
        <w:t xml:space="preserve">Table </w:t>
      </w:r>
      <w:r w:rsidR="00393DFA">
        <w:rPr>
          <w:i/>
          <w:iCs/>
          <w:noProof/>
        </w:rPr>
        <w:t>27</w:t>
      </w:r>
      <w:r w:rsidRPr="005B4339">
        <w:rPr>
          <w:i/>
          <w:noProof/>
          <w:lang w:val="en-IE"/>
        </w:rPr>
        <w:t xml:space="preserve"> - impacts on competitivenss of measure 3.1, 3.4, 3.5 and 3.8</w:t>
      </w:r>
      <w:bookmarkEnd w:id="190"/>
      <w:bookmarkEnd w:id="191"/>
    </w:p>
    <w:tbl>
      <w:tblPr>
        <w:tblStyle w:val="TableGrid"/>
        <w:tblW w:w="0" w:type="auto"/>
        <w:tblLook w:val="04A0" w:firstRow="1" w:lastRow="0" w:firstColumn="1" w:lastColumn="0" w:noHBand="0" w:noVBand="1"/>
      </w:tblPr>
      <w:tblGrid>
        <w:gridCol w:w="2376"/>
        <w:gridCol w:w="6974"/>
      </w:tblGrid>
      <w:tr w:rsidR="00403FAF" w:rsidRPr="005B4339" w14:paraId="652C4D45" w14:textId="77777777" w:rsidTr="00403FAF">
        <w:tc>
          <w:tcPr>
            <w:tcW w:w="2376" w:type="dxa"/>
          </w:tcPr>
          <w:p w14:paraId="5334E0E1"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Price competitiveness impacts</w:t>
            </w:r>
          </w:p>
        </w:tc>
        <w:tc>
          <w:tcPr>
            <w:tcW w:w="6974" w:type="dxa"/>
          </w:tcPr>
          <w:p w14:paraId="2EA403A3"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Price competitiveness impacts would generally be related to the level of compliance with the targets foreseen under the baseline and the decisions taken at the Member State level with regard to how achievement of the targets themselves should be financed in the absence of EPR.  Taking, for example, targets on reuse – for those Member States with higher levels of reuse and repair in place the costs of complying with a reuse target would be lower than those for which reuse rates are low and the repair sector is limited.  In the case of Member States with low rates and reuse and repair the investments necessary would be larger than for other Member States and the costs to comply would be higher, placing pressure on producers, customers and or waste managers depending on the manner in which a Member State chose to look to fund the necessary investments to comply with the target.  This in turn may affect the price competitiveness of that Member States textile production and discarded textile management enterprises in comparison to Member States where the necessary investments have been made. </w:t>
            </w:r>
          </w:p>
        </w:tc>
      </w:tr>
      <w:tr w:rsidR="00403FAF" w:rsidRPr="005B4339" w14:paraId="4449D487" w14:textId="77777777" w:rsidTr="00403FAF">
        <w:tc>
          <w:tcPr>
            <w:tcW w:w="2376" w:type="dxa"/>
          </w:tcPr>
          <w:p w14:paraId="6F9D2DB9"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Dynamic </w:t>
            </w:r>
            <w:r w:rsidRPr="005B4339">
              <w:rPr>
                <w:rFonts w:ascii="Times New Roman" w:hAnsi="Times New Roman"/>
                <w:noProof/>
                <w:sz w:val="24"/>
                <w:szCs w:val="24"/>
                <w:lang w:val="en-IE"/>
              </w:rPr>
              <w:lastRenderedPageBreak/>
              <w:t>competitiveness impacts</w:t>
            </w:r>
          </w:p>
        </w:tc>
        <w:tc>
          <w:tcPr>
            <w:tcW w:w="6974" w:type="dxa"/>
          </w:tcPr>
          <w:p w14:paraId="7BF0145B"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These measures have the potential to share improve research and </w:t>
            </w:r>
            <w:r w:rsidRPr="005B4339">
              <w:rPr>
                <w:rFonts w:ascii="Times New Roman" w:hAnsi="Times New Roman"/>
                <w:noProof/>
                <w:sz w:val="24"/>
                <w:szCs w:val="24"/>
                <w:lang w:val="en-IE"/>
              </w:rPr>
              <w:lastRenderedPageBreak/>
              <w:t>development across the EU in relation to waste prevention, reuse and recycling depending on the stringency of the targets set with more stringent targets generally driving the need for greater innovation to achieve those targets.</w:t>
            </w:r>
          </w:p>
        </w:tc>
      </w:tr>
      <w:tr w:rsidR="00403FAF" w:rsidRPr="005B4339" w14:paraId="5E442F1B" w14:textId="77777777" w:rsidTr="00403FAF">
        <w:tc>
          <w:tcPr>
            <w:tcW w:w="2376" w:type="dxa"/>
          </w:tcPr>
          <w:p w14:paraId="5F6B276B"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lastRenderedPageBreak/>
              <w:t>Export competitiveness impacts</w:t>
            </w:r>
          </w:p>
        </w:tc>
        <w:tc>
          <w:tcPr>
            <w:tcW w:w="6974" w:type="dxa"/>
          </w:tcPr>
          <w:p w14:paraId="2CD40EB0" w14:textId="3215BDC1"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The measures are likely to reduce the volumes of used textiles exported from the EU to third countries. This would potentially reduce the incomes of used textile exporters within the EU as whole due to the reduced volumes available to market.</w:t>
            </w:r>
          </w:p>
        </w:tc>
      </w:tr>
      <w:tr w:rsidR="00403FAF" w:rsidRPr="005B4339" w14:paraId="02E2AA29" w14:textId="77777777" w:rsidTr="00403FAF">
        <w:tc>
          <w:tcPr>
            <w:tcW w:w="2376" w:type="dxa"/>
          </w:tcPr>
          <w:p w14:paraId="78D00F59"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Strategic competitiveness impacts</w:t>
            </w:r>
          </w:p>
        </w:tc>
        <w:tc>
          <w:tcPr>
            <w:tcW w:w="6974" w:type="dxa"/>
          </w:tcPr>
          <w:p w14:paraId="60E9C2CA" w14:textId="77777777" w:rsidR="00403FAF" w:rsidRPr="005B4339" w:rsidRDefault="00403FAF" w:rsidP="00403FAF">
            <w:pPr>
              <w:pStyle w:val="WDBody"/>
              <w:spacing w:after="240" w:line="240" w:lineRule="auto"/>
              <w:jc w:val="both"/>
              <w:rPr>
                <w:rFonts w:ascii="Times New Roman" w:hAnsi="Times New Roman"/>
                <w:noProof/>
                <w:sz w:val="24"/>
                <w:szCs w:val="24"/>
                <w:lang w:val="en-IE"/>
              </w:rPr>
            </w:pPr>
            <w:r w:rsidRPr="005B4339">
              <w:rPr>
                <w:rFonts w:ascii="Times New Roman" w:hAnsi="Times New Roman"/>
                <w:noProof/>
                <w:sz w:val="24"/>
                <w:szCs w:val="24"/>
                <w:lang w:val="en-IE"/>
              </w:rPr>
              <w:t xml:space="preserve">The measures offer the opportunity to reduce the need for imports of textiles in the future as greater reuse and repair within the EU replaces the need for new textile goods to be purchased for those targets that address prevention and reuse and improvements in recycling for those measures addressing recycling reducing the need for imports of virgin textile materials – in particular natural fibres for which the EU relies heavily on third country imports.  </w:t>
            </w:r>
          </w:p>
        </w:tc>
      </w:tr>
    </w:tbl>
    <w:p w14:paraId="75E7826F" w14:textId="77777777" w:rsidR="00403FAF" w:rsidRPr="005B4339" w:rsidRDefault="00403FAF" w:rsidP="6B335793">
      <w:pPr>
        <w:pStyle w:val="WDBody"/>
        <w:spacing w:after="240"/>
        <w:jc w:val="both"/>
        <w:rPr>
          <w:rFonts w:ascii="Times New Roman" w:hAnsi="Times New Roman" w:cs="Times New Roman"/>
          <w:noProof/>
          <w:sz w:val="24"/>
          <w:szCs w:val="24"/>
          <w:lang w:val="en-IE"/>
        </w:rPr>
      </w:pPr>
    </w:p>
    <w:p w14:paraId="42DC051D" w14:textId="5BCD6175" w:rsidR="009F116A" w:rsidRPr="005B4339" w:rsidRDefault="009F116A" w:rsidP="00731D9E">
      <w:pPr>
        <w:pStyle w:val="Heading3"/>
        <w:spacing w:after="120"/>
        <w:rPr>
          <w:noProof/>
          <w:lang w:val="en-IE"/>
        </w:rPr>
      </w:pPr>
      <w:bookmarkStart w:id="192" w:name="_Toc120782621"/>
      <w:bookmarkStart w:id="193" w:name="_Toc124777325"/>
      <w:bookmarkStart w:id="194" w:name="_Toc1692558825"/>
      <w:bookmarkStart w:id="195" w:name="_Toc1331068765"/>
      <w:bookmarkStart w:id="196" w:name="_Toc811685953"/>
      <w:bookmarkStart w:id="197" w:name="_Toc246007253"/>
      <w:bookmarkStart w:id="198" w:name="_Toc1226626175"/>
      <w:bookmarkStart w:id="199" w:name="_Toc1846782859"/>
      <w:bookmarkStart w:id="200" w:name="_Toc408768761"/>
      <w:bookmarkStart w:id="201" w:name="_Toc139032099"/>
      <w:r w:rsidRPr="005B4339">
        <w:rPr>
          <w:noProof/>
          <w:lang w:val="en-IE"/>
        </w:rPr>
        <w:t xml:space="preserve">Measure </w:t>
      </w:r>
      <w:r w:rsidR="00433692" w:rsidRPr="005B4339">
        <w:rPr>
          <w:noProof/>
          <w:lang w:val="en-IE"/>
        </w:rPr>
        <w:t>3.1 –</w:t>
      </w:r>
      <w:r w:rsidRPr="005B4339">
        <w:rPr>
          <w:noProof/>
          <w:lang w:val="en-IE"/>
        </w:rPr>
        <w:t xml:space="preserve"> Setting an EU textile waste reduction target</w:t>
      </w:r>
      <w:bookmarkEnd w:id="192"/>
      <w:bookmarkEnd w:id="193"/>
      <w:bookmarkEnd w:id="194"/>
      <w:bookmarkEnd w:id="195"/>
      <w:bookmarkEnd w:id="196"/>
      <w:bookmarkEnd w:id="197"/>
      <w:bookmarkEnd w:id="198"/>
      <w:bookmarkEnd w:id="199"/>
      <w:bookmarkEnd w:id="200"/>
      <w:bookmarkEnd w:id="201"/>
    </w:p>
    <w:p w14:paraId="5777F3F0" w14:textId="2A1BDD1B" w:rsidR="00895EA4" w:rsidRPr="005B4339" w:rsidRDefault="007E0FEE" w:rsidP="00A9374F">
      <w:pPr>
        <w:spacing w:after="120"/>
        <w:rPr>
          <w:noProof/>
          <w:lang w:val="en-IE"/>
        </w:rPr>
      </w:pPr>
      <w:r w:rsidRPr="005B4339">
        <w:rPr>
          <w:noProof/>
          <w:lang w:val="en-IE"/>
        </w:rPr>
        <w:t xml:space="preserve">The objective of this measure would be to drive Member States to reduce textile waste generated in the first place. </w:t>
      </w:r>
      <w:r w:rsidR="00132C00" w:rsidRPr="005B4339">
        <w:rPr>
          <w:noProof/>
          <w:lang w:val="en-IE"/>
        </w:rPr>
        <w:t>In terms of implementation</w:t>
      </w:r>
      <w:r w:rsidR="0099430A" w:rsidRPr="005B4339">
        <w:rPr>
          <w:noProof/>
          <w:lang w:val="en-IE"/>
        </w:rPr>
        <w:t xml:space="preserve"> </w:t>
      </w:r>
      <w:r w:rsidR="00132C00" w:rsidRPr="005B4339">
        <w:rPr>
          <w:noProof/>
          <w:lang w:val="en-IE"/>
        </w:rPr>
        <w:t>t</w:t>
      </w:r>
      <w:r w:rsidRPr="005B4339">
        <w:rPr>
          <w:noProof/>
          <w:lang w:val="en-IE"/>
        </w:rPr>
        <w:t xml:space="preserve">his could </w:t>
      </w:r>
      <w:r w:rsidR="00132C00" w:rsidRPr="005B4339">
        <w:rPr>
          <w:noProof/>
          <w:lang w:val="en-IE"/>
        </w:rPr>
        <w:t>be achieved</w:t>
      </w:r>
      <w:r w:rsidR="00731D9E" w:rsidRPr="005B4339">
        <w:rPr>
          <w:noProof/>
          <w:lang w:val="en-IE"/>
        </w:rPr>
        <w:t xml:space="preserve"> through</w:t>
      </w:r>
      <w:r w:rsidRPr="005B4339">
        <w:rPr>
          <w:noProof/>
          <w:lang w:val="en-IE"/>
        </w:rPr>
        <w:t xml:space="preserve"> measures addressing reduction of textile consumption</w:t>
      </w:r>
      <w:r w:rsidR="0099430A" w:rsidRPr="005B4339">
        <w:rPr>
          <w:noProof/>
          <w:lang w:val="en-IE"/>
        </w:rPr>
        <w:t xml:space="preserve"> </w:t>
      </w:r>
      <w:r w:rsidR="00731D9E" w:rsidRPr="005B4339">
        <w:rPr>
          <w:noProof/>
          <w:lang w:val="en-IE"/>
        </w:rPr>
        <w:t xml:space="preserve">for example through </w:t>
      </w:r>
      <w:r w:rsidRPr="005B4339">
        <w:rPr>
          <w:noProof/>
          <w:lang w:val="en-IE"/>
        </w:rPr>
        <w:t xml:space="preserve">information campaigns for consumers </w:t>
      </w:r>
      <w:r w:rsidR="00731D9E" w:rsidRPr="005B4339">
        <w:rPr>
          <w:noProof/>
          <w:lang w:val="en-IE"/>
        </w:rPr>
        <w:t>or through</w:t>
      </w:r>
      <w:r w:rsidRPr="005B4339">
        <w:rPr>
          <w:noProof/>
          <w:lang w:val="en-IE"/>
        </w:rPr>
        <w:t xml:space="preserve"> specific support to the textile repair and reuse sectors. </w:t>
      </w:r>
      <w:r w:rsidR="005A623A" w:rsidRPr="005B4339">
        <w:rPr>
          <w:noProof/>
          <w:lang w:val="en-IE"/>
        </w:rPr>
        <w:t xml:space="preserve">It would also look to improve the </w:t>
      </w:r>
      <w:r w:rsidR="00731D9E" w:rsidRPr="005B4339">
        <w:rPr>
          <w:noProof/>
          <w:lang w:val="en-IE"/>
        </w:rPr>
        <w:t>way</w:t>
      </w:r>
      <w:r w:rsidR="005A623A" w:rsidRPr="005B4339">
        <w:rPr>
          <w:noProof/>
          <w:lang w:val="en-IE"/>
        </w:rPr>
        <w:t xml:space="preserve"> Member States collect textiles for </w:t>
      </w:r>
      <w:r w:rsidR="00D96247" w:rsidRPr="005B4339">
        <w:rPr>
          <w:noProof/>
          <w:lang w:val="en-IE"/>
        </w:rPr>
        <w:t>reuse</w:t>
      </w:r>
      <w:r w:rsidR="005A623A" w:rsidRPr="005B4339">
        <w:rPr>
          <w:noProof/>
          <w:lang w:val="en-IE"/>
        </w:rPr>
        <w:t xml:space="preserve"> as a way of reducing textile waste</w:t>
      </w:r>
      <w:r w:rsidR="00A9374F" w:rsidRPr="005B4339">
        <w:rPr>
          <w:noProof/>
          <w:lang w:val="en-IE"/>
        </w:rPr>
        <w:t xml:space="preserve"> by</w:t>
      </w:r>
      <w:r w:rsidR="005A623A" w:rsidRPr="005B4339">
        <w:rPr>
          <w:noProof/>
          <w:lang w:val="en-IE"/>
        </w:rPr>
        <w:t xml:space="preserve"> divert</w:t>
      </w:r>
      <w:r w:rsidR="00A9374F" w:rsidRPr="005B4339">
        <w:rPr>
          <w:noProof/>
          <w:lang w:val="en-IE"/>
        </w:rPr>
        <w:t>ing</w:t>
      </w:r>
      <w:r w:rsidR="005A623A" w:rsidRPr="005B4339">
        <w:rPr>
          <w:noProof/>
          <w:lang w:val="en-IE"/>
        </w:rPr>
        <w:t xml:space="preserve"> </w:t>
      </w:r>
      <w:r w:rsidR="0014738B" w:rsidRPr="005B4339">
        <w:rPr>
          <w:noProof/>
          <w:lang w:val="en-IE"/>
        </w:rPr>
        <w:t>reusable</w:t>
      </w:r>
      <w:r w:rsidR="005A623A" w:rsidRPr="005B4339">
        <w:rPr>
          <w:noProof/>
          <w:lang w:val="en-IE"/>
        </w:rPr>
        <w:t xml:space="preserve"> </w:t>
      </w:r>
      <w:r w:rsidR="00822E45" w:rsidRPr="005B4339">
        <w:rPr>
          <w:noProof/>
          <w:lang w:val="en-IE"/>
        </w:rPr>
        <w:t xml:space="preserve">that </w:t>
      </w:r>
      <w:r w:rsidR="005A623A" w:rsidRPr="005B4339">
        <w:rPr>
          <w:noProof/>
          <w:lang w:val="en-IE"/>
        </w:rPr>
        <w:t>are currently disposed of.</w:t>
      </w:r>
    </w:p>
    <w:p w14:paraId="16A66522" w14:textId="77777777" w:rsidR="00DB4E02" w:rsidRPr="005B4339" w:rsidRDefault="00DB4E02" w:rsidP="00132C00">
      <w:pPr>
        <w:spacing w:after="120"/>
        <w:rPr>
          <w:b/>
          <w:noProof/>
          <w:color w:val="000000"/>
          <w:lang w:val="en-IE"/>
        </w:rPr>
      </w:pPr>
      <w:r w:rsidRPr="005B4339">
        <w:rPr>
          <w:b/>
          <w:noProof/>
          <w:color w:val="000000"/>
          <w:lang w:val="en-IE"/>
        </w:rPr>
        <w:t>Impact on SMEs and social enterprises</w:t>
      </w:r>
    </w:p>
    <w:p w14:paraId="25B9518C" w14:textId="1B676280" w:rsidR="00DB4E02" w:rsidRPr="005B4339" w:rsidRDefault="00B92132" w:rsidP="00DB4E02">
      <w:pPr>
        <w:rPr>
          <w:noProof/>
          <w:color w:val="000000"/>
          <w:lang w:val="en-IE"/>
        </w:rPr>
      </w:pPr>
      <w:r w:rsidRPr="005B4339">
        <w:rPr>
          <w:noProof/>
          <w:color w:val="000000" w:themeColor="text1"/>
          <w:lang w:val="en-IE"/>
        </w:rPr>
        <w:t>Most</w:t>
      </w:r>
      <w:r w:rsidR="00DB4E02" w:rsidRPr="005B4339">
        <w:rPr>
          <w:noProof/>
          <w:color w:val="000000" w:themeColor="text1"/>
          <w:lang w:val="en-IE"/>
        </w:rPr>
        <w:t xml:space="preserve"> producers of textiles within the EU are SMEs</w:t>
      </w:r>
      <w:r w:rsidRPr="005B4339">
        <w:rPr>
          <w:noProof/>
          <w:color w:val="000000" w:themeColor="text1"/>
          <w:lang w:val="en-IE"/>
        </w:rPr>
        <w:t xml:space="preserve"> as are</w:t>
      </w:r>
      <w:r w:rsidR="00DB4E02" w:rsidRPr="005B4339">
        <w:rPr>
          <w:noProof/>
          <w:color w:val="000000" w:themeColor="text1"/>
          <w:lang w:val="en-IE"/>
        </w:rPr>
        <w:t xml:space="preserve"> </w:t>
      </w:r>
      <w:r w:rsidR="002546BC" w:rsidRPr="005B4339">
        <w:rPr>
          <w:noProof/>
          <w:color w:val="000000" w:themeColor="text1"/>
          <w:lang w:val="en-IE"/>
        </w:rPr>
        <w:t>most</w:t>
      </w:r>
      <w:r w:rsidR="00DB4E02" w:rsidRPr="005B4339">
        <w:rPr>
          <w:noProof/>
          <w:color w:val="000000" w:themeColor="text1"/>
          <w:lang w:val="en-IE"/>
        </w:rPr>
        <w:t xml:space="preserve"> </w:t>
      </w:r>
      <w:r w:rsidRPr="005B4339">
        <w:rPr>
          <w:noProof/>
          <w:color w:val="000000" w:themeColor="text1"/>
          <w:lang w:val="en-IE"/>
        </w:rPr>
        <w:t xml:space="preserve">actors </w:t>
      </w:r>
      <w:r w:rsidR="00DB4E02" w:rsidRPr="005B4339">
        <w:rPr>
          <w:noProof/>
          <w:color w:val="000000" w:themeColor="text1"/>
          <w:lang w:val="en-IE"/>
        </w:rPr>
        <w:t>involved in collecting textiles</w:t>
      </w:r>
      <w:r w:rsidRPr="005B4339">
        <w:rPr>
          <w:noProof/>
          <w:color w:val="000000" w:themeColor="text1"/>
          <w:lang w:val="en-IE"/>
        </w:rPr>
        <w:t xml:space="preserve"> that are mainly </w:t>
      </w:r>
      <w:r w:rsidR="00DB4E02" w:rsidRPr="005B4339">
        <w:rPr>
          <w:noProof/>
          <w:color w:val="000000" w:themeColor="text1"/>
          <w:lang w:val="en-IE"/>
        </w:rPr>
        <w:t>social enterprises</w:t>
      </w:r>
      <w:r w:rsidRPr="005B4339">
        <w:rPr>
          <w:noProof/>
          <w:color w:val="000000" w:themeColor="text1"/>
          <w:lang w:val="en-IE"/>
        </w:rPr>
        <w:t xml:space="preserve">. The separate collection </w:t>
      </w:r>
      <w:r w:rsidR="00DB4E02" w:rsidRPr="005B4339">
        <w:rPr>
          <w:noProof/>
          <w:color w:val="000000" w:themeColor="text1"/>
          <w:lang w:val="en-IE"/>
        </w:rPr>
        <w:t xml:space="preserve">obligation </w:t>
      </w:r>
      <w:r w:rsidRPr="005B4339">
        <w:rPr>
          <w:noProof/>
          <w:color w:val="000000" w:themeColor="text1"/>
          <w:lang w:val="en-IE"/>
        </w:rPr>
        <w:t xml:space="preserve">for </w:t>
      </w:r>
      <w:r w:rsidR="00DB4E02" w:rsidRPr="005B4339">
        <w:rPr>
          <w:noProof/>
          <w:color w:val="000000" w:themeColor="text1"/>
          <w:lang w:val="en-IE"/>
        </w:rPr>
        <w:t xml:space="preserve">textiles would at least in part be expected to be implemented by these enterprises in collaboration with Member States. As noted above with increasing collection the revenue from reuse and recycling is also likely to increase to </w:t>
      </w:r>
      <w:r w:rsidRPr="005B4339">
        <w:rPr>
          <w:noProof/>
          <w:color w:val="000000" w:themeColor="text1"/>
          <w:lang w:val="en-IE"/>
        </w:rPr>
        <w:t xml:space="preserve">partly </w:t>
      </w:r>
      <w:r w:rsidR="00DB4E02" w:rsidRPr="005B4339">
        <w:rPr>
          <w:noProof/>
          <w:color w:val="000000" w:themeColor="text1"/>
          <w:lang w:val="en-IE"/>
        </w:rPr>
        <w:t xml:space="preserve">offset the additional costs that will be required to implement the sorting requirements. The intention of the measure is to avoid disrupting the business model of social enterprises and with this in mind Member States should work alongside social enterprises to limit any such disruption in meeting this target. </w:t>
      </w:r>
      <w:r w:rsidR="00C55557" w:rsidRPr="005B4339">
        <w:rPr>
          <w:noProof/>
          <w:color w:val="000000" w:themeColor="text1"/>
          <w:lang w:val="en-IE"/>
        </w:rPr>
        <w:t>Therefore</w:t>
      </w:r>
      <w:r w:rsidR="002546BC" w:rsidRPr="005B4339">
        <w:rPr>
          <w:noProof/>
          <w:color w:val="000000" w:themeColor="text1"/>
          <w:lang w:val="en-IE"/>
        </w:rPr>
        <w:t>,</w:t>
      </w:r>
      <w:r w:rsidR="00C55557" w:rsidRPr="005B4339">
        <w:rPr>
          <w:noProof/>
          <w:color w:val="000000" w:themeColor="text1"/>
          <w:lang w:val="en-IE"/>
        </w:rPr>
        <w:t xml:space="preserve"> a waste reduction target </w:t>
      </w:r>
      <w:r w:rsidR="00DB4E02" w:rsidRPr="005B4339">
        <w:rPr>
          <w:noProof/>
          <w:color w:val="000000" w:themeColor="text1"/>
          <w:lang w:val="en-IE"/>
        </w:rPr>
        <w:t>would be likely to fall mainly on SMEs</w:t>
      </w:r>
      <w:r w:rsidR="0099430A" w:rsidRPr="005B4339">
        <w:rPr>
          <w:noProof/>
          <w:color w:val="000000" w:themeColor="text1"/>
          <w:lang w:val="en-IE"/>
        </w:rPr>
        <w:t xml:space="preserve"> </w:t>
      </w:r>
      <w:r w:rsidR="00C55557" w:rsidRPr="005B4339">
        <w:rPr>
          <w:noProof/>
          <w:color w:val="000000" w:themeColor="text1"/>
          <w:lang w:val="en-IE"/>
        </w:rPr>
        <w:t xml:space="preserve">to a certain </w:t>
      </w:r>
      <w:r w:rsidR="00DB4E02" w:rsidRPr="005B4339">
        <w:rPr>
          <w:noProof/>
          <w:color w:val="000000" w:themeColor="text1"/>
          <w:lang w:val="en-IE"/>
        </w:rPr>
        <w:t xml:space="preserve">extent </w:t>
      </w:r>
      <w:r w:rsidR="00C55557" w:rsidRPr="005B4339">
        <w:rPr>
          <w:noProof/>
          <w:color w:val="000000" w:themeColor="text1"/>
          <w:lang w:val="en-IE"/>
        </w:rPr>
        <w:t xml:space="preserve">on </w:t>
      </w:r>
      <w:r w:rsidR="00DB4E02" w:rsidRPr="005B4339">
        <w:rPr>
          <w:noProof/>
          <w:color w:val="000000" w:themeColor="text1"/>
          <w:lang w:val="en-IE"/>
        </w:rPr>
        <w:t>social enterprises. The precise impacts would be dependent upon the approaches employed by Member States to meet the targets concerned.</w:t>
      </w:r>
    </w:p>
    <w:p w14:paraId="3D0F5C63" w14:textId="42E9FDC5" w:rsidR="00771AEA" w:rsidRPr="005B4339" w:rsidRDefault="00771AEA" w:rsidP="00771AEA">
      <w:pPr>
        <w:pStyle w:val="WDBody"/>
        <w:spacing w:after="120"/>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0BDD13F4" w14:textId="74D2A3B3" w:rsidR="007279DB" w:rsidRPr="005B4339" w:rsidRDefault="00C55557" w:rsidP="00E61009">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All stakeholders </w:t>
      </w:r>
      <w:r w:rsidR="00A8441D" w:rsidRPr="005B4339">
        <w:rPr>
          <w:rFonts w:ascii="Times New Roman" w:hAnsi="Times New Roman" w:cs="Times New Roman"/>
          <w:noProof/>
          <w:sz w:val="24"/>
          <w:szCs w:val="24"/>
          <w:lang w:val="en-IE"/>
        </w:rPr>
        <w:t>in both of the textile workshops</w:t>
      </w:r>
      <w:r w:rsidR="007279DB"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agreed </w:t>
      </w:r>
      <w:r w:rsidR="007279DB" w:rsidRPr="005B4339">
        <w:rPr>
          <w:rFonts w:ascii="Times New Roman" w:hAnsi="Times New Roman" w:cs="Times New Roman"/>
          <w:noProof/>
          <w:sz w:val="24"/>
          <w:szCs w:val="24"/>
          <w:lang w:val="en-IE"/>
        </w:rPr>
        <w:t xml:space="preserve">that there was a need </w:t>
      </w:r>
      <w:r w:rsidRPr="005B4339">
        <w:rPr>
          <w:rFonts w:ascii="Times New Roman" w:hAnsi="Times New Roman" w:cs="Times New Roman"/>
          <w:noProof/>
          <w:sz w:val="24"/>
          <w:szCs w:val="24"/>
          <w:lang w:val="en-IE"/>
        </w:rPr>
        <w:t>to</w:t>
      </w:r>
      <w:r w:rsidR="007279DB" w:rsidRPr="005B4339">
        <w:rPr>
          <w:rFonts w:ascii="Times New Roman" w:hAnsi="Times New Roman" w:cs="Times New Roman"/>
          <w:noProof/>
          <w:sz w:val="24"/>
          <w:szCs w:val="24"/>
          <w:lang w:val="en-IE"/>
        </w:rPr>
        <w:t xml:space="preserve"> reduce the fraction of textiles in mixed household waste</w:t>
      </w:r>
      <w:r w:rsidR="00E61009" w:rsidRPr="005B4339">
        <w:rPr>
          <w:rFonts w:ascii="Times New Roman" w:hAnsi="Times New Roman" w:cs="Times New Roman"/>
          <w:noProof/>
          <w:sz w:val="24"/>
          <w:szCs w:val="24"/>
          <w:lang w:val="en-IE"/>
        </w:rPr>
        <w:t>. Ho</w:t>
      </w:r>
      <w:r w:rsidR="007279DB" w:rsidRPr="005B4339">
        <w:rPr>
          <w:rFonts w:ascii="Times New Roman" w:hAnsi="Times New Roman" w:cs="Times New Roman"/>
          <w:noProof/>
          <w:sz w:val="24"/>
          <w:szCs w:val="24"/>
          <w:lang w:val="en-IE"/>
        </w:rPr>
        <w:t>wever</w:t>
      </w:r>
      <w:r w:rsidR="002546BC" w:rsidRPr="005B4339">
        <w:rPr>
          <w:rFonts w:ascii="Times New Roman" w:hAnsi="Times New Roman" w:cs="Times New Roman"/>
          <w:noProof/>
          <w:sz w:val="24"/>
          <w:szCs w:val="24"/>
          <w:lang w:val="en-IE"/>
        </w:rPr>
        <w:t>,</w:t>
      </w:r>
      <w:r w:rsidR="007279DB" w:rsidRPr="005B4339">
        <w:rPr>
          <w:rFonts w:ascii="Times New Roman" w:hAnsi="Times New Roman" w:cs="Times New Roman"/>
          <w:noProof/>
          <w:sz w:val="24"/>
          <w:szCs w:val="24"/>
          <w:lang w:val="en-IE"/>
        </w:rPr>
        <w:t xml:space="preserve"> it was suggested that</w:t>
      </w:r>
      <w:r w:rsidR="7EED2028" w:rsidRPr="005B4339">
        <w:rPr>
          <w:rFonts w:ascii="Times New Roman" w:hAnsi="Times New Roman" w:cs="Times New Roman"/>
          <w:noProof/>
          <w:sz w:val="24"/>
          <w:szCs w:val="24"/>
          <w:lang w:val="en-IE"/>
        </w:rPr>
        <w:t xml:space="preserve">, where an EPR </w:t>
      </w:r>
      <w:r w:rsidR="007279DB" w:rsidRPr="005B4339">
        <w:rPr>
          <w:rFonts w:ascii="Times New Roman" w:hAnsi="Times New Roman" w:cs="Times New Roman"/>
          <w:noProof/>
          <w:sz w:val="24"/>
          <w:szCs w:val="24"/>
          <w:lang w:val="en-IE"/>
        </w:rPr>
        <w:t xml:space="preserve">is </w:t>
      </w:r>
      <w:r w:rsidR="7EED2028" w:rsidRPr="005B4339">
        <w:rPr>
          <w:rFonts w:ascii="Times New Roman" w:hAnsi="Times New Roman" w:cs="Times New Roman"/>
          <w:noProof/>
          <w:sz w:val="24"/>
          <w:szCs w:val="24"/>
          <w:lang w:val="en-IE"/>
        </w:rPr>
        <w:lastRenderedPageBreak/>
        <w:t xml:space="preserve">established, </w:t>
      </w:r>
      <w:r w:rsidR="007279DB" w:rsidRPr="005B4339">
        <w:rPr>
          <w:rFonts w:ascii="Times New Roman" w:hAnsi="Times New Roman" w:cs="Times New Roman"/>
          <w:noProof/>
          <w:sz w:val="24"/>
          <w:szCs w:val="24"/>
          <w:lang w:val="en-IE"/>
        </w:rPr>
        <w:t>in its early stages</w:t>
      </w:r>
      <w:r w:rsidR="0099430A" w:rsidRPr="005B4339">
        <w:rPr>
          <w:rFonts w:ascii="Times New Roman" w:hAnsi="Times New Roman" w:cs="Times New Roman"/>
          <w:noProof/>
          <w:sz w:val="24"/>
          <w:szCs w:val="24"/>
          <w:lang w:val="en-IE"/>
        </w:rPr>
        <w:t xml:space="preserve"> </w:t>
      </w:r>
      <w:r w:rsidR="7EED2028" w:rsidRPr="005B4339">
        <w:rPr>
          <w:rFonts w:ascii="Times New Roman" w:hAnsi="Times New Roman" w:cs="Times New Roman"/>
          <w:noProof/>
          <w:sz w:val="24"/>
          <w:szCs w:val="24"/>
          <w:lang w:val="en-IE"/>
        </w:rPr>
        <w:t>targets</w:t>
      </w:r>
      <w:r w:rsidR="4EEC626F" w:rsidRPr="005B4339">
        <w:rPr>
          <w:rFonts w:ascii="Times New Roman" w:hAnsi="Times New Roman" w:cs="Times New Roman"/>
          <w:noProof/>
          <w:sz w:val="24"/>
          <w:szCs w:val="24"/>
          <w:lang w:val="en-IE"/>
        </w:rPr>
        <w:t>are</w:t>
      </w:r>
      <w:r w:rsidR="007279DB" w:rsidRPr="005B4339">
        <w:rPr>
          <w:rFonts w:ascii="Times New Roman" w:hAnsi="Times New Roman" w:cs="Times New Roman"/>
          <w:noProof/>
          <w:sz w:val="24"/>
          <w:szCs w:val="24"/>
          <w:lang w:val="en-IE"/>
        </w:rPr>
        <w:t xml:space="preserve"> not a priority and could be implemented later</w:t>
      </w:r>
      <w:r w:rsidR="0099430A" w:rsidRPr="005B4339">
        <w:rPr>
          <w:rFonts w:ascii="Times New Roman" w:hAnsi="Times New Roman" w:cs="Times New Roman"/>
          <w:noProof/>
          <w:sz w:val="24"/>
          <w:szCs w:val="24"/>
          <w:lang w:val="en-IE"/>
        </w:rPr>
        <w:t xml:space="preserve"> </w:t>
      </w:r>
      <w:r w:rsidR="007279DB" w:rsidRPr="005B4339">
        <w:rPr>
          <w:rFonts w:ascii="Times New Roman" w:hAnsi="Times New Roman" w:cs="Times New Roman"/>
          <w:noProof/>
          <w:sz w:val="24"/>
          <w:szCs w:val="24"/>
          <w:lang w:val="en-IE"/>
        </w:rPr>
        <w:t>and</w:t>
      </w:r>
      <w:r w:rsidR="007D66F9" w:rsidRPr="005B4339">
        <w:rPr>
          <w:rFonts w:ascii="Times New Roman" w:hAnsi="Times New Roman" w:cs="Times New Roman"/>
          <w:noProof/>
          <w:sz w:val="24"/>
          <w:szCs w:val="24"/>
          <w:lang w:val="en-IE"/>
        </w:rPr>
        <w:t xml:space="preserve"> – </w:t>
      </w:r>
      <w:r w:rsidR="007279DB" w:rsidRPr="005B4339">
        <w:rPr>
          <w:rFonts w:ascii="Times New Roman" w:hAnsi="Times New Roman" w:cs="Times New Roman"/>
          <w:noProof/>
          <w:sz w:val="24"/>
          <w:szCs w:val="24"/>
          <w:lang w:val="en-IE"/>
        </w:rPr>
        <w:t>where applied – should focus on waste prevention and resource efficiency</w:t>
      </w:r>
      <w:r w:rsidR="007279DB" w:rsidRPr="005B4339">
        <w:rPr>
          <w:rStyle w:val="FootnoteReference"/>
          <w:rFonts w:ascii="Times New Roman" w:hAnsi="Times New Roman" w:cs="Times New Roman"/>
          <w:noProof/>
          <w:sz w:val="24"/>
          <w:szCs w:val="24"/>
          <w:lang w:val="en-IE"/>
        </w:rPr>
        <w:footnoteReference w:id="119"/>
      </w:r>
      <w:r w:rsidR="007279DB" w:rsidRPr="005B4339">
        <w:rPr>
          <w:rFonts w:ascii="Times New Roman" w:hAnsi="Times New Roman" w:cs="Times New Roman"/>
          <w:noProof/>
          <w:sz w:val="24"/>
          <w:szCs w:val="24"/>
          <w:lang w:val="en-IE"/>
        </w:rPr>
        <w:t xml:space="preserve"> </w:t>
      </w:r>
      <w:r w:rsidR="007279DB" w:rsidRPr="005B4339">
        <w:rPr>
          <w:rStyle w:val="FootnoteReference"/>
          <w:rFonts w:ascii="Times New Roman" w:hAnsi="Times New Roman" w:cs="Times New Roman"/>
          <w:noProof/>
          <w:sz w:val="24"/>
          <w:szCs w:val="24"/>
          <w:lang w:val="en-IE"/>
        </w:rPr>
        <w:footnoteReference w:id="120"/>
      </w:r>
      <w:r w:rsidR="007279DB" w:rsidRPr="005B4339">
        <w:rPr>
          <w:rFonts w:ascii="Times New Roman" w:hAnsi="Times New Roman" w:cs="Times New Roman"/>
          <w:noProof/>
          <w:sz w:val="24"/>
          <w:szCs w:val="24"/>
          <w:lang w:val="en-IE"/>
        </w:rPr>
        <w:t>. Some actors</w:t>
      </w:r>
      <w:r w:rsidR="0099430A" w:rsidRPr="005B4339">
        <w:rPr>
          <w:rFonts w:ascii="Times New Roman" w:hAnsi="Times New Roman" w:cs="Times New Roman"/>
          <w:noProof/>
          <w:sz w:val="24"/>
          <w:szCs w:val="24"/>
          <w:lang w:val="en-IE"/>
        </w:rPr>
        <w:t xml:space="preserve"> </w:t>
      </w:r>
      <w:r w:rsidR="00746841" w:rsidRPr="005B4339">
        <w:rPr>
          <w:rFonts w:ascii="Times New Roman" w:hAnsi="Times New Roman" w:cs="Times New Roman"/>
          <w:noProof/>
          <w:sz w:val="24"/>
          <w:szCs w:val="24"/>
          <w:lang w:val="en-IE"/>
        </w:rPr>
        <w:t>notably Member States</w:t>
      </w:r>
      <w:r w:rsidR="0099430A" w:rsidRPr="005B4339">
        <w:rPr>
          <w:rFonts w:ascii="Times New Roman" w:hAnsi="Times New Roman" w:cs="Times New Roman"/>
          <w:noProof/>
          <w:sz w:val="24"/>
          <w:szCs w:val="24"/>
          <w:lang w:val="en-IE"/>
        </w:rPr>
        <w:t xml:space="preserve"> </w:t>
      </w:r>
      <w:r w:rsidR="74DA3943" w:rsidRPr="005B4339">
        <w:rPr>
          <w:rFonts w:ascii="Times New Roman" w:hAnsi="Times New Roman" w:cs="Times New Roman"/>
          <w:noProof/>
          <w:sz w:val="24"/>
          <w:szCs w:val="24"/>
          <w:lang w:val="en-IE"/>
        </w:rPr>
        <w:t>classified</w:t>
      </w:r>
      <w:r w:rsidR="007279DB" w:rsidRPr="005B4339">
        <w:rPr>
          <w:rFonts w:ascii="Times New Roman" w:hAnsi="Times New Roman" w:cs="Times New Roman"/>
          <w:noProof/>
          <w:sz w:val="24"/>
          <w:szCs w:val="24"/>
          <w:lang w:val="en-IE"/>
        </w:rPr>
        <w:t xml:space="preserve"> the measure as not useful. The feedback outlined that the measures need to go beyond solely targets</w:t>
      </w:r>
      <w:r w:rsidR="007279DB" w:rsidRPr="005B4339">
        <w:rPr>
          <w:rStyle w:val="FootnoteReference"/>
          <w:rFonts w:ascii="Times New Roman" w:hAnsi="Times New Roman" w:cs="Times New Roman"/>
          <w:noProof/>
          <w:sz w:val="24"/>
          <w:szCs w:val="24"/>
          <w:lang w:val="en-IE"/>
        </w:rPr>
        <w:footnoteReference w:id="121"/>
      </w:r>
      <w:r w:rsidR="007279DB" w:rsidRPr="005B4339">
        <w:rPr>
          <w:rFonts w:ascii="Times New Roman" w:hAnsi="Times New Roman" w:cs="Times New Roman"/>
          <w:noProof/>
          <w:sz w:val="24"/>
          <w:szCs w:val="24"/>
          <w:lang w:val="en-IE"/>
        </w:rPr>
        <w:t xml:space="preserve"> to avoid the potential for divergent approaches taking place across </w:t>
      </w:r>
      <w:r w:rsidR="00D8406C" w:rsidRPr="005B4339">
        <w:rPr>
          <w:rFonts w:ascii="Times New Roman" w:hAnsi="Times New Roman" w:cs="Times New Roman"/>
          <w:noProof/>
          <w:sz w:val="24"/>
          <w:szCs w:val="24"/>
          <w:lang w:val="en-IE"/>
        </w:rPr>
        <w:t>Member States</w:t>
      </w:r>
      <w:r w:rsidR="007279DB" w:rsidRPr="005B4339">
        <w:rPr>
          <w:rFonts w:ascii="Times New Roman" w:hAnsi="Times New Roman" w:cs="Times New Roman"/>
          <w:noProof/>
          <w:sz w:val="24"/>
          <w:szCs w:val="24"/>
          <w:lang w:val="en-IE"/>
        </w:rPr>
        <w:t xml:space="preserve"> which could cause uncertainty and complex</w:t>
      </w:r>
      <w:r w:rsidR="00D8406C" w:rsidRPr="005B4339">
        <w:rPr>
          <w:rFonts w:ascii="Times New Roman" w:hAnsi="Times New Roman" w:cs="Times New Roman"/>
          <w:noProof/>
          <w:sz w:val="24"/>
          <w:szCs w:val="24"/>
          <w:lang w:val="en-IE"/>
        </w:rPr>
        <w:t>ity</w:t>
      </w:r>
      <w:r w:rsidR="007279DB" w:rsidRPr="005B4339">
        <w:rPr>
          <w:rFonts w:ascii="Times New Roman" w:hAnsi="Times New Roman" w:cs="Times New Roman"/>
          <w:noProof/>
          <w:sz w:val="24"/>
          <w:szCs w:val="24"/>
          <w:lang w:val="en-IE"/>
        </w:rPr>
        <w:t xml:space="preserve"> </w:t>
      </w:r>
      <w:r w:rsidR="080667CC" w:rsidRPr="005B4339">
        <w:rPr>
          <w:rFonts w:ascii="Times New Roman" w:hAnsi="Times New Roman" w:cs="Times New Roman"/>
          <w:noProof/>
          <w:sz w:val="24"/>
          <w:szCs w:val="24"/>
          <w:lang w:val="en-IE"/>
        </w:rPr>
        <w:t>and unnecessary costs</w:t>
      </w:r>
      <w:r w:rsidR="007279DB" w:rsidRPr="005B4339">
        <w:rPr>
          <w:rFonts w:ascii="Times New Roman" w:hAnsi="Times New Roman" w:cs="Times New Roman"/>
          <w:noProof/>
          <w:sz w:val="24"/>
          <w:szCs w:val="24"/>
          <w:lang w:val="en-IE"/>
        </w:rPr>
        <w:t xml:space="preserve"> to </w:t>
      </w:r>
      <w:r w:rsidR="080667CC" w:rsidRPr="005B4339">
        <w:rPr>
          <w:rFonts w:ascii="Times New Roman" w:hAnsi="Times New Roman" w:cs="Times New Roman"/>
          <w:noProof/>
          <w:sz w:val="24"/>
          <w:szCs w:val="24"/>
          <w:lang w:val="en-IE"/>
        </w:rPr>
        <w:t>the economic operators</w:t>
      </w:r>
      <w:r w:rsidR="007279DB" w:rsidRPr="005B4339">
        <w:rPr>
          <w:rStyle w:val="FootnoteReference"/>
          <w:rFonts w:ascii="Times New Roman" w:hAnsi="Times New Roman" w:cs="Times New Roman"/>
          <w:noProof/>
          <w:sz w:val="24"/>
          <w:szCs w:val="24"/>
          <w:lang w:val="en-IE"/>
        </w:rPr>
        <w:footnoteReference w:id="122"/>
      </w:r>
      <w:r w:rsidR="317E8FE5" w:rsidRPr="005B4339">
        <w:rPr>
          <w:rFonts w:ascii="Times New Roman" w:hAnsi="Times New Roman" w:cs="Times New Roman"/>
          <w:noProof/>
          <w:sz w:val="24"/>
          <w:szCs w:val="24"/>
          <w:lang w:val="en-IE"/>
        </w:rPr>
        <w:t>.</w:t>
      </w:r>
      <w:r w:rsidR="007279DB" w:rsidRPr="005B4339">
        <w:rPr>
          <w:rFonts w:ascii="Times New Roman" w:hAnsi="Times New Roman" w:cs="Times New Roman"/>
          <w:noProof/>
          <w:sz w:val="24"/>
          <w:szCs w:val="24"/>
          <w:lang w:val="en-IE"/>
        </w:rPr>
        <w:t xml:space="preserve"> There was sentiment that unless measures are mandatory</w:t>
      </w:r>
      <w:r w:rsidR="0099430A" w:rsidRPr="005B4339">
        <w:rPr>
          <w:rFonts w:ascii="Times New Roman" w:hAnsi="Times New Roman" w:cs="Times New Roman"/>
          <w:noProof/>
          <w:sz w:val="24"/>
          <w:szCs w:val="24"/>
          <w:lang w:val="en-IE"/>
        </w:rPr>
        <w:t xml:space="preserve"> </w:t>
      </w:r>
      <w:r w:rsidR="007279DB" w:rsidRPr="005B4339">
        <w:rPr>
          <w:rFonts w:ascii="Times New Roman" w:hAnsi="Times New Roman" w:cs="Times New Roman"/>
          <w:noProof/>
          <w:sz w:val="24"/>
          <w:szCs w:val="24"/>
          <w:lang w:val="en-IE"/>
        </w:rPr>
        <w:t>they will not be implemented. The question was also raised of how the targets would be enforced</w:t>
      </w:r>
      <w:r w:rsidR="00E61009" w:rsidRPr="005B4339">
        <w:rPr>
          <w:rFonts w:ascii="Times New Roman" w:hAnsi="Times New Roman" w:cs="Times New Roman"/>
          <w:noProof/>
          <w:sz w:val="24"/>
          <w:szCs w:val="24"/>
          <w:lang w:val="en-IE"/>
        </w:rPr>
        <w:t xml:space="preserve"> </w:t>
      </w:r>
      <w:r w:rsidR="1114FAB3" w:rsidRPr="005B4339">
        <w:rPr>
          <w:rFonts w:ascii="Times New Roman" w:hAnsi="Times New Roman" w:cs="Times New Roman"/>
          <w:noProof/>
          <w:sz w:val="24"/>
          <w:szCs w:val="24"/>
          <w:lang w:val="en-IE"/>
        </w:rPr>
        <w:t>in view of data uncertainty and the design of the EPR</w:t>
      </w:r>
      <w:r w:rsidR="4EEC626F" w:rsidRPr="005B4339">
        <w:rPr>
          <w:rFonts w:ascii="Times New Roman" w:hAnsi="Times New Roman" w:cs="Times New Roman"/>
          <w:noProof/>
          <w:sz w:val="24"/>
          <w:szCs w:val="24"/>
          <w:vertAlign w:val="superscript"/>
          <w:lang w:val="en-IE"/>
        </w:rPr>
        <w:t>114</w:t>
      </w:r>
      <w:r w:rsidR="4EEC626F" w:rsidRPr="005B4339">
        <w:rPr>
          <w:rFonts w:ascii="Times New Roman" w:hAnsi="Times New Roman" w:cs="Times New Roman"/>
          <w:noProof/>
          <w:sz w:val="24"/>
          <w:szCs w:val="24"/>
          <w:lang w:val="en-IE"/>
        </w:rPr>
        <w:t xml:space="preserve">. </w:t>
      </w:r>
    </w:p>
    <w:p w14:paraId="3B531CA8" w14:textId="3C4C6F00" w:rsidR="007279DB" w:rsidRPr="005B4339" w:rsidRDefault="007279DB" w:rsidP="00E61009">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In designing the targets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there were questions </w:t>
      </w:r>
      <w:r w:rsidR="00357B40" w:rsidRPr="005B4339">
        <w:rPr>
          <w:rFonts w:ascii="Times New Roman" w:hAnsi="Times New Roman" w:cs="Times New Roman"/>
          <w:noProof/>
          <w:sz w:val="24"/>
          <w:szCs w:val="24"/>
          <w:lang w:val="en-IE"/>
        </w:rPr>
        <w:t>in the second stakeholder workshop</w:t>
      </w:r>
      <w:r w:rsidRPr="005B4339">
        <w:rPr>
          <w:rFonts w:ascii="Times New Roman" w:hAnsi="Times New Roman" w:cs="Times New Roman"/>
          <w:noProof/>
          <w:sz w:val="24"/>
          <w:szCs w:val="24"/>
          <w:lang w:val="en-IE"/>
        </w:rPr>
        <w:t xml:space="preserve"> over whether this would be directed towards preventing the generation of textile waste through circular business models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or by reducing what is placed on the market. There was also uncertainty over whether the targets are set at the national member state level or would require further reporting or independent initiatives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and who would need to report</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as well as the processes for doing so. Comments from the workshop were that targets should be used to measure the overall flow of resources consumed and waste produced in the market while reducing the environmental footprint of textiles. There were questions on how this would be defined and agreement that this would need to be designed carefully to ensure it was clearly defined including whether it would be per kg</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per capita etc and would need to be supplemented by a reuse and recycling and consumption reduction targets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and</w:t>
      </w:r>
      <w:r w:rsidRPr="005B4339">
        <w:rPr>
          <w:rFonts w:ascii="Times New Roman" w:hAnsi="Times New Roman" w:cs="Times New Roman"/>
          <w:noProof/>
          <w:sz w:val="24"/>
          <w:szCs w:val="24"/>
          <w:vertAlign w:val="superscript"/>
          <w:lang w:val="en-IE"/>
        </w:rPr>
        <w:t xml:space="preserve"> </w:t>
      </w:r>
      <w:r w:rsidRPr="005B4339">
        <w:rPr>
          <w:rFonts w:ascii="Times New Roman" w:hAnsi="Times New Roman" w:cs="Times New Roman"/>
          <w:noProof/>
          <w:sz w:val="24"/>
          <w:szCs w:val="24"/>
          <w:lang w:val="en-IE"/>
        </w:rPr>
        <w:t>material consumption reduction targets</w:t>
      </w:r>
      <w:r w:rsidRPr="005B4339">
        <w:rPr>
          <w:rStyle w:val="FootnoteReference"/>
          <w:rFonts w:ascii="Times New Roman" w:hAnsi="Times New Roman" w:cs="Times New Roman"/>
          <w:noProof/>
          <w:sz w:val="24"/>
          <w:szCs w:val="24"/>
          <w:lang w:val="en-IE"/>
        </w:rPr>
        <w:footnoteReference w:id="123"/>
      </w:r>
      <w:r w:rsidRPr="005B4339">
        <w:rPr>
          <w:rFonts w:ascii="Times New Roman" w:hAnsi="Times New Roman" w:cs="Times New Roman"/>
          <w:noProof/>
          <w:sz w:val="24"/>
          <w:szCs w:val="24"/>
          <w:lang w:val="en-IE"/>
        </w:rPr>
        <w:t xml:space="preserve">. This could be further incentivised through eco-modulation </w:t>
      </w:r>
      <w:r w:rsidR="0AB534FE" w:rsidRPr="005B4339">
        <w:rPr>
          <w:rFonts w:ascii="Times New Roman" w:hAnsi="Times New Roman" w:cs="Times New Roman"/>
          <w:noProof/>
          <w:sz w:val="24"/>
          <w:szCs w:val="24"/>
          <w:lang w:val="en-IE"/>
        </w:rPr>
        <w:t>under</w:t>
      </w:r>
      <w:r w:rsidRPr="005B4339">
        <w:rPr>
          <w:rFonts w:ascii="Times New Roman" w:hAnsi="Times New Roman" w:cs="Times New Roman"/>
          <w:noProof/>
          <w:sz w:val="24"/>
          <w:szCs w:val="24"/>
          <w:lang w:val="en-IE"/>
        </w:rPr>
        <w:t xml:space="preserve"> EPR schemes and financial penalties for not meeting targets.</w:t>
      </w:r>
    </w:p>
    <w:p w14:paraId="7E7F2887" w14:textId="1B15517E" w:rsidR="007279DB" w:rsidRPr="005B4339" w:rsidRDefault="007279DB" w:rsidP="00E61009">
      <w:pPr>
        <w:pStyle w:val="WDBody"/>
        <w:spacing w:after="24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Waste reduction targets are difficult to </w:t>
      </w:r>
      <w:r w:rsidR="341DBD64" w:rsidRPr="005B4339">
        <w:rPr>
          <w:rFonts w:ascii="Times New Roman" w:hAnsi="Times New Roman" w:cs="Times New Roman"/>
          <w:noProof/>
          <w:sz w:val="24"/>
          <w:szCs w:val="24"/>
          <w:lang w:val="en-IE"/>
        </w:rPr>
        <w:t>operationalise</w:t>
      </w:r>
      <w:r w:rsidR="314A0166" w:rsidRPr="005B4339">
        <w:rPr>
          <w:rFonts w:ascii="Times New Roman" w:hAnsi="Times New Roman" w:cs="Times New Roman"/>
          <w:noProof/>
          <w:sz w:val="24"/>
          <w:szCs w:val="24"/>
          <w:lang w:val="en-IE"/>
        </w:rPr>
        <w:t>.</w:t>
      </w:r>
      <w:r w:rsidR="00E332C1" w:rsidRPr="005B4339">
        <w:rPr>
          <w:rFonts w:ascii="Times New Roman" w:hAnsi="Times New Roman" w:cs="Times New Roman"/>
          <w:noProof/>
          <w:sz w:val="24"/>
          <w:szCs w:val="24"/>
          <w:lang w:val="en-IE"/>
        </w:rPr>
        <w:t xml:space="preserve"> S</w:t>
      </w:r>
      <w:r w:rsidRPr="005B4339">
        <w:rPr>
          <w:rFonts w:ascii="Times New Roman" w:hAnsi="Times New Roman" w:cs="Times New Roman"/>
          <w:noProof/>
          <w:sz w:val="24"/>
          <w:szCs w:val="24"/>
          <w:lang w:val="en-IE"/>
        </w:rPr>
        <w:t>ome actors – such as commercial or C2C platforms – could be incentivised through regulation to monitor and report textile waste prevention. Overall</w:t>
      </w:r>
      <w:r w:rsidR="5DEF472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targets were </w:t>
      </w:r>
      <w:r w:rsidR="003D0591" w:rsidRPr="005B4339">
        <w:rPr>
          <w:rFonts w:ascii="Times New Roman" w:hAnsi="Times New Roman" w:cs="Times New Roman"/>
          <w:noProof/>
          <w:sz w:val="24"/>
          <w:szCs w:val="24"/>
          <w:lang w:val="en-IE"/>
        </w:rPr>
        <w:t>considered</w:t>
      </w:r>
      <w:r w:rsidRPr="005B4339">
        <w:rPr>
          <w:rFonts w:ascii="Times New Roman" w:hAnsi="Times New Roman" w:cs="Times New Roman"/>
          <w:noProof/>
          <w:sz w:val="24"/>
          <w:szCs w:val="24"/>
          <w:lang w:val="en-IE"/>
        </w:rPr>
        <w:t xml:space="preserve"> not strong enough to create the change required</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with participants suggesting investment in infrastructure</w:t>
      </w:r>
      <w:r w:rsidR="00EF6D00" w:rsidRPr="005B4339">
        <w:rPr>
          <w:rFonts w:ascii="Times New Roman" w:hAnsi="Times New Roman" w:cs="Times New Roman"/>
          <w:noProof/>
          <w:sz w:val="24"/>
          <w:szCs w:val="24"/>
          <w:lang w:val="en-IE"/>
        </w:rPr>
        <w:t xml:space="preserve"> that can allow for separate collection and adoption of circular business models (i.e.</w:t>
      </w:r>
      <w:r w:rsidR="0099430A" w:rsidRPr="005B4339">
        <w:rPr>
          <w:rFonts w:ascii="Times New Roman" w:hAnsi="Times New Roman" w:cs="Times New Roman"/>
          <w:noProof/>
          <w:sz w:val="24"/>
          <w:szCs w:val="24"/>
          <w:lang w:val="en-IE"/>
        </w:rPr>
        <w:t xml:space="preserve"> </w:t>
      </w:r>
      <w:r w:rsidR="00EF6D00" w:rsidRPr="005B4339">
        <w:rPr>
          <w:rFonts w:ascii="Times New Roman" w:hAnsi="Times New Roman" w:cs="Times New Roman"/>
          <w:noProof/>
          <w:sz w:val="24"/>
          <w:szCs w:val="24"/>
          <w:lang w:val="en-IE"/>
        </w:rPr>
        <w:t xml:space="preserve"> product use extension)</w:t>
      </w:r>
      <w:r w:rsidRPr="005B4339">
        <w:rPr>
          <w:rFonts w:ascii="Times New Roman" w:hAnsi="Times New Roman" w:cs="Times New Roman"/>
          <w:noProof/>
          <w:sz w:val="24"/>
          <w:szCs w:val="24"/>
          <w:lang w:val="en-IE"/>
        </w:rPr>
        <w:t xml:space="preserve"> is more critical. </w:t>
      </w:r>
    </w:p>
    <w:p w14:paraId="63B91CFA" w14:textId="2CA7F7F2" w:rsidR="002546BC" w:rsidRPr="005B4339" w:rsidRDefault="002546BC" w:rsidP="002546BC">
      <w:pPr>
        <w:spacing w:after="120"/>
        <w:rPr>
          <w:noProof/>
          <w:lang w:val="en-IE"/>
        </w:rPr>
      </w:pPr>
      <w:bookmarkStart w:id="202" w:name="_Toc133229490"/>
      <w:bookmarkStart w:id="203" w:name="_Toc139032044"/>
      <w:r w:rsidRPr="005B4339">
        <w:rPr>
          <w:i/>
          <w:noProof/>
          <w:lang w:val="en-IE"/>
        </w:rPr>
        <w:t xml:space="preserve">Table </w:t>
      </w:r>
      <w:r w:rsidR="00393DFA">
        <w:rPr>
          <w:i/>
          <w:iCs/>
          <w:noProof/>
        </w:rPr>
        <w:t>28</w:t>
      </w:r>
      <w:r w:rsidRPr="005B4339">
        <w:rPr>
          <w:i/>
          <w:noProof/>
          <w:lang w:val="en-IE"/>
        </w:rPr>
        <w:t xml:space="preserve"> : Summary of impacts for measure 3.1</w:t>
      </w:r>
      <w:bookmarkEnd w:id="202"/>
      <w:bookmarkEnd w:id="203"/>
    </w:p>
    <w:tbl>
      <w:tblPr>
        <w:tblStyle w:val="PlainTable1"/>
        <w:tblW w:w="9268" w:type="dxa"/>
        <w:tblLook w:val="04A0" w:firstRow="1" w:lastRow="0" w:firstColumn="1" w:lastColumn="0" w:noHBand="0" w:noVBand="1"/>
      </w:tblPr>
      <w:tblGrid>
        <w:gridCol w:w="2547"/>
        <w:gridCol w:w="2268"/>
        <w:gridCol w:w="2268"/>
        <w:gridCol w:w="2185"/>
      </w:tblGrid>
      <w:tr w:rsidR="00461AD1" w:rsidRPr="005B4339" w14:paraId="1EEAE7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87A53A" w14:textId="77777777" w:rsidR="00461AD1" w:rsidRPr="005B4339" w:rsidRDefault="00461AD1">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DA7ED5"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08646"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6BFD8D"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461AD1" w:rsidRPr="005B4339" w14:paraId="5F274C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AF0650" w14:textId="2603F5FE" w:rsidR="00461AD1" w:rsidRPr="005B4339" w:rsidRDefault="00461AD1" w:rsidP="003D0591">
            <w:pPr>
              <w:spacing w:after="120"/>
              <w:jc w:val="left"/>
              <w:rPr>
                <w:noProof/>
                <w:lang w:val="en-IE"/>
              </w:rPr>
            </w:pPr>
            <w:r w:rsidRPr="005B4339">
              <w:rPr>
                <w:noProof/>
                <w:lang w:val="en-IE"/>
              </w:rPr>
              <w:t>Producers</w:t>
            </w:r>
            <w:r w:rsidR="5BE73986" w:rsidRPr="005B4339">
              <w:rPr>
                <w:noProof/>
                <w:lang w:val="en-IE"/>
              </w:rPr>
              <w:t>,</w:t>
            </w:r>
            <w:r w:rsidRPr="005B4339">
              <w:rPr>
                <w:noProof/>
                <w:lang w:val="en-IE"/>
              </w:rPr>
              <w:t xml:space="preserve"> waste managers (encompassing collectors</w:t>
            </w:r>
            <w:r w:rsidR="7F6939C9" w:rsidRPr="005B4339">
              <w:rPr>
                <w:noProof/>
                <w:lang w:val="en-IE"/>
              </w:rPr>
              <w:t>,</w:t>
            </w:r>
            <w:r w:rsidRPr="005B4339">
              <w:rPr>
                <w:noProof/>
                <w:lang w:val="en-IE"/>
              </w:rPr>
              <w:t xml:space="preserve"> sorters and </w:t>
            </w:r>
            <w:r w:rsidRPr="005B4339">
              <w:rPr>
                <w:noProof/>
                <w:lang w:val="en-IE"/>
              </w:rPr>
              <w:lastRenderedPageBreak/>
              <w:t>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F6665" w14:textId="7AF33ECF" w:rsidR="00461AD1" w:rsidRPr="005B4339" w:rsidRDefault="47282465" w:rsidP="003D0591">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lastRenderedPageBreak/>
              <w:t>I</w:t>
            </w:r>
            <w:r w:rsidR="6F3D78D8" w:rsidRPr="005B4339">
              <w:rPr>
                <w:noProof/>
                <w:lang w:val="en-IE"/>
              </w:rPr>
              <w:t>ncrease</w:t>
            </w:r>
            <w:r w:rsidR="52BDD2D8" w:rsidRPr="005B4339">
              <w:rPr>
                <w:noProof/>
                <w:lang w:val="en-IE"/>
              </w:rPr>
              <w:t>s</w:t>
            </w:r>
            <w:r w:rsidR="00631951" w:rsidRPr="005B4339">
              <w:rPr>
                <w:noProof/>
                <w:lang w:val="en-IE"/>
              </w:rPr>
              <w:t xml:space="preserve"> cost of textile waste data collection and reporting.</w:t>
            </w:r>
          </w:p>
          <w:p w14:paraId="3991F910" w14:textId="07CB19CC" w:rsidR="00461AD1" w:rsidRPr="005B4339" w:rsidRDefault="003D0591" w:rsidP="003D0591">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lastRenderedPageBreak/>
              <w:t>E</w:t>
            </w:r>
            <w:r w:rsidR="00631951" w:rsidRPr="005B4339">
              <w:rPr>
                <w:noProof/>
                <w:lang w:val="en-IE"/>
              </w:rPr>
              <w:t>nable a level playing field as all operators would contribute to the reduction target</w:t>
            </w:r>
            <w:r w:rsidR="1ECD6035" w:rsidRPr="005B4339">
              <w:rPr>
                <w:noProof/>
                <w:lang w:val="en-IE"/>
              </w:rPr>
              <w:t>,</w:t>
            </w:r>
            <w:r w:rsidR="00631951" w:rsidRPr="005B4339">
              <w:rPr>
                <w:noProof/>
                <w:lang w:val="en-IE"/>
              </w:rPr>
              <w:t xml:space="preserve"> subject to specific characteristic.</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CB806" w14:textId="77777777" w:rsidR="00461AD1" w:rsidRPr="005B4339" w:rsidRDefault="00461AD1" w:rsidP="003D0591">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C9684" w14:textId="77777777" w:rsidR="00461AD1" w:rsidRPr="005B4339" w:rsidRDefault="00461AD1" w:rsidP="003D0591">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r>
      <w:tr w:rsidR="00461AD1" w:rsidRPr="005B4339" w14:paraId="4F618261"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0468DA" w14:textId="77777777" w:rsidR="00461AD1" w:rsidRPr="005B4339" w:rsidRDefault="00461AD1" w:rsidP="003D0591">
            <w:pPr>
              <w:spacing w:after="120"/>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3757FA" w14:textId="77777777" w:rsidR="00461AD1" w:rsidRPr="005B4339" w:rsidRDefault="00461AD1" w:rsidP="003D0591">
            <w:pPr>
              <w:spacing w:after="120"/>
              <w:ind w:left="30"/>
              <w:cnfStyle w:val="000000000000" w:firstRow="0" w:lastRow="0" w:firstColumn="0" w:lastColumn="0" w:oddVBand="0" w:evenVBand="0" w:oddHBand="0"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FCE2C" w14:textId="70EEB070" w:rsidR="00596650" w:rsidRPr="005B4339" w:rsidRDefault="003D0591" w:rsidP="003D0591">
            <w:pPr>
              <w:spacing w:after="12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I</w:t>
            </w:r>
            <w:r w:rsidR="00596650" w:rsidRPr="005B4339">
              <w:rPr>
                <w:noProof/>
                <w:lang w:val="en-IE"/>
              </w:rPr>
              <w:t>mprove air</w:t>
            </w:r>
            <w:r w:rsidR="0420F582" w:rsidRPr="005B4339">
              <w:rPr>
                <w:noProof/>
                <w:lang w:val="en-IE"/>
              </w:rPr>
              <w:t>,</w:t>
            </w:r>
            <w:r w:rsidR="00596650" w:rsidRPr="005B4339">
              <w:rPr>
                <w:noProof/>
                <w:lang w:val="en-IE"/>
              </w:rPr>
              <w:t xml:space="preserve"> soil and water quality thanks to reduced waste disposal practices.</w:t>
            </w:r>
          </w:p>
          <w:p w14:paraId="1E36D110" w14:textId="7E555235" w:rsidR="00461AD1" w:rsidRPr="005B4339" w:rsidRDefault="00934625" w:rsidP="003D0591">
            <w:pPr>
              <w:spacing w:after="120"/>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P</w:t>
            </w:r>
            <w:r w:rsidR="00596650" w:rsidRPr="005B4339">
              <w:rPr>
                <w:noProof/>
                <w:lang w:val="en-IE"/>
              </w:rPr>
              <w:t>rotect landscapes thanks to reduced landfilling.</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FF11FA" w14:textId="71D45B8C" w:rsidR="00461AD1" w:rsidRPr="005B4339" w:rsidRDefault="003D0591" w:rsidP="003D0591">
            <w:pPr>
              <w:spacing w:after="120"/>
              <w:cnfStyle w:val="000000000000" w:firstRow="0" w:lastRow="0" w:firstColumn="0" w:lastColumn="0" w:oddVBand="0" w:evenVBand="0" w:oddHBand="0" w:evenHBand="0" w:firstRowFirstColumn="0" w:firstRowLastColumn="0" w:lastRowFirstColumn="0" w:lastRowLastColumn="0"/>
              <w:rPr>
                <w:b/>
                <w:noProof/>
                <w:lang w:val="en-IE"/>
              </w:rPr>
            </w:pPr>
            <w:r w:rsidRPr="005B4339">
              <w:rPr>
                <w:noProof/>
                <w:lang w:val="en-IE"/>
              </w:rPr>
              <w:t>I</w:t>
            </w:r>
            <w:r w:rsidR="00596650" w:rsidRPr="005B4339">
              <w:rPr>
                <w:noProof/>
                <w:lang w:val="en-IE"/>
              </w:rPr>
              <w:t>ncrease information and data on textile waste.</w:t>
            </w:r>
          </w:p>
        </w:tc>
      </w:tr>
    </w:tbl>
    <w:p w14:paraId="0936DF89" w14:textId="2848030E" w:rsidR="00961017" w:rsidRPr="005B4339" w:rsidRDefault="00961017" w:rsidP="00E61009">
      <w:pPr>
        <w:spacing w:after="120"/>
        <w:rPr>
          <w:noProof/>
          <w:lang w:val="en-IE"/>
        </w:rPr>
      </w:pPr>
    </w:p>
    <w:p w14:paraId="40482378" w14:textId="5BCD6175" w:rsidR="00433692" w:rsidRPr="005B4339" w:rsidRDefault="00433692" w:rsidP="00E61009">
      <w:pPr>
        <w:pStyle w:val="Heading3"/>
        <w:spacing w:after="120"/>
        <w:rPr>
          <w:noProof/>
          <w:lang w:val="en-IE"/>
        </w:rPr>
      </w:pPr>
      <w:bookmarkStart w:id="204" w:name="_Toc120782625"/>
      <w:bookmarkStart w:id="205" w:name="_Toc124777326"/>
      <w:bookmarkStart w:id="206" w:name="_Toc142469000"/>
      <w:bookmarkStart w:id="207" w:name="_Toc1415697700"/>
      <w:bookmarkStart w:id="208" w:name="_Toc108674683"/>
      <w:bookmarkStart w:id="209" w:name="_Toc364420647"/>
      <w:bookmarkStart w:id="210" w:name="_Toc813170684"/>
      <w:bookmarkStart w:id="211" w:name="_Toc150860887"/>
      <w:bookmarkStart w:id="212" w:name="_Toc1244283204"/>
      <w:bookmarkStart w:id="213" w:name="_Toc139032100"/>
      <w:r w:rsidRPr="005B4339">
        <w:rPr>
          <w:noProof/>
          <w:lang w:val="en-IE"/>
        </w:rPr>
        <w:t xml:space="preserve">Measure 3.4 – Setting a preparation for </w:t>
      </w:r>
      <w:r w:rsidR="00D96247" w:rsidRPr="005B4339">
        <w:rPr>
          <w:noProof/>
          <w:lang w:val="en-IE"/>
        </w:rPr>
        <w:t>reuse</w:t>
      </w:r>
      <w:r w:rsidRPr="005B4339">
        <w:rPr>
          <w:noProof/>
          <w:lang w:val="en-IE"/>
        </w:rPr>
        <w:t xml:space="preserve"> target for textiles</w:t>
      </w:r>
      <w:bookmarkEnd w:id="204"/>
      <w:bookmarkEnd w:id="205"/>
      <w:bookmarkEnd w:id="206"/>
      <w:bookmarkEnd w:id="207"/>
      <w:bookmarkEnd w:id="208"/>
      <w:bookmarkEnd w:id="209"/>
      <w:bookmarkEnd w:id="210"/>
      <w:bookmarkEnd w:id="211"/>
      <w:bookmarkEnd w:id="212"/>
      <w:bookmarkEnd w:id="213"/>
    </w:p>
    <w:p w14:paraId="35E33ABD" w14:textId="03402114" w:rsidR="0015062A" w:rsidRPr="005B4339" w:rsidRDefault="0015062A" w:rsidP="0015062A">
      <w:pPr>
        <w:rPr>
          <w:noProof/>
          <w:lang w:val="en-IE"/>
        </w:rPr>
      </w:pPr>
      <w:r w:rsidRPr="005B4339">
        <w:rPr>
          <w:noProof/>
          <w:lang w:val="en-IE"/>
        </w:rPr>
        <w:t>The objective of this measure would be to drive Member States to improve their reuse of textiles by setting a realistic preparation for reuse target</w:t>
      </w:r>
      <w:r w:rsidR="0099430A" w:rsidRPr="005B4339">
        <w:rPr>
          <w:noProof/>
          <w:lang w:val="en-IE"/>
        </w:rPr>
        <w:t xml:space="preserve"> </w:t>
      </w:r>
      <w:r w:rsidRPr="005B4339">
        <w:rPr>
          <w:noProof/>
          <w:lang w:val="en-IE"/>
        </w:rPr>
        <w:t>in comparison to solely relying on the application of the separate collection of textiles under Article 11(1) of the WFD. Preparing for reuse in the context of textiles means checking</w:t>
      </w:r>
      <w:r w:rsidR="6792288A" w:rsidRPr="005B4339">
        <w:rPr>
          <w:noProof/>
          <w:lang w:val="en-IE"/>
        </w:rPr>
        <w:t>,</w:t>
      </w:r>
      <w:r w:rsidR="0099430A" w:rsidRPr="005B4339">
        <w:rPr>
          <w:noProof/>
          <w:lang w:val="en-IE"/>
        </w:rPr>
        <w:t xml:space="preserve"> </w:t>
      </w:r>
      <w:r w:rsidRPr="005B4339">
        <w:rPr>
          <w:noProof/>
          <w:lang w:val="en-IE"/>
        </w:rPr>
        <w:t>cleaning</w:t>
      </w:r>
      <w:r w:rsidR="0099430A" w:rsidRPr="005B4339">
        <w:rPr>
          <w:noProof/>
          <w:lang w:val="en-IE"/>
        </w:rPr>
        <w:t xml:space="preserve"> </w:t>
      </w:r>
      <w:r w:rsidRPr="005B4339">
        <w:rPr>
          <w:noProof/>
          <w:lang w:val="en-IE"/>
        </w:rPr>
        <w:t>or repairing recovery operations</w:t>
      </w:r>
      <w:r w:rsidR="0099430A" w:rsidRPr="005B4339">
        <w:rPr>
          <w:noProof/>
          <w:lang w:val="en-IE"/>
        </w:rPr>
        <w:t xml:space="preserve"> </w:t>
      </w:r>
      <w:r w:rsidRPr="005B4339">
        <w:rPr>
          <w:noProof/>
          <w:lang w:val="en-IE"/>
        </w:rPr>
        <w:t>by which textile products that have become waste are prepared so that they can be reused without any other pre-processing. Presently the costs of preparation for reuse within the EU generally mean that such preparation is limited as the economic costs of such preparation are higher than the value added to the repaired product. However</w:t>
      </w:r>
      <w:r w:rsidR="2C1971FE" w:rsidRPr="005B4339">
        <w:rPr>
          <w:noProof/>
          <w:lang w:val="en-IE"/>
        </w:rPr>
        <w:t>,</w:t>
      </w:r>
      <w:r w:rsidRPr="005B4339">
        <w:rPr>
          <w:noProof/>
          <w:lang w:val="en-IE"/>
        </w:rPr>
        <w:t xml:space="preserve"> one of the expected impacts of the EU strategy for sustainable and circular textiles is to facilitate the reuse and repair sector such that repair within the EU becomes more profitable and a preparation for reuse target would be set with this expected outcome in mind.</w:t>
      </w:r>
    </w:p>
    <w:p w14:paraId="3E15DCC5" w14:textId="1BD6CBFA" w:rsidR="00B06379" w:rsidRPr="005B4339" w:rsidRDefault="00B06379" w:rsidP="00B06379">
      <w:pPr>
        <w:spacing w:after="120"/>
        <w:rPr>
          <w:noProof/>
          <w:lang w:val="en-IE"/>
        </w:rPr>
      </w:pPr>
      <w:bookmarkStart w:id="214" w:name="_Toc133229491"/>
      <w:bookmarkStart w:id="215" w:name="_Toc139032045"/>
      <w:r w:rsidRPr="005B4339">
        <w:rPr>
          <w:i/>
          <w:noProof/>
          <w:lang w:val="en-IE"/>
        </w:rPr>
        <w:t xml:space="preserve">Table </w:t>
      </w:r>
      <w:r w:rsidR="00393DFA">
        <w:rPr>
          <w:i/>
          <w:iCs/>
          <w:noProof/>
        </w:rPr>
        <w:t>29</w:t>
      </w:r>
      <w:r w:rsidRPr="005B4339">
        <w:rPr>
          <w:i/>
          <w:noProof/>
          <w:lang w:val="en-IE"/>
        </w:rPr>
        <w:t xml:space="preserve"> : Summary of impacts for measure 3.4</w:t>
      </w:r>
      <w:bookmarkEnd w:id="214"/>
      <w:bookmarkEnd w:id="215"/>
    </w:p>
    <w:tbl>
      <w:tblPr>
        <w:tblStyle w:val="PlainTable1"/>
        <w:tblW w:w="9268" w:type="dxa"/>
        <w:tblLook w:val="04A0" w:firstRow="1" w:lastRow="0" w:firstColumn="1" w:lastColumn="0" w:noHBand="0" w:noVBand="1"/>
      </w:tblPr>
      <w:tblGrid>
        <w:gridCol w:w="2547"/>
        <w:gridCol w:w="2268"/>
        <w:gridCol w:w="2268"/>
        <w:gridCol w:w="2185"/>
      </w:tblGrid>
      <w:tr w:rsidR="00461AD1" w:rsidRPr="005B4339" w14:paraId="6C6F5A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EDDD92" w14:textId="77777777" w:rsidR="00461AD1" w:rsidRPr="005B4339" w:rsidRDefault="00461AD1">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9E77B"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2316D"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EF0F9" w14:textId="77777777" w:rsidR="00461AD1" w:rsidRPr="005B4339" w:rsidRDefault="00461AD1">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461AD1" w:rsidRPr="005B4339" w14:paraId="219DD7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E2278B" w14:textId="1491757F" w:rsidR="00461AD1" w:rsidRPr="005B4339" w:rsidRDefault="00461AD1" w:rsidP="00297BD8">
            <w:pPr>
              <w:spacing w:after="120"/>
              <w:jc w:val="left"/>
              <w:rPr>
                <w:noProof/>
                <w:lang w:val="en-IE"/>
              </w:rPr>
            </w:pPr>
            <w:r w:rsidRPr="005B4339">
              <w:rPr>
                <w:noProof/>
                <w:lang w:val="en-IE"/>
              </w:rPr>
              <w:t>Producers</w:t>
            </w:r>
            <w:r w:rsidR="59942C2D" w:rsidRPr="005B4339">
              <w:rPr>
                <w:noProof/>
                <w:lang w:val="en-IE"/>
              </w:rPr>
              <w:t>,</w:t>
            </w:r>
            <w:r w:rsidR="0099430A" w:rsidRPr="005B4339">
              <w:rPr>
                <w:noProof/>
                <w:lang w:val="en-IE"/>
              </w:rPr>
              <w:t xml:space="preserve"> </w:t>
            </w:r>
            <w:r w:rsidRPr="005B4339">
              <w:rPr>
                <w:noProof/>
                <w:lang w:val="en-IE"/>
              </w:rPr>
              <w:t>waste managers (encompassing collectors</w:t>
            </w:r>
            <w:r w:rsidR="13D871AB" w:rsidRPr="005B4339">
              <w:rPr>
                <w:noProof/>
                <w:lang w:val="en-IE"/>
              </w:rPr>
              <w:t>,</w:t>
            </w:r>
            <w:r w:rsidR="0099430A" w:rsidRPr="005B4339">
              <w:rPr>
                <w:noProof/>
                <w:lang w:val="en-IE"/>
              </w:rPr>
              <w:t xml:space="preserve"> </w:t>
            </w:r>
            <w:r w:rsidRPr="005B4339">
              <w:rPr>
                <w:noProof/>
                <w:lang w:val="en-IE"/>
              </w:rPr>
              <w:t>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06F57" w14:textId="0D887D40" w:rsidR="00461AD1" w:rsidRPr="005B4339" w:rsidRDefault="006398AA" w:rsidP="00297BD8">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w:t>
            </w:r>
            <w:r w:rsidR="14155851" w:rsidRPr="005B4339">
              <w:rPr>
                <w:noProof/>
                <w:lang w:val="en-IE"/>
              </w:rPr>
              <w:t>ncrease</w:t>
            </w:r>
            <w:r w:rsidR="289861DA" w:rsidRPr="005B4339">
              <w:rPr>
                <w:noProof/>
                <w:lang w:val="en-IE"/>
              </w:rPr>
              <w:t>d</w:t>
            </w:r>
            <w:r w:rsidR="00874C60" w:rsidRPr="005B4339">
              <w:rPr>
                <w:noProof/>
                <w:lang w:val="en-IE"/>
              </w:rPr>
              <w:t xml:space="preserve"> cost of data collection and reporting.</w:t>
            </w:r>
          </w:p>
          <w:p w14:paraId="2D13BAC4" w14:textId="69FC2AFD" w:rsidR="00461AD1" w:rsidRPr="005B4339" w:rsidRDefault="00297BD8" w:rsidP="00297BD8">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E</w:t>
            </w:r>
            <w:r w:rsidR="00B65C4D" w:rsidRPr="005B4339">
              <w:rPr>
                <w:noProof/>
                <w:lang w:val="en-IE"/>
              </w:rPr>
              <w:t>nable a level playing field as all operators would contribute to the reduction target</w:t>
            </w:r>
            <w:r w:rsidR="0099430A" w:rsidRPr="005B4339">
              <w:rPr>
                <w:noProof/>
                <w:lang w:val="en-IE"/>
              </w:rPr>
              <w:t xml:space="preserve"> </w:t>
            </w:r>
            <w:r w:rsidR="00B65C4D" w:rsidRPr="005B4339">
              <w:rPr>
                <w:noProof/>
                <w:lang w:val="en-IE"/>
              </w:rPr>
              <w:lastRenderedPageBreak/>
              <w:t>subject to specific characteristic</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0BEAD" w14:textId="77777777" w:rsidR="00461AD1" w:rsidRPr="005B4339" w:rsidRDefault="00461AD1" w:rsidP="00297BD8">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CFEC01" w14:textId="44375050" w:rsidR="00461AD1" w:rsidRPr="005B4339" w:rsidRDefault="00461AD1" w:rsidP="00297BD8">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r>
      <w:tr w:rsidR="00461AD1" w:rsidRPr="005B4339" w14:paraId="2BBEC5FF"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63195C" w14:textId="77777777" w:rsidR="00461AD1" w:rsidRPr="005B4339" w:rsidRDefault="00461AD1" w:rsidP="00297BD8">
            <w:pPr>
              <w:spacing w:after="120"/>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5E7FE" w14:textId="3BD833CF" w:rsidR="00874C60" w:rsidRPr="005B4339" w:rsidRDefault="00297BD8" w:rsidP="00297BD8">
            <w:pPr>
              <w:spacing w:after="120"/>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I</w:t>
            </w:r>
            <w:r w:rsidR="00874C60" w:rsidRPr="005B4339">
              <w:rPr>
                <w:noProof/>
                <w:lang w:val="en-IE"/>
              </w:rPr>
              <w:t>ncrease the administrative costs of setting a preparation for reuse target</w:t>
            </w:r>
            <w:r w:rsidR="0099430A" w:rsidRPr="005B4339">
              <w:rPr>
                <w:noProof/>
                <w:lang w:val="en-IE"/>
              </w:rPr>
              <w:t xml:space="preserve"> </w:t>
            </w:r>
            <w:r w:rsidR="00874C60" w:rsidRPr="005B4339">
              <w:rPr>
                <w:noProof/>
                <w:lang w:val="en-IE"/>
              </w:rPr>
              <w:t>developing indicators for monitoring progresses</w:t>
            </w:r>
            <w:r w:rsidR="05A03004" w:rsidRPr="005B4339">
              <w:rPr>
                <w:noProof/>
                <w:lang w:val="en-IE"/>
              </w:rPr>
              <w:t>,</w:t>
            </w:r>
            <w:r w:rsidR="00874C60" w:rsidRPr="005B4339">
              <w:rPr>
                <w:noProof/>
                <w:lang w:val="en-IE"/>
              </w:rPr>
              <w:t xml:space="preserve"> ensure compliance</w:t>
            </w:r>
            <w:r w:rsidR="0099430A" w:rsidRPr="005B4339">
              <w:rPr>
                <w:noProof/>
                <w:lang w:val="en-IE"/>
              </w:rPr>
              <w:t xml:space="preserve"> </w:t>
            </w:r>
            <w:r w:rsidR="00874C60" w:rsidRPr="005B4339">
              <w:rPr>
                <w:noProof/>
                <w:lang w:val="en-IE"/>
              </w:rPr>
              <w:t>and update upon need.</w:t>
            </w:r>
          </w:p>
          <w:p w14:paraId="57D0AFCB" w14:textId="622232C7" w:rsidR="00461AD1" w:rsidRPr="005B4339" w:rsidRDefault="00297BD8" w:rsidP="00297BD8">
            <w:pPr>
              <w:spacing w:after="120"/>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I</w:t>
            </w:r>
            <w:r w:rsidR="00874C60" w:rsidRPr="005B4339">
              <w:rPr>
                <w:noProof/>
                <w:lang w:val="en-IE"/>
              </w:rPr>
              <w:t>ncrease costs of data collection and reporting on prepared for reuse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4E29F" w14:textId="77777777" w:rsidR="00461AD1" w:rsidRPr="005B4339" w:rsidRDefault="00461AD1" w:rsidP="00297BD8">
            <w:pPr>
              <w:spacing w:after="120"/>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6F2D5" w14:textId="77777777" w:rsidR="00461AD1" w:rsidRPr="005B4339" w:rsidRDefault="00461AD1" w:rsidP="00297BD8">
            <w:pPr>
              <w:spacing w:after="120"/>
              <w:cnfStyle w:val="000000000000" w:firstRow="0" w:lastRow="0" w:firstColumn="0" w:lastColumn="0" w:oddVBand="0" w:evenVBand="0" w:oddHBand="0" w:evenHBand="0" w:firstRowFirstColumn="0" w:firstRowLastColumn="0" w:lastRowFirstColumn="0" w:lastRowLastColumn="0"/>
              <w:rPr>
                <w:b/>
                <w:noProof/>
                <w:lang w:val="en-IE"/>
              </w:rPr>
            </w:pPr>
          </w:p>
        </w:tc>
      </w:tr>
      <w:tr w:rsidR="00461AD1" w:rsidRPr="005B4339" w14:paraId="7E8A18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F21693" w14:textId="77777777" w:rsidR="00461AD1" w:rsidRPr="005B4339" w:rsidRDefault="00461AD1" w:rsidP="00297BD8">
            <w:pPr>
              <w:spacing w:after="120"/>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8EDC6" w14:textId="77777777" w:rsidR="00461AD1" w:rsidRPr="005B4339" w:rsidRDefault="00461AD1" w:rsidP="00297BD8">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A6C62E" w14:textId="695148D7" w:rsidR="00461AD1" w:rsidRPr="005B4339" w:rsidRDefault="00297BD8" w:rsidP="00297BD8">
            <w:pPr>
              <w:spacing w:after="120"/>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I</w:t>
            </w:r>
            <w:r w:rsidR="00B65C4D" w:rsidRPr="005B4339">
              <w:rPr>
                <w:noProof/>
                <w:lang w:val="en-IE"/>
              </w:rPr>
              <w:t>mprove air</w:t>
            </w:r>
            <w:r w:rsidR="0099430A" w:rsidRPr="005B4339">
              <w:rPr>
                <w:noProof/>
                <w:lang w:val="en-IE"/>
              </w:rPr>
              <w:t xml:space="preserve"> </w:t>
            </w:r>
            <w:r w:rsidR="00B65C4D" w:rsidRPr="005B4339">
              <w:rPr>
                <w:noProof/>
                <w:lang w:val="en-IE"/>
              </w:rPr>
              <w:t>soil and water quality thanks to reduced waste disposal practices.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EA99E9" w14:textId="150AE9AA" w:rsidR="00461AD1" w:rsidRPr="005B4339" w:rsidRDefault="00297BD8" w:rsidP="43823C20">
            <w:pPr>
              <w:spacing w:after="120"/>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I</w:t>
            </w:r>
            <w:r w:rsidR="00B65C4D" w:rsidRPr="005B4339">
              <w:rPr>
                <w:noProof/>
                <w:lang w:val="en-IE"/>
              </w:rPr>
              <w:t>ncrease information and data on prepared for reuse waste.</w:t>
            </w:r>
          </w:p>
          <w:p w14:paraId="590DB949" w14:textId="47421137" w:rsidR="00461AD1" w:rsidRPr="005B4339" w:rsidRDefault="6580C4A4" w:rsidP="00297BD8">
            <w:pPr>
              <w:spacing w:after="12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Availability to consumers of low cost sustainable textile alternatives to new textiles. </w:t>
            </w:r>
          </w:p>
        </w:tc>
      </w:tr>
    </w:tbl>
    <w:p w14:paraId="54910AAD" w14:textId="77777777" w:rsidR="00461AD1" w:rsidRPr="005B4339" w:rsidRDefault="00461AD1" w:rsidP="0015062A">
      <w:pPr>
        <w:rPr>
          <w:noProof/>
          <w:lang w:val="en-IE"/>
        </w:rPr>
      </w:pPr>
    </w:p>
    <w:p w14:paraId="6391FF24" w14:textId="5BCD6175" w:rsidR="001E7937" w:rsidRPr="005B4339" w:rsidRDefault="001E7937" w:rsidP="00E61009">
      <w:pPr>
        <w:pStyle w:val="Heading3"/>
        <w:spacing w:after="120"/>
        <w:rPr>
          <w:noProof/>
          <w:lang w:val="en-IE"/>
        </w:rPr>
      </w:pPr>
      <w:bookmarkStart w:id="216" w:name="_Toc124777327"/>
      <w:bookmarkStart w:id="217" w:name="_Toc2087059267"/>
      <w:bookmarkStart w:id="218" w:name="_Toc116561374"/>
      <w:bookmarkStart w:id="219" w:name="_Toc1464344194"/>
      <w:bookmarkStart w:id="220" w:name="_Toc2082331274"/>
      <w:bookmarkStart w:id="221" w:name="_Toc130461169"/>
      <w:bookmarkStart w:id="222" w:name="_Toc1947643929"/>
      <w:bookmarkStart w:id="223" w:name="_Toc106487584"/>
      <w:bookmarkStart w:id="224" w:name="_Toc139032101"/>
      <w:r w:rsidRPr="005B4339">
        <w:rPr>
          <w:noProof/>
          <w:lang w:val="en-IE"/>
        </w:rPr>
        <w:t xml:space="preserve">Measure 3.5 – Setting a </w:t>
      </w:r>
      <w:r w:rsidR="00D96247" w:rsidRPr="005B4339">
        <w:rPr>
          <w:noProof/>
          <w:lang w:val="en-IE"/>
        </w:rPr>
        <w:t>reuse</w:t>
      </w:r>
      <w:r w:rsidRPr="005B4339">
        <w:rPr>
          <w:noProof/>
          <w:lang w:val="en-IE"/>
        </w:rPr>
        <w:t xml:space="preserve"> target</w:t>
      </w:r>
      <w:bookmarkEnd w:id="216"/>
      <w:bookmarkEnd w:id="217"/>
      <w:bookmarkEnd w:id="218"/>
      <w:bookmarkEnd w:id="219"/>
      <w:bookmarkEnd w:id="220"/>
      <w:bookmarkEnd w:id="221"/>
      <w:bookmarkEnd w:id="222"/>
      <w:bookmarkEnd w:id="223"/>
      <w:bookmarkEnd w:id="224"/>
    </w:p>
    <w:p w14:paraId="26669675" w14:textId="31057FD3" w:rsidR="00662618" w:rsidRPr="005B4339" w:rsidRDefault="001E7937" w:rsidP="00A40E6E">
      <w:pPr>
        <w:spacing w:after="120"/>
        <w:rPr>
          <w:noProof/>
          <w:lang w:val="en-IE"/>
        </w:rPr>
      </w:pPr>
      <w:r w:rsidRPr="005B4339">
        <w:rPr>
          <w:noProof/>
          <w:lang w:val="en-IE"/>
        </w:rPr>
        <w:t xml:space="preserve">The objective of this measure would be to drive Member States to improve their </w:t>
      </w:r>
      <w:r w:rsidR="00D96247" w:rsidRPr="005B4339">
        <w:rPr>
          <w:noProof/>
          <w:lang w:val="en-IE"/>
        </w:rPr>
        <w:t>reuse</w:t>
      </w:r>
      <w:r w:rsidRPr="005B4339">
        <w:rPr>
          <w:noProof/>
          <w:lang w:val="en-IE"/>
        </w:rPr>
        <w:t xml:space="preserve"> of textiles by setting an overall </w:t>
      </w:r>
      <w:r w:rsidR="00D96247" w:rsidRPr="005B4339">
        <w:rPr>
          <w:noProof/>
          <w:lang w:val="en-IE"/>
        </w:rPr>
        <w:t>reuse</w:t>
      </w:r>
      <w:r w:rsidRPr="005B4339">
        <w:rPr>
          <w:noProof/>
          <w:lang w:val="en-IE"/>
        </w:rPr>
        <w:t xml:space="preserve"> target that they should achieve in comparison to </w:t>
      </w:r>
      <w:r w:rsidR="00A40E6E" w:rsidRPr="005B4339">
        <w:rPr>
          <w:noProof/>
          <w:lang w:val="en-IE"/>
        </w:rPr>
        <w:t>a</w:t>
      </w:r>
      <w:r w:rsidR="00AD20AA" w:rsidRPr="005B4339">
        <w:rPr>
          <w:noProof/>
          <w:lang w:val="en-IE"/>
        </w:rPr>
        <w:t xml:space="preserve"> baseline</w:t>
      </w:r>
      <w:r w:rsidRPr="005B4339">
        <w:rPr>
          <w:noProof/>
          <w:lang w:val="en-IE"/>
        </w:rPr>
        <w:t>.</w:t>
      </w:r>
      <w:r w:rsidR="00A40E6E" w:rsidRPr="005B4339">
        <w:rPr>
          <w:noProof/>
          <w:lang w:val="en-IE"/>
        </w:rPr>
        <w:t xml:space="preserve"> </w:t>
      </w:r>
      <w:r w:rsidR="00D96247" w:rsidRPr="005B4339">
        <w:rPr>
          <w:noProof/>
          <w:lang w:val="en-IE"/>
        </w:rPr>
        <w:t>Reuse</w:t>
      </w:r>
      <w:r w:rsidR="56B47089" w:rsidRPr="005B4339">
        <w:rPr>
          <w:noProof/>
          <w:lang w:val="en-IE"/>
        </w:rPr>
        <w:t xml:space="preserve"> poses an additional challenge in terms of how to measure it.</w:t>
      </w:r>
      <w:r w:rsidR="2A918050" w:rsidRPr="005B4339">
        <w:rPr>
          <w:noProof/>
          <w:lang w:val="en-IE"/>
        </w:rPr>
        <w:t xml:space="preserve"> The World Economic Forum (WEF) recently examined the need for a robust and standardised framework for </w:t>
      </w:r>
      <w:r w:rsidR="00D96247" w:rsidRPr="005B4339">
        <w:rPr>
          <w:noProof/>
          <w:lang w:val="en-IE"/>
        </w:rPr>
        <w:t>reuse</w:t>
      </w:r>
      <w:r w:rsidR="2A918050" w:rsidRPr="005B4339">
        <w:rPr>
          <w:noProof/>
          <w:lang w:val="en-IE"/>
        </w:rPr>
        <w:t xml:space="preserve"> measurement</w:t>
      </w:r>
      <w:r w:rsidR="00662618" w:rsidRPr="005B4339">
        <w:rPr>
          <w:rStyle w:val="FootnoteReference"/>
          <w:noProof/>
          <w:lang w:val="en-IE"/>
        </w:rPr>
        <w:footnoteReference w:id="124"/>
      </w:r>
      <w:r w:rsidR="2A918050" w:rsidRPr="005B4339">
        <w:rPr>
          <w:noProof/>
          <w:lang w:val="en-IE"/>
        </w:rPr>
        <w:t>. The WEF Consumers Beyond Waste initiative focussed most of its effort on primary plastic packaging</w:t>
      </w:r>
      <w:r w:rsidR="00894C70" w:rsidRPr="005B4339">
        <w:rPr>
          <w:noProof/>
          <w:lang w:val="en-IE"/>
        </w:rPr>
        <w:t>. The</w:t>
      </w:r>
      <w:r w:rsidR="2A918050" w:rsidRPr="005B4339">
        <w:rPr>
          <w:noProof/>
          <w:lang w:val="en-IE"/>
        </w:rPr>
        <w:t xml:space="preserve"> two </w:t>
      </w:r>
      <w:r w:rsidR="00D96247" w:rsidRPr="005B4339">
        <w:rPr>
          <w:noProof/>
          <w:lang w:val="en-IE"/>
        </w:rPr>
        <w:t>reuse</w:t>
      </w:r>
      <w:r w:rsidR="2A918050" w:rsidRPr="005B4339">
        <w:rPr>
          <w:noProof/>
          <w:lang w:val="en-IE"/>
        </w:rPr>
        <w:t xml:space="preserve"> metrics to be piloted in 2023 are less relevant for textiles as they focus on the total number of loops a packaging unit achieves over the course of its lifetime as well as </w:t>
      </w:r>
      <w:r w:rsidR="2A918050" w:rsidRPr="005B4339">
        <w:rPr>
          <w:noProof/>
          <w:lang w:val="en-IE"/>
        </w:rPr>
        <w:lastRenderedPageBreak/>
        <w:t>the share of volume of products designed or developed to be reused. Specifically in relation to textiles</w:t>
      </w:r>
      <w:r w:rsidR="0099430A" w:rsidRPr="005B4339">
        <w:rPr>
          <w:noProof/>
          <w:lang w:val="en-IE"/>
        </w:rPr>
        <w:t xml:space="preserve"> </w:t>
      </w:r>
      <w:r w:rsidR="00C50BEE" w:rsidRPr="005B4339">
        <w:rPr>
          <w:noProof/>
          <w:lang w:val="en-IE"/>
        </w:rPr>
        <w:t xml:space="preserve">Finland </w:t>
      </w:r>
      <w:r w:rsidR="2A918050" w:rsidRPr="005B4339">
        <w:rPr>
          <w:noProof/>
          <w:lang w:val="en-IE"/>
        </w:rPr>
        <w:t xml:space="preserve">through the Finnish Environmental Institute collected data on C2C and B2C </w:t>
      </w:r>
      <w:r w:rsidR="00D96247" w:rsidRPr="005B4339">
        <w:rPr>
          <w:noProof/>
          <w:lang w:val="en-IE"/>
        </w:rPr>
        <w:t>reuse</w:t>
      </w:r>
      <w:r w:rsidR="2A918050" w:rsidRPr="005B4339">
        <w:rPr>
          <w:noProof/>
          <w:lang w:val="en-IE"/>
        </w:rPr>
        <w:t xml:space="preserve"> volumes of textiles. The data is collected through a survey sent to online and physical second-hand shops. Finland also uses a consumer barometer to provide insights into consumer behaviour concerning </w:t>
      </w:r>
      <w:r w:rsidR="00D96247" w:rsidRPr="005B4339">
        <w:rPr>
          <w:noProof/>
          <w:lang w:val="en-IE"/>
        </w:rPr>
        <w:t>reuse</w:t>
      </w:r>
      <w:r w:rsidR="2A918050" w:rsidRPr="005B4339">
        <w:rPr>
          <w:noProof/>
          <w:lang w:val="en-IE"/>
        </w:rPr>
        <w:t>.</w:t>
      </w:r>
      <w:r w:rsidR="6C8391E2" w:rsidRPr="005B4339">
        <w:rPr>
          <w:noProof/>
          <w:lang w:val="en-IE"/>
        </w:rPr>
        <w:t xml:space="preserve"> Further approaches are also developed in Flanders and Ireland.</w:t>
      </w:r>
      <w:r w:rsidRPr="005B4339">
        <w:rPr>
          <w:noProof/>
          <w:vertAlign w:val="superscript"/>
          <w:lang w:val="en-IE"/>
        </w:rPr>
        <w:footnoteReference w:id="125"/>
      </w:r>
    </w:p>
    <w:p w14:paraId="593EA1A2" w14:textId="4B3ED6EE" w:rsidR="6174D21C" w:rsidRPr="005B4339" w:rsidRDefault="6174D21C" w:rsidP="120853A8">
      <w:pPr>
        <w:spacing w:after="120"/>
        <w:rPr>
          <w:noProof/>
          <w:lang w:val="en-IE"/>
        </w:rPr>
      </w:pPr>
      <w:r w:rsidRPr="005B4339">
        <w:rPr>
          <w:noProof/>
          <w:lang w:val="en-IE"/>
        </w:rPr>
        <w:t xml:space="preserve">In accordance with Commission Implementing Decision (EU (European Union)) 2021/19 on </w:t>
      </w:r>
      <w:r w:rsidR="207B4012" w:rsidRPr="005B4339">
        <w:rPr>
          <w:noProof/>
          <w:lang w:val="en-IE"/>
        </w:rPr>
        <w:t>reuse</w:t>
      </w:r>
      <w:r w:rsidR="4E497320" w:rsidRPr="005B4339">
        <w:rPr>
          <w:noProof/>
          <w:lang w:val="en-IE"/>
        </w:rPr>
        <w:t>,</w:t>
      </w:r>
      <w:r w:rsidR="207B4012" w:rsidRPr="005B4339">
        <w:rPr>
          <w:noProof/>
          <w:lang w:val="en-IE"/>
        </w:rPr>
        <w:t xml:space="preserve"> the</w:t>
      </w:r>
      <w:r w:rsidRPr="005B4339">
        <w:rPr>
          <w:noProof/>
          <w:lang w:val="en-IE"/>
        </w:rPr>
        <w:t xml:space="preserve"> EEA is piloting a strategy for reporting on </w:t>
      </w:r>
      <w:r w:rsidR="00D96247" w:rsidRPr="005B4339">
        <w:rPr>
          <w:noProof/>
          <w:lang w:val="en-IE"/>
        </w:rPr>
        <w:t>reuse</w:t>
      </w:r>
      <w:r w:rsidRPr="005B4339">
        <w:rPr>
          <w:noProof/>
          <w:lang w:val="en-IE"/>
        </w:rPr>
        <w:t xml:space="preserve"> by developing an online reporting tool</w:t>
      </w:r>
      <w:r w:rsidR="0B040F6F" w:rsidRPr="005B4339">
        <w:rPr>
          <w:noProof/>
          <w:lang w:val="en-IE"/>
        </w:rPr>
        <w:t>,</w:t>
      </w:r>
      <w:r w:rsidRPr="005B4339">
        <w:rPr>
          <w:noProof/>
          <w:lang w:val="en-IE"/>
        </w:rPr>
        <w:t xml:space="preserve"> that will be available in April 2023.</w:t>
      </w:r>
      <w:r w:rsidR="394541E0" w:rsidRPr="005B4339">
        <w:rPr>
          <w:noProof/>
          <w:lang w:val="en-IE"/>
        </w:rPr>
        <w:t xml:space="preserve"> </w:t>
      </w:r>
      <w:r w:rsidRPr="005B4339">
        <w:rPr>
          <w:noProof/>
          <w:lang w:val="en-IE"/>
        </w:rPr>
        <w:t xml:space="preserve">By combining quantitative and qualitative </w:t>
      </w:r>
      <w:r w:rsidR="058BC9E8" w:rsidRPr="005B4339">
        <w:rPr>
          <w:noProof/>
          <w:lang w:val="en-IE"/>
        </w:rPr>
        <w:t>data the</w:t>
      </w:r>
      <w:r w:rsidRPr="005B4339">
        <w:rPr>
          <w:noProof/>
          <w:lang w:val="en-IE"/>
        </w:rPr>
        <w:t xml:space="preserve"> reported data on </w:t>
      </w:r>
      <w:r w:rsidR="00D96247" w:rsidRPr="005B4339">
        <w:rPr>
          <w:noProof/>
          <w:lang w:val="en-IE"/>
        </w:rPr>
        <w:t>reuse</w:t>
      </w:r>
      <w:r w:rsidRPr="005B4339">
        <w:rPr>
          <w:noProof/>
          <w:lang w:val="en-IE"/>
        </w:rPr>
        <w:t xml:space="preserve"> will </w:t>
      </w:r>
      <w:r w:rsidR="6F2A4A27" w:rsidRPr="005B4339">
        <w:rPr>
          <w:noProof/>
          <w:lang w:val="en-IE"/>
        </w:rPr>
        <w:t xml:space="preserve">improve the </w:t>
      </w:r>
      <w:r w:rsidRPr="005B4339">
        <w:rPr>
          <w:noProof/>
          <w:lang w:val="en-IE"/>
        </w:rPr>
        <w:t xml:space="preserve">understanding of the </w:t>
      </w:r>
      <w:r w:rsidR="00D96247" w:rsidRPr="005B4339">
        <w:rPr>
          <w:noProof/>
          <w:lang w:val="en-IE"/>
        </w:rPr>
        <w:t>reuse</w:t>
      </w:r>
      <w:r w:rsidRPr="005B4339">
        <w:rPr>
          <w:noProof/>
          <w:lang w:val="en-IE"/>
        </w:rPr>
        <w:t xml:space="preserve"> sector and the impacts of the measures that the </w:t>
      </w:r>
      <w:r w:rsidR="394541E0" w:rsidRPr="005B4339">
        <w:rPr>
          <w:noProof/>
          <w:lang w:val="en-IE"/>
        </w:rPr>
        <w:t xml:space="preserve">Member States </w:t>
      </w:r>
      <w:r w:rsidRPr="005B4339">
        <w:rPr>
          <w:noProof/>
          <w:lang w:val="en-IE"/>
        </w:rPr>
        <w:t>have taken on waste prevention. M</w:t>
      </w:r>
      <w:r w:rsidR="394541E0" w:rsidRPr="005B4339">
        <w:rPr>
          <w:noProof/>
          <w:lang w:val="en-IE"/>
        </w:rPr>
        <w:t xml:space="preserve">ember </w:t>
      </w:r>
      <w:r w:rsidRPr="005B4339">
        <w:rPr>
          <w:noProof/>
          <w:lang w:val="en-IE"/>
        </w:rPr>
        <w:t>S</w:t>
      </w:r>
      <w:r w:rsidR="394541E0" w:rsidRPr="005B4339">
        <w:rPr>
          <w:noProof/>
          <w:lang w:val="en-IE"/>
        </w:rPr>
        <w:t>tates</w:t>
      </w:r>
      <w:r w:rsidRPr="005B4339">
        <w:rPr>
          <w:noProof/>
          <w:lang w:val="en-IE"/>
        </w:rPr>
        <w:t xml:space="preserve"> have developed different methods to collect the quantitative data on </w:t>
      </w:r>
      <w:r w:rsidR="00D96247" w:rsidRPr="005B4339">
        <w:rPr>
          <w:noProof/>
          <w:lang w:val="en-IE"/>
        </w:rPr>
        <w:t>reuse</w:t>
      </w:r>
      <w:r w:rsidRPr="005B4339">
        <w:rPr>
          <w:noProof/>
          <w:lang w:val="en-IE"/>
        </w:rPr>
        <w:t xml:space="preserve"> flows.</w:t>
      </w:r>
      <w:r w:rsidR="6DC6EEAB" w:rsidRPr="005B4339">
        <w:rPr>
          <w:noProof/>
          <w:lang w:val="en-IE"/>
        </w:rPr>
        <w:t xml:space="preserve"> It is therefore necessary to await the analysis of the data submitted by Member States in accordance with this </w:t>
      </w:r>
      <w:r w:rsidR="513A22BB" w:rsidRPr="005B4339">
        <w:rPr>
          <w:noProof/>
          <w:lang w:val="en-IE"/>
        </w:rPr>
        <w:t>reporting</w:t>
      </w:r>
      <w:r w:rsidR="6DC6EEAB" w:rsidRPr="005B4339">
        <w:rPr>
          <w:noProof/>
          <w:lang w:val="en-IE"/>
        </w:rPr>
        <w:t xml:space="preserve"> obligation to determine the scope for further </w:t>
      </w:r>
      <w:r w:rsidR="0898C15B" w:rsidRPr="005B4339">
        <w:rPr>
          <w:noProof/>
          <w:lang w:val="en-IE"/>
        </w:rPr>
        <w:t>improvement of data on re-use of textiles and the feasibility of setting re-use targets at EU level.</w:t>
      </w:r>
    </w:p>
    <w:p w14:paraId="03159433" w14:textId="204C3448" w:rsidR="00771AEA" w:rsidRPr="005B4339" w:rsidRDefault="00771AEA" w:rsidP="00E61009">
      <w:pPr>
        <w:pStyle w:val="WDBody"/>
        <w:spacing w:after="120"/>
        <w:jc w:val="both"/>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3D05121B" w14:textId="0E018765" w:rsidR="00C50BEE" w:rsidRPr="005B4339" w:rsidRDefault="00C50BEE" w:rsidP="00C50BEE">
      <w:pPr>
        <w:spacing w:after="120"/>
        <w:rPr>
          <w:noProof/>
          <w:lang w:val="en-IE"/>
        </w:rPr>
      </w:pPr>
      <w:r w:rsidRPr="005B4339">
        <w:rPr>
          <w:noProof/>
          <w:lang w:val="en-IE"/>
        </w:rPr>
        <w:t xml:space="preserve">During the discussions concerning Commission Implementing Decision (EU (European Union)) 2021/19 on </w:t>
      </w:r>
      <w:r w:rsidR="00D96247" w:rsidRPr="005B4339">
        <w:rPr>
          <w:noProof/>
          <w:lang w:val="en-IE"/>
        </w:rPr>
        <w:t>reuse</w:t>
      </w:r>
      <w:r w:rsidRPr="005B4339">
        <w:rPr>
          <w:noProof/>
          <w:lang w:val="en-IE"/>
        </w:rPr>
        <w:t xml:space="preserve"> and development of the decision a main concern from the Member states were the administrative work that it may take to collect and report data on reuse. It was decided that</w:t>
      </w:r>
      <w:r w:rsidR="0099430A" w:rsidRPr="005B4339">
        <w:rPr>
          <w:noProof/>
          <w:lang w:val="en-IE"/>
        </w:rPr>
        <w:t xml:space="preserve"> </w:t>
      </w:r>
      <w:r w:rsidRPr="005B4339">
        <w:rPr>
          <w:noProof/>
          <w:lang w:val="en-IE"/>
        </w:rPr>
        <w:t>in order to monitor reuse and to gain a better understanding of the reuse sector</w:t>
      </w:r>
      <w:r w:rsidR="0099430A" w:rsidRPr="005B4339">
        <w:rPr>
          <w:noProof/>
          <w:lang w:val="en-IE"/>
        </w:rPr>
        <w:t xml:space="preserve"> </w:t>
      </w:r>
      <w:r w:rsidRPr="005B4339">
        <w:rPr>
          <w:noProof/>
          <w:lang w:val="en-IE"/>
        </w:rPr>
        <w:t>the reporting should include a combination of qualitative and quantitative data. The quantitative data should be reported every third year and the qualitative data annually.</w:t>
      </w:r>
    </w:p>
    <w:p w14:paraId="16C0D5A2" w14:textId="75D12CEC" w:rsidR="00E175B7" w:rsidRPr="005B4339" w:rsidRDefault="000C0E95" w:rsidP="00D92EF4">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Participants to the second textile stakeholder workshop </w:t>
      </w:r>
      <w:r w:rsidR="00E175B7" w:rsidRPr="005B4339">
        <w:rPr>
          <w:rFonts w:ascii="Times New Roman" w:hAnsi="Times New Roman" w:cs="Times New Roman"/>
          <w:noProof/>
          <w:sz w:val="24"/>
          <w:szCs w:val="24"/>
          <w:lang w:val="en-IE"/>
        </w:rPr>
        <w:t>agreed</w:t>
      </w:r>
      <w:r w:rsidR="00BF022D"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that there is not enough data to be able to set a definitive baseline and robust targets at the moment</w:t>
      </w:r>
      <w:r w:rsidR="00E61009" w:rsidRPr="005B4339">
        <w:rPr>
          <w:rFonts w:ascii="Times New Roman" w:hAnsi="Times New Roman" w:cs="Times New Roman"/>
          <w:noProof/>
          <w:sz w:val="24"/>
          <w:szCs w:val="24"/>
          <w:lang w:val="en-IE"/>
        </w:rPr>
        <w:t>. T</w:t>
      </w:r>
      <w:r w:rsidR="00E175B7" w:rsidRPr="005B4339">
        <w:rPr>
          <w:rFonts w:ascii="Times New Roman" w:hAnsi="Times New Roman" w:cs="Times New Roman"/>
          <w:noProof/>
          <w:sz w:val="24"/>
          <w:szCs w:val="24"/>
          <w:lang w:val="en-IE"/>
        </w:rPr>
        <w:t>herefore</w:t>
      </w:r>
      <w:r w:rsidR="2349CC7E" w:rsidRPr="005B4339">
        <w:rPr>
          <w:rFonts w:ascii="Times New Roman" w:hAnsi="Times New Roman" w:cs="Times New Roman"/>
          <w:noProof/>
          <w:sz w:val="24"/>
          <w:szCs w:val="24"/>
          <w:lang w:val="en-IE"/>
        </w:rPr>
        <w:t>,</w:t>
      </w:r>
      <w:r w:rsidR="00D92EF4" w:rsidRPr="005B4339">
        <w:rPr>
          <w:rFonts w:ascii="Times New Roman" w:hAnsi="Times New Roman" w:cs="Times New Roman"/>
          <w:noProof/>
          <w:sz w:val="24"/>
          <w:szCs w:val="24"/>
          <w:lang w:val="en-IE"/>
        </w:rPr>
        <w:t xml:space="preserve"> setting a </w:t>
      </w:r>
      <w:r w:rsidR="00D96247" w:rsidRPr="005B4339">
        <w:rPr>
          <w:rFonts w:ascii="Times New Roman" w:hAnsi="Times New Roman" w:cs="Times New Roman"/>
          <w:noProof/>
          <w:sz w:val="24"/>
          <w:szCs w:val="24"/>
          <w:lang w:val="en-IE"/>
        </w:rPr>
        <w:t>reuse</w:t>
      </w:r>
      <w:r w:rsidR="00D92EF4" w:rsidRPr="005B4339">
        <w:rPr>
          <w:rFonts w:ascii="Times New Roman" w:hAnsi="Times New Roman" w:cs="Times New Roman"/>
          <w:noProof/>
          <w:sz w:val="24"/>
          <w:szCs w:val="24"/>
          <w:lang w:val="en-IE"/>
        </w:rPr>
        <w:t xml:space="preserve"> target cannot </w:t>
      </w:r>
      <w:r w:rsidR="00E175B7" w:rsidRPr="005B4339">
        <w:rPr>
          <w:rFonts w:ascii="Times New Roman" w:hAnsi="Times New Roman" w:cs="Times New Roman"/>
          <w:noProof/>
          <w:sz w:val="24"/>
          <w:szCs w:val="24"/>
          <w:lang w:val="en-IE"/>
        </w:rPr>
        <w:t>be considered at this point</w:t>
      </w:r>
      <w:r w:rsidR="00E175B7" w:rsidRPr="005B4339">
        <w:rPr>
          <w:rStyle w:val="FootnoteReference"/>
          <w:rFonts w:ascii="Times New Roman" w:hAnsi="Times New Roman" w:cs="Times New Roman"/>
          <w:noProof/>
          <w:sz w:val="24"/>
          <w:szCs w:val="24"/>
          <w:lang w:val="en-IE"/>
        </w:rPr>
        <w:footnoteReference w:id="126"/>
      </w:r>
      <w:r w:rsidR="00E175B7" w:rsidRPr="005B4339">
        <w:rPr>
          <w:rFonts w:ascii="Times New Roman" w:hAnsi="Times New Roman" w:cs="Times New Roman"/>
          <w:noProof/>
          <w:sz w:val="24"/>
          <w:szCs w:val="24"/>
          <w:lang w:val="en-IE"/>
        </w:rPr>
        <w:t>. Additionally</w:t>
      </w:r>
      <w:r w:rsidR="2B18F9BC" w:rsidRPr="005B4339">
        <w:rPr>
          <w:rFonts w:ascii="Times New Roman" w:hAnsi="Times New Roman" w:cs="Times New Roman"/>
          <w:noProof/>
          <w:sz w:val="24"/>
          <w:szCs w:val="24"/>
          <w:lang w:val="en-IE"/>
        </w:rPr>
        <w:t>,</w:t>
      </w:r>
      <w:r w:rsidR="00E175B7" w:rsidRPr="005B4339">
        <w:rPr>
          <w:rFonts w:ascii="Times New Roman" w:hAnsi="Times New Roman" w:cs="Times New Roman"/>
          <w:noProof/>
          <w:sz w:val="24"/>
          <w:szCs w:val="24"/>
          <w:lang w:val="en-IE"/>
        </w:rPr>
        <w:t xml:space="preserve"> </w:t>
      </w:r>
      <w:r w:rsidR="00602401" w:rsidRPr="005B4339">
        <w:rPr>
          <w:rFonts w:ascii="Times New Roman" w:hAnsi="Times New Roman" w:cs="Times New Roman"/>
          <w:noProof/>
          <w:sz w:val="24"/>
          <w:szCs w:val="24"/>
          <w:lang w:val="en-IE"/>
        </w:rPr>
        <w:t xml:space="preserve">stakeholders were concerned that </w:t>
      </w:r>
      <w:r w:rsidR="00E175B7" w:rsidRPr="005B4339">
        <w:rPr>
          <w:rFonts w:ascii="Times New Roman" w:hAnsi="Times New Roman" w:cs="Times New Roman"/>
          <w:noProof/>
          <w:sz w:val="24"/>
          <w:szCs w:val="24"/>
          <w:lang w:val="en-IE"/>
        </w:rPr>
        <w:t xml:space="preserve">as there is not yet the capacity for </w:t>
      </w:r>
      <w:r w:rsidR="00D96247" w:rsidRPr="005B4339">
        <w:rPr>
          <w:rFonts w:ascii="Times New Roman" w:hAnsi="Times New Roman" w:cs="Times New Roman"/>
          <w:noProof/>
          <w:sz w:val="24"/>
          <w:szCs w:val="24"/>
          <w:lang w:val="en-IE"/>
        </w:rPr>
        <w:t>reuse</w:t>
      </w:r>
      <w:r w:rsidR="00E175B7" w:rsidRPr="005B4339">
        <w:rPr>
          <w:rFonts w:ascii="Times New Roman" w:hAnsi="Times New Roman" w:cs="Times New Roman"/>
          <w:noProof/>
          <w:sz w:val="24"/>
          <w:szCs w:val="24"/>
          <w:lang w:val="en-IE"/>
        </w:rPr>
        <w:t xml:space="preserve"> systems to deliver at volume</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 xml:space="preserve">the </w:t>
      </w:r>
      <w:r w:rsidR="00C563B9" w:rsidRPr="005B4339">
        <w:rPr>
          <w:rFonts w:ascii="Times New Roman" w:hAnsi="Times New Roman" w:cs="Times New Roman"/>
          <w:noProof/>
          <w:sz w:val="24"/>
          <w:szCs w:val="24"/>
          <w:lang w:val="en-IE"/>
        </w:rPr>
        <w:t xml:space="preserve">market </w:t>
      </w:r>
      <w:r w:rsidR="00E175B7" w:rsidRPr="005B4339">
        <w:rPr>
          <w:rFonts w:ascii="Times New Roman" w:hAnsi="Times New Roman" w:cs="Times New Roman"/>
          <w:noProof/>
          <w:sz w:val="24"/>
          <w:szCs w:val="24"/>
          <w:lang w:val="en-IE"/>
        </w:rPr>
        <w:t xml:space="preserve">isn’t ready to respond to </w:t>
      </w:r>
      <w:r w:rsidR="00D96247" w:rsidRPr="005B4339">
        <w:rPr>
          <w:rFonts w:ascii="Times New Roman" w:hAnsi="Times New Roman" w:cs="Times New Roman"/>
          <w:noProof/>
          <w:sz w:val="24"/>
          <w:szCs w:val="24"/>
          <w:lang w:val="en-IE"/>
        </w:rPr>
        <w:t>reuse</w:t>
      </w:r>
      <w:r w:rsidR="00E175B7" w:rsidRPr="005B4339">
        <w:rPr>
          <w:rFonts w:ascii="Times New Roman" w:hAnsi="Times New Roman" w:cs="Times New Roman"/>
          <w:noProof/>
          <w:sz w:val="24"/>
          <w:szCs w:val="24"/>
          <w:lang w:val="en-IE"/>
        </w:rPr>
        <w:t xml:space="preserve"> targets. Feedback from the workshop outlined that</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the development of reuse targets should be done in consultation with industry experts and progressively increased over time</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 xml:space="preserve">as the infrastructure and data permits. This would allow for Member States and market demand </w:t>
      </w:r>
      <w:r w:rsidR="00602401" w:rsidRPr="005B4339">
        <w:rPr>
          <w:rFonts w:ascii="Times New Roman" w:hAnsi="Times New Roman" w:cs="Times New Roman"/>
          <w:noProof/>
          <w:sz w:val="24"/>
          <w:szCs w:val="24"/>
          <w:lang w:val="en-IE"/>
        </w:rPr>
        <w:t xml:space="preserve">(boosted by ESPR measures) </w:t>
      </w:r>
      <w:r w:rsidR="00E175B7" w:rsidRPr="005B4339">
        <w:rPr>
          <w:rFonts w:ascii="Times New Roman" w:hAnsi="Times New Roman" w:cs="Times New Roman"/>
          <w:noProof/>
          <w:sz w:val="24"/>
          <w:szCs w:val="24"/>
          <w:lang w:val="en-IE"/>
        </w:rPr>
        <w:t>/ capacity to expand symbiotically in keeping with the aims of the EU strategy for sustainable and circular textiles in relation to profitable reuse and repair services. Collaboration with industry and Member States would also ensure that targets are reasonable</w:t>
      </w:r>
      <w:r w:rsidR="48A188DC" w:rsidRPr="005B4339">
        <w:rPr>
          <w:rFonts w:ascii="Times New Roman" w:hAnsi="Times New Roman" w:cs="Times New Roman"/>
          <w:noProof/>
          <w:sz w:val="24"/>
          <w:szCs w:val="24"/>
          <w:lang w:val="en-IE"/>
        </w:rPr>
        <w:t>,</w:t>
      </w:r>
      <w:r w:rsidR="00E175B7" w:rsidRPr="005B4339">
        <w:rPr>
          <w:rFonts w:ascii="Times New Roman" w:hAnsi="Times New Roman" w:cs="Times New Roman"/>
          <w:noProof/>
          <w:sz w:val="24"/>
          <w:szCs w:val="24"/>
          <w:lang w:val="en-IE"/>
        </w:rPr>
        <w:t xml:space="preserve"> and</w:t>
      </w:r>
      <w:r w:rsidR="00C563B9" w:rsidRPr="005B4339">
        <w:rPr>
          <w:rFonts w:ascii="Times New Roman" w:hAnsi="Times New Roman" w:cs="Times New Roman"/>
          <w:noProof/>
          <w:sz w:val="24"/>
          <w:szCs w:val="24"/>
          <w:lang w:val="en-IE"/>
        </w:rPr>
        <w:t xml:space="preserve"> stakeholders advocated for </w:t>
      </w:r>
      <w:r w:rsidR="00853BAE" w:rsidRPr="005B4339">
        <w:rPr>
          <w:rFonts w:ascii="Times New Roman" w:hAnsi="Times New Roman" w:cs="Times New Roman"/>
          <w:noProof/>
          <w:sz w:val="24"/>
          <w:szCs w:val="24"/>
          <w:lang w:val="en-IE"/>
        </w:rPr>
        <w:t>targets</w:t>
      </w:r>
      <w:r w:rsidR="00E175B7" w:rsidRPr="005B4339">
        <w:rPr>
          <w:rFonts w:ascii="Times New Roman" w:hAnsi="Times New Roman" w:cs="Times New Roman"/>
          <w:noProof/>
          <w:sz w:val="24"/>
          <w:szCs w:val="24"/>
          <w:lang w:val="en-IE"/>
        </w:rPr>
        <w:t xml:space="preserve"> not </w:t>
      </w:r>
      <w:r w:rsidR="00853BAE" w:rsidRPr="005B4339">
        <w:rPr>
          <w:rFonts w:ascii="Times New Roman" w:hAnsi="Times New Roman" w:cs="Times New Roman"/>
          <w:noProof/>
          <w:sz w:val="24"/>
          <w:szCs w:val="24"/>
          <w:lang w:val="en-IE"/>
        </w:rPr>
        <w:t xml:space="preserve">to be </w:t>
      </w:r>
      <w:r w:rsidR="00E175B7" w:rsidRPr="005B4339">
        <w:rPr>
          <w:rFonts w:ascii="Times New Roman" w:hAnsi="Times New Roman" w:cs="Times New Roman"/>
          <w:noProof/>
          <w:sz w:val="24"/>
          <w:szCs w:val="24"/>
          <w:lang w:val="en-IE"/>
        </w:rPr>
        <w:t>set below what is already being achieved in some states. Importantly</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 xml:space="preserve">as with </w:t>
      </w:r>
      <w:r w:rsidR="00853BAE" w:rsidRPr="005B4339">
        <w:rPr>
          <w:rFonts w:ascii="Times New Roman" w:hAnsi="Times New Roman" w:cs="Times New Roman"/>
          <w:noProof/>
          <w:sz w:val="24"/>
          <w:szCs w:val="24"/>
          <w:lang w:val="en-IE"/>
        </w:rPr>
        <w:t>most</w:t>
      </w:r>
      <w:r w:rsidR="00E175B7" w:rsidRPr="005B4339">
        <w:rPr>
          <w:rFonts w:ascii="Times New Roman" w:hAnsi="Times New Roman" w:cs="Times New Roman"/>
          <w:noProof/>
          <w:sz w:val="24"/>
          <w:szCs w:val="24"/>
          <w:lang w:val="en-IE"/>
        </w:rPr>
        <w:t xml:space="preserve"> measures</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harmonisation of monitoring and reporting is vital</w:t>
      </w:r>
      <w:r w:rsidR="00974A8D" w:rsidRPr="005B4339">
        <w:rPr>
          <w:rFonts w:ascii="Times New Roman" w:hAnsi="Times New Roman" w:cs="Times New Roman"/>
          <w:noProof/>
          <w:sz w:val="24"/>
          <w:szCs w:val="24"/>
          <w:lang w:val="en-IE"/>
        </w:rPr>
        <w:t>. H</w:t>
      </w:r>
      <w:r w:rsidR="00E175B7" w:rsidRPr="005B4339">
        <w:rPr>
          <w:rFonts w:ascii="Times New Roman" w:hAnsi="Times New Roman" w:cs="Times New Roman"/>
          <w:noProof/>
          <w:sz w:val="24"/>
          <w:szCs w:val="24"/>
          <w:lang w:val="en-IE"/>
        </w:rPr>
        <w:t>owever</w:t>
      </w:r>
      <w:r w:rsidR="5F3F4F76" w:rsidRPr="005B4339">
        <w:rPr>
          <w:rFonts w:ascii="Times New Roman" w:hAnsi="Times New Roman" w:cs="Times New Roman"/>
          <w:noProof/>
          <w:sz w:val="24"/>
          <w:szCs w:val="24"/>
          <w:lang w:val="en-IE"/>
        </w:rPr>
        <w:t>,</w:t>
      </w:r>
      <w:r w:rsidR="00E175B7" w:rsidRPr="005B4339">
        <w:rPr>
          <w:rFonts w:ascii="Times New Roman" w:hAnsi="Times New Roman" w:cs="Times New Roman"/>
          <w:noProof/>
          <w:sz w:val="24"/>
          <w:szCs w:val="24"/>
          <w:lang w:val="en-IE"/>
        </w:rPr>
        <w:t xml:space="preserve"> </w:t>
      </w:r>
      <w:r w:rsidR="00974A8D" w:rsidRPr="005B4339">
        <w:rPr>
          <w:rFonts w:ascii="Times New Roman" w:hAnsi="Times New Roman" w:cs="Times New Roman"/>
          <w:noProof/>
          <w:sz w:val="24"/>
          <w:szCs w:val="24"/>
          <w:lang w:val="en-IE"/>
        </w:rPr>
        <w:t xml:space="preserve">stakeholders noted that </w:t>
      </w:r>
      <w:r w:rsidR="00E175B7" w:rsidRPr="005B4339">
        <w:rPr>
          <w:rFonts w:ascii="Times New Roman" w:hAnsi="Times New Roman" w:cs="Times New Roman"/>
          <w:noProof/>
          <w:sz w:val="24"/>
          <w:szCs w:val="24"/>
          <w:lang w:val="en-IE"/>
        </w:rPr>
        <w:t>this could be challenging as reused textiles are not considered waste</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 xml:space="preserve">therefore language and terminology would need to be reflected accurately in </w:t>
      </w:r>
      <w:r w:rsidR="00E175B7" w:rsidRPr="005B4339">
        <w:rPr>
          <w:rFonts w:ascii="Times New Roman" w:hAnsi="Times New Roman" w:cs="Times New Roman"/>
          <w:noProof/>
          <w:sz w:val="24"/>
          <w:szCs w:val="24"/>
          <w:lang w:val="en-IE"/>
        </w:rPr>
        <w:lastRenderedPageBreak/>
        <w:t xml:space="preserve">these. It was suggested that </w:t>
      </w:r>
      <w:r w:rsidR="00D96247" w:rsidRPr="005B4339">
        <w:rPr>
          <w:rFonts w:ascii="Times New Roman" w:hAnsi="Times New Roman" w:cs="Times New Roman"/>
          <w:noProof/>
          <w:sz w:val="24"/>
          <w:szCs w:val="24"/>
          <w:lang w:val="en-IE"/>
        </w:rPr>
        <w:t>reuse</w:t>
      </w:r>
      <w:r w:rsidR="00E175B7" w:rsidRPr="005B4339">
        <w:rPr>
          <w:rFonts w:ascii="Times New Roman" w:hAnsi="Times New Roman" w:cs="Times New Roman"/>
          <w:noProof/>
          <w:sz w:val="24"/>
          <w:szCs w:val="24"/>
          <w:lang w:val="en-IE"/>
        </w:rPr>
        <w:t xml:space="preserve"> targets should be developed in line with prepare-to-reuse targets but only focusing on waste and donations (excluding C2C platforms). Some feedback states that reuse targets are not practical or feasible and targets should be focused on prevention because even with better reuse and recycling</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issues like fast fashion are not being addressed and we should always be aiming for moving up the waste hierarchy.</w:t>
      </w:r>
    </w:p>
    <w:p w14:paraId="7ED06B35" w14:textId="5A2F2C4A" w:rsidR="00E175B7" w:rsidRPr="005B4339" w:rsidRDefault="00E175B7" w:rsidP="007F16CA">
      <w:pPr>
        <w:pStyle w:val="WDBody"/>
        <w:spacing w:after="120"/>
        <w:jc w:val="both"/>
        <w:rPr>
          <w:rFonts w:ascii="Times New Roman" w:hAnsi="Times New Roman" w:cs="Times New Roman"/>
          <w:noProof/>
          <w:color w:val="auto"/>
          <w:sz w:val="24"/>
          <w:szCs w:val="24"/>
          <w:lang w:val="en-IE"/>
        </w:rPr>
      </w:pPr>
      <w:r w:rsidRPr="005B4339">
        <w:rPr>
          <w:rFonts w:ascii="Times New Roman" w:hAnsi="Times New Roman" w:cs="Times New Roman"/>
          <w:noProof/>
          <w:sz w:val="24"/>
          <w:szCs w:val="24"/>
          <w:lang w:val="en-IE"/>
        </w:rPr>
        <w:t>Preparation for reuse targets were seen as an option which could form part of the EPR</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with a recycling target on the fraction that would not be prepared for reuse (remaining fraction</w:t>
      </w:r>
      <w:r w:rsidRPr="005B4339">
        <w:rPr>
          <w:rFonts w:ascii="Times New Roman" w:hAnsi="Times New Roman" w:cs="Times New Roman"/>
          <w:noProof/>
          <w:sz w:val="24"/>
          <w:szCs w:val="24"/>
          <w:vertAlign w:val="superscript"/>
          <w:lang w:val="en-IE"/>
        </w:rPr>
        <w:footnoteReference w:id="127"/>
      </w:r>
      <w:r w:rsidRPr="005B4339">
        <w:rPr>
          <w:rFonts w:ascii="Times New Roman" w:hAnsi="Times New Roman" w:cs="Times New Roman"/>
          <w:noProof/>
          <w:sz w:val="24"/>
          <w:szCs w:val="24"/>
          <w:lang w:val="en-IE"/>
        </w:rPr>
        <w:t xml:space="preserve">.) An example of this in action is the Netherlands </w:t>
      </w:r>
      <w:r w:rsidR="00974A8D" w:rsidRPr="005B4339">
        <w:rPr>
          <w:rFonts w:ascii="Times New Roman" w:hAnsi="Times New Roman" w:cs="Times New Roman"/>
          <w:noProof/>
          <w:sz w:val="24"/>
          <w:szCs w:val="24"/>
          <w:lang w:val="en-IE"/>
        </w:rPr>
        <w:t>that</w:t>
      </w:r>
      <w:r w:rsidRPr="005B4339">
        <w:rPr>
          <w:rFonts w:ascii="Times New Roman" w:hAnsi="Times New Roman" w:cs="Times New Roman"/>
          <w:noProof/>
          <w:sz w:val="24"/>
          <w:szCs w:val="24"/>
          <w:lang w:val="en-IE"/>
        </w:rPr>
        <w:t xml:space="preserve"> use</w:t>
      </w:r>
      <w:r w:rsidR="00974A8D" w:rsidRPr="005B4339">
        <w:rPr>
          <w:rFonts w:ascii="Times New Roman" w:hAnsi="Times New Roman" w:cs="Times New Roman"/>
          <w:noProof/>
          <w:sz w:val="24"/>
          <w:szCs w:val="24"/>
          <w:lang w:val="en-IE"/>
        </w:rPr>
        <w:t>s</w:t>
      </w:r>
      <w:r w:rsidRPr="005B4339">
        <w:rPr>
          <w:rFonts w:ascii="Times New Roman" w:hAnsi="Times New Roman" w:cs="Times New Roman"/>
          <w:noProof/>
          <w:sz w:val="24"/>
          <w:szCs w:val="24"/>
          <w:lang w:val="en-IE"/>
        </w:rPr>
        <w:t xml:space="preserve"> a combination of targets relating to preparation for reuse and recycling and allow producers to choose</w:t>
      </w:r>
      <w:r w:rsidRPr="005B4339">
        <w:rPr>
          <w:rFonts w:ascii="Times New Roman" w:hAnsi="Times New Roman" w:cs="Times New Roman"/>
          <w:noProof/>
          <w:sz w:val="24"/>
          <w:szCs w:val="24"/>
          <w:vertAlign w:val="superscript"/>
          <w:lang w:val="en-IE"/>
        </w:rPr>
        <w:footnoteReference w:id="128"/>
      </w:r>
      <w:r w:rsidR="007F16C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vertAlign w:val="superscript"/>
          <w:lang w:val="en-IE"/>
        </w:rPr>
        <w:t xml:space="preserve">. </w:t>
      </w:r>
      <w:r w:rsidRPr="005B4339">
        <w:rPr>
          <w:rFonts w:ascii="Times New Roman" w:hAnsi="Times New Roman" w:cs="Times New Roman"/>
          <w:noProof/>
          <w:sz w:val="24"/>
          <w:szCs w:val="24"/>
          <w:lang w:val="en-IE"/>
        </w:rPr>
        <w:t>Separate reuse and recycling targets would be required to ensure everything doesn’t end up being recycled</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for instance design for recycling. Reuse should only be considered if it takes place within Europe due to lack of end-of-life information for exports out with the area. Additional measures would also need to be in place to ensure preparation leads to reuse. This would also drive the reuse market within the EU boundaries</w:t>
      </w:r>
      <w:r w:rsidRPr="005B4339">
        <w:rPr>
          <w:rFonts w:ascii="Times New Roman" w:hAnsi="Times New Roman" w:cs="Times New Roman"/>
          <w:noProof/>
          <w:sz w:val="24"/>
          <w:szCs w:val="24"/>
          <w:vertAlign w:val="superscript"/>
          <w:lang w:val="en-IE"/>
        </w:rPr>
        <w:footnoteReference w:id="129"/>
      </w:r>
      <w:r w:rsidRPr="005B4339">
        <w:rPr>
          <w:rFonts w:ascii="Times New Roman" w:hAnsi="Times New Roman" w:cs="Times New Roman"/>
          <w:noProof/>
          <w:sz w:val="24"/>
          <w:szCs w:val="24"/>
          <w:lang w:val="en-IE"/>
        </w:rPr>
        <w:t>. Another option when developing the target could be to consider the textiles that currently end up in municipal waste to increase the amount of material entering preparation for reuse and decreasing household waste</w:t>
      </w:r>
      <w:r w:rsidRPr="005B4339">
        <w:rPr>
          <w:rFonts w:ascii="Times New Roman" w:hAnsi="Times New Roman" w:cs="Times New Roman"/>
          <w:noProof/>
          <w:sz w:val="24"/>
          <w:szCs w:val="24"/>
          <w:vertAlign w:val="superscript"/>
          <w:lang w:val="en-IE"/>
        </w:rPr>
        <w:footnoteReference w:id="130"/>
      </w:r>
      <w:r w:rsidRPr="005B4339">
        <w:rPr>
          <w:rFonts w:ascii="Times New Roman" w:hAnsi="Times New Roman" w:cs="Times New Roman"/>
          <w:noProof/>
          <w:sz w:val="24"/>
          <w:szCs w:val="24"/>
          <w:lang w:val="en-IE"/>
        </w:rPr>
        <w:t>. Where respondents agreed with the targets there was still caution against setting a target straight away. Due to other legislative changes – namely the 2025 textiles collection obligation – there will be a significant increase in collection of non-reusable fractions of textile which will make it non-feasible to significantly increase prepare-for-reuse in the first few years. There is also a lack of harmonised data for collection rates which would be necessary to provide a reporting framework and baseline</w:t>
      </w:r>
      <w:r w:rsidR="000E609B" w:rsidRPr="005B4339">
        <w:rPr>
          <w:rStyle w:val="FootnoteReference"/>
          <w:rFonts w:ascii="Times New Roman" w:hAnsi="Times New Roman" w:cs="Times New Roman"/>
          <w:noProof/>
          <w:sz w:val="24"/>
          <w:szCs w:val="24"/>
          <w:lang w:val="en-IE"/>
        </w:rPr>
        <w:footnoteReference w:id="131"/>
      </w:r>
      <w:r w:rsidRPr="005B4339">
        <w:rPr>
          <w:rFonts w:ascii="Times New Roman" w:hAnsi="Times New Roman" w:cs="Times New Roman"/>
          <w:noProof/>
          <w:sz w:val="24"/>
          <w:szCs w:val="24"/>
          <w:lang w:val="en-IE"/>
        </w:rPr>
        <w:t xml:space="preserve">. </w:t>
      </w:r>
    </w:p>
    <w:p w14:paraId="1CADDBC6" w14:textId="29119094" w:rsidR="00E175B7" w:rsidRPr="005B4339" w:rsidRDefault="00974A8D" w:rsidP="00E61009">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Like</w:t>
      </w:r>
      <w:r w:rsidR="00E175B7" w:rsidRPr="005B4339">
        <w:rPr>
          <w:rFonts w:ascii="Times New Roman" w:hAnsi="Times New Roman" w:cs="Times New Roman"/>
          <w:noProof/>
          <w:sz w:val="24"/>
          <w:szCs w:val="24"/>
          <w:lang w:val="en-IE"/>
        </w:rPr>
        <w:t xml:space="preserve"> other target-based measures stakeholder mentioned potential challenges in measurement and enforcement. There were questions raised around who would measure the data and how it could be collected. It was felt that prevention was an easier metric to measure as this can be monitored by amounts POM</w:t>
      </w:r>
      <w:r w:rsidR="00E175B7" w:rsidRPr="005B4339">
        <w:rPr>
          <w:rStyle w:val="FootnoteReference"/>
          <w:rFonts w:ascii="Times New Roman" w:hAnsi="Times New Roman" w:cs="Times New Roman"/>
          <w:noProof/>
          <w:sz w:val="24"/>
          <w:szCs w:val="24"/>
          <w:lang w:val="en-IE"/>
        </w:rPr>
        <w:footnoteReference w:id="132"/>
      </w:r>
      <w:r w:rsidR="00E175B7" w:rsidRPr="005B4339">
        <w:rPr>
          <w:rFonts w:ascii="Times New Roman" w:hAnsi="Times New Roman" w:cs="Times New Roman"/>
          <w:noProof/>
          <w:sz w:val="24"/>
          <w:szCs w:val="24"/>
          <w:lang w:val="en-IE"/>
        </w:rPr>
        <w:t>.  There were some interviewees who felt the measure was relevant and useful</w:t>
      </w:r>
      <w:r w:rsidR="00E175B7" w:rsidRPr="005B4339">
        <w:rPr>
          <w:rStyle w:val="FootnoteReference"/>
          <w:rFonts w:ascii="Times New Roman" w:hAnsi="Times New Roman" w:cs="Times New Roman"/>
          <w:noProof/>
          <w:sz w:val="24"/>
          <w:szCs w:val="24"/>
          <w:lang w:val="en-IE"/>
        </w:rPr>
        <w:footnoteReference w:id="133"/>
      </w:r>
      <w:r w:rsidR="007F16CA" w:rsidRPr="005B4339">
        <w:rPr>
          <w:rFonts w:ascii="Times New Roman" w:hAnsi="Times New Roman" w:cs="Times New Roman"/>
          <w:noProof/>
          <w:sz w:val="24"/>
          <w:szCs w:val="24"/>
          <w:lang w:val="en-IE"/>
        </w:rPr>
        <w:t xml:space="preserve"> </w:t>
      </w:r>
      <w:r w:rsidR="00E175B7" w:rsidRPr="005B4339">
        <w:rPr>
          <w:rStyle w:val="FootnoteReference"/>
          <w:rFonts w:ascii="Times New Roman" w:hAnsi="Times New Roman" w:cs="Times New Roman"/>
          <w:noProof/>
          <w:sz w:val="24"/>
          <w:szCs w:val="24"/>
          <w:lang w:val="en-IE"/>
        </w:rPr>
        <w:footnoteReference w:id="134"/>
      </w:r>
      <w:r w:rsidR="00E175B7" w:rsidRPr="005B4339">
        <w:rPr>
          <w:rFonts w:ascii="Times New Roman" w:hAnsi="Times New Roman" w:cs="Times New Roman"/>
          <w:noProof/>
          <w:sz w:val="24"/>
          <w:szCs w:val="24"/>
          <w:lang w:val="en-IE"/>
        </w:rPr>
        <w:t>. It was suggested the prep</w:t>
      </w:r>
      <w:r w:rsidR="72FD0949" w:rsidRPr="005B4339">
        <w:rPr>
          <w:rFonts w:ascii="Times New Roman" w:hAnsi="Times New Roman" w:cs="Times New Roman"/>
          <w:noProof/>
          <w:sz w:val="24"/>
          <w:szCs w:val="24"/>
          <w:lang w:val="en-IE"/>
        </w:rPr>
        <w:t>aration</w:t>
      </w:r>
      <w:r w:rsidR="00E175B7" w:rsidRPr="005B4339">
        <w:rPr>
          <w:rFonts w:ascii="Times New Roman" w:hAnsi="Times New Roman" w:cs="Times New Roman"/>
          <w:noProof/>
          <w:sz w:val="24"/>
          <w:szCs w:val="24"/>
          <w:lang w:val="en-IE"/>
        </w:rPr>
        <w:t>-for-reuse would be better suited as a KPI which would take into account social aspects of the production process</w:t>
      </w:r>
      <w:r w:rsidR="00E175B7" w:rsidRPr="005B4339">
        <w:rPr>
          <w:rStyle w:val="FootnoteReference"/>
          <w:rFonts w:ascii="Times New Roman" w:hAnsi="Times New Roman" w:cs="Times New Roman"/>
          <w:noProof/>
          <w:sz w:val="24"/>
          <w:szCs w:val="24"/>
          <w:lang w:val="en-IE"/>
        </w:rPr>
        <w:footnoteReference w:id="135"/>
      </w:r>
      <w:r w:rsidR="00E175B7" w:rsidRPr="005B4339">
        <w:rPr>
          <w:rFonts w:ascii="Times New Roman" w:hAnsi="Times New Roman" w:cs="Times New Roman"/>
          <w:noProof/>
          <w:sz w:val="24"/>
          <w:szCs w:val="24"/>
          <w:lang w:val="en-IE"/>
        </w:rPr>
        <w:t>. It was felt that</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if measured and tracked properly</w:t>
      </w:r>
      <w:r w:rsidR="0099430A" w:rsidRPr="005B4339">
        <w:rPr>
          <w:rFonts w:ascii="Times New Roman" w:hAnsi="Times New Roman" w:cs="Times New Roman"/>
          <w:noProof/>
          <w:sz w:val="24"/>
          <w:szCs w:val="24"/>
          <w:lang w:val="en-IE"/>
        </w:rPr>
        <w:t xml:space="preserve"> </w:t>
      </w:r>
      <w:r w:rsidR="00E175B7" w:rsidRPr="005B4339">
        <w:rPr>
          <w:rFonts w:ascii="Times New Roman" w:hAnsi="Times New Roman" w:cs="Times New Roman"/>
          <w:noProof/>
          <w:sz w:val="24"/>
          <w:szCs w:val="24"/>
          <w:lang w:val="en-IE"/>
        </w:rPr>
        <w:t>the measure could support the reduction of textiles ending up in landfills or incineration and increase those used as feedstocks; however</w:t>
      </w:r>
      <w:r w:rsidR="7496DD03" w:rsidRPr="005B4339">
        <w:rPr>
          <w:rFonts w:ascii="Times New Roman" w:hAnsi="Times New Roman" w:cs="Times New Roman"/>
          <w:noProof/>
          <w:sz w:val="24"/>
          <w:szCs w:val="24"/>
          <w:lang w:val="en-IE"/>
        </w:rPr>
        <w:t>,</w:t>
      </w:r>
      <w:r w:rsidR="00E175B7" w:rsidRPr="005B4339">
        <w:rPr>
          <w:rFonts w:ascii="Times New Roman" w:hAnsi="Times New Roman" w:cs="Times New Roman"/>
          <w:noProof/>
          <w:sz w:val="24"/>
          <w:szCs w:val="24"/>
          <w:lang w:val="en-IE"/>
        </w:rPr>
        <w:t xml:space="preserve"> this would depend on them being collected and sorted efficiently which could improve the recycling infrastructure.</w:t>
      </w:r>
    </w:p>
    <w:p w14:paraId="54D4F6CC" w14:textId="199CCC7A" w:rsidR="00E175B7" w:rsidRPr="005B4339" w:rsidRDefault="00E175B7" w:rsidP="007F16CA">
      <w:pPr>
        <w:pStyle w:val="WDBody"/>
        <w:spacing w:after="24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An interviewee expressed that they did not see the purpose of a target</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as the market is self-regulat</w:t>
      </w:r>
      <w:r w:rsidR="00A91544" w:rsidRPr="005B4339">
        <w:rPr>
          <w:rFonts w:ascii="Times New Roman" w:hAnsi="Times New Roman" w:cs="Times New Roman"/>
          <w:noProof/>
          <w:sz w:val="24"/>
          <w:szCs w:val="24"/>
          <w:lang w:val="en-IE"/>
        </w:rPr>
        <w:t>ing</w:t>
      </w:r>
      <w:r w:rsidRPr="005B4339">
        <w:rPr>
          <w:rFonts w:ascii="Times New Roman" w:hAnsi="Times New Roman" w:cs="Times New Roman"/>
          <w:noProof/>
          <w:sz w:val="24"/>
          <w:szCs w:val="24"/>
          <w:lang w:val="en-IE"/>
        </w:rPr>
        <w:t>. As reuse operators and sorters will seek to make the maximum value from materials</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the commercial process will automatically drive the preparation for reuse element</w:t>
      </w:r>
      <w:r w:rsidRPr="005B4339">
        <w:rPr>
          <w:rStyle w:val="FootnoteReference"/>
          <w:rFonts w:ascii="Times New Roman" w:hAnsi="Times New Roman" w:cs="Times New Roman"/>
          <w:noProof/>
          <w:sz w:val="24"/>
          <w:szCs w:val="24"/>
          <w:lang w:val="en-IE"/>
        </w:rPr>
        <w:footnoteReference w:id="136"/>
      </w:r>
      <w:r w:rsidRPr="005B4339">
        <w:rPr>
          <w:rFonts w:ascii="Times New Roman" w:hAnsi="Times New Roman" w:cs="Times New Roman"/>
          <w:noProof/>
          <w:sz w:val="24"/>
          <w:szCs w:val="24"/>
          <w:lang w:val="en-IE"/>
        </w:rPr>
        <w:t>. Currently</w:t>
      </w:r>
      <w:r w:rsidR="7F156C7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collection and sorting are financed by reuse and only around 10% of what is collected can be resold in the EU as the market requires a higher quality than elsewhere. As the process of sorting is labour intensive</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the costs for this increase every year but the quality decreases. There is therefore a significant cost implication for this which – if not supported through a wider EPR or national system – will fall to the businesses. This will further drive down the volume of textiles able to be reused. </w:t>
      </w:r>
      <w:r w:rsidR="00A91544" w:rsidRPr="005B4339">
        <w:rPr>
          <w:rFonts w:ascii="Times New Roman" w:hAnsi="Times New Roman" w:cs="Times New Roman"/>
          <w:noProof/>
          <w:sz w:val="24"/>
          <w:szCs w:val="24"/>
          <w:lang w:val="en-IE"/>
        </w:rPr>
        <w:t xml:space="preserve">Stakeholders highlighted that to </w:t>
      </w:r>
      <w:r w:rsidR="002D241F" w:rsidRPr="005B4339">
        <w:rPr>
          <w:rFonts w:ascii="Times New Roman" w:hAnsi="Times New Roman" w:cs="Times New Roman"/>
          <w:noProof/>
          <w:sz w:val="24"/>
          <w:szCs w:val="24"/>
          <w:lang w:val="en-IE"/>
        </w:rPr>
        <w:t xml:space="preserve">ensure </w:t>
      </w:r>
      <w:r w:rsidRPr="005B4339">
        <w:rPr>
          <w:rFonts w:ascii="Times New Roman" w:hAnsi="Times New Roman" w:cs="Times New Roman"/>
          <w:noProof/>
          <w:sz w:val="24"/>
          <w:szCs w:val="24"/>
          <w:lang w:val="en-IE"/>
        </w:rPr>
        <w:t>textile reuse</w:t>
      </w:r>
      <w:r w:rsidR="0099430A"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there must be a high-level of reusable items or demand for recycling which is economically feasible</w:t>
      </w:r>
      <w:r w:rsidR="009878CD" w:rsidRPr="005B4339">
        <w:rPr>
          <w:rStyle w:val="FootnoteReference"/>
          <w:rFonts w:ascii="Times New Roman" w:hAnsi="Times New Roman" w:cs="Times New Roman"/>
          <w:noProof/>
          <w:sz w:val="24"/>
          <w:szCs w:val="24"/>
          <w:lang w:val="en-IE"/>
        </w:rPr>
        <w:footnoteReference w:id="137"/>
      </w:r>
      <w:r w:rsidRPr="005B4339">
        <w:rPr>
          <w:rFonts w:ascii="Times New Roman" w:hAnsi="Times New Roman" w:cs="Times New Roman"/>
          <w:noProof/>
          <w:sz w:val="24"/>
          <w:szCs w:val="24"/>
          <w:lang w:val="en-IE"/>
        </w:rPr>
        <w:t>.</w:t>
      </w:r>
    </w:p>
    <w:p w14:paraId="50E26216" w14:textId="530EFA69" w:rsidR="00B06379" w:rsidRPr="005B4339" w:rsidRDefault="00B06379" w:rsidP="00B06379">
      <w:pPr>
        <w:spacing w:after="120"/>
        <w:rPr>
          <w:noProof/>
          <w:lang w:val="en-IE"/>
        </w:rPr>
      </w:pPr>
      <w:bookmarkStart w:id="225" w:name="_Toc133229492"/>
      <w:bookmarkStart w:id="226" w:name="_Toc139032046"/>
      <w:r w:rsidRPr="005B4339">
        <w:rPr>
          <w:i/>
          <w:noProof/>
          <w:lang w:val="en-IE"/>
        </w:rPr>
        <w:t xml:space="preserve">Table </w:t>
      </w:r>
      <w:r w:rsidR="00393DFA">
        <w:rPr>
          <w:i/>
          <w:iCs/>
          <w:noProof/>
        </w:rPr>
        <w:t>30</w:t>
      </w:r>
      <w:r w:rsidRPr="005B4339">
        <w:rPr>
          <w:i/>
          <w:noProof/>
          <w:lang w:val="en-IE"/>
        </w:rPr>
        <w:t xml:space="preserve"> : Summary of impacts for measure 3.5</w:t>
      </w:r>
      <w:bookmarkEnd w:id="225"/>
      <w:bookmarkEnd w:id="226"/>
    </w:p>
    <w:tbl>
      <w:tblPr>
        <w:tblStyle w:val="PlainTable1"/>
        <w:tblW w:w="9268" w:type="dxa"/>
        <w:tblLook w:val="04A0" w:firstRow="1" w:lastRow="0" w:firstColumn="1" w:lastColumn="0" w:noHBand="0" w:noVBand="1"/>
      </w:tblPr>
      <w:tblGrid>
        <w:gridCol w:w="2547"/>
        <w:gridCol w:w="2268"/>
        <w:gridCol w:w="2268"/>
        <w:gridCol w:w="2185"/>
      </w:tblGrid>
      <w:tr w:rsidR="00AE703E" w:rsidRPr="005B4339" w14:paraId="0FA240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9BC261" w14:textId="77777777" w:rsidR="00AE703E" w:rsidRPr="005B4339" w:rsidRDefault="00AE703E" w:rsidP="002D241F">
            <w:pPr>
              <w:spacing w:after="120"/>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CFBF3" w14:textId="77777777" w:rsidR="00AE703E" w:rsidRPr="005B4339" w:rsidRDefault="00AE703E" w:rsidP="002D241F">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A64A7" w14:textId="77777777" w:rsidR="00AE703E" w:rsidRPr="005B4339" w:rsidRDefault="00AE703E" w:rsidP="002D241F">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45087" w14:textId="77777777" w:rsidR="00AE703E" w:rsidRPr="005B4339" w:rsidRDefault="00AE703E" w:rsidP="002D241F">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AE703E" w:rsidRPr="005B4339" w14:paraId="389082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92740D" w14:textId="466B3ABE" w:rsidR="00AE703E" w:rsidRPr="005B4339" w:rsidRDefault="00AE703E" w:rsidP="002D241F">
            <w:pPr>
              <w:spacing w:after="120"/>
              <w:jc w:val="left"/>
              <w:rPr>
                <w:noProof/>
                <w:lang w:val="en-IE"/>
              </w:rPr>
            </w:pPr>
            <w:r w:rsidRPr="005B4339">
              <w:rPr>
                <w:noProof/>
                <w:lang w:val="en-IE"/>
              </w:rPr>
              <w:t>Producers</w:t>
            </w:r>
            <w:r w:rsidR="0C18CCB7" w:rsidRPr="005B4339">
              <w:rPr>
                <w:noProof/>
                <w:lang w:val="en-IE"/>
              </w:rPr>
              <w:t>,</w:t>
            </w:r>
            <w:r w:rsidRPr="005B4339">
              <w:rPr>
                <w:noProof/>
                <w:lang w:val="en-IE"/>
              </w:rPr>
              <w:t xml:space="preserve"> waste managers (encompassing collectors</w:t>
            </w:r>
            <w:r w:rsidR="4E75B404" w:rsidRPr="005B4339">
              <w:rPr>
                <w:noProof/>
                <w:lang w:val="en-IE"/>
              </w:rPr>
              <w:t>,</w:t>
            </w:r>
            <w:r w:rsidRPr="005B4339">
              <w:rPr>
                <w:noProof/>
                <w:lang w:val="en-IE"/>
              </w:rPr>
              <w:t xml:space="preserve">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A7B800" w14:textId="26083694" w:rsidR="00AE703E" w:rsidRPr="005B4339" w:rsidRDefault="002D241F" w:rsidP="002D241F">
            <w:pPr>
              <w:spacing w:after="120"/>
              <w:ind w:left="30"/>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I</w:t>
            </w:r>
            <w:r w:rsidR="00516062" w:rsidRPr="005B4339">
              <w:rPr>
                <w:rFonts w:eastAsia="Times New Roman"/>
                <w:noProof/>
                <w:lang w:val="en-IE"/>
              </w:rPr>
              <w:t>ncrease cost of data collection and reporting.</w:t>
            </w:r>
          </w:p>
          <w:p w14:paraId="337AFDFA" w14:textId="70BEB3F3" w:rsidR="00AE703E" w:rsidRPr="005B4339" w:rsidRDefault="002D241F" w:rsidP="002D241F">
            <w:pPr>
              <w:spacing w:after="120"/>
              <w:ind w:left="30"/>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E</w:t>
            </w:r>
            <w:r w:rsidR="0079652B" w:rsidRPr="005B4339">
              <w:rPr>
                <w:rFonts w:eastAsia="Times New Roman"/>
                <w:noProof/>
                <w:lang w:val="en-IE"/>
              </w:rPr>
              <w:t>nable a level playing field as all operators would contribute to the reduction target</w:t>
            </w:r>
            <w:r w:rsidR="25EBA332" w:rsidRPr="005B4339">
              <w:rPr>
                <w:rFonts w:eastAsia="Times New Roman"/>
                <w:noProof/>
                <w:lang w:val="en-IE"/>
              </w:rPr>
              <w:t>,</w:t>
            </w:r>
            <w:r w:rsidR="0079652B" w:rsidRPr="005B4339">
              <w:rPr>
                <w:rFonts w:eastAsia="Times New Roman"/>
                <w:noProof/>
                <w:lang w:val="en-IE"/>
              </w:rPr>
              <w:t xml:space="preserve"> subject to specific </w:t>
            </w:r>
            <w:r w:rsidR="60BE4AD8" w:rsidRPr="005B4339">
              <w:rPr>
                <w:rFonts w:eastAsia="Times New Roman"/>
                <w:noProof/>
                <w:lang w:val="en-IE"/>
              </w:rPr>
              <w:t>characteristic</w:t>
            </w:r>
            <w:r w:rsidR="4565F862" w:rsidRPr="005B4339">
              <w:rPr>
                <w:rFonts w:eastAsia="Times New Roman"/>
                <w:noProof/>
                <w:lang w:val="en-IE"/>
              </w:rPr>
              <w:t>s</w:t>
            </w:r>
            <w:r w:rsidR="0079652B" w:rsidRPr="005B4339">
              <w:rPr>
                <w:rFonts w:eastAsia="Times New Roman"/>
                <w:noProof/>
                <w:lang w:val="en-IE"/>
              </w:rPr>
              <w: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6E1ED7" w14:textId="77777777" w:rsidR="00AE703E" w:rsidRPr="005B4339" w:rsidRDefault="00AE703E" w:rsidP="002D241F">
            <w:pPr>
              <w:spacing w:after="120"/>
              <w:cnfStyle w:val="000000100000" w:firstRow="0" w:lastRow="0" w:firstColumn="0" w:lastColumn="0" w:oddVBand="0" w:evenVBand="0" w:oddHBand="1" w:evenHBand="0" w:firstRowFirstColumn="0" w:firstRowLastColumn="0" w:lastRowFirstColumn="0" w:lastRowLastColumn="0"/>
              <w:rPr>
                <w:rFonts w:eastAsia="Times New Roman"/>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A1C85D" w14:textId="77777777" w:rsidR="00AE703E" w:rsidRPr="005B4339" w:rsidRDefault="00AE703E" w:rsidP="002D241F">
            <w:pPr>
              <w:spacing w:after="120"/>
              <w:cnfStyle w:val="000000100000" w:firstRow="0" w:lastRow="0" w:firstColumn="0" w:lastColumn="0" w:oddVBand="0" w:evenVBand="0" w:oddHBand="1" w:evenHBand="0" w:firstRowFirstColumn="0" w:firstRowLastColumn="0" w:lastRowFirstColumn="0" w:lastRowLastColumn="0"/>
              <w:rPr>
                <w:rFonts w:eastAsia="Times New Roman"/>
                <w:b/>
                <w:noProof/>
                <w:lang w:val="en-IE"/>
              </w:rPr>
            </w:pPr>
          </w:p>
        </w:tc>
      </w:tr>
      <w:tr w:rsidR="00AE703E" w:rsidRPr="005B4339" w14:paraId="2AFB228E" w14:textId="77777777">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F33B63" w14:textId="77777777" w:rsidR="00AE703E" w:rsidRPr="005B4339" w:rsidRDefault="00AE703E" w:rsidP="002D241F">
            <w:pPr>
              <w:spacing w:after="120"/>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574E7" w14:textId="194E57F6" w:rsidR="00516062" w:rsidRPr="005B4339" w:rsidRDefault="002D241F" w:rsidP="002D241F">
            <w:pPr>
              <w:spacing w:after="120"/>
              <w:ind w:left="30"/>
              <w:cnfStyle w:val="000000000000" w:firstRow="0" w:lastRow="0" w:firstColumn="0" w:lastColumn="0" w:oddVBand="0" w:evenVBand="0" w:oddHBand="0" w:evenHBand="0" w:firstRowFirstColumn="0" w:firstRowLastColumn="0" w:lastRowFirstColumn="0" w:lastRowLastColumn="0"/>
              <w:rPr>
                <w:rFonts w:eastAsia="Times New Roman"/>
                <w:noProof/>
                <w:lang w:val="en-IE"/>
              </w:rPr>
            </w:pPr>
            <w:r w:rsidRPr="005B4339">
              <w:rPr>
                <w:rFonts w:eastAsia="Times New Roman"/>
                <w:noProof/>
                <w:lang w:val="en-IE"/>
              </w:rPr>
              <w:t>Increase</w:t>
            </w:r>
            <w:r w:rsidR="00516062" w:rsidRPr="005B4339">
              <w:rPr>
                <w:rFonts w:eastAsia="Times New Roman"/>
                <w:noProof/>
                <w:lang w:val="en-IE"/>
              </w:rPr>
              <w:t xml:space="preserve"> the administrative costs of setting a preparation for reuse target</w:t>
            </w:r>
            <w:r w:rsidR="319F72B7" w:rsidRPr="005B4339">
              <w:rPr>
                <w:rFonts w:eastAsia="Times New Roman"/>
                <w:noProof/>
                <w:lang w:val="en-IE"/>
              </w:rPr>
              <w:t>,</w:t>
            </w:r>
            <w:r w:rsidR="00516062" w:rsidRPr="005B4339">
              <w:rPr>
                <w:rFonts w:eastAsia="Times New Roman"/>
                <w:noProof/>
                <w:lang w:val="en-IE"/>
              </w:rPr>
              <w:t xml:space="preserve"> developing indicators for monitoring progresses</w:t>
            </w:r>
            <w:r w:rsidR="548A9627" w:rsidRPr="005B4339">
              <w:rPr>
                <w:rFonts w:eastAsia="Times New Roman"/>
                <w:noProof/>
                <w:lang w:val="en-IE"/>
              </w:rPr>
              <w:t>,</w:t>
            </w:r>
            <w:r w:rsidR="00516062" w:rsidRPr="005B4339">
              <w:rPr>
                <w:rFonts w:eastAsia="Times New Roman"/>
                <w:noProof/>
                <w:lang w:val="en-IE"/>
              </w:rPr>
              <w:t xml:space="preserve"> ensure compliance</w:t>
            </w:r>
            <w:r w:rsidR="0099430A" w:rsidRPr="005B4339">
              <w:rPr>
                <w:rFonts w:eastAsia="Times New Roman"/>
                <w:noProof/>
                <w:lang w:val="en-IE"/>
              </w:rPr>
              <w:t xml:space="preserve"> </w:t>
            </w:r>
            <w:r w:rsidR="00516062" w:rsidRPr="005B4339">
              <w:rPr>
                <w:rFonts w:eastAsia="Times New Roman"/>
                <w:noProof/>
                <w:lang w:val="en-IE"/>
              </w:rPr>
              <w:t>and update upon need.</w:t>
            </w:r>
          </w:p>
          <w:p w14:paraId="003A1272" w14:textId="7D2F23BE" w:rsidR="00AE703E" w:rsidRPr="005B4339" w:rsidRDefault="00516062" w:rsidP="002D241F">
            <w:pPr>
              <w:spacing w:after="120"/>
              <w:ind w:left="30"/>
              <w:cnfStyle w:val="000000000000" w:firstRow="0" w:lastRow="0" w:firstColumn="0" w:lastColumn="0" w:oddVBand="0" w:evenVBand="0" w:oddHBand="0" w:evenHBand="0" w:firstRowFirstColumn="0" w:firstRowLastColumn="0" w:lastRowFirstColumn="0" w:lastRowLastColumn="0"/>
              <w:rPr>
                <w:rFonts w:eastAsia="Times New Roman"/>
                <w:noProof/>
                <w:lang w:val="en-IE"/>
              </w:rPr>
            </w:pPr>
            <w:r w:rsidRPr="005B4339">
              <w:rPr>
                <w:rFonts w:eastAsia="Times New Roman"/>
                <w:noProof/>
                <w:lang w:val="en-IE"/>
              </w:rPr>
              <w:t xml:space="preserve">Increase costs of data collection and </w:t>
            </w:r>
            <w:r w:rsidRPr="005B4339">
              <w:rPr>
                <w:rFonts w:eastAsia="Times New Roman"/>
                <w:noProof/>
                <w:lang w:val="en-IE"/>
              </w:rPr>
              <w:lastRenderedPageBreak/>
              <w:t>reporting on reused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E24BD9" w14:textId="77777777" w:rsidR="00AE703E" w:rsidRPr="005B4339" w:rsidRDefault="00AE703E" w:rsidP="002D241F">
            <w:pPr>
              <w:spacing w:after="120"/>
              <w:cnfStyle w:val="000000000000" w:firstRow="0" w:lastRow="0" w:firstColumn="0" w:lastColumn="0" w:oddVBand="0" w:evenVBand="0" w:oddHBand="0" w:evenHBand="0" w:firstRowFirstColumn="0" w:firstRowLastColumn="0" w:lastRowFirstColumn="0" w:lastRowLastColumn="0"/>
              <w:rPr>
                <w:rFonts w:eastAsia="Times New Roman"/>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8492A8" w14:textId="77777777" w:rsidR="00AE703E" w:rsidRPr="005B4339" w:rsidRDefault="00AE703E" w:rsidP="002D241F">
            <w:pPr>
              <w:spacing w:after="120"/>
              <w:cnfStyle w:val="000000000000" w:firstRow="0" w:lastRow="0" w:firstColumn="0" w:lastColumn="0" w:oddVBand="0" w:evenVBand="0" w:oddHBand="0" w:evenHBand="0" w:firstRowFirstColumn="0" w:firstRowLastColumn="0" w:lastRowFirstColumn="0" w:lastRowLastColumn="0"/>
              <w:rPr>
                <w:rFonts w:eastAsia="Times New Roman"/>
                <w:b/>
                <w:noProof/>
                <w:lang w:val="en-IE"/>
              </w:rPr>
            </w:pPr>
          </w:p>
        </w:tc>
      </w:tr>
      <w:tr w:rsidR="00AE703E" w:rsidRPr="005B4339" w14:paraId="4B4C6F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696E29" w14:textId="77777777" w:rsidR="00AE703E" w:rsidRPr="005B4339" w:rsidRDefault="00AE703E" w:rsidP="002D241F">
            <w:pPr>
              <w:spacing w:after="120"/>
              <w:jc w:val="left"/>
              <w:rPr>
                <w:noProof/>
                <w:lang w:val="en-IE"/>
              </w:rPr>
            </w:pPr>
            <w:r w:rsidRPr="005B4339">
              <w:rPr>
                <w:noProof/>
                <w:lang w:val="en-IE"/>
              </w:rPr>
              <w:t>Citizens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B40D2A" w14:textId="0ABF6078" w:rsidR="00AE703E" w:rsidRPr="005B4339" w:rsidRDefault="60CF2E9D" w:rsidP="002D241F">
            <w:pPr>
              <w:spacing w:after="120"/>
              <w:ind w:left="30"/>
              <w:cnfStyle w:val="000000100000" w:firstRow="0" w:lastRow="0" w:firstColumn="0" w:lastColumn="0" w:oddVBand="0" w:evenVBand="0" w:oddHBand="1" w:evenHBand="0" w:firstRowFirstColumn="0" w:firstRowLastColumn="0" w:lastRowFirstColumn="0" w:lastRowLastColumn="0"/>
              <w:rPr>
                <w:rFonts w:eastAsia="Times New Roman"/>
                <w:noProof/>
                <w:lang w:val="en-IE"/>
              </w:rPr>
            </w:pPr>
            <w:r w:rsidRPr="005B4339">
              <w:rPr>
                <w:rFonts w:eastAsia="Times New Roman"/>
                <w:noProof/>
                <w:lang w:val="en-IE"/>
              </w:rPr>
              <w:t>Greater availability of options for the purchase of second hand textile products at a lower cost</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9B7E2" w14:textId="77777777" w:rsidR="00AE703E" w:rsidRPr="005B4339" w:rsidRDefault="00AE703E" w:rsidP="002D241F">
            <w:pPr>
              <w:spacing w:after="120"/>
              <w:cnfStyle w:val="000000100000" w:firstRow="0" w:lastRow="0" w:firstColumn="0" w:lastColumn="0" w:oddVBand="0" w:evenVBand="0" w:oddHBand="1" w:evenHBand="0" w:firstRowFirstColumn="0" w:firstRowLastColumn="0" w:lastRowFirstColumn="0" w:lastRowLastColumn="0"/>
              <w:rPr>
                <w:rFonts w:eastAsia="Times New Roman"/>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038B6" w14:textId="77777777" w:rsidR="00AE703E" w:rsidRPr="005B4339" w:rsidRDefault="00AE703E" w:rsidP="002D241F">
            <w:pPr>
              <w:spacing w:after="120"/>
              <w:cnfStyle w:val="000000100000" w:firstRow="0" w:lastRow="0" w:firstColumn="0" w:lastColumn="0" w:oddVBand="0" w:evenVBand="0" w:oddHBand="1" w:evenHBand="0" w:firstRowFirstColumn="0" w:firstRowLastColumn="0" w:lastRowFirstColumn="0" w:lastRowLastColumn="0"/>
              <w:rPr>
                <w:rFonts w:eastAsia="Times New Roman"/>
                <w:b/>
                <w:noProof/>
                <w:lang w:val="en-IE"/>
              </w:rPr>
            </w:pPr>
          </w:p>
        </w:tc>
      </w:tr>
      <w:tr w:rsidR="00AE703E" w:rsidRPr="005B4339" w14:paraId="2A6E9DAD"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5552AD" w14:textId="77777777" w:rsidR="00AE703E" w:rsidRPr="005B4339" w:rsidRDefault="00AE703E" w:rsidP="002D241F">
            <w:pPr>
              <w:spacing w:after="120"/>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51A1EC" w14:textId="77777777" w:rsidR="00AE703E" w:rsidRPr="005B4339" w:rsidRDefault="00AE703E" w:rsidP="002D241F">
            <w:pPr>
              <w:spacing w:after="120"/>
              <w:ind w:left="30"/>
              <w:cnfStyle w:val="000000000000" w:firstRow="0" w:lastRow="0" w:firstColumn="0" w:lastColumn="0" w:oddVBand="0" w:evenVBand="0" w:oddHBand="0" w:evenHBand="0" w:firstRowFirstColumn="0" w:firstRowLastColumn="0" w:lastRowFirstColumn="0" w:lastRowLastColumn="0"/>
              <w:rPr>
                <w:rFonts w:eastAsia="Times New Roman"/>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29B12C" w14:textId="332D6139" w:rsidR="00AE703E" w:rsidRPr="005B4339" w:rsidRDefault="002D241F" w:rsidP="002D241F">
            <w:pPr>
              <w:spacing w:after="120"/>
              <w:cnfStyle w:val="000000000000" w:firstRow="0" w:lastRow="0" w:firstColumn="0" w:lastColumn="0" w:oddVBand="0" w:evenVBand="0" w:oddHBand="0" w:evenHBand="0" w:firstRowFirstColumn="0" w:firstRowLastColumn="0" w:lastRowFirstColumn="0" w:lastRowLastColumn="0"/>
              <w:rPr>
                <w:rFonts w:eastAsia="Times New Roman"/>
                <w:noProof/>
                <w:lang w:val="en-IE"/>
              </w:rPr>
            </w:pPr>
            <w:r w:rsidRPr="005B4339">
              <w:rPr>
                <w:rFonts w:eastAsia="Times New Roman"/>
                <w:noProof/>
                <w:lang w:val="en-IE"/>
              </w:rPr>
              <w:t>I</w:t>
            </w:r>
            <w:r w:rsidR="0079652B" w:rsidRPr="005B4339">
              <w:rPr>
                <w:rFonts w:eastAsia="Times New Roman"/>
                <w:noProof/>
                <w:shd w:val="clear" w:color="auto" w:fill="E6E6E6"/>
                <w:lang w:val="en-IE"/>
              </w:rPr>
              <w:t>mprove air</w:t>
            </w:r>
            <w:r w:rsidR="7A40E6FE" w:rsidRPr="005B4339">
              <w:rPr>
                <w:rFonts w:eastAsia="Times New Roman"/>
                <w:noProof/>
                <w:shd w:val="clear" w:color="auto" w:fill="E6E6E6"/>
                <w:lang w:val="en-IE"/>
              </w:rPr>
              <w:t>,</w:t>
            </w:r>
            <w:r w:rsidR="0079652B" w:rsidRPr="005B4339">
              <w:rPr>
                <w:rFonts w:eastAsia="Times New Roman"/>
                <w:noProof/>
                <w:shd w:val="clear" w:color="auto" w:fill="E6E6E6"/>
                <w:lang w:val="en-IE"/>
              </w:rPr>
              <w:t xml:space="preserve"> soil</w:t>
            </w:r>
            <w:r w:rsidR="0099430A" w:rsidRPr="005B4339">
              <w:rPr>
                <w:rFonts w:eastAsia="Times New Roman"/>
                <w:noProof/>
                <w:shd w:val="clear" w:color="auto" w:fill="E6E6E6"/>
                <w:lang w:val="en-IE"/>
              </w:rPr>
              <w:t xml:space="preserve"> </w:t>
            </w:r>
            <w:r w:rsidR="0079652B" w:rsidRPr="005B4339">
              <w:rPr>
                <w:rFonts w:eastAsia="Times New Roman"/>
                <w:noProof/>
                <w:shd w:val="clear" w:color="auto" w:fill="E6E6E6"/>
                <w:lang w:val="en-IE"/>
              </w:rPr>
              <w:t>and water quality thanks to reduced waste disposal practices.</w:t>
            </w:r>
          </w:p>
          <w:p w14:paraId="68BDA3DD" w14:textId="1F33D4DC" w:rsidR="00AE703E" w:rsidRPr="005B4339" w:rsidRDefault="002D241F" w:rsidP="002D241F">
            <w:pPr>
              <w:spacing w:after="120"/>
              <w:cnfStyle w:val="000000000000" w:firstRow="0" w:lastRow="0" w:firstColumn="0" w:lastColumn="0" w:oddVBand="0" w:evenVBand="0" w:oddHBand="0" w:evenHBand="0" w:firstRowFirstColumn="0" w:firstRowLastColumn="0" w:lastRowFirstColumn="0" w:lastRowLastColumn="0"/>
              <w:rPr>
                <w:rFonts w:eastAsia="Times New Roman"/>
                <w:b/>
                <w:noProof/>
                <w:lang w:val="en-IE"/>
              </w:rPr>
            </w:pPr>
            <w:r w:rsidRPr="005B4339">
              <w:rPr>
                <w:rFonts w:eastAsia="Times New Roman"/>
                <w:noProof/>
                <w:lang w:val="en-IE"/>
              </w:rPr>
              <w:t>Pr</w:t>
            </w:r>
            <w:r w:rsidR="0079652B" w:rsidRPr="005B4339">
              <w:rPr>
                <w:rFonts w:eastAsia="Times New Roman"/>
                <w:noProof/>
                <w:shd w:val="clear" w:color="auto" w:fill="E6E6E6"/>
                <w:lang w:val="en-IE"/>
              </w:rPr>
              <w:t>otect landscapes thanks to reduced landfilling.</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439EA" w14:textId="539FE222" w:rsidR="00AE703E" w:rsidRPr="005B4339" w:rsidRDefault="002D241F" w:rsidP="002D241F">
            <w:pPr>
              <w:spacing w:after="120"/>
              <w:cnfStyle w:val="000000000000" w:firstRow="0" w:lastRow="0" w:firstColumn="0" w:lastColumn="0" w:oddVBand="0" w:evenVBand="0" w:oddHBand="0" w:evenHBand="0" w:firstRowFirstColumn="0" w:firstRowLastColumn="0" w:lastRowFirstColumn="0" w:lastRowLastColumn="0"/>
              <w:rPr>
                <w:rFonts w:eastAsia="Times New Roman"/>
                <w:b/>
                <w:noProof/>
                <w:lang w:val="en-IE"/>
              </w:rPr>
            </w:pPr>
            <w:r w:rsidRPr="005B4339">
              <w:rPr>
                <w:rFonts w:eastAsia="Times New Roman"/>
                <w:noProof/>
                <w:lang w:val="en-IE"/>
              </w:rPr>
              <w:t>I</w:t>
            </w:r>
            <w:r w:rsidR="0079652B" w:rsidRPr="005B4339">
              <w:rPr>
                <w:rFonts w:eastAsia="Times New Roman"/>
                <w:noProof/>
                <w:shd w:val="clear" w:color="auto" w:fill="E6E6E6"/>
                <w:lang w:val="en-IE"/>
              </w:rPr>
              <w:t>ncrease information and data on prepared for reuse waste</w:t>
            </w:r>
            <w:r w:rsidR="0079652B" w:rsidRPr="005B4339">
              <w:rPr>
                <w:rFonts w:eastAsia="Times New Roman"/>
                <w:noProof/>
                <w:lang w:val="en-IE"/>
              </w:rPr>
              <w:t>.</w:t>
            </w:r>
          </w:p>
        </w:tc>
      </w:tr>
    </w:tbl>
    <w:p w14:paraId="0E565BFC" w14:textId="77777777" w:rsidR="00AE703E" w:rsidRPr="005B4339" w:rsidRDefault="00AE703E" w:rsidP="00F8566A">
      <w:pPr>
        <w:pStyle w:val="WDBody"/>
        <w:rPr>
          <w:rFonts w:ascii="Times New Roman" w:hAnsi="Times New Roman" w:cs="Times New Roman"/>
          <w:b/>
          <w:noProof/>
          <w:sz w:val="22"/>
          <w:lang w:val="en-IE"/>
        </w:rPr>
      </w:pPr>
    </w:p>
    <w:p w14:paraId="7FBD0A18" w14:textId="5BCD6175" w:rsidR="00FD0DA4" w:rsidRPr="005B4339" w:rsidRDefault="00FD0DA4" w:rsidP="007F16CA">
      <w:pPr>
        <w:pStyle w:val="Heading3"/>
        <w:spacing w:after="120"/>
        <w:rPr>
          <w:b/>
          <w:noProof/>
          <w:sz w:val="22"/>
          <w:szCs w:val="22"/>
          <w:lang w:val="en-IE"/>
        </w:rPr>
      </w:pPr>
      <w:bookmarkStart w:id="227" w:name="_Toc124777328"/>
      <w:bookmarkStart w:id="228" w:name="_Toc19663900"/>
      <w:bookmarkStart w:id="229" w:name="_Toc542407632"/>
      <w:bookmarkStart w:id="230" w:name="_Toc2053022646"/>
      <w:bookmarkStart w:id="231" w:name="_Toc1273264089"/>
      <w:bookmarkStart w:id="232" w:name="_Toc2134911541"/>
      <w:bookmarkStart w:id="233" w:name="_Toc1317990566"/>
      <w:bookmarkStart w:id="234" w:name="_Toc1596348915"/>
      <w:bookmarkStart w:id="235" w:name="_Toc139032102"/>
      <w:r w:rsidRPr="005B4339">
        <w:rPr>
          <w:noProof/>
          <w:lang w:val="en-IE"/>
        </w:rPr>
        <w:t>Measure 3.6 – Setting a separate collection target for textile waste</w:t>
      </w:r>
      <w:bookmarkEnd w:id="227"/>
      <w:bookmarkEnd w:id="228"/>
      <w:bookmarkEnd w:id="229"/>
      <w:bookmarkEnd w:id="230"/>
      <w:bookmarkEnd w:id="231"/>
      <w:bookmarkEnd w:id="232"/>
      <w:bookmarkEnd w:id="233"/>
      <w:bookmarkEnd w:id="234"/>
      <w:bookmarkEnd w:id="235"/>
    </w:p>
    <w:p w14:paraId="2A411123" w14:textId="4501C65B" w:rsidR="005B5948" w:rsidRPr="005B4339" w:rsidRDefault="005B5948" w:rsidP="005B5948">
      <w:pPr>
        <w:rPr>
          <w:noProof/>
          <w:lang w:val="en-IE"/>
        </w:rPr>
      </w:pPr>
      <w:r w:rsidRPr="005B4339">
        <w:rPr>
          <w:noProof/>
          <w:lang w:val="en-IE"/>
        </w:rPr>
        <w:t>The apparent lack of sufficient collection infrastructure to manage the expected volumes of textile waste generated</w:t>
      </w:r>
      <w:r w:rsidR="0099430A" w:rsidRPr="005B4339">
        <w:rPr>
          <w:noProof/>
          <w:lang w:val="en-IE"/>
        </w:rPr>
        <w:t xml:space="preserve"> </w:t>
      </w:r>
      <w:r w:rsidRPr="005B4339">
        <w:rPr>
          <w:noProof/>
          <w:lang w:val="en-IE"/>
        </w:rPr>
        <w:t xml:space="preserve">hampers the ability further down the textile management process to ensure that textiles that could be reused </w:t>
      </w:r>
      <w:r w:rsidR="5AC34027" w:rsidRPr="005B4339">
        <w:rPr>
          <w:noProof/>
          <w:lang w:val="en-IE"/>
        </w:rPr>
        <w:t xml:space="preserve">or recycled </w:t>
      </w:r>
      <w:r w:rsidRPr="005B4339">
        <w:rPr>
          <w:noProof/>
          <w:lang w:val="en-IE"/>
        </w:rPr>
        <w:t>are diverted from residual waste</w:t>
      </w:r>
      <w:r w:rsidR="5E5925F2" w:rsidRPr="005B4339">
        <w:rPr>
          <w:noProof/>
          <w:lang w:val="en-IE"/>
        </w:rPr>
        <w:t>.</w:t>
      </w:r>
      <w:r w:rsidRPr="005B4339">
        <w:rPr>
          <w:noProof/>
          <w:lang w:val="en-IE"/>
        </w:rPr>
        <w:t xml:space="preserve"> On the other hand</w:t>
      </w:r>
      <w:r w:rsidR="0C44A97D" w:rsidRPr="005B4339">
        <w:rPr>
          <w:noProof/>
          <w:lang w:val="en-IE"/>
        </w:rPr>
        <w:t>,</w:t>
      </w:r>
      <w:r w:rsidRPr="005B4339">
        <w:rPr>
          <w:noProof/>
          <w:lang w:val="en-IE"/>
        </w:rPr>
        <w:t xml:space="preserve"> the uncertainty of the available </w:t>
      </w:r>
      <w:r w:rsidR="00D96247" w:rsidRPr="005B4339">
        <w:rPr>
          <w:noProof/>
          <w:lang w:val="en-IE"/>
        </w:rPr>
        <w:t>reuse</w:t>
      </w:r>
      <w:r w:rsidRPr="005B4339">
        <w:rPr>
          <w:noProof/>
          <w:lang w:val="en-IE"/>
        </w:rPr>
        <w:t xml:space="preserve"> possibilities and the immaturity of several recycling technologies</w:t>
      </w:r>
      <w:r w:rsidR="0099430A" w:rsidRPr="005B4339">
        <w:rPr>
          <w:noProof/>
          <w:lang w:val="en-IE"/>
        </w:rPr>
        <w:t xml:space="preserve"> </w:t>
      </w:r>
      <w:r w:rsidRPr="005B4339">
        <w:rPr>
          <w:noProof/>
          <w:lang w:val="en-IE"/>
        </w:rPr>
        <w:t>tend to dis-incentives Member States from speeding up the setting up of efficient separate collection systems.</w:t>
      </w:r>
    </w:p>
    <w:p w14:paraId="6FAE6BD2" w14:textId="77777777" w:rsidR="00262880" w:rsidRPr="005B4339" w:rsidRDefault="00262880" w:rsidP="0099144D">
      <w:pPr>
        <w:spacing w:after="120"/>
        <w:rPr>
          <w:b/>
          <w:noProof/>
          <w:lang w:val="en-IE"/>
        </w:rPr>
      </w:pPr>
      <w:r w:rsidRPr="005B4339">
        <w:rPr>
          <w:b/>
          <w:noProof/>
          <w:lang w:val="en-IE"/>
        </w:rPr>
        <w:t>Economic impacts</w:t>
      </w:r>
    </w:p>
    <w:p w14:paraId="59C6DF75" w14:textId="68D6D1B2" w:rsidR="00262880" w:rsidRPr="005B4339" w:rsidRDefault="00262880" w:rsidP="00262880">
      <w:pPr>
        <w:rPr>
          <w:noProof/>
          <w:lang w:val="en-IE"/>
        </w:rPr>
      </w:pPr>
      <w:r w:rsidRPr="005B4339">
        <w:rPr>
          <w:noProof/>
          <w:lang w:val="en-IE"/>
        </w:rPr>
        <w:t xml:space="preserve">Setting a 50% separate collection target would involve additional costs only for those Member States </w:t>
      </w:r>
      <w:r w:rsidR="00790EB8" w:rsidRPr="005B4339">
        <w:rPr>
          <w:noProof/>
          <w:lang w:val="en-IE"/>
        </w:rPr>
        <w:t xml:space="preserve">and producer responsibility organisations (PROs) </w:t>
      </w:r>
      <w:r w:rsidRPr="005B4339">
        <w:rPr>
          <w:noProof/>
          <w:lang w:val="en-IE"/>
        </w:rPr>
        <w:t>that are unlikely to meet a 50% collection target by 2035. The list of Member States concerned and the likely shortfall in tonnes is presented below.</w:t>
      </w:r>
    </w:p>
    <w:p w14:paraId="1E2CEF26" w14:textId="7E93D9E1" w:rsidR="00C83F9A" w:rsidRPr="005B4339" w:rsidRDefault="00B06379" w:rsidP="00C83F9A">
      <w:pPr>
        <w:spacing w:after="120"/>
        <w:rPr>
          <w:i/>
          <w:noProof/>
          <w:lang w:val="en-IE"/>
        </w:rPr>
      </w:pPr>
      <w:bookmarkStart w:id="236" w:name="_Toc133229493"/>
      <w:bookmarkStart w:id="237" w:name="_Toc139032047"/>
      <w:r w:rsidRPr="005B4339">
        <w:rPr>
          <w:i/>
          <w:noProof/>
          <w:lang w:val="en-IE"/>
        </w:rPr>
        <w:t xml:space="preserve">Table </w:t>
      </w:r>
      <w:r w:rsidR="00393DFA">
        <w:rPr>
          <w:i/>
          <w:iCs/>
          <w:noProof/>
        </w:rPr>
        <w:t>31</w:t>
      </w:r>
      <w:r w:rsidR="00C83F9A" w:rsidRPr="005B4339">
        <w:rPr>
          <w:i/>
          <w:noProof/>
          <w:lang w:val="en-IE"/>
        </w:rPr>
        <w:t xml:space="preserve"> - Additional tonnes to be collected to achieve a 50% collection target</w:t>
      </w:r>
      <w:bookmarkEnd w:id="236"/>
      <w:bookmarkEnd w:id="237"/>
    </w:p>
    <w:p w14:paraId="2C7FA437" w14:textId="3BD7CA9A" w:rsidR="00262880" w:rsidRPr="005B4339" w:rsidRDefault="00C83F9A" w:rsidP="00523C68">
      <w:pPr>
        <w:jc w:val="center"/>
        <w:rPr>
          <w:noProof/>
          <w:sz w:val="22"/>
          <w:szCs w:val="22"/>
          <w:lang w:val="en-IE"/>
        </w:rPr>
      </w:pPr>
      <w:r w:rsidRPr="005B4339">
        <w:rPr>
          <w:noProof/>
          <w:lang w:eastAsia="en-GB"/>
        </w:rPr>
        <w:lastRenderedPageBreak/>
        <w:drawing>
          <wp:inline distT="0" distB="0" distL="0" distR="0" wp14:anchorId="60845447" wp14:editId="4FA21BEE">
            <wp:extent cx="32766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3476625"/>
                    </a:xfrm>
                    <a:prstGeom prst="rect">
                      <a:avLst/>
                    </a:prstGeom>
                    <a:noFill/>
                    <a:ln>
                      <a:noFill/>
                    </a:ln>
                  </pic:spPr>
                </pic:pic>
              </a:graphicData>
            </a:graphic>
          </wp:inline>
        </w:drawing>
      </w:r>
    </w:p>
    <w:p w14:paraId="37CB95B7" w14:textId="5AE4899E" w:rsidR="00262880" w:rsidRPr="005B4339" w:rsidRDefault="00262880" w:rsidP="008322DF">
      <w:pPr>
        <w:spacing w:after="120"/>
        <w:rPr>
          <w:noProof/>
          <w:lang w:val="en-IE"/>
        </w:rPr>
      </w:pPr>
      <w:r w:rsidRPr="005B4339">
        <w:rPr>
          <w:noProof/>
          <w:lang w:val="en-IE"/>
        </w:rPr>
        <w:t xml:space="preserve">The costs of collection are dependent on the type of additional infrastructure that would be required. In keeping with </w:t>
      </w:r>
      <w:r w:rsidR="002830D7" w:rsidRPr="005B4339">
        <w:rPr>
          <w:noProof/>
          <w:lang w:val="en-IE"/>
        </w:rPr>
        <w:t>most</w:t>
      </w:r>
      <w:r w:rsidRPr="005B4339">
        <w:rPr>
          <w:noProof/>
          <w:lang w:val="en-IE"/>
        </w:rPr>
        <w:t xml:space="preserve"> collection being </w:t>
      </w:r>
      <w:r w:rsidR="002830D7" w:rsidRPr="005B4339">
        <w:rPr>
          <w:noProof/>
          <w:lang w:val="en-IE"/>
        </w:rPr>
        <w:t>achieved</w:t>
      </w:r>
      <w:r w:rsidRPr="005B4339">
        <w:rPr>
          <w:noProof/>
          <w:lang w:val="en-IE"/>
        </w:rPr>
        <w:t xml:space="preserve"> by separate bins</w:t>
      </w:r>
      <w:r w:rsidR="0091021C" w:rsidRPr="005B4339">
        <w:rPr>
          <w:noProof/>
          <w:lang w:val="en-IE"/>
        </w:rPr>
        <w:t>,</w:t>
      </w:r>
      <w:r w:rsidRPr="005B4339">
        <w:rPr>
          <w:noProof/>
          <w:lang w:val="en-IE"/>
        </w:rPr>
        <w:t xml:space="preserve"> it is considered that shortfalls in separate collection would be met by adding additional separate </w:t>
      </w:r>
      <w:r w:rsidR="00D656F9" w:rsidRPr="005B4339">
        <w:rPr>
          <w:noProof/>
          <w:lang w:val="en-IE"/>
        </w:rPr>
        <w:t xml:space="preserve">collection </w:t>
      </w:r>
      <w:r w:rsidRPr="005B4339">
        <w:rPr>
          <w:noProof/>
          <w:lang w:val="en-IE"/>
        </w:rPr>
        <w:t>bins for the Member States concerned.</w:t>
      </w:r>
    </w:p>
    <w:p w14:paraId="61BE59FB" w14:textId="396498D7" w:rsidR="0091021C" w:rsidRPr="005B4339" w:rsidRDefault="0091021C" w:rsidP="008322DF">
      <w:pPr>
        <w:spacing w:after="120"/>
        <w:rPr>
          <w:noProof/>
          <w:lang w:val="en-IE"/>
        </w:rPr>
      </w:pPr>
      <w:r w:rsidRPr="005B4339">
        <w:rPr>
          <w:noProof/>
          <w:lang w:val="en-IE"/>
        </w:rPr>
        <w:t xml:space="preserve">This measure would also have a benefit in reducing disposal of textiles in </w:t>
      </w:r>
      <w:r w:rsidR="00FD33B9" w:rsidRPr="005B4339">
        <w:rPr>
          <w:noProof/>
          <w:lang w:val="en-IE"/>
        </w:rPr>
        <w:t xml:space="preserve">the </w:t>
      </w:r>
      <w:r w:rsidRPr="005B4339">
        <w:rPr>
          <w:noProof/>
          <w:lang w:val="en-IE"/>
        </w:rPr>
        <w:t>house</w:t>
      </w:r>
      <w:r w:rsidR="00FD33B9" w:rsidRPr="005B4339">
        <w:rPr>
          <w:noProof/>
          <w:lang w:val="en-IE"/>
        </w:rPr>
        <w:t xml:space="preserve">hold </w:t>
      </w:r>
      <w:r w:rsidRPr="005B4339">
        <w:rPr>
          <w:noProof/>
          <w:lang w:val="en-IE"/>
        </w:rPr>
        <w:t>mixed waste.</w:t>
      </w:r>
      <w:r w:rsidR="00FD33B9" w:rsidRPr="005B4339">
        <w:rPr>
          <w:noProof/>
          <w:lang w:val="en-IE"/>
        </w:rPr>
        <w:t xml:space="preserve"> Treatment of mixed waste is more expensive that treatment of separately collected waste. This benefit would be apparent to those responsible for municipal waste collection, typically municipalities. In cases w</w:t>
      </w:r>
      <w:r w:rsidR="00F3433F" w:rsidRPr="005B4339">
        <w:rPr>
          <w:noProof/>
          <w:lang w:val="en-IE"/>
        </w:rPr>
        <w:t>h</w:t>
      </w:r>
      <w:r w:rsidR="00FD33B9" w:rsidRPr="005B4339">
        <w:rPr>
          <w:noProof/>
          <w:lang w:val="en-IE"/>
        </w:rPr>
        <w:t xml:space="preserve">ere </w:t>
      </w:r>
      <w:r w:rsidR="00F3433F" w:rsidRPr="005B4339">
        <w:rPr>
          <w:noProof/>
          <w:lang w:val="en-IE"/>
        </w:rPr>
        <w:t>the polluter pays principle is applicable, i.e.</w:t>
      </w:r>
      <w:r w:rsidR="003F25C7" w:rsidRPr="005B4339">
        <w:rPr>
          <w:noProof/>
          <w:lang w:val="en-IE"/>
        </w:rPr>
        <w:t>,</w:t>
      </w:r>
      <w:r w:rsidR="00F3433F" w:rsidRPr="005B4339">
        <w:rPr>
          <w:noProof/>
          <w:lang w:val="en-IE"/>
        </w:rPr>
        <w:t xml:space="preserve"> where households pay (or may more) for their mixed waste than for separately collected waste, this saving would be directly apparent to households. </w:t>
      </w:r>
      <w:r w:rsidR="00947774" w:rsidRPr="005B4339">
        <w:rPr>
          <w:noProof/>
          <w:lang w:val="en-IE"/>
        </w:rPr>
        <w:t xml:space="preserve">It was not possible to quantify this benefit as the applications of the polluter pays principle is not applied by all municipalities and where it is, it is implemented in a variety of ways, by weight, by volume, by collection, by </w:t>
      </w:r>
      <w:r w:rsidR="003F25C7" w:rsidRPr="005B4339">
        <w:rPr>
          <w:noProof/>
          <w:lang w:val="en-IE"/>
        </w:rPr>
        <w:t>bag etc.</w:t>
      </w:r>
    </w:p>
    <w:p w14:paraId="3B227903" w14:textId="4F8F7652" w:rsidR="00262880" w:rsidRPr="005B4339" w:rsidRDefault="6C34EAAF" w:rsidP="00262880">
      <w:pPr>
        <w:rPr>
          <w:noProof/>
          <w:lang w:val="en-IE"/>
        </w:rPr>
      </w:pPr>
      <w:r w:rsidRPr="005B4339">
        <w:rPr>
          <w:noProof/>
          <w:lang w:val="en-IE"/>
        </w:rPr>
        <w:t>Data from the CESME project that considered the Humanita textile recycling programme in BG</w:t>
      </w:r>
      <w:r w:rsidR="00262880" w:rsidRPr="005B4339">
        <w:rPr>
          <w:rStyle w:val="FootnoteReference"/>
          <w:noProof/>
          <w:lang w:val="en-IE"/>
        </w:rPr>
        <w:footnoteReference w:id="138"/>
      </w:r>
      <w:r w:rsidRPr="005B4339">
        <w:rPr>
          <w:noProof/>
          <w:lang w:val="en-IE"/>
        </w:rPr>
        <w:t xml:space="preserve"> indicates that addressing approximately 3 400 tonnes of textile per </w:t>
      </w:r>
      <w:r w:rsidR="00D00D1B" w:rsidRPr="005B4339">
        <w:rPr>
          <w:noProof/>
          <w:lang w:val="en-IE"/>
        </w:rPr>
        <w:t>year</w:t>
      </w:r>
      <w:r w:rsidRPr="005B4339">
        <w:rPr>
          <w:noProof/>
          <w:lang w:val="en-IE"/>
        </w:rPr>
        <w:t xml:space="preserve"> came with combined container</w:t>
      </w:r>
      <w:r w:rsidR="0099430A" w:rsidRPr="005B4339">
        <w:rPr>
          <w:noProof/>
          <w:lang w:val="en-IE"/>
        </w:rPr>
        <w:t xml:space="preserve"> </w:t>
      </w:r>
      <w:r w:rsidRPr="005B4339">
        <w:rPr>
          <w:noProof/>
          <w:lang w:val="en-IE"/>
        </w:rPr>
        <w:t xml:space="preserve">transport and storing costs of 367 000 </w:t>
      </w:r>
      <w:r w:rsidR="00254CE0" w:rsidRPr="005B4339">
        <w:rPr>
          <w:noProof/>
          <w:lang w:val="en-IE"/>
        </w:rPr>
        <w:t xml:space="preserve">euro </w:t>
      </w:r>
      <w:r w:rsidRPr="005B4339">
        <w:rPr>
          <w:noProof/>
          <w:lang w:val="en-IE"/>
        </w:rPr>
        <w:t xml:space="preserve">per </w:t>
      </w:r>
      <w:r w:rsidR="00254CE0" w:rsidRPr="005B4339">
        <w:rPr>
          <w:noProof/>
          <w:lang w:val="en-IE"/>
        </w:rPr>
        <w:t>year</w:t>
      </w:r>
      <w:r w:rsidRPr="005B4339">
        <w:rPr>
          <w:noProof/>
          <w:lang w:val="en-IE"/>
        </w:rPr>
        <w:t xml:space="preserve"> leading to an average cost of 108 </w:t>
      </w:r>
      <w:r w:rsidR="00254CE0" w:rsidRPr="005B4339">
        <w:rPr>
          <w:noProof/>
          <w:lang w:val="en-IE"/>
        </w:rPr>
        <w:t xml:space="preserve">euro </w:t>
      </w:r>
      <w:r w:rsidRPr="005B4339">
        <w:rPr>
          <w:noProof/>
          <w:lang w:val="en-IE"/>
        </w:rPr>
        <w:t>per tonne collected. This figure appears low in comparison to data from the ECAP study on used textile collection in European Cities</w:t>
      </w:r>
      <w:r w:rsidR="00262880" w:rsidRPr="005B4339">
        <w:rPr>
          <w:rStyle w:val="FootnoteReference"/>
          <w:noProof/>
          <w:lang w:val="en-IE"/>
        </w:rPr>
        <w:footnoteReference w:id="139"/>
      </w:r>
      <w:r w:rsidRPr="005B4339">
        <w:rPr>
          <w:noProof/>
          <w:lang w:val="en-IE"/>
        </w:rPr>
        <w:t xml:space="preserve"> that indicates costs of collection in </w:t>
      </w:r>
      <w:r w:rsidRPr="005B4339">
        <w:rPr>
          <w:noProof/>
          <w:lang w:val="en-IE"/>
        </w:rPr>
        <w:lastRenderedPageBreak/>
        <w:t xml:space="preserve">the NL of 165 </w:t>
      </w:r>
      <w:r w:rsidR="00A84BB5" w:rsidRPr="005B4339">
        <w:rPr>
          <w:noProof/>
          <w:lang w:val="en-IE"/>
        </w:rPr>
        <w:t xml:space="preserve">euro </w:t>
      </w:r>
      <w:r w:rsidRPr="005B4339">
        <w:rPr>
          <w:noProof/>
          <w:lang w:val="en-IE"/>
        </w:rPr>
        <w:t>per tonne. In</w:t>
      </w:r>
      <w:r w:rsidR="00291A14" w:rsidRPr="005B4339">
        <w:rPr>
          <w:noProof/>
          <w:lang w:val="en-IE"/>
        </w:rPr>
        <w:t xml:space="preserve"> a</w:t>
      </w:r>
      <w:r w:rsidRPr="005B4339">
        <w:rPr>
          <w:noProof/>
          <w:lang w:val="en-IE"/>
        </w:rPr>
        <w:t xml:space="preserve">pplying these costs to the Member States above would lead to the following additional annual collection </w:t>
      </w:r>
      <w:r w:rsidR="007517D0" w:rsidRPr="005B4339">
        <w:rPr>
          <w:noProof/>
          <w:lang w:val="en-IE"/>
        </w:rPr>
        <w:t>and onward sorting and treating</w:t>
      </w:r>
      <w:r w:rsidRPr="005B4339">
        <w:rPr>
          <w:noProof/>
          <w:lang w:val="en-IE"/>
        </w:rPr>
        <w:t xml:space="preserve"> costs:</w:t>
      </w:r>
    </w:p>
    <w:p w14:paraId="188E3D34" w14:textId="590888FF" w:rsidR="00525596" w:rsidRPr="005B4339" w:rsidRDefault="00D20156" w:rsidP="00525596">
      <w:pPr>
        <w:spacing w:after="120"/>
        <w:rPr>
          <w:i/>
          <w:noProof/>
          <w:lang w:val="en-IE"/>
        </w:rPr>
      </w:pPr>
      <w:bookmarkStart w:id="238" w:name="_Toc133229494"/>
      <w:bookmarkStart w:id="239" w:name="_Toc139032048"/>
      <w:r w:rsidRPr="005B4339">
        <w:rPr>
          <w:i/>
          <w:noProof/>
          <w:lang w:val="en-IE"/>
        </w:rPr>
        <w:t xml:space="preserve">Table </w:t>
      </w:r>
      <w:r w:rsidR="00393DFA">
        <w:rPr>
          <w:i/>
          <w:iCs/>
          <w:noProof/>
        </w:rPr>
        <w:t>32</w:t>
      </w:r>
      <w:r w:rsidR="00525596" w:rsidRPr="005B4339">
        <w:rPr>
          <w:i/>
          <w:noProof/>
          <w:lang w:val="en-IE"/>
        </w:rPr>
        <w:t xml:space="preserve"> - Additional costs to achieve a 50% collection target</w:t>
      </w:r>
      <w:bookmarkEnd w:id="238"/>
      <w:bookmarkEnd w:id="239"/>
    </w:p>
    <w:p w14:paraId="49A23809" w14:textId="77777777" w:rsidR="00525596" w:rsidRPr="005B4339" w:rsidRDefault="00525596" w:rsidP="00525596">
      <w:pPr>
        <w:spacing w:before="240" w:after="120"/>
        <w:jc w:val="center"/>
        <w:rPr>
          <w:noProof/>
          <w:lang w:val="en-IE"/>
        </w:rPr>
      </w:pPr>
      <w:r w:rsidRPr="005B4339">
        <w:rPr>
          <w:noProof/>
          <w:lang w:eastAsia="en-GB"/>
        </w:rPr>
        <w:drawing>
          <wp:inline distT="0" distB="0" distL="0" distR="0" wp14:anchorId="66DBB748" wp14:editId="161324EB">
            <wp:extent cx="4752975" cy="3438525"/>
            <wp:effectExtent l="0" t="0" r="9525" b="9525"/>
            <wp:docPr id="1200524297" name="Picture 120052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3438525"/>
                    </a:xfrm>
                    <a:prstGeom prst="rect">
                      <a:avLst/>
                    </a:prstGeom>
                    <a:noFill/>
                    <a:ln>
                      <a:noFill/>
                    </a:ln>
                  </pic:spPr>
                </pic:pic>
              </a:graphicData>
            </a:graphic>
          </wp:inline>
        </w:drawing>
      </w:r>
    </w:p>
    <w:p w14:paraId="3DD59EF1" w14:textId="6648ADCA" w:rsidR="001D3E96" w:rsidRPr="005B4339" w:rsidRDefault="001D3E96" w:rsidP="001D3E96">
      <w:pPr>
        <w:spacing w:after="120"/>
        <w:rPr>
          <w:noProof/>
          <w:lang w:val="en-IE"/>
        </w:rPr>
      </w:pPr>
      <w:r w:rsidRPr="005B4339">
        <w:rPr>
          <w:noProof/>
          <w:lang w:val="en-IE"/>
        </w:rPr>
        <w:t xml:space="preserve">The additional collection and sorting costs remain relatively low at 39.2 million euro. This reflects both the predicted distance to 50% collection by 2035 where most Member States would be close to that target already as well as the scale of textile waste generation where the countries listed are generally smaller generators of textile waste in comparison to DE or FR that would already be collecting over the 50% target by 2035 (and in the case of DE is already collecting beyond that target). In countries where EPR applies or is planned to apply then the costs would fall on the producer. Producers would either have to absorb those costs that would lower their profitability or increase the costs to consumers of the products themselves.  Where EPR is not applied then the costs of additional collection and sorting may be met via the likes of disposal fees applied at the point of disposal or general taxation.  The extent of these additional costs is difficult to determine.  As noted in Annex 4, the total costs for all wastes account for an approximate increase per product of around 0.6%.   However, as the additional volumes listed above that fall above the baseline are lower (in some cases up to 7.5% more at a Member State level in comparison to the baseline) then maximum increase would be 7.5% of the 0.6% maximum i.e. 0.045%.  Consequently, were the additional costs of collection, sorting and treatment to be applied for the additional volumes only and the cost spread over all relevant textile products sold in total then a very conservative estimate would place those costs at an additional cost of 0.1% in the countries concerned by requiring additional action to meet the </w:t>
      </w:r>
      <w:r w:rsidRPr="005B4339">
        <w:rPr>
          <w:noProof/>
          <w:lang w:val="en-IE"/>
        </w:rPr>
        <w:lastRenderedPageBreak/>
        <w:t>target.  The extent to which these costs may be absorbed by producers or consumers is not possible to be separated and will rely on decisions at the Member State level.</w:t>
      </w:r>
    </w:p>
    <w:p w14:paraId="5B0C6904" w14:textId="77777777" w:rsidR="002E2E9C" w:rsidRPr="005B4339" w:rsidRDefault="002E2E9C" w:rsidP="002E2E9C">
      <w:pPr>
        <w:rPr>
          <w:noProof/>
          <w:lang w:val="en-IE"/>
        </w:rPr>
      </w:pPr>
      <w:r w:rsidRPr="005B4339">
        <w:rPr>
          <w:noProof/>
          <w:lang w:val="en-IE"/>
        </w:rPr>
        <w:t xml:space="preserve">At the same time there would be benefits from the materials recovered. The baseline assumes that 42% of what is separately collected would either be close-loop or open loop recycled representing 18 250 tonnes additionally going to closed loop recycling and 7 150 tonnes going to open loop recycling. Using values from Fashion for Good </w:t>
      </w:r>
      <w:r w:rsidRPr="005B4339">
        <w:rPr>
          <w:rStyle w:val="FootnoteReference"/>
          <w:noProof/>
          <w:lang w:val="en-IE"/>
        </w:rPr>
        <w:footnoteReference w:id="140"/>
      </w:r>
      <w:r w:rsidRPr="005B4339">
        <w:rPr>
          <w:noProof/>
          <w:lang w:val="en-IE"/>
        </w:rPr>
        <w:t xml:space="preserve"> an additional ~30 200 tonnes of reusable textiles collected would have a value of 23 million euro per year and the additional recyclable material a value of 5 million euro per year. Only 8% of separately collected waste would be disposed</w:t>
      </w:r>
      <w:r w:rsidRPr="005B4339">
        <w:rPr>
          <w:rStyle w:val="FootnoteReference"/>
          <w:noProof/>
          <w:lang w:val="en-IE"/>
        </w:rPr>
        <w:footnoteReference w:id="141"/>
      </w:r>
      <w:r w:rsidRPr="005B4339">
        <w:rPr>
          <w:noProof/>
          <w:lang w:val="en-IE"/>
        </w:rPr>
        <w:t>.</w:t>
      </w:r>
    </w:p>
    <w:p w14:paraId="5F33B347" w14:textId="16BE822E" w:rsidR="003548E3" w:rsidRPr="005B4339" w:rsidRDefault="002E2E9C" w:rsidP="002E2E9C">
      <w:pPr>
        <w:rPr>
          <w:rFonts w:eastAsia="Times New Roman"/>
          <w:noProof/>
          <w:lang w:val="en-IE"/>
        </w:rPr>
      </w:pPr>
      <w:r w:rsidRPr="005B4339">
        <w:rPr>
          <w:noProof/>
          <w:lang w:val="en-IE"/>
        </w:rPr>
        <w:t>Additional costs would be expected for competent authorities to enforce compliance with a collection target.  However, the activities that are required to contribute to the target are already required to be managed by competent authorities under existing waste permitting requirements for collection, sorting and treatment facilities; therefore, allowing for synergies with the existing enforcement processes. Furthermore, given the relatively modest increases in tonnes to be collected by the Member States concerned as a maximum such costs would incur a 15% increase in total in comparison to the baseline for those Member States furthest from the 50% target i.e. LV, SI and SK, with lower total cost increases expected for the other Member States that are predicted to be closer to the 50% target.  The additional reporting costs under this measure are addressed under Measure 2.1</w:t>
      </w:r>
      <w:r w:rsidR="19044890" w:rsidRPr="005B4339">
        <w:rPr>
          <w:noProof/>
          <w:lang w:val="en-IE"/>
        </w:rPr>
        <w:t>4</w:t>
      </w:r>
      <w:r w:rsidRPr="005B4339">
        <w:rPr>
          <w:noProof/>
          <w:lang w:val="en-IE"/>
        </w:rPr>
        <w:t>.</w:t>
      </w:r>
      <w:r w:rsidR="003548E3" w:rsidRPr="005B4339">
        <w:rPr>
          <w:noProof/>
          <w:lang w:val="en-IE"/>
        </w:rPr>
        <w:t xml:space="preserve"> </w:t>
      </w:r>
      <w:r w:rsidR="003548E3" w:rsidRPr="005B4339">
        <w:rPr>
          <w:rFonts w:eastAsia="Times New Roman"/>
          <w:noProof/>
          <w:lang w:val="en-IE"/>
        </w:rPr>
        <w:t>In case the reporting would be through PROs, the administrative burden would be even lower given that PROs would need to report the required data to assess the separate collection target anyway. There would also be no additional administrative burden on Member States.</w:t>
      </w:r>
    </w:p>
    <w:p w14:paraId="59CA1C0D" w14:textId="12F598B1" w:rsidR="00FB4C02" w:rsidRPr="005B4339" w:rsidRDefault="00FB4C02" w:rsidP="002E2E9C">
      <w:pPr>
        <w:rPr>
          <w:noProof/>
          <w:lang w:val="en-IE"/>
        </w:rPr>
      </w:pPr>
      <w:r w:rsidRPr="005B4339">
        <w:rPr>
          <w:rFonts w:eastAsia="Times New Roman"/>
          <w:noProof/>
          <w:lang w:val="en-IE"/>
        </w:rPr>
        <w:t>However, as shown in Annex 10, the heterogeneity of predict</w:t>
      </w:r>
      <w:r w:rsidR="00244E02" w:rsidRPr="005B4339">
        <w:rPr>
          <w:rFonts w:eastAsia="Times New Roman"/>
          <w:noProof/>
          <w:lang w:val="en-IE"/>
        </w:rPr>
        <w:t>ed separate collection rates across different studies may make it challenging to set a specific target at this stage and should therefore be carefully considered.</w:t>
      </w:r>
    </w:p>
    <w:p w14:paraId="7DCC0F0F" w14:textId="77777777" w:rsidR="00262880" w:rsidRPr="005B4339" w:rsidRDefault="00262880" w:rsidP="009833EB">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Environmental impacts</w:t>
      </w:r>
    </w:p>
    <w:p w14:paraId="186AB7F9" w14:textId="56E763F0" w:rsidR="00262880" w:rsidRPr="005B4339" w:rsidRDefault="6C34EAAF" w:rsidP="006554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additional collection rate that would be applied to the Member States concerned to hit a 50% separate collection target is likely to reduce the environmental impact of textiles that would otherwise remain in residual waste and subsequently be disposed</w:t>
      </w:r>
      <w:r w:rsidR="009522B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This would reduce the environmental impacts that currently result from the disposal of textiles including GHG emissions and air pollution</w:t>
      </w:r>
      <w:r w:rsidR="0B0F810E"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water pollution and soil and groundwater impacts including in relation to microplastics.</w:t>
      </w:r>
    </w:p>
    <w:p w14:paraId="5120994F" w14:textId="65CBA065" w:rsidR="00262880" w:rsidRPr="005B4339" w:rsidRDefault="00262880" w:rsidP="009833EB">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Social impacts</w:t>
      </w:r>
    </w:p>
    <w:p w14:paraId="5FB0A313" w14:textId="1C3824B4" w:rsidR="009D1D08" w:rsidRPr="005B4339" w:rsidRDefault="00262880" w:rsidP="00262880">
      <w:pPr>
        <w:pStyle w:val="WDBody"/>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lastRenderedPageBreak/>
        <w:t>Additional collection would be expected to lead to additional employment in the collection and downstream sorting and further treatment of materials that would otherwise be disposed of.</w:t>
      </w:r>
    </w:p>
    <w:p w14:paraId="4117CBF7" w14:textId="487D16AC" w:rsidR="009D1D08" w:rsidRPr="005B4339" w:rsidRDefault="009D1D08" w:rsidP="009D1D08">
      <w:pPr>
        <w:pStyle w:val="WDBody"/>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 on SMEs and social enterprises</w:t>
      </w:r>
    </w:p>
    <w:p w14:paraId="7367B0F6" w14:textId="1D20402C" w:rsidR="39B2A6B6" w:rsidRPr="005B4339" w:rsidRDefault="009D1D08" w:rsidP="39B2A6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Given the majority of those currently involved in collecting textiles are </w:t>
      </w:r>
      <w:r w:rsidR="00C75D8A" w:rsidRPr="005B4339">
        <w:rPr>
          <w:rFonts w:ascii="Times New Roman" w:hAnsi="Times New Roman" w:cs="Times New Roman"/>
          <w:noProof/>
          <w:sz w:val="24"/>
          <w:szCs w:val="24"/>
          <w:lang w:val="en-IE"/>
        </w:rPr>
        <w:t>SMEs</w:t>
      </w:r>
      <w:r w:rsidR="2F0E61AC" w:rsidRPr="005B4339">
        <w:rPr>
          <w:rFonts w:ascii="Times New Roman" w:hAnsi="Times New Roman" w:cs="Times New Roman"/>
          <w:noProof/>
          <w:sz w:val="24"/>
          <w:szCs w:val="24"/>
          <w:lang w:val="en-IE"/>
        </w:rPr>
        <w:t>,</w:t>
      </w:r>
      <w:r w:rsidR="00C75D8A" w:rsidRPr="005B4339">
        <w:rPr>
          <w:rFonts w:ascii="Times New Roman" w:hAnsi="Times New Roman" w:cs="Times New Roman"/>
          <w:noProof/>
          <w:sz w:val="24"/>
          <w:szCs w:val="24"/>
          <w:lang w:val="en-IE"/>
        </w:rPr>
        <w:t xml:space="preserve"> mainly </w:t>
      </w:r>
      <w:r w:rsidRPr="005B4339">
        <w:rPr>
          <w:rFonts w:ascii="Times New Roman" w:hAnsi="Times New Roman" w:cs="Times New Roman"/>
          <w:noProof/>
          <w:sz w:val="24"/>
          <w:szCs w:val="24"/>
          <w:lang w:val="en-IE"/>
        </w:rPr>
        <w:t>social enterprises</w:t>
      </w:r>
      <w:r w:rsidR="6D2AB956"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obligation to collect textiles </w:t>
      </w:r>
      <w:r w:rsidR="00C75D8A" w:rsidRPr="005B4339">
        <w:rPr>
          <w:rFonts w:ascii="Times New Roman" w:hAnsi="Times New Roman" w:cs="Times New Roman"/>
          <w:noProof/>
          <w:sz w:val="24"/>
          <w:szCs w:val="24"/>
          <w:lang w:val="en-IE"/>
        </w:rPr>
        <w:t>is expected to fall at least on</w:t>
      </w:r>
      <w:r w:rsidRPr="005B4339">
        <w:rPr>
          <w:rFonts w:ascii="Times New Roman" w:hAnsi="Times New Roman" w:cs="Times New Roman"/>
          <w:noProof/>
          <w:sz w:val="24"/>
          <w:szCs w:val="24"/>
          <w:lang w:val="en-IE"/>
        </w:rPr>
        <w:t xml:space="preserve"> these enterprises in collaboration with Member States. As noted above</w:t>
      </w:r>
      <w:r w:rsidR="760B14EB"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with increasing collection the revenue from reuse and recycling is also likely to increase to offset the additional costs that will be required to implement the sorting requirements. The intention of the measure is to avoid disrupting the business model of social enterprises and with this in mind Member States should work alongside social enterprises to limit any such disruption in meeting this target.  </w:t>
      </w:r>
    </w:p>
    <w:p w14:paraId="7D52454A" w14:textId="1075ACF5" w:rsidR="7CE87AEE" w:rsidRPr="005B4339" w:rsidRDefault="7CE87AEE" w:rsidP="39B2A6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An additional 0.2 FTE would be required within the European Commission to adopt the necessary implementing act setting out harmonised methodology for the measurement of the collection performance by the Member States.</w:t>
      </w:r>
    </w:p>
    <w:p w14:paraId="2A7A4BF8" w14:textId="77777777" w:rsidR="00FA3E44" w:rsidRPr="005B4339" w:rsidRDefault="00FA3E44" w:rsidP="00FA3E44">
      <w:pPr>
        <w:pStyle w:val="WDBody"/>
        <w:spacing w:after="120"/>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Administrative burden assessment</w:t>
      </w:r>
    </w:p>
    <w:p w14:paraId="1B947C89" w14:textId="48988983" w:rsidR="00FA3E44" w:rsidRPr="005B4339" w:rsidRDefault="00FA3E44" w:rsidP="39B2A6B6">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In order to inform the target and compliance with the target data would be required to be complied and reported at the Member State level in relation to those </w:t>
      </w:r>
      <w:r w:rsidR="00900A4A" w:rsidRPr="005B4339">
        <w:rPr>
          <w:rFonts w:ascii="Times New Roman" w:hAnsi="Times New Roman" w:cs="Times New Roman"/>
          <w:noProof/>
          <w:sz w:val="24"/>
          <w:szCs w:val="24"/>
          <w:lang w:val="en-IE"/>
        </w:rPr>
        <w:t>wastes or products</w:t>
      </w:r>
      <w:r w:rsidRPr="005B4339">
        <w:rPr>
          <w:rFonts w:ascii="Times New Roman" w:hAnsi="Times New Roman" w:cs="Times New Roman"/>
          <w:noProof/>
          <w:sz w:val="24"/>
          <w:szCs w:val="24"/>
          <w:lang w:val="en-IE"/>
        </w:rPr>
        <w:t xml:space="preserve"> forming both the numerator and denominator.  These requirements would fall on all Member States and not just those for which additional collection would be required to be implemented above the baseline.  The full costs of this burden are addressed in Measure 2.1</w:t>
      </w:r>
      <w:r w:rsidR="416AD585" w:rsidRPr="005B4339">
        <w:rPr>
          <w:rFonts w:ascii="Times New Roman" w:hAnsi="Times New Roman" w:cs="Times New Roman"/>
          <w:noProof/>
          <w:sz w:val="24"/>
          <w:szCs w:val="24"/>
          <w:lang w:val="en-IE"/>
        </w:rPr>
        <w:t>4</w:t>
      </w:r>
      <w:r w:rsidRPr="005B4339">
        <w:rPr>
          <w:rFonts w:ascii="Times New Roman" w:hAnsi="Times New Roman" w:cs="Times New Roman"/>
          <w:noProof/>
          <w:sz w:val="24"/>
          <w:szCs w:val="24"/>
          <w:lang w:val="en-IE"/>
        </w:rPr>
        <w:t xml:space="preserve">. </w:t>
      </w:r>
    </w:p>
    <w:p w14:paraId="33973414" w14:textId="77777777" w:rsidR="00ED1F37" w:rsidRPr="005B4339" w:rsidRDefault="00ED1F37" w:rsidP="00ED1F37">
      <w:pPr>
        <w:pStyle w:val="WDBody"/>
        <w:jc w:val="both"/>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Impacts on competitiveness</w:t>
      </w:r>
    </w:p>
    <w:p w14:paraId="4AB5A8B9" w14:textId="51C598CC" w:rsidR="00ED1F37" w:rsidRPr="005B4339" w:rsidRDefault="00ED1F37" w:rsidP="00ED1F37">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following impacts on competitiveness have been identified under this measure:</w:t>
      </w:r>
    </w:p>
    <w:tbl>
      <w:tblPr>
        <w:tblStyle w:val="TableGrid"/>
        <w:tblW w:w="0" w:type="auto"/>
        <w:tblLook w:val="04A0" w:firstRow="1" w:lastRow="0" w:firstColumn="1" w:lastColumn="0" w:noHBand="0" w:noVBand="1"/>
      </w:tblPr>
      <w:tblGrid>
        <w:gridCol w:w="2398"/>
        <w:gridCol w:w="7178"/>
      </w:tblGrid>
      <w:tr w:rsidR="00ED1F37" w:rsidRPr="005B4339" w14:paraId="67A2CDF9" w14:textId="77777777">
        <w:tc>
          <w:tcPr>
            <w:tcW w:w="2405" w:type="dxa"/>
          </w:tcPr>
          <w:p w14:paraId="3616A9A8"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Price competitiveness impacts</w:t>
            </w:r>
          </w:p>
        </w:tc>
        <w:tc>
          <w:tcPr>
            <w:tcW w:w="7223" w:type="dxa"/>
          </w:tcPr>
          <w:p w14:paraId="1E7773D1"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Impacts of price competitiveness are linked to the possible increases in collection, sorting and treatment as described under economic impacts above.  However, given the likely volumes impacted by this measure no significant price impacts have been identified.</w:t>
            </w:r>
          </w:p>
        </w:tc>
      </w:tr>
      <w:tr w:rsidR="00ED1F37" w:rsidRPr="005B4339" w14:paraId="1E334606" w14:textId="77777777">
        <w:tc>
          <w:tcPr>
            <w:tcW w:w="2405" w:type="dxa"/>
          </w:tcPr>
          <w:p w14:paraId="6BC4BA5F"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Dynamic competitiveness impacts</w:t>
            </w:r>
          </w:p>
        </w:tc>
        <w:tc>
          <w:tcPr>
            <w:tcW w:w="7223" w:type="dxa"/>
          </w:tcPr>
          <w:p w14:paraId="752EC472"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 xml:space="preserve">No significant dynamic competitiveness impacts have been identified under this measure. </w:t>
            </w:r>
          </w:p>
        </w:tc>
      </w:tr>
      <w:tr w:rsidR="00ED1F37" w:rsidRPr="005B4339" w14:paraId="63E27BD8" w14:textId="77777777">
        <w:tc>
          <w:tcPr>
            <w:tcW w:w="2405" w:type="dxa"/>
          </w:tcPr>
          <w:p w14:paraId="30120A5B"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Export competitiveness impacts</w:t>
            </w:r>
          </w:p>
        </w:tc>
        <w:tc>
          <w:tcPr>
            <w:tcW w:w="7223" w:type="dxa"/>
          </w:tcPr>
          <w:p w14:paraId="3F24050C"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No significant export competitiveness impacts have been identified under this measure.</w:t>
            </w:r>
          </w:p>
        </w:tc>
      </w:tr>
      <w:tr w:rsidR="00ED1F37" w:rsidRPr="005B4339" w14:paraId="263DD42C" w14:textId="77777777">
        <w:tc>
          <w:tcPr>
            <w:tcW w:w="2405" w:type="dxa"/>
          </w:tcPr>
          <w:p w14:paraId="02B5E92F"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Strategic competitiveness impacts</w:t>
            </w:r>
          </w:p>
        </w:tc>
        <w:tc>
          <w:tcPr>
            <w:tcW w:w="7223" w:type="dxa"/>
          </w:tcPr>
          <w:p w14:paraId="17BF7024" w14:textId="77777777" w:rsidR="00ED1F37" w:rsidRPr="005B4339" w:rsidRDefault="00ED1F37">
            <w:pPr>
              <w:pStyle w:val="WDBody"/>
              <w:spacing w:after="240" w:line="240" w:lineRule="auto"/>
              <w:jc w:val="both"/>
              <w:rPr>
                <w:rFonts w:ascii="Times New Roman" w:hAnsi="Times New Roman"/>
                <w:noProof/>
                <w:lang w:val="en-IE"/>
              </w:rPr>
            </w:pPr>
            <w:r w:rsidRPr="005B4339">
              <w:rPr>
                <w:rFonts w:ascii="Times New Roman" w:hAnsi="Times New Roman"/>
                <w:noProof/>
                <w:lang w:val="en-IE"/>
              </w:rPr>
              <w:t>No significant strategic competitiveness impacts have been identified under this measure, albeit limited amounts of additional recycled fibres would be recovered in comparison to the baseline as described under economic impacts above.</w:t>
            </w:r>
          </w:p>
        </w:tc>
      </w:tr>
    </w:tbl>
    <w:p w14:paraId="2D016437" w14:textId="77777777" w:rsidR="00ED1F37" w:rsidRPr="005B4339" w:rsidRDefault="00ED1F37" w:rsidP="00ED1F37">
      <w:pPr>
        <w:pStyle w:val="WDBody"/>
        <w:jc w:val="both"/>
        <w:rPr>
          <w:rFonts w:ascii="Times New Roman" w:hAnsi="Times New Roman" w:cs="Times New Roman"/>
          <w:noProof/>
          <w:sz w:val="24"/>
          <w:szCs w:val="24"/>
          <w:lang w:val="en-IE"/>
        </w:rPr>
      </w:pPr>
    </w:p>
    <w:p w14:paraId="0631430B" w14:textId="77777777" w:rsidR="00262880" w:rsidRPr="005B4339" w:rsidRDefault="00262880" w:rsidP="002D6E25">
      <w:pPr>
        <w:pStyle w:val="WDBody"/>
        <w:spacing w:after="120"/>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2AE5B5A5" w14:textId="69909EEE" w:rsidR="00262880" w:rsidRPr="005B4339" w:rsidRDefault="6C34EAAF" w:rsidP="00291A14">
      <w:pPr>
        <w:pStyle w:val="WDBody"/>
        <w:spacing w:after="24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The consensus was that increasing collection </w:t>
      </w:r>
      <w:r w:rsidR="004B7936" w:rsidRPr="005B4339">
        <w:rPr>
          <w:rFonts w:ascii="Times New Roman" w:hAnsi="Times New Roman" w:cs="Times New Roman"/>
          <w:noProof/>
          <w:sz w:val="24"/>
          <w:szCs w:val="24"/>
          <w:lang w:val="en-IE"/>
        </w:rPr>
        <w:t xml:space="preserve">is </w:t>
      </w:r>
      <w:r w:rsidRPr="005B4339">
        <w:rPr>
          <w:rFonts w:ascii="Times New Roman" w:hAnsi="Times New Roman" w:cs="Times New Roman"/>
          <w:noProof/>
          <w:sz w:val="24"/>
          <w:szCs w:val="24"/>
          <w:lang w:val="en-IE"/>
        </w:rPr>
        <w:t xml:space="preserve">only useful </w:t>
      </w:r>
      <w:r w:rsidR="004B7936" w:rsidRPr="005B4339">
        <w:rPr>
          <w:rFonts w:ascii="Times New Roman" w:hAnsi="Times New Roman" w:cs="Times New Roman"/>
          <w:noProof/>
          <w:sz w:val="24"/>
          <w:szCs w:val="24"/>
          <w:lang w:val="en-IE"/>
        </w:rPr>
        <w:t xml:space="preserve">to the extent that there is available </w:t>
      </w:r>
      <w:r w:rsidRPr="005B4339">
        <w:rPr>
          <w:rFonts w:ascii="Times New Roman" w:hAnsi="Times New Roman" w:cs="Times New Roman"/>
          <w:noProof/>
          <w:sz w:val="24"/>
          <w:szCs w:val="24"/>
          <w:lang w:val="en-IE"/>
        </w:rPr>
        <w:t>infrastructure to</w:t>
      </w:r>
      <w:r w:rsidR="004B7936" w:rsidRPr="005B4339">
        <w:rPr>
          <w:rFonts w:ascii="Times New Roman" w:hAnsi="Times New Roman" w:cs="Times New Roman"/>
          <w:noProof/>
          <w:sz w:val="24"/>
          <w:szCs w:val="24"/>
          <w:lang w:val="en-IE"/>
        </w:rPr>
        <w:t xml:space="preserve"> manage</w:t>
      </w:r>
      <w:r w:rsidRPr="005B4339">
        <w:rPr>
          <w:rFonts w:ascii="Times New Roman" w:hAnsi="Times New Roman" w:cs="Times New Roman"/>
          <w:noProof/>
          <w:sz w:val="24"/>
          <w:szCs w:val="24"/>
          <w:lang w:val="en-IE"/>
        </w:rPr>
        <w:t xml:space="preserve"> th</w:t>
      </w:r>
      <w:r w:rsidR="004B7936" w:rsidRPr="005B4339">
        <w:rPr>
          <w:rFonts w:ascii="Times New Roman" w:hAnsi="Times New Roman" w:cs="Times New Roman"/>
          <w:noProof/>
          <w:sz w:val="24"/>
          <w:szCs w:val="24"/>
          <w:lang w:val="en-IE"/>
        </w:rPr>
        <w:t>ose quantities</w:t>
      </w:r>
      <w:r w:rsidRPr="005B4339">
        <w:rPr>
          <w:rFonts w:ascii="Times New Roman" w:hAnsi="Times New Roman" w:cs="Times New Roman"/>
          <w:noProof/>
          <w:sz w:val="24"/>
          <w:szCs w:val="24"/>
          <w:lang w:val="en-IE"/>
        </w:rPr>
        <w:t>. Typically</w:t>
      </w:r>
      <w:r w:rsidR="4D5E4450"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as this will lead to an increase in material </w:t>
      </w:r>
      <w:r w:rsidRPr="005B4339">
        <w:rPr>
          <w:rFonts w:ascii="Times New Roman" w:hAnsi="Times New Roman" w:cs="Times New Roman"/>
          <w:noProof/>
          <w:sz w:val="24"/>
          <w:szCs w:val="24"/>
          <w:lang w:val="en-IE"/>
        </w:rPr>
        <w:lastRenderedPageBreak/>
        <w:t>flows and end of life considerations</w:t>
      </w:r>
      <w:r w:rsidR="56352D1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there must be sufficient collection and sorting in place to manage this and where targets are implemented</w:t>
      </w:r>
      <w:r w:rsidR="2F5DAA42"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these need to be carefully designed and possibly phased in</w:t>
      </w:r>
      <w:r w:rsidR="00262880" w:rsidRPr="005B4339">
        <w:rPr>
          <w:rStyle w:val="FootnoteReference"/>
          <w:rFonts w:ascii="Times New Roman" w:hAnsi="Times New Roman" w:cs="Times New Roman"/>
          <w:noProof/>
          <w:sz w:val="24"/>
          <w:szCs w:val="24"/>
          <w:lang w:val="en-IE"/>
        </w:rPr>
        <w:footnoteReference w:id="142"/>
      </w:r>
      <w:r w:rsidRPr="005B4339">
        <w:rPr>
          <w:rFonts w:ascii="Times New Roman" w:hAnsi="Times New Roman" w:cs="Times New Roman"/>
          <w:noProof/>
          <w:sz w:val="24"/>
          <w:szCs w:val="24"/>
          <w:lang w:val="en-IE"/>
        </w:rPr>
        <w:t>. It was suggested</w:t>
      </w:r>
      <w:r w:rsidR="00E855CB" w:rsidRPr="005B4339">
        <w:rPr>
          <w:rFonts w:ascii="Times New Roman" w:hAnsi="Times New Roman" w:cs="Times New Roman"/>
          <w:noProof/>
          <w:sz w:val="24"/>
          <w:szCs w:val="24"/>
          <w:lang w:val="en-IE"/>
        </w:rPr>
        <w:t xml:space="preserve"> at the second stakeholder workshop</w:t>
      </w:r>
      <w:r w:rsidRPr="005B4339">
        <w:rPr>
          <w:rFonts w:ascii="Times New Roman" w:hAnsi="Times New Roman" w:cs="Times New Roman"/>
          <w:noProof/>
          <w:sz w:val="24"/>
          <w:szCs w:val="24"/>
          <w:lang w:val="en-IE"/>
        </w:rPr>
        <w:t xml:space="preserve"> that separate targets for household and commercial waste should be outlined in the WFD</w:t>
      </w:r>
      <w:r w:rsidR="00E855CB" w:rsidRPr="005B4339">
        <w:rPr>
          <w:rFonts w:ascii="Times New Roman" w:hAnsi="Times New Roman" w:cs="Times New Roman"/>
          <w:noProof/>
          <w:sz w:val="24"/>
          <w:szCs w:val="24"/>
          <w:lang w:val="en-IE"/>
        </w:rPr>
        <w:t xml:space="preserve"> and there</w:t>
      </w:r>
      <w:r w:rsidRPr="005B4339">
        <w:rPr>
          <w:rFonts w:ascii="Times New Roman" w:hAnsi="Times New Roman" w:cs="Times New Roman"/>
          <w:noProof/>
          <w:sz w:val="24"/>
          <w:szCs w:val="24"/>
          <w:lang w:val="en-IE"/>
        </w:rPr>
        <w:t xml:space="preserve"> was </w:t>
      </w:r>
      <w:r w:rsidR="00E855CB" w:rsidRPr="005B4339">
        <w:rPr>
          <w:rFonts w:ascii="Times New Roman" w:hAnsi="Times New Roman" w:cs="Times New Roman"/>
          <w:noProof/>
          <w:sz w:val="24"/>
          <w:szCs w:val="24"/>
          <w:lang w:val="en-IE"/>
        </w:rPr>
        <w:t>general</w:t>
      </w:r>
      <w:r w:rsidRPr="005B4339">
        <w:rPr>
          <w:rFonts w:ascii="Times New Roman" w:hAnsi="Times New Roman" w:cs="Times New Roman"/>
          <w:noProof/>
          <w:sz w:val="24"/>
          <w:szCs w:val="24"/>
          <w:lang w:val="en-IE"/>
        </w:rPr>
        <w:t xml:space="preserve"> agree</w:t>
      </w:r>
      <w:r w:rsidR="00E855CB" w:rsidRPr="005B4339">
        <w:rPr>
          <w:rFonts w:ascii="Times New Roman" w:hAnsi="Times New Roman" w:cs="Times New Roman"/>
          <w:noProof/>
          <w:sz w:val="24"/>
          <w:szCs w:val="24"/>
          <w:lang w:val="en-IE"/>
        </w:rPr>
        <w:t>ment</w:t>
      </w:r>
      <w:r w:rsidRPr="005B4339">
        <w:rPr>
          <w:rFonts w:ascii="Times New Roman" w:hAnsi="Times New Roman" w:cs="Times New Roman"/>
          <w:noProof/>
          <w:sz w:val="24"/>
          <w:szCs w:val="24"/>
          <w:lang w:val="en-IE"/>
        </w:rPr>
        <w:t xml:space="preserve"> that targets should </w:t>
      </w:r>
      <w:r w:rsidR="1C03B3D3" w:rsidRPr="005B4339">
        <w:rPr>
          <w:rFonts w:ascii="Times New Roman" w:hAnsi="Times New Roman" w:cs="Times New Roman"/>
          <w:noProof/>
          <w:sz w:val="24"/>
          <w:szCs w:val="24"/>
          <w:lang w:val="en-IE"/>
        </w:rPr>
        <w:t>be aligned with</w:t>
      </w:r>
      <w:r w:rsidRPr="005B4339">
        <w:rPr>
          <w:rFonts w:ascii="Times New Roman" w:hAnsi="Times New Roman" w:cs="Times New Roman"/>
          <w:noProof/>
          <w:sz w:val="24"/>
          <w:szCs w:val="24"/>
          <w:lang w:val="en-IE"/>
        </w:rPr>
        <w:t xml:space="preserve"> the </w:t>
      </w:r>
      <w:r w:rsidR="197138E6" w:rsidRPr="005B4339">
        <w:rPr>
          <w:rFonts w:ascii="Times New Roman" w:hAnsi="Times New Roman" w:cs="Times New Roman"/>
          <w:noProof/>
          <w:sz w:val="24"/>
          <w:szCs w:val="24"/>
          <w:lang w:val="en-IE"/>
        </w:rPr>
        <w:t>waste hierarchy</w:t>
      </w:r>
      <w:r w:rsidRPr="005B4339">
        <w:rPr>
          <w:rFonts w:ascii="Times New Roman" w:hAnsi="Times New Roman" w:cs="Times New Roman"/>
          <w:noProof/>
          <w:sz w:val="24"/>
          <w:szCs w:val="24"/>
          <w:lang w:val="en-IE"/>
        </w:rPr>
        <w:t>.</w:t>
      </w:r>
    </w:p>
    <w:p w14:paraId="13B2282B" w14:textId="3DC4CAE1" w:rsidR="00D20156" w:rsidRPr="005B4339" w:rsidRDefault="00D20156" w:rsidP="00D20156">
      <w:pPr>
        <w:spacing w:after="120"/>
        <w:rPr>
          <w:noProof/>
          <w:lang w:val="en-IE"/>
        </w:rPr>
      </w:pPr>
      <w:bookmarkStart w:id="240" w:name="_Toc133229495"/>
      <w:bookmarkStart w:id="241" w:name="_Toc139032049"/>
      <w:r w:rsidRPr="005B4339">
        <w:rPr>
          <w:i/>
          <w:noProof/>
          <w:lang w:val="en-IE"/>
        </w:rPr>
        <w:t xml:space="preserve">Table </w:t>
      </w:r>
      <w:r w:rsidR="00393DFA">
        <w:rPr>
          <w:i/>
          <w:iCs/>
          <w:noProof/>
        </w:rPr>
        <w:t>33</w:t>
      </w:r>
      <w:r w:rsidRPr="005B4339">
        <w:rPr>
          <w:i/>
          <w:noProof/>
          <w:lang w:val="en-IE"/>
        </w:rPr>
        <w:t xml:space="preserve"> : Summary of impacts for measure 3.6</w:t>
      </w:r>
      <w:bookmarkEnd w:id="240"/>
      <w:bookmarkEnd w:id="241"/>
    </w:p>
    <w:tbl>
      <w:tblPr>
        <w:tblStyle w:val="PlainTable1"/>
        <w:tblW w:w="9268" w:type="dxa"/>
        <w:tblLook w:val="04A0" w:firstRow="1" w:lastRow="0" w:firstColumn="1" w:lastColumn="0" w:noHBand="0" w:noVBand="1"/>
      </w:tblPr>
      <w:tblGrid>
        <w:gridCol w:w="2547"/>
        <w:gridCol w:w="2268"/>
        <w:gridCol w:w="2268"/>
        <w:gridCol w:w="2185"/>
      </w:tblGrid>
      <w:tr w:rsidR="00AE703E" w:rsidRPr="005B4339" w14:paraId="17380FD9" w14:textId="77777777" w:rsidTr="4AF5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11B89C" w14:textId="77777777" w:rsidR="00AE703E" w:rsidRPr="005B4339" w:rsidRDefault="00AE703E" w:rsidP="0048749E">
            <w:pPr>
              <w:spacing w:after="120"/>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E42FF5" w14:textId="77777777" w:rsidR="00AE703E" w:rsidRPr="005B4339" w:rsidRDefault="00AE703E" w:rsidP="0048749E">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0AA70" w14:textId="77777777" w:rsidR="00AE703E" w:rsidRPr="005B4339" w:rsidRDefault="00AE703E" w:rsidP="0048749E">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75BC3" w14:textId="77777777" w:rsidR="00AE703E" w:rsidRPr="005B4339" w:rsidRDefault="00AE703E" w:rsidP="0048749E">
            <w:pPr>
              <w:spacing w:after="120"/>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AE703E" w:rsidRPr="005B4339" w14:paraId="5840CE5C" w14:textId="77777777" w:rsidTr="4AF54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C4C0A9" w14:textId="77E2EE23" w:rsidR="00AE703E" w:rsidRPr="005B4339" w:rsidRDefault="00AE703E" w:rsidP="0048749E">
            <w:pPr>
              <w:spacing w:after="120"/>
              <w:jc w:val="left"/>
              <w:rPr>
                <w:noProof/>
                <w:lang w:val="en-IE"/>
              </w:rPr>
            </w:pPr>
            <w:r w:rsidRPr="005B4339">
              <w:rPr>
                <w:noProof/>
                <w:lang w:val="en-IE"/>
              </w:rPr>
              <w:t>Producers</w:t>
            </w:r>
            <w:r w:rsidR="16214F91" w:rsidRPr="005B4339">
              <w:rPr>
                <w:noProof/>
                <w:lang w:val="en-IE"/>
              </w:rPr>
              <w:t>,</w:t>
            </w:r>
            <w:r w:rsidRPr="005B4339">
              <w:rPr>
                <w:noProof/>
                <w:lang w:val="en-IE"/>
              </w:rPr>
              <w:t xml:space="preserve"> waste managers (encompassing collectors</w:t>
            </w:r>
            <w:r w:rsidR="6F338506" w:rsidRPr="005B4339">
              <w:rPr>
                <w:noProof/>
                <w:lang w:val="en-IE"/>
              </w:rPr>
              <w:t>,</w:t>
            </w:r>
            <w:r w:rsidRPr="005B4339">
              <w:rPr>
                <w:noProof/>
                <w:lang w:val="en-IE"/>
              </w:rPr>
              <w:t xml:space="preserve">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3FB19" w14:textId="20F4356E" w:rsidR="00AE703E" w:rsidRPr="005B4339" w:rsidRDefault="00F42D39"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w:t>
            </w:r>
            <w:r w:rsidR="002108FB" w:rsidRPr="005B4339">
              <w:rPr>
                <w:noProof/>
                <w:lang w:val="en-IE"/>
              </w:rPr>
              <w:t xml:space="preserve">ncrease cost of data collection </w:t>
            </w:r>
            <w:r w:rsidR="00836E9A" w:rsidRPr="005B4339">
              <w:rPr>
                <w:noProof/>
                <w:lang w:val="en-IE"/>
              </w:rPr>
              <w:t>costs</w:t>
            </w:r>
            <w:r w:rsidR="00CC397B" w:rsidRPr="005B4339">
              <w:rPr>
                <w:noProof/>
                <w:lang w:val="en-IE"/>
              </w:rPr>
              <w:t xml:space="preserve"> 123 million per year</w:t>
            </w:r>
            <w:r w:rsidR="002108FB" w:rsidRPr="005B4339">
              <w:rPr>
                <w:noProof/>
                <w:lang w:val="en-IE"/>
              </w:rPr>
              <w:t>.</w:t>
            </w:r>
          </w:p>
          <w:p w14:paraId="2659FF58" w14:textId="10789643" w:rsidR="00836E9A" w:rsidRPr="005B4339" w:rsidRDefault="00836E9A"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Increase sorting costs 98.5 million per year.</w:t>
            </w:r>
          </w:p>
          <w:p w14:paraId="6A643B77" w14:textId="7484D2ED" w:rsidR="00D12EE9" w:rsidRPr="005B4339" w:rsidRDefault="00D12EE9"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Increased reporting costs.</w:t>
            </w:r>
          </w:p>
          <w:p w14:paraId="516764D0" w14:textId="77777777" w:rsidR="00AE703E" w:rsidRPr="005B4339" w:rsidRDefault="00F42D39"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En</w:t>
            </w:r>
            <w:r w:rsidR="009642C9" w:rsidRPr="005B4339">
              <w:rPr>
                <w:noProof/>
                <w:lang w:val="en-IE"/>
              </w:rPr>
              <w:t>able a level playing field as all operators would contribute to the reduction target</w:t>
            </w:r>
            <w:r w:rsidR="0037F6ED" w:rsidRPr="005B4339">
              <w:rPr>
                <w:noProof/>
                <w:lang w:val="en-IE"/>
              </w:rPr>
              <w:t>,</w:t>
            </w:r>
            <w:r w:rsidR="009642C9" w:rsidRPr="005B4339">
              <w:rPr>
                <w:noProof/>
                <w:lang w:val="en-IE"/>
              </w:rPr>
              <w:t xml:space="preserve"> subject to specific characteristic.</w:t>
            </w:r>
          </w:p>
          <w:p w14:paraId="03200284" w14:textId="25A9211E" w:rsidR="00AE703E" w:rsidRPr="005B4339" w:rsidRDefault="003717BB"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Recovery value of 57.5 from reused textiles and 12.7 from recycled textiles.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D43BD" w14:textId="77777777" w:rsidR="00AE703E" w:rsidRPr="005B4339" w:rsidRDefault="00AE703E" w:rsidP="0048749E">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EC95EF" w14:textId="77777777" w:rsidR="00AE703E" w:rsidRPr="005B4339" w:rsidRDefault="00AE703E" w:rsidP="0048749E">
            <w:pPr>
              <w:spacing w:after="120"/>
              <w:cnfStyle w:val="000000100000" w:firstRow="0" w:lastRow="0" w:firstColumn="0" w:lastColumn="0" w:oddVBand="0" w:evenVBand="0" w:oddHBand="1" w:evenHBand="0" w:firstRowFirstColumn="0" w:firstRowLastColumn="0" w:lastRowFirstColumn="0" w:lastRowLastColumn="0"/>
              <w:rPr>
                <w:b/>
                <w:noProof/>
                <w:lang w:val="en-IE"/>
              </w:rPr>
            </w:pPr>
          </w:p>
        </w:tc>
      </w:tr>
      <w:tr w:rsidR="00AE703E" w:rsidRPr="005B4339" w14:paraId="6CD6C218" w14:textId="77777777" w:rsidTr="4AF54619">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3985C6" w14:textId="77777777" w:rsidR="00AE703E" w:rsidRPr="005B4339" w:rsidRDefault="00AE703E" w:rsidP="0048749E">
            <w:pPr>
              <w:spacing w:after="120"/>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DF1150" w14:textId="72653AA6" w:rsidR="002108FB" w:rsidRPr="005B4339" w:rsidRDefault="15168040" w:rsidP="006554B6">
            <w:pPr>
              <w:pStyle w:val="WDBody"/>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I</w:t>
            </w:r>
            <w:r w:rsidR="4CA3676B" w:rsidRPr="005B4339">
              <w:rPr>
                <w:rFonts w:ascii="Times New Roman" w:hAnsi="Times New Roman" w:cs="Times New Roman"/>
                <w:noProof/>
                <w:sz w:val="24"/>
                <w:szCs w:val="24"/>
                <w:lang w:val="en-IE"/>
              </w:rPr>
              <w:t>ncrease the administrative costs of setting a preparation for reuse target</w:t>
            </w:r>
            <w:r w:rsidR="13B6E839" w:rsidRPr="005B4339">
              <w:rPr>
                <w:rFonts w:ascii="Times New Roman" w:hAnsi="Times New Roman" w:cs="Times New Roman"/>
                <w:noProof/>
                <w:sz w:val="24"/>
                <w:szCs w:val="24"/>
                <w:lang w:val="en-IE"/>
              </w:rPr>
              <w:t>,</w:t>
            </w:r>
            <w:r w:rsidR="4CA3676B" w:rsidRPr="005B4339">
              <w:rPr>
                <w:rFonts w:ascii="Times New Roman" w:hAnsi="Times New Roman" w:cs="Times New Roman"/>
                <w:noProof/>
                <w:sz w:val="24"/>
                <w:szCs w:val="24"/>
                <w:lang w:val="en-IE"/>
              </w:rPr>
              <w:t xml:space="preserve"> developing indicators for monitoring </w:t>
            </w:r>
            <w:r w:rsidR="4CA3676B" w:rsidRPr="005B4339">
              <w:rPr>
                <w:rFonts w:ascii="Times New Roman" w:hAnsi="Times New Roman" w:cs="Times New Roman"/>
                <w:noProof/>
                <w:sz w:val="24"/>
                <w:szCs w:val="24"/>
                <w:lang w:val="en-IE"/>
              </w:rPr>
              <w:lastRenderedPageBreak/>
              <w:t>progresses</w:t>
            </w:r>
            <w:r w:rsidR="185EAA84" w:rsidRPr="005B4339">
              <w:rPr>
                <w:rFonts w:ascii="Times New Roman" w:hAnsi="Times New Roman" w:cs="Times New Roman"/>
                <w:noProof/>
                <w:sz w:val="24"/>
                <w:szCs w:val="24"/>
                <w:lang w:val="en-IE"/>
              </w:rPr>
              <w:t>,</w:t>
            </w:r>
            <w:r w:rsidR="4CA3676B" w:rsidRPr="005B4339">
              <w:rPr>
                <w:rFonts w:ascii="Times New Roman" w:hAnsi="Times New Roman" w:cs="Times New Roman"/>
                <w:noProof/>
                <w:sz w:val="24"/>
                <w:szCs w:val="24"/>
                <w:lang w:val="en-IE"/>
              </w:rPr>
              <w:t xml:space="preserve"> ensure compliance</w:t>
            </w:r>
            <w:r w:rsidR="2B2A28BD" w:rsidRPr="005B4339">
              <w:rPr>
                <w:rFonts w:ascii="Times New Roman" w:hAnsi="Times New Roman" w:cs="Times New Roman"/>
                <w:noProof/>
                <w:sz w:val="24"/>
                <w:szCs w:val="24"/>
                <w:lang w:val="en-IE"/>
              </w:rPr>
              <w:t>,</w:t>
            </w:r>
            <w:r w:rsidR="4CA3676B" w:rsidRPr="005B4339">
              <w:rPr>
                <w:rFonts w:ascii="Times New Roman" w:hAnsi="Times New Roman" w:cs="Times New Roman"/>
                <w:noProof/>
                <w:sz w:val="24"/>
                <w:szCs w:val="24"/>
                <w:lang w:val="en-IE"/>
              </w:rPr>
              <w:t xml:space="preserve"> and update upon need.</w:t>
            </w:r>
          </w:p>
          <w:p w14:paraId="3ECDDB6A" w14:textId="6912FC79" w:rsidR="00AE703E" w:rsidRPr="005B4339" w:rsidRDefault="002108FB" w:rsidP="0048749E">
            <w:pPr>
              <w:spacing w:after="120"/>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Increase costs of data collection and reporting on prepared for reuse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74D38" w14:textId="77777777" w:rsidR="00AE703E" w:rsidRPr="005B4339" w:rsidRDefault="00AE703E" w:rsidP="0048749E">
            <w:pPr>
              <w:spacing w:after="120"/>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0A43C5" w14:textId="77777777" w:rsidR="00AE703E" w:rsidRPr="005B4339" w:rsidRDefault="00AE703E" w:rsidP="0048749E">
            <w:pPr>
              <w:spacing w:after="120"/>
              <w:cnfStyle w:val="000000000000" w:firstRow="0" w:lastRow="0" w:firstColumn="0" w:lastColumn="0" w:oddVBand="0" w:evenVBand="0" w:oddHBand="0" w:evenHBand="0" w:firstRowFirstColumn="0" w:firstRowLastColumn="0" w:lastRowFirstColumn="0" w:lastRowLastColumn="0"/>
              <w:rPr>
                <w:b/>
                <w:noProof/>
                <w:lang w:val="en-IE"/>
              </w:rPr>
            </w:pPr>
          </w:p>
        </w:tc>
      </w:tr>
      <w:tr w:rsidR="00AE703E" w:rsidRPr="005B4339" w14:paraId="404988D8" w14:textId="77777777" w:rsidTr="4AF54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F0FF1A" w14:textId="77777777" w:rsidR="00AE703E" w:rsidRPr="005B4339" w:rsidRDefault="00AE703E" w:rsidP="0048749E">
            <w:pPr>
              <w:spacing w:after="120"/>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778BA6" w14:textId="77777777" w:rsidR="00AE703E" w:rsidRPr="005B4339" w:rsidRDefault="00AE703E" w:rsidP="0048749E">
            <w:pPr>
              <w:spacing w:after="120"/>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90379" w14:textId="6A3E6CAD" w:rsidR="002108FB" w:rsidRPr="005B4339" w:rsidRDefault="00F42D39" w:rsidP="0048749E">
            <w:pPr>
              <w:spacing w:after="12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I</w:t>
            </w:r>
            <w:r w:rsidR="009642C9" w:rsidRPr="005B4339">
              <w:rPr>
                <w:noProof/>
                <w:lang w:val="en-IE"/>
              </w:rPr>
              <w:t>mprove air</w:t>
            </w:r>
            <w:r w:rsidR="63AB8266" w:rsidRPr="005B4339">
              <w:rPr>
                <w:noProof/>
                <w:lang w:val="en-IE"/>
              </w:rPr>
              <w:t>,</w:t>
            </w:r>
            <w:r w:rsidR="009642C9" w:rsidRPr="005B4339">
              <w:rPr>
                <w:noProof/>
                <w:lang w:val="en-IE"/>
              </w:rPr>
              <w:t xml:space="preserve"> soil and water quality thanks to reduced waste disposal practices.</w:t>
            </w:r>
          </w:p>
          <w:p w14:paraId="5F3514E0" w14:textId="499F0DB0" w:rsidR="00AE703E" w:rsidRPr="005B4339" w:rsidRDefault="00F42D39" w:rsidP="0048749E">
            <w:pPr>
              <w:spacing w:after="120"/>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P</w:t>
            </w:r>
            <w:r w:rsidR="009642C9" w:rsidRPr="005B4339">
              <w:rPr>
                <w:noProof/>
                <w:lang w:val="en-IE"/>
              </w:rPr>
              <w:t>rotect landscapes thanks to reduced landfilling.</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ED0B6" w14:textId="1BF5087C" w:rsidR="00AE703E" w:rsidRPr="005B4339" w:rsidRDefault="00F42D39" w:rsidP="0048749E">
            <w:pPr>
              <w:spacing w:after="120"/>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I</w:t>
            </w:r>
            <w:r w:rsidR="009642C9" w:rsidRPr="005B4339">
              <w:rPr>
                <w:noProof/>
                <w:lang w:val="en-IE"/>
              </w:rPr>
              <w:t>ncrease information and data on prepared for reuse waste.</w:t>
            </w:r>
          </w:p>
        </w:tc>
      </w:tr>
    </w:tbl>
    <w:p w14:paraId="54A0446C" w14:textId="77777777" w:rsidR="00AE703E" w:rsidRPr="005B4339" w:rsidRDefault="00AE703E" w:rsidP="00262880">
      <w:pPr>
        <w:pStyle w:val="WDBody"/>
        <w:rPr>
          <w:rFonts w:ascii="Times New Roman" w:hAnsi="Times New Roman" w:cs="Times New Roman"/>
          <w:b/>
          <w:noProof/>
          <w:sz w:val="24"/>
          <w:szCs w:val="24"/>
          <w:lang w:val="en-IE"/>
        </w:rPr>
      </w:pPr>
    </w:p>
    <w:p w14:paraId="075C360A" w14:textId="5BCD6175" w:rsidR="007D2765" w:rsidRPr="005B4339" w:rsidRDefault="007D2765" w:rsidP="00291A14">
      <w:pPr>
        <w:pStyle w:val="Heading3"/>
        <w:spacing w:after="120"/>
        <w:rPr>
          <w:b/>
          <w:noProof/>
          <w:lang w:val="en-IE"/>
        </w:rPr>
      </w:pPr>
      <w:bookmarkStart w:id="242" w:name="_Toc124777329"/>
      <w:bookmarkStart w:id="243" w:name="_Toc1369544747"/>
      <w:bookmarkStart w:id="244" w:name="_Toc1690060133"/>
      <w:bookmarkStart w:id="245" w:name="_Toc456893406"/>
      <w:bookmarkStart w:id="246" w:name="_Toc265198389"/>
      <w:bookmarkStart w:id="247" w:name="_Toc767749031"/>
      <w:bookmarkStart w:id="248" w:name="_Toc1107357259"/>
      <w:bookmarkStart w:id="249" w:name="_Toc895220792"/>
      <w:bookmarkStart w:id="250" w:name="_Toc139032103"/>
      <w:r w:rsidRPr="005B4339">
        <w:rPr>
          <w:noProof/>
          <w:lang w:val="en-IE"/>
        </w:rPr>
        <w:t>Measure 3.</w:t>
      </w:r>
      <w:r w:rsidR="3A5C05BD" w:rsidRPr="005B4339">
        <w:rPr>
          <w:noProof/>
          <w:lang w:val="en-IE"/>
        </w:rPr>
        <w:t>8</w:t>
      </w:r>
      <w:r w:rsidRPr="005B4339">
        <w:rPr>
          <w:noProof/>
          <w:lang w:val="en-IE"/>
        </w:rPr>
        <w:t xml:space="preserve"> – Setting a recycling target for textiles</w:t>
      </w:r>
      <w:bookmarkEnd w:id="242"/>
      <w:bookmarkEnd w:id="243"/>
      <w:bookmarkEnd w:id="244"/>
      <w:bookmarkEnd w:id="245"/>
      <w:bookmarkEnd w:id="246"/>
      <w:bookmarkEnd w:id="247"/>
      <w:bookmarkEnd w:id="248"/>
      <w:bookmarkEnd w:id="249"/>
      <w:bookmarkEnd w:id="250"/>
      <w:r w:rsidRPr="005B4339">
        <w:rPr>
          <w:noProof/>
          <w:lang w:val="en-IE"/>
        </w:rPr>
        <w:t xml:space="preserve"> </w:t>
      </w:r>
    </w:p>
    <w:p w14:paraId="73590016" w14:textId="7C9BB30C" w:rsidR="00BD7B38" w:rsidRPr="005B4339" w:rsidRDefault="00BD7B38" w:rsidP="005356F4">
      <w:pPr>
        <w:spacing w:after="120"/>
        <w:rPr>
          <w:noProof/>
          <w:lang w:val="en-IE"/>
        </w:rPr>
      </w:pPr>
      <w:r w:rsidRPr="005B4339">
        <w:rPr>
          <w:noProof/>
          <w:lang w:val="en-IE"/>
        </w:rPr>
        <w:t>The objective of this measure would be to drive Member States to improve their recycling of textiles and</w:t>
      </w:r>
      <w:r w:rsidR="0099430A" w:rsidRPr="005B4339">
        <w:rPr>
          <w:noProof/>
          <w:lang w:val="en-IE"/>
        </w:rPr>
        <w:t xml:space="preserve"> </w:t>
      </w:r>
      <w:r w:rsidRPr="005B4339">
        <w:rPr>
          <w:noProof/>
          <w:lang w:val="en-IE"/>
        </w:rPr>
        <w:t>thereby increase recycling capacity by setting a realistic recycling target that takes into account likely changes in recycling capacity and technologies – see for example the ReHubs initiative that looks to achieve 2.5</w:t>
      </w:r>
      <w:r w:rsidR="00753A6D" w:rsidRPr="005B4339">
        <w:rPr>
          <w:noProof/>
          <w:lang w:val="en-IE"/>
        </w:rPr>
        <w:t xml:space="preserve"> </w:t>
      </w:r>
      <w:r w:rsidRPr="005B4339">
        <w:rPr>
          <w:noProof/>
          <w:lang w:val="en-IE"/>
        </w:rPr>
        <w:t>million tonnes of fibre-to-fibre recycling by 2030. This target would be in comparison to solely relying on the application of the separate collection of textiles under Article 11(1) of the WFD</w:t>
      </w:r>
      <w:r w:rsidR="001A2AFB" w:rsidRPr="005B4339">
        <w:rPr>
          <w:noProof/>
          <w:lang w:val="en-IE"/>
        </w:rPr>
        <w:t xml:space="preserve"> to provide more textiles available for recycling.</w:t>
      </w:r>
    </w:p>
    <w:p w14:paraId="3194BEBF" w14:textId="47832F5B" w:rsidR="005356F4" w:rsidRPr="005B4339" w:rsidRDefault="005356F4" w:rsidP="00BD7B38">
      <w:pPr>
        <w:rPr>
          <w:noProof/>
          <w:lang w:val="en-IE"/>
        </w:rPr>
      </w:pPr>
      <w:r w:rsidRPr="005B4339">
        <w:rPr>
          <w:noProof/>
          <w:lang w:val="en-IE"/>
        </w:rPr>
        <w:t xml:space="preserve">Taking inspiration from the </w:t>
      </w:r>
      <w:r w:rsidR="00093923" w:rsidRPr="005B4339">
        <w:rPr>
          <w:noProof/>
          <w:lang w:val="en-IE"/>
        </w:rPr>
        <w:t>way</w:t>
      </w:r>
      <w:r w:rsidRPr="005B4339">
        <w:rPr>
          <w:noProof/>
          <w:lang w:val="en-IE"/>
        </w:rPr>
        <w:t xml:space="preserve"> FR and NL have set combined targets for reuse and recycling the objective of this measure would be to drive Member States to improve both their reuse of textiles and their recycling of textiles by setting a realistic combined target</w:t>
      </w:r>
      <w:r w:rsidR="00E4542E" w:rsidRPr="005B4339">
        <w:rPr>
          <w:noProof/>
          <w:lang w:val="en-IE"/>
        </w:rPr>
        <w:t xml:space="preserve">. This would avoid the undesired effect of a recycling target where textiles that could be treated further up the waste hierarchy would be sent to recycling to achieve the target. This would also offer some flexibility to Member States to achieve the combined target in the way that is more appropriate based on the size and prospects of the </w:t>
      </w:r>
      <w:r w:rsidR="00D96247" w:rsidRPr="005B4339">
        <w:rPr>
          <w:noProof/>
          <w:lang w:val="en-IE"/>
        </w:rPr>
        <w:t>reuse</w:t>
      </w:r>
      <w:r w:rsidR="00E4542E" w:rsidRPr="005B4339">
        <w:rPr>
          <w:noProof/>
          <w:lang w:val="en-IE"/>
        </w:rPr>
        <w:t xml:space="preserve"> market as well as the availability of recycling facilities</w:t>
      </w:r>
      <w:r w:rsidRPr="005B4339">
        <w:rPr>
          <w:noProof/>
          <w:lang w:val="en-IE"/>
        </w:rPr>
        <w:t>.</w:t>
      </w:r>
    </w:p>
    <w:p w14:paraId="637777D7" w14:textId="77777777" w:rsidR="00771AEA" w:rsidRPr="005B4339" w:rsidRDefault="00771AEA" w:rsidP="00771AEA">
      <w:pPr>
        <w:pStyle w:val="WDBody"/>
        <w:spacing w:after="120"/>
        <w:rPr>
          <w:rFonts w:ascii="Times New Roman" w:hAnsi="Times New Roman" w:cs="Times New Roman"/>
          <w:i/>
          <w:noProof/>
          <w:sz w:val="24"/>
          <w:szCs w:val="24"/>
          <w:lang w:val="en-IE"/>
        </w:rPr>
      </w:pPr>
      <w:r w:rsidRPr="005B4339">
        <w:rPr>
          <w:rFonts w:ascii="Times New Roman" w:hAnsi="Times New Roman" w:cs="Times New Roman"/>
          <w:i/>
          <w:noProof/>
          <w:sz w:val="24"/>
          <w:szCs w:val="24"/>
          <w:lang w:val="en-IE"/>
        </w:rPr>
        <w:t>Stakeholder evidence</w:t>
      </w:r>
    </w:p>
    <w:p w14:paraId="0A15CA4B" w14:textId="64998F2F" w:rsidR="00442C02" w:rsidRPr="005B4339" w:rsidRDefault="00BD78D1" w:rsidP="00291A14">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The </w:t>
      </w:r>
      <w:r w:rsidR="003D5EAE" w:rsidRPr="005B4339">
        <w:rPr>
          <w:rFonts w:ascii="Times New Roman" w:hAnsi="Times New Roman" w:cs="Times New Roman"/>
          <w:noProof/>
          <w:sz w:val="24"/>
          <w:szCs w:val="24"/>
          <w:lang w:val="en-IE"/>
        </w:rPr>
        <w:t xml:space="preserve">apparel and footwear </w:t>
      </w:r>
      <w:r w:rsidRPr="005B4339">
        <w:rPr>
          <w:rFonts w:ascii="Times New Roman" w:hAnsi="Times New Roman" w:cs="Times New Roman"/>
          <w:noProof/>
          <w:sz w:val="24"/>
          <w:szCs w:val="24"/>
          <w:lang w:val="en-IE"/>
        </w:rPr>
        <w:t>industry</w:t>
      </w:r>
      <w:r w:rsidR="00442C02" w:rsidRPr="005B4339">
        <w:rPr>
          <w:rStyle w:val="FootnoteReference"/>
          <w:rFonts w:ascii="Times New Roman" w:hAnsi="Times New Roman" w:cs="Times New Roman"/>
          <w:noProof/>
          <w:sz w:val="24"/>
          <w:szCs w:val="24"/>
          <w:lang w:val="en-IE"/>
        </w:rPr>
        <w:footnoteReference w:id="143"/>
      </w:r>
      <w:r w:rsidR="00442C02" w:rsidRPr="005B4339">
        <w:rPr>
          <w:rFonts w:ascii="Times New Roman" w:hAnsi="Times New Roman" w:cs="Times New Roman"/>
          <w:noProof/>
          <w:sz w:val="24"/>
          <w:szCs w:val="24"/>
          <w:lang w:val="en-IE"/>
        </w:rPr>
        <w:t xml:space="preserve"> consider</w:t>
      </w:r>
      <w:r w:rsidRPr="005B4339">
        <w:rPr>
          <w:rFonts w:ascii="Times New Roman" w:hAnsi="Times New Roman" w:cs="Times New Roman"/>
          <w:noProof/>
          <w:sz w:val="24"/>
          <w:szCs w:val="24"/>
          <w:lang w:val="en-IE"/>
        </w:rPr>
        <w:t>s</w:t>
      </w:r>
      <w:r w:rsidR="00442C02" w:rsidRPr="005B4339">
        <w:rPr>
          <w:rFonts w:ascii="Times New Roman" w:hAnsi="Times New Roman" w:cs="Times New Roman"/>
          <w:noProof/>
          <w:sz w:val="24"/>
          <w:szCs w:val="24"/>
          <w:lang w:val="en-IE"/>
        </w:rPr>
        <w:t xml:space="preserve"> that any </w:t>
      </w:r>
      <w:r w:rsidR="003D5EAE" w:rsidRPr="005B4339">
        <w:rPr>
          <w:rFonts w:ascii="Times New Roman" w:hAnsi="Times New Roman" w:cs="Times New Roman"/>
          <w:noProof/>
          <w:sz w:val="24"/>
          <w:szCs w:val="24"/>
          <w:lang w:val="en-IE"/>
        </w:rPr>
        <w:t xml:space="preserve">recycling </w:t>
      </w:r>
      <w:r w:rsidR="00442C02" w:rsidRPr="005B4339">
        <w:rPr>
          <w:rFonts w:ascii="Times New Roman" w:hAnsi="Times New Roman" w:cs="Times New Roman"/>
          <w:noProof/>
          <w:sz w:val="24"/>
          <w:szCs w:val="24"/>
          <w:lang w:val="en-IE"/>
        </w:rPr>
        <w:t>target should be set in consultation with the industry experts</w:t>
      </w:r>
      <w:r w:rsidR="003D5EAE" w:rsidRPr="005B4339">
        <w:rPr>
          <w:rFonts w:ascii="Times New Roman" w:hAnsi="Times New Roman" w:cs="Times New Roman"/>
          <w:noProof/>
          <w:sz w:val="24"/>
          <w:szCs w:val="24"/>
          <w:lang w:val="en-IE"/>
        </w:rPr>
        <w:t xml:space="preserve"> and that the targets </w:t>
      </w:r>
      <w:r w:rsidR="00442C02" w:rsidRPr="005B4339">
        <w:rPr>
          <w:rFonts w:ascii="Times New Roman" w:hAnsi="Times New Roman" w:cs="Times New Roman"/>
          <w:noProof/>
          <w:sz w:val="24"/>
          <w:szCs w:val="24"/>
          <w:lang w:val="en-IE"/>
        </w:rPr>
        <w:t xml:space="preserve">should be progressively increased over time in line with the development of relevant infrastructure in the Member States and the market </w:t>
      </w:r>
      <w:r w:rsidR="00442C02" w:rsidRPr="005B4339">
        <w:rPr>
          <w:rFonts w:ascii="Times New Roman" w:hAnsi="Times New Roman" w:cs="Times New Roman"/>
          <w:noProof/>
          <w:sz w:val="24"/>
          <w:szCs w:val="24"/>
          <w:lang w:val="en-IE"/>
        </w:rPr>
        <w:lastRenderedPageBreak/>
        <w:t>demand for secondary raw materials.</w:t>
      </w:r>
      <w:r w:rsidR="005F5F10" w:rsidRPr="005B4339">
        <w:rPr>
          <w:rFonts w:ascii="Times New Roman" w:hAnsi="Times New Roman" w:cs="Times New Roman"/>
          <w:noProof/>
          <w:sz w:val="24"/>
          <w:szCs w:val="24"/>
          <w:lang w:val="en-IE"/>
        </w:rPr>
        <w:t xml:space="preserve"> </w:t>
      </w:r>
      <w:r w:rsidR="00D635E1" w:rsidRPr="005B4339">
        <w:rPr>
          <w:rFonts w:ascii="Times New Roman" w:hAnsi="Times New Roman" w:cs="Times New Roman"/>
          <w:noProof/>
          <w:sz w:val="24"/>
          <w:szCs w:val="24"/>
          <w:lang w:val="en-IE"/>
        </w:rPr>
        <w:t>N</w:t>
      </w:r>
      <w:r w:rsidR="00B057C5" w:rsidRPr="005B4339">
        <w:rPr>
          <w:rFonts w:ascii="Times New Roman" w:hAnsi="Times New Roman" w:cs="Times New Roman"/>
          <w:noProof/>
          <w:sz w:val="24"/>
          <w:szCs w:val="24"/>
          <w:lang w:val="en-IE"/>
        </w:rPr>
        <w:t xml:space="preserve">ational and regional public waste </w:t>
      </w:r>
      <w:r w:rsidR="00514085" w:rsidRPr="005B4339">
        <w:rPr>
          <w:rFonts w:ascii="Times New Roman" w:hAnsi="Times New Roman" w:cs="Times New Roman"/>
          <w:noProof/>
          <w:sz w:val="24"/>
          <w:szCs w:val="24"/>
          <w:lang w:val="en-IE"/>
        </w:rPr>
        <w:t xml:space="preserve">organisations </w:t>
      </w:r>
      <w:r w:rsidR="00442C02" w:rsidRPr="005B4339">
        <w:rPr>
          <w:rFonts w:ascii="Times New Roman" w:hAnsi="Times New Roman" w:cs="Times New Roman"/>
          <w:noProof/>
          <w:sz w:val="24"/>
          <w:szCs w:val="24"/>
          <w:lang w:val="en-IE"/>
        </w:rPr>
        <w:t xml:space="preserve">echoed </w:t>
      </w:r>
      <w:r w:rsidR="00514085" w:rsidRPr="005B4339">
        <w:rPr>
          <w:rFonts w:ascii="Times New Roman" w:hAnsi="Times New Roman" w:cs="Times New Roman"/>
          <w:noProof/>
          <w:sz w:val="24"/>
          <w:szCs w:val="24"/>
          <w:lang w:val="en-IE"/>
        </w:rPr>
        <w:t>the need to align the targets to relevant infrastructure</w:t>
      </w:r>
      <w:r w:rsidR="00442C02" w:rsidRPr="005B4339">
        <w:rPr>
          <w:rFonts w:ascii="Times New Roman" w:hAnsi="Times New Roman" w:cs="Times New Roman"/>
          <w:noProof/>
          <w:sz w:val="24"/>
          <w:szCs w:val="24"/>
          <w:lang w:val="en-IE"/>
        </w:rPr>
        <w:t>.</w:t>
      </w:r>
      <w:r w:rsidR="00442C02" w:rsidRPr="005B4339">
        <w:rPr>
          <w:rStyle w:val="FootnoteReference"/>
          <w:rFonts w:ascii="Times New Roman" w:hAnsi="Times New Roman" w:cs="Times New Roman"/>
          <w:noProof/>
          <w:sz w:val="24"/>
          <w:szCs w:val="24"/>
          <w:lang w:val="en-IE"/>
        </w:rPr>
        <w:footnoteReference w:id="144"/>
      </w:r>
    </w:p>
    <w:p w14:paraId="39E31BEB" w14:textId="3C8EFA52" w:rsidR="00442C02" w:rsidRPr="005B4339" w:rsidRDefault="00B52CC7" w:rsidP="00F31FDA">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Social enterprises active in </w:t>
      </w:r>
      <w:r w:rsidR="00D96247" w:rsidRPr="005B4339">
        <w:rPr>
          <w:rFonts w:ascii="Times New Roman" w:hAnsi="Times New Roman" w:cs="Times New Roman"/>
          <w:noProof/>
          <w:sz w:val="24"/>
          <w:szCs w:val="24"/>
          <w:lang w:val="en-IE"/>
        </w:rPr>
        <w:t>reuse</w:t>
      </w:r>
      <w:r w:rsidR="3A69D44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repair and recycling as well as MWE and </w:t>
      </w:r>
      <w:r w:rsidR="006C1082" w:rsidRPr="005B4339">
        <w:rPr>
          <w:rFonts w:ascii="Times New Roman" w:hAnsi="Times New Roman" w:cs="Times New Roman"/>
          <w:noProof/>
          <w:sz w:val="24"/>
          <w:szCs w:val="24"/>
          <w:lang w:val="en-IE"/>
        </w:rPr>
        <w:t>the Swedish environmental agency</w:t>
      </w:r>
      <w:r w:rsidR="00442C02" w:rsidRPr="005B4339">
        <w:rPr>
          <w:rStyle w:val="FootnoteReference"/>
          <w:rFonts w:ascii="Times New Roman" w:hAnsi="Times New Roman" w:cs="Times New Roman"/>
          <w:noProof/>
          <w:sz w:val="24"/>
          <w:szCs w:val="24"/>
          <w:lang w:val="en-IE"/>
        </w:rPr>
        <w:footnoteReference w:id="145"/>
      </w:r>
      <w:r w:rsidR="00442C02" w:rsidRPr="005B4339">
        <w:rPr>
          <w:rFonts w:ascii="Times New Roman" w:hAnsi="Times New Roman" w:cs="Times New Roman"/>
          <w:noProof/>
          <w:sz w:val="24"/>
          <w:szCs w:val="24"/>
          <w:lang w:val="en-IE"/>
        </w:rPr>
        <w:t xml:space="preserve"> emphasised the need to prioritise reuse over recycling in keeping with the waste hierarchy and that this needs to be considered in the setting of recycling targets that may otherwise result in reusable materials being sent for recycling.</w:t>
      </w:r>
      <w:r w:rsidR="006C1082" w:rsidRPr="005B4339">
        <w:rPr>
          <w:rFonts w:ascii="Times New Roman" w:hAnsi="Times New Roman" w:cs="Times New Roman"/>
          <w:noProof/>
          <w:sz w:val="24"/>
          <w:szCs w:val="24"/>
          <w:lang w:val="en-IE"/>
        </w:rPr>
        <w:t xml:space="preserve"> </w:t>
      </w:r>
      <w:r w:rsidR="00442C02" w:rsidRPr="005B4339">
        <w:rPr>
          <w:rFonts w:ascii="Times New Roman" w:hAnsi="Times New Roman" w:cs="Times New Roman"/>
          <w:noProof/>
          <w:sz w:val="24"/>
          <w:szCs w:val="24"/>
          <w:lang w:val="en-IE"/>
        </w:rPr>
        <w:t xml:space="preserve">A </w:t>
      </w:r>
      <w:r w:rsidR="00472C42" w:rsidRPr="005B4339">
        <w:rPr>
          <w:rFonts w:ascii="Times New Roman" w:hAnsi="Times New Roman" w:cs="Times New Roman"/>
          <w:noProof/>
          <w:sz w:val="24"/>
          <w:szCs w:val="24"/>
          <w:lang w:val="en-IE"/>
        </w:rPr>
        <w:t xml:space="preserve">recycler </w:t>
      </w:r>
      <w:r w:rsidR="00442C02" w:rsidRPr="005B4339">
        <w:rPr>
          <w:rFonts w:ascii="Times New Roman" w:hAnsi="Times New Roman" w:cs="Times New Roman"/>
          <w:noProof/>
          <w:sz w:val="24"/>
          <w:szCs w:val="24"/>
          <w:lang w:val="en-IE"/>
        </w:rPr>
        <w:t>support</w:t>
      </w:r>
      <w:r w:rsidR="00472C42" w:rsidRPr="005B4339">
        <w:rPr>
          <w:rFonts w:ascii="Times New Roman" w:hAnsi="Times New Roman" w:cs="Times New Roman"/>
          <w:noProof/>
          <w:sz w:val="24"/>
          <w:szCs w:val="24"/>
          <w:lang w:val="en-IE"/>
        </w:rPr>
        <w:t>s</w:t>
      </w:r>
      <w:r w:rsidR="00442C02" w:rsidRPr="005B4339">
        <w:rPr>
          <w:rFonts w:ascii="Times New Roman" w:hAnsi="Times New Roman" w:cs="Times New Roman"/>
          <w:noProof/>
          <w:sz w:val="24"/>
          <w:szCs w:val="24"/>
          <w:lang w:val="en-IE"/>
        </w:rPr>
        <w:t xml:space="preserve"> mandatory targets on recycling and recycled content at the E</w:t>
      </w:r>
      <w:r w:rsidR="00472C42" w:rsidRPr="005B4339">
        <w:rPr>
          <w:rFonts w:ascii="Times New Roman" w:hAnsi="Times New Roman" w:cs="Times New Roman"/>
          <w:noProof/>
          <w:sz w:val="24"/>
          <w:szCs w:val="24"/>
          <w:lang w:val="en-IE"/>
        </w:rPr>
        <w:t>U</w:t>
      </w:r>
      <w:r w:rsidR="00442C02" w:rsidRPr="005B4339">
        <w:rPr>
          <w:rFonts w:ascii="Times New Roman" w:hAnsi="Times New Roman" w:cs="Times New Roman"/>
          <w:noProof/>
          <w:sz w:val="24"/>
          <w:szCs w:val="24"/>
          <w:lang w:val="en-IE"/>
        </w:rPr>
        <w:t xml:space="preserve"> level to both boost demand and supply for recycling.</w:t>
      </w:r>
      <w:r w:rsidR="00442C02" w:rsidRPr="005B4339">
        <w:rPr>
          <w:rStyle w:val="FootnoteReference"/>
          <w:rFonts w:ascii="Times New Roman" w:hAnsi="Times New Roman" w:cs="Times New Roman"/>
          <w:noProof/>
          <w:sz w:val="24"/>
          <w:szCs w:val="24"/>
          <w:lang w:val="en-IE"/>
        </w:rPr>
        <w:footnoteReference w:id="146"/>
      </w:r>
    </w:p>
    <w:p w14:paraId="1D16FC5A" w14:textId="560A18D5" w:rsidR="00831374" w:rsidRPr="005B4339" w:rsidRDefault="00831374" w:rsidP="00F31FDA">
      <w:pPr>
        <w:pStyle w:val="WDBody"/>
        <w:jc w:val="both"/>
        <w:rPr>
          <w:rFonts w:ascii="Times New Roman" w:hAnsi="Times New Roman" w:cs="Times New Roman"/>
          <w:b/>
          <w:noProof/>
          <w:sz w:val="24"/>
          <w:szCs w:val="24"/>
          <w:lang w:val="en-IE"/>
        </w:rPr>
      </w:pPr>
      <w:r w:rsidRPr="005B4339">
        <w:rPr>
          <w:rFonts w:ascii="Times New Roman" w:hAnsi="Times New Roman" w:cs="Times New Roman"/>
          <w:noProof/>
          <w:sz w:val="24"/>
          <w:szCs w:val="24"/>
          <w:lang w:val="en-IE"/>
        </w:rPr>
        <w:t>In addition</w:t>
      </w:r>
      <w:r w:rsidR="04E8EB75"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t>
      </w:r>
      <w:r w:rsidR="00093923" w:rsidRPr="005B4339">
        <w:rPr>
          <w:rFonts w:ascii="Times New Roman" w:hAnsi="Times New Roman" w:cs="Times New Roman"/>
          <w:noProof/>
          <w:sz w:val="24"/>
          <w:szCs w:val="24"/>
          <w:lang w:val="en-IE"/>
        </w:rPr>
        <w:t>during the</w:t>
      </w:r>
      <w:r w:rsidRPr="005B4339">
        <w:rPr>
          <w:rFonts w:ascii="Times New Roman" w:hAnsi="Times New Roman" w:cs="Times New Roman"/>
          <w:noProof/>
          <w:sz w:val="24"/>
          <w:szCs w:val="24"/>
          <w:lang w:val="en-IE"/>
        </w:rPr>
        <w:t xml:space="preserve"> second textiles workshop</w:t>
      </w:r>
      <w:r w:rsidR="3BF13C4D" w:rsidRPr="005B4339">
        <w:rPr>
          <w:rFonts w:ascii="Times New Roman" w:hAnsi="Times New Roman" w:cs="Times New Roman"/>
          <w:noProof/>
          <w:sz w:val="24"/>
          <w:szCs w:val="24"/>
          <w:lang w:val="en-IE"/>
        </w:rPr>
        <w:t>,</w:t>
      </w:r>
      <w:r w:rsidR="00093923" w:rsidRPr="005B4339">
        <w:rPr>
          <w:rFonts w:ascii="Times New Roman" w:hAnsi="Times New Roman" w:cs="Times New Roman"/>
          <w:noProof/>
          <w:sz w:val="24"/>
          <w:szCs w:val="24"/>
          <w:lang w:val="en-IE"/>
        </w:rPr>
        <w:t xml:space="preserve"> stakeholders called for </w:t>
      </w:r>
      <w:r w:rsidRPr="005B4339">
        <w:rPr>
          <w:rFonts w:ascii="Times New Roman" w:hAnsi="Times New Roman" w:cs="Times New Roman"/>
          <w:noProof/>
          <w:sz w:val="24"/>
          <w:szCs w:val="24"/>
          <w:lang w:val="en-IE"/>
        </w:rPr>
        <w:t>recycling targets being established which – supported by clarity and consistency – would help create a market for secondary material and facilitate</w:t>
      </w:r>
      <w:r w:rsidR="00191F63" w:rsidRPr="005B4339">
        <w:rPr>
          <w:rFonts w:ascii="Times New Roman" w:hAnsi="Times New Roman" w:cs="Times New Roman"/>
          <w:noProof/>
          <w:sz w:val="24"/>
          <w:szCs w:val="24"/>
          <w:lang w:val="en-IE"/>
        </w:rPr>
        <w:t xml:space="preserve"> collection and prioritised use</w:t>
      </w:r>
      <w:r w:rsidRPr="005B4339">
        <w:rPr>
          <w:rFonts w:ascii="Times New Roman" w:hAnsi="Times New Roman" w:cs="Times New Roman"/>
          <w:noProof/>
          <w:sz w:val="24"/>
          <w:szCs w:val="24"/>
          <w:vertAlign w:val="superscript"/>
          <w:lang w:val="en-IE"/>
        </w:rPr>
        <w:footnoteReference w:id="147"/>
      </w:r>
      <w:r w:rsidRPr="005B4339">
        <w:rPr>
          <w:rFonts w:ascii="Times New Roman" w:hAnsi="Times New Roman" w:cs="Times New Roman"/>
          <w:noProof/>
          <w:sz w:val="24"/>
          <w:szCs w:val="24"/>
          <w:lang w:val="en-IE"/>
        </w:rPr>
        <w:t xml:space="preserve">. </w:t>
      </w:r>
    </w:p>
    <w:p w14:paraId="0F633318" w14:textId="63AE2122" w:rsidR="00D20156" w:rsidRPr="005B4339" w:rsidRDefault="00D20156" w:rsidP="00D20156">
      <w:pPr>
        <w:spacing w:after="120"/>
        <w:rPr>
          <w:noProof/>
          <w:lang w:val="en-IE"/>
        </w:rPr>
      </w:pPr>
      <w:bookmarkStart w:id="251" w:name="_Toc133229496"/>
      <w:bookmarkStart w:id="252" w:name="_Toc139032050"/>
      <w:r w:rsidRPr="005B4339">
        <w:rPr>
          <w:i/>
          <w:noProof/>
          <w:lang w:val="en-IE"/>
        </w:rPr>
        <w:t xml:space="preserve">Table </w:t>
      </w:r>
      <w:r w:rsidR="00393DFA">
        <w:rPr>
          <w:i/>
          <w:iCs/>
          <w:noProof/>
        </w:rPr>
        <w:t>34</w:t>
      </w:r>
      <w:r w:rsidRPr="005B4339">
        <w:rPr>
          <w:i/>
          <w:noProof/>
          <w:lang w:val="en-IE"/>
        </w:rPr>
        <w:t xml:space="preserve"> : Summary of impacts for measure 3.8</w:t>
      </w:r>
      <w:bookmarkEnd w:id="251"/>
      <w:bookmarkEnd w:id="252"/>
    </w:p>
    <w:tbl>
      <w:tblPr>
        <w:tblStyle w:val="PlainTable1"/>
        <w:tblW w:w="9268" w:type="dxa"/>
        <w:tblLook w:val="04A0" w:firstRow="1" w:lastRow="0" w:firstColumn="1" w:lastColumn="0" w:noHBand="0" w:noVBand="1"/>
      </w:tblPr>
      <w:tblGrid>
        <w:gridCol w:w="2547"/>
        <w:gridCol w:w="2268"/>
        <w:gridCol w:w="2268"/>
        <w:gridCol w:w="2185"/>
      </w:tblGrid>
      <w:tr w:rsidR="0046061A" w:rsidRPr="005B4339" w14:paraId="67C84ED4" w14:textId="77777777" w:rsidTr="4AF5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9B22EC" w14:textId="77777777" w:rsidR="0046061A" w:rsidRPr="005B4339" w:rsidRDefault="0046061A">
            <w:pPr>
              <w:jc w:val="left"/>
              <w:rPr>
                <w:noProof/>
                <w:lang w:val="en-IE"/>
              </w:rPr>
            </w:pPr>
            <w:r w:rsidRPr="005B4339">
              <w:rPr>
                <w:noProof/>
                <w:lang w:val="en-IE"/>
              </w:rPr>
              <w:t>Stakeholder affected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79D31" w14:textId="77777777" w:rsidR="0046061A" w:rsidRPr="005B4339" w:rsidRDefault="0046061A">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Economic impacts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76122D" w14:textId="77777777" w:rsidR="0046061A" w:rsidRPr="005B4339" w:rsidRDefault="0046061A">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Environmental impacts</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A43D15" w14:textId="77777777" w:rsidR="0046061A" w:rsidRPr="005B4339" w:rsidRDefault="0046061A">
            <w:pPr>
              <w:cnfStyle w:val="100000000000" w:firstRow="1" w:lastRow="0" w:firstColumn="0" w:lastColumn="0" w:oddVBand="0" w:evenVBand="0" w:oddHBand="0" w:evenHBand="0" w:firstRowFirstColumn="0" w:firstRowLastColumn="0" w:lastRowFirstColumn="0" w:lastRowLastColumn="0"/>
              <w:rPr>
                <w:noProof/>
                <w:lang w:val="en-IE"/>
              </w:rPr>
            </w:pPr>
            <w:r w:rsidRPr="005B4339">
              <w:rPr>
                <w:noProof/>
                <w:lang w:val="en-IE"/>
              </w:rPr>
              <w:t xml:space="preserve">Social impacts </w:t>
            </w:r>
          </w:p>
        </w:tc>
      </w:tr>
      <w:tr w:rsidR="0046061A" w:rsidRPr="005B4339" w14:paraId="3C183391" w14:textId="77777777" w:rsidTr="4AF54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851321" w14:textId="30D58F8C" w:rsidR="0046061A" w:rsidRPr="005B4339" w:rsidRDefault="0046061A">
            <w:pPr>
              <w:jc w:val="left"/>
              <w:rPr>
                <w:noProof/>
                <w:lang w:val="en-IE"/>
              </w:rPr>
            </w:pPr>
            <w:r w:rsidRPr="005B4339">
              <w:rPr>
                <w:noProof/>
                <w:lang w:val="en-IE"/>
              </w:rPr>
              <w:t>Producers</w:t>
            </w:r>
            <w:r w:rsidR="41F45479" w:rsidRPr="005B4339">
              <w:rPr>
                <w:noProof/>
                <w:lang w:val="en-IE"/>
              </w:rPr>
              <w:t>,</w:t>
            </w:r>
            <w:r w:rsidRPr="005B4339">
              <w:rPr>
                <w:noProof/>
                <w:lang w:val="en-IE"/>
              </w:rPr>
              <w:t xml:space="preserve"> waste managers (encompassing collectors</w:t>
            </w:r>
            <w:r w:rsidR="46A495D3" w:rsidRPr="005B4339">
              <w:rPr>
                <w:noProof/>
                <w:lang w:val="en-IE"/>
              </w:rPr>
              <w:t>,</w:t>
            </w:r>
            <w:r w:rsidRPr="005B4339">
              <w:rPr>
                <w:noProof/>
                <w:lang w:val="en-IE"/>
              </w:rPr>
              <w:t xml:space="preserve"> sorters and managers)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67CDC" w14:textId="77777777" w:rsidR="0046061A" w:rsidRPr="005B4339" w:rsidRDefault="00046EF6">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increase cost of data collection and reporting.</w:t>
            </w:r>
          </w:p>
          <w:p w14:paraId="202CD4F2" w14:textId="648FE786" w:rsidR="006631CD" w:rsidRPr="005B4339" w:rsidRDefault="006631CD">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enable a level playing field as all operators would contribute to the recycling</w:t>
            </w:r>
            <w:r w:rsidR="77EC7143" w:rsidRPr="005B4339">
              <w:rPr>
                <w:noProof/>
                <w:lang w:val="en-IE"/>
              </w:rPr>
              <w:t>,</w:t>
            </w:r>
            <w:r w:rsidRPr="005B4339">
              <w:rPr>
                <w:noProof/>
                <w:lang w:val="en-IE"/>
              </w:rPr>
              <w:t xml:space="preserve"> subject to specific characteristic.</w:t>
            </w:r>
          </w:p>
          <w:p w14:paraId="09FF3B30" w14:textId="77777777" w:rsidR="006631CD" w:rsidRPr="005B4339" w:rsidRDefault="006631CD">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 xml:space="preserve">This measure would require additional investment in recycling infrastructure in order to meet the </w:t>
            </w:r>
            <w:r w:rsidRPr="005B4339">
              <w:rPr>
                <w:noProof/>
                <w:lang w:val="en-IE"/>
              </w:rPr>
              <w:lastRenderedPageBreak/>
              <w:t>targets set.</w:t>
            </w:r>
          </w:p>
          <w:p w14:paraId="2E3B92FC" w14:textId="352447ED" w:rsidR="0046061A" w:rsidRPr="005B4339" w:rsidRDefault="006631CD">
            <w:pPr>
              <w:ind w:left="30"/>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recover the economic value of textile fibres through recycling in comparison to their loss through recovery and/or disposal.</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8297A7" w14:textId="77777777" w:rsidR="0046061A" w:rsidRPr="005B4339" w:rsidRDefault="0046061A">
            <w:pPr>
              <w:cnfStyle w:val="000000100000" w:firstRow="0" w:lastRow="0" w:firstColumn="0" w:lastColumn="0" w:oddVBand="0" w:evenVBand="0" w:oddHBand="1"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00ADCC" w14:textId="77777777" w:rsidR="0046061A" w:rsidRPr="005B4339" w:rsidRDefault="0046061A">
            <w:pPr>
              <w:cnfStyle w:val="000000100000" w:firstRow="0" w:lastRow="0" w:firstColumn="0" w:lastColumn="0" w:oddVBand="0" w:evenVBand="0" w:oddHBand="1" w:evenHBand="0" w:firstRowFirstColumn="0" w:firstRowLastColumn="0" w:lastRowFirstColumn="0" w:lastRowLastColumn="0"/>
              <w:rPr>
                <w:b/>
                <w:noProof/>
                <w:lang w:val="en-IE"/>
              </w:rPr>
            </w:pPr>
          </w:p>
        </w:tc>
      </w:tr>
      <w:tr w:rsidR="0046061A" w:rsidRPr="005B4339" w14:paraId="45F39BAD" w14:textId="77777777" w:rsidTr="4AF54619">
        <w:trPr>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7F0DF5" w14:textId="77777777" w:rsidR="0046061A" w:rsidRPr="005B4339" w:rsidRDefault="0046061A">
            <w:pPr>
              <w:jc w:val="left"/>
              <w:rPr>
                <w:noProof/>
                <w:lang w:val="en-IE"/>
              </w:rPr>
            </w:pPr>
            <w:r w:rsidRPr="005B4339">
              <w:rPr>
                <w:noProof/>
                <w:lang w:val="en-IE"/>
              </w:rPr>
              <w:t>Public authorities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9C7A1F" w14:textId="2002928E" w:rsidR="00046EF6" w:rsidRPr="005B4339" w:rsidRDefault="0CB1862F" w:rsidP="006554B6">
            <w:pPr>
              <w:pStyle w:val="WDBod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This measure would increase the administrative costs of setting a recycling target</w:t>
            </w:r>
            <w:r w:rsidR="3F2E850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developing indicators for monitoring progresses</w:t>
            </w:r>
            <w:r w:rsidR="11BE226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ensure compliance</w:t>
            </w:r>
            <w:r w:rsidR="6A970FA8"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and update upon need.</w:t>
            </w:r>
          </w:p>
          <w:p w14:paraId="30472009" w14:textId="68BFF468" w:rsidR="0046061A" w:rsidRPr="005B4339" w:rsidRDefault="00046EF6">
            <w:pPr>
              <w:ind w:left="30"/>
              <w:cnfStyle w:val="000000000000" w:firstRow="0" w:lastRow="0" w:firstColumn="0" w:lastColumn="0" w:oddVBand="0" w:evenVBand="0" w:oddHBand="0" w:evenHBand="0" w:firstRowFirstColumn="0" w:firstRowLastColumn="0" w:lastRowFirstColumn="0" w:lastRowLastColumn="0"/>
              <w:rPr>
                <w:noProof/>
                <w:lang w:val="en-IE"/>
              </w:rPr>
            </w:pPr>
            <w:r w:rsidRPr="005B4339">
              <w:rPr>
                <w:noProof/>
                <w:lang w:val="en-IE"/>
              </w:rPr>
              <w:t>It would increase costs of data collection and reporting recycling of textile waste.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4BD4E" w14:textId="77777777" w:rsidR="0046061A" w:rsidRPr="005B4339" w:rsidRDefault="0046061A">
            <w:pPr>
              <w:cnfStyle w:val="000000000000" w:firstRow="0" w:lastRow="0" w:firstColumn="0" w:lastColumn="0" w:oddVBand="0" w:evenVBand="0" w:oddHBand="0" w:evenHBand="0" w:firstRowFirstColumn="0" w:firstRowLastColumn="0" w:lastRowFirstColumn="0" w:lastRowLastColumn="0"/>
              <w:rPr>
                <w:b/>
                <w:noProof/>
                <w:lang w:val="en-IE"/>
              </w:rPr>
            </w:pP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FF307A" w14:textId="77777777" w:rsidR="0046061A" w:rsidRPr="005B4339" w:rsidRDefault="0046061A">
            <w:pPr>
              <w:cnfStyle w:val="000000000000" w:firstRow="0" w:lastRow="0" w:firstColumn="0" w:lastColumn="0" w:oddVBand="0" w:evenVBand="0" w:oddHBand="0" w:evenHBand="0" w:firstRowFirstColumn="0" w:firstRowLastColumn="0" w:lastRowFirstColumn="0" w:lastRowLastColumn="0"/>
              <w:rPr>
                <w:b/>
                <w:noProof/>
                <w:lang w:val="en-IE"/>
              </w:rPr>
            </w:pPr>
          </w:p>
        </w:tc>
      </w:tr>
      <w:tr w:rsidR="0046061A" w:rsidRPr="005B4339" w14:paraId="4B18506F" w14:textId="77777777" w:rsidTr="4AF54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F5F1DE" w14:textId="77777777" w:rsidR="0046061A" w:rsidRPr="005B4339" w:rsidRDefault="0046061A">
            <w:pPr>
              <w:jc w:val="left"/>
              <w:rPr>
                <w:noProof/>
                <w:lang w:val="en-IE"/>
              </w:rPr>
            </w:pPr>
            <w:r w:rsidRPr="005B4339">
              <w:rPr>
                <w:noProof/>
                <w:lang w:val="en-IE"/>
              </w:rPr>
              <w:t>All stakeholders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C9B01" w14:textId="77777777" w:rsidR="0046061A" w:rsidRPr="005B4339" w:rsidRDefault="0046061A">
            <w:pPr>
              <w:ind w:left="30"/>
              <w:cnfStyle w:val="000000100000" w:firstRow="0" w:lastRow="0" w:firstColumn="0" w:lastColumn="0" w:oddVBand="0" w:evenVBand="0" w:oddHBand="1" w:evenHBand="0" w:firstRowFirstColumn="0" w:firstRowLastColumn="0" w:lastRowFirstColumn="0" w:lastRowLastColumn="0"/>
              <w:rPr>
                <w:noProof/>
                <w:lang w:val="en-IE"/>
              </w:rPr>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8F9C60" w14:textId="0375D5B3" w:rsidR="0046061A" w:rsidRPr="005B4339" w:rsidRDefault="006631CD">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lang w:val="en-IE"/>
              </w:rPr>
              <w:t>This measure would improve air</w:t>
            </w:r>
            <w:r w:rsidR="2BC70591" w:rsidRPr="005B4339">
              <w:rPr>
                <w:noProof/>
                <w:lang w:val="en-IE"/>
              </w:rPr>
              <w:t>,</w:t>
            </w:r>
            <w:r w:rsidRPr="005B4339">
              <w:rPr>
                <w:noProof/>
                <w:lang w:val="en-IE"/>
              </w:rPr>
              <w:t xml:space="preserve"> soil</w:t>
            </w:r>
            <w:r w:rsidR="19846C8C" w:rsidRPr="005B4339">
              <w:rPr>
                <w:noProof/>
                <w:lang w:val="en-IE"/>
              </w:rPr>
              <w:t>,</w:t>
            </w:r>
            <w:r w:rsidRPr="005B4339">
              <w:rPr>
                <w:noProof/>
                <w:lang w:val="en-IE"/>
              </w:rPr>
              <w:t xml:space="preserve"> and water quality thanks to reduced waste disposal practices.</w:t>
            </w:r>
          </w:p>
          <w:p w14:paraId="4CE34889" w14:textId="548BBC3E" w:rsidR="0046061A" w:rsidRPr="005B4339" w:rsidRDefault="006631CD">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lang w:val="en-IE"/>
              </w:rPr>
              <w:t>Similarly</w:t>
            </w:r>
            <w:r w:rsidR="3C2350F9" w:rsidRPr="005B4339">
              <w:rPr>
                <w:noProof/>
                <w:lang w:val="en-IE"/>
              </w:rPr>
              <w:t>,</w:t>
            </w:r>
            <w:r w:rsidRPr="005B4339">
              <w:rPr>
                <w:noProof/>
                <w:lang w:val="en-IE"/>
              </w:rPr>
              <w:t xml:space="preserve"> it would protect landscapes thanks to reduced landfilling.</w:t>
            </w:r>
          </w:p>
        </w:tc>
        <w:tc>
          <w:tcPr>
            <w:tcW w:w="2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AAD5C" w14:textId="20C90172" w:rsidR="006631CD" w:rsidRPr="005B4339" w:rsidRDefault="006631CD" w:rsidP="006631CD">
            <w:pPr>
              <w:cnfStyle w:val="000000100000" w:firstRow="0" w:lastRow="0" w:firstColumn="0" w:lastColumn="0" w:oddVBand="0" w:evenVBand="0" w:oddHBand="1" w:evenHBand="0" w:firstRowFirstColumn="0" w:firstRowLastColumn="0" w:lastRowFirstColumn="0" w:lastRowLastColumn="0"/>
              <w:rPr>
                <w:noProof/>
                <w:lang w:val="en-IE"/>
              </w:rPr>
            </w:pPr>
            <w:r w:rsidRPr="005B4339">
              <w:rPr>
                <w:noProof/>
                <w:shd w:val="clear" w:color="auto" w:fill="E6E6E6"/>
                <w:lang w:val="en-IE"/>
              </w:rPr>
              <w:t>This measure would increase information and data on recycling</w:t>
            </w:r>
            <w:r w:rsidRPr="005B4339">
              <w:rPr>
                <w:noProof/>
                <w:lang w:val="en-IE"/>
              </w:rPr>
              <w:t>.</w:t>
            </w:r>
          </w:p>
          <w:p w14:paraId="46627B13" w14:textId="5A492E35" w:rsidR="0046061A" w:rsidRPr="005B4339" w:rsidRDefault="006631CD">
            <w:pPr>
              <w:cnfStyle w:val="000000100000" w:firstRow="0" w:lastRow="0" w:firstColumn="0" w:lastColumn="0" w:oddVBand="0" w:evenVBand="0" w:oddHBand="1" w:evenHBand="0" w:firstRowFirstColumn="0" w:firstRowLastColumn="0" w:lastRowFirstColumn="0" w:lastRowLastColumn="0"/>
              <w:rPr>
                <w:b/>
                <w:noProof/>
                <w:lang w:val="en-IE"/>
              </w:rPr>
            </w:pPr>
            <w:r w:rsidRPr="005B4339">
              <w:rPr>
                <w:noProof/>
                <w:shd w:val="clear" w:color="auto" w:fill="E6E6E6"/>
                <w:lang w:val="en-IE"/>
              </w:rPr>
              <w:t>This measure would increase employment in the recycling sector</w:t>
            </w:r>
            <w:r w:rsidRPr="005B4339">
              <w:rPr>
                <w:noProof/>
                <w:lang w:val="en-IE"/>
              </w:rPr>
              <w:t>.</w:t>
            </w:r>
          </w:p>
        </w:tc>
      </w:tr>
    </w:tbl>
    <w:p w14:paraId="62927F81" w14:textId="111C7552" w:rsidR="009F116A" w:rsidRPr="005B4339" w:rsidRDefault="009F116A" w:rsidP="120853A8">
      <w:pPr>
        <w:spacing w:after="200"/>
        <w:rPr>
          <w:noProof/>
          <w:lang w:val="en-IE"/>
        </w:rPr>
      </w:pPr>
    </w:p>
    <w:p w14:paraId="67E9BEE2" w14:textId="5BCD6175" w:rsidR="00402737" w:rsidRPr="005B4339" w:rsidRDefault="00402737" w:rsidP="00402737">
      <w:pPr>
        <w:pStyle w:val="Heading3"/>
        <w:spacing w:after="120"/>
        <w:rPr>
          <w:b/>
          <w:noProof/>
          <w:lang w:val="en-IE"/>
        </w:rPr>
      </w:pPr>
      <w:bookmarkStart w:id="253" w:name="_Toc462261556"/>
      <w:bookmarkStart w:id="254" w:name="_Toc243696871"/>
      <w:bookmarkStart w:id="255" w:name="_Toc1962139006"/>
      <w:bookmarkStart w:id="256" w:name="_Toc209364804"/>
      <w:bookmarkStart w:id="257" w:name="_Toc886587295"/>
      <w:bookmarkStart w:id="258" w:name="_Toc565217844"/>
      <w:bookmarkStart w:id="259" w:name="_Toc249948910"/>
      <w:bookmarkStart w:id="260" w:name="_Toc353451835"/>
      <w:bookmarkStart w:id="261" w:name="_Toc139032104"/>
      <w:r w:rsidRPr="005B4339">
        <w:rPr>
          <w:noProof/>
          <w:lang w:val="en-IE"/>
        </w:rPr>
        <w:lastRenderedPageBreak/>
        <w:t>Overall impacts of the measures</w:t>
      </w:r>
      <w:bookmarkEnd w:id="253"/>
      <w:bookmarkEnd w:id="254"/>
      <w:bookmarkEnd w:id="255"/>
      <w:bookmarkEnd w:id="256"/>
      <w:bookmarkEnd w:id="257"/>
      <w:bookmarkEnd w:id="258"/>
      <w:bookmarkEnd w:id="259"/>
      <w:bookmarkEnd w:id="260"/>
      <w:bookmarkEnd w:id="261"/>
      <w:r w:rsidRPr="005B4339">
        <w:rPr>
          <w:noProof/>
          <w:lang w:val="en-IE"/>
        </w:rPr>
        <w:t xml:space="preserve"> </w:t>
      </w:r>
    </w:p>
    <w:p w14:paraId="4CF301C1" w14:textId="296D9620" w:rsidR="008304AE" w:rsidRPr="005B4339" w:rsidRDefault="008304AE" w:rsidP="008304AE">
      <w:pPr>
        <w:rPr>
          <w:noProof/>
          <w:lang w:val="en-IE"/>
        </w:rPr>
        <w:sectPr w:rsidR="008304AE" w:rsidRPr="005B433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601" w:footer="1077" w:gutter="0"/>
          <w:cols w:space="720"/>
        </w:sectPr>
      </w:pPr>
      <w:r w:rsidRPr="005B4339">
        <w:rPr>
          <w:rFonts w:eastAsia="Times New Roman"/>
          <w:noProof/>
          <w:lang w:val="en-IE"/>
        </w:rPr>
        <w:t>For textiles</w:t>
      </w:r>
      <w:r w:rsidR="2D350F33" w:rsidRPr="005B4339">
        <w:rPr>
          <w:rFonts w:eastAsia="Times New Roman"/>
          <w:noProof/>
          <w:lang w:val="en-IE"/>
        </w:rPr>
        <w:t>,</w:t>
      </w:r>
      <w:r w:rsidRPr="005B4339">
        <w:rPr>
          <w:rFonts w:eastAsia="Times New Roman"/>
          <w:noProof/>
          <w:lang w:val="en-IE"/>
        </w:rPr>
        <w:t xml:space="preserve"> the table below summarises the</w:t>
      </w:r>
      <w:r w:rsidR="0082302E" w:rsidRPr="005B4339">
        <w:rPr>
          <w:rFonts w:eastAsia="Times New Roman"/>
          <w:noProof/>
          <w:lang w:val="en-IE"/>
        </w:rPr>
        <w:t xml:space="preserve"> net</w:t>
      </w:r>
      <w:r w:rsidRPr="005B4339">
        <w:rPr>
          <w:rFonts w:eastAsia="Times New Roman"/>
          <w:noProof/>
          <w:lang w:val="en-IE"/>
        </w:rPr>
        <w:t xml:space="preserve"> impacts of the measures that are included in each option. </w:t>
      </w:r>
      <w:r w:rsidRPr="005B4339">
        <w:rPr>
          <w:noProof/>
          <w:lang w:val="en-IE"/>
        </w:rPr>
        <w:t>For each measure</w:t>
      </w:r>
      <w:r w:rsidR="7D8403AF" w:rsidRPr="005B4339">
        <w:rPr>
          <w:noProof/>
          <w:lang w:val="en-IE"/>
        </w:rPr>
        <w:t>,</w:t>
      </w:r>
      <w:r w:rsidRPr="005B4339">
        <w:rPr>
          <w:noProof/>
          <w:lang w:val="en-IE"/>
        </w:rPr>
        <w:t xml:space="preserve"> the direction of impact is indicated as positive</w:t>
      </w:r>
      <w:r w:rsidR="5A8B3963" w:rsidRPr="005B4339">
        <w:rPr>
          <w:noProof/>
          <w:lang w:val="en-IE"/>
        </w:rPr>
        <w:t>,</w:t>
      </w:r>
      <w:r w:rsidRPr="005B4339">
        <w:rPr>
          <w:noProof/>
          <w:lang w:val="en-IE"/>
        </w:rPr>
        <w:t xml:space="preserve"> negative or neutral using +</w:t>
      </w:r>
      <w:r w:rsidR="0099430A" w:rsidRPr="005B4339">
        <w:rPr>
          <w:noProof/>
          <w:lang w:val="en-IE"/>
        </w:rPr>
        <w:t xml:space="preserve"> </w:t>
      </w:r>
      <w:r w:rsidRPr="005B4339">
        <w:rPr>
          <w:noProof/>
          <w:lang w:val="en-IE"/>
        </w:rPr>
        <w:t xml:space="preserve"> - and </w:t>
      </w:r>
      <w:r w:rsidR="0009679A" w:rsidRPr="005B4339">
        <w:rPr>
          <w:noProof/>
          <w:lang w:val="en-IE"/>
        </w:rPr>
        <w:t>+/-</w:t>
      </w:r>
      <w:r w:rsidRPr="005B4339">
        <w:rPr>
          <w:noProof/>
          <w:lang w:val="en-IE"/>
        </w:rPr>
        <w:t xml:space="preserve"> to indicate these impacts. </w:t>
      </w:r>
      <w:r w:rsidR="00484A30" w:rsidRPr="005B4339">
        <w:rPr>
          <w:noProof/>
          <w:lang w:val="en-IE"/>
        </w:rPr>
        <w:t xml:space="preserve">Additionally, where indirect impacts are identified these are shown between brackets, e.g. (+) would demonstrate an indirect positive impact. </w:t>
      </w:r>
      <w:r w:rsidRPr="005B4339">
        <w:rPr>
          <w:noProof/>
          <w:lang w:val="en-IE"/>
        </w:rPr>
        <w:t>The table below sets out the economic</w:t>
      </w:r>
      <w:r w:rsidR="1FDD0487" w:rsidRPr="005B4339">
        <w:rPr>
          <w:noProof/>
          <w:lang w:val="en-IE"/>
        </w:rPr>
        <w:t>,</w:t>
      </w:r>
      <w:r w:rsidRPr="005B4339">
        <w:rPr>
          <w:noProof/>
          <w:lang w:val="en-IE"/>
        </w:rPr>
        <w:t xml:space="preserve"> environmental and social impacts by measure covering all relevant stakeholders: public authorities</w:t>
      </w:r>
      <w:r w:rsidR="64FB3FCE" w:rsidRPr="005B4339">
        <w:rPr>
          <w:noProof/>
          <w:lang w:val="en-IE"/>
        </w:rPr>
        <w:t>,</w:t>
      </w:r>
      <w:r w:rsidRPr="005B4339">
        <w:rPr>
          <w:noProof/>
          <w:lang w:val="en-IE"/>
        </w:rPr>
        <w:t xml:space="preserve"> industry (including SMEs</w:t>
      </w:r>
      <w:r w:rsidR="4EDE693B" w:rsidRPr="005B4339">
        <w:rPr>
          <w:noProof/>
          <w:lang w:val="en-IE"/>
        </w:rPr>
        <w:t>)</w:t>
      </w:r>
      <w:r w:rsidR="540710BE" w:rsidRPr="005B4339">
        <w:rPr>
          <w:noProof/>
          <w:lang w:val="en-IE"/>
        </w:rPr>
        <w:t>,</w:t>
      </w:r>
      <w:r w:rsidRPr="005B4339">
        <w:rPr>
          <w:noProof/>
          <w:lang w:val="en-IE"/>
        </w:rPr>
        <w:t xml:space="preserve"> citizens and workers and third countries. For those measures that contained alternatives</w:t>
      </w:r>
      <w:r w:rsidR="1479EE4E" w:rsidRPr="005B4339">
        <w:rPr>
          <w:noProof/>
          <w:lang w:val="en-IE"/>
        </w:rPr>
        <w:t>,</w:t>
      </w:r>
      <w:r w:rsidRPr="005B4339">
        <w:rPr>
          <w:noProof/>
          <w:lang w:val="en-IE"/>
        </w:rPr>
        <w:t xml:space="preserve"> the table presents the ratings for the selected alternatives within each measure.</w:t>
      </w:r>
    </w:p>
    <w:p w14:paraId="47158A0A" w14:textId="0EF575CF" w:rsidR="00D5660F" w:rsidRPr="005B4339" w:rsidRDefault="00D5660F" w:rsidP="00D20156">
      <w:pPr>
        <w:spacing w:after="120"/>
        <w:rPr>
          <w:i/>
          <w:noProof/>
          <w:lang w:val="en-IE"/>
        </w:rPr>
      </w:pPr>
      <w:bookmarkStart w:id="262" w:name="_Toc133229497"/>
      <w:bookmarkStart w:id="263" w:name="_Toc139032051"/>
      <w:r w:rsidRPr="005B4339">
        <w:rPr>
          <w:i/>
          <w:noProof/>
          <w:lang w:val="en-IE"/>
        </w:rPr>
        <w:lastRenderedPageBreak/>
        <w:t xml:space="preserve">Table </w:t>
      </w:r>
      <w:r w:rsidR="00393DFA">
        <w:rPr>
          <w:i/>
          <w:iCs/>
          <w:noProof/>
        </w:rPr>
        <w:t>35</w:t>
      </w:r>
      <w:r w:rsidRPr="005B4339">
        <w:rPr>
          <w:i/>
          <w:noProof/>
          <w:lang w:val="en-IE"/>
        </w:rPr>
        <w:t xml:space="preserve"> : Overview of the economic environmental and social impacts of </w:t>
      </w:r>
      <w:r w:rsidR="00962E0B" w:rsidRPr="005B4339">
        <w:rPr>
          <w:i/>
          <w:noProof/>
          <w:lang w:val="en-IE"/>
        </w:rPr>
        <w:t xml:space="preserve">the </w:t>
      </w:r>
      <w:r w:rsidRPr="005B4339">
        <w:rPr>
          <w:i/>
          <w:noProof/>
          <w:lang w:val="en-IE"/>
        </w:rPr>
        <w:t>measure</w:t>
      </w:r>
      <w:r w:rsidR="00962E0B" w:rsidRPr="005B4339">
        <w:rPr>
          <w:i/>
          <w:noProof/>
          <w:lang w:val="en-IE"/>
        </w:rPr>
        <w:t>s</w:t>
      </w:r>
      <w:bookmarkEnd w:id="262"/>
      <w:bookmarkEnd w:id="263"/>
    </w:p>
    <w:tbl>
      <w:tblPr>
        <w:tblStyle w:val="TableGrid"/>
        <w:tblW w:w="0" w:type="auto"/>
        <w:tblLook w:val="04A0" w:firstRow="1" w:lastRow="0" w:firstColumn="1" w:lastColumn="0" w:noHBand="0" w:noVBand="1"/>
      </w:tblPr>
      <w:tblGrid>
        <w:gridCol w:w="2768"/>
        <w:gridCol w:w="1231"/>
        <w:gridCol w:w="1720"/>
        <w:gridCol w:w="1017"/>
        <w:gridCol w:w="1829"/>
        <w:gridCol w:w="4611"/>
      </w:tblGrid>
      <w:tr w:rsidR="008304AE" w:rsidRPr="005B4339" w14:paraId="532F5A22" w14:textId="77777777" w:rsidTr="00C613C1">
        <w:trPr>
          <w:tblHeader/>
        </w:trPr>
        <w:tc>
          <w:tcPr>
            <w:tcW w:w="0" w:type="auto"/>
            <w:shd w:val="clear" w:color="auto" w:fill="EEECE1" w:themeFill="background2"/>
          </w:tcPr>
          <w:p w14:paraId="3C67305C" w14:textId="77777777" w:rsidR="008304AE" w:rsidRPr="005B4339" w:rsidRDefault="008304AE" w:rsidP="00482E0D">
            <w:pPr>
              <w:pStyle w:val="WDBody"/>
              <w:rPr>
                <w:rFonts w:ascii="Times New Roman" w:hAnsi="Times New Roman"/>
                <w:b/>
                <w:noProof/>
                <w:sz w:val="22"/>
                <w:szCs w:val="22"/>
                <w:lang w:val="en-IE"/>
              </w:rPr>
            </w:pPr>
            <w:r w:rsidRPr="005B4339">
              <w:rPr>
                <w:rFonts w:ascii="Times New Roman" w:hAnsi="Times New Roman"/>
                <w:b/>
                <w:noProof/>
                <w:sz w:val="22"/>
                <w:szCs w:val="22"/>
                <w:lang w:val="en-IE"/>
              </w:rPr>
              <w:t>Policy option and measure</w:t>
            </w:r>
          </w:p>
        </w:tc>
        <w:tc>
          <w:tcPr>
            <w:tcW w:w="0" w:type="auto"/>
            <w:shd w:val="clear" w:color="auto" w:fill="EEECE1" w:themeFill="background2"/>
          </w:tcPr>
          <w:p w14:paraId="5DB70566" w14:textId="77777777" w:rsidR="008304AE" w:rsidRPr="005B4339" w:rsidRDefault="008304AE" w:rsidP="00482E0D">
            <w:pPr>
              <w:pStyle w:val="WDBody"/>
              <w:jc w:val="center"/>
              <w:rPr>
                <w:rFonts w:ascii="Times New Roman" w:hAnsi="Times New Roman"/>
                <w:b/>
                <w:noProof/>
                <w:sz w:val="22"/>
                <w:szCs w:val="22"/>
                <w:lang w:val="en-IE"/>
              </w:rPr>
            </w:pPr>
            <w:r w:rsidRPr="005B4339">
              <w:rPr>
                <w:rFonts w:ascii="Times New Roman" w:hAnsi="Times New Roman"/>
                <w:b/>
                <w:noProof/>
                <w:sz w:val="22"/>
                <w:szCs w:val="22"/>
                <w:lang w:val="en-IE"/>
              </w:rPr>
              <w:t>Economic impacts</w:t>
            </w:r>
          </w:p>
        </w:tc>
        <w:tc>
          <w:tcPr>
            <w:tcW w:w="0" w:type="auto"/>
            <w:shd w:val="clear" w:color="auto" w:fill="EEECE1" w:themeFill="background2"/>
          </w:tcPr>
          <w:p w14:paraId="5156FAF0" w14:textId="77777777" w:rsidR="008304AE" w:rsidRPr="005B4339" w:rsidRDefault="008304AE" w:rsidP="00482E0D">
            <w:pPr>
              <w:pStyle w:val="WDBody"/>
              <w:jc w:val="center"/>
              <w:rPr>
                <w:rFonts w:ascii="Times New Roman" w:hAnsi="Times New Roman"/>
                <w:b/>
                <w:noProof/>
                <w:sz w:val="22"/>
                <w:szCs w:val="22"/>
                <w:lang w:val="en-IE"/>
              </w:rPr>
            </w:pPr>
            <w:r w:rsidRPr="005B4339">
              <w:rPr>
                <w:rFonts w:ascii="Times New Roman" w:hAnsi="Times New Roman"/>
                <w:b/>
                <w:noProof/>
                <w:sz w:val="22"/>
                <w:szCs w:val="22"/>
                <w:lang w:val="en-IE"/>
              </w:rPr>
              <w:t>Environmental impacts</w:t>
            </w:r>
          </w:p>
        </w:tc>
        <w:tc>
          <w:tcPr>
            <w:tcW w:w="0" w:type="auto"/>
            <w:shd w:val="clear" w:color="auto" w:fill="EEECE1" w:themeFill="background2"/>
          </w:tcPr>
          <w:p w14:paraId="10E59DB6" w14:textId="77777777" w:rsidR="008304AE" w:rsidRPr="005B4339" w:rsidRDefault="008304AE" w:rsidP="00482E0D">
            <w:pPr>
              <w:pStyle w:val="WDBody"/>
              <w:jc w:val="center"/>
              <w:rPr>
                <w:rFonts w:ascii="Times New Roman" w:hAnsi="Times New Roman"/>
                <w:b/>
                <w:noProof/>
                <w:sz w:val="22"/>
                <w:szCs w:val="22"/>
                <w:lang w:val="en-IE"/>
              </w:rPr>
            </w:pPr>
            <w:r w:rsidRPr="005B4339">
              <w:rPr>
                <w:rFonts w:ascii="Times New Roman" w:hAnsi="Times New Roman"/>
                <w:b/>
                <w:noProof/>
                <w:sz w:val="22"/>
                <w:szCs w:val="22"/>
                <w:lang w:val="en-IE"/>
              </w:rPr>
              <w:t>Social impacts</w:t>
            </w:r>
          </w:p>
        </w:tc>
        <w:tc>
          <w:tcPr>
            <w:tcW w:w="1829" w:type="dxa"/>
            <w:shd w:val="clear" w:color="auto" w:fill="EEECE1" w:themeFill="background2"/>
          </w:tcPr>
          <w:p w14:paraId="52C58E1F" w14:textId="2DD741A5" w:rsidR="00EE4421" w:rsidRPr="005B4339" w:rsidRDefault="00EE4421" w:rsidP="00482E0D">
            <w:pPr>
              <w:pStyle w:val="WDBody"/>
              <w:rPr>
                <w:rFonts w:ascii="Times New Roman" w:hAnsi="Times New Roman"/>
                <w:b/>
                <w:noProof/>
                <w:sz w:val="22"/>
                <w:lang w:val="en-IE"/>
              </w:rPr>
            </w:pPr>
            <w:r w:rsidRPr="005B4339">
              <w:rPr>
                <w:rFonts w:ascii="Times New Roman" w:hAnsi="Times New Roman"/>
                <w:b/>
                <w:noProof/>
                <w:sz w:val="22"/>
                <w:lang w:val="en-IE"/>
              </w:rPr>
              <w:t>Competitiveness impacts</w:t>
            </w:r>
          </w:p>
        </w:tc>
        <w:tc>
          <w:tcPr>
            <w:tcW w:w="4611" w:type="dxa"/>
            <w:shd w:val="clear" w:color="auto" w:fill="EEECE1" w:themeFill="background2"/>
          </w:tcPr>
          <w:p w14:paraId="53DFFE65" w14:textId="77777777" w:rsidR="008304AE" w:rsidRPr="005B4339" w:rsidRDefault="008304AE" w:rsidP="00482E0D">
            <w:pPr>
              <w:pStyle w:val="WDBody"/>
              <w:rPr>
                <w:rFonts w:ascii="Times New Roman" w:hAnsi="Times New Roman"/>
                <w:b/>
                <w:noProof/>
                <w:sz w:val="22"/>
                <w:szCs w:val="22"/>
                <w:lang w:val="en-IE"/>
              </w:rPr>
            </w:pPr>
            <w:r w:rsidRPr="005B4339">
              <w:rPr>
                <w:rFonts w:ascii="Times New Roman" w:hAnsi="Times New Roman"/>
                <w:b/>
                <w:noProof/>
                <w:sz w:val="22"/>
                <w:szCs w:val="22"/>
                <w:lang w:val="en-IE"/>
              </w:rPr>
              <w:t>Comments</w:t>
            </w:r>
          </w:p>
        </w:tc>
      </w:tr>
      <w:tr w:rsidR="008304AE" w:rsidRPr="005B4339" w14:paraId="062A7D38" w14:textId="77777777" w:rsidTr="00EE4421">
        <w:tc>
          <w:tcPr>
            <w:tcW w:w="0" w:type="auto"/>
            <w:gridSpan w:val="6"/>
            <w:shd w:val="clear" w:color="auto" w:fill="EEECE1" w:themeFill="background2"/>
          </w:tcPr>
          <w:p w14:paraId="5AA1A457" w14:textId="77777777" w:rsidR="008304AE" w:rsidRPr="005B4339" w:rsidRDefault="008304AE" w:rsidP="00482E0D">
            <w:pPr>
              <w:pStyle w:val="WDBody"/>
              <w:jc w:val="center"/>
              <w:rPr>
                <w:rFonts w:ascii="Times New Roman" w:hAnsi="Times New Roman"/>
                <w:b/>
                <w:noProof/>
                <w:sz w:val="22"/>
                <w:szCs w:val="22"/>
                <w:lang w:val="en-IE"/>
              </w:rPr>
            </w:pPr>
            <w:r w:rsidRPr="005B4339">
              <w:rPr>
                <w:rFonts w:ascii="Times New Roman" w:hAnsi="Times New Roman"/>
                <w:b/>
                <w:noProof/>
                <w:sz w:val="22"/>
                <w:szCs w:val="22"/>
                <w:lang w:val="en-IE"/>
              </w:rPr>
              <w:t>Option 1 - Supporting Member States to implement and enforce current WFD provisions.</w:t>
            </w:r>
          </w:p>
        </w:tc>
      </w:tr>
      <w:tr w:rsidR="008304AE" w:rsidRPr="005B4339" w14:paraId="4A48D7F2" w14:textId="77777777" w:rsidTr="00C613C1">
        <w:tc>
          <w:tcPr>
            <w:tcW w:w="0" w:type="auto"/>
            <w:vAlign w:val="center"/>
          </w:tcPr>
          <w:p w14:paraId="27127821"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1.1 – Clarifying definitions in relation to textiles and textile waste</w:t>
            </w:r>
          </w:p>
        </w:tc>
        <w:tc>
          <w:tcPr>
            <w:tcW w:w="0" w:type="auto"/>
            <w:vAlign w:val="center"/>
          </w:tcPr>
          <w:p w14:paraId="0A9758F7"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6B3CC070"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4AF782F"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2C94E210" w14:textId="33277E30" w:rsidR="00F86B90" w:rsidRPr="005B4339" w:rsidRDefault="00F86B90" w:rsidP="00F86B90">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w:t>
            </w:r>
          </w:p>
        </w:tc>
        <w:tc>
          <w:tcPr>
            <w:tcW w:w="4611" w:type="dxa"/>
          </w:tcPr>
          <w:p w14:paraId="2AA26157" w14:textId="49866827"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Measure 1.1 is split into </w:t>
            </w:r>
            <w:r w:rsidR="00506A53" w:rsidRPr="005B4339">
              <w:rPr>
                <w:rFonts w:ascii="Times New Roman" w:hAnsi="Times New Roman"/>
                <w:noProof/>
                <w:sz w:val="22"/>
                <w:szCs w:val="22"/>
                <w:lang w:val="en-IE"/>
              </w:rPr>
              <w:t xml:space="preserve">two </w:t>
            </w:r>
            <w:r w:rsidRPr="005B4339">
              <w:rPr>
                <w:rFonts w:ascii="Times New Roman" w:hAnsi="Times New Roman"/>
                <w:noProof/>
                <w:sz w:val="22"/>
                <w:szCs w:val="22"/>
                <w:lang w:val="en-IE"/>
              </w:rPr>
              <w:t>sub-options</w:t>
            </w:r>
            <w:r w:rsidR="467B3169" w:rsidRPr="005B4339">
              <w:rPr>
                <w:rFonts w:ascii="Times New Roman" w:hAnsi="Times New Roman"/>
                <w:noProof/>
                <w:sz w:val="22"/>
                <w:szCs w:val="22"/>
                <w:lang w:val="en-IE"/>
              </w:rPr>
              <w:t>, the first</w:t>
            </w:r>
            <w:r w:rsidRPr="005B4339">
              <w:rPr>
                <w:rFonts w:ascii="Times New Roman" w:hAnsi="Times New Roman"/>
                <w:noProof/>
                <w:sz w:val="22"/>
                <w:szCs w:val="22"/>
                <w:lang w:val="en-IE"/>
              </w:rPr>
              <w:t xml:space="preserve"> </w:t>
            </w:r>
            <w:r w:rsidR="00506A53" w:rsidRPr="005B4339">
              <w:rPr>
                <w:rFonts w:ascii="Times New Roman" w:hAnsi="Times New Roman"/>
                <w:noProof/>
                <w:sz w:val="22"/>
                <w:szCs w:val="22"/>
                <w:lang w:val="en-IE"/>
              </w:rPr>
              <w:t>of which has three alter</w:t>
            </w:r>
            <w:r w:rsidR="00554583" w:rsidRPr="005B4339">
              <w:rPr>
                <w:rFonts w:ascii="Times New Roman" w:hAnsi="Times New Roman"/>
                <w:noProof/>
                <w:sz w:val="22"/>
                <w:szCs w:val="22"/>
                <w:lang w:val="en-IE"/>
              </w:rPr>
              <w:t xml:space="preserve">natives to </w:t>
            </w:r>
            <w:r w:rsidRPr="005B4339">
              <w:rPr>
                <w:rFonts w:ascii="Times New Roman" w:hAnsi="Times New Roman"/>
                <w:noProof/>
                <w:sz w:val="22"/>
                <w:szCs w:val="22"/>
                <w:lang w:val="en-IE"/>
              </w:rPr>
              <w:t xml:space="preserve">address the scope in relation to textiles and </w:t>
            </w:r>
            <w:r w:rsidR="00554583" w:rsidRPr="005B4339">
              <w:rPr>
                <w:rFonts w:ascii="Times New Roman" w:hAnsi="Times New Roman"/>
                <w:noProof/>
                <w:sz w:val="22"/>
                <w:szCs w:val="22"/>
                <w:lang w:val="en-IE"/>
              </w:rPr>
              <w:t xml:space="preserve">second of which has </w:t>
            </w:r>
            <w:r w:rsidR="2B69CDE6" w:rsidRPr="005B4339">
              <w:rPr>
                <w:rFonts w:ascii="Times New Roman" w:hAnsi="Times New Roman"/>
                <w:noProof/>
                <w:sz w:val="22"/>
                <w:szCs w:val="22"/>
                <w:lang w:val="en-IE"/>
              </w:rPr>
              <w:t xml:space="preserve">two </w:t>
            </w:r>
            <w:r w:rsidR="00554583" w:rsidRPr="005B4339">
              <w:rPr>
                <w:rFonts w:ascii="Times New Roman" w:hAnsi="Times New Roman"/>
                <w:noProof/>
                <w:sz w:val="22"/>
                <w:szCs w:val="22"/>
                <w:lang w:val="en-IE"/>
              </w:rPr>
              <w:t>alternatives to</w:t>
            </w:r>
            <w:r w:rsidRPr="005B4339">
              <w:rPr>
                <w:rFonts w:ascii="Times New Roman" w:hAnsi="Times New Roman"/>
                <w:noProof/>
                <w:sz w:val="22"/>
                <w:szCs w:val="22"/>
                <w:lang w:val="en-IE"/>
              </w:rPr>
              <w:t xml:space="preserve"> address the definition of textile waste.</w:t>
            </w:r>
            <w:r w:rsidR="13698762" w:rsidRPr="005B4339">
              <w:rPr>
                <w:rFonts w:ascii="Times New Roman" w:hAnsi="Times New Roman"/>
                <w:noProof/>
                <w:sz w:val="22"/>
                <w:szCs w:val="22"/>
                <w:lang w:val="en-IE"/>
              </w:rPr>
              <w:t xml:space="preserve"> </w:t>
            </w:r>
          </w:p>
          <w:p w14:paraId="10F854E4" w14:textId="72B04141" w:rsidR="00FD1FEF" w:rsidRPr="005B4339" w:rsidRDefault="00554583" w:rsidP="00FD1FEF">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Alternative</w:t>
            </w:r>
            <w:r w:rsidR="00FA3971" w:rsidRPr="005B4339">
              <w:rPr>
                <w:rFonts w:ascii="Times New Roman" w:hAnsi="Times New Roman"/>
                <w:noProof/>
                <w:sz w:val="22"/>
                <w:szCs w:val="22"/>
                <w:lang w:val="en-IE"/>
              </w:rPr>
              <w:t>s</w:t>
            </w:r>
            <w:r w:rsidR="008304AE" w:rsidRPr="005B4339">
              <w:rPr>
                <w:rFonts w:ascii="Times New Roman" w:hAnsi="Times New Roman"/>
                <w:noProof/>
                <w:sz w:val="22"/>
                <w:szCs w:val="22"/>
                <w:lang w:val="en-IE"/>
              </w:rPr>
              <w:t xml:space="preserve"> 2 and 3 in relation to the definition of textiles would offer greater clarity and a greater scope for admin burden reduction in comparison to sub-option 1.</w:t>
            </w:r>
            <w:r w:rsidR="00FD1FEF" w:rsidRPr="005B4339">
              <w:rPr>
                <w:rFonts w:ascii="Times New Roman" w:hAnsi="Times New Roman"/>
                <w:noProof/>
                <w:sz w:val="22"/>
                <w:szCs w:val="22"/>
                <w:lang w:val="en-IE"/>
              </w:rPr>
              <w:t xml:space="preserve"> An increase in scope under sub-option 1 would also increase costs of management of textile wastes, with the greatest impact on price competitiveness falling on those Member States that have taken little action to address textile wastes to date that would have an even broader task to comply.</w:t>
            </w:r>
          </w:p>
          <w:p w14:paraId="327D1E46" w14:textId="245CD876" w:rsidR="008304AE" w:rsidRPr="005B4339" w:rsidRDefault="00FD1FEF"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All three definition alternatives would incentivise research and development to manage the textiles listed as well as providing potential feedstocks of recycled textile materials reducing reliance on third country imports of such materials in future.</w:t>
            </w:r>
          </w:p>
          <w:p w14:paraId="4C1B318D" w14:textId="7D58A0BB" w:rsidR="008304AE" w:rsidRPr="005B4339" w:rsidRDefault="1A8C6AA5"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With regard to the definition of waste, two sub-options are considered. The first one</w:t>
            </w:r>
            <w:r w:rsidR="008304AE" w:rsidRPr="005B4339">
              <w:rPr>
                <w:rFonts w:ascii="Times New Roman" w:hAnsi="Times New Roman"/>
                <w:noProof/>
                <w:sz w:val="22"/>
                <w:szCs w:val="22"/>
                <w:lang w:val="en-IE"/>
              </w:rPr>
              <w:t xml:space="preserve"> would possibly lead to a negative economic impact for producers and waste managers as a result of deterioration in the quality to textiles collected as well as increasing administrative costs for a minority of collectors.</w:t>
            </w:r>
            <w:r w:rsidR="63A81CB3" w:rsidRPr="005B4339">
              <w:rPr>
                <w:rFonts w:ascii="Times New Roman" w:hAnsi="Times New Roman"/>
                <w:noProof/>
                <w:sz w:val="22"/>
                <w:szCs w:val="22"/>
                <w:lang w:val="en-IE"/>
              </w:rPr>
              <w:t xml:space="preserve"> The second s</w:t>
            </w:r>
            <w:r w:rsidR="2B69CDE6" w:rsidRPr="005B4339">
              <w:rPr>
                <w:rFonts w:ascii="Times New Roman" w:hAnsi="Times New Roman"/>
                <w:noProof/>
                <w:sz w:val="22"/>
                <w:szCs w:val="22"/>
                <w:lang w:val="en-IE"/>
              </w:rPr>
              <w:t xml:space="preserve">ub-option </w:t>
            </w:r>
            <w:r w:rsidR="008304AE" w:rsidRPr="005B4339">
              <w:rPr>
                <w:rFonts w:ascii="Times New Roman" w:hAnsi="Times New Roman"/>
                <w:noProof/>
                <w:sz w:val="22"/>
                <w:szCs w:val="22"/>
                <w:lang w:val="en-IE"/>
              </w:rPr>
              <w:t xml:space="preserve">would lessen environmental controls compared to </w:t>
            </w:r>
            <w:r w:rsidR="008304AE" w:rsidRPr="005B4339">
              <w:rPr>
                <w:rFonts w:ascii="Times New Roman" w:hAnsi="Times New Roman"/>
                <w:noProof/>
                <w:sz w:val="22"/>
                <w:szCs w:val="22"/>
                <w:lang w:val="en-IE"/>
              </w:rPr>
              <w:lastRenderedPageBreak/>
              <w:t>the baseline.</w:t>
            </w:r>
          </w:p>
        </w:tc>
      </w:tr>
      <w:tr w:rsidR="008304AE" w:rsidRPr="005B4339" w14:paraId="2CFAB28E" w14:textId="77777777" w:rsidTr="00C613C1">
        <w:tc>
          <w:tcPr>
            <w:tcW w:w="0" w:type="auto"/>
            <w:vAlign w:val="center"/>
          </w:tcPr>
          <w:p w14:paraId="67914411"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lastRenderedPageBreak/>
              <w:t>Measure 1.2 - Adopting EU wide waste prevention indicators for textiles</w:t>
            </w:r>
          </w:p>
        </w:tc>
        <w:tc>
          <w:tcPr>
            <w:tcW w:w="0" w:type="auto"/>
            <w:vAlign w:val="center"/>
          </w:tcPr>
          <w:p w14:paraId="4AED2242"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06480EE7"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5706DFE"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648CB15A" w14:textId="587F020F" w:rsidR="00EE4421" w:rsidRPr="005B4339" w:rsidRDefault="00FD1FEF" w:rsidP="00FD1FEF">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w:t>
            </w:r>
          </w:p>
        </w:tc>
        <w:tc>
          <w:tcPr>
            <w:tcW w:w="4611" w:type="dxa"/>
          </w:tcPr>
          <w:p w14:paraId="153853FC" w14:textId="64C38DDF" w:rsidR="008304AE" w:rsidRPr="005B4339" w:rsidRDefault="00626CCB"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reduction of textile waste generation is strongly linked to waste prevention at the top of the waste hierarchy.  The success of this measure is dependent on the information available and the reporting by Member States but would set prevention indicators to gauge efforts across the EU in textile waste prevention as week as to assist in the identification of best practices in individual Member States that could be applied in others.</w:t>
            </w:r>
            <w:r w:rsidR="00D25417" w:rsidRPr="005B4339">
              <w:rPr>
                <w:rFonts w:ascii="Times New Roman" w:hAnsi="Times New Roman"/>
                <w:noProof/>
                <w:sz w:val="22"/>
                <w:szCs w:val="22"/>
                <w:lang w:val="en-IE"/>
              </w:rPr>
              <w:t xml:space="preserve"> Additionally, support to the reuse and repair sectors and a reduction in imports of textiles in the future would provide a boost to </w:t>
            </w:r>
            <w:r w:rsidR="006D344A" w:rsidRPr="005B4339">
              <w:rPr>
                <w:rFonts w:ascii="Times New Roman" w:hAnsi="Times New Roman"/>
                <w:noProof/>
                <w:sz w:val="22"/>
                <w:szCs w:val="22"/>
                <w:lang w:val="en-IE"/>
              </w:rPr>
              <w:t>EU</w:t>
            </w:r>
            <w:r w:rsidR="00D25417" w:rsidRPr="005B4339">
              <w:rPr>
                <w:rFonts w:ascii="Times New Roman" w:hAnsi="Times New Roman"/>
                <w:noProof/>
                <w:sz w:val="22"/>
                <w:szCs w:val="22"/>
                <w:lang w:val="en-IE"/>
              </w:rPr>
              <w:t xml:space="preserve"> competitiveness.</w:t>
            </w:r>
          </w:p>
        </w:tc>
      </w:tr>
      <w:tr w:rsidR="008304AE" w:rsidRPr="005B4339" w14:paraId="4E050127" w14:textId="77777777" w:rsidTr="00C613C1">
        <w:tc>
          <w:tcPr>
            <w:tcW w:w="0" w:type="auto"/>
            <w:vAlign w:val="center"/>
          </w:tcPr>
          <w:p w14:paraId="28A0BA6B"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1.3 – Providing Member States with guidance and support in dialogue on the management of textile waste between actors involved</w:t>
            </w:r>
          </w:p>
        </w:tc>
        <w:tc>
          <w:tcPr>
            <w:tcW w:w="0" w:type="auto"/>
            <w:vAlign w:val="center"/>
          </w:tcPr>
          <w:p w14:paraId="391C63A1"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126D947"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A6A3EB4"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67918253" w14:textId="4B16167E" w:rsidR="00EE4421" w:rsidRPr="005B4339" w:rsidRDefault="00D25417" w:rsidP="00FD1FEF">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w:t>
            </w:r>
          </w:p>
        </w:tc>
        <w:tc>
          <w:tcPr>
            <w:tcW w:w="4611" w:type="dxa"/>
          </w:tcPr>
          <w:p w14:paraId="31DDE885"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The measure would imply resourcing and related costs to develop guidance </w:t>
            </w:r>
            <w:r w:rsidR="4133544E" w:rsidRPr="005B4339">
              <w:rPr>
                <w:rFonts w:ascii="Times New Roman" w:hAnsi="Times New Roman"/>
                <w:noProof/>
                <w:sz w:val="22"/>
                <w:szCs w:val="22"/>
                <w:lang w:val="en-IE"/>
              </w:rPr>
              <w:t>and recommendation</w:t>
            </w:r>
            <w:r w:rsidR="2B69CDE6" w:rsidRPr="005B4339">
              <w:rPr>
                <w:rFonts w:ascii="Times New Roman" w:hAnsi="Times New Roman"/>
                <w:noProof/>
                <w:sz w:val="22"/>
                <w:szCs w:val="22"/>
                <w:lang w:val="en-IE"/>
              </w:rPr>
              <w:t xml:space="preserve"> </w:t>
            </w:r>
            <w:r w:rsidRPr="005B4339">
              <w:rPr>
                <w:rFonts w:ascii="Times New Roman" w:hAnsi="Times New Roman"/>
                <w:noProof/>
                <w:sz w:val="22"/>
                <w:szCs w:val="22"/>
                <w:lang w:val="en-IE"/>
              </w:rPr>
              <w:t xml:space="preserve">as well as to operate a stakeholder platform for dialogue between stakeholders. </w:t>
            </w:r>
            <w:r w:rsidR="007B722C" w:rsidRPr="005B4339">
              <w:rPr>
                <w:rFonts w:ascii="Times New Roman" w:hAnsi="Times New Roman"/>
                <w:noProof/>
                <w:sz w:val="22"/>
                <w:szCs w:val="22"/>
                <w:lang w:val="en-IE"/>
              </w:rPr>
              <w:t xml:space="preserve">The cost of guidance is 135 000 </w:t>
            </w:r>
            <w:r w:rsidR="00E94960" w:rsidRPr="005B4339">
              <w:rPr>
                <w:rFonts w:ascii="Times New Roman" w:hAnsi="Times New Roman"/>
                <w:noProof/>
                <w:sz w:val="22"/>
                <w:szCs w:val="22"/>
                <w:lang w:val="en-IE"/>
              </w:rPr>
              <w:t xml:space="preserve">euro </w:t>
            </w:r>
            <w:r w:rsidR="007B722C" w:rsidRPr="005B4339">
              <w:rPr>
                <w:rFonts w:ascii="Times New Roman" w:hAnsi="Times New Roman"/>
                <w:noProof/>
                <w:sz w:val="22"/>
                <w:szCs w:val="22"/>
                <w:lang w:val="en-IE"/>
              </w:rPr>
              <w:t>per guidance developed.</w:t>
            </w:r>
            <w:r w:rsidRPr="005B4339">
              <w:rPr>
                <w:rFonts w:ascii="Times New Roman" w:hAnsi="Times New Roman"/>
                <w:noProof/>
                <w:sz w:val="22"/>
                <w:szCs w:val="22"/>
                <w:lang w:val="en-IE"/>
              </w:rPr>
              <w:t xml:space="preserve"> These costs are expected to be outweighed by the economic benefits resulting from these new tools.</w:t>
            </w:r>
          </w:p>
          <w:p w14:paraId="78F444EC" w14:textId="6D3F37F4" w:rsidR="008304AE" w:rsidRPr="005B4339" w:rsidRDefault="00104133"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Impacts of price competitiveness are linked to the possible increases in collection, sorting and treatment with those Member States that currently collect a small share of textile wastes and have little capacity for sorting and treatment impacted with cost impacts falling on the waste management sectors in each of those Member States accordingly. At the same time the measure would improve dynamic competitiveness by </w:t>
            </w:r>
            <w:r w:rsidRPr="005B4339">
              <w:rPr>
                <w:rFonts w:ascii="Times New Roman" w:hAnsi="Times New Roman"/>
                <w:noProof/>
                <w:sz w:val="22"/>
                <w:szCs w:val="22"/>
                <w:lang w:val="en-IE"/>
              </w:rPr>
              <w:lastRenderedPageBreak/>
              <w:t>sharing best practices, as well as increasing reuse and recycling and, thereby, lessening dependence on third countries for textiles and textile products in future.</w:t>
            </w:r>
          </w:p>
        </w:tc>
      </w:tr>
      <w:tr w:rsidR="008304AE" w:rsidRPr="005B4339" w14:paraId="0C942693" w14:textId="77777777" w:rsidTr="00EE4421">
        <w:tc>
          <w:tcPr>
            <w:tcW w:w="0" w:type="auto"/>
            <w:gridSpan w:val="6"/>
            <w:shd w:val="clear" w:color="auto" w:fill="EEECE1" w:themeFill="background2"/>
          </w:tcPr>
          <w:p w14:paraId="0641277A" w14:textId="4E9EABF5" w:rsidR="008304AE" w:rsidRPr="005B4339" w:rsidRDefault="008304AE" w:rsidP="003A0AEA">
            <w:pPr>
              <w:pStyle w:val="WDBody"/>
              <w:spacing w:after="60"/>
              <w:jc w:val="center"/>
              <w:rPr>
                <w:rFonts w:ascii="Times New Roman" w:hAnsi="Times New Roman"/>
                <w:b/>
                <w:noProof/>
                <w:sz w:val="22"/>
                <w:szCs w:val="22"/>
                <w:lang w:val="en-IE"/>
              </w:rPr>
            </w:pPr>
            <w:r w:rsidRPr="005B4339">
              <w:rPr>
                <w:rFonts w:ascii="Times New Roman" w:hAnsi="Times New Roman"/>
                <w:b/>
                <w:noProof/>
                <w:sz w:val="22"/>
                <w:szCs w:val="22"/>
                <w:lang w:val="en-IE"/>
              </w:rPr>
              <w:lastRenderedPageBreak/>
              <w:t>Option 2 – Proposing additional measures to align waste management to the waste hierarchy.</w:t>
            </w:r>
          </w:p>
        </w:tc>
      </w:tr>
      <w:tr w:rsidR="008304AE" w:rsidRPr="005B4339" w14:paraId="0C8E51B5" w14:textId="77777777" w:rsidTr="00C613C1">
        <w:tc>
          <w:tcPr>
            <w:tcW w:w="0" w:type="auto"/>
          </w:tcPr>
          <w:p w14:paraId="2A98922C" w14:textId="5F71ABFA"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2.</w:t>
            </w:r>
            <w:r w:rsidR="19A32B60" w:rsidRPr="005B4339">
              <w:rPr>
                <w:rFonts w:ascii="Times New Roman" w:hAnsi="Times New Roman"/>
                <w:b/>
                <w:noProof/>
                <w:sz w:val="22"/>
                <w:szCs w:val="22"/>
                <w:lang w:val="en-IE"/>
              </w:rPr>
              <w:t>5</w:t>
            </w:r>
            <w:r w:rsidRPr="005B4339">
              <w:rPr>
                <w:rFonts w:ascii="Times New Roman" w:hAnsi="Times New Roman"/>
                <w:b/>
                <w:noProof/>
                <w:sz w:val="22"/>
                <w:szCs w:val="22"/>
                <w:lang w:val="en-IE"/>
              </w:rPr>
              <w:t xml:space="preserve"> – Setting sorting obligations for separately collected textiles and textiles waste</w:t>
            </w:r>
          </w:p>
        </w:tc>
        <w:tc>
          <w:tcPr>
            <w:tcW w:w="0" w:type="auto"/>
            <w:vAlign w:val="center"/>
          </w:tcPr>
          <w:p w14:paraId="3A2C6160"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53A06CFA"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4C818923"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50D1C0B1" w14:textId="3544D14B" w:rsidR="00EE4421" w:rsidRPr="005B4339" w:rsidRDefault="009B3BC8" w:rsidP="00104133">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w:t>
            </w:r>
          </w:p>
        </w:tc>
        <w:tc>
          <w:tcPr>
            <w:tcW w:w="4611" w:type="dxa"/>
          </w:tcPr>
          <w:p w14:paraId="2BD3F9CA"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There would be additional </w:t>
            </w:r>
            <w:r w:rsidR="00ED6FEA" w:rsidRPr="005B4339">
              <w:rPr>
                <w:rFonts w:ascii="Times New Roman" w:hAnsi="Times New Roman"/>
                <w:noProof/>
                <w:sz w:val="22"/>
                <w:szCs w:val="22"/>
                <w:lang w:val="en-IE"/>
              </w:rPr>
              <w:t xml:space="preserve">recovery of the value of from textile wastes of up to 533 million euro for reuse and 117 million euro for recycling per year.  However, there </w:t>
            </w:r>
            <w:r w:rsidR="2B69CDE6" w:rsidRPr="005B4339">
              <w:rPr>
                <w:rFonts w:ascii="Times New Roman" w:hAnsi="Times New Roman"/>
                <w:noProof/>
                <w:sz w:val="22"/>
                <w:szCs w:val="22"/>
                <w:lang w:val="en-IE"/>
              </w:rPr>
              <w:t xml:space="preserve">would be additional </w:t>
            </w:r>
            <w:r w:rsidRPr="005B4339">
              <w:rPr>
                <w:rFonts w:ascii="Times New Roman" w:hAnsi="Times New Roman"/>
                <w:noProof/>
                <w:sz w:val="22"/>
                <w:szCs w:val="22"/>
                <w:lang w:val="en-IE"/>
              </w:rPr>
              <w:t>costs for sorting waste as a result of a sorting obligation</w:t>
            </w:r>
            <w:r w:rsidR="00191F63" w:rsidRPr="005B4339">
              <w:rPr>
                <w:rFonts w:ascii="Times New Roman" w:hAnsi="Times New Roman"/>
                <w:noProof/>
                <w:sz w:val="22"/>
                <w:szCs w:val="22"/>
                <w:lang w:val="en-IE"/>
              </w:rPr>
              <w:t xml:space="preserve"> of </w:t>
            </w:r>
            <w:r w:rsidR="00C20B58" w:rsidRPr="005B4339">
              <w:rPr>
                <w:rFonts w:ascii="Times New Roman" w:hAnsi="Times New Roman"/>
                <w:noProof/>
                <w:sz w:val="22"/>
                <w:szCs w:val="22"/>
                <w:lang w:val="en-IE"/>
              </w:rPr>
              <w:t>913 million</w:t>
            </w:r>
            <w:r w:rsidR="00191F63" w:rsidRPr="005B4339">
              <w:rPr>
                <w:rFonts w:ascii="Times New Roman" w:hAnsi="Times New Roman"/>
                <w:noProof/>
                <w:sz w:val="22"/>
                <w:szCs w:val="22"/>
                <w:lang w:val="en-IE"/>
              </w:rPr>
              <w:t xml:space="preserve"> euro</w:t>
            </w:r>
            <w:r w:rsidR="00C20B58" w:rsidRPr="005B4339">
              <w:rPr>
                <w:rFonts w:ascii="Times New Roman" w:hAnsi="Times New Roman"/>
                <w:noProof/>
                <w:sz w:val="22"/>
                <w:szCs w:val="22"/>
                <w:lang w:val="en-IE"/>
              </w:rPr>
              <w:t xml:space="preserve"> per year</w:t>
            </w:r>
            <w:r w:rsidR="2B69CDE6"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Over 70% of these costs would likely be recovered by the additional value of textiles available for reuse and recycling.  However</w:t>
            </w:r>
            <w:r w:rsidR="1D27F83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impacts would still be overall negative economically. </w:t>
            </w:r>
            <w:r w:rsidR="00D8148B" w:rsidRPr="005B4339">
              <w:rPr>
                <w:rFonts w:ascii="Times New Roman" w:hAnsi="Times New Roman"/>
                <w:noProof/>
                <w:sz w:val="22"/>
                <w:szCs w:val="22"/>
                <w:lang w:val="en-IE"/>
              </w:rPr>
              <w:t>At the same time the environmental impacts of these materials would be averted, most notably in terms of GHG emissions via a reduction of 160 000 tonnes of CO2eq emissions per year whilst providing additional employment of up to 8 740 FTE.</w:t>
            </w:r>
          </w:p>
          <w:p w14:paraId="2076E726" w14:textId="015D3D01" w:rsidR="008304AE" w:rsidRPr="005B4339" w:rsidRDefault="009B3BC8"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largest price competitiveness impacts are likely to be felt in those Member States that have significant levels of collection but low levels of national sorting capacity as the need for additional sorting capacity under this measure potentially drives up competition for the sorting capacity available. At the same time research and innovation in sorting and treatment would be supported by this measure as well as a reduction on reliance on imports of textiles and textile products from third countries.</w:t>
            </w:r>
          </w:p>
        </w:tc>
      </w:tr>
      <w:tr w:rsidR="43823C20" w:rsidRPr="005B4339" w14:paraId="6A2B0839" w14:textId="77777777" w:rsidTr="00C613C1">
        <w:trPr>
          <w:trHeight w:val="300"/>
        </w:trPr>
        <w:tc>
          <w:tcPr>
            <w:tcW w:w="0" w:type="auto"/>
          </w:tcPr>
          <w:p w14:paraId="224DA7CB" w14:textId="4316293A" w:rsidR="14552863" w:rsidRPr="005B4339" w:rsidRDefault="008F2105"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lastRenderedPageBreak/>
              <w:t>Measure 2.</w:t>
            </w:r>
            <w:r w:rsidR="1F446BC2" w:rsidRPr="005B4339">
              <w:rPr>
                <w:rFonts w:ascii="Times New Roman" w:hAnsi="Times New Roman"/>
                <w:b/>
                <w:noProof/>
                <w:sz w:val="22"/>
                <w:szCs w:val="22"/>
                <w:lang w:val="en-IE"/>
              </w:rPr>
              <w:t>6</w:t>
            </w:r>
            <w:r w:rsidR="00443BE9" w:rsidRPr="005B4339">
              <w:rPr>
                <w:rFonts w:ascii="Times New Roman" w:hAnsi="Times New Roman"/>
                <w:b/>
                <w:noProof/>
                <w:sz w:val="22"/>
                <w:szCs w:val="22"/>
                <w:lang w:val="en-IE"/>
              </w:rPr>
              <w:t xml:space="preserve">– adopting end of waste criteria </w:t>
            </w:r>
          </w:p>
        </w:tc>
        <w:tc>
          <w:tcPr>
            <w:tcW w:w="0" w:type="auto"/>
            <w:vAlign w:val="center"/>
          </w:tcPr>
          <w:p w14:paraId="30F7762B" w14:textId="146A73E9" w:rsidR="43823C20" w:rsidRPr="005B4339" w:rsidRDefault="008F2105"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lang w:val="en-IE"/>
              </w:rPr>
              <w:t>+</w:t>
            </w:r>
          </w:p>
        </w:tc>
        <w:tc>
          <w:tcPr>
            <w:tcW w:w="0" w:type="auto"/>
            <w:vAlign w:val="center"/>
          </w:tcPr>
          <w:p w14:paraId="38C1B13E" w14:textId="7B94822B" w:rsidR="43823C20" w:rsidRPr="005B4339" w:rsidRDefault="008F2105"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lang w:val="en-IE"/>
              </w:rPr>
              <w:t>+</w:t>
            </w:r>
          </w:p>
        </w:tc>
        <w:tc>
          <w:tcPr>
            <w:tcW w:w="0" w:type="auto"/>
            <w:vAlign w:val="center"/>
          </w:tcPr>
          <w:p w14:paraId="13E80169" w14:textId="7B68E87C" w:rsidR="43823C20" w:rsidRPr="005B4339" w:rsidRDefault="008F2105"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lang w:val="en-IE"/>
              </w:rPr>
              <w:t>+</w:t>
            </w:r>
          </w:p>
        </w:tc>
        <w:tc>
          <w:tcPr>
            <w:tcW w:w="1829" w:type="dxa"/>
            <w:vAlign w:val="center"/>
          </w:tcPr>
          <w:p w14:paraId="65BEB42C" w14:textId="047C916E" w:rsidR="00EE4421" w:rsidRPr="005B4339" w:rsidRDefault="009B3BC8" w:rsidP="009B3BC8">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w:t>
            </w:r>
          </w:p>
        </w:tc>
        <w:tc>
          <w:tcPr>
            <w:tcW w:w="4611" w:type="dxa"/>
          </w:tcPr>
          <w:p w14:paraId="14204E52" w14:textId="77777777" w:rsidR="00EE4421" w:rsidRPr="005B4339" w:rsidRDefault="00E87BD2"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development of EU wide end of waste criteria will address the issue of inconsistent approaches to how this applies to textiles in different Member States at present.  This should assist in the subsequent reuse market, allowing textiles that have reached end-of-waste to move freely whilst ensuring relevant pre-treatment has taken place to minimise the environmental and social risks of such materials.</w:t>
            </w:r>
          </w:p>
          <w:p w14:paraId="4684E27F" w14:textId="36694EEB" w:rsidR="43823C20" w:rsidRPr="005B4339" w:rsidRDefault="00B50A73"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This measure has the potential to incentivise the repair and reuse market as well as the recycling markets in Member States by potentially allowing easier movements of reusable and recyclable materials that would no longer be categorised as waste in the future whilst reducing the need for imports of textiles and textile products from third countries.</w:t>
            </w:r>
          </w:p>
        </w:tc>
      </w:tr>
      <w:tr w:rsidR="008304AE" w:rsidRPr="005B4339" w14:paraId="3EE5A236" w14:textId="77777777" w:rsidTr="00C613C1">
        <w:tc>
          <w:tcPr>
            <w:tcW w:w="0" w:type="auto"/>
          </w:tcPr>
          <w:p w14:paraId="4AE1495F" w14:textId="09AC14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2.</w:t>
            </w:r>
            <w:r w:rsidR="13E0421E" w:rsidRPr="005B4339">
              <w:rPr>
                <w:rFonts w:ascii="Times New Roman" w:hAnsi="Times New Roman"/>
                <w:b/>
                <w:noProof/>
                <w:sz w:val="22"/>
                <w:szCs w:val="22"/>
                <w:lang w:val="en-IE"/>
              </w:rPr>
              <w:t>8</w:t>
            </w:r>
            <w:r w:rsidRPr="005B4339">
              <w:rPr>
                <w:rFonts w:ascii="Times New Roman" w:hAnsi="Times New Roman"/>
                <w:b/>
                <w:noProof/>
                <w:sz w:val="22"/>
                <w:szCs w:val="22"/>
                <w:lang w:val="en-IE"/>
              </w:rPr>
              <w:t xml:space="preserve">– Setting requirements for </w:t>
            </w:r>
            <w:r w:rsidR="00877006" w:rsidRPr="005B4339">
              <w:rPr>
                <w:rFonts w:ascii="Times New Roman" w:hAnsi="Times New Roman"/>
                <w:b/>
                <w:noProof/>
                <w:sz w:val="22"/>
                <w:szCs w:val="22"/>
                <w:lang w:val="en-IE"/>
              </w:rPr>
              <w:t>the shipment</w:t>
            </w:r>
            <w:r w:rsidR="00DC4B7F" w:rsidRPr="005B4339">
              <w:rPr>
                <w:rFonts w:ascii="Times New Roman" w:hAnsi="Times New Roman"/>
                <w:b/>
                <w:noProof/>
                <w:sz w:val="22"/>
                <w:szCs w:val="22"/>
                <w:lang w:val="en-IE"/>
              </w:rPr>
              <w:t>s</w:t>
            </w:r>
            <w:r w:rsidR="00877006" w:rsidRPr="005B4339">
              <w:rPr>
                <w:rFonts w:ascii="Times New Roman" w:hAnsi="Times New Roman"/>
                <w:b/>
                <w:noProof/>
                <w:sz w:val="22"/>
                <w:szCs w:val="22"/>
                <w:lang w:val="en-IE"/>
              </w:rPr>
              <w:t xml:space="preserve"> of textiles</w:t>
            </w:r>
          </w:p>
        </w:tc>
        <w:tc>
          <w:tcPr>
            <w:tcW w:w="0" w:type="auto"/>
            <w:vAlign w:val="center"/>
          </w:tcPr>
          <w:p w14:paraId="3FC89954"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0DAF00DD"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0DC0CD7E"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3A768A83" w14:textId="4D9EE6A5" w:rsidR="00EE4421" w:rsidRPr="005B4339" w:rsidRDefault="00B50A73" w:rsidP="009B3BC8">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45510075" w14:textId="77777777" w:rsidR="00EE4421" w:rsidRPr="005B4339" w:rsidRDefault="00A073B6"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economic costs largely relate to additional administrative costs related to</w:t>
            </w:r>
            <w:r w:rsidR="0036235C" w:rsidRPr="005B4339">
              <w:rPr>
                <w:rFonts w:ascii="Times New Roman" w:hAnsi="Times New Roman"/>
                <w:noProof/>
                <w:sz w:val="22"/>
                <w:szCs w:val="22"/>
                <w:lang w:val="en-IE"/>
              </w:rPr>
              <w:t xml:space="preserve"> record keeping of 208 euro per operator.</w:t>
            </w:r>
          </w:p>
          <w:p w14:paraId="38981EE2" w14:textId="4F8B61F8" w:rsidR="008304AE" w:rsidRPr="005B4339" w:rsidRDefault="00271308"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Minor price competitiveness impacts are likely to be felt by those Member States that most heavily rely on exports of discarded textiles to third countries.</w:t>
            </w:r>
          </w:p>
        </w:tc>
      </w:tr>
      <w:tr w:rsidR="008304AE" w:rsidRPr="005B4339" w14:paraId="62670D95" w14:textId="77777777" w:rsidTr="00C613C1">
        <w:tc>
          <w:tcPr>
            <w:tcW w:w="0" w:type="auto"/>
          </w:tcPr>
          <w:p w14:paraId="0A8CD0DB" w14:textId="315100C6"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2.</w:t>
            </w:r>
            <w:r w:rsidR="5BBB1986" w:rsidRPr="005B4339">
              <w:rPr>
                <w:rFonts w:ascii="Times New Roman" w:hAnsi="Times New Roman"/>
                <w:b/>
                <w:noProof/>
                <w:sz w:val="22"/>
                <w:szCs w:val="22"/>
                <w:lang w:val="en-IE"/>
              </w:rPr>
              <w:t>9</w:t>
            </w:r>
            <w:r w:rsidRPr="005B4339">
              <w:rPr>
                <w:rFonts w:ascii="Times New Roman" w:hAnsi="Times New Roman"/>
                <w:b/>
                <w:noProof/>
                <w:sz w:val="22"/>
                <w:szCs w:val="22"/>
                <w:lang w:val="en-IE"/>
              </w:rPr>
              <w:t xml:space="preserve"> – Mandating the use of EPR</w:t>
            </w:r>
          </w:p>
        </w:tc>
        <w:tc>
          <w:tcPr>
            <w:tcW w:w="0" w:type="auto"/>
            <w:vAlign w:val="center"/>
          </w:tcPr>
          <w:p w14:paraId="57350FDD"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29AE74DE"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24C62B7D"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506E37AB" w14:textId="3AE2EE25" w:rsidR="00EE4421" w:rsidRPr="005B4339" w:rsidRDefault="00271308" w:rsidP="009B3BC8">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6B996197" w14:textId="77777777"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Economically the measure would increase the costs of </w:t>
            </w:r>
            <w:r w:rsidR="74249CBF" w:rsidRPr="005B4339">
              <w:rPr>
                <w:rFonts w:ascii="Times New Roman" w:hAnsi="Times New Roman"/>
                <w:noProof/>
                <w:sz w:val="22"/>
                <w:szCs w:val="22"/>
                <w:lang w:val="en-IE"/>
              </w:rPr>
              <w:t xml:space="preserve">placing </w:t>
            </w:r>
            <w:r w:rsidRPr="005B4339">
              <w:rPr>
                <w:rFonts w:ascii="Times New Roman" w:hAnsi="Times New Roman"/>
                <w:noProof/>
                <w:sz w:val="22"/>
                <w:szCs w:val="22"/>
                <w:lang w:val="en-IE"/>
              </w:rPr>
              <w:t xml:space="preserve">textile products </w:t>
            </w:r>
            <w:r w:rsidR="19C8C3FB" w:rsidRPr="005B4339">
              <w:rPr>
                <w:rFonts w:ascii="Times New Roman" w:hAnsi="Times New Roman"/>
                <w:noProof/>
                <w:sz w:val="22"/>
                <w:szCs w:val="22"/>
                <w:lang w:val="en-IE"/>
              </w:rPr>
              <w:t xml:space="preserve">on the market </w:t>
            </w:r>
            <w:r w:rsidRPr="005B4339">
              <w:rPr>
                <w:rFonts w:ascii="Times New Roman" w:hAnsi="Times New Roman"/>
                <w:noProof/>
                <w:sz w:val="22"/>
                <w:szCs w:val="22"/>
                <w:lang w:val="en-IE"/>
              </w:rPr>
              <w:t>as a result of the EPR fees applied. Additionally</w:t>
            </w:r>
            <w:r w:rsidR="12838CD6"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costs of application of EPR would disproportionately affect micro-enterprises should they not be excluded from the provisions </w:t>
            </w:r>
            <w:r w:rsidRPr="005B4339">
              <w:rPr>
                <w:rFonts w:ascii="Times New Roman" w:hAnsi="Times New Roman"/>
                <w:noProof/>
                <w:sz w:val="22"/>
                <w:szCs w:val="22"/>
                <w:lang w:val="en-IE"/>
              </w:rPr>
              <w:lastRenderedPageBreak/>
              <w:t>on EPR.  At the same time the measure would enable a playing field across the EU in relation to textiles EPRs</w:t>
            </w:r>
            <w:r w:rsidR="60312094"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would simplify administrative practice</w:t>
            </w:r>
            <w:r w:rsidR="70BB2627"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would result in additional support to the reuse and repair sector as well as the textile recycling sector.  This is the reason for the +/- approach to determining economic impacts.</w:t>
            </w:r>
          </w:p>
          <w:p w14:paraId="56DE41D2" w14:textId="25D13309" w:rsidR="00EE4421" w:rsidRPr="005B4339" w:rsidRDefault="00AF291A"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The total </w:t>
            </w:r>
            <w:r w:rsidR="00697488" w:rsidRPr="005B4339">
              <w:rPr>
                <w:rFonts w:ascii="Times New Roman" w:hAnsi="Times New Roman"/>
                <w:noProof/>
                <w:sz w:val="22"/>
                <w:szCs w:val="22"/>
                <w:lang w:val="en-IE"/>
              </w:rPr>
              <w:t xml:space="preserve">sift in </w:t>
            </w:r>
            <w:r w:rsidR="00A033AF" w:rsidRPr="005B4339">
              <w:rPr>
                <w:rFonts w:ascii="Times New Roman" w:hAnsi="Times New Roman"/>
                <w:noProof/>
                <w:sz w:val="22"/>
                <w:szCs w:val="22"/>
                <w:lang w:val="en-IE"/>
              </w:rPr>
              <w:t xml:space="preserve">costs for effective textile waste management in the EU </w:t>
            </w:r>
            <w:r w:rsidRPr="005B4339">
              <w:rPr>
                <w:rFonts w:ascii="Times New Roman" w:hAnsi="Times New Roman"/>
                <w:noProof/>
                <w:sz w:val="22"/>
                <w:szCs w:val="22"/>
                <w:lang w:val="en-IE"/>
              </w:rPr>
              <w:t>of 2.2. billion euro would also lead to the recovery of value of textiles for reuse of 1.1 billion euro and recycling value of 167 million euro.</w:t>
            </w:r>
          </w:p>
          <w:p w14:paraId="617F0EC9" w14:textId="2A810332" w:rsidR="008304AE" w:rsidRPr="005B4339" w:rsidRDefault="00E0206A"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Impacts of price competitiveness are linked to the shift of the costs of managing textiles at the point of discard in comparison to the status quo with the largest impacts on those Member States that currently lag behind on textile waste management. At the same time, better organised funding can be targeted at repair and recycling markets as well as reductions in the need for imports of textiles and textile products from third countries.</w:t>
            </w:r>
          </w:p>
        </w:tc>
      </w:tr>
      <w:tr w:rsidR="008304AE" w:rsidRPr="005B4339" w14:paraId="5FE1791A" w14:textId="77777777" w:rsidTr="00C613C1">
        <w:tc>
          <w:tcPr>
            <w:tcW w:w="0" w:type="auto"/>
          </w:tcPr>
          <w:p w14:paraId="268101CB" w14:textId="25635E56"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lastRenderedPageBreak/>
              <w:t>Measure 2.</w:t>
            </w:r>
            <w:r w:rsidR="02E7C3C9" w:rsidRPr="005B4339">
              <w:rPr>
                <w:rFonts w:ascii="Times New Roman" w:hAnsi="Times New Roman"/>
                <w:b/>
                <w:noProof/>
                <w:sz w:val="22"/>
                <w:szCs w:val="22"/>
                <w:lang w:val="en-IE"/>
              </w:rPr>
              <w:t>1</w:t>
            </w:r>
            <w:r w:rsidR="2A0DDB9B" w:rsidRPr="005B4339">
              <w:rPr>
                <w:rFonts w:ascii="Times New Roman" w:hAnsi="Times New Roman"/>
                <w:b/>
                <w:noProof/>
                <w:sz w:val="22"/>
                <w:szCs w:val="22"/>
                <w:lang w:val="en-IE"/>
              </w:rPr>
              <w:t>4</w:t>
            </w:r>
            <w:r w:rsidRPr="005B4339">
              <w:rPr>
                <w:rFonts w:ascii="Times New Roman" w:hAnsi="Times New Roman"/>
                <w:b/>
                <w:noProof/>
                <w:sz w:val="22"/>
                <w:szCs w:val="22"/>
                <w:lang w:val="en-IE"/>
              </w:rPr>
              <w:t xml:space="preserve"> – Setting reporting obligations for textiles</w:t>
            </w:r>
          </w:p>
        </w:tc>
        <w:tc>
          <w:tcPr>
            <w:tcW w:w="0" w:type="auto"/>
            <w:vAlign w:val="center"/>
          </w:tcPr>
          <w:p w14:paraId="3E2E9B78"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D0F1274"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6643A708"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047C3E2E" w14:textId="41C7F792" w:rsidR="00EE4421" w:rsidRPr="005B4339" w:rsidRDefault="00E0206A" w:rsidP="009B3BC8">
            <w:pPr>
              <w:pStyle w:val="WDBody"/>
              <w:spacing w:after="120"/>
              <w:jc w:val="center"/>
              <w:rPr>
                <w:rFonts w:ascii="Times New Roman" w:hAnsi="Times New Roman"/>
                <w:noProof/>
                <w:sz w:val="22"/>
                <w:lang w:val="en-IE"/>
              </w:rPr>
            </w:pPr>
            <w:r w:rsidRPr="005B4339">
              <w:rPr>
                <w:rFonts w:ascii="Times New Roman" w:hAnsi="Times New Roman"/>
                <w:noProof/>
                <w:sz w:val="22"/>
                <w:lang w:val="en-IE"/>
              </w:rPr>
              <w:t>NA</w:t>
            </w:r>
          </w:p>
        </w:tc>
        <w:tc>
          <w:tcPr>
            <w:tcW w:w="4611" w:type="dxa"/>
          </w:tcPr>
          <w:p w14:paraId="4C6BD544" w14:textId="41CDEE90"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economic costs relate to additional administrative burden related to new reporting requirements</w:t>
            </w:r>
            <w:r w:rsidR="0099430A" w:rsidRPr="005B4339">
              <w:rPr>
                <w:rFonts w:ascii="Times New Roman" w:hAnsi="Times New Roman"/>
                <w:noProof/>
                <w:sz w:val="22"/>
                <w:szCs w:val="22"/>
                <w:lang w:val="en-IE"/>
              </w:rPr>
              <w:t xml:space="preserve"> </w:t>
            </w:r>
            <w:r w:rsidRPr="005B4339">
              <w:rPr>
                <w:rFonts w:ascii="Times New Roman" w:hAnsi="Times New Roman"/>
                <w:noProof/>
                <w:sz w:val="22"/>
                <w:szCs w:val="22"/>
                <w:lang w:val="en-IE"/>
              </w:rPr>
              <w:t>in particular for businesses that currently report little data in terms of their waste generation</w:t>
            </w:r>
            <w:r w:rsidR="00E64452" w:rsidRPr="005B4339">
              <w:rPr>
                <w:rFonts w:ascii="Times New Roman" w:hAnsi="Times New Roman"/>
                <w:noProof/>
                <w:sz w:val="22"/>
                <w:szCs w:val="22"/>
                <w:lang w:val="en-IE"/>
              </w:rPr>
              <w:t xml:space="preserve"> of €750 000 for the EU overall (508 euro per operator)</w:t>
            </w:r>
            <w:r w:rsidR="2B69CDE6"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At the same time</w:t>
            </w:r>
            <w:r w:rsidR="29F22B01"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it would set a more level playing field for reporting requirements across the EU.</w:t>
            </w:r>
          </w:p>
        </w:tc>
      </w:tr>
      <w:tr w:rsidR="008304AE" w:rsidRPr="005B4339" w14:paraId="75B57A38" w14:textId="77777777" w:rsidTr="00EE4421">
        <w:tc>
          <w:tcPr>
            <w:tcW w:w="0" w:type="auto"/>
            <w:gridSpan w:val="6"/>
            <w:shd w:val="clear" w:color="auto" w:fill="EEECE1" w:themeFill="background2"/>
          </w:tcPr>
          <w:p w14:paraId="67EFCDC2" w14:textId="77777777" w:rsidR="008304AE" w:rsidRPr="005B4339" w:rsidRDefault="008304AE" w:rsidP="003A0AEA">
            <w:pPr>
              <w:pStyle w:val="WDBody"/>
              <w:spacing w:after="60"/>
              <w:jc w:val="center"/>
              <w:rPr>
                <w:rFonts w:ascii="Times New Roman" w:hAnsi="Times New Roman"/>
                <w:b/>
                <w:noProof/>
                <w:color w:val="auto"/>
                <w:sz w:val="24"/>
                <w:szCs w:val="24"/>
                <w:lang w:val="en-IE"/>
              </w:rPr>
            </w:pPr>
            <w:r w:rsidRPr="005B4339">
              <w:rPr>
                <w:rFonts w:ascii="Times New Roman" w:hAnsi="Times New Roman"/>
                <w:b/>
                <w:noProof/>
                <w:color w:val="auto"/>
                <w:sz w:val="24"/>
                <w:szCs w:val="24"/>
                <w:shd w:val="clear" w:color="auto" w:fill="E6E6E6"/>
                <w:lang w:val="en-IE"/>
              </w:rPr>
              <w:lastRenderedPageBreak/>
              <w:t>Option 3 – Prescribing targets and restrictions</w:t>
            </w:r>
          </w:p>
        </w:tc>
      </w:tr>
      <w:tr w:rsidR="008304AE" w:rsidRPr="005B4339" w14:paraId="34113481" w14:textId="77777777" w:rsidTr="00C613C1">
        <w:tc>
          <w:tcPr>
            <w:tcW w:w="0" w:type="auto"/>
          </w:tcPr>
          <w:p w14:paraId="4E1EA204"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3.1 – Setting an EU textile reduction target</w:t>
            </w:r>
          </w:p>
        </w:tc>
        <w:tc>
          <w:tcPr>
            <w:tcW w:w="0" w:type="auto"/>
            <w:vAlign w:val="center"/>
          </w:tcPr>
          <w:p w14:paraId="083A4E0C"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3FD0C6A0"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4760BEAB"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6689F627" w14:textId="243408FA" w:rsidR="00EE4421" w:rsidRPr="005B4339" w:rsidRDefault="00E0206A" w:rsidP="00E0206A">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657F7817" w14:textId="3547B8A7"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The measure would increase the cost of textile waste data collection and reporting that accounts for the negative economic impact.  However</w:t>
            </w:r>
            <w:r w:rsidR="004214D8"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measure would also enable a more level playing field via a common target on textile reduction across the EU resulting a positive economic impact.</w:t>
            </w:r>
          </w:p>
          <w:p w14:paraId="2DBB6AA5"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It is considered at present that setting a target at the EU level is not feasible due to shortcomings in the data presently available.</w:t>
            </w:r>
          </w:p>
          <w:p w14:paraId="662EFF9E" w14:textId="08AEF343" w:rsidR="008304AE" w:rsidRPr="005B4339" w:rsidRDefault="00B50332"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Price competitiveness impacts would generally be dependent upon the level of compliance with the target set, with Member States far behind a target facing the greatest price competitiveness impacts. At the same time, support for research and innovation and reduced reliance on imports from third countries would be likely to result.</w:t>
            </w:r>
          </w:p>
        </w:tc>
      </w:tr>
      <w:tr w:rsidR="008304AE" w:rsidRPr="005B4339" w14:paraId="7A4501DF" w14:textId="77777777" w:rsidTr="00C613C1">
        <w:tc>
          <w:tcPr>
            <w:tcW w:w="0" w:type="auto"/>
          </w:tcPr>
          <w:p w14:paraId="1318061E" w14:textId="5FCA9245"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3.4 -setting a preparation for reuse target for textiles</w:t>
            </w:r>
          </w:p>
        </w:tc>
        <w:tc>
          <w:tcPr>
            <w:tcW w:w="0" w:type="auto"/>
            <w:vAlign w:val="center"/>
          </w:tcPr>
          <w:p w14:paraId="1BAF6ACB"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33A0A292"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3489970D"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67063597" w14:textId="1038784B" w:rsidR="00EE4421" w:rsidRPr="005B4339" w:rsidRDefault="00C613C1" w:rsidP="00E0206A">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1D74A9A9" w14:textId="28E34558"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This measure would carry administrative costs in the development and monitoring of compliance against the preparation for reuse target set.  It would also require additional investment in infrastructure for the collection</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sorting and reuse and repair sectors.  At the same time</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economic value of the textiles otherwise disposed of would be better recovered through increased reuse.</w:t>
            </w:r>
          </w:p>
          <w:p w14:paraId="2B530D50"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It is considered at present that setting a target for preparation for reuse at the EU level is not feasible due to shortcomings in the data presently </w:t>
            </w:r>
            <w:r w:rsidRPr="005B4339">
              <w:rPr>
                <w:rFonts w:ascii="Times New Roman" w:hAnsi="Times New Roman"/>
                <w:noProof/>
                <w:sz w:val="22"/>
                <w:szCs w:val="22"/>
                <w:lang w:val="en-IE"/>
              </w:rPr>
              <w:lastRenderedPageBreak/>
              <w:t>available.</w:t>
            </w:r>
          </w:p>
          <w:p w14:paraId="1F9D8D5E" w14:textId="3BF06A20" w:rsidR="008304AE" w:rsidRPr="005B4339" w:rsidRDefault="00797086"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Price competitiveness impacts would generally be dependent upon the level of compliance with the target set, with Member States far behind a target facing the greatest price competitiveness impacts. At the same time, support for research and innovation and reduced reliance on imports from third countries would be likely to result.</w:t>
            </w:r>
          </w:p>
        </w:tc>
      </w:tr>
      <w:tr w:rsidR="008304AE" w:rsidRPr="005B4339" w14:paraId="2ECC034D" w14:textId="77777777" w:rsidTr="00C613C1">
        <w:tc>
          <w:tcPr>
            <w:tcW w:w="0" w:type="auto"/>
          </w:tcPr>
          <w:p w14:paraId="4465C717" w14:textId="0C36EE4D"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lastRenderedPageBreak/>
              <w:t>Measure 3.5 - Setting a reuse target for textiles</w:t>
            </w:r>
          </w:p>
        </w:tc>
        <w:tc>
          <w:tcPr>
            <w:tcW w:w="0" w:type="auto"/>
            <w:vAlign w:val="center"/>
          </w:tcPr>
          <w:p w14:paraId="0F939998"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2C7826B3"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187169A3"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1C975179" w14:textId="7019512D" w:rsidR="00EE4421" w:rsidRPr="005B4339" w:rsidRDefault="00797086" w:rsidP="00E0206A">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51EE4611" w14:textId="37395A68"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This measure would carry administrative costs in the development and monitoring of compliance against the reuse target set.  It would also require additional investment in infrastructure for the collection</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sorting and reuse and repair sectors.  At the same time</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economic value of the textiles otherwise disposed of would be better recovered through increased reuse.</w:t>
            </w:r>
          </w:p>
          <w:p w14:paraId="64750AF4"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It is considered at present that setting a target for reuse at the EU level is not feasible due to shortcomings in the data presently available.</w:t>
            </w:r>
          </w:p>
          <w:p w14:paraId="3D02C854" w14:textId="79322F65" w:rsidR="008304AE" w:rsidRPr="005B4339" w:rsidRDefault="00797086"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Price competitiveness impacts would generally be dependent upon the level of compliance with the target set, with Member States far behind a target facing the greatest price competitiveness impacts. At the same time, support for research and innovation and reduced reliance on imports from third countries would be likely to result.</w:t>
            </w:r>
          </w:p>
        </w:tc>
      </w:tr>
      <w:tr w:rsidR="008304AE" w:rsidRPr="005B4339" w14:paraId="650D2621" w14:textId="77777777" w:rsidTr="00C613C1">
        <w:tc>
          <w:tcPr>
            <w:tcW w:w="0" w:type="auto"/>
          </w:tcPr>
          <w:p w14:paraId="63A77112"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t>Measure 3.6 - Setting a separate collection target for textiles waste</w:t>
            </w:r>
          </w:p>
        </w:tc>
        <w:tc>
          <w:tcPr>
            <w:tcW w:w="0" w:type="auto"/>
            <w:vAlign w:val="center"/>
          </w:tcPr>
          <w:p w14:paraId="29A9A00C"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6B6DC466"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6D14674D"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6ECF580F" w14:textId="49EE2117" w:rsidR="00EE4421" w:rsidRPr="005B4339" w:rsidRDefault="00797086" w:rsidP="00E0206A">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42CBE4B1" w14:textId="5CCBEA7F"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This measure would carry administrative costs in the development and monitoring of compliance against the collection target set.  It would also require additional investment in infrastructure for </w:t>
            </w:r>
            <w:r w:rsidRPr="005B4339">
              <w:rPr>
                <w:rFonts w:ascii="Times New Roman" w:hAnsi="Times New Roman"/>
                <w:noProof/>
                <w:sz w:val="22"/>
                <w:szCs w:val="22"/>
                <w:lang w:val="en-IE"/>
              </w:rPr>
              <w:lastRenderedPageBreak/>
              <w:t>the collection of textiles with likely increases in sorting</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reuse and recycling infrastructure required a as a result of the additional textiles collected.  At the same time</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economic value of the textiles otherwise disposed of would be better recovered through increased reuse and recycling.</w:t>
            </w:r>
          </w:p>
          <w:p w14:paraId="6EA7FA13"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Given the already existing obligation with regard to separate collection of textiles under Article 11(1) of the existing WFD this target could be set based on the data available.</w:t>
            </w:r>
          </w:p>
          <w:p w14:paraId="23112D8C" w14:textId="3D319407" w:rsidR="008304AE" w:rsidRPr="005B4339" w:rsidRDefault="00F77B0A"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Limited competitiveness impacts were identified for this measure.</w:t>
            </w:r>
          </w:p>
        </w:tc>
      </w:tr>
      <w:tr w:rsidR="008304AE" w:rsidRPr="005B4339" w14:paraId="1FBC4110" w14:textId="77777777" w:rsidTr="00C613C1">
        <w:tc>
          <w:tcPr>
            <w:tcW w:w="0" w:type="auto"/>
          </w:tcPr>
          <w:p w14:paraId="447CAAC3" w14:textId="77777777" w:rsidR="008304AE" w:rsidRPr="005B4339" w:rsidRDefault="008304AE" w:rsidP="003A0AEA">
            <w:pPr>
              <w:pStyle w:val="WDBody"/>
              <w:spacing w:after="120"/>
              <w:rPr>
                <w:rFonts w:ascii="Times New Roman" w:hAnsi="Times New Roman"/>
                <w:b/>
                <w:noProof/>
                <w:sz w:val="22"/>
                <w:szCs w:val="22"/>
                <w:lang w:val="en-IE"/>
              </w:rPr>
            </w:pPr>
            <w:r w:rsidRPr="005B4339">
              <w:rPr>
                <w:rFonts w:ascii="Times New Roman" w:hAnsi="Times New Roman"/>
                <w:b/>
                <w:noProof/>
                <w:sz w:val="22"/>
                <w:szCs w:val="22"/>
                <w:lang w:val="en-IE"/>
              </w:rPr>
              <w:lastRenderedPageBreak/>
              <w:t>Measure 3.8 – Setting a recycling target for textiles</w:t>
            </w:r>
          </w:p>
        </w:tc>
        <w:tc>
          <w:tcPr>
            <w:tcW w:w="0" w:type="auto"/>
            <w:vAlign w:val="center"/>
          </w:tcPr>
          <w:p w14:paraId="7DAFCE75"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5C90539E"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0" w:type="auto"/>
            <w:vAlign w:val="center"/>
          </w:tcPr>
          <w:p w14:paraId="27E4AAA5" w14:textId="77777777" w:rsidR="008304AE" w:rsidRPr="005B4339" w:rsidRDefault="008304AE" w:rsidP="003A0AEA">
            <w:pPr>
              <w:pStyle w:val="WDBody"/>
              <w:spacing w:after="120"/>
              <w:jc w:val="center"/>
              <w:rPr>
                <w:rFonts w:ascii="Times New Roman" w:hAnsi="Times New Roman"/>
                <w:noProof/>
                <w:sz w:val="22"/>
                <w:szCs w:val="22"/>
                <w:lang w:val="en-IE"/>
              </w:rPr>
            </w:pPr>
            <w:r w:rsidRPr="005B4339">
              <w:rPr>
                <w:rFonts w:ascii="Times New Roman" w:hAnsi="Times New Roman"/>
                <w:noProof/>
                <w:sz w:val="22"/>
                <w:szCs w:val="22"/>
                <w:lang w:val="en-IE"/>
              </w:rPr>
              <w:t>+</w:t>
            </w:r>
          </w:p>
        </w:tc>
        <w:tc>
          <w:tcPr>
            <w:tcW w:w="1829" w:type="dxa"/>
            <w:vAlign w:val="center"/>
          </w:tcPr>
          <w:p w14:paraId="36E240E1" w14:textId="4732BEC4" w:rsidR="00EE4421" w:rsidRPr="005B4339" w:rsidRDefault="00357022" w:rsidP="00E0206A">
            <w:pPr>
              <w:pStyle w:val="WDBody"/>
              <w:spacing w:after="120"/>
              <w:jc w:val="center"/>
              <w:rPr>
                <w:rFonts w:ascii="Times New Roman" w:hAnsi="Times New Roman"/>
                <w:noProof/>
                <w:sz w:val="22"/>
                <w:lang w:val="en-IE"/>
              </w:rPr>
            </w:pPr>
            <w:r w:rsidRPr="005B4339">
              <w:rPr>
                <w:rFonts w:ascii="Times New Roman" w:hAnsi="Times New Roman"/>
                <w:noProof/>
                <w:sz w:val="22"/>
                <w:szCs w:val="22"/>
                <w:lang w:val="en-IE"/>
              </w:rPr>
              <w:t>+/-</w:t>
            </w:r>
          </w:p>
        </w:tc>
        <w:tc>
          <w:tcPr>
            <w:tcW w:w="4611" w:type="dxa"/>
          </w:tcPr>
          <w:p w14:paraId="0A73320B" w14:textId="5AAC36B1" w:rsidR="008304AE"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This measure would carry administrative costs in the development and monitoring of compliance against the recycling target set.  It would also require additional investment in infrastructure for the collection</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sorting and recycling sectors.  At the same time</w:t>
            </w:r>
            <w:r w:rsidR="00191F63" w:rsidRPr="005B4339">
              <w:rPr>
                <w:rFonts w:ascii="Times New Roman" w:hAnsi="Times New Roman"/>
                <w:noProof/>
                <w:sz w:val="22"/>
                <w:szCs w:val="22"/>
                <w:lang w:val="en-IE"/>
              </w:rPr>
              <w:t>,</w:t>
            </w:r>
            <w:r w:rsidRPr="005B4339">
              <w:rPr>
                <w:rFonts w:ascii="Times New Roman" w:hAnsi="Times New Roman"/>
                <w:noProof/>
                <w:sz w:val="22"/>
                <w:szCs w:val="22"/>
                <w:lang w:val="en-IE"/>
              </w:rPr>
              <w:t xml:space="preserve"> the economic value of the textiles otherwise disposed of would be better recovered recycling of textiles that are not suitable for reuse.</w:t>
            </w:r>
          </w:p>
          <w:p w14:paraId="53175F03" w14:textId="77777777" w:rsidR="00EE4421" w:rsidRPr="005B4339" w:rsidRDefault="008304AE"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It is considered at present that setting a target for recycling at the EU level is not feasible due to shortcomings in the data presently available</w:t>
            </w:r>
            <w:r w:rsidR="00452EFD" w:rsidRPr="005B4339">
              <w:rPr>
                <w:rFonts w:ascii="Times New Roman" w:hAnsi="Times New Roman"/>
                <w:noProof/>
                <w:sz w:val="22"/>
                <w:szCs w:val="22"/>
                <w:lang w:val="en-IE"/>
              </w:rPr>
              <w:t>.</w:t>
            </w:r>
          </w:p>
          <w:p w14:paraId="00538905" w14:textId="70C9D081" w:rsidR="008304AE" w:rsidRPr="005B4339" w:rsidRDefault="00452EFD" w:rsidP="003A0AEA">
            <w:pPr>
              <w:pStyle w:val="WDBody"/>
              <w:spacing w:after="120"/>
              <w:rPr>
                <w:rFonts w:ascii="Times New Roman" w:hAnsi="Times New Roman"/>
                <w:noProof/>
                <w:sz w:val="22"/>
                <w:szCs w:val="22"/>
                <w:lang w:val="en-IE"/>
              </w:rPr>
            </w:pPr>
            <w:r w:rsidRPr="005B4339">
              <w:rPr>
                <w:rFonts w:ascii="Times New Roman" w:hAnsi="Times New Roman"/>
                <w:noProof/>
                <w:sz w:val="22"/>
                <w:szCs w:val="22"/>
                <w:lang w:val="en-IE"/>
              </w:rPr>
              <w:t xml:space="preserve">Price competitiveness impacts would generally be dependent upon the level of compliance with the target set, with Member States far behind a target facing the greatest price competitiveness impacts. At the same time, support for research </w:t>
            </w:r>
            <w:r w:rsidRPr="005B4339">
              <w:rPr>
                <w:rFonts w:ascii="Times New Roman" w:hAnsi="Times New Roman"/>
                <w:noProof/>
                <w:sz w:val="22"/>
                <w:szCs w:val="22"/>
                <w:lang w:val="en-IE"/>
              </w:rPr>
              <w:lastRenderedPageBreak/>
              <w:t>and innovation and reduced reliance on imports from third countries would be likely to result.</w:t>
            </w:r>
          </w:p>
        </w:tc>
      </w:tr>
    </w:tbl>
    <w:p w14:paraId="0D28DEDD" w14:textId="37B1DC2F" w:rsidR="00962E0B" w:rsidRPr="005B4339" w:rsidRDefault="00962E0B" w:rsidP="00962E0B">
      <w:pPr>
        <w:spacing w:after="120"/>
        <w:rPr>
          <w:i/>
          <w:noProof/>
          <w:lang w:val="en-IE"/>
        </w:rPr>
      </w:pPr>
      <w:bookmarkStart w:id="264" w:name="_Toc133229498"/>
      <w:bookmarkStart w:id="265" w:name="_Toc139032052"/>
      <w:r w:rsidRPr="005B4339">
        <w:rPr>
          <w:i/>
          <w:noProof/>
          <w:lang w:val="en-IE"/>
        </w:rPr>
        <w:lastRenderedPageBreak/>
        <w:t xml:space="preserve">Table </w:t>
      </w:r>
      <w:r w:rsidR="00393DFA">
        <w:rPr>
          <w:i/>
          <w:iCs/>
          <w:noProof/>
        </w:rPr>
        <w:t>36</w:t>
      </w:r>
      <w:r w:rsidRPr="005B4339">
        <w:rPr>
          <w:i/>
          <w:noProof/>
          <w:lang w:val="en-IE"/>
        </w:rPr>
        <w:t xml:space="preserve"> : Overview of the costs and benefits and overall balance of the measures</w:t>
      </w:r>
      <w:bookmarkEnd w:id="264"/>
      <w:bookmarkEnd w:id="265"/>
    </w:p>
    <w:tbl>
      <w:tblPr>
        <w:tblStyle w:val="TableGrid"/>
        <w:tblW w:w="0" w:type="auto"/>
        <w:tblLook w:val="04A0" w:firstRow="1" w:lastRow="0" w:firstColumn="1" w:lastColumn="0" w:noHBand="0" w:noVBand="1"/>
      </w:tblPr>
      <w:tblGrid>
        <w:gridCol w:w="7833"/>
        <w:gridCol w:w="683"/>
        <w:gridCol w:w="905"/>
        <w:gridCol w:w="2079"/>
        <w:gridCol w:w="1676"/>
      </w:tblGrid>
      <w:tr w:rsidR="00E561CE" w:rsidRPr="005B4339" w14:paraId="6EE27A15" w14:textId="77777777" w:rsidTr="00E561CE">
        <w:trPr>
          <w:trHeight w:val="386"/>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656C1E1" w14:textId="77777777" w:rsidR="00E561CE" w:rsidRPr="005B4339" w:rsidRDefault="00E561CE">
            <w:pPr>
              <w:pStyle w:val="WDBody"/>
              <w:spacing w:after="0" w:line="240" w:lineRule="auto"/>
              <w:rPr>
                <w:rFonts w:ascii="Times New Roman" w:hAnsi="Times New Roman"/>
                <w:b/>
                <w:noProof/>
                <w:lang w:val="en-IE"/>
              </w:rPr>
            </w:pPr>
            <w:r w:rsidRPr="005B4339">
              <w:rPr>
                <w:rFonts w:ascii="Times New Roman" w:hAnsi="Times New Roman"/>
                <w:b/>
                <w:noProof/>
                <w:lang w:val="en-IE"/>
              </w:rPr>
              <w:t>Policy option and measure</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958C1C1"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Costs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D0E1467"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Benefits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031A709"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Competitiveness impacts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BE1C22A" w14:textId="6C25105B" w:rsidR="00E561CE" w:rsidRPr="005B4339" w:rsidRDefault="002C4D1F">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Net impacts</w:t>
            </w:r>
          </w:p>
        </w:tc>
      </w:tr>
      <w:tr w:rsidR="00E561CE" w:rsidRPr="005B4339" w14:paraId="1C2721D3" w14:textId="77777777" w:rsidTr="00E561CE">
        <w:tc>
          <w:tcPr>
            <w:tcW w:w="0" w:type="auto"/>
            <w:gridSpan w:val="5"/>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726206"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Option 1 - Supporting Member States to implement and enforce current WFD provisions</w:t>
            </w:r>
          </w:p>
        </w:tc>
      </w:tr>
      <w:tr w:rsidR="00E561CE" w:rsidRPr="005B4339" w14:paraId="080F81F9" w14:textId="77777777" w:rsidTr="00E561CE">
        <w:tc>
          <w:tcPr>
            <w:tcW w:w="0" w:type="auto"/>
            <w:tcBorders>
              <w:top w:val="single" w:sz="4" w:space="0" w:color="auto"/>
              <w:left w:val="single" w:sz="4" w:space="0" w:color="auto"/>
              <w:bottom w:val="single" w:sz="4" w:space="0" w:color="auto"/>
              <w:right w:val="single" w:sz="4" w:space="0" w:color="auto"/>
            </w:tcBorders>
            <w:vAlign w:val="center"/>
            <w:hideMark/>
          </w:tcPr>
          <w:p w14:paraId="2449647C"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1.1 – Clarifying definitions in relation to textiles and textile waste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A0BD4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8B29C5"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E574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F60AF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0E6F2DF3" w14:textId="77777777" w:rsidTr="00E561CE">
        <w:tc>
          <w:tcPr>
            <w:tcW w:w="0" w:type="auto"/>
            <w:tcBorders>
              <w:top w:val="single" w:sz="4" w:space="0" w:color="auto"/>
              <w:left w:val="single" w:sz="4" w:space="0" w:color="auto"/>
              <w:bottom w:val="single" w:sz="4" w:space="0" w:color="auto"/>
              <w:right w:val="single" w:sz="4" w:space="0" w:color="auto"/>
            </w:tcBorders>
            <w:vAlign w:val="center"/>
            <w:hideMark/>
          </w:tcPr>
          <w:p w14:paraId="55F9D192"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1.2 - Adopting EU wide waste prevention indicators for textiles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BE9BD01"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4CFF2"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AA1EB4"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68A42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 but limited</w:t>
            </w:r>
          </w:p>
        </w:tc>
      </w:tr>
      <w:tr w:rsidR="00E561CE" w:rsidRPr="005B4339" w14:paraId="2B9324AA" w14:textId="77777777" w:rsidTr="00E561CE">
        <w:trPr>
          <w:trHeight w:val="537"/>
        </w:trPr>
        <w:tc>
          <w:tcPr>
            <w:tcW w:w="0" w:type="auto"/>
            <w:tcBorders>
              <w:top w:val="single" w:sz="4" w:space="0" w:color="auto"/>
              <w:left w:val="single" w:sz="4" w:space="0" w:color="auto"/>
              <w:bottom w:val="single" w:sz="4" w:space="0" w:color="auto"/>
              <w:right w:val="single" w:sz="4" w:space="0" w:color="auto"/>
            </w:tcBorders>
            <w:vAlign w:val="center"/>
            <w:hideMark/>
          </w:tcPr>
          <w:p w14:paraId="5A428C12"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1.3 – Providing Member States with guidance and support in dialogue on the management of textile waste between actors involved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466F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FF55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3E6F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176B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 but limited</w:t>
            </w:r>
          </w:p>
        </w:tc>
      </w:tr>
      <w:tr w:rsidR="00E561CE" w:rsidRPr="005B4339" w14:paraId="5CAB282F" w14:textId="77777777" w:rsidTr="00E561CE">
        <w:tc>
          <w:tcPr>
            <w:tcW w:w="0" w:type="auto"/>
            <w:gridSpan w:val="5"/>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F268CC"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Option 2 – Proposing additional measures to align waste management to the waste hierarchy</w:t>
            </w:r>
          </w:p>
        </w:tc>
      </w:tr>
      <w:tr w:rsidR="00E561CE" w:rsidRPr="005B4339" w14:paraId="7845B2B9"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2D317741"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2.5 – Setting sorting obligations for separately collected textiles and textiles waste</w:t>
            </w:r>
          </w:p>
        </w:tc>
        <w:tc>
          <w:tcPr>
            <w:tcW w:w="0" w:type="auto"/>
            <w:tcBorders>
              <w:top w:val="single" w:sz="4" w:space="0" w:color="auto"/>
              <w:left w:val="single" w:sz="4" w:space="0" w:color="auto"/>
              <w:bottom w:val="single" w:sz="4" w:space="0" w:color="auto"/>
              <w:right w:val="single" w:sz="4" w:space="0" w:color="auto"/>
            </w:tcBorders>
            <w:vAlign w:val="center"/>
            <w:hideMark/>
          </w:tcPr>
          <w:p w14:paraId="5DB8CCD5"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6E784"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93C682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7478A8"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28AB7C53"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24E6606A"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2.6 – Adopting end of waste criteria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D8A11"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6738F"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C166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355FDD"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218810D8"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55CD4A3A"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2.8 – Setting requirements for the shipments of textiles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3FA5774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CA678"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EB29BA"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8ACA022"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5C306C74"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7BFAF5CC"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2.9 – Mandating the use of EPR</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4905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13AFB"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09AE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47DF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26DE8AE1"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48BD792E"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2.14 – Setting reporting obligations for textiles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EA7CA"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D7AE33"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2AEC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6B585"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Net positive</w:t>
            </w:r>
          </w:p>
        </w:tc>
      </w:tr>
      <w:tr w:rsidR="00E561CE" w:rsidRPr="005B4339" w14:paraId="2AFC48C4" w14:textId="77777777" w:rsidTr="00E561CE">
        <w:tc>
          <w:tcPr>
            <w:tcW w:w="0" w:type="auto"/>
            <w:gridSpan w:val="5"/>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82B23B" w14:textId="77777777" w:rsidR="00E561CE" w:rsidRPr="005B4339" w:rsidRDefault="00E561CE">
            <w:pPr>
              <w:pStyle w:val="WDBody"/>
              <w:spacing w:after="0" w:line="240" w:lineRule="auto"/>
              <w:jc w:val="center"/>
              <w:rPr>
                <w:rFonts w:ascii="Times New Roman" w:hAnsi="Times New Roman"/>
                <w:b/>
                <w:noProof/>
                <w:lang w:val="en-IE"/>
              </w:rPr>
            </w:pPr>
            <w:r w:rsidRPr="005B4339">
              <w:rPr>
                <w:rFonts w:ascii="Times New Roman" w:hAnsi="Times New Roman"/>
                <w:b/>
                <w:noProof/>
                <w:lang w:val="en-IE"/>
              </w:rPr>
              <w:t>Option 3 – Prescribing targets and restrictions</w:t>
            </w:r>
          </w:p>
        </w:tc>
      </w:tr>
      <w:tr w:rsidR="00E561CE" w:rsidRPr="005B4339" w14:paraId="493FD5D2"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2B805E0C"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3.1 – Setting an EU textile reduction target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4B9D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A51E3"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77A430C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F02EC9"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Likely net positive</w:t>
            </w:r>
          </w:p>
        </w:tc>
      </w:tr>
      <w:tr w:rsidR="00E561CE" w:rsidRPr="005B4339" w14:paraId="03F66F08"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30FABC6C"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3.4 – Setting a preparation for reuse target for textiles</w:t>
            </w:r>
          </w:p>
        </w:tc>
        <w:tc>
          <w:tcPr>
            <w:tcW w:w="0" w:type="auto"/>
            <w:tcBorders>
              <w:top w:val="single" w:sz="4" w:space="0" w:color="auto"/>
              <w:left w:val="single" w:sz="4" w:space="0" w:color="auto"/>
              <w:bottom w:val="single" w:sz="4" w:space="0" w:color="auto"/>
              <w:right w:val="single" w:sz="4" w:space="0" w:color="auto"/>
            </w:tcBorders>
            <w:hideMark/>
          </w:tcPr>
          <w:p w14:paraId="1E1B3AA0"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4D93B"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702E5C63"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3D9B2565"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Likely net positive</w:t>
            </w:r>
          </w:p>
        </w:tc>
      </w:tr>
      <w:tr w:rsidR="00E561CE" w:rsidRPr="005B4339" w14:paraId="2D293D9E"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200E497E"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3.5 - Setting a reuse target for textiles</w:t>
            </w:r>
          </w:p>
        </w:tc>
        <w:tc>
          <w:tcPr>
            <w:tcW w:w="0" w:type="auto"/>
            <w:tcBorders>
              <w:top w:val="single" w:sz="4" w:space="0" w:color="auto"/>
              <w:left w:val="single" w:sz="4" w:space="0" w:color="auto"/>
              <w:bottom w:val="single" w:sz="4" w:space="0" w:color="auto"/>
              <w:right w:val="single" w:sz="4" w:space="0" w:color="auto"/>
            </w:tcBorders>
            <w:hideMark/>
          </w:tcPr>
          <w:p w14:paraId="5F263A7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DE34F"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3C26461C"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235C760B"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Likely net positive</w:t>
            </w:r>
          </w:p>
        </w:tc>
      </w:tr>
      <w:tr w:rsidR="00E561CE" w:rsidRPr="005B4339" w14:paraId="3C6E4FBA"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222DA407"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3.6 - Setting a separate collection target for textiles waste</w:t>
            </w:r>
          </w:p>
        </w:tc>
        <w:tc>
          <w:tcPr>
            <w:tcW w:w="0" w:type="auto"/>
            <w:tcBorders>
              <w:top w:val="single" w:sz="4" w:space="0" w:color="auto"/>
              <w:left w:val="single" w:sz="4" w:space="0" w:color="auto"/>
              <w:bottom w:val="single" w:sz="4" w:space="0" w:color="auto"/>
              <w:right w:val="single" w:sz="4" w:space="0" w:color="auto"/>
            </w:tcBorders>
            <w:hideMark/>
          </w:tcPr>
          <w:p w14:paraId="4BFA5AE9"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E8997"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377143B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0F409A5B"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Likely net positive</w:t>
            </w:r>
          </w:p>
        </w:tc>
      </w:tr>
      <w:tr w:rsidR="00E561CE" w:rsidRPr="005B4339" w14:paraId="33C8CCBB" w14:textId="77777777" w:rsidTr="00E561CE">
        <w:tc>
          <w:tcPr>
            <w:tcW w:w="0" w:type="auto"/>
            <w:tcBorders>
              <w:top w:val="single" w:sz="4" w:space="0" w:color="auto"/>
              <w:left w:val="single" w:sz="4" w:space="0" w:color="auto"/>
              <w:bottom w:val="single" w:sz="4" w:space="0" w:color="auto"/>
              <w:right w:val="single" w:sz="4" w:space="0" w:color="auto"/>
            </w:tcBorders>
            <w:hideMark/>
          </w:tcPr>
          <w:p w14:paraId="6EF57506" w14:textId="77777777" w:rsidR="00E561CE" w:rsidRPr="005B4339" w:rsidRDefault="00E561CE">
            <w:pPr>
              <w:pStyle w:val="WDBody"/>
              <w:spacing w:after="0" w:line="240" w:lineRule="auto"/>
              <w:rPr>
                <w:rFonts w:ascii="Times New Roman" w:hAnsi="Times New Roman"/>
                <w:noProof/>
                <w:lang w:val="en-IE"/>
              </w:rPr>
            </w:pPr>
            <w:r w:rsidRPr="005B4339">
              <w:rPr>
                <w:rFonts w:ascii="Times New Roman" w:hAnsi="Times New Roman"/>
                <w:noProof/>
                <w:lang w:val="en-IE"/>
              </w:rPr>
              <w:t>Measure 3.8 – Setting a recycling target for textiles</w:t>
            </w:r>
          </w:p>
        </w:tc>
        <w:tc>
          <w:tcPr>
            <w:tcW w:w="0" w:type="auto"/>
            <w:tcBorders>
              <w:top w:val="single" w:sz="4" w:space="0" w:color="auto"/>
              <w:left w:val="single" w:sz="4" w:space="0" w:color="auto"/>
              <w:bottom w:val="single" w:sz="4" w:space="0" w:color="auto"/>
              <w:right w:val="single" w:sz="4" w:space="0" w:color="auto"/>
            </w:tcBorders>
            <w:hideMark/>
          </w:tcPr>
          <w:p w14:paraId="59975AF1"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8C1D2"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7F8048D6"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w:t>
            </w:r>
          </w:p>
        </w:tc>
        <w:tc>
          <w:tcPr>
            <w:tcW w:w="0" w:type="auto"/>
            <w:tcBorders>
              <w:top w:val="single" w:sz="4" w:space="0" w:color="auto"/>
              <w:left w:val="single" w:sz="4" w:space="0" w:color="auto"/>
              <w:bottom w:val="single" w:sz="4" w:space="0" w:color="auto"/>
              <w:right w:val="single" w:sz="4" w:space="0" w:color="auto"/>
            </w:tcBorders>
            <w:hideMark/>
          </w:tcPr>
          <w:p w14:paraId="777738BE" w14:textId="77777777" w:rsidR="00E561CE" w:rsidRPr="005B4339" w:rsidRDefault="00E561CE">
            <w:pPr>
              <w:pStyle w:val="WDBody"/>
              <w:spacing w:after="0" w:line="240" w:lineRule="auto"/>
              <w:jc w:val="center"/>
              <w:rPr>
                <w:rFonts w:ascii="Times New Roman" w:hAnsi="Times New Roman"/>
                <w:noProof/>
                <w:lang w:val="en-IE"/>
              </w:rPr>
            </w:pPr>
            <w:r w:rsidRPr="005B4339">
              <w:rPr>
                <w:rFonts w:ascii="Times New Roman" w:hAnsi="Times New Roman"/>
                <w:noProof/>
                <w:lang w:val="en-IE"/>
              </w:rPr>
              <w:t>Likely net positive</w:t>
            </w:r>
          </w:p>
        </w:tc>
      </w:tr>
    </w:tbl>
    <w:p w14:paraId="1982BFE1" w14:textId="13EA7A6F" w:rsidR="008304AE" w:rsidRPr="005B4339" w:rsidRDefault="008304AE" w:rsidP="008304AE">
      <w:pPr>
        <w:rPr>
          <w:noProof/>
          <w:lang w:val="en-IE"/>
        </w:rPr>
        <w:sectPr w:rsidR="008304AE" w:rsidRPr="005B4339" w:rsidSect="009E45BC">
          <w:headerReference w:type="even" r:id="rId42"/>
          <w:headerReference w:type="default" r:id="rId43"/>
          <w:footerReference w:type="even" r:id="rId44"/>
          <w:footerReference w:type="default" r:id="rId45"/>
          <w:headerReference w:type="first" r:id="rId46"/>
          <w:footerReference w:type="first" r:id="rId47"/>
          <w:pgSz w:w="15840" w:h="12240" w:orient="landscape"/>
          <w:pgMar w:top="1440" w:right="1440" w:bottom="1440" w:left="1440" w:header="510" w:footer="510" w:gutter="0"/>
          <w:cols w:space="720"/>
          <w:docGrid w:linePitch="326"/>
        </w:sectPr>
      </w:pPr>
    </w:p>
    <w:p w14:paraId="0639BADF" w14:textId="109D7539" w:rsidR="00A1314F" w:rsidRPr="005B4339" w:rsidRDefault="009967AE" w:rsidP="009967AE">
      <w:pPr>
        <w:pStyle w:val="Heading2"/>
        <w:rPr>
          <w:noProof/>
          <w:lang w:val="en-IE"/>
        </w:rPr>
      </w:pPr>
      <w:bookmarkStart w:id="266" w:name="_Toc125109489"/>
      <w:bookmarkStart w:id="267" w:name="_Toc1907332889"/>
      <w:bookmarkStart w:id="268" w:name="_Toc745736651"/>
      <w:bookmarkStart w:id="269" w:name="_Toc2091727829"/>
      <w:bookmarkStart w:id="270" w:name="_Toc132804314"/>
      <w:bookmarkStart w:id="271" w:name="_Toc139032105"/>
      <w:bookmarkStart w:id="272" w:name="_Toc121752867"/>
      <w:bookmarkStart w:id="273" w:name="_Toc121753406"/>
      <w:bookmarkStart w:id="274" w:name="_Toc121755934"/>
      <w:bookmarkStart w:id="275" w:name="_Toc121763597"/>
      <w:bookmarkStart w:id="276" w:name="_Toc121771370"/>
      <w:bookmarkStart w:id="277" w:name="_Toc122604021"/>
      <w:bookmarkStart w:id="278" w:name="_Toc122613109"/>
      <w:bookmarkStart w:id="279" w:name="_Toc124413258"/>
      <w:bookmarkStart w:id="280" w:name="_Toc125109490"/>
      <w:bookmarkStart w:id="281" w:name="_Toc1485148250"/>
      <w:bookmarkStart w:id="282" w:name="_Toc1909805657"/>
      <w:bookmarkStart w:id="283" w:name="_Toc1520098589"/>
      <w:bookmarkStart w:id="284" w:name="_Toc124354969"/>
      <w:bookmarkStart w:id="285" w:name="_Toc121146915"/>
      <w:bookmarkStart w:id="286" w:name="_Toc121153940"/>
      <w:bookmarkStart w:id="287" w:name="_Toc121414726"/>
      <w:bookmarkStart w:id="288" w:name="_Toc121415027"/>
      <w:bookmarkStart w:id="289" w:name="_Toc121496645"/>
      <w:r w:rsidRPr="009967AE">
        <w:lastRenderedPageBreak/>
        <w:t>2.</w:t>
      </w:r>
      <w:r w:rsidRPr="009967AE">
        <w:tab/>
      </w:r>
      <w:r w:rsidR="00A1314F" w:rsidRPr="005B4339">
        <w:rPr>
          <w:noProof/>
          <w:lang w:val="en-IE"/>
        </w:rPr>
        <w:t>Food waste</w:t>
      </w:r>
      <w:bookmarkEnd w:id="266"/>
      <w:bookmarkEnd w:id="267"/>
      <w:bookmarkEnd w:id="268"/>
      <w:bookmarkEnd w:id="269"/>
      <w:bookmarkEnd w:id="270"/>
      <w:r w:rsidR="00B2642D" w:rsidRPr="005B4339">
        <w:rPr>
          <w:rStyle w:val="FootnoteReference"/>
          <w:noProof/>
          <w:lang w:val="en-IE"/>
        </w:rPr>
        <w:footnoteReference w:id="148"/>
      </w:r>
      <w:bookmarkEnd w:id="271"/>
    </w:p>
    <w:p w14:paraId="16D7CDBC" w14:textId="79ACFCA1" w:rsidR="00B23FD0" w:rsidRPr="005B4339" w:rsidRDefault="00B23FD0" w:rsidP="00B23FD0">
      <w:pPr>
        <w:pStyle w:val="Text2"/>
        <w:spacing w:after="120"/>
        <w:ind w:left="0"/>
        <w:rPr>
          <w:noProof/>
          <w:lang w:val="en-IE"/>
        </w:rPr>
      </w:pPr>
      <w:r w:rsidRPr="005B4339">
        <w:rPr>
          <w:noProof/>
          <w:lang w:val="en-IE"/>
        </w:rPr>
        <w:t>This Annex presents results of the</w:t>
      </w:r>
      <w:r w:rsidR="00E7383C" w:rsidRPr="005B4339">
        <w:rPr>
          <w:noProof/>
          <w:lang w:val="en-IE"/>
        </w:rPr>
        <w:t xml:space="preserve"> MAGNET model and other analysis for the options </w:t>
      </w:r>
      <w:r w:rsidR="00B4341E" w:rsidRPr="005B4339">
        <w:rPr>
          <w:noProof/>
          <w:lang w:val="en-IE"/>
        </w:rPr>
        <w:t xml:space="preserve">setting legally binding food waste reduction targets (Option 1 to Option 3). </w:t>
      </w:r>
      <w:r w:rsidRPr="005B4339">
        <w:rPr>
          <w:noProof/>
          <w:lang w:val="en-IE"/>
        </w:rPr>
        <w:t>As regards Option 4, it is not possible to assign specific reduction level (but only a range of reduction), therefore the MAGNET model was not run for this option</w:t>
      </w:r>
      <w:r w:rsidR="00C55EF2" w:rsidRPr="005B4339">
        <w:rPr>
          <w:noProof/>
          <w:lang w:val="en-IE"/>
        </w:rPr>
        <w:t xml:space="preserve"> and therefore not included in thi</w:t>
      </w:r>
      <w:r w:rsidR="00D566DF" w:rsidRPr="005B4339">
        <w:rPr>
          <w:noProof/>
          <w:lang w:val="en-IE"/>
        </w:rPr>
        <w:t>s Annex</w:t>
      </w:r>
      <w:r w:rsidRPr="005B4339">
        <w:rPr>
          <w:noProof/>
          <w:lang w:val="en-IE"/>
        </w:rPr>
        <w:t xml:space="preserve">. As the impacts for Option 4 are expected to be in the range between the </w:t>
      </w:r>
      <w:r w:rsidR="00A351CA" w:rsidRPr="005B4339">
        <w:rPr>
          <w:noProof/>
          <w:lang w:val="en-IE"/>
        </w:rPr>
        <w:t>B</w:t>
      </w:r>
      <w:r w:rsidRPr="005B4339">
        <w:rPr>
          <w:noProof/>
          <w:lang w:val="en-IE"/>
        </w:rPr>
        <w:t>aseline</w:t>
      </w:r>
      <w:r w:rsidR="00A351CA" w:rsidRPr="005B4339">
        <w:rPr>
          <w:noProof/>
          <w:lang w:val="en-IE"/>
        </w:rPr>
        <w:t xml:space="preserve"> (2030)</w:t>
      </w:r>
      <w:r w:rsidRPr="005B4339">
        <w:rPr>
          <w:noProof/>
          <w:lang w:val="en-IE"/>
        </w:rPr>
        <w:t xml:space="preserve"> and Option 1</w:t>
      </w:r>
      <w:r w:rsidR="00AA4484" w:rsidRPr="005B4339">
        <w:rPr>
          <w:noProof/>
          <w:lang w:val="en-IE"/>
        </w:rPr>
        <w:t>,</w:t>
      </w:r>
      <w:r w:rsidR="00C2132B" w:rsidRPr="005B4339">
        <w:rPr>
          <w:noProof/>
          <w:lang w:val="en-IE"/>
        </w:rPr>
        <w:t xml:space="preserve"> its impacts are </w:t>
      </w:r>
      <w:r w:rsidRPr="005B4339">
        <w:rPr>
          <w:noProof/>
          <w:lang w:val="en-IE"/>
        </w:rPr>
        <w:t xml:space="preserve">described </w:t>
      </w:r>
      <w:r w:rsidR="00BB4C41" w:rsidRPr="005B4339">
        <w:rPr>
          <w:noProof/>
          <w:lang w:val="en-IE"/>
        </w:rPr>
        <w:t>(</w:t>
      </w:r>
      <w:r w:rsidR="00C2132B" w:rsidRPr="005B4339">
        <w:rPr>
          <w:noProof/>
          <w:lang w:val="en-IE"/>
        </w:rPr>
        <w:t>in the main document</w:t>
      </w:r>
      <w:r w:rsidR="00BB4C41" w:rsidRPr="005B4339">
        <w:rPr>
          <w:noProof/>
          <w:lang w:val="en-IE"/>
        </w:rPr>
        <w:t xml:space="preserve">) </w:t>
      </w:r>
      <w:r w:rsidRPr="005B4339">
        <w:rPr>
          <w:noProof/>
          <w:lang w:val="en-IE"/>
        </w:rPr>
        <w:t>by reference to impacts from these options.</w:t>
      </w:r>
    </w:p>
    <w:p w14:paraId="160EB117" w14:textId="77777777" w:rsidR="00B23FD0" w:rsidRPr="005B4339" w:rsidRDefault="00B23FD0" w:rsidP="00B633E5">
      <w:pPr>
        <w:pStyle w:val="Text2"/>
        <w:ind w:left="0"/>
        <w:rPr>
          <w:noProof/>
          <w:lang w:val="en-IE"/>
        </w:rPr>
      </w:pPr>
    </w:p>
    <w:p w14:paraId="445C3DBF" w14:textId="0C0A5814" w:rsidR="00794505" w:rsidRPr="005B4339" w:rsidRDefault="00794505">
      <w:pPr>
        <w:pStyle w:val="JRCLevel-2title"/>
        <w:numPr>
          <w:ilvl w:val="1"/>
          <w:numId w:val="161"/>
        </w:numPr>
        <w:rPr>
          <w:rFonts w:ascii="Times New Roman" w:hAnsi="Times New Roman"/>
          <w:noProof/>
          <w:lang w:val="en-IE"/>
        </w:rPr>
      </w:pPr>
      <w:bookmarkStart w:id="290" w:name="_Toc132804315"/>
      <w:bookmarkStart w:id="291" w:name="_Toc139032106"/>
      <w:r w:rsidRPr="005B4339">
        <w:rPr>
          <w:rFonts w:ascii="Times New Roman" w:hAnsi="Times New Roman"/>
          <w:noProof/>
          <w:lang w:val="en-IE"/>
        </w:rPr>
        <w:t>Impact of reduction scenarios on food waste quantities</w:t>
      </w:r>
      <w:bookmarkEnd w:id="272"/>
      <w:bookmarkEnd w:id="273"/>
      <w:bookmarkEnd w:id="274"/>
      <w:bookmarkEnd w:id="275"/>
      <w:bookmarkEnd w:id="276"/>
      <w:bookmarkEnd w:id="277"/>
      <w:bookmarkEnd w:id="278"/>
      <w:bookmarkEnd w:id="279"/>
      <w:bookmarkEnd w:id="280"/>
      <w:bookmarkEnd w:id="281"/>
      <w:bookmarkEnd w:id="282"/>
      <w:bookmarkEnd w:id="283"/>
      <w:bookmarkEnd w:id="290"/>
      <w:bookmarkEnd w:id="291"/>
    </w:p>
    <w:p w14:paraId="2CC0E8B8" w14:textId="491DF26E" w:rsidR="00C6342D" w:rsidRPr="005B4339" w:rsidRDefault="0392D890" w:rsidP="00C6342D">
      <w:pPr>
        <w:pStyle w:val="JRCText"/>
        <w:rPr>
          <w:rFonts w:ascii="Times New Roman" w:hAnsi="Times New Roman"/>
          <w:noProof/>
          <w:sz w:val="24"/>
          <w:szCs w:val="24"/>
          <w:lang w:val="en-IE"/>
        </w:rPr>
      </w:pPr>
      <w:r w:rsidRPr="005B4339">
        <w:rPr>
          <w:rFonts w:ascii="Times New Roman" w:eastAsia="Times New Roman" w:hAnsi="Times New Roman"/>
          <w:noProof/>
          <w:color w:val="000000" w:themeColor="text1"/>
          <w:sz w:val="24"/>
          <w:szCs w:val="24"/>
          <w:lang w:val="en-IE"/>
        </w:rPr>
        <w:t xml:space="preserve">The reduction of food waste increases with a broader coverage of the food supply chain and increased target levels. </w:t>
      </w:r>
      <w:r w:rsidR="002612A1" w:rsidRPr="005B4339">
        <w:rPr>
          <w:rFonts w:ascii="Times New Roman" w:eastAsia="Times New Roman" w:hAnsi="Times New Roman"/>
          <w:noProof/>
          <w:color w:val="000000" w:themeColor="text1"/>
          <w:sz w:val="24"/>
          <w:szCs w:val="24"/>
          <w:lang w:val="en-IE"/>
        </w:rPr>
        <w:fldChar w:fldCharType="begin"/>
      </w:r>
      <w:r w:rsidR="002612A1" w:rsidRPr="005B4339">
        <w:rPr>
          <w:rFonts w:ascii="Times New Roman" w:eastAsia="Times New Roman" w:hAnsi="Times New Roman"/>
          <w:noProof/>
          <w:color w:val="000000" w:themeColor="text1"/>
          <w:sz w:val="24"/>
          <w:szCs w:val="24"/>
          <w:lang w:val="en-IE"/>
        </w:rPr>
        <w:instrText xml:space="preserve"> REF _Ref132976436 \h </w:instrText>
      </w:r>
      <w:r w:rsidR="00BA6D1A" w:rsidRPr="005B4339">
        <w:rPr>
          <w:rFonts w:ascii="Times New Roman" w:eastAsia="Times New Roman" w:hAnsi="Times New Roman"/>
          <w:noProof/>
          <w:color w:val="000000" w:themeColor="text1"/>
          <w:sz w:val="24"/>
          <w:szCs w:val="24"/>
          <w:lang w:val="en-IE"/>
        </w:rPr>
        <w:instrText xml:space="preserve"> \* MERGEFORMAT </w:instrText>
      </w:r>
      <w:r w:rsidR="002612A1" w:rsidRPr="005B4339">
        <w:rPr>
          <w:rFonts w:ascii="Times New Roman" w:eastAsia="Times New Roman" w:hAnsi="Times New Roman"/>
          <w:noProof/>
          <w:color w:val="000000" w:themeColor="text1"/>
          <w:sz w:val="24"/>
          <w:szCs w:val="24"/>
          <w:lang w:val="en-IE"/>
        </w:rPr>
      </w:r>
      <w:r w:rsidR="002612A1" w:rsidRPr="005B4339">
        <w:rPr>
          <w:rFonts w:ascii="Times New Roman" w:eastAsia="Times New Roman" w:hAnsi="Times New Roman"/>
          <w:noProof/>
          <w:color w:val="000000" w:themeColor="text1"/>
          <w:sz w:val="24"/>
          <w:szCs w:val="24"/>
          <w:lang w:val="en-IE"/>
        </w:rPr>
        <w:fldChar w:fldCharType="separate"/>
      </w:r>
      <w:r w:rsidR="00393DFA" w:rsidRPr="00393DFA">
        <w:rPr>
          <w:rFonts w:ascii="Times New Roman" w:hAnsi="Times New Roman"/>
          <w:iCs/>
          <w:noProof/>
          <w:sz w:val="24"/>
          <w:szCs w:val="24"/>
          <w:lang w:val="en-IE"/>
        </w:rPr>
        <w:t>Figure 1</w:t>
      </w:r>
      <w:r w:rsidR="002612A1" w:rsidRPr="005B4339">
        <w:rPr>
          <w:rFonts w:ascii="Times New Roman" w:eastAsia="Times New Roman" w:hAnsi="Times New Roman"/>
          <w:noProof/>
          <w:color w:val="000000" w:themeColor="text1"/>
          <w:sz w:val="24"/>
          <w:szCs w:val="24"/>
          <w:lang w:val="en-IE"/>
        </w:rPr>
        <w:fldChar w:fldCharType="end"/>
      </w:r>
      <w:r w:rsidR="169EF713" w:rsidRPr="005B4339">
        <w:rPr>
          <w:rFonts w:ascii="Times New Roman" w:eastAsia="Times New Roman" w:hAnsi="Times New Roman"/>
          <w:noProof/>
          <w:color w:val="000000" w:themeColor="text1"/>
          <w:sz w:val="24"/>
          <w:szCs w:val="24"/>
          <w:lang w:val="en-IE"/>
        </w:rPr>
        <w:t xml:space="preserve"> </w:t>
      </w:r>
      <w:r w:rsidR="4425D739" w:rsidRPr="005B4339">
        <w:rPr>
          <w:rFonts w:ascii="Times New Roman" w:hAnsi="Times New Roman"/>
          <w:noProof/>
          <w:sz w:val="24"/>
          <w:szCs w:val="24"/>
          <w:lang w:val="en-IE"/>
        </w:rPr>
        <w:t>depicts th</w:t>
      </w:r>
      <w:r w:rsidR="1B1D22EE" w:rsidRPr="005B4339">
        <w:rPr>
          <w:rFonts w:ascii="Times New Roman" w:hAnsi="Times New Roman"/>
          <w:noProof/>
          <w:sz w:val="24"/>
          <w:szCs w:val="24"/>
          <w:lang w:val="en-IE"/>
        </w:rPr>
        <w:t>e</w:t>
      </w:r>
      <w:r w:rsidR="00C6342D" w:rsidRPr="005B4339">
        <w:rPr>
          <w:rFonts w:ascii="Times New Roman" w:hAnsi="Times New Roman"/>
          <w:noProof/>
          <w:sz w:val="24"/>
          <w:szCs w:val="24"/>
          <w:lang w:val="en-IE"/>
        </w:rPr>
        <w:t xml:space="preserve"> baseline food waste numbers in 2020 and 2030 and compares it with </w:t>
      </w:r>
      <w:r w:rsidR="3D45921D" w:rsidRPr="005B4339">
        <w:rPr>
          <w:rFonts w:ascii="Times New Roman" w:hAnsi="Times New Roman"/>
          <w:noProof/>
          <w:sz w:val="24"/>
          <w:szCs w:val="24"/>
          <w:lang w:val="en-IE"/>
        </w:rPr>
        <w:t>the</w:t>
      </w:r>
      <w:r w:rsidR="00C6342D" w:rsidRPr="005B4339">
        <w:rPr>
          <w:rFonts w:ascii="Times New Roman" w:hAnsi="Times New Roman"/>
          <w:noProof/>
          <w:sz w:val="24"/>
          <w:szCs w:val="24"/>
          <w:lang w:val="en-IE"/>
        </w:rPr>
        <w:t xml:space="preserve"> three main scenarios: Option 1, Option 2 and Option 3. Option 1 </w:t>
      </w:r>
      <w:r w:rsidR="65ED036B" w:rsidRPr="005B4339">
        <w:rPr>
          <w:rFonts w:ascii="Times New Roman" w:hAnsi="Times New Roman"/>
          <w:noProof/>
          <w:sz w:val="24"/>
          <w:szCs w:val="24"/>
          <w:lang w:val="en-IE"/>
        </w:rPr>
        <w:t>leads to an estimated</w:t>
      </w:r>
      <w:r w:rsidR="4425D739" w:rsidRPr="005B4339">
        <w:rPr>
          <w:rFonts w:ascii="Times New Roman" w:hAnsi="Times New Roman"/>
          <w:noProof/>
          <w:sz w:val="24"/>
          <w:szCs w:val="24"/>
          <w:lang w:val="en-IE"/>
        </w:rPr>
        <w:t xml:space="preserve"> reduction of food waste</w:t>
      </w:r>
      <w:r w:rsidR="2CA5FA43" w:rsidRPr="005B4339">
        <w:rPr>
          <w:rFonts w:ascii="Times New Roman" w:hAnsi="Times New Roman"/>
          <w:noProof/>
          <w:sz w:val="24"/>
          <w:szCs w:val="24"/>
          <w:lang w:val="en-IE"/>
        </w:rPr>
        <w:t xml:space="preserve"> of </w:t>
      </w:r>
      <w:r w:rsidR="00C6342D" w:rsidRPr="005B4339">
        <w:rPr>
          <w:rFonts w:ascii="Times New Roman" w:hAnsi="Times New Roman"/>
          <w:noProof/>
          <w:sz w:val="24"/>
          <w:szCs w:val="24"/>
          <w:lang w:val="en-IE"/>
        </w:rPr>
        <w:t xml:space="preserve">around 7 000 ktons, while the expected </w:t>
      </w:r>
      <w:r w:rsidR="00C6342D" w:rsidRPr="005B4339">
        <w:rPr>
          <w:rFonts w:ascii="Times New Roman" w:eastAsia="Times New Roman" w:hAnsi="Times New Roman"/>
          <w:noProof/>
          <w:sz w:val="24"/>
          <w:szCs w:val="24"/>
          <w:lang w:val="en-IE"/>
        </w:rPr>
        <w:t xml:space="preserve">food waste reductions </w:t>
      </w:r>
      <w:r w:rsidR="272351C1" w:rsidRPr="005B4339">
        <w:rPr>
          <w:rFonts w:ascii="Times New Roman" w:eastAsia="Times New Roman" w:hAnsi="Times New Roman"/>
          <w:noProof/>
          <w:sz w:val="24"/>
          <w:szCs w:val="24"/>
          <w:lang w:val="en-IE"/>
        </w:rPr>
        <w:t>are around 13</w:t>
      </w:r>
      <w:r w:rsidR="00C6342D" w:rsidRPr="005B4339">
        <w:rPr>
          <w:rFonts w:ascii="Times New Roman" w:eastAsia="Times New Roman" w:hAnsi="Times New Roman"/>
          <w:noProof/>
          <w:sz w:val="24"/>
          <w:szCs w:val="24"/>
          <w:lang w:val="en-IE"/>
        </w:rPr>
        <w:t xml:space="preserve"> 000 ktons </w:t>
      </w:r>
      <w:r w:rsidR="272351C1" w:rsidRPr="005B4339">
        <w:rPr>
          <w:rFonts w:ascii="Times New Roman" w:eastAsia="Times New Roman" w:hAnsi="Times New Roman"/>
          <w:noProof/>
          <w:sz w:val="24"/>
          <w:szCs w:val="24"/>
          <w:lang w:val="en-IE"/>
        </w:rPr>
        <w:t xml:space="preserve">for Option 2 </w:t>
      </w:r>
      <w:r w:rsidR="00C6342D" w:rsidRPr="005B4339">
        <w:rPr>
          <w:rFonts w:ascii="Times New Roman" w:eastAsia="Times New Roman" w:hAnsi="Times New Roman"/>
          <w:noProof/>
          <w:sz w:val="24"/>
          <w:szCs w:val="24"/>
          <w:lang w:val="en-IE"/>
        </w:rPr>
        <w:t xml:space="preserve">and </w:t>
      </w:r>
      <w:r w:rsidR="272351C1" w:rsidRPr="005B4339">
        <w:rPr>
          <w:rFonts w:ascii="Times New Roman" w:eastAsia="Times New Roman" w:hAnsi="Times New Roman"/>
          <w:noProof/>
          <w:sz w:val="24"/>
          <w:szCs w:val="24"/>
          <w:lang w:val="en-IE"/>
        </w:rPr>
        <w:t>around 23 500</w:t>
      </w:r>
      <w:r w:rsidR="00C6342D" w:rsidRPr="005B4339">
        <w:rPr>
          <w:rFonts w:ascii="Times New Roman" w:eastAsia="Times New Roman" w:hAnsi="Times New Roman"/>
          <w:noProof/>
          <w:sz w:val="24"/>
          <w:szCs w:val="24"/>
          <w:lang w:val="en-IE"/>
        </w:rPr>
        <w:t xml:space="preserve"> ktons </w:t>
      </w:r>
      <w:r w:rsidR="272351C1" w:rsidRPr="005B4339">
        <w:rPr>
          <w:rFonts w:ascii="Times New Roman" w:eastAsia="Times New Roman" w:hAnsi="Times New Roman"/>
          <w:noProof/>
          <w:sz w:val="24"/>
          <w:szCs w:val="24"/>
          <w:lang w:val="en-IE"/>
        </w:rPr>
        <w:t xml:space="preserve">for Option 3. </w:t>
      </w:r>
      <w:r w:rsidR="00C6342D" w:rsidRPr="005B4339">
        <w:rPr>
          <w:rFonts w:ascii="Times New Roman" w:hAnsi="Times New Roman"/>
          <w:noProof/>
          <w:sz w:val="24"/>
          <w:szCs w:val="24"/>
          <w:lang w:val="en-IE"/>
        </w:rPr>
        <w:t xml:space="preserve"> </w:t>
      </w:r>
    </w:p>
    <w:p w14:paraId="6A77E333" w14:textId="14676644" w:rsidR="00F54798" w:rsidRPr="005B4339" w:rsidRDefault="00F54798" w:rsidP="00794505">
      <w:pPr>
        <w:pStyle w:val="JRCText"/>
        <w:rPr>
          <w:rFonts w:ascii="Times New Roman" w:hAnsi="Times New Roman"/>
          <w:i/>
          <w:noProof/>
          <w:sz w:val="24"/>
          <w:szCs w:val="24"/>
          <w:lang w:val="en-IE"/>
        </w:rPr>
      </w:pPr>
      <w:bookmarkStart w:id="292" w:name="_Ref132976436"/>
      <w:bookmarkStart w:id="293" w:name="_Ref132976429"/>
      <w:bookmarkStart w:id="294" w:name="_Toc133229328"/>
      <w:bookmarkStart w:id="295" w:name="_Toc139031936"/>
      <w:r w:rsidRPr="005B4339">
        <w:rPr>
          <w:rFonts w:ascii="Times New Roman" w:hAnsi="Times New Roman"/>
          <w:i/>
          <w:iCs/>
          <w:noProof/>
          <w:sz w:val="24"/>
          <w:szCs w:val="24"/>
          <w:lang w:val="en-IE"/>
        </w:rPr>
        <w:t xml:space="preserve">Figure </w:t>
      </w:r>
      <w:r w:rsidR="00393DFA">
        <w:rPr>
          <w:rFonts w:ascii="Times New Roman" w:hAnsi="Times New Roman"/>
          <w:i/>
          <w:iCs/>
          <w:noProof/>
          <w:sz w:val="24"/>
          <w:szCs w:val="24"/>
          <w:lang w:val="en-IE"/>
        </w:rPr>
        <w:t>1</w:t>
      </w:r>
      <w:bookmarkEnd w:id="292"/>
      <w:r w:rsidRPr="005B4339">
        <w:rPr>
          <w:rFonts w:ascii="Times New Roman" w:hAnsi="Times New Roman"/>
          <w:i/>
          <w:iCs/>
          <w:noProof/>
          <w:sz w:val="24"/>
          <w:szCs w:val="24"/>
          <w:lang w:val="en-IE"/>
        </w:rPr>
        <w:t xml:space="preserve"> – Total EU27 food waste quantities in the baselines and </w:t>
      </w:r>
      <w:r w:rsidR="22B7CDB7" w:rsidRPr="005B4339">
        <w:rPr>
          <w:rFonts w:ascii="Times New Roman" w:hAnsi="Times New Roman"/>
          <w:i/>
          <w:iCs/>
          <w:noProof/>
          <w:sz w:val="24"/>
          <w:szCs w:val="24"/>
          <w:lang w:val="en-IE"/>
        </w:rPr>
        <w:t>the three options</w:t>
      </w:r>
      <w:bookmarkEnd w:id="293"/>
      <w:bookmarkEnd w:id="294"/>
      <w:bookmarkEnd w:id="295"/>
    </w:p>
    <w:p w14:paraId="762A5EA4" w14:textId="740B4585" w:rsidR="00794505" w:rsidRPr="005B4339" w:rsidRDefault="00794505" w:rsidP="00794505">
      <w:pPr>
        <w:pStyle w:val="JRCText"/>
        <w:rPr>
          <w:rFonts w:ascii="Times New Roman" w:hAnsi="Times New Roman"/>
          <w:noProof/>
          <w:sz w:val="24"/>
          <w:lang w:val="en-IE"/>
        </w:rPr>
      </w:pPr>
      <w:r w:rsidRPr="005B4339">
        <w:rPr>
          <w:noProof/>
          <w:color w:val="2B579A"/>
          <w:shd w:val="clear" w:color="auto" w:fill="E6E6E6"/>
          <w:lang w:eastAsia="en-GB"/>
        </w:rPr>
        <mc:AlternateContent>
          <mc:Choice Requires="wpg">
            <w:drawing>
              <wp:anchor distT="0" distB="0" distL="114300" distR="114300" simplePos="0" relativeHeight="251658253" behindDoc="0" locked="0" layoutInCell="1" allowOverlap="1" wp14:anchorId="3E410C42" wp14:editId="43ED1F03">
                <wp:simplePos x="0" y="0"/>
                <wp:positionH relativeFrom="column">
                  <wp:posOffset>2838091</wp:posOffset>
                </wp:positionH>
                <wp:positionV relativeFrom="paragraph">
                  <wp:posOffset>514530</wp:posOffset>
                </wp:positionV>
                <wp:extent cx="2675890" cy="697865"/>
                <wp:effectExtent l="0" t="0" r="0" b="6985"/>
                <wp:wrapNone/>
                <wp:docPr id="1200524314" name="Group 1200524314"/>
                <wp:cNvGraphicFramePr/>
                <a:graphic xmlns:a="http://schemas.openxmlformats.org/drawingml/2006/main">
                  <a:graphicData uri="http://schemas.microsoft.com/office/word/2010/wordprocessingGroup">
                    <wpg:wgp>
                      <wpg:cNvGrpSpPr/>
                      <wpg:grpSpPr>
                        <a:xfrm>
                          <a:off x="0" y="0"/>
                          <a:ext cx="2675890" cy="697865"/>
                          <a:chOff x="0" y="0"/>
                          <a:chExt cx="2675890" cy="697865"/>
                        </a:xfrm>
                      </wpg:grpSpPr>
                      <wps:wsp>
                        <wps:cNvPr id="1200524315" name="TextBox 1"/>
                        <wps:cNvSpPr txBox="1"/>
                        <wps:spPr>
                          <a:xfrm>
                            <a:off x="905395" y="198131"/>
                            <a:ext cx="770255" cy="244475"/>
                          </a:xfrm>
                          <a:prstGeom prst="rect">
                            <a:avLst/>
                          </a:prstGeom>
                          <a:solidFill>
                            <a:schemeClr val="accent6">
                              <a:lumMod val="20000"/>
                              <a:lumOff val="80000"/>
                            </a:schemeClr>
                          </a:solidFill>
                        </wps:spPr>
                        <wps:txbx>
                          <w:txbxContent>
                            <w:p w14:paraId="0F24F317"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-13 118 kton</w:t>
                              </w:r>
                            </w:p>
                          </w:txbxContent>
                        </wps:txbx>
                        <wps:bodyPr vertOverflow="clip" wrap="none" rtlCol="0"/>
                      </wps:wsp>
                      <wps:wsp>
                        <wps:cNvPr id="1200524316" name="TextBox 1"/>
                        <wps:cNvSpPr txBox="1"/>
                        <wps:spPr>
                          <a:xfrm>
                            <a:off x="1905635" y="456565"/>
                            <a:ext cx="770255" cy="241300"/>
                          </a:xfrm>
                          <a:prstGeom prst="rect">
                            <a:avLst/>
                          </a:prstGeom>
                          <a:solidFill>
                            <a:schemeClr val="accent6">
                              <a:lumMod val="20000"/>
                              <a:lumOff val="80000"/>
                            </a:schemeClr>
                          </a:solidFill>
                        </wps:spPr>
                        <wps:txbx>
                          <w:txbxContent>
                            <w:p w14:paraId="4CDB2598"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-23 541 kton</w:t>
                              </w:r>
                            </w:p>
                          </w:txbxContent>
                        </wps:txbx>
                        <wps:bodyPr vertOverflow="clip" wrap="none" rtlCol="0">
                          <a:noAutofit/>
                        </wps:bodyPr>
                      </wps:wsp>
                      <wps:wsp>
                        <wps:cNvPr id="1200524317" name="TextBox 1"/>
                        <wps:cNvSpPr txBox="1"/>
                        <wps:spPr>
                          <a:xfrm>
                            <a:off x="0" y="0"/>
                            <a:ext cx="712470" cy="241300"/>
                          </a:xfrm>
                          <a:prstGeom prst="rect">
                            <a:avLst/>
                          </a:prstGeom>
                          <a:solidFill>
                            <a:schemeClr val="accent6">
                              <a:lumMod val="20000"/>
                              <a:lumOff val="80000"/>
                            </a:schemeClr>
                          </a:solidFill>
                        </wps:spPr>
                        <wps:txbx>
                          <w:txbxContent>
                            <w:p w14:paraId="00A06019"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-6 948 kton</w:t>
                              </w:r>
                            </w:p>
                          </w:txbxContent>
                        </wps:txbx>
                        <wps:bodyPr vertOverflow="clip" wrap="none" rtlCol="0">
                          <a:noAutofit/>
                        </wps:bodyPr>
                      </wps:wsp>
                    </wpg:wgp>
                  </a:graphicData>
                </a:graphic>
              </wp:anchor>
            </w:drawing>
          </mc:Choice>
          <mc:Fallback>
            <w:pict>
              <v:group w14:anchorId="3E410C42" id="Group 1200524314" o:spid="_x0000_s1026" style="position:absolute;left:0;text-align:left;margin-left:223.45pt;margin-top:40.5pt;width:210.7pt;height:54.95pt;z-index:251658253" coordsize="26758,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">
                <v:shapetype id="_x0000_t202" coordsize="21600,21600" o:spt="202" path="m,l,21600r21600,l21600,xe">
                  <v:stroke joinstyle="miter"/>
                  <v:path gradientshapeok="t" o:connecttype="rect"/>
                </v:shapetype>
                <v:shape id="TextBox 1" o:spid="_x0000_s1027" type="#_x0000_t202" style="position:absolute;left:9053;top:1981;width:7703;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" fillcolor="#fde9d9 [665]" stroked="f">
                  <v:textbox>
                    <w:txbxContent>
                      <w:p w14:paraId="0F24F317"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-13 118 kton</w:t>
                        </w:r>
                      </w:p>
                    </w:txbxContent>
                  </v:textbox>
                </v:shape>
                <v:shape id="TextBox 1" o:spid="_x0000_s1028" type="#_x0000_t202" style="position:absolute;left:19056;top:4565;width:770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" fillcolor="#fde9d9 [665]" stroked="f">
                  <v:textbox>
                    <w:txbxContent>
                      <w:p w14:paraId="4CDB2598"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-23 541 kton</w:t>
                        </w:r>
                      </w:p>
                    </w:txbxContent>
                  </v:textbox>
                </v:shape>
                <v:shape id="TextBox 1" o:spid="_x0000_s1029" type="#_x0000_t202" style="position:absolute;width:712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" fillcolor="#fde9d9 [665]" stroked="f">
                  <v:textbox>
                    <w:txbxContent>
                      <w:p w14:paraId="00A06019" w14:textId="77777777" w:rsidR="00603581" w:rsidRDefault="00603581" w:rsidP="00794505">
                        <w:pPr>
                          <w:pStyle w:val="NormalWeb"/>
                          <w:spacing w:before="0" w:beforeAutospacing="0" w:after="0" w:afterAutospacing="0"/>
                        </w:pPr>
                        <w:r>
                          <w:rPr>
                            <w:rFonts w:ascii="EC Square Sans Pro" w:hAnsi="EC Square Sans Pro" w:cstheme="minorBidi"/>
                            <w:sz w:val="18"/>
                            <w:szCs w:val="18"/>
                          </w:rPr>
                          <w:t>-6 948 kton</w:t>
                        </w:r>
                      </w:p>
                    </w:txbxContent>
                  </v:textbox>
                </v:shape>
              </v:group>
            </w:pict>
          </mc:Fallback>
        </mc:AlternateContent>
      </w:r>
      <w:r w:rsidR="004928CC" w:rsidRPr="004928CC">
        <w:drawing>
          <wp:inline distT="0" distB="0" distL="0" distR="0" wp14:anchorId="66420A41" wp14:editId="7A603EE7">
            <wp:extent cx="5731510" cy="1999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999615"/>
                    </a:xfrm>
                    <a:prstGeom prst="rect">
                      <a:avLst/>
                    </a:prstGeom>
                    <a:noFill/>
                    <a:ln>
                      <a:noFill/>
                    </a:ln>
                  </pic:spPr>
                </pic:pic>
              </a:graphicData>
            </a:graphic>
          </wp:inline>
        </w:drawing>
      </w:r>
    </w:p>
    <w:p w14:paraId="3ACEB0AE" w14:textId="77777777" w:rsidR="00794505" w:rsidRPr="005B4339" w:rsidRDefault="00794505" w:rsidP="00794505">
      <w:pPr>
        <w:pStyle w:val="JRCFiguresource"/>
        <w:rPr>
          <w:noProof/>
          <w:lang w:val="en-IE"/>
        </w:rPr>
      </w:pPr>
      <w:r w:rsidRPr="005B4339">
        <w:rPr>
          <w:noProof/>
          <w:lang w:val="en-IE"/>
        </w:rPr>
        <w:t>Source: MAGNET simulation results (2020 baseline based on ESTAT 2022)</w:t>
      </w:r>
    </w:p>
    <w:p w14:paraId="79866C32" w14:textId="29DF0B16" w:rsidR="037F37DB" w:rsidRPr="005B4339" w:rsidRDefault="037F37DB" w:rsidP="00BA6631">
      <w:pPr>
        <w:rPr>
          <w:noProof/>
          <w:lang w:val="en-IE"/>
        </w:rPr>
      </w:pPr>
      <w:r w:rsidRPr="005B4339">
        <w:rPr>
          <w:rFonts w:eastAsia="Times New Roman"/>
          <w:noProof/>
          <w:lang w:val="en-IE"/>
        </w:rPr>
        <w:t>The ambitious food waste reduction in Option 3 can be traced back to the high reduction target rates (50%) at the household level as most food waste occurs at this stage. On the other hand, an increased reduction of food waste in the other main segments of the food supply chain under all three options, has more limited impact compared to the consumption segment (</w:t>
      </w:r>
      <w:r w:rsidR="002612A1" w:rsidRPr="005B4339">
        <w:rPr>
          <w:rFonts w:eastAsia="Times New Roman"/>
          <w:noProof/>
          <w:lang w:val="en-IE"/>
        </w:rPr>
        <w:fldChar w:fldCharType="begin"/>
      </w:r>
      <w:r w:rsidR="002612A1" w:rsidRPr="005B4339">
        <w:rPr>
          <w:rFonts w:eastAsia="Times New Roman"/>
          <w:noProof/>
          <w:lang w:val="en-IE"/>
        </w:rPr>
        <w:instrText xml:space="preserve"> REF _Ref127187044 \h </w:instrText>
      </w:r>
      <w:r w:rsidR="00C326C8" w:rsidRPr="005B4339">
        <w:rPr>
          <w:rFonts w:eastAsia="Times New Roman"/>
          <w:noProof/>
          <w:lang w:val="en-IE"/>
        </w:rPr>
        <w:instrText xml:space="preserve"> \* MERGEFORMAT </w:instrText>
      </w:r>
      <w:r w:rsidR="002612A1" w:rsidRPr="005B4339">
        <w:rPr>
          <w:rFonts w:eastAsia="Times New Roman"/>
          <w:noProof/>
          <w:lang w:val="en-IE"/>
        </w:rPr>
      </w:r>
      <w:r w:rsidR="002612A1" w:rsidRPr="005B4339">
        <w:rPr>
          <w:rFonts w:eastAsia="Times New Roman"/>
          <w:noProof/>
          <w:lang w:val="en-IE"/>
        </w:rPr>
        <w:fldChar w:fldCharType="separate"/>
      </w:r>
      <w:r w:rsidR="00393DFA" w:rsidRPr="00393DFA">
        <w:rPr>
          <w:iCs/>
          <w:noProof/>
          <w:lang w:val="en-IE"/>
        </w:rPr>
        <w:t>Figure 2</w:t>
      </w:r>
      <w:r w:rsidR="002612A1" w:rsidRPr="005B4339">
        <w:rPr>
          <w:rFonts w:eastAsia="Times New Roman"/>
          <w:noProof/>
          <w:lang w:val="en-IE"/>
        </w:rPr>
        <w:fldChar w:fldCharType="end"/>
      </w:r>
      <w:r w:rsidRPr="005B4339">
        <w:rPr>
          <w:rFonts w:eastAsia="Times New Roman"/>
          <w:noProof/>
          <w:lang w:val="en-IE"/>
        </w:rPr>
        <w:t>). This is due to the smaller share of total food waste attributed to upstream stages of the food supply chain. For instance, Option 3 leads to an estimated food waste reduction of nearly 17 000 ktons at the household level, while the expected decrease at the retail and distribution level only amounts to 2 400 ktons of food waste.</w:t>
      </w:r>
    </w:p>
    <w:p w14:paraId="699C4223" w14:textId="7E5AF8FB" w:rsidR="00BA6631" w:rsidRPr="005B4339" w:rsidRDefault="00BA6631" w:rsidP="00BA6631">
      <w:pPr>
        <w:pStyle w:val="JRCText"/>
        <w:rPr>
          <w:noProof/>
          <w:lang w:val="en-IE"/>
        </w:rPr>
      </w:pPr>
    </w:p>
    <w:p w14:paraId="265CCF31" w14:textId="519C33A3" w:rsidR="00794505" w:rsidRPr="005B4339" w:rsidRDefault="006D48EC" w:rsidP="00794505">
      <w:pPr>
        <w:pStyle w:val="JRCText"/>
        <w:rPr>
          <w:noProof/>
          <w:lang w:val="en-IE"/>
        </w:rPr>
      </w:pPr>
      <w:bookmarkStart w:id="296" w:name="_Ref127187044"/>
      <w:bookmarkStart w:id="297" w:name="_Toc133229329"/>
      <w:bookmarkStart w:id="298" w:name="_Toc139031937"/>
      <w:r w:rsidRPr="005B4339">
        <w:rPr>
          <w:rFonts w:ascii="Times New Roman" w:hAnsi="Times New Roman"/>
          <w:i/>
          <w:iCs/>
          <w:noProof/>
          <w:sz w:val="24"/>
          <w:szCs w:val="24"/>
          <w:lang w:val="en-IE"/>
        </w:rPr>
        <w:lastRenderedPageBreak/>
        <w:t xml:space="preserve">Figure </w:t>
      </w:r>
      <w:r w:rsidR="00393DFA">
        <w:rPr>
          <w:rFonts w:ascii="Times New Roman" w:hAnsi="Times New Roman"/>
          <w:i/>
          <w:iCs/>
          <w:noProof/>
          <w:sz w:val="24"/>
          <w:szCs w:val="24"/>
          <w:lang w:val="en-IE"/>
        </w:rPr>
        <w:t>2</w:t>
      </w:r>
      <w:bookmarkEnd w:id="296"/>
      <w:r w:rsidRPr="005B4339">
        <w:rPr>
          <w:rFonts w:ascii="Times New Roman" w:hAnsi="Times New Roman"/>
          <w:i/>
          <w:iCs/>
          <w:noProof/>
          <w:sz w:val="24"/>
          <w:szCs w:val="24"/>
          <w:lang w:val="en-IE"/>
        </w:rPr>
        <w:t xml:space="preserve"> – </w:t>
      </w:r>
      <w:r w:rsidR="00731C09" w:rsidRPr="005B4339">
        <w:rPr>
          <w:rFonts w:ascii="Times New Roman" w:hAnsi="Times New Roman"/>
          <w:i/>
          <w:iCs/>
          <w:noProof/>
          <w:sz w:val="24"/>
          <w:szCs w:val="24"/>
          <w:lang w:val="en-IE"/>
        </w:rPr>
        <w:t xml:space="preserve">Deviations in EU27 food waste quantities </w:t>
      </w:r>
      <w:r w:rsidR="0125514E" w:rsidRPr="005B4339">
        <w:rPr>
          <w:rFonts w:ascii="Times New Roman" w:hAnsi="Times New Roman"/>
          <w:i/>
          <w:iCs/>
          <w:noProof/>
          <w:sz w:val="24"/>
          <w:szCs w:val="24"/>
          <w:lang w:val="en-IE"/>
        </w:rPr>
        <w:t xml:space="preserve">at the </w:t>
      </w:r>
      <w:r w:rsidR="0125514E" w:rsidRPr="005B4339">
        <w:rPr>
          <w:rFonts w:ascii="Times New Roman" w:eastAsia="Times New Roman" w:hAnsi="Times New Roman"/>
          <w:i/>
          <w:iCs/>
          <w:noProof/>
          <w:sz w:val="24"/>
          <w:szCs w:val="24"/>
          <w:lang w:val="en-IE"/>
        </w:rPr>
        <w:t>industry and consumption stage, Options</w:t>
      </w:r>
      <w:r w:rsidR="00731C09" w:rsidRPr="005B4339">
        <w:rPr>
          <w:rFonts w:ascii="Times New Roman" w:eastAsia="Times New Roman" w:hAnsi="Times New Roman"/>
          <w:i/>
          <w:noProof/>
          <w:sz w:val="24"/>
          <w:szCs w:val="24"/>
          <w:lang w:val="en-IE"/>
        </w:rPr>
        <w:t xml:space="preserve"> vs baseline 2030</w:t>
      </w:r>
      <w:bookmarkEnd w:id="297"/>
      <w:bookmarkEnd w:id="298"/>
    </w:p>
    <w:p w14:paraId="51854552" w14:textId="6C39B5C6" w:rsidR="00794505" w:rsidRPr="005B4339" w:rsidRDefault="1ABEE013" w:rsidP="00794505">
      <w:pPr>
        <w:pStyle w:val="JRCText"/>
        <w:rPr>
          <w:noProof/>
          <w:lang w:val="en-IE"/>
        </w:rPr>
      </w:pPr>
      <w:r w:rsidRPr="005B4339">
        <w:rPr>
          <w:noProof/>
          <w:lang w:eastAsia="en-GB"/>
        </w:rPr>
        <w:drawing>
          <wp:inline distT="0" distB="0" distL="0" distR="0" wp14:anchorId="3814F657" wp14:editId="091784D3">
            <wp:extent cx="5610225" cy="2209026"/>
            <wp:effectExtent l="0" t="0" r="0" b="0"/>
            <wp:docPr id="1645318511" name="Picture 164531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318511"/>
                    <pic:cNvPicPr/>
                  </pic:nvPicPr>
                  <pic:blipFill>
                    <a:blip r:embed="rId49">
                      <a:extLst>
                        <a:ext uri="{28A0092B-C50C-407E-A947-70E740481C1C}">
                          <a14:useLocalDpi xmlns:a14="http://schemas.microsoft.com/office/drawing/2010/main" val="0"/>
                        </a:ext>
                      </a:extLst>
                    </a:blip>
                    <a:stretch>
                      <a:fillRect/>
                    </a:stretch>
                  </pic:blipFill>
                  <pic:spPr>
                    <a:xfrm>
                      <a:off x="0" y="0"/>
                      <a:ext cx="5610225" cy="2209026"/>
                    </a:xfrm>
                    <a:prstGeom prst="rect">
                      <a:avLst/>
                    </a:prstGeom>
                  </pic:spPr>
                </pic:pic>
              </a:graphicData>
            </a:graphic>
          </wp:inline>
        </w:drawing>
      </w:r>
    </w:p>
    <w:p w14:paraId="0E40BF58" w14:textId="59CE4D1A" w:rsidR="00794505" w:rsidRPr="005B4339" w:rsidRDefault="00794505" w:rsidP="00794505">
      <w:pPr>
        <w:pStyle w:val="JRCFiguresource"/>
        <w:rPr>
          <w:noProof/>
          <w:lang w:val="en-IE"/>
        </w:rPr>
      </w:pPr>
      <w:r w:rsidRPr="005B4339">
        <w:rPr>
          <w:noProof/>
          <w:lang w:val="en-IE"/>
        </w:rPr>
        <w:t xml:space="preserve">Source: MAGNET simulation results </w:t>
      </w:r>
    </w:p>
    <w:p w14:paraId="3F789BFD" w14:textId="587A0193" w:rsidR="4480B7DA" w:rsidRPr="005B4339" w:rsidRDefault="4480B7DA" w:rsidP="22E4FE28">
      <w:pPr>
        <w:rPr>
          <w:rFonts w:eastAsia="Times New Roman"/>
          <w:noProof/>
          <w:lang w:val="en-IE"/>
        </w:rPr>
      </w:pPr>
      <w:r w:rsidRPr="005B4339">
        <w:rPr>
          <w:rFonts w:eastAsia="Times New Roman"/>
          <w:noProof/>
          <w:lang w:val="en-IE"/>
        </w:rPr>
        <w:t>Per food commodity group, the largest food waste reductions are expected to happen in sectors where food waste generation is the highest. Vegetables and fruits constitute over 40% of food waste by households with the result that household waste reductions fall commensurately in these sectors. Hence, Option 3 results in food waste reduction by more than 3 000 ktons for vegetables and more than 2 500 ktons for fruits (</w:t>
      </w:r>
      <w:r w:rsidR="002612A1" w:rsidRPr="005B4339">
        <w:rPr>
          <w:rFonts w:eastAsia="Times New Roman"/>
          <w:noProof/>
          <w:lang w:val="en-IE"/>
        </w:rPr>
        <w:fldChar w:fldCharType="begin"/>
      </w:r>
      <w:r w:rsidR="002612A1" w:rsidRPr="005B4339">
        <w:rPr>
          <w:rFonts w:eastAsia="Times New Roman"/>
          <w:noProof/>
          <w:lang w:val="en-IE"/>
        </w:rPr>
        <w:instrText xml:space="preserve"> REF _Ref132976518 \h </w:instrText>
      </w:r>
      <w:r w:rsidR="00034A4B" w:rsidRPr="005B4339">
        <w:rPr>
          <w:rFonts w:eastAsia="Times New Roman"/>
          <w:noProof/>
          <w:lang w:val="en-IE"/>
        </w:rPr>
        <w:instrText xml:space="preserve"> \* MERGEFORMAT </w:instrText>
      </w:r>
      <w:r w:rsidR="002612A1" w:rsidRPr="005B4339">
        <w:rPr>
          <w:rFonts w:eastAsia="Times New Roman"/>
          <w:noProof/>
          <w:lang w:val="en-IE"/>
        </w:rPr>
      </w:r>
      <w:r w:rsidR="002612A1" w:rsidRPr="005B4339">
        <w:rPr>
          <w:rFonts w:eastAsia="Times New Roman"/>
          <w:noProof/>
          <w:lang w:val="en-IE"/>
        </w:rPr>
        <w:fldChar w:fldCharType="separate"/>
      </w:r>
      <w:r w:rsidR="00393DFA" w:rsidRPr="005B4339">
        <w:rPr>
          <w:noProof/>
          <w:lang w:val="en-IE"/>
        </w:rPr>
        <w:t xml:space="preserve">Figure </w:t>
      </w:r>
      <w:r w:rsidR="00393DFA" w:rsidRPr="00393DFA">
        <w:rPr>
          <w:noProof/>
          <w:lang w:val="en-IE"/>
        </w:rPr>
        <w:t>3</w:t>
      </w:r>
      <w:r w:rsidR="002612A1" w:rsidRPr="005B4339">
        <w:rPr>
          <w:rFonts w:eastAsia="Times New Roman"/>
          <w:noProof/>
          <w:lang w:val="en-IE"/>
        </w:rPr>
        <w:fldChar w:fldCharType="end"/>
      </w:r>
      <w:r w:rsidRPr="005B4339">
        <w:rPr>
          <w:rFonts w:eastAsia="Times New Roman"/>
          <w:noProof/>
          <w:lang w:val="en-IE"/>
        </w:rPr>
        <w:t xml:space="preserve">). Households’ out-of-home consumption of food waste is depicted by the food service sector as a whole, and the food waste reductions at this level is also significant (over 3 </w:t>
      </w:r>
      <w:r w:rsidR="0C9DFABA" w:rsidRPr="005B4339">
        <w:rPr>
          <w:rFonts w:eastAsia="Times New Roman"/>
          <w:noProof/>
          <w:lang w:val="en-IE"/>
        </w:rPr>
        <w:t>5</w:t>
      </w:r>
      <w:r w:rsidR="578725F7" w:rsidRPr="005B4339">
        <w:rPr>
          <w:rFonts w:eastAsia="Times New Roman"/>
          <w:noProof/>
          <w:lang w:val="en-IE"/>
        </w:rPr>
        <w:t>00</w:t>
      </w:r>
      <w:r w:rsidRPr="005B4339">
        <w:rPr>
          <w:rFonts w:eastAsia="Times New Roman"/>
          <w:noProof/>
          <w:lang w:val="en-IE"/>
        </w:rPr>
        <w:t xml:space="preserve"> ktons in Option 3). Other food sector comprises mostly packaged and prepared food, where noteworthy reductions are also expected.</w:t>
      </w:r>
    </w:p>
    <w:p w14:paraId="4068ED4C" w14:textId="71664CA7" w:rsidR="00C6342D" w:rsidRPr="005B4339" w:rsidRDefault="00794505" w:rsidP="003B6050">
      <w:pPr>
        <w:pStyle w:val="JRCFigurecaption"/>
        <w:rPr>
          <w:noProof/>
          <w:lang w:val="en-IE"/>
        </w:rPr>
      </w:pPr>
      <w:bookmarkStart w:id="299" w:name="_Ref132976518"/>
      <w:bookmarkStart w:id="300" w:name="_Toc133229330"/>
      <w:bookmarkStart w:id="301" w:name="_Toc139031938"/>
      <w:r w:rsidRPr="005B4339">
        <w:rPr>
          <w:noProof/>
          <w:lang w:val="en-IE"/>
        </w:rPr>
        <w:t xml:space="preserve">Figure </w:t>
      </w:r>
      <w:r w:rsidR="00393DFA">
        <w:rPr>
          <w:bCs/>
          <w:noProof/>
        </w:rPr>
        <w:t>3</w:t>
      </w:r>
      <w:bookmarkEnd w:id="299"/>
      <w:r w:rsidR="00C6342D" w:rsidRPr="005B4339">
        <w:rPr>
          <w:noProof/>
          <w:lang w:val="en-IE"/>
        </w:rPr>
        <w:t xml:space="preserve"> – Change deviations in household food waste quantities per commodity group for EU27 </w:t>
      </w:r>
      <w:r w:rsidR="1EFC7F6D" w:rsidRPr="005B4339">
        <w:rPr>
          <w:noProof/>
          <w:lang w:val="en-IE"/>
        </w:rPr>
        <w:t>options</w:t>
      </w:r>
      <w:r w:rsidR="00C6342D" w:rsidRPr="005B4339">
        <w:rPr>
          <w:noProof/>
          <w:lang w:val="en-IE"/>
        </w:rPr>
        <w:t xml:space="preserve"> vs baseline 2030</w:t>
      </w:r>
      <w:bookmarkEnd w:id="300"/>
      <w:bookmarkEnd w:id="301"/>
    </w:p>
    <w:p w14:paraId="14646656" w14:textId="73C0E66F"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054224A4" wp14:editId="08BB7537">
            <wp:extent cx="5731510" cy="2475230"/>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475230"/>
                    </a:xfrm>
                    <a:prstGeom prst="rect">
                      <a:avLst/>
                    </a:prstGeom>
                    <a:noFill/>
                    <a:ln>
                      <a:noFill/>
                    </a:ln>
                  </pic:spPr>
                </pic:pic>
              </a:graphicData>
            </a:graphic>
          </wp:inline>
        </w:drawing>
      </w:r>
    </w:p>
    <w:p w14:paraId="242B49DA" w14:textId="77777777" w:rsidR="00794505" w:rsidRPr="005B4339" w:rsidRDefault="00794505" w:rsidP="00794505">
      <w:pPr>
        <w:pStyle w:val="JRCFiguresource"/>
        <w:rPr>
          <w:noProof/>
          <w:lang w:val="en-IE"/>
        </w:rPr>
      </w:pPr>
      <w:r w:rsidRPr="005B4339">
        <w:rPr>
          <w:noProof/>
          <w:lang w:val="en-IE"/>
        </w:rPr>
        <w:t xml:space="preserve">Source: MAGNET simulation results </w:t>
      </w:r>
    </w:p>
    <w:p w14:paraId="745DDACD" w14:textId="37A0CD41" w:rsidR="273E5B7E" w:rsidRPr="005B4339" w:rsidRDefault="273E5B7E" w:rsidP="273E5B7E">
      <w:pPr>
        <w:pStyle w:val="JRCText"/>
        <w:rPr>
          <w:noProof/>
          <w:lang w:val="en-IE"/>
        </w:rPr>
      </w:pPr>
    </w:p>
    <w:p w14:paraId="2BBCFD13" w14:textId="46DBDF02" w:rsidR="00794505" w:rsidRPr="005B4339" w:rsidRDefault="00794505">
      <w:pPr>
        <w:pStyle w:val="JRCLevel-2title"/>
        <w:numPr>
          <w:ilvl w:val="1"/>
          <w:numId w:val="161"/>
        </w:numPr>
        <w:rPr>
          <w:rFonts w:ascii="Times New Roman" w:hAnsi="Times New Roman"/>
          <w:noProof/>
          <w:lang w:val="en-IE"/>
        </w:rPr>
      </w:pPr>
      <w:bookmarkStart w:id="302" w:name="_Toc125109491"/>
      <w:bookmarkStart w:id="303" w:name="_Toc801931126"/>
      <w:bookmarkStart w:id="304" w:name="_Toc242102674"/>
      <w:bookmarkStart w:id="305" w:name="_Toc966892437"/>
      <w:bookmarkStart w:id="306" w:name="_Toc13819340"/>
      <w:bookmarkStart w:id="307" w:name="_Toc1309464616"/>
      <w:bookmarkStart w:id="308" w:name="_Toc566598462"/>
      <w:bookmarkStart w:id="309" w:name="_Toc401914696"/>
      <w:bookmarkStart w:id="310" w:name="_Toc139032107"/>
      <w:r w:rsidRPr="005B4339">
        <w:rPr>
          <w:rFonts w:ascii="Times New Roman" w:hAnsi="Times New Roman"/>
          <w:noProof/>
          <w:lang w:val="en-IE"/>
        </w:rPr>
        <w:lastRenderedPageBreak/>
        <w:t>Environmental impacts</w:t>
      </w:r>
      <w:bookmarkEnd w:id="302"/>
      <w:bookmarkEnd w:id="303"/>
      <w:bookmarkEnd w:id="304"/>
      <w:bookmarkEnd w:id="305"/>
      <w:bookmarkEnd w:id="306"/>
      <w:bookmarkEnd w:id="307"/>
      <w:bookmarkEnd w:id="308"/>
      <w:bookmarkEnd w:id="309"/>
      <w:bookmarkEnd w:id="310"/>
      <w:r w:rsidRPr="005B4339">
        <w:rPr>
          <w:rFonts w:ascii="Times New Roman" w:hAnsi="Times New Roman"/>
          <w:noProof/>
          <w:lang w:val="en-IE"/>
        </w:rPr>
        <w:t xml:space="preserve"> </w:t>
      </w:r>
    </w:p>
    <w:p w14:paraId="0C458351" w14:textId="46DBDF02" w:rsidR="00794505" w:rsidRPr="005B4339" w:rsidRDefault="00794505">
      <w:pPr>
        <w:pStyle w:val="JRCLevel-3title"/>
        <w:numPr>
          <w:ilvl w:val="2"/>
          <w:numId w:val="161"/>
        </w:numPr>
        <w:rPr>
          <w:rFonts w:ascii="Times New Roman" w:hAnsi="Times New Roman"/>
          <w:noProof/>
          <w:sz w:val="24"/>
          <w:lang w:val="en-IE"/>
        </w:rPr>
      </w:pPr>
      <w:bookmarkStart w:id="311" w:name="_Toc125109492"/>
      <w:bookmarkStart w:id="312" w:name="_Toc2066713227"/>
      <w:bookmarkStart w:id="313" w:name="_Toc1727995382"/>
      <w:bookmarkStart w:id="314" w:name="_Toc1203131205"/>
      <w:bookmarkStart w:id="315" w:name="_Toc133860133"/>
      <w:bookmarkStart w:id="316" w:name="_Toc438080229"/>
      <w:bookmarkStart w:id="317" w:name="_Toc299461688"/>
      <w:bookmarkStart w:id="318" w:name="_Toc1791865096"/>
      <w:bookmarkStart w:id="319" w:name="_Toc139032108"/>
      <w:r w:rsidRPr="005B4339">
        <w:rPr>
          <w:rFonts w:ascii="Times New Roman" w:hAnsi="Times New Roman"/>
          <w:noProof/>
          <w:sz w:val="24"/>
          <w:lang w:val="en-IE"/>
        </w:rPr>
        <w:t>MAGNET model</w:t>
      </w:r>
      <w:bookmarkEnd w:id="311"/>
      <w:bookmarkEnd w:id="312"/>
      <w:bookmarkEnd w:id="313"/>
      <w:bookmarkEnd w:id="314"/>
      <w:bookmarkEnd w:id="315"/>
      <w:bookmarkEnd w:id="316"/>
      <w:bookmarkEnd w:id="317"/>
      <w:bookmarkEnd w:id="318"/>
      <w:bookmarkEnd w:id="319"/>
      <w:r w:rsidRPr="005B4339">
        <w:rPr>
          <w:rFonts w:ascii="Times New Roman" w:hAnsi="Times New Roman"/>
          <w:noProof/>
          <w:sz w:val="24"/>
          <w:lang w:val="en-IE"/>
        </w:rPr>
        <w:t xml:space="preserve"> </w:t>
      </w:r>
    </w:p>
    <w:p w14:paraId="61CB83DB" w14:textId="46DBDF02" w:rsidR="00794505" w:rsidRPr="005B4339" w:rsidRDefault="00794505">
      <w:pPr>
        <w:pStyle w:val="JRCLevel-4title"/>
        <w:keepLines w:val="0"/>
        <w:numPr>
          <w:ilvl w:val="3"/>
          <w:numId w:val="161"/>
        </w:numPr>
        <w:outlineLvl w:val="3"/>
        <w:rPr>
          <w:rFonts w:ascii="Times New Roman" w:hAnsi="Times New Roman"/>
          <w:noProof/>
          <w:sz w:val="24"/>
          <w:szCs w:val="24"/>
          <w:lang w:val="en-IE"/>
        </w:rPr>
      </w:pPr>
      <w:bookmarkStart w:id="320" w:name="_Toc122604034"/>
      <w:bookmarkStart w:id="321" w:name="_Toc122613122"/>
      <w:bookmarkStart w:id="322" w:name="_Toc125109493"/>
      <w:bookmarkStart w:id="323" w:name="_Toc1376516701"/>
      <w:bookmarkStart w:id="324" w:name="_Toc909468603"/>
      <w:bookmarkStart w:id="325" w:name="_Toc489546703"/>
      <w:bookmarkStart w:id="326" w:name="_Toc1576260345"/>
      <w:bookmarkStart w:id="327" w:name="_Toc1414903300"/>
      <w:bookmarkStart w:id="328" w:name="_Toc480930457"/>
      <w:bookmarkStart w:id="329" w:name="_Toc1334076788"/>
      <w:bookmarkStart w:id="330" w:name="_Toc139032109"/>
      <w:r w:rsidRPr="005B4339">
        <w:rPr>
          <w:rFonts w:ascii="Times New Roman" w:hAnsi="Times New Roman"/>
          <w:noProof/>
          <w:sz w:val="24"/>
          <w:szCs w:val="24"/>
          <w:lang w:val="en-IE"/>
        </w:rPr>
        <w:t>Emissions</w:t>
      </w:r>
      <w:bookmarkEnd w:id="320"/>
      <w:bookmarkEnd w:id="321"/>
      <w:bookmarkEnd w:id="322"/>
      <w:bookmarkEnd w:id="323"/>
      <w:bookmarkEnd w:id="324"/>
      <w:bookmarkEnd w:id="325"/>
      <w:bookmarkEnd w:id="326"/>
      <w:bookmarkEnd w:id="327"/>
      <w:bookmarkEnd w:id="328"/>
      <w:bookmarkEnd w:id="329"/>
      <w:bookmarkEnd w:id="330"/>
    </w:p>
    <w:p w14:paraId="63B81E5F" w14:textId="5742DED4"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results show that savings in amounts of food waste at any stage of food supply chain have a significant positive environmental impact on emissions both within the EU and globally. As explained in the methodological chapters, it is assumed that reduced household food expenditures result in rising non-food expenditures (savings rates are assumed fixed across all </w:t>
      </w:r>
      <w:r w:rsidR="00ED5B2A" w:rsidRPr="005B4339">
        <w:rPr>
          <w:rFonts w:ascii="Times New Roman" w:hAnsi="Times New Roman"/>
          <w:noProof/>
          <w:sz w:val="24"/>
          <w:szCs w:val="24"/>
          <w:lang w:val="en-IE"/>
        </w:rPr>
        <w:t>options</w:t>
      </w:r>
      <w:r w:rsidRPr="005B4339">
        <w:rPr>
          <w:rFonts w:ascii="Times New Roman" w:hAnsi="Times New Roman"/>
          <w:noProof/>
          <w:sz w:val="24"/>
          <w:szCs w:val="24"/>
          <w:lang w:val="en-IE"/>
        </w:rPr>
        <w:t>) such that there is an increase in emissions from other economic activities (</w:t>
      </w:r>
      <w:r w:rsidR="002612A1" w:rsidRPr="005B4339">
        <w:rPr>
          <w:rFonts w:ascii="Times New Roman" w:hAnsi="Times New Roman"/>
          <w:noProof/>
          <w:sz w:val="24"/>
          <w:szCs w:val="24"/>
          <w:lang w:val="en-IE"/>
        </w:rPr>
        <w:fldChar w:fldCharType="begin"/>
      </w:r>
      <w:r w:rsidR="002612A1" w:rsidRPr="005B4339">
        <w:rPr>
          <w:rFonts w:ascii="Times New Roman" w:hAnsi="Times New Roman"/>
          <w:noProof/>
          <w:sz w:val="24"/>
          <w:szCs w:val="24"/>
          <w:lang w:val="en-IE"/>
        </w:rPr>
        <w:instrText xml:space="preserve"> REF _Ref132976569 \h  \* MERGEFORMAT </w:instrText>
      </w:r>
      <w:r w:rsidR="002612A1" w:rsidRPr="005B4339">
        <w:rPr>
          <w:rFonts w:ascii="Times New Roman" w:hAnsi="Times New Roman"/>
          <w:noProof/>
          <w:sz w:val="24"/>
          <w:szCs w:val="24"/>
          <w:lang w:val="en-IE"/>
        </w:rPr>
      </w:r>
      <w:r w:rsidR="002612A1"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noProof/>
          <w:sz w:val="24"/>
          <w:lang w:val="en-IE"/>
        </w:rPr>
        <w:t>4</w:t>
      </w:r>
      <w:r w:rsidR="002612A1"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w:t>
      </w:r>
      <w:r w:rsidR="00D82BD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p>
    <w:p w14:paraId="20ACDDAC" w14:textId="41627504" w:rsidR="00AF7014" w:rsidRPr="005B4339" w:rsidRDefault="00AF7014" w:rsidP="00AF7014">
      <w:pPr>
        <w:pStyle w:val="JRCText"/>
        <w:rPr>
          <w:noProof/>
          <w:lang w:val="en-IE"/>
        </w:rPr>
      </w:pPr>
    </w:p>
    <w:p w14:paraId="29720665" w14:textId="5F981F09" w:rsidR="00C6342D" w:rsidRPr="005B4339" w:rsidRDefault="00C6342D" w:rsidP="003B6050">
      <w:pPr>
        <w:pStyle w:val="JRCFigurecaption"/>
        <w:rPr>
          <w:noProof/>
          <w:lang w:val="en-IE"/>
        </w:rPr>
      </w:pPr>
      <w:bookmarkStart w:id="331" w:name="_Ref132976569"/>
      <w:bookmarkStart w:id="332" w:name="_Toc133229331"/>
      <w:bookmarkStart w:id="333" w:name="_Toc139031939"/>
      <w:r w:rsidRPr="005B4339">
        <w:rPr>
          <w:noProof/>
          <w:lang w:val="en-IE"/>
        </w:rPr>
        <w:t xml:space="preserve">Figure </w:t>
      </w:r>
      <w:r w:rsidR="00393DFA">
        <w:rPr>
          <w:noProof/>
        </w:rPr>
        <w:t>4</w:t>
      </w:r>
      <w:bookmarkEnd w:id="331"/>
      <w:r w:rsidRPr="005B4339">
        <w:rPr>
          <w:noProof/>
          <w:lang w:val="en-IE"/>
        </w:rPr>
        <w:t xml:space="preserve"> – Absolute deviation of direct emissions in the EU27 (mt CO2 equivalent) </w:t>
      </w:r>
      <w:r w:rsidR="79D32EE4" w:rsidRPr="005B4339">
        <w:rPr>
          <w:noProof/>
          <w:lang w:val="en-IE"/>
        </w:rPr>
        <w:t>options</w:t>
      </w:r>
      <w:r w:rsidRPr="005B4339">
        <w:rPr>
          <w:noProof/>
          <w:lang w:val="en-IE"/>
        </w:rPr>
        <w:t xml:space="preserve"> vs baseline 2030</w:t>
      </w:r>
      <w:bookmarkEnd w:id="332"/>
      <w:bookmarkEnd w:id="333"/>
    </w:p>
    <w:p w14:paraId="166C090A" w14:textId="4375F9A6"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40181B18" wp14:editId="69A1071E">
            <wp:extent cx="5731510" cy="2646680"/>
            <wp:effectExtent l="0" t="0" r="254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646680"/>
                    </a:xfrm>
                    <a:prstGeom prst="rect">
                      <a:avLst/>
                    </a:prstGeom>
                    <a:noFill/>
                    <a:ln>
                      <a:noFill/>
                    </a:ln>
                  </pic:spPr>
                </pic:pic>
              </a:graphicData>
            </a:graphic>
          </wp:inline>
        </w:drawing>
      </w:r>
    </w:p>
    <w:p w14:paraId="3F177867" w14:textId="07BB9FD3" w:rsidR="00794505" w:rsidRPr="005B4339" w:rsidRDefault="00794505" w:rsidP="00794505">
      <w:pPr>
        <w:pStyle w:val="JRCFiguresource"/>
        <w:rPr>
          <w:noProof/>
          <w:lang w:val="en-IE"/>
        </w:rPr>
      </w:pPr>
      <w:r w:rsidRPr="005B4339">
        <w:rPr>
          <w:noProof/>
          <w:lang w:val="en-IE"/>
        </w:rPr>
        <w:t>Source: MAGNET simulation results</w:t>
      </w:r>
    </w:p>
    <w:p w14:paraId="22AD7488" w14:textId="42C1BAC4" w:rsidR="00C6342D" w:rsidRPr="005B4339" w:rsidRDefault="002612A1" w:rsidP="00C6342D">
      <w:pPr>
        <w:pStyle w:val="JRCText"/>
        <w:rPr>
          <w:rFonts w:ascii="Times New Roman" w:hAnsi="Times New Roman"/>
          <w:noProof/>
          <w:sz w:val="24"/>
          <w:szCs w:val="24"/>
          <w:lang w:val="en-IE"/>
        </w:rPr>
      </w:pPr>
      <w:r w:rsidRPr="005B4339">
        <w:rPr>
          <w:rFonts w:ascii="Times New Roman" w:hAnsi="Times New Roman"/>
          <w:noProof/>
          <w:sz w:val="32"/>
          <w:szCs w:val="24"/>
          <w:lang w:val="en-IE"/>
        </w:rPr>
        <w:fldChar w:fldCharType="begin"/>
      </w:r>
      <w:r w:rsidRPr="005B4339">
        <w:rPr>
          <w:rFonts w:ascii="Times New Roman" w:hAnsi="Times New Roman"/>
          <w:noProof/>
          <w:sz w:val="32"/>
          <w:szCs w:val="24"/>
          <w:lang w:val="en-IE"/>
        </w:rPr>
        <w:instrText xml:space="preserve"> REF _Ref132976607 \h  \* MERGEFORMAT </w:instrText>
      </w:r>
      <w:r w:rsidRPr="005B4339">
        <w:rPr>
          <w:rFonts w:ascii="Times New Roman" w:hAnsi="Times New Roman"/>
          <w:noProof/>
          <w:sz w:val="32"/>
          <w:szCs w:val="24"/>
          <w:lang w:val="en-IE"/>
        </w:rPr>
      </w:r>
      <w:r w:rsidRPr="005B4339">
        <w:rPr>
          <w:rFonts w:ascii="Times New Roman" w:hAnsi="Times New Roman"/>
          <w:noProof/>
          <w:sz w:val="32"/>
          <w:szCs w:val="24"/>
          <w:lang w:val="en-IE"/>
        </w:rPr>
        <w:fldChar w:fldCharType="separate"/>
      </w:r>
      <w:r w:rsidR="00393DFA" w:rsidRPr="00393DFA">
        <w:rPr>
          <w:rFonts w:ascii="Times New Roman" w:hAnsi="Times New Roman"/>
          <w:noProof/>
          <w:sz w:val="24"/>
          <w:lang w:val="en-IE"/>
        </w:rPr>
        <w:t>Figure 5</w:t>
      </w:r>
      <w:r w:rsidRPr="005B4339">
        <w:rPr>
          <w:rFonts w:ascii="Times New Roman" w:hAnsi="Times New Roman"/>
          <w:noProof/>
          <w:sz w:val="32"/>
          <w:szCs w:val="24"/>
          <w:lang w:val="en-IE"/>
        </w:rPr>
        <w:fldChar w:fldCharType="end"/>
      </w:r>
      <w:r w:rsidR="00C6342D" w:rsidRPr="005B4339">
        <w:rPr>
          <w:rFonts w:ascii="Times New Roman" w:hAnsi="Times New Roman"/>
          <w:noProof/>
          <w:sz w:val="24"/>
          <w:szCs w:val="24"/>
          <w:lang w:val="en-IE"/>
        </w:rPr>
        <w:t xml:space="preserve"> depicts absolute deviations of direct emissions associated with agri</w:t>
      </w:r>
      <w:r w:rsidR="00D42216"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food for the EU and non-EU. In connection with food waste reduction in the EU</w:t>
      </w:r>
      <w:r w:rsidR="00581D2E"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 a decrease in direct emissions in the rest of the world is also expected</w:t>
      </w:r>
      <w:r w:rsidR="008C06C9" w:rsidRPr="005B4339">
        <w:rPr>
          <w:rFonts w:ascii="Times New Roman" w:hAnsi="Times New Roman"/>
          <w:noProof/>
          <w:sz w:val="24"/>
          <w:szCs w:val="24"/>
          <w:lang w:val="en-IE"/>
        </w:rPr>
        <w:t>, resulting from</w:t>
      </w:r>
      <w:r w:rsidR="00C6342D" w:rsidRPr="005B4339">
        <w:rPr>
          <w:rFonts w:ascii="Times New Roman" w:hAnsi="Times New Roman"/>
          <w:noProof/>
          <w:sz w:val="24"/>
          <w:szCs w:val="24"/>
          <w:lang w:val="en-IE"/>
        </w:rPr>
        <w:t xml:space="preserve"> the EU’s reduced agri</w:t>
      </w:r>
      <w:r w:rsidR="00D42216"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food import demand in particular. </w:t>
      </w:r>
    </w:p>
    <w:p w14:paraId="735C459E" w14:textId="0963DEBE" w:rsidR="00C6342D" w:rsidRPr="005B4339" w:rsidRDefault="00C6342D" w:rsidP="003B6050">
      <w:pPr>
        <w:pStyle w:val="JRCFigurecaption"/>
        <w:rPr>
          <w:noProof/>
          <w:lang w:val="en-IE"/>
        </w:rPr>
      </w:pPr>
      <w:bookmarkStart w:id="334" w:name="_Ref132976607"/>
      <w:bookmarkStart w:id="335" w:name="_Toc133229332"/>
      <w:bookmarkStart w:id="336" w:name="_Toc139031940"/>
      <w:r w:rsidRPr="005B4339">
        <w:rPr>
          <w:noProof/>
          <w:lang w:val="en-IE"/>
        </w:rPr>
        <w:t xml:space="preserve">Figure </w:t>
      </w:r>
      <w:r w:rsidR="00393DFA">
        <w:rPr>
          <w:noProof/>
        </w:rPr>
        <w:t>5</w:t>
      </w:r>
      <w:bookmarkEnd w:id="334"/>
      <w:r w:rsidRPr="005B4339">
        <w:rPr>
          <w:noProof/>
          <w:lang w:val="en-IE"/>
        </w:rPr>
        <w:t xml:space="preserve">–Absolute deviation of direct emissions associated with </w:t>
      </w:r>
      <w:r w:rsidR="00D42216" w:rsidRPr="005B4339">
        <w:rPr>
          <w:noProof/>
          <w:lang w:val="en-IE"/>
        </w:rPr>
        <w:t>a</w:t>
      </w:r>
      <w:r w:rsidRPr="005B4339">
        <w:rPr>
          <w:noProof/>
          <w:lang w:val="en-IE"/>
        </w:rPr>
        <w:t>gri</w:t>
      </w:r>
      <w:r w:rsidR="00D42216" w:rsidRPr="005B4339">
        <w:rPr>
          <w:noProof/>
          <w:lang w:val="en-IE"/>
        </w:rPr>
        <w:t>-f</w:t>
      </w:r>
      <w:r w:rsidRPr="005B4339">
        <w:rPr>
          <w:noProof/>
          <w:lang w:val="en-IE"/>
        </w:rPr>
        <w:t xml:space="preserve">ood (mt CO2 equivalent) </w:t>
      </w:r>
      <w:r w:rsidR="5D3504AE" w:rsidRPr="005B4339">
        <w:rPr>
          <w:noProof/>
          <w:lang w:val="en-IE"/>
        </w:rPr>
        <w:t>options</w:t>
      </w:r>
      <w:r w:rsidRPr="005B4339">
        <w:rPr>
          <w:noProof/>
          <w:lang w:val="en-IE"/>
        </w:rPr>
        <w:t xml:space="preserve"> vs baseline 2030</w:t>
      </w:r>
      <w:bookmarkEnd w:id="335"/>
      <w:bookmarkEnd w:id="336"/>
      <w:r w:rsidRPr="005B4339">
        <w:rPr>
          <w:noProof/>
          <w:lang w:val="en-IE"/>
        </w:rPr>
        <w:t xml:space="preserve"> </w:t>
      </w:r>
    </w:p>
    <w:p w14:paraId="35E7B1CA" w14:textId="10E56253" w:rsidR="00C6342D" w:rsidRPr="005B4339" w:rsidRDefault="004928CC" w:rsidP="00C6342D">
      <w:pPr>
        <w:pStyle w:val="JRCText"/>
        <w:rPr>
          <w:rFonts w:ascii="Times New Roman" w:hAnsi="Times New Roman"/>
          <w:noProof/>
          <w:sz w:val="24"/>
          <w:szCs w:val="24"/>
          <w:lang w:val="en-IE"/>
        </w:rPr>
      </w:pPr>
      <w:r w:rsidRPr="004928CC">
        <w:lastRenderedPageBreak/>
        <w:drawing>
          <wp:inline distT="0" distB="0" distL="0" distR="0" wp14:anchorId="387A03EE" wp14:editId="5DC6061D">
            <wp:extent cx="5724525" cy="2647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14:paraId="4E5E2A7C" w14:textId="17768698" w:rsidR="00C6342D" w:rsidRPr="005B4339" w:rsidRDefault="00C6342D" w:rsidP="00AF7014">
      <w:pPr>
        <w:pStyle w:val="JRCFiguresource"/>
        <w:rPr>
          <w:noProof/>
          <w:lang w:val="en-IE"/>
        </w:rPr>
      </w:pPr>
      <w:r w:rsidRPr="005B4339">
        <w:rPr>
          <w:noProof/>
          <w:lang w:val="en-IE"/>
        </w:rPr>
        <w:t>Source: MAGNET simulation results</w:t>
      </w:r>
    </w:p>
    <w:p w14:paraId="0F362024" w14:textId="151308F8" w:rsidR="01EF847B" w:rsidRPr="005B4339" w:rsidRDefault="01EF847B" w:rsidP="00034A4B">
      <w:pPr>
        <w:pStyle w:val="JRCText"/>
        <w:rPr>
          <w:rFonts w:eastAsia="Times New Roman"/>
          <w:noProof/>
          <w:lang w:val="en-IE"/>
        </w:rPr>
      </w:pPr>
      <w:r w:rsidRPr="005B4339">
        <w:rPr>
          <w:rFonts w:ascii="Times New Roman" w:eastAsia="Times New Roman" w:hAnsi="Times New Roman"/>
          <w:noProof/>
          <w:sz w:val="24"/>
          <w:szCs w:val="24"/>
          <w:lang w:val="en-IE"/>
        </w:rPr>
        <w:t>It should be noted that the modelling does not take into account other policy constraints, such as the national greenhouse gas emissions reduction targets established in the EU. In reality the rebound effect may actually translate in the need to take less measures in other sectors to achieve the agreed GHG reduction targets, reducing overall mitigation costs in the economy with the same environmental effect</w:t>
      </w:r>
    </w:p>
    <w:p w14:paraId="0D90B1F0" w14:textId="46DBDF02" w:rsidR="00C6342D" w:rsidRPr="005B4339" w:rsidRDefault="00C6342D">
      <w:pPr>
        <w:pStyle w:val="JRCLevel-4title"/>
        <w:keepLines w:val="0"/>
        <w:numPr>
          <w:ilvl w:val="3"/>
          <w:numId w:val="161"/>
        </w:numPr>
        <w:outlineLvl w:val="3"/>
        <w:rPr>
          <w:rFonts w:ascii="Times New Roman" w:hAnsi="Times New Roman"/>
          <w:noProof/>
          <w:sz w:val="24"/>
          <w:szCs w:val="24"/>
          <w:lang w:val="en-IE"/>
        </w:rPr>
      </w:pPr>
      <w:bookmarkStart w:id="337" w:name="_Toc1734884863"/>
      <w:bookmarkStart w:id="338" w:name="_Toc929983463"/>
      <w:bookmarkStart w:id="339" w:name="_Toc349122299"/>
      <w:bookmarkStart w:id="340" w:name="_Toc1295214769"/>
      <w:bookmarkStart w:id="341" w:name="_Toc1027264697"/>
      <w:bookmarkStart w:id="342" w:name="_Toc1793258922"/>
      <w:bookmarkStart w:id="343" w:name="_Toc1503727639"/>
      <w:bookmarkStart w:id="344" w:name="_Toc1694616012"/>
      <w:bookmarkStart w:id="345" w:name="_Toc139032110"/>
      <w:r w:rsidRPr="005B4339">
        <w:rPr>
          <w:rFonts w:ascii="Times New Roman" w:hAnsi="Times New Roman"/>
          <w:noProof/>
          <w:sz w:val="24"/>
          <w:szCs w:val="24"/>
          <w:lang w:val="en-IE"/>
        </w:rPr>
        <w:t>Land use</w:t>
      </w:r>
      <w:bookmarkEnd w:id="337"/>
      <w:bookmarkEnd w:id="338"/>
      <w:bookmarkEnd w:id="339"/>
      <w:bookmarkEnd w:id="340"/>
      <w:bookmarkEnd w:id="341"/>
      <w:bookmarkEnd w:id="342"/>
      <w:bookmarkEnd w:id="343"/>
      <w:bookmarkEnd w:id="344"/>
      <w:bookmarkEnd w:id="345"/>
    </w:p>
    <w:p w14:paraId="03070455" w14:textId="1E0EF08A"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Food waste reduction </w:t>
      </w:r>
      <w:r w:rsidR="005F503B" w:rsidRPr="005B4339">
        <w:rPr>
          <w:rFonts w:ascii="Times New Roman" w:hAnsi="Times New Roman"/>
          <w:noProof/>
          <w:sz w:val="24"/>
          <w:szCs w:val="24"/>
          <w:lang w:val="en-IE"/>
        </w:rPr>
        <w:t>options</w:t>
      </w:r>
      <w:r w:rsidRPr="005B4339">
        <w:rPr>
          <w:rFonts w:ascii="Times New Roman" w:hAnsi="Times New Roman"/>
          <w:noProof/>
          <w:sz w:val="24"/>
          <w:szCs w:val="24"/>
          <w:lang w:val="en-IE"/>
        </w:rPr>
        <w:t xml:space="preserve"> in general </w:t>
      </w:r>
      <w:r w:rsidR="7D4E0D37" w:rsidRPr="005B4339">
        <w:rPr>
          <w:rFonts w:ascii="Times New Roman" w:hAnsi="Times New Roman"/>
          <w:noProof/>
          <w:sz w:val="24"/>
          <w:szCs w:val="24"/>
          <w:lang w:val="en-IE"/>
        </w:rPr>
        <w:t>lead</w:t>
      </w:r>
      <w:r w:rsidRPr="005B4339">
        <w:rPr>
          <w:rFonts w:ascii="Times New Roman" w:hAnsi="Times New Roman"/>
          <w:noProof/>
          <w:sz w:val="24"/>
          <w:szCs w:val="24"/>
          <w:lang w:val="en-IE"/>
        </w:rPr>
        <w:t xml:space="preserve"> to slight decreases in land use driven by changes in demand and production. </w:t>
      </w:r>
      <w:r w:rsidR="0030512E"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highest decrease </w:t>
      </w:r>
      <w:r w:rsidR="0030512E" w:rsidRPr="005B4339">
        <w:rPr>
          <w:rFonts w:ascii="Times New Roman" w:hAnsi="Times New Roman"/>
          <w:noProof/>
          <w:sz w:val="24"/>
          <w:szCs w:val="24"/>
          <w:lang w:val="en-IE"/>
        </w:rPr>
        <w:t>(by hectare)</w:t>
      </w:r>
      <w:r w:rsidRPr="005B4339">
        <w:rPr>
          <w:rFonts w:ascii="Times New Roman" w:hAnsi="Times New Roman"/>
          <w:noProof/>
          <w:sz w:val="24"/>
          <w:szCs w:val="24"/>
          <w:lang w:val="en-IE"/>
        </w:rPr>
        <w:t xml:space="preserve"> is </w:t>
      </w:r>
      <w:r w:rsidR="0030512E" w:rsidRPr="005B4339">
        <w:rPr>
          <w:rFonts w:ascii="Times New Roman" w:hAnsi="Times New Roman"/>
          <w:noProof/>
          <w:sz w:val="24"/>
          <w:szCs w:val="24"/>
          <w:lang w:val="en-IE"/>
        </w:rPr>
        <w:t xml:space="preserve">expected </w:t>
      </w:r>
      <w:r w:rsidRPr="005B4339">
        <w:rPr>
          <w:rFonts w:ascii="Times New Roman" w:hAnsi="Times New Roman"/>
          <w:noProof/>
          <w:sz w:val="24"/>
          <w:szCs w:val="24"/>
          <w:lang w:val="en-IE"/>
        </w:rPr>
        <w:t xml:space="preserve">to </w:t>
      </w:r>
      <w:r w:rsidR="0030512E" w:rsidRPr="005B4339">
        <w:rPr>
          <w:rFonts w:ascii="Times New Roman" w:hAnsi="Times New Roman"/>
          <w:noProof/>
          <w:sz w:val="24"/>
          <w:szCs w:val="24"/>
          <w:lang w:val="en-IE"/>
        </w:rPr>
        <w:t>occur</w:t>
      </w:r>
      <w:r w:rsidRPr="005B4339">
        <w:rPr>
          <w:rFonts w:ascii="Times New Roman" w:hAnsi="Times New Roman"/>
          <w:noProof/>
          <w:sz w:val="24"/>
          <w:szCs w:val="24"/>
          <w:lang w:val="en-IE"/>
        </w:rPr>
        <w:t xml:space="preserve"> in pastureland</w:t>
      </w:r>
      <w:r w:rsidR="0030512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with a decrease of 500</w:t>
      </w:r>
      <w:r w:rsidR="00DA1406" w:rsidRPr="005B4339">
        <w:rPr>
          <w:rFonts w:ascii="Times New Roman" w:hAnsi="Times New Roman"/>
          <w:noProof/>
          <w:sz w:val="24"/>
          <w:szCs w:val="24"/>
          <w:lang w:val="en-IE"/>
        </w:rPr>
        <w:t xml:space="preserve"> 000 hectares in Option 3 </w:t>
      </w:r>
      <w:r w:rsidR="00DA1406" w:rsidRPr="005B4339">
        <w:rPr>
          <w:rFonts w:ascii="Times New Roman" w:hAnsi="Times New Roman"/>
          <w:noProof/>
          <w:sz w:val="32"/>
          <w:szCs w:val="24"/>
          <w:lang w:val="en-IE"/>
        </w:rPr>
        <w:t>(</w:t>
      </w:r>
      <w:r w:rsidR="002612A1" w:rsidRPr="005B4339">
        <w:rPr>
          <w:rFonts w:ascii="Times New Roman" w:hAnsi="Times New Roman"/>
          <w:noProof/>
          <w:sz w:val="24"/>
          <w:szCs w:val="24"/>
          <w:lang w:val="en-IE"/>
        </w:rPr>
        <w:fldChar w:fldCharType="begin"/>
      </w:r>
      <w:r w:rsidR="002612A1" w:rsidRPr="005B4339">
        <w:rPr>
          <w:rFonts w:ascii="Times New Roman" w:hAnsi="Times New Roman"/>
          <w:noProof/>
          <w:sz w:val="24"/>
          <w:szCs w:val="24"/>
          <w:lang w:val="en-IE"/>
        </w:rPr>
        <w:instrText xml:space="preserve"> REF _Ref132976683 \h  \* MERGEFORMAT </w:instrText>
      </w:r>
      <w:r w:rsidR="002612A1" w:rsidRPr="005B4339">
        <w:rPr>
          <w:rFonts w:ascii="Times New Roman" w:hAnsi="Times New Roman"/>
          <w:noProof/>
          <w:sz w:val="24"/>
          <w:szCs w:val="24"/>
          <w:lang w:val="en-IE"/>
        </w:rPr>
      </w:r>
      <w:r w:rsidR="002612A1"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w:t>
      </w:r>
      <w:r w:rsidR="002612A1"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However, this e only corresponds </w:t>
      </w:r>
      <w:r w:rsidR="00ED4E81" w:rsidRPr="005B4339">
        <w:rPr>
          <w:rFonts w:ascii="Times New Roman" w:hAnsi="Times New Roman"/>
          <w:noProof/>
          <w:sz w:val="24"/>
          <w:szCs w:val="24"/>
          <w:lang w:val="en-IE"/>
        </w:rPr>
        <w:t xml:space="preserve">a </w:t>
      </w:r>
      <w:r w:rsidR="008F2465" w:rsidRPr="005B4339">
        <w:rPr>
          <w:rFonts w:ascii="Times New Roman" w:hAnsi="Times New Roman"/>
          <w:noProof/>
          <w:sz w:val="24"/>
          <w:szCs w:val="24"/>
          <w:lang w:val="en-IE"/>
        </w:rPr>
        <w:t>decrease</w:t>
      </w:r>
      <w:r w:rsidR="00ED4E81" w:rsidRPr="005B4339">
        <w:rPr>
          <w:rFonts w:ascii="Times New Roman" w:hAnsi="Times New Roman"/>
          <w:noProof/>
          <w:sz w:val="24"/>
          <w:szCs w:val="24"/>
          <w:lang w:val="en-IE"/>
        </w:rPr>
        <w:t xml:space="preserve"> of </w:t>
      </w:r>
      <w:r w:rsidRPr="005B4339">
        <w:rPr>
          <w:rFonts w:ascii="Times New Roman" w:hAnsi="Times New Roman"/>
          <w:noProof/>
          <w:sz w:val="24"/>
          <w:szCs w:val="24"/>
          <w:lang w:val="en-IE"/>
        </w:rPr>
        <w:t>up to 0.77%</w:t>
      </w:r>
      <w:r w:rsidR="00DA1406" w:rsidRPr="005B4339">
        <w:rPr>
          <w:rFonts w:ascii="Times New Roman" w:hAnsi="Times New Roman"/>
          <w:noProof/>
          <w:sz w:val="24"/>
          <w:szCs w:val="24"/>
          <w:lang w:val="en-IE"/>
        </w:rPr>
        <w:t xml:space="preserve"> (</w:t>
      </w:r>
      <w:r w:rsidR="002612A1" w:rsidRPr="005B4339">
        <w:rPr>
          <w:rFonts w:ascii="Times New Roman" w:hAnsi="Times New Roman"/>
          <w:noProof/>
          <w:sz w:val="24"/>
          <w:szCs w:val="24"/>
          <w:lang w:val="en-IE"/>
        </w:rPr>
        <w:fldChar w:fldCharType="begin"/>
      </w:r>
      <w:r w:rsidR="002612A1" w:rsidRPr="005B4339">
        <w:rPr>
          <w:rFonts w:ascii="Times New Roman" w:hAnsi="Times New Roman"/>
          <w:noProof/>
          <w:sz w:val="24"/>
          <w:szCs w:val="24"/>
          <w:lang w:val="en-IE"/>
        </w:rPr>
        <w:instrText xml:space="preserve"> REF _Ref125109007 \h </w:instrText>
      </w:r>
      <w:r w:rsidR="00AF30B8" w:rsidRPr="005B4339">
        <w:rPr>
          <w:rFonts w:ascii="Times New Roman" w:hAnsi="Times New Roman"/>
          <w:noProof/>
          <w:sz w:val="24"/>
          <w:szCs w:val="24"/>
          <w:lang w:val="en-IE"/>
        </w:rPr>
        <w:instrText xml:space="preserve"> \* MERGEFORMAT </w:instrText>
      </w:r>
      <w:r w:rsidR="002612A1" w:rsidRPr="005B4339">
        <w:rPr>
          <w:rFonts w:ascii="Times New Roman" w:hAnsi="Times New Roman"/>
          <w:noProof/>
          <w:sz w:val="24"/>
          <w:szCs w:val="24"/>
          <w:lang w:val="en-IE"/>
        </w:rPr>
      </w:r>
      <w:r w:rsidR="002612A1"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w:t>
      </w:r>
      <w:r w:rsidR="002612A1" w:rsidRPr="005B4339">
        <w:rPr>
          <w:rFonts w:ascii="Times New Roman" w:hAnsi="Times New Roman"/>
          <w:noProof/>
          <w:sz w:val="24"/>
          <w:szCs w:val="24"/>
          <w:lang w:val="en-IE"/>
        </w:rPr>
        <w:fldChar w:fldCharType="end"/>
      </w:r>
      <w:r w:rsidR="00DA140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Although limited, </w:t>
      </w:r>
      <w:r w:rsidR="00ED4E81"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highest percentage change in land demand is expected in the vegetables sector as a result of decreasing demand and production in this sector.</w:t>
      </w:r>
    </w:p>
    <w:p w14:paraId="3F3DD093" w14:textId="5447EF03" w:rsidR="00C6342D" w:rsidRPr="005B4339" w:rsidRDefault="00C6342D" w:rsidP="003B6050">
      <w:pPr>
        <w:pStyle w:val="JRCFigurecaption"/>
        <w:rPr>
          <w:noProof/>
          <w:lang w:val="en-IE"/>
        </w:rPr>
      </w:pPr>
      <w:bookmarkStart w:id="346" w:name="_Ref132976683"/>
      <w:bookmarkStart w:id="347" w:name="_Toc133229333"/>
      <w:bookmarkStart w:id="348" w:name="_Toc139031941"/>
      <w:r w:rsidRPr="005B4339">
        <w:rPr>
          <w:noProof/>
          <w:lang w:val="en-IE"/>
        </w:rPr>
        <w:t xml:space="preserve">Figure </w:t>
      </w:r>
      <w:r w:rsidR="00393DFA">
        <w:rPr>
          <w:noProof/>
        </w:rPr>
        <w:t>6</w:t>
      </w:r>
      <w:bookmarkEnd w:id="346"/>
      <w:r w:rsidRPr="005B4339">
        <w:rPr>
          <w:noProof/>
          <w:lang w:val="en-IE"/>
        </w:rPr>
        <w:t xml:space="preserve">: Absolute deviation in land use in the EU (thousand hectares) </w:t>
      </w:r>
      <w:r w:rsidR="00AF30B8" w:rsidRPr="005B4339">
        <w:rPr>
          <w:noProof/>
          <w:lang w:val="en-IE"/>
        </w:rPr>
        <w:t>option</w:t>
      </w:r>
      <w:r w:rsidRPr="005B4339">
        <w:rPr>
          <w:noProof/>
          <w:lang w:val="en-IE"/>
        </w:rPr>
        <w:t>s vs baseline 2030</w:t>
      </w:r>
      <w:bookmarkEnd w:id="347"/>
      <w:bookmarkEnd w:id="348"/>
    </w:p>
    <w:p w14:paraId="41776AE0" w14:textId="68AE2E5B"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56C9DD46" wp14:editId="020F5E4F">
            <wp:extent cx="5731510" cy="1942465"/>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942465"/>
                    </a:xfrm>
                    <a:prstGeom prst="rect">
                      <a:avLst/>
                    </a:prstGeom>
                    <a:noFill/>
                    <a:ln>
                      <a:noFill/>
                    </a:ln>
                  </pic:spPr>
                </pic:pic>
              </a:graphicData>
            </a:graphic>
          </wp:inline>
        </w:drawing>
      </w:r>
    </w:p>
    <w:p w14:paraId="1D4BEB32" w14:textId="07BB9FD3" w:rsidR="00C6342D" w:rsidRPr="005B4339" w:rsidRDefault="00C6342D" w:rsidP="00C6342D">
      <w:pPr>
        <w:pStyle w:val="JRCFiguresource"/>
        <w:rPr>
          <w:noProof/>
          <w:lang w:val="en-IE"/>
        </w:rPr>
      </w:pPr>
      <w:r w:rsidRPr="005B4339">
        <w:rPr>
          <w:noProof/>
          <w:lang w:val="en-IE"/>
        </w:rPr>
        <w:t>Source: MAGNET simulation results</w:t>
      </w:r>
    </w:p>
    <w:p w14:paraId="048A8C26" w14:textId="03B322AF" w:rsidR="00C6342D" w:rsidRPr="005B4339" w:rsidRDefault="00794505" w:rsidP="003B6050">
      <w:pPr>
        <w:pStyle w:val="JRCFigurecaption"/>
        <w:rPr>
          <w:noProof/>
          <w:lang w:val="en-IE"/>
        </w:rPr>
      </w:pPr>
      <w:bookmarkStart w:id="349" w:name="_Ref125109007"/>
      <w:bookmarkStart w:id="350" w:name="_Toc133229334"/>
      <w:bookmarkStart w:id="351" w:name="_Toc139031942"/>
      <w:bookmarkStart w:id="352" w:name="_Toc125121521"/>
      <w:r w:rsidRPr="005B4339">
        <w:rPr>
          <w:noProof/>
          <w:lang w:val="en-IE"/>
        </w:rPr>
        <w:t xml:space="preserve">Figure </w:t>
      </w:r>
      <w:r w:rsidR="00393DFA">
        <w:rPr>
          <w:bCs/>
          <w:noProof/>
        </w:rPr>
        <w:t>7</w:t>
      </w:r>
      <w:bookmarkEnd w:id="349"/>
      <w:r w:rsidR="00C6342D" w:rsidRPr="005B4339">
        <w:rPr>
          <w:noProof/>
          <w:lang w:val="en-IE"/>
        </w:rPr>
        <w:t xml:space="preserve">: Deviation in land use in the EU (% change) </w:t>
      </w:r>
      <w:r w:rsidR="7EA3BB7F" w:rsidRPr="005B4339">
        <w:rPr>
          <w:noProof/>
          <w:lang w:val="en-IE"/>
        </w:rPr>
        <w:t>option</w:t>
      </w:r>
      <w:r w:rsidR="7D4E0D37" w:rsidRPr="005B4339">
        <w:rPr>
          <w:noProof/>
          <w:lang w:val="en-IE"/>
        </w:rPr>
        <w:t>s</w:t>
      </w:r>
      <w:r w:rsidR="00C6342D" w:rsidRPr="005B4339">
        <w:rPr>
          <w:noProof/>
          <w:lang w:val="en-IE"/>
        </w:rPr>
        <w:t xml:space="preserve"> vs baseline 2030 (baseline in 2020 =100)</w:t>
      </w:r>
      <w:bookmarkEnd w:id="350"/>
      <w:bookmarkEnd w:id="351"/>
    </w:p>
    <w:bookmarkEnd w:id="352"/>
    <w:p w14:paraId="522F3D02" w14:textId="63EDCBF7" w:rsidR="00C6342D" w:rsidRPr="005B4339" w:rsidRDefault="004928CC" w:rsidP="00C6342D">
      <w:pPr>
        <w:pStyle w:val="JRCFiguresource"/>
        <w:rPr>
          <w:noProof/>
          <w:lang w:val="en-IE"/>
        </w:rPr>
      </w:pPr>
      <w:r w:rsidRPr="004928CC">
        <w:lastRenderedPageBreak/>
        <w:drawing>
          <wp:inline distT="0" distB="0" distL="0" distR="0" wp14:anchorId="30CD055C" wp14:editId="50F50C83">
            <wp:extent cx="5724525" cy="2647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14:paraId="51E1BF99" w14:textId="77777777" w:rsidR="00794505" w:rsidRPr="005B4339" w:rsidRDefault="00794505" w:rsidP="00794505">
      <w:pPr>
        <w:pStyle w:val="JRCFiguresource"/>
        <w:rPr>
          <w:noProof/>
          <w:lang w:val="en-IE"/>
        </w:rPr>
      </w:pPr>
      <w:r w:rsidRPr="005B4339">
        <w:rPr>
          <w:noProof/>
          <w:lang w:val="en-IE"/>
        </w:rPr>
        <w:t>Source: MAGNET simulation results</w:t>
      </w:r>
    </w:p>
    <w:p w14:paraId="5C802CE4" w14:textId="46DBDF02" w:rsidR="00794505" w:rsidRPr="005B4339" w:rsidRDefault="00794505">
      <w:pPr>
        <w:pStyle w:val="JRCLevel-4title"/>
        <w:keepLines w:val="0"/>
        <w:numPr>
          <w:ilvl w:val="3"/>
          <w:numId w:val="161"/>
        </w:numPr>
        <w:outlineLvl w:val="3"/>
        <w:rPr>
          <w:rFonts w:ascii="Times New Roman" w:hAnsi="Times New Roman"/>
          <w:noProof/>
          <w:sz w:val="24"/>
          <w:szCs w:val="24"/>
          <w:lang w:val="en-IE"/>
        </w:rPr>
      </w:pPr>
      <w:bookmarkStart w:id="353" w:name="_Toc125109495"/>
      <w:bookmarkStart w:id="354" w:name="_Toc219061303"/>
      <w:bookmarkStart w:id="355" w:name="_Toc1968503751"/>
      <w:bookmarkStart w:id="356" w:name="_Toc309762908"/>
      <w:bookmarkStart w:id="357" w:name="_Toc315130524"/>
      <w:bookmarkStart w:id="358" w:name="_Toc955767760"/>
      <w:bookmarkStart w:id="359" w:name="_Toc1288904693"/>
      <w:bookmarkStart w:id="360" w:name="_Toc1568750270"/>
      <w:bookmarkStart w:id="361" w:name="_Toc139032111"/>
      <w:bookmarkStart w:id="362" w:name="_Toc122604036"/>
      <w:bookmarkStart w:id="363" w:name="_Toc122613124"/>
      <w:r w:rsidRPr="005B4339">
        <w:rPr>
          <w:rFonts w:ascii="Times New Roman" w:hAnsi="Times New Roman"/>
          <w:noProof/>
          <w:sz w:val="24"/>
          <w:szCs w:val="24"/>
          <w:lang w:val="en-IE"/>
        </w:rPr>
        <w:t>Footprints (consumption</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households)</w:t>
      </w:r>
      <w:bookmarkEnd w:id="353"/>
      <w:bookmarkEnd w:id="354"/>
      <w:bookmarkEnd w:id="355"/>
      <w:bookmarkEnd w:id="356"/>
      <w:bookmarkEnd w:id="357"/>
      <w:bookmarkEnd w:id="358"/>
      <w:bookmarkEnd w:id="359"/>
      <w:bookmarkEnd w:id="360"/>
      <w:bookmarkEnd w:id="361"/>
    </w:p>
    <w:bookmarkEnd w:id="362"/>
    <w:bookmarkEnd w:id="363"/>
    <w:p w14:paraId="4E73E673" w14:textId="22F0F534"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This section shows the environmental impacts of different food waste reduction targets using household food demand</w:t>
      </w:r>
      <w:r w:rsidR="000353E7" w:rsidRPr="005B4339">
        <w:rPr>
          <w:rFonts w:ascii="Times New Roman" w:hAnsi="Times New Roman"/>
          <w:noProof/>
          <w:sz w:val="24"/>
          <w:szCs w:val="24"/>
          <w:lang w:val="en-IE"/>
        </w:rPr>
        <w:t>-</w:t>
      </w:r>
      <w:r w:rsidRPr="005B4339">
        <w:rPr>
          <w:rFonts w:ascii="Times New Roman" w:hAnsi="Times New Roman"/>
          <w:noProof/>
          <w:sz w:val="24"/>
          <w:szCs w:val="24"/>
          <w:lang w:val="en-IE"/>
        </w:rPr>
        <w:t>driven footprints of land</w:t>
      </w:r>
      <w:r w:rsidR="0029093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emissions and energy, which measure the intensity of land </w:t>
      </w:r>
      <w:r w:rsidR="3E7B012F" w:rsidRPr="005B4339">
        <w:rPr>
          <w:rFonts w:ascii="Times New Roman" w:hAnsi="Times New Roman"/>
          <w:noProof/>
          <w:sz w:val="24"/>
          <w:szCs w:val="24"/>
          <w:lang w:val="en-IE"/>
        </w:rPr>
        <w:t>use</w:t>
      </w:r>
      <w:r w:rsidR="005F503B"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(i.e., emission and energy use associated with food consumption). </w:t>
      </w:r>
    </w:p>
    <w:p w14:paraId="4F5C9E72" w14:textId="457BA481" w:rsidR="00C6342D" w:rsidRPr="005B4339" w:rsidRDefault="00170A9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_Ref127178326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8</w:t>
      </w:r>
      <w:r w:rsidRPr="005B4339">
        <w:rPr>
          <w:rFonts w:ascii="Times New Roman" w:hAnsi="Times New Roman"/>
          <w:noProof/>
          <w:sz w:val="24"/>
          <w:szCs w:val="24"/>
          <w:lang w:val="en-IE"/>
        </w:rPr>
        <w:fldChar w:fldCharType="end"/>
      </w:r>
      <w:r w:rsidR="00DA1406"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_Ref127178386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10</w:t>
      </w:r>
      <w:r w:rsidRPr="005B4339">
        <w:rPr>
          <w:rFonts w:ascii="Times New Roman" w:hAnsi="Times New Roman"/>
          <w:noProof/>
          <w:sz w:val="24"/>
          <w:szCs w:val="24"/>
          <w:lang w:val="en-IE"/>
        </w:rPr>
        <w:fldChar w:fldCharType="end"/>
      </w:r>
      <w:r w:rsidR="00DA1406" w:rsidRPr="005B4339">
        <w:rPr>
          <w:rFonts w:ascii="Times New Roman" w:hAnsi="Times New Roman"/>
          <w:noProof/>
          <w:sz w:val="24"/>
          <w:szCs w:val="24"/>
          <w:lang w:val="en-IE"/>
        </w:rPr>
        <w:t xml:space="preserve"> and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_Ref127178373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12</w:t>
      </w:r>
      <w:r w:rsidRPr="005B4339">
        <w:rPr>
          <w:rFonts w:ascii="Times New Roman" w:hAnsi="Times New Roman"/>
          <w:noProof/>
          <w:sz w:val="24"/>
          <w:szCs w:val="24"/>
          <w:lang w:val="en-IE"/>
        </w:rPr>
        <w:fldChar w:fldCharType="end"/>
      </w:r>
      <w:r w:rsidR="00DA1406" w:rsidRPr="005B4339">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show the development of the land (m²), emission (kg CO2 equivalents) and energy footprints (mega joules, MJ) per capita per year in the baseline for the years 2020 and 2030. Whereas,</w:t>
      </w:r>
      <w:r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_Ref127178353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9</w:t>
      </w:r>
      <w:r w:rsidRPr="005B4339">
        <w:rPr>
          <w:rFonts w:ascii="Times New Roman" w:hAnsi="Times New Roman"/>
          <w:noProof/>
          <w:sz w:val="24"/>
          <w:szCs w:val="24"/>
          <w:lang w:val="en-IE"/>
        </w:rPr>
        <w:fldChar w:fldCharType="end"/>
      </w:r>
      <w:r w:rsidR="00BE55F4" w:rsidRPr="005B4339">
        <w:rPr>
          <w:rFonts w:ascii="Times New Roman" w:hAnsi="Times New Roman"/>
          <w:noProof/>
          <w:sz w:val="24"/>
          <w:szCs w:val="24"/>
          <w:lang w:val="en-IE"/>
        </w:rPr>
        <w:t>5</w:t>
      </w:r>
      <w:r w:rsidR="00F600DE"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_Ref133226074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11</w:t>
      </w:r>
      <w:r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and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_Ref133226081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13</w:t>
      </w:r>
      <w:r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show the land, emission and energy savings due to the reduction of waste by comparing the footprints of the scenarios with the footprints in the baseline in 2030.</w:t>
      </w:r>
    </w:p>
    <w:p w14:paraId="2F375EFF" w14:textId="69E8E18E"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While the land footprint of the EU27 is already lower than world average in 2020, </w:t>
      </w:r>
      <w:r w:rsidR="00170A95" w:rsidRPr="005B4339">
        <w:rPr>
          <w:rFonts w:ascii="Times New Roman" w:hAnsi="Times New Roman"/>
          <w:noProof/>
          <w:sz w:val="24"/>
          <w:szCs w:val="24"/>
          <w:lang w:val="en-IE"/>
        </w:rPr>
        <w:fldChar w:fldCharType="begin"/>
      </w:r>
      <w:r w:rsidR="00170A95" w:rsidRPr="005B4339">
        <w:rPr>
          <w:rFonts w:ascii="Times New Roman" w:hAnsi="Times New Roman"/>
          <w:noProof/>
          <w:sz w:val="24"/>
          <w:szCs w:val="24"/>
          <w:lang w:val="en-IE"/>
        </w:rPr>
        <w:instrText xml:space="preserve"> REF _Ref127178326 \h  \* MERGEFORMAT </w:instrText>
      </w:r>
      <w:r w:rsidR="00170A95" w:rsidRPr="005B4339">
        <w:rPr>
          <w:rFonts w:ascii="Times New Roman" w:hAnsi="Times New Roman"/>
          <w:noProof/>
          <w:sz w:val="24"/>
          <w:szCs w:val="24"/>
          <w:lang w:val="en-IE"/>
        </w:rPr>
      </w:r>
      <w:r w:rsidR="00170A95"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8</w:t>
      </w:r>
      <w:r w:rsidR="00170A95"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that the land footprint across M</w:t>
      </w:r>
      <w:r w:rsidR="00F60FC4"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significantly differs but decreases for all M</w:t>
      </w:r>
      <w:r w:rsidR="00F60FC4"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from 2020 to 2030. </w:t>
      </w:r>
    </w:p>
    <w:p w14:paraId="4E97B1E4" w14:textId="472BB7DB" w:rsidR="00794505" w:rsidRPr="005B4339" w:rsidRDefault="00794505" w:rsidP="003B6050">
      <w:pPr>
        <w:pStyle w:val="JRCFigurecaption"/>
        <w:rPr>
          <w:noProof/>
          <w:lang w:val="en-IE"/>
        </w:rPr>
      </w:pPr>
      <w:bookmarkStart w:id="364" w:name="_Ref127178326"/>
      <w:bookmarkStart w:id="365" w:name="_Toc122623392"/>
      <w:bookmarkStart w:id="366" w:name="_Toc125121523"/>
      <w:bookmarkStart w:id="367" w:name="_Toc133229335"/>
      <w:bookmarkStart w:id="368" w:name="_Toc139031943"/>
      <w:r w:rsidRPr="005B4339">
        <w:rPr>
          <w:noProof/>
          <w:lang w:val="en-IE"/>
        </w:rPr>
        <w:t xml:space="preserve">Figure </w:t>
      </w:r>
      <w:r w:rsidR="00393DFA">
        <w:rPr>
          <w:bCs/>
          <w:noProof/>
        </w:rPr>
        <w:t>8</w:t>
      </w:r>
      <w:bookmarkEnd w:id="364"/>
      <w:r w:rsidRPr="005B4339">
        <w:rPr>
          <w:noProof/>
          <w:lang w:val="en-IE"/>
        </w:rPr>
        <w:t>: Land footprint associated with household food consumption (m² per capita per year) – baseline 2020 and 2030</w:t>
      </w:r>
      <w:bookmarkEnd w:id="365"/>
      <w:bookmarkEnd w:id="366"/>
      <w:bookmarkEnd w:id="367"/>
      <w:bookmarkEnd w:id="368"/>
    </w:p>
    <w:p w14:paraId="22783FB3" w14:textId="217506CB" w:rsidR="00C6342D" w:rsidRPr="005B4339" w:rsidRDefault="004928CC" w:rsidP="00C6342D">
      <w:pPr>
        <w:pStyle w:val="JRCText"/>
        <w:rPr>
          <w:rFonts w:ascii="Times New Roman" w:hAnsi="Times New Roman"/>
          <w:noProof/>
          <w:sz w:val="24"/>
          <w:szCs w:val="24"/>
          <w:lang w:val="en-IE"/>
        </w:rPr>
      </w:pPr>
      <w:r w:rsidRPr="004928CC">
        <w:lastRenderedPageBreak/>
        <w:drawing>
          <wp:inline distT="0" distB="0" distL="0" distR="0" wp14:anchorId="05D4998F" wp14:editId="04291056">
            <wp:extent cx="5731510" cy="3313430"/>
            <wp:effectExtent l="0" t="0" r="254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313430"/>
                    </a:xfrm>
                    <a:prstGeom prst="rect">
                      <a:avLst/>
                    </a:prstGeom>
                    <a:noFill/>
                    <a:ln>
                      <a:noFill/>
                    </a:ln>
                  </pic:spPr>
                </pic:pic>
              </a:graphicData>
            </a:graphic>
          </wp:inline>
        </w:drawing>
      </w:r>
    </w:p>
    <w:p w14:paraId="2C9046BB" w14:textId="07BB9FD3" w:rsidR="00794505" w:rsidRPr="005B4339" w:rsidRDefault="00794505" w:rsidP="00794505">
      <w:pPr>
        <w:pStyle w:val="JRCFiguresource"/>
        <w:rPr>
          <w:noProof/>
          <w:lang w:val="en-IE"/>
        </w:rPr>
      </w:pPr>
      <w:r w:rsidRPr="005B4339">
        <w:rPr>
          <w:noProof/>
          <w:lang w:val="en-IE"/>
        </w:rPr>
        <w:t>Source: MAGNET simulation results</w:t>
      </w:r>
    </w:p>
    <w:p w14:paraId="2E1E4D9B" w14:textId="40A64D7D"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Food waste reduction in the EU leads to a reduction of the land footprint associated with household food consumptions of the EU and of all M</w:t>
      </w:r>
      <w:r w:rsidR="002233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while it leads to an increase of the land footprint in non-EU regions. As the impact on </w:t>
      </w:r>
      <w:r w:rsidR="002233EC"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non-EU region is very small, the world land footprint tends to decrease in 2030 compared to the baseline. The magnitude of these land use savings increases with an increase in the food waste reduction targets, thus scenario Option 1 leads to the smallest savings, while scenario Option 3 leads to the highest savings. The extent of these savings largely differs across M</w:t>
      </w:r>
      <w:r w:rsidR="002233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between 2% and 5% in Option 3.</w:t>
      </w:r>
    </w:p>
    <w:p w14:paraId="5E27F46E" w14:textId="7506CBC1" w:rsidR="00794505" w:rsidRPr="005B4339" w:rsidRDefault="00794505" w:rsidP="003B6050">
      <w:pPr>
        <w:pStyle w:val="JRCFigurecaption"/>
        <w:rPr>
          <w:noProof/>
          <w:lang w:val="en-IE"/>
        </w:rPr>
      </w:pPr>
      <w:bookmarkStart w:id="369" w:name="_Ref127178353"/>
      <w:bookmarkStart w:id="370" w:name="_Toc122623393"/>
      <w:bookmarkStart w:id="371" w:name="_Toc125121524"/>
      <w:bookmarkStart w:id="372" w:name="_Toc133229336"/>
      <w:bookmarkStart w:id="373" w:name="_Toc139031944"/>
      <w:r w:rsidRPr="005B4339">
        <w:rPr>
          <w:noProof/>
          <w:lang w:val="en-IE"/>
        </w:rPr>
        <w:t xml:space="preserve">Figure </w:t>
      </w:r>
      <w:r w:rsidR="00393DFA">
        <w:rPr>
          <w:bCs/>
          <w:noProof/>
        </w:rPr>
        <w:t>9</w:t>
      </w:r>
      <w:bookmarkEnd w:id="369"/>
      <w:r w:rsidRPr="005B4339">
        <w:rPr>
          <w:noProof/>
          <w:lang w:val="en-IE"/>
        </w:rPr>
        <w:t>: Land footprint associated with household food consumption (m² per capita per year) – savings</w:t>
      </w:r>
      <w:r w:rsidR="00393E3F" w:rsidRPr="005B4339">
        <w:rPr>
          <w:noProof/>
          <w:lang w:val="en-IE"/>
        </w:rPr>
        <w:t>,</w:t>
      </w:r>
      <w:r w:rsidRPr="005B4339">
        <w:rPr>
          <w:noProof/>
          <w:lang w:val="en-IE"/>
        </w:rPr>
        <w:t xml:space="preserve"> </w:t>
      </w:r>
      <w:r w:rsidR="00393E3F" w:rsidRPr="005B4339">
        <w:rPr>
          <w:noProof/>
          <w:lang w:val="en-IE"/>
        </w:rPr>
        <w:t xml:space="preserve">options </w:t>
      </w:r>
      <w:r w:rsidRPr="005B4339">
        <w:rPr>
          <w:noProof/>
          <w:lang w:val="en-IE"/>
        </w:rPr>
        <w:t>vs baseline 2030</w:t>
      </w:r>
      <w:bookmarkEnd w:id="370"/>
      <w:bookmarkEnd w:id="371"/>
      <w:bookmarkEnd w:id="372"/>
      <w:bookmarkEnd w:id="373"/>
    </w:p>
    <w:p w14:paraId="581FCF9E" w14:textId="3DDEEF24"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0145E777" wp14:editId="7A98AC78">
            <wp:extent cx="5731510" cy="234188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341880"/>
                    </a:xfrm>
                    <a:prstGeom prst="rect">
                      <a:avLst/>
                    </a:prstGeom>
                    <a:noFill/>
                    <a:ln>
                      <a:noFill/>
                    </a:ln>
                  </pic:spPr>
                </pic:pic>
              </a:graphicData>
            </a:graphic>
          </wp:inline>
        </w:drawing>
      </w:r>
    </w:p>
    <w:p w14:paraId="3DD8FBF9" w14:textId="35A8F28B" w:rsidR="00794505" w:rsidRPr="005B4339" w:rsidRDefault="00794505" w:rsidP="00794505">
      <w:pPr>
        <w:pStyle w:val="JRCFiguresource"/>
        <w:rPr>
          <w:noProof/>
          <w:lang w:val="en-IE"/>
        </w:rPr>
      </w:pPr>
      <w:r w:rsidRPr="005B4339">
        <w:rPr>
          <w:noProof/>
          <w:lang w:val="en-IE"/>
        </w:rPr>
        <w:t>Source: MAGNET simulation results</w:t>
      </w:r>
    </w:p>
    <w:p w14:paraId="008ACF56" w14:textId="27140B3A"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By contrast to the land footprint, the emission footprint of the EU is higher than the world average in the baseline in 2020. </w:t>
      </w:r>
      <w:r w:rsidR="00A57388" w:rsidRPr="005B4339">
        <w:rPr>
          <w:rFonts w:ascii="Times New Roman" w:hAnsi="Times New Roman"/>
          <w:noProof/>
          <w:sz w:val="24"/>
          <w:szCs w:val="24"/>
          <w:lang w:val="en-IE"/>
        </w:rPr>
        <w:fldChar w:fldCharType="begin"/>
      </w:r>
      <w:r w:rsidR="00A57388" w:rsidRPr="005B4339">
        <w:rPr>
          <w:rFonts w:ascii="Times New Roman" w:hAnsi="Times New Roman"/>
          <w:noProof/>
          <w:sz w:val="24"/>
          <w:szCs w:val="24"/>
          <w:lang w:val="en-IE"/>
        </w:rPr>
        <w:instrText xml:space="preserve"> REF _Ref127178386 \h  \* MERGEFORMAT </w:instrText>
      </w:r>
      <w:r w:rsidR="00A57388" w:rsidRPr="005B4339">
        <w:rPr>
          <w:rFonts w:ascii="Times New Roman" w:hAnsi="Times New Roman"/>
          <w:noProof/>
          <w:sz w:val="24"/>
          <w:szCs w:val="24"/>
          <w:lang w:val="en-IE"/>
        </w:rPr>
      </w:r>
      <w:r w:rsidR="00A5738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10</w:t>
      </w:r>
      <w:r w:rsidR="00A57388"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also shows significant differences across M</w:t>
      </w:r>
      <w:r w:rsidR="000F11E2"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While the emission footprint of the EU decreases from 2020 to 2030, the development of the M</w:t>
      </w:r>
      <w:r w:rsidR="000F11E2"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footprints is mixed. The emission footprint tends to decrease less in the EU</w:t>
      </w:r>
      <w:r w:rsidR="000F11E2" w:rsidRPr="005B4339">
        <w:rPr>
          <w:rFonts w:ascii="Times New Roman" w:hAnsi="Times New Roman"/>
          <w:noProof/>
          <w:sz w:val="24"/>
          <w:szCs w:val="24"/>
          <w:lang w:val="en-IE"/>
        </w:rPr>
        <w:t>-</w:t>
      </w:r>
      <w:r w:rsidRPr="005B4339">
        <w:rPr>
          <w:rFonts w:ascii="Times New Roman" w:hAnsi="Times New Roman"/>
          <w:noProof/>
          <w:sz w:val="24"/>
          <w:szCs w:val="24"/>
          <w:lang w:val="en-IE"/>
        </w:rPr>
        <w:t>13 M</w:t>
      </w:r>
      <w:r w:rsidR="000F11E2" w:rsidRPr="005B4339">
        <w:rPr>
          <w:rFonts w:ascii="Times New Roman" w:hAnsi="Times New Roman"/>
          <w:noProof/>
          <w:sz w:val="24"/>
          <w:szCs w:val="24"/>
          <w:lang w:val="en-IE"/>
        </w:rPr>
        <w:t>ember States</w:t>
      </w:r>
      <w:r w:rsidR="00C01D3C" w:rsidRPr="005B4339">
        <w:rPr>
          <w:rStyle w:val="FootnoteReference"/>
          <w:rFonts w:ascii="Times New Roman" w:hAnsi="Times New Roman"/>
          <w:noProof/>
          <w:sz w:val="24"/>
          <w:szCs w:val="24"/>
          <w:lang w:val="en-IE"/>
        </w:rPr>
        <w:footnoteReference w:id="149"/>
      </w:r>
      <w:r w:rsidRPr="005B4339">
        <w:rPr>
          <w:rFonts w:ascii="Times New Roman" w:hAnsi="Times New Roman"/>
          <w:noProof/>
          <w:sz w:val="24"/>
          <w:szCs w:val="24"/>
          <w:lang w:val="en-IE"/>
        </w:rPr>
        <w:t xml:space="preserve"> and even increases in M</w:t>
      </w:r>
      <w:r w:rsidR="000F11E2"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that showed the highest footprints in 2020.</w:t>
      </w:r>
    </w:p>
    <w:p w14:paraId="03521FD7" w14:textId="0D2898D5" w:rsidR="00794505" w:rsidRPr="005B4339" w:rsidRDefault="00794505" w:rsidP="003B6050">
      <w:pPr>
        <w:pStyle w:val="JRCFigurecaption"/>
        <w:rPr>
          <w:noProof/>
          <w:lang w:val="en-IE"/>
        </w:rPr>
      </w:pPr>
      <w:bookmarkStart w:id="374" w:name="_Ref127178386"/>
      <w:bookmarkStart w:id="375" w:name="_Toc122623394"/>
      <w:bookmarkStart w:id="376" w:name="_Toc125121525"/>
      <w:bookmarkStart w:id="377" w:name="_Toc133229337"/>
      <w:bookmarkStart w:id="378" w:name="_Toc139031945"/>
      <w:r w:rsidRPr="005B4339">
        <w:rPr>
          <w:noProof/>
          <w:lang w:val="en-IE"/>
        </w:rPr>
        <w:t xml:space="preserve">Figure </w:t>
      </w:r>
      <w:r w:rsidR="00393DFA">
        <w:rPr>
          <w:bCs/>
          <w:noProof/>
        </w:rPr>
        <w:t>10</w:t>
      </w:r>
      <w:bookmarkEnd w:id="374"/>
      <w:r w:rsidRPr="005B4339">
        <w:rPr>
          <w:noProof/>
          <w:lang w:val="en-IE"/>
        </w:rPr>
        <w:t>: Emission footprint associated with household food consumption (kg CO2 equivalent per capita per year) –baseline 2020 and 2030</w:t>
      </w:r>
      <w:bookmarkEnd w:id="375"/>
      <w:bookmarkEnd w:id="376"/>
      <w:bookmarkEnd w:id="377"/>
      <w:bookmarkEnd w:id="378"/>
    </w:p>
    <w:p w14:paraId="19C95B09" w14:textId="1FC32FA7"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4E6FE1A7" wp14:editId="34D844DA">
            <wp:extent cx="5731510" cy="33420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342005"/>
                    </a:xfrm>
                    <a:prstGeom prst="rect">
                      <a:avLst/>
                    </a:prstGeom>
                    <a:noFill/>
                    <a:ln>
                      <a:noFill/>
                    </a:ln>
                  </pic:spPr>
                </pic:pic>
              </a:graphicData>
            </a:graphic>
          </wp:inline>
        </w:drawing>
      </w:r>
    </w:p>
    <w:p w14:paraId="009C3807" w14:textId="35A8F28B" w:rsidR="00794505" w:rsidRPr="005B4339" w:rsidRDefault="00794505" w:rsidP="00794505">
      <w:pPr>
        <w:pStyle w:val="JRCFiguresource"/>
        <w:rPr>
          <w:noProof/>
          <w:lang w:val="en-IE"/>
        </w:rPr>
      </w:pPr>
      <w:r w:rsidRPr="005B4339">
        <w:rPr>
          <w:noProof/>
          <w:lang w:val="en-IE"/>
        </w:rPr>
        <w:t>Source: MAGNET simulation results</w:t>
      </w:r>
    </w:p>
    <w:p w14:paraId="52CBCF1E" w14:textId="480AA80B"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In line with the findings related to the land footprint</w:t>
      </w:r>
      <w:r w:rsidR="004F1CB0"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emission footprint of the EU and of all M</w:t>
      </w:r>
      <w:r w:rsidR="004F1CB0" w:rsidRPr="005B4339">
        <w:rPr>
          <w:rFonts w:ascii="Times New Roman" w:hAnsi="Times New Roman"/>
          <w:noProof/>
          <w:sz w:val="24"/>
          <w:szCs w:val="24"/>
          <w:lang w:val="en-IE"/>
        </w:rPr>
        <w:t>ember States also</w:t>
      </w:r>
      <w:r w:rsidRPr="005B4339">
        <w:rPr>
          <w:rFonts w:ascii="Times New Roman" w:hAnsi="Times New Roman"/>
          <w:noProof/>
          <w:sz w:val="24"/>
          <w:szCs w:val="24"/>
          <w:lang w:val="en-IE"/>
        </w:rPr>
        <w:t xml:space="preserve"> </w:t>
      </w:r>
      <w:r w:rsidR="004F1CB0" w:rsidRPr="005B4339">
        <w:rPr>
          <w:rFonts w:ascii="Times New Roman" w:hAnsi="Times New Roman"/>
          <w:noProof/>
          <w:sz w:val="24"/>
          <w:szCs w:val="24"/>
          <w:lang w:val="en-IE"/>
        </w:rPr>
        <w:t>decreas</w:t>
      </w:r>
      <w:r w:rsidR="00BE55F4" w:rsidRPr="005B4339">
        <w:rPr>
          <w:rFonts w:ascii="Times New Roman" w:hAnsi="Times New Roman"/>
          <w:noProof/>
          <w:sz w:val="24"/>
          <w:szCs w:val="24"/>
          <w:lang w:val="en-IE"/>
        </w:rPr>
        <w:t>e</w:t>
      </w:r>
      <w:r w:rsidR="004F1CB0"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 when reducing food waste</w:t>
      </w:r>
      <w:r w:rsidR="004F1CB0"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with the highest effects </w:t>
      </w:r>
      <w:r w:rsidR="004F1CB0" w:rsidRPr="005B4339">
        <w:rPr>
          <w:rFonts w:ascii="Times New Roman" w:hAnsi="Times New Roman"/>
          <w:noProof/>
          <w:sz w:val="24"/>
          <w:szCs w:val="24"/>
          <w:lang w:val="en-IE"/>
        </w:rPr>
        <w:t xml:space="preserve">observed </w:t>
      </w:r>
      <w:r w:rsidRPr="005B4339">
        <w:rPr>
          <w:rFonts w:ascii="Times New Roman" w:hAnsi="Times New Roman"/>
          <w:noProof/>
          <w:sz w:val="24"/>
          <w:szCs w:val="24"/>
          <w:lang w:val="en-IE"/>
        </w:rPr>
        <w:t>in the scenario “Option 3”</w:t>
      </w:r>
      <w:r w:rsidR="004F1CB0" w:rsidRPr="005B4339">
        <w:rPr>
          <w:rFonts w:ascii="Times New Roman" w:hAnsi="Times New Roman"/>
          <w:noProof/>
          <w:sz w:val="24"/>
          <w:szCs w:val="24"/>
          <w:lang w:val="en-IE"/>
        </w:rPr>
        <w:t>. However,</w:t>
      </w:r>
      <w:r w:rsidRPr="005B4339">
        <w:rPr>
          <w:rFonts w:ascii="Times New Roman" w:hAnsi="Times New Roman"/>
          <w:noProof/>
          <w:sz w:val="24"/>
          <w:szCs w:val="24"/>
          <w:lang w:val="en-IE"/>
        </w:rPr>
        <w:t xml:space="preserve"> the extent largely differs across M</w:t>
      </w:r>
      <w:r w:rsidR="004F1CB0"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and varies between around 3% to 5% </w:t>
      </w:r>
      <w:r w:rsidR="004F1CB0" w:rsidRPr="005B4339">
        <w:rPr>
          <w:rFonts w:ascii="Times New Roman" w:hAnsi="Times New Roman"/>
          <w:noProof/>
          <w:sz w:val="24"/>
          <w:szCs w:val="24"/>
          <w:lang w:val="en-IE"/>
        </w:rPr>
        <w:t xml:space="preserve">in </w:t>
      </w:r>
      <w:r w:rsidRPr="005B4339">
        <w:rPr>
          <w:rFonts w:ascii="Times New Roman" w:hAnsi="Times New Roman"/>
          <w:noProof/>
          <w:sz w:val="24"/>
          <w:szCs w:val="24"/>
          <w:lang w:val="en-IE"/>
        </w:rPr>
        <w:t>emission savings.</w:t>
      </w:r>
    </w:p>
    <w:p w14:paraId="616F44DE" w14:textId="4F24FEC6" w:rsidR="00794505" w:rsidRPr="005B4339" w:rsidRDefault="00794505" w:rsidP="003B6050">
      <w:pPr>
        <w:pStyle w:val="JRCFigurecaption"/>
        <w:rPr>
          <w:noProof/>
          <w:lang w:val="en-IE"/>
        </w:rPr>
      </w:pPr>
      <w:bookmarkStart w:id="379" w:name="_Ref133226074"/>
      <w:bookmarkStart w:id="380" w:name="_Toc122623395"/>
      <w:bookmarkStart w:id="381" w:name="_Toc125121526"/>
      <w:bookmarkStart w:id="382" w:name="_Toc133229338"/>
      <w:bookmarkStart w:id="383" w:name="_Toc139031946"/>
      <w:r w:rsidRPr="005B4339">
        <w:rPr>
          <w:noProof/>
          <w:lang w:val="en-IE"/>
        </w:rPr>
        <w:t xml:space="preserve">Figure </w:t>
      </w:r>
      <w:r w:rsidR="00393DFA">
        <w:rPr>
          <w:bCs/>
          <w:noProof/>
        </w:rPr>
        <w:t>11</w:t>
      </w:r>
      <w:bookmarkEnd w:id="379"/>
      <w:r w:rsidRPr="005B4339">
        <w:rPr>
          <w:noProof/>
          <w:lang w:val="en-IE"/>
        </w:rPr>
        <w:t xml:space="preserve">: Emission footprint associated with household food consumption (kg CO2 equivalent per capita per year) – savings </w:t>
      </w:r>
      <w:r w:rsidR="3585C54B" w:rsidRPr="005B4339">
        <w:rPr>
          <w:noProof/>
          <w:lang w:val="en-IE"/>
        </w:rPr>
        <w:t>per options</w:t>
      </w:r>
      <w:r w:rsidRPr="005B4339">
        <w:rPr>
          <w:noProof/>
          <w:lang w:val="en-IE"/>
        </w:rPr>
        <w:t xml:space="preserve"> vs baseline 2030</w:t>
      </w:r>
      <w:bookmarkEnd w:id="380"/>
      <w:bookmarkEnd w:id="381"/>
      <w:bookmarkEnd w:id="382"/>
      <w:bookmarkEnd w:id="383"/>
    </w:p>
    <w:p w14:paraId="6DE308E4" w14:textId="7846D7B1" w:rsidR="00C6342D" w:rsidRPr="005B4339" w:rsidRDefault="004928CC" w:rsidP="00C6342D">
      <w:pPr>
        <w:pStyle w:val="JRCText"/>
        <w:rPr>
          <w:rFonts w:ascii="Times New Roman" w:hAnsi="Times New Roman"/>
          <w:noProof/>
          <w:sz w:val="24"/>
          <w:szCs w:val="24"/>
          <w:lang w:val="en-IE"/>
        </w:rPr>
      </w:pPr>
      <w:r w:rsidRPr="004928CC">
        <w:lastRenderedPageBreak/>
        <w:drawing>
          <wp:inline distT="0" distB="0" distL="0" distR="0" wp14:anchorId="27BF649A" wp14:editId="37219F91">
            <wp:extent cx="5731510" cy="2189480"/>
            <wp:effectExtent l="0" t="0" r="254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189480"/>
                    </a:xfrm>
                    <a:prstGeom prst="rect">
                      <a:avLst/>
                    </a:prstGeom>
                    <a:noFill/>
                    <a:ln>
                      <a:noFill/>
                    </a:ln>
                  </pic:spPr>
                </pic:pic>
              </a:graphicData>
            </a:graphic>
          </wp:inline>
        </w:drawing>
      </w:r>
    </w:p>
    <w:p w14:paraId="04B1D180" w14:textId="35A8F28B" w:rsidR="00794505" w:rsidRPr="005B4339" w:rsidRDefault="00794505" w:rsidP="00794505">
      <w:pPr>
        <w:pStyle w:val="JRCFiguresource"/>
        <w:rPr>
          <w:noProof/>
          <w:lang w:val="en-IE"/>
        </w:rPr>
      </w:pPr>
      <w:r w:rsidRPr="005B4339">
        <w:rPr>
          <w:noProof/>
          <w:lang w:val="en-IE"/>
        </w:rPr>
        <w:t>Source: MAGNET simulation results</w:t>
      </w:r>
    </w:p>
    <w:p w14:paraId="557D0584" w14:textId="36D0BEE1"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Also, the energy footprint of the EU is higher than the world average in the baseline in 2020 and </w:t>
      </w:r>
      <w:r w:rsidR="00A57388" w:rsidRPr="005B4339">
        <w:rPr>
          <w:rFonts w:ascii="Times New Roman" w:hAnsi="Times New Roman"/>
          <w:noProof/>
          <w:sz w:val="24"/>
          <w:szCs w:val="24"/>
          <w:lang w:val="en-IE"/>
        </w:rPr>
        <w:fldChar w:fldCharType="begin"/>
      </w:r>
      <w:r w:rsidR="00A57388" w:rsidRPr="005B4339">
        <w:rPr>
          <w:rFonts w:ascii="Times New Roman" w:hAnsi="Times New Roman"/>
          <w:noProof/>
          <w:sz w:val="24"/>
          <w:szCs w:val="24"/>
          <w:lang w:val="en-IE"/>
        </w:rPr>
        <w:instrText xml:space="preserve"> REF _Ref127178373 \h  \* MERGEFORMAT </w:instrText>
      </w:r>
      <w:r w:rsidR="00A57388" w:rsidRPr="005B4339">
        <w:rPr>
          <w:rFonts w:ascii="Times New Roman" w:hAnsi="Times New Roman"/>
          <w:noProof/>
          <w:sz w:val="24"/>
          <w:szCs w:val="24"/>
          <w:lang w:val="en-IE"/>
        </w:rPr>
      </w:r>
      <w:r w:rsidR="00A5738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12</w:t>
      </w:r>
      <w:r w:rsidR="00A57388"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significant differences across M</w:t>
      </w:r>
      <w:r w:rsidR="002209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While the energy footprint of the EU decreases only minimally from 2020 to 2030, the development of the M</w:t>
      </w:r>
      <w:r w:rsidR="002209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footprints is mixed. The energy footprint tends to increase or remain unchanged in many EU M</w:t>
      </w:r>
      <w:r w:rsidR="002209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only very few M</w:t>
      </w:r>
      <w:r w:rsidR="002209E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show a decrease </w:t>
      </w:r>
      <w:r w:rsidR="002209EC" w:rsidRPr="005B4339">
        <w:rPr>
          <w:rFonts w:ascii="Times New Roman" w:hAnsi="Times New Roman"/>
          <w:noProof/>
          <w:sz w:val="24"/>
          <w:szCs w:val="24"/>
          <w:lang w:val="en-IE"/>
        </w:rPr>
        <w:t xml:space="preserve">in </w:t>
      </w:r>
      <w:r w:rsidRPr="005B4339">
        <w:rPr>
          <w:rFonts w:ascii="Times New Roman" w:hAnsi="Times New Roman"/>
          <w:noProof/>
          <w:sz w:val="24"/>
          <w:szCs w:val="24"/>
          <w:lang w:val="en-IE"/>
        </w:rPr>
        <w:t>the</w:t>
      </w:r>
      <w:r w:rsidR="002209EC" w:rsidRPr="005B4339">
        <w:rPr>
          <w:rFonts w:ascii="Times New Roman" w:hAnsi="Times New Roman"/>
          <w:noProof/>
          <w:sz w:val="24"/>
          <w:szCs w:val="24"/>
          <w:lang w:val="en-IE"/>
        </w:rPr>
        <w:t>ir</w:t>
      </w:r>
      <w:r w:rsidRPr="005B4339">
        <w:rPr>
          <w:rFonts w:ascii="Times New Roman" w:hAnsi="Times New Roman"/>
          <w:noProof/>
          <w:sz w:val="24"/>
          <w:szCs w:val="24"/>
          <w:lang w:val="en-IE"/>
        </w:rPr>
        <w:t xml:space="preserve"> footprint. </w:t>
      </w:r>
    </w:p>
    <w:p w14:paraId="50516029" w14:textId="3E9E79BB" w:rsidR="00794505" w:rsidRPr="005B4339" w:rsidRDefault="00794505" w:rsidP="003B6050">
      <w:pPr>
        <w:pStyle w:val="JRCFigurecaption"/>
        <w:rPr>
          <w:noProof/>
          <w:lang w:val="en-IE"/>
        </w:rPr>
      </w:pPr>
      <w:bookmarkStart w:id="384" w:name="_Ref127178373"/>
      <w:bookmarkStart w:id="385" w:name="_Toc122623396"/>
      <w:bookmarkStart w:id="386" w:name="_Toc125121527"/>
      <w:bookmarkStart w:id="387" w:name="_Toc133229339"/>
      <w:bookmarkStart w:id="388" w:name="_Toc139031947"/>
      <w:r w:rsidRPr="005B4339">
        <w:rPr>
          <w:noProof/>
          <w:lang w:val="en-IE"/>
        </w:rPr>
        <w:t xml:space="preserve">Figure </w:t>
      </w:r>
      <w:r w:rsidR="00393DFA">
        <w:rPr>
          <w:bCs/>
          <w:noProof/>
        </w:rPr>
        <w:t>12</w:t>
      </w:r>
      <w:bookmarkEnd w:id="384"/>
      <w:r w:rsidRPr="005B4339">
        <w:rPr>
          <w:noProof/>
          <w:lang w:val="en-IE"/>
        </w:rPr>
        <w:t>: Energy footprint associated with household food consumption (MJ per capita per year) – baseline 2020 and 2030</w:t>
      </w:r>
      <w:bookmarkEnd w:id="385"/>
      <w:bookmarkEnd w:id="386"/>
      <w:bookmarkEnd w:id="387"/>
      <w:bookmarkEnd w:id="388"/>
    </w:p>
    <w:p w14:paraId="78889C17" w14:textId="0E0CEB34"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625E94A8" wp14:editId="714FC788">
            <wp:extent cx="5731510" cy="336105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noFill/>
                    </a:ln>
                  </pic:spPr>
                </pic:pic>
              </a:graphicData>
            </a:graphic>
          </wp:inline>
        </w:drawing>
      </w:r>
    </w:p>
    <w:p w14:paraId="5CE2DE0F" w14:textId="35A8F28B" w:rsidR="00794505" w:rsidRPr="005B4339" w:rsidRDefault="00794505" w:rsidP="00794505">
      <w:pPr>
        <w:pStyle w:val="JRCFiguresource"/>
        <w:rPr>
          <w:noProof/>
          <w:lang w:val="en-IE"/>
        </w:rPr>
      </w:pPr>
      <w:r w:rsidRPr="005B4339">
        <w:rPr>
          <w:noProof/>
          <w:lang w:val="en-IE"/>
        </w:rPr>
        <w:t>Source: MAGNET simulation results</w:t>
      </w:r>
    </w:p>
    <w:p w14:paraId="4379057E" w14:textId="464FE292" w:rsidR="00C6342D" w:rsidRPr="005B4339" w:rsidRDefault="00A57388"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_Ref133226081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13</w:t>
      </w:r>
      <w:r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shows that food waste reduction leads to saving</w:t>
      </w:r>
      <w:r w:rsidR="002209EC" w:rsidRPr="005B4339">
        <w:rPr>
          <w:rFonts w:ascii="Times New Roman" w:hAnsi="Times New Roman"/>
          <w:noProof/>
          <w:sz w:val="24"/>
          <w:szCs w:val="24"/>
          <w:lang w:val="en-IE"/>
        </w:rPr>
        <w:t>s</w:t>
      </w:r>
      <w:r w:rsidR="00C6342D" w:rsidRPr="005B4339">
        <w:rPr>
          <w:rFonts w:ascii="Times New Roman" w:hAnsi="Times New Roman"/>
          <w:noProof/>
          <w:sz w:val="24"/>
          <w:szCs w:val="24"/>
          <w:lang w:val="en-IE"/>
        </w:rPr>
        <w:t xml:space="preserve"> with regard to energy use in household food consumption</w:t>
      </w:r>
      <w:r w:rsidR="002209EC"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 with the highest reduction of the energy footprint </w:t>
      </w:r>
      <w:r w:rsidR="00F364AA" w:rsidRPr="005B4339">
        <w:rPr>
          <w:rFonts w:ascii="Times New Roman" w:hAnsi="Times New Roman"/>
          <w:noProof/>
          <w:sz w:val="24"/>
          <w:szCs w:val="24"/>
          <w:lang w:val="en-IE"/>
        </w:rPr>
        <w:t xml:space="preserve">observed </w:t>
      </w:r>
      <w:r w:rsidR="00C6342D" w:rsidRPr="005B4339">
        <w:rPr>
          <w:rFonts w:ascii="Times New Roman" w:hAnsi="Times New Roman"/>
          <w:noProof/>
          <w:sz w:val="24"/>
          <w:szCs w:val="24"/>
          <w:lang w:val="en-IE"/>
        </w:rPr>
        <w:t>in “Option 3”. M</w:t>
      </w:r>
      <w:r w:rsidR="00F364AA" w:rsidRPr="005B4339">
        <w:rPr>
          <w:rFonts w:ascii="Times New Roman" w:hAnsi="Times New Roman"/>
          <w:noProof/>
          <w:sz w:val="24"/>
          <w:szCs w:val="24"/>
          <w:lang w:val="en-IE"/>
        </w:rPr>
        <w:t>ember States</w:t>
      </w:r>
      <w:r w:rsidR="00C6342D" w:rsidRPr="005B4339">
        <w:rPr>
          <w:rFonts w:ascii="Times New Roman" w:hAnsi="Times New Roman"/>
          <w:noProof/>
          <w:sz w:val="24"/>
          <w:szCs w:val="24"/>
          <w:lang w:val="en-IE"/>
        </w:rPr>
        <w:t xml:space="preserve"> save around 3</w:t>
      </w:r>
      <w:r w:rsidR="00F364AA"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5% of energy related to household food consumption in the most ambitious scenario.</w:t>
      </w:r>
    </w:p>
    <w:p w14:paraId="6A549FE1" w14:textId="7A3BA8F8" w:rsidR="00794505" w:rsidRPr="005B4339" w:rsidRDefault="00794505" w:rsidP="003B6050">
      <w:pPr>
        <w:pStyle w:val="JRCFigurecaption"/>
        <w:rPr>
          <w:noProof/>
          <w:lang w:val="en-IE"/>
        </w:rPr>
      </w:pPr>
      <w:bookmarkStart w:id="389" w:name="_Ref133226081"/>
      <w:bookmarkStart w:id="390" w:name="_Toc122623397"/>
      <w:bookmarkStart w:id="391" w:name="_Toc125121528"/>
      <w:bookmarkStart w:id="392" w:name="_Toc133229340"/>
      <w:bookmarkStart w:id="393" w:name="_Toc139031948"/>
      <w:r w:rsidRPr="005B4339">
        <w:rPr>
          <w:noProof/>
          <w:lang w:val="en-IE"/>
        </w:rPr>
        <w:lastRenderedPageBreak/>
        <w:t xml:space="preserve">Figure </w:t>
      </w:r>
      <w:r w:rsidR="00393DFA">
        <w:rPr>
          <w:bCs/>
          <w:noProof/>
        </w:rPr>
        <w:t>13</w:t>
      </w:r>
      <w:bookmarkEnd w:id="389"/>
      <w:r w:rsidRPr="005B4339">
        <w:rPr>
          <w:noProof/>
          <w:lang w:val="en-IE"/>
        </w:rPr>
        <w:t xml:space="preserve">: Energy footprint associated with household food consumption (MJ per capita per year) – savings </w:t>
      </w:r>
      <w:r w:rsidR="0CF90F0E" w:rsidRPr="005B4339">
        <w:rPr>
          <w:noProof/>
          <w:lang w:val="en-IE"/>
        </w:rPr>
        <w:t>per options</w:t>
      </w:r>
      <w:r w:rsidRPr="005B4339">
        <w:rPr>
          <w:noProof/>
          <w:lang w:val="en-IE"/>
        </w:rPr>
        <w:t xml:space="preserve"> vs baseline 2030</w:t>
      </w:r>
      <w:bookmarkEnd w:id="390"/>
      <w:bookmarkEnd w:id="391"/>
      <w:bookmarkEnd w:id="392"/>
      <w:bookmarkEnd w:id="393"/>
    </w:p>
    <w:p w14:paraId="3873DC99" w14:textId="609A46A1"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31C90928" wp14:editId="76ED5DB8">
            <wp:extent cx="5731510" cy="218948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189480"/>
                    </a:xfrm>
                    <a:prstGeom prst="rect">
                      <a:avLst/>
                    </a:prstGeom>
                    <a:noFill/>
                    <a:ln>
                      <a:noFill/>
                    </a:ln>
                  </pic:spPr>
                </pic:pic>
              </a:graphicData>
            </a:graphic>
          </wp:inline>
        </w:drawing>
      </w:r>
    </w:p>
    <w:p w14:paraId="4FE2A1D0" w14:textId="20B77018" w:rsidR="00C6342D" w:rsidRPr="005B4339" w:rsidRDefault="00C6342D" w:rsidP="00C6342D">
      <w:pPr>
        <w:pStyle w:val="JRCFiguresource"/>
        <w:rPr>
          <w:noProof/>
          <w:lang w:val="en-IE"/>
        </w:rPr>
      </w:pPr>
      <w:r w:rsidRPr="005B4339">
        <w:rPr>
          <w:noProof/>
          <w:lang w:val="en-IE"/>
        </w:rPr>
        <w:t>Source: MAGNET simulation results</w:t>
      </w:r>
    </w:p>
    <w:p w14:paraId="2C3AF45E" w14:textId="297D0431" w:rsidR="00C6342D" w:rsidRPr="005B4339" w:rsidRDefault="00C6342D">
      <w:pPr>
        <w:pStyle w:val="JRCLevel-4title"/>
        <w:keepLines w:val="0"/>
        <w:numPr>
          <w:ilvl w:val="3"/>
          <w:numId w:val="161"/>
        </w:numPr>
        <w:outlineLvl w:val="3"/>
        <w:rPr>
          <w:rFonts w:ascii="Times New Roman" w:hAnsi="Times New Roman"/>
          <w:noProof/>
          <w:sz w:val="24"/>
          <w:szCs w:val="24"/>
          <w:lang w:val="en-IE"/>
        </w:rPr>
      </w:pPr>
      <w:bookmarkStart w:id="394" w:name="_Toc1440507914"/>
      <w:bookmarkStart w:id="395" w:name="_Toc250769063"/>
      <w:bookmarkStart w:id="396" w:name="_Toc451349122"/>
      <w:bookmarkStart w:id="397" w:name="_Toc59945688"/>
      <w:bookmarkStart w:id="398" w:name="_Toc442777878"/>
      <w:bookmarkStart w:id="399" w:name="_Toc1052833769"/>
      <w:bookmarkStart w:id="400" w:name="_Toc403387701"/>
      <w:bookmarkStart w:id="401" w:name="_Toc931121379"/>
      <w:bookmarkStart w:id="402" w:name="_Toc139032112"/>
      <w:r w:rsidRPr="005B4339">
        <w:rPr>
          <w:rFonts w:ascii="Times New Roman" w:hAnsi="Times New Roman"/>
          <w:noProof/>
          <w:sz w:val="24"/>
          <w:szCs w:val="24"/>
          <w:lang w:val="en-IE"/>
        </w:rPr>
        <w:t>Virtual trade – systemic view</w:t>
      </w:r>
      <w:bookmarkEnd w:id="394"/>
      <w:bookmarkEnd w:id="395"/>
      <w:bookmarkEnd w:id="396"/>
      <w:bookmarkEnd w:id="397"/>
      <w:bookmarkEnd w:id="398"/>
      <w:bookmarkEnd w:id="399"/>
      <w:bookmarkEnd w:id="400"/>
      <w:bookmarkEnd w:id="401"/>
      <w:bookmarkEnd w:id="402"/>
      <w:r w:rsidRPr="005B4339">
        <w:rPr>
          <w:rFonts w:ascii="Times New Roman" w:hAnsi="Times New Roman"/>
          <w:noProof/>
          <w:sz w:val="24"/>
          <w:szCs w:val="24"/>
          <w:lang w:val="en-IE"/>
        </w:rPr>
        <w:t xml:space="preserve"> </w:t>
      </w:r>
    </w:p>
    <w:p w14:paraId="6CBD7D0F" w14:textId="6421FAE4"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footprints presented in the previous section consider emissions and land use associated </w:t>
      </w:r>
      <w:r w:rsidR="00F364AA" w:rsidRPr="005B4339">
        <w:rPr>
          <w:rFonts w:ascii="Times New Roman" w:hAnsi="Times New Roman"/>
          <w:noProof/>
          <w:sz w:val="24"/>
          <w:szCs w:val="24"/>
          <w:lang w:val="en-IE"/>
        </w:rPr>
        <w:t>with</w:t>
      </w:r>
      <w:r w:rsidRPr="005B4339">
        <w:rPr>
          <w:rFonts w:ascii="Times New Roman" w:hAnsi="Times New Roman"/>
          <w:noProof/>
          <w:sz w:val="24"/>
          <w:szCs w:val="24"/>
          <w:lang w:val="en-IE"/>
        </w:rPr>
        <w:t xml:space="preserve"> household food consumption in the EU, hence accounting for the quantity of the virtual (i.e., non-tradable) commodity embedded within imported and domestic EU final food consumption. The underlying virtual flows and their concomitant cross-boundary trade impacts are presented in the figures below.</w:t>
      </w:r>
    </w:p>
    <w:p w14:paraId="3C738A28" w14:textId="4B7FE619" w:rsidR="00C6342D" w:rsidRPr="005B4339" w:rsidRDefault="00A57388"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_Ref133226371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14</w:t>
      </w:r>
      <w:r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shows that the EU is a net-emission importing region that is represented by the negative trade balances for both livestock and food. In other words, EU consumers generate emissions ‘leakage’ through their food consumption patterns. However, the negative trade balance for food is much larger than for livestock. Virtual emission trade related to food is in general larger than for crops and livestock, particularly as livestock is not traded much and all meat and dairy trade is included in food. In addition, virtual emission trade related to food is unbalanced as virtual exports only account for around two thirds of virtual imports, while virtual emission trade related to crops is rather balanced. </w:t>
      </w:r>
    </w:p>
    <w:p w14:paraId="435D0735" w14:textId="77777777" w:rsidR="000D1CCB" w:rsidRPr="005B4339" w:rsidRDefault="000D1CCB" w:rsidP="00C6342D">
      <w:pPr>
        <w:pStyle w:val="JRCText"/>
        <w:rPr>
          <w:rFonts w:ascii="Times New Roman" w:hAnsi="Times New Roman"/>
          <w:noProof/>
          <w:sz w:val="24"/>
          <w:szCs w:val="24"/>
          <w:lang w:val="en-IE"/>
        </w:rPr>
      </w:pPr>
      <w:bookmarkStart w:id="403" w:name="_Toc122623398"/>
      <w:bookmarkStart w:id="404" w:name="_Toc125121529"/>
    </w:p>
    <w:p w14:paraId="673EB712" w14:textId="77777777" w:rsidR="000D1CCB" w:rsidRPr="005B4339" w:rsidRDefault="000D1CCB" w:rsidP="00C6342D">
      <w:pPr>
        <w:pStyle w:val="JRCText"/>
        <w:rPr>
          <w:rFonts w:ascii="Times New Roman" w:hAnsi="Times New Roman"/>
          <w:noProof/>
          <w:sz w:val="24"/>
          <w:szCs w:val="24"/>
          <w:lang w:val="en-IE"/>
        </w:rPr>
      </w:pPr>
    </w:p>
    <w:p w14:paraId="24813BFA" w14:textId="77777777" w:rsidR="000D1CCB" w:rsidRPr="005B4339" w:rsidRDefault="000D1CCB" w:rsidP="00C6342D">
      <w:pPr>
        <w:pStyle w:val="JRCText"/>
        <w:rPr>
          <w:rFonts w:ascii="Times New Roman" w:hAnsi="Times New Roman"/>
          <w:noProof/>
          <w:sz w:val="24"/>
          <w:szCs w:val="24"/>
          <w:lang w:val="en-IE"/>
        </w:rPr>
      </w:pPr>
    </w:p>
    <w:p w14:paraId="311ECC98" w14:textId="77777777" w:rsidR="000D1CCB" w:rsidRPr="005B4339" w:rsidRDefault="000D1CCB" w:rsidP="00C6342D">
      <w:pPr>
        <w:pStyle w:val="JRCText"/>
        <w:rPr>
          <w:rFonts w:ascii="Times New Roman" w:hAnsi="Times New Roman"/>
          <w:noProof/>
          <w:sz w:val="24"/>
          <w:szCs w:val="24"/>
          <w:lang w:val="en-IE"/>
        </w:rPr>
      </w:pPr>
    </w:p>
    <w:p w14:paraId="311D7D33" w14:textId="77777777" w:rsidR="000D1CCB" w:rsidRPr="005B4339" w:rsidRDefault="000D1CCB" w:rsidP="00C6342D">
      <w:pPr>
        <w:pStyle w:val="JRCText"/>
        <w:rPr>
          <w:rFonts w:ascii="Times New Roman" w:hAnsi="Times New Roman"/>
          <w:noProof/>
          <w:sz w:val="24"/>
          <w:szCs w:val="24"/>
          <w:lang w:val="en-IE"/>
        </w:rPr>
      </w:pPr>
    </w:p>
    <w:p w14:paraId="5388BDAA" w14:textId="77777777" w:rsidR="000D1CCB" w:rsidRPr="005B4339" w:rsidRDefault="000D1CCB" w:rsidP="00C6342D">
      <w:pPr>
        <w:pStyle w:val="JRCText"/>
        <w:rPr>
          <w:rFonts w:ascii="Times New Roman" w:hAnsi="Times New Roman"/>
          <w:noProof/>
          <w:sz w:val="24"/>
          <w:szCs w:val="24"/>
          <w:lang w:val="en-IE"/>
        </w:rPr>
      </w:pPr>
    </w:p>
    <w:p w14:paraId="74CDE4B7" w14:textId="77777777" w:rsidR="000D1CCB" w:rsidRPr="005B4339" w:rsidRDefault="000D1CCB" w:rsidP="00C6342D">
      <w:pPr>
        <w:pStyle w:val="JRCText"/>
        <w:rPr>
          <w:rFonts w:ascii="Times New Roman" w:hAnsi="Times New Roman"/>
          <w:noProof/>
          <w:sz w:val="24"/>
          <w:szCs w:val="24"/>
          <w:lang w:val="en-IE"/>
        </w:rPr>
      </w:pPr>
    </w:p>
    <w:p w14:paraId="7D9084B3" w14:textId="4B1037E9" w:rsidR="00794505" w:rsidRPr="005B4339" w:rsidRDefault="00794505" w:rsidP="003B6050">
      <w:pPr>
        <w:pStyle w:val="JRCFigurecaption"/>
        <w:rPr>
          <w:noProof/>
          <w:lang w:val="en-IE"/>
        </w:rPr>
      </w:pPr>
      <w:bookmarkStart w:id="405" w:name="_Ref133226371"/>
      <w:bookmarkStart w:id="406" w:name="_Toc133229341"/>
      <w:bookmarkStart w:id="407" w:name="_Toc139031949"/>
      <w:r w:rsidRPr="005B4339">
        <w:rPr>
          <w:noProof/>
          <w:lang w:val="en-IE"/>
        </w:rPr>
        <w:t xml:space="preserve">Figure </w:t>
      </w:r>
      <w:r w:rsidR="00393DFA">
        <w:rPr>
          <w:bCs/>
          <w:noProof/>
        </w:rPr>
        <w:t>14</w:t>
      </w:r>
      <w:bookmarkEnd w:id="405"/>
      <w:r w:rsidRPr="005B4339">
        <w:rPr>
          <w:noProof/>
          <w:lang w:val="en-IE"/>
        </w:rPr>
        <w:t>: EU virtual emission trade flows (mt CO2 equivalents) in the baseline 2030</w:t>
      </w:r>
      <w:bookmarkEnd w:id="403"/>
      <w:bookmarkEnd w:id="404"/>
      <w:bookmarkEnd w:id="406"/>
      <w:bookmarkEnd w:id="407"/>
    </w:p>
    <w:p w14:paraId="75CDE97E" w14:textId="5C93ABC9" w:rsidR="00C6342D" w:rsidRPr="005B4339" w:rsidRDefault="004928CC" w:rsidP="00C6342D">
      <w:pPr>
        <w:pStyle w:val="JRCText"/>
        <w:rPr>
          <w:rFonts w:ascii="Times New Roman" w:hAnsi="Times New Roman"/>
          <w:noProof/>
          <w:sz w:val="24"/>
          <w:szCs w:val="24"/>
          <w:lang w:val="en-IE"/>
        </w:rPr>
      </w:pPr>
      <w:r w:rsidRPr="004928CC">
        <w:lastRenderedPageBreak/>
        <w:drawing>
          <wp:inline distT="0" distB="0" distL="0" distR="0" wp14:anchorId="46B78CA5" wp14:editId="1D478A5C">
            <wp:extent cx="5715000" cy="2105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inline>
        </w:drawing>
      </w:r>
    </w:p>
    <w:p w14:paraId="2C3FC582" w14:textId="77777777" w:rsidR="00794505" w:rsidRPr="005B4339" w:rsidRDefault="00794505" w:rsidP="00794505">
      <w:pPr>
        <w:pStyle w:val="JRCFiguresource"/>
        <w:rPr>
          <w:noProof/>
          <w:lang w:val="en-IE"/>
        </w:rPr>
      </w:pPr>
      <w:r w:rsidRPr="005B4339">
        <w:rPr>
          <w:noProof/>
          <w:lang w:val="en-IE"/>
        </w:rPr>
        <w:t>Source: MAGNET simulation results</w:t>
      </w:r>
    </w:p>
    <w:p w14:paraId="2588D715" w14:textId="118E5EC8"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Reductions in food waste lead to reductions in virtual emissions imports and exports associated with livestock and food trade. The extent to which virtual emissions imports are reduced significantly outweighs the impact on virtual emissions exports</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so that the virtual emissions trade balance improves. Virtual emission exports associated with trade in crops tend to increase while virtual imports decrease</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hence also improving the virtual emission trade balance. However</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impact of the reduction in food waste on virtual emissions trade is rather small</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so that the net position as a net emissions import region tends to improve only slightly. The more ambitious the food waste reduction target</w:t>
      </w:r>
      <w:r w:rsidR="003F185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larger the effect </w:t>
      </w:r>
      <w:r w:rsidR="009B0E2F" w:rsidRPr="005B4339">
        <w:rPr>
          <w:rFonts w:ascii="Times New Roman" w:hAnsi="Times New Roman"/>
          <w:noProof/>
          <w:sz w:val="24"/>
          <w:szCs w:val="24"/>
          <w:lang w:val="en-IE"/>
        </w:rPr>
        <w:t xml:space="preserve">is </w:t>
      </w:r>
      <w:r w:rsidRPr="005B4339">
        <w:rPr>
          <w:rFonts w:ascii="Times New Roman" w:hAnsi="Times New Roman"/>
          <w:noProof/>
          <w:sz w:val="24"/>
          <w:szCs w:val="24"/>
          <w:lang w:val="en-IE"/>
        </w:rPr>
        <w:t>on the trade balance (</w:t>
      </w:r>
      <w:r w:rsidR="00A57388" w:rsidRPr="005B4339">
        <w:rPr>
          <w:rFonts w:ascii="Times New Roman" w:hAnsi="Times New Roman"/>
          <w:noProof/>
          <w:sz w:val="24"/>
          <w:szCs w:val="24"/>
          <w:lang w:val="en-IE"/>
        </w:rPr>
        <w:fldChar w:fldCharType="begin"/>
      </w:r>
      <w:r w:rsidR="00A57388" w:rsidRPr="005B4339">
        <w:rPr>
          <w:rFonts w:ascii="Times New Roman" w:hAnsi="Times New Roman"/>
          <w:noProof/>
          <w:sz w:val="24"/>
          <w:szCs w:val="24"/>
          <w:lang w:val="en-IE"/>
        </w:rPr>
        <w:instrText xml:space="preserve"> REF _Ref133226424 \h  \* MERGEFORMAT </w:instrText>
      </w:r>
      <w:r w:rsidR="00A57388" w:rsidRPr="005B4339">
        <w:rPr>
          <w:rFonts w:ascii="Times New Roman" w:hAnsi="Times New Roman"/>
          <w:noProof/>
          <w:sz w:val="24"/>
          <w:szCs w:val="24"/>
          <w:lang w:val="en-IE"/>
        </w:rPr>
      </w:r>
      <w:r w:rsidR="00A5738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15</w:t>
      </w:r>
      <w:r w:rsidR="00A57388" w:rsidRPr="005B4339">
        <w:rPr>
          <w:rFonts w:ascii="Times New Roman" w:hAnsi="Times New Roman"/>
          <w:noProof/>
          <w:sz w:val="24"/>
          <w:szCs w:val="24"/>
          <w:lang w:val="en-IE"/>
        </w:rPr>
        <w:fldChar w:fldCharType="end"/>
      </w:r>
      <w:r w:rsidRPr="005B4339">
        <w:rPr>
          <w:rFonts w:ascii="Times New Roman" w:hAnsi="Times New Roman"/>
          <w:noProof/>
          <w:sz w:val="24"/>
          <w:lang w:val="en-IE"/>
        </w:rPr>
        <w:t>).</w:t>
      </w:r>
    </w:p>
    <w:p w14:paraId="323A3CA3" w14:textId="032172A5" w:rsidR="00C6342D" w:rsidRPr="005B4339" w:rsidRDefault="00794505" w:rsidP="003B6050">
      <w:pPr>
        <w:pStyle w:val="JRCFigurecaption"/>
        <w:rPr>
          <w:noProof/>
          <w:lang w:val="en-IE"/>
        </w:rPr>
      </w:pPr>
      <w:bookmarkStart w:id="408" w:name="_Ref133226424"/>
      <w:bookmarkStart w:id="409" w:name="_Toc133229342"/>
      <w:bookmarkStart w:id="410" w:name="_Toc139031950"/>
      <w:bookmarkStart w:id="411" w:name="_Toc122623399"/>
      <w:bookmarkStart w:id="412" w:name="_Toc125121530"/>
      <w:r w:rsidRPr="005B4339">
        <w:rPr>
          <w:noProof/>
          <w:lang w:val="en-IE"/>
        </w:rPr>
        <w:t xml:space="preserve">Figure </w:t>
      </w:r>
      <w:r w:rsidR="00393DFA">
        <w:rPr>
          <w:bCs/>
          <w:noProof/>
        </w:rPr>
        <w:t>15</w:t>
      </w:r>
      <w:bookmarkEnd w:id="408"/>
      <w:r w:rsidR="00C6342D" w:rsidRPr="005B4339">
        <w:rPr>
          <w:noProof/>
          <w:lang w:val="en-IE"/>
        </w:rPr>
        <w:t xml:space="preserve">: Absolute deviation of EU virtual emission trade flows (mt CO2 equivalents) </w:t>
      </w:r>
      <w:r w:rsidR="00393E3F" w:rsidRPr="005B4339">
        <w:rPr>
          <w:noProof/>
          <w:lang w:val="en-IE"/>
        </w:rPr>
        <w:t xml:space="preserve">options </w:t>
      </w:r>
      <w:r w:rsidR="00C6342D" w:rsidRPr="005B4339">
        <w:rPr>
          <w:noProof/>
          <w:lang w:val="en-IE"/>
        </w:rPr>
        <w:t>vs baseline 2030</w:t>
      </w:r>
      <w:bookmarkEnd w:id="409"/>
      <w:bookmarkEnd w:id="410"/>
    </w:p>
    <w:p w14:paraId="7F34FB73" w14:textId="5DD50823"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58070F08" wp14:editId="49305260">
            <wp:extent cx="5353050" cy="3209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3050" cy="3209925"/>
                    </a:xfrm>
                    <a:prstGeom prst="rect">
                      <a:avLst/>
                    </a:prstGeom>
                    <a:noFill/>
                    <a:ln>
                      <a:noFill/>
                    </a:ln>
                  </pic:spPr>
                </pic:pic>
              </a:graphicData>
            </a:graphic>
          </wp:inline>
        </w:drawing>
      </w:r>
    </w:p>
    <w:bookmarkEnd w:id="411"/>
    <w:bookmarkEnd w:id="412"/>
    <w:p w14:paraId="2E9F5A7F" w14:textId="20B77018" w:rsidR="00C6342D" w:rsidRPr="005B4339" w:rsidRDefault="00C6342D" w:rsidP="00C6342D">
      <w:pPr>
        <w:pStyle w:val="JRCText"/>
        <w:rPr>
          <w:rFonts w:ascii="Times New Roman" w:hAnsi="Times New Roman"/>
          <w:noProof/>
          <w:sz w:val="24"/>
          <w:szCs w:val="24"/>
          <w:lang w:val="en-IE"/>
        </w:rPr>
      </w:pPr>
    </w:p>
    <w:p w14:paraId="0EA0B7C8" w14:textId="20B77018" w:rsidR="00794505" w:rsidRPr="005B4339" w:rsidRDefault="00794505" w:rsidP="00794505">
      <w:pPr>
        <w:pStyle w:val="JRCFiguresource"/>
        <w:rPr>
          <w:noProof/>
          <w:lang w:val="en-IE"/>
        </w:rPr>
      </w:pPr>
      <w:r w:rsidRPr="005B4339">
        <w:rPr>
          <w:noProof/>
          <w:lang w:val="en-IE"/>
        </w:rPr>
        <w:t>Source: MAGNET simulation results</w:t>
      </w:r>
    </w:p>
    <w:p w14:paraId="16BFBAE0" w14:textId="79F104E6" w:rsidR="00C6342D" w:rsidRPr="005B4339" w:rsidRDefault="00A57388"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fldChar w:fldCharType="begin"/>
      </w:r>
      <w:r w:rsidRPr="005B4339">
        <w:rPr>
          <w:rFonts w:ascii="Times New Roman" w:hAnsi="Times New Roman"/>
          <w:noProof/>
          <w:sz w:val="24"/>
          <w:szCs w:val="24"/>
          <w:lang w:val="en-IE"/>
        </w:rPr>
        <w:instrText xml:space="preserve"> REF _Ref133226462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16</w:t>
      </w:r>
      <w:r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shows that the EU is a net-importing region with regard to the virtual trade of land</w:t>
      </w:r>
      <w:r w:rsidR="009B0E2F"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 with the largest negative trade balance associated with the trade of food and food services. </w:t>
      </w:r>
    </w:p>
    <w:p w14:paraId="4A6B332E" w14:textId="3C9D3B09" w:rsidR="00794505" w:rsidRPr="005B4339" w:rsidRDefault="00794505" w:rsidP="003B6050">
      <w:pPr>
        <w:pStyle w:val="JRCFigurecaption"/>
        <w:rPr>
          <w:noProof/>
          <w:lang w:val="en-IE"/>
        </w:rPr>
      </w:pPr>
      <w:bookmarkStart w:id="413" w:name="_Ref133226462"/>
      <w:bookmarkStart w:id="414" w:name="_Toc122623400"/>
      <w:bookmarkStart w:id="415" w:name="_Toc125121531"/>
      <w:bookmarkStart w:id="416" w:name="_Toc133229343"/>
      <w:bookmarkStart w:id="417" w:name="_Toc139031951"/>
      <w:r w:rsidRPr="005B4339">
        <w:rPr>
          <w:noProof/>
          <w:lang w:val="en-IE"/>
        </w:rPr>
        <w:t xml:space="preserve">Figure </w:t>
      </w:r>
      <w:r w:rsidR="00393DFA">
        <w:rPr>
          <w:bCs/>
          <w:noProof/>
        </w:rPr>
        <w:t>16</w:t>
      </w:r>
      <w:bookmarkEnd w:id="413"/>
      <w:r w:rsidRPr="005B4339">
        <w:rPr>
          <w:noProof/>
          <w:lang w:val="en-IE"/>
        </w:rPr>
        <w:t>: EU virtual land trade flows (million hectares) in the baseline 2030</w:t>
      </w:r>
      <w:bookmarkEnd w:id="414"/>
      <w:bookmarkEnd w:id="415"/>
      <w:bookmarkEnd w:id="416"/>
      <w:bookmarkEnd w:id="417"/>
    </w:p>
    <w:p w14:paraId="0A78DDA5" w14:textId="22EF3A89"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10230695" wp14:editId="2019E28F">
            <wp:extent cx="5731510" cy="267525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675255"/>
                    </a:xfrm>
                    <a:prstGeom prst="rect">
                      <a:avLst/>
                    </a:prstGeom>
                    <a:noFill/>
                    <a:ln>
                      <a:noFill/>
                    </a:ln>
                  </pic:spPr>
                </pic:pic>
              </a:graphicData>
            </a:graphic>
          </wp:inline>
        </w:drawing>
      </w:r>
    </w:p>
    <w:p w14:paraId="59DBAB54" w14:textId="20B77018" w:rsidR="00C6342D" w:rsidRPr="005B4339" w:rsidRDefault="00C6342D" w:rsidP="003B6050">
      <w:pPr>
        <w:pStyle w:val="JRCFigurecaption"/>
        <w:rPr>
          <w:noProof/>
          <w:lang w:val="en-IE"/>
        </w:rPr>
      </w:pPr>
    </w:p>
    <w:p w14:paraId="0D97458E" w14:textId="20B77018" w:rsidR="00794505" w:rsidRPr="005B4339" w:rsidRDefault="00794505" w:rsidP="00794505">
      <w:pPr>
        <w:pStyle w:val="JRCFiguresource"/>
        <w:rPr>
          <w:noProof/>
          <w:lang w:val="en-IE"/>
        </w:rPr>
      </w:pPr>
      <w:r w:rsidRPr="005B4339">
        <w:rPr>
          <w:noProof/>
          <w:lang w:val="en-IE"/>
        </w:rPr>
        <w:t>Source: MAGNET simulation results</w:t>
      </w:r>
    </w:p>
    <w:p w14:paraId="09238E12" w14:textId="27EF6819"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The virtual land trade balance also improves with the reduction of food waste</w:t>
      </w:r>
      <w:r w:rsidR="00F7036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revealing the smallest changes with regard to crops followed by livestock and food. By contrast to virtual emission trade, virtual exports of land tend to increase for all commodity groups, while virtual land imports tend to decrease. As the effect on virtual land imports clearly outweighs the effect on virtual land imports, the virtual land trade balance improves for all three commodity aggregates. </w:t>
      </w:r>
      <w:r w:rsidR="00A57388" w:rsidRPr="005B4339">
        <w:rPr>
          <w:rFonts w:ascii="Times New Roman" w:hAnsi="Times New Roman"/>
          <w:noProof/>
          <w:sz w:val="24"/>
          <w:szCs w:val="24"/>
          <w:lang w:val="en-IE"/>
        </w:rPr>
        <w:fldChar w:fldCharType="begin"/>
      </w:r>
      <w:r w:rsidR="00A57388" w:rsidRPr="005B4339">
        <w:rPr>
          <w:rFonts w:ascii="Times New Roman" w:hAnsi="Times New Roman"/>
          <w:noProof/>
          <w:sz w:val="24"/>
          <w:szCs w:val="24"/>
          <w:lang w:val="en-IE"/>
        </w:rPr>
        <w:instrText xml:space="preserve"> REF _Ref133226580 \h  \* MERGEFORMAT </w:instrText>
      </w:r>
      <w:r w:rsidR="00A57388" w:rsidRPr="005B4339">
        <w:rPr>
          <w:rFonts w:ascii="Times New Roman" w:hAnsi="Times New Roman"/>
          <w:noProof/>
          <w:sz w:val="24"/>
          <w:szCs w:val="24"/>
          <w:lang w:val="en-IE"/>
        </w:rPr>
      </w:r>
      <w:r w:rsidR="00A5738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17</w:t>
      </w:r>
      <w:r w:rsidR="00A57388"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also supports the previous statement that the more ambitious the food waste reduction target</w:t>
      </w:r>
      <w:r w:rsidR="00F7036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larger are the effects on virtual land trade.</w:t>
      </w:r>
    </w:p>
    <w:p w14:paraId="78344A8A" w14:textId="77777777" w:rsidR="00717891" w:rsidRPr="005B4339" w:rsidRDefault="00717891" w:rsidP="003B6050">
      <w:pPr>
        <w:pStyle w:val="JRCFigurecaption"/>
        <w:rPr>
          <w:noProof/>
          <w:lang w:val="en-IE"/>
        </w:rPr>
      </w:pPr>
    </w:p>
    <w:p w14:paraId="35DDA41F" w14:textId="77777777" w:rsidR="00717891" w:rsidRPr="005B4339" w:rsidRDefault="00717891" w:rsidP="003B6050">
      <w:pPr>
        <w:pStyle w:val="JRCFigurecaption"/>
        <w:rPr>
          <w:noProof/>
          <w:lang w:val="en-IE"/>
        </w:rPr>
      </w:pPr>
    </w:p>
    <w:p w14:paraId="0A33DA15" w14:textId="77777777" w:rsidR="00717891" w:rsidRPr="005B4339" w:rsidRDefault="00717891" w:rsidP="003B6050">
      <w:pPr>
        <w:pStyle w:val="JRCFigurecaption"/>
        <w:rPr>
          <w:noProof/>
          <w:lang w:val="en-IE"/>
        </w:rPr>
      </w:pPr>
    </w:p>
    <w:p w14:paraId="71F6AB08" w14:textId="77777777" w:rsidR="00717891" w:rsidRPr="005B4339" w:rsidRDefault="00717891" w:rsidP="003B6050">
      <w:pPr>
        <w:pStyle w:val="JRCFigurecaption"/>
        <w:rPr>
          <w:noProof/>
          <w:lang w:val="en-IE"/>
        </w:rPr>
      </w:pPr>
    </w:p>
    <w:p w14:paraId="694C777B" w14:textId="77777777" w:rsidR="00717891" w:rsidRPr="005B4339" w:rsidRDefault="00717891" w:rsidP="003B6050">
      <w:pPr>
        <w:pStyle w:val="JRCFigurecaption"/>
        <w:rPr>
          <w:noProof/>
          <w:lang w:val="en-IE"/>
        </w:rPr>
      </w:pPr>
    </w:p>
    <w:p w14:paraId="176B8571" w14:textId="77777777" w:rsidR="00717891" w:rsidRPr="005B4339" w:rsidRDefault="00717891" w:rsidP="003B6050">
      <w:pPr>
        <w:pStyle w:val="JRCFigurecaption"/>
        <w:rPr>
          <w:noProof/>
          <w:lang w:val="en-IE"/>
        </w:rPr>
      </w:pPr>
    </w:p>
    <w:p w14:paraId="45DA83E0" w14:textId="77777777" w:rsidR="00717891" w:rsidRPr="005B4339" w:rsidRDefault="00717891" w:rsidP="003B6050">
      <w:pPr>
        <w:pStyle w:val="JRCFigurecaption"/>
        <w:rPr>
          <w:noProof/>
          <w:lang w:val="en-IE"/>
        </w:rPr>
      </w:pPr>
    </w:p>
    <w:p w14:paraId="3AF22CCB" w14:textId="77777777" w:rsidR="00717891" w:rsidRPr="005B4339" w:rsidRDefault="00717891" w:rsidP="003B6050">
      <w:pPr>
        <w:pStyle w:val="JRCFigurecaption"/>
        <w:rPr>
          <w:noProof/>
          <w:lang w:val="en-IE"/>
        </w:rPr>
      </w:pPr>
    </w:p>
    <w:p w14:paraId="093929D6" w14:textId="77777777" w:rsidR="00717891" w:rsidRPr="005B4339" w:rsidRDefault="00717891" w:rsidP="003B6050">
      <w:pPr>
        <w:pStyle w:val="JRCFigurecaption"/>
        <w:rPr>
          <w:noProof/>
          <w:lang w:val="en-IE"/>
        </w:rPr>
      </w:pPr>
    </w:p>
    <w:p w14:paraId="3ABE8666" w14:textId="77777777" w:rsidR="00717891" w:rsidRPr="005B4339" w:rsidRDefault="00717891" w:rsidP="003B6050">
      <w:pPr>
        <w:pStyle w:val="JRCFigurecaption"/>
        <w:rPr>
          <w:noProof/>
          <w:lang w:val="en-IE"/>
        </w:rPr>
      </w:pPr>
    </w:p>
    <w:p w14:paraId="464F00FF" w14:textId="77777777" w:rsidR="00717891" w:rsidRPr="005B4339" w:rsidRDefault="00717891" w:rsidP="003B6050">
      <w:pPr>
        <w:pStyle w:val="JRCFigurecaption"/>
        <w:rPr>
          <w:noProof/>
          <w:lang w:val="en-IE"/>
        </w:rPr>
      </w:pPr>
    </w:p>
    <w:p w14:paraId="1117B3D0" w14:textId="77777777" w:rsidR="00717891" w:rsidRPr="005B4339" w:rsidRDefault="00717891" w:rsidP="003B6050">
      <w:pPr>
        <w:pStyle w:val="JRCFigurecaption"/>
        <w:rPr>
          <w:noProof/>
          <w:lang w:val="en-IE"/>
        </w:rPr>
      </w:pPr>
    </w:p>
    <w:p w14:paraId="0128AD7D" w14:textId="77777777" w:rsidR="00717891" w:rsidRPr="005B4339" w:rsidRDefault="00717891" w:rsidP="003B6050">
      <w:pPr>
        <w:pStyle w:val="JRCFigurecaption"/>
        <w:rPr>
          <w:noProof/>
          <w:lang w:val="en-IE"/>
        </w:rPr>
      </w:pPr>
    </w:p>
    <w:p w14:paraId="340E05AE" w14:textId="394FBA8E" w:rsidR="00C6342D" w:rsidRPr="005B4339" w:rsidRDefault="00794505" w:rsidP="003B6050">
      <w:pPr>
        <w:pStyle w:val="JRCFigurecaption"/>
        <w:rPr>
          <w:noProof/>
          <w:lang w:val="en-IE"/>
        </w:rPr>
      </w:pPr>
      <w:bookmarkStart w:id="418" w:name="_Ref133226580"/>
      <w:bookmarkStart w:id="419" w:name="_Toc133229344"/>
      <w:bookmarkStart w:id="420" w:name="_Toc139031952"/>
      <w:r w:rsidRPr="005B4339">
        <w:rPr>
          <w:noProof/>
          <w:lang w:val="en-IE"/>
        </w:rPr>
        <w:lastRenderedPageBreak/>
        <w:t xml:space="preserve">Figure </w:t>
      </w:r>
      <w:r w:rsidR="00393DFA">
        <w:rPr>
          <w:bCs/>
          <w:noProof/>
        </w:rPr>
        <w:t>17</w:t>
      </w:r>
      <w:bookmarkEnd w:id="418"/>
      <w:r w:rsidR="00C6342D" w:rsidRPr="005B4339">
        <w:rPr>
          <w:noProof/>
          <w:lang w:val="en-IE"/>
        </w:rPr>
        <w:t xml:space="preserve">: Absolute deviation of EU virtual land trade flows (thousand hectares) </w:t>
      </w:r>
      <w:r w:rsidR="00393E3F" w:rsidRPr="005B4339">
        <w:rPr>
          <w:noProof/>
          <w:lang w:val="en-IE"/>
        </w:rPr>
        <w:t xml:space="preserve">options </w:t>
      </w:r>
      <w:r w:rsidR="00C6342D" w:rsidRPr="005B4339">
        <w:rPr>
          <w:noProof/>
          <w:lang w:val="en-IE"/>
        </w:rPr>
        <w:t>vs baseline 2030</w:t>
      </w:r>
      <w:bookmarkEnd w:id="419"/>
      <w:bookmarkEnd w:id="420"/>
    </w:p>
    <w:p w14:paraId="18FCC672" w14:textId="1735F300" w:rsidR="00C6342D" w:rsidRPr="005B4339" w:rsidRDefault="004928CC" w:rsidP="00C6342D">
      <w:pPr>
        <w:pStyle w:val="JRCText"/>
        <w:rPr>
          <w:rFonts w:ascii="Times New Roman" w:hAnsi="Times New Roman"/>
          <w:noProof/>
          <w:sz w:val="24"/>
          <w:szCs w:val="24"/>
          <w:lang w:val="en-IE"/>
        </w:rPr>
      </w:pPr>
      <w:r w:rsidRPr="004928CC">
        <w:drawing>
          <wp:inline distT="0" distB="0" distL="0" distR="0" wp14:anchorId="6E37949E" wp14:editId="0AE1E5B4">
            <wp:extent cx="5353050" cy="3209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3050" cy="3209925"/>
                    </a:xfrm>
                    <a:prstGeom prst="rect">
                      <a:avLst/>
                    </a:prstGeom>
                    <a:noFill/>
                    <a:ln>
                      <a:noFill/>
                    </a:ln>
                  </pic:spPr>
                </pic:pic>
              </a:graphicData>
            </a:graphic>
          </wp:inline>
        </w:drawing>
      </w:r>
    </w:p>
    <w:p w14:paraId="69A8B337" w14:textId="78AC0C36" w:rsidR="00794505" w:rsidRPr="005B4339" w:rsidRDefault="00794505" w:rsidP="00717891">
      <w:pPr>
        <w:pStyle w:val="JRCFiguresource"/>
        <w:rPr>
          <w:noProof/>
          <w:lang w:val="en-IE"/>
        </w:rPr>
      </w:pPr>
      <w:r w:rsidRPr="005B4339">
        <w:rPr>
          <w:noProof/>
          <w:lang w:val="en-IE"/>
        </w:rPr>
        <w:t>So</w:t>
      </w:r>
      <w:r w:rsidR="00717891" w:rsidRPr="005B4339">
        <w:rPr>
          <w:noProof/>
          <w:lang w:val="en-IE"/>
        </w:rPr>
        <w:t>urce: MAGNET simulation results</w:t>
      </w:r>
    </w:p>
    <w:p w14:paraId="07F03C58" w14:textId="46DBDF02" w:rsidR="00794505" w:rsidRPr="005B4339" w:rsidRDefault="00794505">
      <w:pPr>
        <w:pStyle w:val="JRCLevel-3title"/>
        <w:numPr>
          <w:ilvl w:val="2"/>
          <w:numId w:val="161"/>
        </w:numPr>
        <w:rPr>
          <w:rFonts w:ascii="Times New Roman" w:hAnsi="Times New Roman"/>
          <w:noProof/>
          <w:sz w:val="24"/>
          <w:lang w:val="en-IE"/>
        </w:rPr>
      </w:pPr>
      <w:bookmarkStart w:id="421" w:name="_Toc125109497"/>
      <w:bookmarkStart w:id="422" w:name="_Toc459477859"/>
      <w:bookmarkStart w:id="423" w:name="_Toc503617275"/>
      <w:bookmarkStart w:id="424" w:name="_Toc1292912593"/>
      <w:bookmarkStart w:id="425" w:name="_Toc349207806"/>
      <w:bookmarkStart w:id="426" w:name="_Toc513326130"/>
      <w:bookmarkStart w:id="427" w:name="_Toc1954682215"/>
      <w:bookmarkStart w:id="428" w:name="_Toc1162141705"/>
      <w:bookmarkStart w:id="429" w:name="_Toc139032113"/>
      <w:r w:rsidRPr="005B4339">
        <w:rPr>
          <w:rFonts w:ascii="Times New Roman" w:hAnsi="Times New Roman"/>
          <w:noProof/>
          <w:sz w:val="24"/>
          <w:lang w:val="en-IE"/>
        </w:rPr>
        <w:t>Bottom-up analysis</w:t>
      </w:r>
      <w:bookmarkEnd w:id="284"/>
      <w:bookmarkEnd w:id="421"/>
      <w:bookmarkEnd w:id="422"/>
      <w:bookmarkEnd w:id="423"/>
      <w:bookmarkEnd w:id="424"/>
      <w:bookmarkEnd w:id="425"/>
      <w:bookmarkEnd w:id="426"/>
      <w:bookmarkEnd w:id="427"/>
      <w:bookmarkEnd w:id="428"/>
      <w:bookmarkEnd w:id="429"/>
    </w:p>
    <w:p w14:paraId="1DA0EBA4" w14:textId="7FC11FE6"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This chapter presents the results of a complementary modelling approach that was applied to the analysis of food waste prevention targets in order to support the policy impact assessment. The approach relies on the application of</w:t>
      </w:r>
      <w:r w:rsidR="00F7036E" w:rsidRPr="005B4339">
        <w:rPr>
          <w:rFonts w:ascii="Times New Roman" w:hAnsi="Times New Roman"/>
          <w:noProof/>
          <w:sz w:val="24"/>
          <w:szCs w:val="24"/>
          <w:lang w:val="en-IE"/>
        </w:rPr>
        <w:t xml:space="preserve"> the</w:t>
      </w:r>
      <w:r w:rsidRPr="005B4339">
        <w:rPr>
          <w:rFonts w:ascii="Times New Roman" w:hAnsi="Times New Roman"/>
          <w:noProof/>
          <w:sz w:val="24"/>
          <w:szCs w:val="24"/>
          <w:lang w:val="en-IE"/>
        </w:rPr>
        <w:t xml:space="preserve"> Life Cycle Assessment (LCA) method, which allows assessing the environmental impacts of food and food waste by modelling individual food products in their entire life cycle (from agriculture production to food waste management). In this way the environmental benefits deriving from the application of food waste reduction targets are estimated, based on the quantities of food waste avoided in the different policy options and on the environmental impacts of representative food products of the modelled food groups assessed in the Consumption Footprint, (EC - European Commission, 2022; Sala and Sanye Mengual, 2022). Details of the methodology are provided in Annex 4.</w:t>
      </w:r>
    </w:p>
    <w:p w14:paraId="687B5597" w14:textId="449DA1C3" w:rsidR="00794505" w:rsidRPr="005B4339" w:rsidRDefault="0042221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rPr>
        <w:instrText xml:space="preserve"> REF _Ref131173057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Table 37</w:t>
      </w:r>
      <w:r w:rsidRPr="005B4339">
        <w:rPr>
          <w:rFonts w:ascii="Times New Roman" w:hAnsi="Times New Roman"/>
          <w:noProof/>
          <w:sz w:val="24"/>
          <w:szCs w:val="24"/>
          <w:lang w:val="en-IE"/>
        </w:rPr>
        <w:fldChar w:fldCharType="end"/>
      </w:r>
      <w:r w:rsidR="006F12E0" w:rsidRPr="005B4339" w:rsidDel="00422215">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shows the environmental impacts caused by food waste generation in the baseline</w:t>
      </w:r>
      <w:r w:rsidR="00C6342D"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while the avoided environmental impacts</w:t>
      </w:r>
      <w:r w:rsidR="00FC50E9" w:rsidRPr="005B4339">
        <w:rPr>
          <w:rFonts w:ascii="Times New Roman" w:hAnsi="Times New Roman"/>
          <w:noProof/>
          <w:sz w:val="24"/>
          <w:szCs w:val="24"/>
          <w:lang w:val="en-IE"/>
        </w:rPr>
        <w:t xml:space="preserve"> (and</w:t>
      </w:r>
      <w:r w:rsidR="00B850B7" w:rsidRPr="005B4339">
        <w:rPr>
          <w:rFonts w:ascii="Times New Roman" w:hAnsi="Times New Roman"/>
          <w:noProof/>
          <w:sz w:val="24"/>
          <w:szCs w:val="24"/>
          <w:lang w:val="en-IE"/>
        </w:rPr>
        <w:t xml:space="preserve"> relative monetised values)</w:t>
      </w:r>
      <w:r w:rsidR="00794505" w:rsidRPr="005B4339">
        <w:rPr>
          <w:rFonts w:ascii="Times New Roman" w:hAnsi="Times New Roman"/>
          <w:noProof/>
          <w:sz w:val="24"/>
          <w:szCs w:val="24"/>
          <w:lang w:val="en-IE"/>
        </w:rPr>
        <w:t xml:space="preserve"> for the EU27 obtained as a consequence of food waste reduction targets set in the three</w:t>
      </w:r>
      <w:r w:rsidR="006F12E0" w:rsidRPr="005B4339">
        <w:rPr>
          <w:rFonts w:ascii="Times New Roman" w:hAnsi="Times New Roman"/>
          <w:noProof/>
          <w:sz w:val="24"/>
          <w:szCs w:val="24"/>
          <w:lang w:val="en-IE"/>
        </w:rPr>
        <w:t xml:space="preserve"> policy options are displayed in </w:t>
      </w:r>
      <w:r w:rsidR="00FC50E9" w:rsidRPr="005B4339">
        <w:rPr>
          <w:rFonts w:ascii="Times New Roman" w:hAnsi="Times New Roman"/>
          <w:noProof/>
          <w:sz w:val="24"/>
          <w:szCs w:val="24"/>
          <w:lang w:val="en-IE"/>
        </w:rPr>
        <w:fldChar w:fldCharType="begin"/>
      </w:r>
      <w:r w:rsidR="00FC50E9" w:rsidRPr="005B4339">
        <w:rPr>
          <w:rFonts w:ascii="Times New Roman" w:hAnsi="Times New Roman"/>
          <w:noProof/>
          <w:sz w:val="24"/>
          <w:szCs w:val="24"/>
        </w:rPr>
        <w:instrText xml:space="preserve"> REF _Ref131172668 \h </w:instrText>
      </w:r>
      <w:r w:rsidR="00B850B7" w:rsidRPr="005B4339">
        <w:rPr>
          <w:rFonts w:ascii="Times New Roman" w:hAnsi="Times New Roman"/>
          <w:noProof/>
          <w:sz w:val="24"/>
          <w:szCs w:val="24"/>
        </w:rPr>
        <w:instrText xml:space="preserve"> \* MERGEFORMAT </w:instrText>
      </w:r>
      <w:r w:rsidR="00FC50E9" w:rsidRPr="005B4339">
        <w:rPr>
          <w:rFonts w:ascii="Times New Roman" w:hAnsi="Times New Roman"/>
          <w:noProof/>
          <w:sz w:val="24"/>
          <w:szCs w:val="24"/>
          <w:lang w:val="en-IE"/>
        </w:rPr>
      </w:r>
      <w:r w:rsidR="00FC50E9"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Table </w:t>
      </w:r>
      <w:r w:rsidR="00393DFA" w:rsidRPr="00393DFA">
        <w:rPr>
          <w:noProof/>
          <w:sz w:val="24"/>
          <w:szCs w:val="24"/>
          <w:lang w:val="en-IE"/>
        </w:rPr>
        <w:t>38</w:t>
      </w:r>
      <w:r w:rsidR="00FC50E9" w:rsidRPr="005B4339">
        <w:rPr>
          <w:rFonts w:ascii="Times New Roman" w:hAnsi="Times New Roman"/>
          <w:noProof/>
          <w:sz w:val="24"/>
          <w:szCs w:val="24"/>
          <w:lang w:val="en-IE"/>
        </w:rPr>
        <w:fldChar w:fldCharType="end"/>
      </w:r>
      <w:r w:rsidR="00FC50E9" w:rsidRPr="005B4339">
        <w:rPr>
          <w:rFonts w:ascii="Times New Roman" w:hAnsi="Times New Roman"/>
          <w:noProof/>
          <w:sz w:val="24"/>
          <w:szCs w:val="24"/>
          <w:lang w:val="en-IE"/>
        </w:rPr>
        <w:t xml:space="preserve"> </w:t>
      </w:r>
      <w:r w:rsidR="00B850B7" w:rsidRPr="005B4339">
        <w:rPr>
          <w:rFonts w:ascii="Times New Roman" w:hAnsi="Times New Roman"/>
          <w:noProof/>
          <w:sz w:val="24"/>
          <w:szCs w:val="24"/>
          <w:lang w:val="en-IE"/>
        </w:rPr>
        <w:t xml:space="preserve">and </w:t>
      </w:r>
      <w:r w:rsidR="00B850B7" w:rsidRPr="005B4339">
        <w:rPr>
          <w:rFonts w:ascii="Times New Roman" w:hAnsi="Times New Roman"/>
          <w:noProof/>
          <w:sz w:val="24"/>
          <w:szCs w:val="24"/>
          <w:lang w:val="en-IE"/>
        </w:rPr>
        <w:fldChar w:fldCharType="begin"/>
      </w:r>
      <w:r w:rsidR="00B850B7" w:rsidRPr="005B4339">
        <w:rPr>
          <w:rFonts w:ascii="Times New Roman" w:hAnsi="Times New Roman"/>
          <w:noProof/>
          <w:sz w:val="24"/>
          <w:szCs w:val="24"/>
        </w:rPr>
        <w:instrText xml:space="preserve"> REF _Ref131172729 \h  \* MERGEFORMAT </w:instrText>
      </w:r>
      <w:r w:rsidR="00B850B7" w:rsidRPr="005B4339">
        <w:rPr>
          <w:rFonts w:ascii="Times New Roman" w:hAnsi="Times New Roman"/>
          <w:noProof/>
          <w:sz w:val="24"/>
          <w:szCs w:val="24"/>
          <w:lang w:val="en-IE"/>
        </w:rPr>
      </w:r>
      <w:r w:rsidR="00B850B7"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18</w:t>
      </w:r>
      <w:r w:rsidR="00B850B7" w:rsidRPr="005B4339">
        <w:rPr>
          <w:rFonts w:ascii="Times New Roman" w:hAnsi="Times New Roman"/>
          <w:noProof/>
          <w:sz w:val="24"/>
          <w:szCs w:val="24"/>
          <w:lang w:val="en-IE"/>
        </w:rPr>
        <w:fldChar w:fldCharType="end"/>
      </w:r>
      <w:r w:rsidR="006F12E0"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 xml:space="preserve">for four selected environmental impact categories. </w:t>
      </w:r>
    </w:p>
    <w:p w14:paraId="68C418AF" w14:textId="4EA4C2D0" w:rsidR="00794505" w:rsidRPr="005B4339" w:rsidRDefault="00794505" w:rsidP="00794505">
      <w:pPr>
        <w:pStyle w:val="JRCText"/>
        <w:rPr>
          <w:rFonts w:ascii="Times New Roman" w:hAnsi="Times New Roman"/>
          <w:noProof/>
          <w:sz w:val="24"/>
          <w:szCs w:val="24"/>
          <w:lang w:val="en-IE"/>
        </w:rPr>
      </w:pPr>
    </w:p>
    <w:p w14:paraId="50C6B454" w14:textId="77777777" w:rsidR="00717891" w:rsidRPr="005B4339" w:rsidRDefault="00717891" w:rsidP="00575584">
      <w:pPr>
        <w:pStyle w:val="Caption"/>
        <w:rPr>
          <w:noProof/>
          <w:color w:val="auto"/>
          <w:sz w:val="24"/>
          <w:szCs w:val="24"/>
          <w:lang w:val="en-IE"/>
        </w:rPr>
      </w:pPr>
      <w:bookmarkStart w:id="430" w:name="_Ref125109076"/>
      <w:bookmarkStart w:id="431" w:name="_Toc125119085"/>
    </w:p>
    <w:p w14:paraId="5F55C6A6" w14:textId="77777777" w:rsidR="00717891" w:rsidRPr="005B4339" w:rsidRDefault="00717891" w:rsidP="00575584">
      <w:pPr>
        <w:pStyle w:val="Caption"/>
        <w:rPr>
          <w:noProof/>
          <w:color w:val="auto"/>
          <w:sz w:val="24"/>
          <w:szCs w:val="24"/>
          <w:lang w:val="en-IE"/>
        </w:rPr>
      </w:pPr>
    </w:p>
    <w:p w14:paraId="0250E2B5" w14:textId="77777777" w:rsidR="00717891" w:rsidRPr="005B4339" w:rsidRDefault="00717891" w:rsidP="00575584">
      <w:pPr>
        <w:pStyle w:val="Caption"/>
        <w:rPr>
          <w:noProof/>
          <w:color w:val="auto"/>
          <w:sz w:val="24"/>
          <w:szCs w:val="24"/>
          <w:lang w:val="en-IE"/>
        </w:rPr>
      </w:pPr>
    </w:p>
    <w:p w14:paraId="2CCB00A6" w14:textId="77777777" w:rsidR="00717891" w:rsidRPr="005B4339" w:rsidRDefault="00717891" w:rsidP="00575584">
      <w:pPr>
        <w:pStyle w:val="Caption"/>
        <w:rPr>
          <w:noProof/>
          <w:color w:val="auto"/>
          <w:sz w:val="24"/>
          <w:szCs w:val="24"/>
          <w:lang w:val="en-IE"/>
        </w:rPr>
      </w:pPr>
    </w:p>
    <w:p w14:paraId="033339AE" w14:textId="77777777" w:rsidR="00717891" w:rsidRPr="005B4339" w:rsidRDefault="00717891" w:rsidP="00575584">
      <w:pPr>
        <w:pStyle w:val="Caption"/>
        <w:rPr>
          <w:noProof/>
          <w:color w:val="auto"/>
          <w:sz w:val="24"/>
          <w:szCs w:val="24"/>
          <w:lang w:val="en-IE"/>
        </w:rPr>
      </w:pPr>
    </w:p>
    <w:p w14:paraId="1DD0B0FF" w14:textId="2862B922" w:rsidR="00794505" w:rsidRPr="005B4339" w:rsidRDefault="00575584" w:rsidP="00575584">
      <w:pPr>
        <w:pStyle w:val="Caption"/>
        <w:rPr>
          <w:noProof/>
          <w:color w:val="auto"/>
          <w:sz w:val="24"/>
          <w:szCs w:val="24"/>
          <w:lang w:val="en-IE"/>
        </w:rPr>
      </w:pPr>
      <w:bookmarkStart w:id="432" w:name="_Ref131173057"/>
      <w:bookmarkStart w:id="433" w:name="_Toc133229499"/>
      <w:bookmarkStart w:id="434" w:name="_Toc139032053"/>
      <w:r w:rsidRPr="005B4339">
        <w:rPr>
          <w:noProof/>
          <w:color w:val="auto"/>
          <w:sz w:val="24"/>
          <w:szCs w:val="24"/>
          <w:lang w:val="en-IE"/>
        </w:rPr>
        <w:lastRenderedPageBreak/>
        <w:t xml:space="preserve">Table </w:t>
      </w:r>
      <w:r w:rsidR="00393DFA">
        <w:rPr>
          <w:noProof/>
          <w:color w:val="auto"/>
          <w:sz w:val="24"/>
          <w:szCs w:val="24"/>
        </w:rPr>
        <w:t>37</w:t>
      </w:r>
      <w:bookmarkEnd w:id="432"/>
      <w:r w:rsidRPr="005B4339">
        <w:rPr>
          <w:noProof/>
          <w:color w:val="auto"/>
          <w:sz w:val="24"/>
          <w:szCs w:val="24"/>
          <w:lang w:val="en-IE"/>
        </w:rPr>
        <w:t xml:space="preserve">- </w:t>
      </w:r>
      <w:r w:rsidR="00794505" w:rsidRPr="005B4339">
        <w:rPr>
          <w:noProof/>
          <w:color w:val="auto"/>
          <w:sz w:val="24"/>
          <w:szCs w:val="24"/>
          <w:lang w:val="en-IE"/>
        </w:rPr>
        <w:t>Environmental impacts of food waste in the baseline used for the impact assessment</w:t>
      </w:r>
      <w:bookmarkEnd w:id="430"/>
      <w:bookmarkEnd w:id="431"/>
      <w:bookmarkEnd w:id="433"/>
      <w:bookmarkEnd w:id="434"/>
    </w:p>
    <w:tbl>
      <w:tblPr>
        <w:tblStyle w:val="TableGrid"/>
        <w:tblW w:w="0" w:type="auto"/>
        <w:tblLook w:val="04A0" w:firstRow="1" w:lastRow="0" w:firstColumn="1" w:lastColumn="0" w:noHBand="0" w:noVBand="1"/>
      </w:tblPr>
      <w:tblGrid>
        <w:gridCol w:w="2454"/>
        <w:gridCol w:w="1455"/>
        <w:gridCol w:w="1482"/>
        <w:gridCol w:w="1603"/>
        <w:gridCol w:w="2071"/>
      </w:tblGrid>
      <w:tr w:rsidR="00794505" w:rsidRPr="005B4339" w14:paraId="7C9164B4" w14:textId="77777777" w:rsidTr="00F160D3">
        <w:tc>
          <w:tcPr>
            <w:tcW w:w="2454" w:type="dxa"/>
            <w:vAlign w:val="bottom"/>
          </w:tcPr>
          <w:p w14:paraId="545A679C" w14:textId="77777777" w:rsidR="00794505" w:rsidRPr="005B4339" w:rsidRDefault="00794505" w:rsidP="00F160D3">
            <w:pPr>
              <w:pStyle w:val="JRCText"/>
              <w:rPr>
                <w:rFonts w:ascii="Times New Roman" w:hAnsi="Times New Roman"/>
                <w:noProof/>
                <w:sz w:val="24"/>
                <w:lang w:val="en-IE"/>
              </w:rPr>
            </w:pPr>
            <w:r w:rsidRPr="005B4339">
              <w:rPr>
                <w:rFonts w:ascii="Times New Roman" w:hAnsi="Times New Roman"/>
                <w:noProof/>
                <w:sz w:val="24"/>
                <w:szCs w:val="24"/>
                <w:lang w:val="en-IE"/>
              </w:rPr>
              <w:t xml:space="preserve">Impact category </w:t>
            </w:r>
          </w:p>
        </w:tc>
        <w:tc>
          <w:tcPr>
            <w:tcW w:w="1455" w:type="dxa"/>
            <w:vAlign w:val="bottom"/>
          </w:tcPr>
          <w:p w14:paraId="2B45A656"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Climate change</w:t>
            </w:r>
          </w:p>
        </w:tc>
        <w:tc>
          <w:tcPr>
            <w:tcW w:w="1482" w:type="dxa"/>
            <w:vAlign w:val="bottom"/>
          </w:tcPr>
          <w:p w14:paraId="2A0B02D7"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Land use</w:t>
            </w:r>
            <w:r w:rsidRPr="005B4339">
              <w:rPr>
                <w:rFonts w:ascii="Times New Roman" w:hAnsi="Times New Roman"/>
                <w:noProof/>
                <w:sz w:val="24"/>
                <w:szCs w:val="24"/>
                <w:vertAlign w:val="superscript"/>
                <w:lang w:val="en-IE"/>
              </w:rPr>
              <w:footnoteReference w:id="150"/>
            </w:r>
          </w:p>
        </w:tc>
        <w:tc>
          <w:tcPr>
            <w:tcW w:w="1600" w:type="dxa"/>
            <w:vAlign w:val="bottom"/>
          </w:tcPr>
          <w:p w14:paraId="0378C488"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Marine eutrophication</w:t>
            </w:r>
          </w:p>
        </w:tc>
        <w:tc>
          <w:tcPr>
            <w:tcW w:w="2071" w:type="dxa"/>
            <w:vAlign w:val="bottom"/>
          </w:tcPr>
          <w:p w14:paraId="4B184164"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Water use</w:t>
            </w:r>
            <w:r w:rsidRPr="005B4339">
              <w:rPr>
                <w:rFonts w:ascii="Times New Roman" w:hAnsi="Times New Roman"/>
                <w:noProof/>
                <w:sz w:val="24"/>
                <w:szCs w:val="24"/>
                <w:vertAlign w:val="superscript"/>
                <w:lang w:val="en-IE"/>
              </w:rPr>
              <w:footnoteReference w:id="151"/>
            </w:r>
          </w:p>
        </w:tc>
      </w:tr>
      <w:tr w:rsidR="00794505" w:rsidRPr="005B4339" w14:paraId="5C398134" w14:textId="77777777" w:rsidTr="00F160D3">
        <w:tc>
          <w:tcPr>
            <w:tcW w:w="2454" w:type="dxa"/>
            <w:vAlign w:val="bottom"/>
          </w:tcPr>
          <w:p w14:paraId="70D14340" w14:textId="77777777" w:rsidR="00794505" w:rsidRPr="005B4339" w:rsidRDefault="00794505" w:rsidP="00F160D3">
            <w:pPr>
              <w:pStyle w:val="JRCText"/>
              <w:rPr>
                <w:rFonts w:ascii="Times New Roman" w:hAnsi="Times New Roman"/>
                <w:noProof/>
                <w:sz w:val="24"/>
                <w:lang w:val="en-IE"/>
              </w:rPr>
            </w:pPr>
            <w:r w:rsidRPr="005B4339">
              <w:rPr>
                <w:rFonts w:ascii="Times New Roman" w:hAnsi="Times New Roman"/>
                <w:noProof/>
                <w:sz w:val="24"/>
                <w:szCs w:val="24"/>
                <w:lang w:val="en-IE"/>
              </w:rPr>
              <w:t>Unit</w:t>
            </w:r>
          </w:p>
        </w:tc>
        <w:tc>
          <w:tcPr>
            <w:tcW w:w="1455" w:type="dxa"/>
            <w:vAlign w:val="bottom"/>
          </w:tcPr>
          <w:p w14:paraId="270DE3D0"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MtCO2eq.</w:t>
            </w:r>
          </w:p>
        </w:tc>
        <w:tc>
          <w:tcPr>
            <w:tcW w:w="1482" w:type="dxa"/>
            <w:vAlign w:val="bottom"/>
          </w:tcPr>
          <w:p w14:paraId="5AE97C40"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Trillion Pt</w:t>
            </w:r>
          </w:p>
        </w:tc>
        <w:tc>
          <w:tcPr>
            <w:tcW w:w="1600" w:type="dxa"/>
            <w:vAlign w:val="bottom"/>
          </w:tcPr>
          <w:p w14:paraId="4A508D59"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Million kg N eq.</w:t>
            </w:r>
          </w:p>
        </w:tc>
        <w:tc>
          <w:tcPr>
            <w:tcW w:w="2071" w:type="dxa"/>
            <w:vAlign w:val="bottom"/>
          </w:tcPr>
          <w:p w14:paraId="0F4B70F8"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Billion m3 water eq.</w:t>
            </w:r>
          </w:p>
        </w:tc>
      </w:tr>
      <w:tr w:rsidR="00794505" w:rsidRPr="005B4339" w14:paraId="00F2ADA3" w14:textId="77777777" w:rsidTr="00F160D3">
        <w:tc>
          <w:tcPr>
            <w:tcW w:w="2454" w:type="dxa"/>
            <w:vAlign w:val="bottom"/>
          </w:tcPr>
          <w:p w14:paraId="251EA10D" w14:textId="77777777" w:rsidR="00794505" w:rsidRPr="005B4339" w:rsidRDefault="00794505" w:rsidP="00F160D3">
            <w:pPr>
              <w:pStyle w:val="JRCText"/>
              <w:rPr>
                <w:rFonts w:ascii="Times New Roman" w:hAnsi="Times New Roman"/>
                <w:noProof/>
                <w:sz w:val="24"/>
                <w:lang w:val="en-IE"/>
              </w:rPr>
            </w:pPr>
            <w:r w:rsidRPr="005B4339">
              <w:rPr>
                <w:rFonts w:ascii="Times New Roman" w:hAnsi="Times New Roman"/>
                <w:noProof/>
                <w:sz w:val="24"/>
                <w:szCs w:val="24"/>
                <w:lang w:val="en-IE"/>
              </w:rPr>
              <w:t>Baseline 2030</w:t>
            </w:r>
          </w:p>
        </w:tc>
        <w:tc>
          <w:tcPr>
            <w:tcW w:w="1455" w:type="dxa"/>
          </w:tcPr>
          <w:p w14:paraId="23153E8D" w14:textId="6AD6588B" w:rsidR="00794505" w:rsidRPr="005B4339" w:rsidRDefault="00E15C03"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244</w:t>
            </w:r>
          </w:p>
        </w:tc>
        <w:tc>
          <w:tcPr>
            <w:tcW w:w="1482" w:type="dxa"/>
          </w:tcPr>
          <w:p w14:paraId="010D5E00" w14:textId="02DCF80D" w:rsidR="00794505" w:rsidRPr="005B4339" w:rsidRDefault="00E15C03"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8.4</w:t>
            </w:r>
          </w:p>
        </w:tc>
        <w:tc>
          <w:tcPr>
            <w:tcW w:w="1600" w:type="dxa"/>
          </w:tcPr>
          <w:p w14:paraId="78DBD101" w14:textId="0E462398" w:rsidR="00794505" w:rsidRPr="005B4339" w:rsidRDefault="00C860DF"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2069</w:t>
            </w:r>
          </w:p>
        </w:tc>
        <w:tc>
          <w:tcPr>
            <w:tcW w:w="2071" w:type="dxa"/>
          </w:tcPr>
          <w:p w14:paraId="23EE1D9C" w14:textId="190240D6" w:rsidR="00794505" w:rsidRPr="005B4339" w:rsidRDefault="00C860DF"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332</w:t>
            </w:r>
          </w:p>
        </w:tc>
      </w:tr>
    </w:tbl>
    <w:p w14:paraId="495FC147" w14:textId="4EA4C2D0" w:rsidR="00C6342D" w:rsidRPr="005B4339" w:rsidRDefault="00C6342D" w:rsidP="00C6342D">
      <w:pPr>
        <w:pStyle w:val="JRCText"/>
        <w:rPr>
          <w:rFonts w:ascii="Times New Roman" w:hAnsi="Times New Roman"/>
          <w:noProof/>
          <w:sz w:val="24"/>
          <w:szCs w:val="24"/>
          <w:lang w:val="en-IE"/>
        </w:rPr>
      </w:pPr>
    </w:p>
    <w:p w14:paraId="78FBF006" w14:textId="39AE93B3" w:rsidR="00794505" w:rsidRPr="005B4339" w:rsidRDefault="00575584" w:rsidP="00575584">
      <w:pPr>
        <w:pStyle w:val="Caption"/>
        <w:rPr>
          <w:noProof/>
          <w:color w:val="auto"/>
          <w:sz w:val="24"/>
          <w:szCs w:val="24"/>
          <w:lang w:val="en-IE"/>
        </w:rPr>
      </w:pPr>
      <w:bookmarkStart w:id="435" w:name="_Ref131172668"/>
      <w:bookmarkStart w:id="436" w:name="_Toc125119086"/>
      <w:bookmarkStart w:id="437" w:name="_Toc133229500"/>
      <w:bookmarkStart w:id="438" w:name="_Toc139032054"/>
      <w:r w:rsidRPr="005B4339">
        <w:rPr>
          <w:noProof/>
          <w:color w:val="auto"/>
          <w:sz w:val="24"/>
          <w:szCs w:val="24"/>
          <w:lang w:val="en-IE"/>
        </w:rPr>
        <w:t xml:space="preserve">Table </w:t>
      </w:r>
      <w:r w:rsidR="00393DFA">
        <w:rPr>
          <w:noProof/>
          <w:color w:val="auto"/>
          <w:sz w:val="24"/>
          <w:szCs w:val="24"/>
        </w:rPr>
        <w:t>38</w:t>
      </w:r>
      <w:bookmarkEnd w:id="435"/>
      <w:r w:rsidRPr="005B4339">
        <w:rPr>
          <w:noProof/>
          <w:color w:val="auto"/>
          <w:sz w:val="24"/>
          <w:szCs w:val="24"/>
          <w:lang w:val="en-IE"/>
        </w:rPr>
        <w:t xml:space="preserve"> - </w:t>
      </w:r>
      <w:r w:rsidR="00D7056D" w:rsidRPr="005B4339">
        <w:rPr>
          <w:noProof/>
          <w:color w:val="auto"/>
          <w:sz w:val="24"/>
          <w:szCs w:val="24"/>
          <w:lang w:val="en-IE"/>
        </w:rPr>
        <w:t>Ov</w:t>
      </w:r>
      <w:r w:rsidR="00D5660F" w:rsidRPr="005B4339">
        <w:rPr>
          <w:noProof/>
          <w:color w:val="auto"/>
          <w:sz w:val="24"/>
          <w:szCs w:val="24"/>
          <w:lang w:val="en-IE"/>
        </w:rPr>
        <w:t xml:space="preserve">erview of results on environmental </w:t>
      </w:r>
      <w:r w:rsidR="00482237" w:rsidRPr="005B4339">
        <w:rPr>
          <w:noProof/>
          <w:color w:val="auto"/>
          <w:sz w:val="24"/>
          <w:szCs w:val="24"/>
          <w:lang w:val="en-IE"/>
        </w:rPr>
        <w:t xml:space="preserve">savings </w:t>
      </w:r>
      <w:r w:rsidR="00D5660F" w:rsidRPr="005B4339">
        <w:rPr>
          <w:noProof/>
          <w:color w:val="auto"/>
          <w:sz w:val="24"/>
          <w:szCs w:val="24"/>
          <w:lang w:val="en-IE"/>
        </w:rPr>
        <w:t xml:space="preserve">associated to the policy options </w:t>
      </w:r>
      <w:r w:rsidR="00D5660F" w:rsidRPr="005B4339" w:rsidDel="00C20C64">
        <w:rPr>
          <w:noProof/>
          <w:color w:val="auto"/>
          <w:sz w:val="24"/>
          <w:szCs w:val="24"/>
          <w:lang w:val="en-IE"/>
        </w:rPr>
        <w:t xml:space="preserve">and </w:t>
      </w:r>
      <w:bookmarkEnd w:id="436"/>
      <w:r w:rsidR="005162BE" w:rsidRPr="005B4339">
        <w:rPr>
          <w:noProof/>
          <w:color w:val="auto"/>
          <w:sz w:val="24"/>
          <w:szCs w:val="24"/>
          <w:lang w:val="en-IE"/>
        </w:rPr>
        <w:t>their</w:t>
      </w:r>
      <w:r w:rsidR="00FC50E9" w:rsidRPr="005B4339">
        <w:rPr>
          <w:noProof/>
          <w:color w:val="auto"/>
          <w:sz w:val="24"/>
          <w:szCs w:val="24"/>
          <w:lang w:val="en-IE"/>
        </w:rPr>
        <w:t xml:space="preserve"> equivalent estimated monetary values</w:t>
      </w:r>
      <w:bookmarkEnd w:id="437"/>
      <w:bookmarkEnd w:id="438"/>
    </w:p>
    <w:tbl>
      <w:tblPr>
        <w:tblStyle w:val="TableGrid"/>
        <w:tblW w:w="9162" w:type="dxa"/>
        <w:tblLook w:val="04A0" w:firstRow="1" w:lastRow="0" w:firstColumn="1" w:lastColumn="0" w:noHBand="0" w:noVBand="1"/>
      </w:tblPr>
      <w:tblGrid>
        <w:gridCol w:w="1965"/>
        <w:gridCol w:w="1399"/>
        <w:gridCol w:w="1284"/>
        <w:gridCol w:w="1622"/>
        <w:gridCol w:w="1289"/>
        <w:gridCol w:w="1603"/>
      </w:tblGrid>
      <w:tr w:rsidR="00422215" w:rsidRPr="005B4339" w14:paraId="205B5280" w14:textId="4BF02179" w:rsidTr="00422215">
        <w:tc>
          <w:tcPr>
            <w:tcW w:w="1965" w:type="dxa"/>
            <w:vAlign w:val="bottom"/>
          </w:tcPr>
          <w:p w14:paraId="0996F592"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Impact category</w:t>
            </w:r>
          </w:p>
        </w:tc>
        <w:tc>
          <w:tcPr>
            <w:tcW w:w="1399" w:type="dxa"/>
            <w:vAlign w:val="bottom"/>
          </w:tcPr>
          <w:p w14:paraId="7F5785ED"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Climate change</w:t>
            </w:r>
          </w:p>
        </w:tc>
        <w:tc>
          <w:tcPr>
            <w:tcW w:w="1284" w:type="dxa"/>
            <w:vAlign w:val="bottom"/>
          </w:tcPr>
          <w:p w14:paraId="5BB9D586"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Land use</w:t>
            </w:r>
          </w:p>
        </w:tc>
        <w:tc>
          <w:tcPr>
            <w:tcW w:w="1622" w:type="dxa"/>
            <w:vAlign w:val="bottom"/>
          </w:tcPr>
          <w:p w14:paraId="03415C69"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Marine eutrophication</w:t>
            </w:r>
          </w:p>
        </w:tc>
        <w:tc>
          <w:tcPr>
            <w:tcW w:w="1289" w:type="dxa"/>
            <w:vAlign w:val="bottom"/>
          </w:tcPr>
          <w:p w14:paraId="7D82DCBE"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Water scarcity</w:t>
            </w:r>
          </w:p>
        </w:tc>
        <w:tc>
          <w:tcPr>
            <w:tcW w:w="1603" w:type="dxa"/>
          </w:tcPr>
          <w:p w14:paraId="66934E1F" w14:textId="356687E6"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Overall environmental savings monetised</w:t>
            </w:r>
          </w:p>
        </w:tc>
      </w:tr>
      <w:tr w:rsidR="00422215" w:rsidRPr="005B4339" w14:paraId="067FA094" w14:textId="44C33C82" w:rsidTr="00422215">
        <w:tc>
          <w:tcPr>
            <w:tcW w:w="1965" w:type="dxa"/>
            <w:vAlign w:val="bottom"/>
          </w:tcPr>
          <w:p w14:paraId="6A78AB13"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Unit</w:t>
            </w:r>
          </w:p>
        </w:tc>
        <w:tc>
          <w:tcPr>
            <w:tcW w:w="1399" w:type="dxa"/>
            <w:vAlign w:val="bottom"/>
          </w:tcPr>
          <w:p w14:paraId="3247E90C"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MtCO2eq.</w:t>
            </w:r>
          </w:p>
        </w:tc>
        <w:tc>
          <w:tcPr>
            <w:tcW w:w="1284" w:type="dxa"/>
            <w:vAlign w:val="bottom"/>
          </w:tcPr>
          <w:p w14:paraId="0BC42F7A"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Trillion Pt</w:t>
            </w:r>
          </w:p>
        </w:tc>
        <w:tc>
          <w:tcPr>
            <w:tcW w:w="1622" w:type="dxa"/>
            <w:vAlign w:val="bottom"/>
          </w:tcPr>
          <w:p w14:paraId="005E250E"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Million kg N eq.</w:t>
            </w:r>
          </w:p>
        </w:tc>
        <w:tc>
          <w:tcPr>
            <w:tcW w:w="1289" w:type="dxa"/>
            <w:vAlign w:val="bottom"/>
          </w:tcPr>
          <w:p w14:paraId="36C0335F"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Billion m3 water eq.</w:t>
            </w:r>
          </w:p>
        </w:tc>
        <w:tc>
          <w:tcPr>
            <w:tcW w:w="1603" w:type="dxa"/>
          </w:tcPr>
          <w:p w14:paraId="0B9B489D" w14:textId="01BA990E"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Billion Euros</w:t>
            </w:r>
          </w:p>
        </w:tc>
      </w:tr>
      <w:tr w:rsidR="00422215" w:rsidRPr="005B4339" w14:paraId="6F12FAB6" w14:textId="1306D713" w:rsidTr="00422215">
        <w:tc>
          <w:tcPr>
            <w:tcW w:w="1965" w:type="dxa"/>
            <w:vAlign w:val="bottom"/>
          </w:tcPr>
          <w:p w14:paraId="69400031" w14:textId="77777777" w:rsidR="00422215" w:rsidRPr="005B4339" w:rsidRDefault="00422215"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Main scenarios</w:t>
            </w:r>
          </w:p>
        </w:tc>
        <w:tc>
          <w:tcPr>
            <w:tcW w:w="1399" w:type="dxa"/>
            <w:vAlign w:val="bottom"/>
          </w:tcPr>
          <w:p w14:paraId="57543B01" w14:textId="62F1A5F4" w:rsidR="00422215" w:rsidRPr="005B4339" w:rsidRDefault="00422215" w:rsidP="00422215">
            <w:pPr>
              <w:pStyle w:val="JRCText"/>
              <w:rPr>
                <w:rFonts w:ascii="Times New Roman" w:hAnsi="Times New Roman"/>
                <w:noProof/>
                <w:sz w:val="24"/>
                <w:lang w:val="en-IE"/>
              </w:rPr>
            </w:pPr>
          </w:p>
        </w:tc>
        <w:tc>
          <w:tcPr>
            <w:tcW w:w="1284" w:type="dxa"/>
            <w:vAlign w:val="bottom"/>
          </w:tcPr>
          <w:p w14:paraId="55688215" w14:textId="6B7866CB" w:rsidR="00422215" w:rsidRPr="005B4339" w:rsidRDefault="00422215" w:rsidP="00422215">
            <w:pPr>
              <w:pStyle w:val="JRCText"/>
              <w:rPr>
                <w:rFonts w:ascii="Times New Roman" w:hAnsi="Times New Roman"/>
                <w:noProof/>
                <w:sz w:val="24"/>
                <w:lang w:val="en-IE"/>
              </w:rPr>
            </w:pPr>
          </w:p>
        </w:tc>
        <w:tc>
          <w:tcPr>
            <w:tcW w:w="1622" w:type="dxa"/>
            <w:vAlign w:val="bottom"/>
          </w:tcPr>
          <w:p w14:paraId="25534EF9" w14:textId="050C5BD5" w:rsidR="00422215" w:rsidRPr="005B4339" w:rsidRDefault="00422215" w:rsidP="00422215">
            <w:pPr>
              <w:pStyle w:val="JRCText"/>
              <w:rPr>
                <w:rFonts w:ascii="Times New Roman" w:hAnsi="Times New Roman"/>
                <w:noProof/>
                <w:sz w:val="24"/>
                <w:lang w:val="en-IE"/>
              </w:rPr>
            </w:pPr>
          </w:p>
        </w:tc>
        <w:tc>
          <w:tcPr>
            <w:tcW w:w="1289" w:type="dxa"/>
            <w:vAlign w:val="bottom"/>
          </w:tcPr>
          <w:p w14:paraId="08097D27" w14:textId="77777777" w:rsidR="00422215" w:rsidRPr="005B4339" w:rsidRDefault="00422215" w:rsidP="00422215">
            <w:pPr>
              <w:pStyle w:val="JRCText"/>
              <w:rPr>
                <w:rFonts w:ascii="Times New Roman" w:hAnsi="Times New Roman"/>
                <w:noProof/>
                <w:sz w:val="24"/>
                <w:lang w:val="en-IE"/>
              </w:rPr>
            </w:pPr>
          </w:p>
        </w:tc>
        <w:tc>
          <w:tcPr>
            <w:tcW w:w="1603" w:type="dxa"/>
          </w:tcPr>
          <w:p w14:paraId="139A4103" w14:textId="77777777" w:rsidR="00422215" w:rsidRPr="005B4339" w:rsidRDefault="00422215" w:rsidP="00422215">
            <w:pPr>
              <w:pStyle w:val="JRCText"/>
              <w:rPr>
                <w:rFonts w:ascii="Times New Roman" w:hAnsi="Times New Roman"/>
                <w:noProof/>
                <w:sz w:val="24"/>
                <w:lang w:val="en-IE"/>
              </w:rPr>
            </w:pPr>
          </w:p>
        </w:tc>
      </w:tr>
      <w:tr w:rsidR="00422215" w:rsidRPr="005B4339" w14:paraId="795DA03C" w14:textId="2D8654A5" w:rsidTr="00422215">
        <w:tc>
          <w:tcPr>
            <w:tcW w:w="1965" w:type="dxa"/>
            <w:vAlign w:val="bottom"/>
          </w:tcPr>
          <w:p w14:paraId="46290523"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Option 1</w:t>
            </w:r>
          </w:p>
        </w:tc>
        <w:tc>
          <w:tcPr>
            <w:tcW w:w="1399" w:type="dxa"/>
          </w:tcPr>
          <w:p w14:paraId="2EB6F4A5" w14:textId="5246993C"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646196" w:rsidRPr="005B4339">
              <w:rPr>
                <w:rFonts w:ascii="Times New Roman" w:hAnsi="Times New Roman"/>
                <w:noProof/>
                <w:sz w:val="24"/>
                <w:szCs w:val="24"/>
                <w:lang w:val="en-IE"/>
              </w:rPr>
              <w:t>33.1</w:t>
            </w:r>
          </w:p>
        </w:tc>
        <w:tc>
          <w:tcPr>
            <w:tcW w:w="1284" w:type="dxa"/>
          </w:tcPr>
          <w:p w14:paraId="3BD42B1E" w14:textId="29F83144"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422215" w:rsidRPr="005B4339">
              <w:rPr>
                <w:rFonts w:ascii="Times New Roman" w:hAnsi="Times New Roman"/>
                <w:noProof/>
                <w:sz w:val="24"/>
                <w:szCs w:val="24"/>
                <w:lang w:val="en-IE"/>
              </w:rPr>
              <w:t>1.</w:t>
            </w:r>
            <w:r w:rsidR="00646196" w:rsidRPr="005B4339">
              <w:rPr>
                <w:rFonts w:ascii="Times New Roman" w:hAnsi="Times New Roman"/>
                <w:noProof/>
                <w:sz w:val="24"/>
                <w:szCs w:val="24"/>
                <w:lang w:val="en-IE"/>
              </w:rPr>
              <w:t>16</w:t>
            </w:r>
          </w:p>
        </w:tc>
        <w:tc>
          <w:tcPr>
            <w:tcW w:w="1622" w:type="dxa"/>
          </w:tcPr>
          <w:p w14:paraId="5586FB2F" w14:textId="73EE69CB"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646196" w:rsidRPr="005B4339">
              <w:rPr>
                <w:rFonts w:ascii="Times New Roman" w:hAnsi="Times New Roman"/>
                <w:noProof/>
                <w:sz w:val="24"/>
                <w:szCs w:val="24"/>
                <w:lang w:val="en-IE"/>
              </w:rPr>
              <w:t>283</w:t>
            </w:r>
          </w:p>
        </w:tc>
        <w:tc>
          <w:tcPr>
            <w:tcW w:w="1289" w:type="dxa"/>
          </w:tcPr>
          <w:p w14:paraId="365F1962" w14:textId="72E6A8FA"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646196" w:rsidRPr="005B4339">
              <w:rPr>
                <w:rFonts w:ascii="Times New Roman" w:hAnsi="Times New Roman"/>
                <w:noProof/>
                <w:sz w:val="24"/>
                <w:szCs w:val="24"/>
                <w:lang w:val="en-IE"/>
              </w:rPr>
              <w:t>43</w:t>
            </w:r>
          </w:p>
        </w:tc>
        <w:tc>
          <w:tcPr>
            <w:tcW w:w="1603" w:type="dxa"/>
          </w:tcPr>
          <w:p w14:paraId="57CB1CB2" w14:textId="13B2EEBA" w:rsidR="00422215" w:rsidRPr="005B4339" w:rsidRDefault="0015668A"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5-12</w:t>
            </w:r>
          </w:p>
        </w:tc>
      </w:tr>
      <w:tr w:rsidR="00422215" w:rsidRPr="005B4339" w14:paraId="0CC38F09" w14:textId="04E05208" w:rsidTr="00422215">
        <w:tc>
          <w:tcPr>
            <w:tcW w:w="1965" w:type="dxa"/>
            <w:vAlign w:val="bottom"/>
          </w:tcPr>
          <w:p w14:paraId="17D9239F"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Option 2</w:t>
            </w:r>
          </w:p>
        </w:tc>
        <w:tc>
          <w:tcPr>
            <w:tcW w:w="1399" w:type="dxa"/>
          </w:tcPr>
          <w:p w14:paraId="00384E20" w14:textId="7A40237F"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646196" w:rsidRPr="005B4339">
              <w:rPr>
                <w:rFonts w:ascii="Times New Roman" w:hAnsi="Times New Roman"/>
                <w:noProof/>
                <w:sz w:val="24"/>
                <w:szCs w:val="24"/>
                <w:lang w:val="en-IE"/>
              </w:rPr>
              <w:t>62.0</w:t>
            </w:r>
          </w:p>
        </w:tc>
        <w:tc>
          <w:tcPr>
            <w:tcW w:w="1284" w:type="dxa"/>
          </w:tcPr>
          <w:p w14:paraId="0B19E06B" w14:textId="6F954F5E"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422215" w:rsidRPr="005B4339">
              <w:rPr>
                <w:rFonts w:ascii="Times New Roman" w:hAnsi="Times New Roman"/>
                <w:noProof/>
                <w:sz w:val="24"/>
                <w:szCs w:val="24"/>
                <w:lang w:val="en-IE"/>
              </w:rPr>
              <w:t>2.</w:t>
            </w:r>
            <w:r w:rsidR="00A42B9B" w:rsidRPr="005B4339">
              <w:rPr>
                <w:rFonts w:ascii="Times New Roman" w:hAnsi="Times New Roman"/>
                <w:noProof/>
                <w:sz w:val="24"/>
                <w:szCs w:val="24"/>
                <w:lang w:val="en-IE"/>
              </w:rPr>
              <w:t>16</w:t>
            </w:r>
          </w:p>
        </w:tc>
        <w:tc>
          <w:tcPr>
            <w:tcW w:w="1622" w:type="dxa"/>
          </w:tcPr>
          <w:p w14:paraId="7AC32496" w14:textId="3C33BA61"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A42B9B" w:rsidRPr="005B4339">
              <w:rPr>
                <w:rFonts w:ascii="Times New Roman" w:hAnsi="Times New Roman"/>
                <w:noProof/>
                <w:sz w:val="24"/>
                <w:szCs w:val="24"/>
                <w:lang w:val="en-IE"/>
              </w:rPr>
              <w:t>532</w:t>
            </w:r>
          </w:p>
        </w:tc>
        <w:tc>
          <w:tcPr>
            <w:tcW w:w="1289" w:type="dxa"/>
          </w:tcPr>
          <w:p w14:paraId="2B5F9428" w14:textId="5D28CA8A"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A42B9B" w:rsidRPr="005B4339">
              <w:rPr>
                <w:rFonts w:ascii="Times New Roman" w:hAnsi="Times New Roman"/>
                <w:noProof/>
                <w:sz w:val="24"/>
                <w:szCs w:val="24"/>
                <w:lang w:val="en-IE"/>
              </w:rPr>
              <w:t>80</w:t>
            </w:r>
          </w:p>
        </w:tc>
        <w:tc>
          <w:tcPr>
            <w:tcW w:w="1603" w:type="dxa"/>
          </w:tcPr>
          <w:p w14:paraId="70CD8EAE" w14:textId="1C62F4A8" w:rsidR="00422215" w:rsidRPr="005B4339" w:rsidRDefault="0015668A"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9-23</w:t>
            </w:r>
          </w:p>
        </w:tc>
      </w:tr>
      <w:tr w:rsidR="00422215" w:rsidRPr="005B4339" w14:paraId="36EAC1E7" w14:textId="07820B45" w:rsidTr="00422215">
        <w:tc>
          <w:tcPr>
            <w:tcW w:w="1965" w:type="dxa"/>
            <w:vAlign w:val="bottom"/>
          </w:tcPr>
          <w:p w14:paraId="45531134" w14:textId="77777777" w:rsidR="00422215" w:rsidRPr="005B4339" w:rsidRDefault="00422215" w:rsidP="00422215">
            <w:pPr>
              <w:pStyle w:val="JRCText"/>
              <w:rPr>
                <w:rFonts w:ascii="Times New Roman" w:hAnsi="Times New Roman"/>
                <w:noProof/>
                <w:sz w:val="24"/>
                <w:lang w:val="en-IE"/>
              </w:rPr>
            </w:pPr>
            <w:r w:rsidRPr="005B4339">
              <w:rPr>
                <w:rFonts w:ascii="Times New Roman" w:hAnsi="Times New Roman"/>
                <w:noProof/>
                <w:sz w:val="24"/>
                <w:szCs w:val="24"/>
                <w:lang w:val="en-IE"/>
              </w:rPr>
              <w:t>Option 3</w:t>
            </w:r>
          </w:p>
        </w:tc>
        <w:tc>
          <w:tcPr>
            <w:tcW w:w="1399" w:type="dxa"/>
          </w:tcPr>
          <w:p w14:paraId="1EC7D5EE" w14:textId="6B85C337"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422215" w:rsidRPr="005B4339">
              <w:rPr>
                <w:rFonts w:ascii="Times New Roman" w:hAnsi="Times New Roman"/>
                <w:noProof/>
                <w:sz w:val="24"/>
                <w:szCs w:val="24"/>
                <w:lang w:val="en-IE"/>
              </w:rPr>
              <w:t>1</w:t>
            </w:r>
            <w:r w:rsidR="00A42B9B" w:rsidRPr="005B4339">
              <w:rPr>
                <w:rFonts w:ascii="Times New Roman" w:hAnsi="Times New Roman"/>
                <w:noProof/>
                <w:sz w:val="24"/>
                <w:szCs w:val="24"/>
                <w:lang w:val="en-IE"/>
              </w:rPr>
              <w:t>0</w:t>
            </w:r>
            <w:r w:rsidR="00422215" w:rsidRPr="005B4339">
              <w:rPr>
                <w:rFonts w:ascii="Times New Roman" w:hAnsi="Times New Roman"/>
                <w:noProof/>
                <w:sz w:val="24"/>
                <w:szCs w:val="24"/>
                <w:lang w:val="en-IE"/>
              </w:rPr>
              <w:t>7.8</w:t>
            </w:r>
          </w:p>
        </w:tc>
        <w:tc>
          <w:tcPr>
            <w:tcW w:w="1284" w:type="dxa"/>
          </w:tcPr>
          <w:p w14:paraId="7366BD5C" w14:textId="3D725D02"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A42B9B" w:rsidRPr="005B4339">
              <w:rPr>
                <w:rFonts w:ascii="Times New Roman" w:hAnsi="Times New Roman"/>
                <w:noProof/>
                <w:sz w:val="24"/>
                <w:szCs w:val="24"/>
                <w:lang w:val="en-IE"/>
              </w:rPr>
              <w:t>3.75</w:t>
            </w:r>
          </w:p>
        </w:tc>
        <w:tc>
          <w:tcPr>
            <w:tcW w:w="1622" w:type="dxa"/>
          </w:tcPr>
          <w:p w14:paraId="477B7193" w14:textId="6E10F8B4"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A42B9B" w:rsidRPr="005B4339">
              <w:rPr>
                <w:rFonts w:ascii="Times New Roman" w:hAnsi="Times New Roman"/>
                <w:noProof/>
                <w:sz w:val="24"/>
                <w:szCs w:val="24"/>
                <w:lang w:val="en-IE"/>
              </w:rPr>
              <w:t>922</w:t>
            </w:r>
          </w:p>
        </w:tc>
        <w:tc>
          <w:tcPr>
            <w:tcW w:w="1289" w:type="dxa"/>
          </w:tcPr>
          <w:p w14:paraId="65C0F7AE" w14:textId="1DF229EB" w:rsidR="00422215" w:rsidRPr="005B4339" w:rsidRDefault="007D6FF5" w:rsidP="00422215">
            <w:pPr>
              <w:pStyle w:val="JRCText"/>
              <w:rPr>
                <w:rFonts w:ascii="Times New Roman" w:hAnsi="Times New Roman"/>
                <w:noProof/>
                <w:sz w:val="24"/>
                <w:lang w:val="en-IE"/>
              </w:rPr>
            </w:pPr>
            <w:r w:rsidRPr="005B4339">
              <w:rPr>
                <w:rFonts w:ascii="Times New Roman" w:hAnsi="Times New Roman"/>
                <w:noProof/>
                <w:sz w:val="24"/>
                <w:szCs w:val="24"/>
                <w:lang w:val="en-IE"/>
              </w:rPr>
              <w:t>-</w:t>
            </w:r>
            <w:r w:rsidR="0015668A" w:rsidRPr="005B4339">
              <w:rPr>
                <w:rFonts w:ascii="Times New Roman" w:hAnsi="Times New Roman"/>
                <w:noProof/>
                <w:sz w:val="24"/>
                <w:szCs w:val="24"/>
                <w:lang w:val="en-IE"/>
              </w:rPr>
              <w:t>141</w:t>
            </w:r>
          </w:p>
        </w:tc>
        <w:tc>
          <w:tcPr>
            <w:tcW w:w="1603" w:type="dxa"/>
          </w:tcPr>
          <w:p w14:paraId="398EF37E" w14:textId="43EC19EA" w:rsidR="00422215" w:rsidRPr="005B4339" w:rsidRDefault="0015668A" w:rsidP="00422215">
            <w:pPr>
              <w:pStyle w:val="JRCText"/>
              <w:rPr>
                <w:rFonts w:ascii="Times New Roman" w:hAnsi="Times New Roman"/>
                <w:noProof/>
                <w:sz w:val="24"/>
                <w:szCs w:val="24"/>
                <w:lang w:val="en-IE"/>
              </w:rPr>
            </w:pPr>
            <w:r w:rsidRPr="005B4339">
              <w:rPr>
                <w:rFonts w:ascii="Times New Roman" w:hAnsi="Times New Roman"/>
                <w:noProof/>
                <w:sz w:val="24"/>
                <w:szCs w:val="24"/>
                <w:lang w:val="en-IE"/>
              </w:rPr>
              <w:t>15-40</w:t>
            </w:r>
          </w:p>
        </w:tc>
      </w:tr>
    </w:tbl>
    <w:p w14:paraId="671D7FC6" w14:textId="4EA4C2D0" w:rsidR="00794505" w:rsidRPr="005B4339" w:rsidRDefault="00794505" w:rsidP="00794505">
      <w:pPr>
        <w:pStyle w:val="JRCText"/>
        <w:rPr>
          <w:rFonts w:ascii="Times New Roman" w:hAnsi="Times New Roman"/>
          <w:noProof/>
          <w:sz w:val="24"/>
          <w:szCs w:val="24"/>
          <w:lang w:val="en-IE"/>
        </w:rPr>
      </w:pPr>
    </w:p>
    <w:p w14:paraId="334109FA" w14:textId="20539AA8" w:rsidR="00C6342D" w:rsidRPr="005B4339" w:rsidRDefault="00B850B7"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rPr>
        <w:instrText xml:space="preserve"> REF _Ref131172729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18</w:t>
      </w:r>
      <w:r w:rsidRPr="005B4339">
        <w:rPr>
          <w:rFonts w:ascii="Times New Roman" w:hAnsi="Times New Roman"/>
          <w:noProof/>
          <w:sz w:val="24"/>
          <w:szCs w:val="24"/>
          <w:lang w:val="en-IE"/>
        </w:rPr>
        <w:fldChar w:fldCharType="end"/>
      </w:r>
      <w:r w:rsidR="00852867" w:rsidRPr="005B4339">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shows the relative reductions for the impact on climate change achieved with the three policy options. Similar results can be observed for the other impact categories.</w:t>
      </w:r>
    </w:p>
    <w:p w14:paraId="5ADF7367" w14:textId="77777777" w:rsidR="00717891" w:rsidRPr="005B4339" w:rsidRDefault="00717891" w:rsidP="003B6050">
      <w:pPr>
        <w:pStyle w:val="JRCFigurecaption"/>
        <w:rPr>
          <w:noProof/>
          <w:lang w:val="en-IE"/>
        </w:rPr>
      </w:pPr>
      <w:bookmarkStart w:id="439" w:name="_Ref125117416"/>
    </w:p>
    <w:p w14:paraId="46E7C233" w14:textId="77777777" w:rsidR="00717891" w:rsidRPr="005B4339" w:rsidRDefault="00717891" w:rsidP="003B6050">
      <w:pPr>
        <w:pStyle w:val="JRCFigurecaption"/>
        <w:rPr>
          <w:noProof/>
          <w:lang w:val="en-IE"/>
        </w:rPr>
      </w:pPr>
    </w:p>
    <w:p w14:paraId="1EB12AC0" w14:textId="77777777" w:rsidR="00717891" w:rsidRPr="005B4339" w:rsidRDefault="00717891" w:rsidP="003B6050">
      <w:pPr>
        <w:pStyle w:val="JRCFigurecaption"/>
        <w:rPr>
          <w:noProof/>
          <w:lang w:val="en-IE"/>
        </w:rPr>
      </w:pPr>
    </w:p>
    <w:p w14:paraId="0A9A3CA4" w14:textId="77777777" w:rsidR="00717891" w:rsidRPr="005B4339" w:rsidRDefault="00717891" w:rsidP="003B6050">
      <w:pPr>
        <w:pStyle w:val="JRCFigurecaption"/>
        <w:rPr>
          <w:noProof/>
          <w:lang w:val="en-IE"/>
        </w:rPr>
      </w:pPr>
    </w:p>
    <w:p w14:paraId="6776CB01" w14:textId="77777777" w:rsidR="00717891" w:rsidRPr="005B4339" w:rsidRDefault="00717891" w:rsidP="003B6050">
      <w:pPr>
        <w:pStyle w:val="JRCFigurecaption"/>
        <w:rPr>
          <w:noProof/>
          <w:lang w:val="en-IE"/>
        </w:rPr>
      </w:pPr>
    </w:p>
    <w:p w14:paraId="66F7615D" w14:textId="77777777" w:rsidR="00717891" w:rsidRPr="005B4339" w:rsidRDefault="00717891" w:rsidP="003B6050">
      <w:pPr>
        <w:pStyle w:val="JRCFigurecaption"/>
        <w:rPr>
          <w:noProof/>
          <w:lang w:val="en-IE"/>
        </w:rPr>
      </w:pPr>
    </w:p>
    <w:p w14:paraId="1FD5B1E8" w14:textId="77777777" w:rsidR="00717891" w:rsidRPr="005B4339" w:rsidRDefault="00717891" w:rsidP="003B6050">
      <w:pPr>
        <w:pStyle w:val="JRCFigurecaption"/>
        <w:rPr>
          <w:noProof/>
          <w:lang w:val="en-IE"/>
        </w:rPr>
      </w:pPr>
    </w:p>
    <w:p w14:paraId="4B552929" w14:textId="77777777" w:rsidR="00717891" w:rsidRPr="005B4339" w:rsidRDefault="00717891" w:rsidP="003B6050">
      <w:pPr>
        <w:pStyle w:val="JRCFigurecaption"/>
        <w:rPr>
          <w:noProof/>
          <w:lang w:val="en-IE"/>
        </w:rPr>
      </w:pPr>
    </w:p>
    <w:p w14:paraId="106CE9CC" w14:textId="77777777" w:rsidR="00717891" w:rsidRPr="005B4339" w:rsidRDefault="00717891" w:rsidP="003B6050">
      <w:pPr>
        <w:pStyle w:val="JRCFigurecaption"/>
        <w:rPr>
          <w:noProof/>
          <w:lang w:val="en-IE"/>
        </w:rPr>
      </w:pPr>
    </w:p>
    <w:p w14:paraId="7FA9B998" w14:textId="31F228C6" w:rsidR="00C6342D" w:rsidRPr="005B4339" w:rsidRDefault="00794505" w:rsidP="003B6050">
      <w:pPr>
        <w:pStyle w:val="JRCFigurecaption"/>
        <w:rPr>
          <w:noProof/>
          <w:lang w:val="en-IE"/>
        </w:rPr>
      </w:pPr>
      <w:bookmarkStart w:id="440" w:name="_Ref131172729"/>
      <w:bookmarkStart w:id="441" w:name="_Toc133229345"/>
      <w:bookmarkStart w:id="442" w:name="_Toc139031953"/>
      <w:r w:rsidRPr="005B4339">
        <w:rPr>
          <w:noProof/>
          <w:lang w:val="en-IE"/>
        </w:rPr>
        <w:t xml:space="preserve">Figure </w:t>
      </w:r>
      <w:r w:rsidR="00393DFA">
        <w:rPr>
          <w:noProof/>
        </w:rPr>
        <w:t>18</w:t>
      </w:r>
      <w:bookmarkEnd w:id="439"/>
      <w:bookmarkEnd w:id="440"/>
      <w:r w:rsidRPr="005B4339">
        <w:rPr>
          <w:noProof/>
          <w:lang w:val="en-IE"/>
        </w:rPr>
        <w:t>: Relative differences in climate change impact be</w:t>
      </w:r>
      <w:r w:rsidR="00717891" w:rsidRPr="005B4339">
        <w:rPr>
          <w:noProof/>
          <w:lang w:val="en-IE"/>
        </w:rPr>
        <w:t>tween the three policy options.</w:t>
      </w:r>
      <w:bookmarkEnd w:id="441"/>
      <w:bookmarkEnd w:id="442"/>
    </w:p>
    <w:p w14:paraId="2D4205A4" w14:textId="4EA4C2D0" w:rsidR="00C6342D" w:rsidRPr="005B4339" w:rsidRDefault="00C6342D" w:rsidP="00C6342D">
      <w:pPr>
        <w:spacing w:after="0"/>
        <w:jc w:val="center"/>
        <w:rPr>
          <w:noProof/>
          <w:lang w:val="en-IE"/>
        </w:rPr>
      </w:pPr>
      <w:r w:rsidRPr="005B4339">
        <w:rPr>
          <w:noProof/>
          <w:color w:val="2B579A"/>
          <w:shd w:val="clear" w:color="auto" w:fill="E6E6E6"/>
          <w:lang w:eastAsia="en-GB"/>
        </w:rPr>
        <w:drawing>
          <wp:inline distT="0" distB="0" distL="0" distR="0" wp14:anchorId="7A9EE208" wp14:editId="40CEC982">
            <wp:extent cx="3943350" cy="3063199"/>
            <wp:effectExtent l="0" t="0" r="0" b="4445"/>
            <wp:docPr id="1200524333" name="Picture 120052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524333"/>
                    <pic:cNvPicPr/>
                  </pic:nvPicPr>
                  <pic:blipFill>
                    <a:blip r:embed="rId65">
                      <a:extLst>
                        <a:ext uri="{28A0092B-C50C-407E-A947-70E740481C1C}">
                          <a14:useLocalDpi xmlns:a14="http://schemas.microsoft.com/office/drawing/2010/main" val="0"/>
                        </a:ext>
                      </a:extLst>
                    </a:blip>
                    <a:stretch>
                      <a:fillRect/>
                    </a:stretch>
                  </pic:blipFill>
                  <pic:spPr>
                    <a:xfrm>
                      <a:off x="0" y="0"/>
                      <a:ext cx="3943350" cy="3063199"/>
                    </a:xfrm>
                    <a:prstGeom prst="rect">
                      <a:avLst/>
                    </a:prstGeom>
                  </pic:spPr>
                </pic:pic>
              </a:graphicData>
            </a:graphic>
          </wp:inline>
        </w:drawing>
      </w:r>
    </w:p>
    <w:p w14:paraId="58DF1D26" w14:textId="4EA4C2D0" w:rsidR="00C6342D" w:rsidRPr="005B4339" w:rsidRDefault="00C6342D" w:rsidP="00C6342D">
      <w:pPr>
        <w:pStyle w:val="JRCText"/>
        <w:rPr>
          <w:rFonts w:ascii="Times New Roman" w:hAnsi="Times New Roman"/>
          <w:noProof/>
          <w:sz w:val="24"/>
          <w:szCs w:val="24"/>
          <w:lang w:val="en-IE"/>
        </w:rPr>
      </w:pPr>
    </w:p>
    <w:p w14:paraId="026E19F8" w14:textId="34ECD4D8"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Considering the various steps of the supply chain,</w:t>
      </w:r>
      <w:r w:rsidR="001E7FF3" w:rsidRPr="005B4339">
        <w:rPr>
          <w:rFonts w:ascii="Times New Roman" w:hAnsi="Times New Roman"/>
          <w:noProof/>
          <w:sz w:val="24"/>
          <w:szCs w:val="24"/>
          <w:lang w:val="en-IE"/>
        </w:rPr>
        <w:t xml:space="preserve"> </w:t>
      </w:r>
      <w:r w:rsidR="00B850B7" w:rsidRPr="005B4339">
        <w:rPr>
          <w:rFonts w:ascii="Times New Roman" w:hAnsi="Times New Roman"/>
          <w:noProof/>
          <w:sz w:val="24"/>
          <w:szCs w:val="24"/>
          <w:lang w:val="en-IE"/>
        </w:rPr>
        <w:fldChar w:fldCharType="begin"/>
      </w:r>
      <w:r w:rsidR="00B850B7" w:rsidRPr="005B4339">
        <w:rPr>
          <w:rFonts w:ascii="Times New Roman" w:hAnsi="Times New Roman"/>
          <w:noProof/>
          <w:sz w:val="24"/>
          <w:szCs w:val="24"/>
        </w:rPr>
        <w:instrText xml:space="preserve"> REF _Ref131172779 \h  \* MERGEFORMAT </w:instrText>
      </w:r>
      <w:r w:rsidR="00B850B7" w:rsidRPr="005B4339">
        <w:rPr>
          <w:rFonts w:ascii="Times New Roman" w:hAnsi="Times New Roman"/>
          <w:noProof/>
          <w:sz w:val="24"/>
          <w:szCs w:val="24"/>
          <w:lang w:val="en-IE"/>
        </w:rPr>
      </w:r>
      <w:r w:rsidR="00B850B7"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19</w:t>
      </w:r>
      <w:r w:rsidR="00B850B7" w:rsidRPr="005B4339">
        <w:rPr>
          <w:rFonts w:ascii="Times New Roman" w:hAnsi="Times New Roman"/>
          <w:noProof/>
          <w:sz w:val="24"/>
          <w:szCs w:val="24"/>
          <w:lang w:val="en-IE"/>
        </w:rPr>
        <w:fldChar w:fldCharType="end"/>
      </w:r>
      <w:r w:rsidR="001E7FF3" w:rsidRPr="005B4339" w:rsidDel="00B850B7">
        <w:rPr>
          <w:rFonts w:ascii="Times New Roman" w:hAnsi="Times New Roman"/>
          <w:noProof/>
          <w:sz w:val="24"/>
          <w:szCs w:val="24"/>
          <w:lang w:val="en-IE"/>
        </w:rPr>
        <w:t xml:space="preserve"> </w:t>
      </w:r>
      <w:r w:rsidRPr="005B4339">
        <w:rPr>
          <w:rFonts w:ascii="Times New Roman" w:hAnsi="Times New Roman"/>
          <w:noProof/>
          <w:sz w:val="24"/>
          <w:szCs w:val="24"/>
          <w:lang w:val="en-IE"/>
        </w:rPr>
        <w:t>shows the contribution of primary production</w:t>
      </w:r>
      <w:r w:rsidR="0041130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processing and manufacturing</w:t>
      </w:r>
      <w:r w:rsidR="0041130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retail and distribution and consumption phases in the reduction of climate change impact under the three policy options. The consumption phase has a major role in the overall avoided impact, due to the fact that the largest share of food waste is generated at this stage, and that</w:t>
      </w:r>
      <w:r w:rsidR="0041130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 a life cycle perspective</w:t>
      </w:r>
      <w:r w:rsidR="0041130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products reaching the consumer have higher impacts than earlier in the supply chain as the impacts cumulate along the supply chain. </w:t>
      </w:r>
    </w:p>
    <w:p w14:paraId="3A2F439A" w14:textId="77777777" w:rsidR="00D2783F" w:rsidRPr="005B4339" w:rsidRDefault="00D2783F" w:rsidP="003B6050">
      <w:pPr>
        <w:pStyle w:val="JRCFigurecaption"/>
        <w:rPr>
          <w:noProof/>
          <w:lang w:val="en-IE"/>
        </w:rPr>
      </w:pPr>
      <w:bookmarkStart w:id="443" w:name="_Ref125109193"/>
    </w:p>
    <w:p w14:paraId="5E76F576" w14:textId="77777777" w:rsidR="00D2783F" w:rsidRPr="005B4339" w:rsidRDefault="00D2783F" w:rsidP="003B6050">
      <w:pPr>
        <w:pStyle w:val="JRCFigurecaption"/>
        <w:rPr>
          <w:noProof/>
          <w:lang w:val="en-IE"/>
        </w:rPr>
      </w:pPr>
    </w:p>
    <w:p w14:paraId="6104F220" w14:textId="77777777" w:rsidR="00D2783F" w:rsidRPr="005B4339" w:rsidRDefault="00D2783F" w:rsidP="003B6050">
      <w:pPr>
        <w:pStyle w:val="JRCFigurecaption"/>
        <w:rPr>
          <w:noProof/>
          <w:lang w:val="en-IE"/>
        </w:rPr>
      </w:pPr>
    </w:p>
    <w:p w14:paraId="06E2F01A" w14:textId="77777777" w:rsidR="00D2783F" w:rsidRPr="005B4339" w:rsidRDefault="00D2783F" w:rsidP="003B6050">
      <w:pPr>
        <w:pStyle w:val="JRCFigurecaption"/>
        <w:rPr>
          <w:noProof/>
          <w:lang w:val="en-IE"/>
        </w:rPr>
      </w:pPr>
    </w:p>
    <w:p w14:paraId="0ADEB325" w14:textId="77777777" w:rsidR="00D2783F" w:rsidRPr="005B4339" w:rsidRDefault="00D2783F" w:rsidP="003B6050">
      <w:pPr>
        <w:pStyle w:val="JRCFigurecaption"/>
        <w:rPr>
          <w:noProof/>
          <w:lang w:val="en-IE"/>
        </w:rPr>
      </w:pPr>
    </w:p>
    <w:p w14:paraId="5E2E99B0" w14:textId="77777777" w:rsidR="00D2783F" w:rsidRPr="005B4339" w:rsidRDefault="00D2783F" w:rsidP="003B6050">
      <w:pPr>
        <w:pStyle w:val="JRCFigurecaption"/>
        <w:rPr>
          <w:noProof/>
          <w:lang w:val="en-IE"/>
        </w:rPr>
      </w:pPr>
    </w:p>
    <w:p w14:paraId="6B2C7087" w14:textId="77777777" w:rsidR="00D2783F" w:rsidRPr="005B4339" w:rsidRDefault="00D2783F" w:rsidP="003B6050">
      <w:pPr>
        <w:pStyle w:val="JRCFigurecaption"/>
        <w:rPr>
          <w:noProof/>
          <w:lang w:val="en-IE"/>
        </w:rPr>
      </w:pPr>
    </w:p>
    <w:p w14:paraId="066068AD" w14:textId="77777777" w:rsidR="00D2783F" w:rsidRPr="005B4339" w:rsidRDefault="00D2783F" w:rsidP="003B6050">
      <w:pPr>
        <w:pStyle w:val="JRCFigurecaption"/>
        <w:rPr>
          <w:noProof/>
          <w:lang w:val="en-IE"/>
        </w:rPr>
      </w:pPr>
    </w:p>
    <w:p w14:paraId="70B4FC19" w14:textId="77777777" w:rsidR="00D2783F" w:rsidRPr="005B4339" w:rsidRDefault="00D2783F" w:rsidP="003B6050">
      <w:pPr>
        <w:pStyle w:val="JRCFigurecaption"/>
        <w:rPr>
          <w:noProof/>
          <w:lang w:val="en-IE"/>
        </w:rPr>
      </w:pPr>
    </w:p>
    <w:p w14:paraId="2063B76C" w14:textId="77777777" w:rsidR="00D2783F" w:rsidRPr="005B4339" w:rsidRDefault="00D2783F" w:rsidP="003B6050">
      <w:pPr>
        <w:pStyle w:val="JRCFigurecaption"/>
        <w:rPr>
          <w:noProof/>
          <w:lang w:val="en-IE"/>
        </w:rPr>
      </w:pPr>
    </w:p>
    <w:p w14:paraId="0E973C29" w14:textId="77777777" w:rsidR="00D2783F" w:rsidRPr="005B4339" w:rsidRDefault="00D2783F" w:rsidP="003B6050">
      <w:pPr>
        <w:pStyle w:val="JRCFigurecaption"/>
        <w:rPr>
          <w:noProof/>
          <w:lang w:val="en-IE"/>
        </w:rPr>
      </w:pPr>
    </w:p>
    <w:p w14:paraId="41F8EBDA" w14:textId="77777777" w:rsidR="00D2783F" w:rsidRPr="005B4339" w:rsidRDefault="00D2783F" w:rsidP="003B6050">
      <w:pPr>
        <w:pStyle w:val="JRCFigurecaption"/>
        <w:rPr>
          <w:noProof/>
          <w:lang w:val="en-IE"/>
        </w:rPr>
      </w:pPr>
    </w:p>
    <w:p w14:paraId="1E8D5B6E" w14:textId="77777777" w:rsidR="00D2783F" w:rsidRPr="005B4339" w:rsidRDefault="00D2783F" w:rsidP="003B6050">
      <w:pPr>
        <w:pStyle w:val="JRCFigurecaption"/>
        <w:rPr>
          <w:noProof/>
          <w:lang w:val="en-IE"/>
        </w:rPr>
      </w:pPr>
    </w:p>
    <w:p w14:paraId="1427D1C3" w14:textId="77777777" w:rsidR="00D2783F" w:rsidRPr="005B4339" w:rsidRDefault="00D2783F" w:rsidP="003B6050">
      <w:pPr>
        <w:pStyle w:val="JRCFigurecaption"/>
        <w:rPr>
          <w:noProof/>
          <w:lang w:val="en-IE"/>
        </w:rPr>
      </w:pPr>
    </w:p>
    <w:p w14:paraId="73A2BBC4" w14:textId="77777777" w:rsidR="00D2783F" w:rsidRPr="005B4339" w:rsidRDefault="00D2783F" w:rsidP="003B6050">
      <w:pPr>
        <w:pStyle w:val="JRCFigurecaption"/>
        <w:rPr>
          <w:noProof/>
          <w:lang w:val="en-IE"/>
        </w:rPr>
      </w:pPr>
    </w:p>
    <w:p w14:paraId="54E6E66E" w14:textId="20828A8D" w:rsidR="00C6342D" w:rsidRPr="005B4339" w:rsidRDefault="00794505" w:rsidP="003B6050">
      <w:pPr>
        <w:pStyle w:val="JRCFigurecaption"/>
        <w:rPr>
          <w:noProof/>
          <w:lang w:val="en-IE"/>
        </w:rPr>
      </w:pPr>
      <w:bookmarkStart w:id="444" w:name="_Ref131172779"/>
      <w:bookmarkStart w:id="445" w:name="_Toc133229346"/>
      <w:bookmarkStart w:id="446" w:name="_Toc139031954"/>
      <w:r w:rsidRPr="005B4339">
        <w:rPr>
          <w:noProof/>
          <w:lang w:val="en-IE"/>
        </w:rPr>
        <w:t xml:space="preserve">Figure </w:t>
      </w:r>
      <w:r w:rsidR="00393DFA">
        <w:rPr>
          <w:noProof/>
        </w:rPr>
        <w:t>19</w:t>
      </w:r>
      <w:bookmarkEnd w:id="443"/>
      <w:bookmarkEnd w:id="444"/>
      <w:r w:rsidR="00C326C8" w:rsidRPr="005B4339">
        <w:rPr>
          <w:noProof/>
          <w:lang w:val="en-IE"/>
        </w:rPr>
        <w:t>:</w:t>
      </w:r>
      <w:r w:rsidR="00C6342D" w:rsidRPr="005B4339">
        <w:rPr>
          <w:noProof/>
          <w:lang w:val="en-IE"/>
        </w:rPr>
        <w:t xml:space="preserve"> Avoided climate change impact obtained with the three policy options considering the various steps of the supply chain.</w:t>
      </w:r>
      <w:bookmarkEnd w:id="445"/>
      <w:bookmarkEnd w:id="446"/>
    </w:p>
    <w:p w14:paraId="3922F1AA" w14:textId="4897451B" w:rsidR="00C6342D" w:rsidRPr="005B4339" w:rsidRDefault="006866B1" w:rsidP="00C6342D">
      <w:pPr>
        <w:spacing w:after="0"/>
        <w:jc w:val="left"/>
        <w:rPr>
          <w:noProof/>
          <w:lang w:val="en-IE"/>
        </w:rPr>
      </w:pPr>
      <w:r w:rsidRPr="005B4339">
        <w:rPr>
          <w:noProof/>
          <w:lang w:eastAsia="en-GB"/>
        </w:rPr>
        <w:drawing>
          <wp:inline distT="0" distB="0" distL="0" distR="0" wp14:anchorId="5811276B" wp14:editId="53C7F5F3">
            <wp:extent cx="5589917" cy="3558886"/>
            <wp:effectExtent l="0" t="0" r="0" b="3810"/>
            <wp:docPr id="1200524303" name="Picture 12005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8835" cy="3564564"/>
                    </a:xfrm>
                    <a:prstGeom prst="rect">
                      <a:avLst/>
                    </a:prstGeom>
                    <a:noFill/>
                  </pic:spPr>
                </pic:pic>
              </a:graphicData>
            </a:graphic>
          </wp:inline>
        </w:drawing>
      </w:r>
    </w:p>
    <w:p w14:paraId="3B2231E8" w14:textId="4EA4C2D0" w:rsidR="00794505" w:rsidRPr="005B4339" w:rsidRDefault="00794505" w:rsidP="00794505">
      <w:pPr>
        <w:pStyle w:val="JRCText"/>
        <w:rPr>
          <w:rFonts w:ascii="Times New Roman" w:hAnsi="Times New Roman"/>
          <w:noProof/>
          <w:sz w:val="24"/>
          <w:szCs w:val="24"/>
          <w:lang w:val="en-IE"/>
        </w:rPr>
      </w:pPr>
    </w:p>
    <w:p w14:paraId="0BE9BD63" w14:textId="26313AC3" w:rsidR="00794505" w:rsidRPr="005B4339" w:rsidRDefault="00B6221F"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rPr>
        <w:instrText xml:space="preserve"> REF _Ref125109895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20</w:t>
      </w:r>
      <w:r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and </w:t>
      </w:r>
      <w:r w:rsidRPr="005B4339">
        <w:rPr>
          <w:rFonts w:ascii="Times New Roman" w:hAnsi="Times New Roman"/>
          <w:noProof/>
          <w:sz w:val="24"/>
          <w:szCs w:val="24"/>
          <w:lang w:val="en-IE"/>
        </w:rPr>
        <w:fldChar w:fldCharType="begin"/>
      </w:r>
      <w:r w:rsidRPr="005B4339">
        <w:rPr>
          <w:rFonts w:ascii="Times New Roman" w:hAnsi="Times New Roman"/>
          <w:noProof/>
          <w:sz w:val="24"/>
          <w:szCs w:val="24"/>
        </w:rPr>
        <w:instrText xml:space="preserve"> REF _Ref125109906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21</w:t>
      </w:r>
      <w:r w:rsidRPr="005B4339">
        <w:rPr>
          <w:rFonts w:ascii="Times New Roman" w:hAnsi="Times New Roman"/>
          <w:noProof/>
          <w:sz w:val="24"/>
          <w:szCs w:val="24"/>
          <w:lang w:val="en-IE"/>
        </w:rPr>
        <w:fldChar w:fldCharType="end"/>
      </w:r>
      <w:r w:rsidR="001E7FF3" w:rsidRPr="005B4339" w:rsidDel="00B6221F">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show the contribution of avoided waste treatment and avoided food production in the total environmental savings that can be achieved applying the various policy options. Avoided food production plays a bigger role for all the impact categories but</w:t>
      </w:r>
      <w:r w:rsidR="005E0B9B"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 in the case of climate change</w:t>
      </w:r>
      <w:r w:rsidR="005E0B9B" w:rsidRPr="005B4339">
        <w:rPr>
          <w:rFonts w:ascii="Times New Roman" w:hAnsi="Times New Roman"/>
          <w:noProof/>
          <w:sz w:val="24"/>
          <w:szCs w:val="24"/>
          <w:lang w:val="en-IE"/>
        </w:rPr>
        <w:t>,</w:t>
      </w:r>
      <w:r w:rsidR="00C6342D" w:rsidRPr="005B4339">
        <w:rPr>
          <w:rFonts w:ascii="Times New Roman" w:hAnsi="Times New Roman"/>
          <w:noProof/>
          <w:sz w:val="24"/>
          <w:szCs w:val="24"/>
          <w:lang w:val="en-IE"/>
        </w:rPr>
        <w:t xml:space="preserve"> the contribution of waste treatment is slightly higher than </w:t>
      </w:r>
      <w:r w:rsidR="005E0B9B" w:rsidRPr="005B4339">
        <w:rPr>
          <w:rFonts w:ascii="Times New Roman" w:hAnsi="Times New Roman"/>
          <w:noProof/>
          <w:sz w:val="24"/>
          <w:szCs w:val="24"/>
          <w:lang w:val="en-IE"/>
        </w:rPr>
        <w:t>for</w:t>
      </w:r>
      <w:r w:rsidR="00D2783F" w:rsidRPr="005B4339">
        <w:rPr>
          <w:rFonts w:ascii="Times New Roman" w:hAnsi="Times New Roman"/>
          <w:noProof/>
          <w:sz w:val="24"/>
          <w:szCs w:val="24"/>
          <w:lang w:val="en-IE"/>
        </w:rPr>
        <w:t xml:space="preserve"> the other impact categories. </w:t>
      </w:r>
    </w:p>
    <w:p w14:paraId="091205C4" w14:textId="59CB315E" w:rsidR="00C6342D" w:rsidRPr="005B4339" w:rsidRDefault="00794505" w:rsidP="003B6050">
      <w:pPr>
        <w:pStyle w:val="JRCFigurecaption"/>
        <w:rPr>
          <w:noProof/>
          <w:lang w:val="en-IE"/>
        </w:rPr>
      </w:pPr>
      <w:bookmarkStart w:id="447" w:name="_Ref125109895"/>
      <w:bookmarkStart w:id="448" w:name="_Toc133229347"/>
      <w:bookmarkStart w:id="449" w:name="_Toc139031955"/>
      <w:r w:rsidRPr="005B4339">
        <w:rPr>
          <w:noProof/>
          <w:lang w:val="en-IE"/>
        </w:rPr>
        <w:t xml:space="preserve">Figure </w:t>
      </w:r>
      <w:r w:rsidR="00393DFA">
        <w:rPr>
          <w:noProof/>
          <w:color w:val="000000" w:themeColor="text1"/>
          <w:shd w:val="clear" w:color="auto" w:fill="FFFFFF"/>
        </w:rPr>
        <w:t>20</w:t>
      </w:r>
      <w:bookmarkEnd w:id="447"/>
      <w:r w:rsidR="00C6342D" w:rsidRPr="005B4339">
        <w:rPr>
          <w:noProof/>
          <w:lang w:val="en-IE"/>
        </w:rPr>
        <w:t>: Avoided climate change impact due to food production and waste treatment in the three policy options</w:t>
      </w:r>
      <w:bookmarkEnd w:id="448"/>
      <w:bookmarkEnd w:id="449"/>
    </w:p>
    <w:p w14:paraId="1373F01F" w14:textId="6E42ECD4" w:rsidR="00794505" w:rsidRPr="005B4339" w:rsidRDefault="00903086" w:rsidP="00794505">
      <w:pPr>
        <w:spacing w:after="0"/>
        <w:jc w:val="center"/>
        <w:rPr>
          <w:noProof/>
          <w:lang w:val="en-IE"/>
        </w:rPr>
      </w:pPr>
      <w:r w:rsidRPr="005B4339">
        <w:rPr>
          <w:noProof/>
          <w:lang w:eastAsia="en-GB"/>
        </w:rPr>
        <w:lastRenderedPageBreak/>
        <w:drawing>
          <wp:inline distT="0" distB="0" distL="0" distR="0" wp14:anchorId="1E683BE6" wp14:editId="4898EB19">
            <wp:extent cx="5001621" cy="2631056"/>
            <wp:effectExtent l="0" t="0" r="8890" b="0"/>
            <wp:docPr id="1200524304" name="Picture 120052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7606" cy="2639465"/>
                    </a:xfrm>
                    <a:prstGeom prst="rect">
                      <a:avLst/>
                    </a:prstGeom>
                    <a:noFill/>
                  </pic:spPr>
                </pic:pic>
              </a:graphicData>
            </a:graphic>
          </wp:inline>
        </w:drawing>
      </w:r>
    </w:p>
    <w:p w14:paraId="61CF866A" w14:textId="0995E045" w:rsidR="00C6342D" w:rsidRPr="005B4339" w:rsidRDefault="00794505" w:rsidP="003B6050">
      <w:pPr>
        <w:pStyle w:val="JRCFigurecaption"/>
        <w:rPr>
          <w:noProof/>
          <w:lang w:val="en-IE"/>
        </w:rPr>
      </w:pPr>
      <w:bookmarkStart w:id="450" w:name="_Ref125109906"/>
      <w:bookmarkStart w:id="451" w:name="_Toc133229348"/>
      <w:bookmarkStart w:id="452" w:name="_Toc139031956"/>
      <w:r w:rsidRPr="005B4339">
        <w:rPr>
          <w:noProof/>
          <w:lang w:val="en-IE"/>
        </w:rPr>
        <w:t xml:space="preserve">Figure </w:t>
      </w:r>
      <w:r w:rsidR="00393DFA">
        <w:rPr>
          <w:noProof/>
          <w:color w:val="000000" w:themeColor="text1"/>
          <w:shd w:val="clear" w:color="auto" w:fill="FFFFFF"/>
        </w:rPr>
        <w:t>21</w:t>
      </w:r>
      <w:bookmarkEnd w:id="450"/>
      <w:r w:rsidR="00C6342D" w:rsidRPr="005B4339">
        <w:rPr>
          <w:noProof/>
          <w:lang w:val="en-IE"/>
        </w:rPr>
        <w:t>: Avoided impact on water use due to food production and waste treatment in the various policy option</w:t>
      </w:r>
      <w:bookmarkEnd w:id="451"/>
      <w:bookmarkEnd w:id="452"/>
    </w:p>
    <w:p w14:paraId="71647057" w14:textId="188480EC" w:rsidR="00C6342D" w:rsidRPr="005B4339" w:rsidRDefault="006E1355" w:rsidP="00C6342D">
      <w:pPr>
        <w:spacing w:after="0"/>
        <w:jc w:val="center"/>
        <w:rPr>
          <w:noProof/>
          <w:lang w:val="en-IE"/>
        </w:rPr>
      </w:pPr>
      <w:r w:rsidRPr="005B4339">
        <w:rPr>
          <w:noProof/>
          <w:lang w:eastAsia="en-GB"/>
        </w:rPr>
        <w:drawing>
          <wp:inline distT="0" distB="0" distL="0" distR="0" wp14:anchorId="648E81E3" wp14:editId="3E206CF5">
            <wp:extent cx="5046453" cy="2740044"/>
            <wp:effectExtent l="0" t="0" r="1905" b="3175"/>
            <wp:docPr id="1200524306" name="Picture 120052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0963" cy="2742493"/>
                    </a:xfrm>
                    <a:prstGeom prst="rect">
                      <a:avLst/>
                    </a:prstGeom>
                    <a:noFill/>
                  </pic:spPr>
                </pic:pic>
              </a:graphicData>
            </a:graphic>
          </wp:inline>
        </w:drawing>
      </w:r>
    </w:p>
    <w:p w14:paraId="115E62C3" w14:textId="4EA4C2D0" w:rsidR="00794505" w:rsidRPr="005B4339" w:rsidRDefault="00794505" w:rsidP="00794505">
      <w:pPr>
        <w:rPr>
          <w:noProof/>
          <w:lang w:val="en-IE"/>
        </w:rPr>
      </w:pPr>
    </w:p>
    <w:p w14:paraId="0B97D929" w14:textId="1DC2EA8F" w:rsidR="00C6342D"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climate change impacts avoided in each Member State under the third </w:t>
      </w:r>
      <w:r w:rsidR="001E7FF3" w:rsidRPr="005B4339">
        <w:rPr>
          <w:rFonts w:ascii="Times New Roman" w:hAnsi="Times New Roman"/>
          <w:noProof/>
          <w:sz w:val="24"/>
          <w:szCs w:val="24"/>
          <w:lang w:val="en-IE"/>
        </w:rPr>
        <w:t>policy option are shown in</w:t>
      </w:r>
      <w:r w:rsidR="00B6221F" w:rsidRPr="005B4339">
        <w:rPr>
          <w:rFonts w:ascii="Times New Roman" w:hAnsi="Times New Roman"/>
          <w:noProof/>
          <w:sz w:val="24"/>
          <w:szCs w:val="24"/>
          <w:lang w:val="en-IE"/>
        </w:rPr>
        <w:t xml:space="preserve"> </w:t>
      </w:r>
      <w:r w:rsidR="00B6221F" w:rsidRPr="005B4339">
        <w:rPr>
          <w:rFonts w:ascii="Times New Roman" w:hAnsi="Times New Roman"/>
          <w:noProof/>
          <w:sz w:val="24"/>
          <w:szCs w:val="24"/>
          <w:lang w:val="en-IE"/>
        </w:rPr>
        <w:fldChar w:fldCharType="begin"/>
      </w:r>
      <w:r w:rsidR="00B6221F" w:rsidRPr="005B4339">
        <w:rPr>
          <w:rFonts w:ascii="Times New Roman" w:hAnsi="Times New Roman"/>
          <w:noProof/>
          <w:sz w:val="24"/>
          <w:szCs w:val="24"/>
        </w:rPr>
        <w:instrText xml:space="preserve"> REF _Ref125109916 \h  \* MERGEFORMAT </w:instrText>
      </w:r>
      <w:r w:rsidR="00B6221F" w:rsidRPr="005B4339">
        <w:rPr>
          <w:rFonts w:ascii="Times New Roman" w:hAnsi="Times New Roman"/>
          <w:noProof/>
          <w:sz w:val="24"/>
          <w:szCs w:val="24"/>
          <w:lang w:val="en-IE"/>
        </w:rPr>
      </w:r>
      <w:r w:rsidR="00B6221F"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22</w:t>
      </w:r>
      <w:r w:rsidR="00B6221F" w:rsidRPr="005B4339">
        <w:rPr>
          <w:rFonts w:ascii="Times New Roman" w:hAnsi="Times New Roman"/>
          <w:noProof/>
          <w:sz w:val="24"/>
          <w:szCs w:val="24"/>
          <w:lang w:val="en-IE"/>
        </w:rPr>
        <w:fldChar w:fldCharType="end"/>
      </w:r>
      <w:r w:rsidR="00C6342D" w:rsidRPr="005B4339">
        <w:rPr>
          <w:rFonts w:ascii="Times New Roman" w:hAnsi="Times New Roman"/>
          <w:noProof/>
          <w:sz w:val="24"/>
          <w:szCs w:val="24"/>
          <w:lang w:val="en-IE"/>
        </w:rPr>
        <w:t xml:space="preserve">. The highest impacts are in Germany, France and Italy, which are also the countries with the biggest amounts of food waste and biggest population. </w:t>
      </w:r>
    </w:p>
    <w:p w14:paraId="3B0CE7AA" w14:textId="2CF1D22F" w:rsidR="00794505" w:rsidRPr="005B4339" w:rsidRDefault="00794505" w:rsidP="003B6050">
      <w:pPr>
        <w:pStyle w:val="JRCFigurecaption"/>
        <w:rPr>
          <w:noProof/>
          <w:shd w:val="clear" w:color="auto" w:fill="FFFFFF"/>
          <w:lang w:val="en-IE"/>
        </w:rPr>
      </w:pPr>
      <w:bookmarkStart w:id="453" w:name="_Ref125109916"/>
      <w:bookmarkStart w:id="454" w:name="_Toc133229349"/>
      <w:bookmarkStart w:id="455" w:name="_Toc139031957"/>
      <w:r w:rsidRPr="005B4339">
        <w:rPr>
          <w:noProof/>
          <w:lang w:val="en-IE"/>
        </w:rPr>
        <w:t xml:space="preserve">Figure </w:t>
      </w:r>
      <w:r w:rsidR="00393DFA">
        <w:rPr>
          <w:rFonts w:cs="Calibri"/>
          <w:noProof/>
          <w:szCs w:val="20"/>
          <w:shd w:val="clear" w:color="auto" w:fill="FFFFFF"/>
        </w:rPr>
        <w:t>22</w:t>
      </w:r>
      <w:bookmarkEnd w:id="453"/>
      <w:r w:rsidRPr="005B4339">
        <w:rPr>
          <w:noProof/>
          <w:lang w:val="en-IE"/>
        </w:rPr>
        <w:t xml:space="preserve">: </w:t>
      </w:r>
      <w:r w:rsidRPr="005B4339">
        <w:rPr>
          <w:noProof/>
          <w:shd w:val="clear" w:color="auto" w:fill="FFFFFF"/>
          <w:lang w:val="en-IE"/>
        </w:rPr>
        <w:t>Avoided climate change impact in the Member States</w:t>
      </w:r>
      <w:r w:rsidR="008A79D2" w:rsidRPr="005B4339">
        <w:rPr>
          <w:noProof/>
          <w:shd w:val="clear" w:color="auto" w:fill="FFFFFF"/>
          <w:lang w:val="en-IE"/>
        </w:rPr>
        <w:t xml:space="preserve"> with</w:t>
      </w:r>
      <w:r w:rsidRPr="005B4339">
        <w:rPr>
          <w:noProof/>
          <w:shd w:val="clear" w:color="auto" w:fill="FFFFFF"/>
          <w:lang w:val="en-IE"/>
        </w:rPr>
        <w:t xml:space="preserve"> option 3</w:t>
      </w:r>
      <w:bookmarkEnd w:id="454"/>
      <w:bookmarkEnd w:id="455"/>
    </w:p>
    <w:p w14:paraId="588911A8" w14:textId="69FC19FF" w:rsidR="00C6342D" w:rsidRPr="005B4339" w:rsidRDefault="00762490" w:rsidP="00C6342D">
      <w:pPr>
        <w:spacing w:after="0"/>
        <w:jc w:val="left"/>
        <w:rPr>
          <w:noProof/>
          <w:lang w:val="en-IE"/>
        </w:rPr>
      </w:pPr>
      <w:r w:rsidRPr="005B4339">
        <w:rPr>
          <w:rStyle w:val="normaltextrun"/>
          <w:rFonts w:ascii="EC Square Sans Pro" w:hAnsi="EC Square Sans Pro" w:cs="Segoe UI"/>
          <w:noProof/>
          <w:color w:val="000000" w:themeColor="text1"/>
          <w:sz w:val="20"/>
          <w:szCs w:val="20"/>
          <w:lang w:eastAsia="en-GB"/>
        </w:rPr>
        <w:lastRenderedPageBreak/>
        <w:drawing>
          <wp:inline distT="0" distB="0" distL="0" distR="0" wp14:anchorId="52E135C1" wp14:editId="57207DA7">
            <wp:extent cx="5731510" cy="2032359"/>
            <wp:effectExtent l="0" t="0" r="2540" b="6350"/>
            <wp:docPr id="1112863394" name="Picture 111286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032359"/>
                    </a:xfrm>
                    <a:prstGeom prst="rect">
                      <a:avLst/>
                    </a:prstGeom>
                    <a:noFill/>
                  </pic:spPr>
                </pic:pic>
              </a:graphicData>
            </a:graphic>
          </wp:inline>
        </w:drawing>
      </w:r>
    </w:p>
    <w:p w14:paraId="1D774E53" w14:textId="4EA4C2D0" w:rsidR="00C6342D" w:rsidRPr="005B4339" w:rsidRDefault="00C6342D" w:rsidP="00C6342D">
      <w:pPr>
        <w:pStyle w:val="JRCText"/>
        <w:rPr>
          <w:rFonts w:ascii="Times New Roman" w:hAnsi="Times New Roman"/>
          <w:noProof/>
          <w:sz w:val="24"/>
          <w:szCs w:val="24"/>
          <w:lang w:val="en-IE"/>
        </w:rPr>
      </w:pPr>
    </w:p>
    <w:p w14:paraId="79203FB8" w14:textId="337B3740" w:rsidR="00794505" w:rsidRPr="005B4339" w:rsidRDefault="00794505" w:rsidP="00794505">
      <w:pPr>
        <w:rPr>
          <w:noProof/>
          <w:lang w:val="en-IE"/>
        </w:rPr>
      </w:pPr>
    </w:p>
    <w:p w14:paraId="65396350" w14:textId="46DBDF02" w:rsidR="00794505" w:rsidRPr="005B4339" w:rsidRDefault="00794505">
      <w:pPr>
        <w:pStyle w:val="JRCLevel-3title"/>
        <w:numPr>
          <w:ilvl w:val="2"/>
          <w:numId w:val="161"/>
        </w:numPr>
        <w:rPr>
          <w:rFonts w:ascii="Times New Roman" w:hAnsi="Times New Roman"/>
          <w:noProof/>
          <w:sz w:val="24"/>
          <w:lang w:val="en-IE"/>
        </w:rPr>
      </w:pPr>
      <w:bookmarkStart w:id="456" w:name="_Toc125109498"/>
      <w:bookmarkStart w:id="457" w:name="_Toc1881797934"/>
      <w:bookmarkStart w:id="458" w:name="_Toc138731386"/>
      <w:bookmarkStart w:id="459" w:name="_Toc1808249642"/>
      <w:bookmarkStart w:id="460" w:name="_Toc239623382"/>
      <w:bookmarkStart w:id="461" w:name="_Toc450135534"/>
      <w:bookmarkStart w:id="462" w:name="_Toc1499818398"/>
      <w:bookmarkStart w:id="463" w:name="_Toc739534512"/>
      <w:bookmarkStart w:id="464" w:name="_Toc139032114"/>
      <w:r w:rsidRPr="005B4339">
        <w:rPr>
          <w:rFonts w:ascii="Times New Roman" w:hAnsi="Times New Roman"/>
          <w:noProof/>
          <w:sz w:val="24"/>
          <w:lang w:val="en-IE"/>
        </w:rPr>
        <w:t>Comparison of the two approaches</w:t>
      </w:r>
      <w:bookmarkEnd w:id="456"/>
      <w:bookmarkEnd w:id="457"/>
      <w:bookmarkEnd w:id="458"/>
      <w:bookmarkEnd w:id="459"/>
      <w:bookmarkEnd w:id="460"/>
      <w:bookmarkEnd w:id="461"/>
      <w:bookmarkEnd w:id="462"/>
      <w:bookmarkEnd w:id="463"/>
      <w:bookmarkEnd w:id="464"/>
    </w:p>
    <w:p w14:paraId="65A3DC70" w14:textId="77777777" w:rsidR="00794505"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Environmental impacts presented in this section are calculated with two different approaches: the MAGNET model (section 4</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providing impacts in terms of emissions and land use</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the bottom-up analysis (Section 5</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uses the metrics proposed by the Environmental Footprint method (EC - European Commission</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2021)</w:t>
      </w:r>
      <w:r w:rsidRPr="005B4339">
        <w:rPr>
          <w:rFonts w:ascii="Times New Roman" w:hAnsi="Times New Roman"/>
          <w:noProof/>
          <w:color w:val="000000"/>
          <w:sz w:val="24"/>
          <w:szCs w:val="24"/>
          <w:shd w:val="clear" w:color="auto" w:fill="FFFFFF"/>
          <w:lang w:val="en-IE"/>
        </w:rPr>
        <w:t>. The common metric used by both approaches are greenhouse gas emissions (expressed as kgCO</w:t>
      </w:r>
      <w:r w:rsidRPr="005B4339">
        <w:rPr>
          <w:rFonts w:ascii="Times New Roman" w:hAnsi="Times New Roman"/>
          <w:noProof/>
          <w:color w:val="2B579A"/>
          <w:sz w:val="24"/>
          <w:szCs w:val="24"/>
          <w:shd w:val="clear" w:color="auto" w:fill="E6E6E6"/>
          <w:vertAlign w:val="subscript"/>
          <w:lang w:val="en-IE"/>
        </w:rPr>
        <w:t>2</w:t>
      </w:r>
      <w:r w:rsidRPr="005B4339">
        <w:rPr>
          <w:rFonts w:ascii="Times New Roman" w:hAnsi="Times New Roman"/>
          <w:noProof/>
          <w:color w:val="000000"/>
          <w:sz w:val="24"/>
          <w:szCs w:val="24"/>
          <w:shd w:val="clear" w:color="auto" w:fill="FFFFFF"/>
          <w:lang w:val="en-IE"/>
        </w:rPr>
        <w:t>e</w:t>
      </w:r>
      <w:r w:rsidRPr="005B4339">
        <w:rPr>
          <w:rFonts w:ascii="Times New Roman" w:hAnsi="Times New Roman"/>
          <w:noProof/>
          <w:color w:val="038387"/>
          <w:sz w:val="24"/>
          <w:szCs w:val="24"/>
          <w:u w:val="single"/>
          <w:shd w:val="clear" w:color="auto" w:fill="FFFFFF"/>
          <w:lang w:val="en-IE"/>
        </w:rPr>
        <w:t>q</w:t>
      </w:r>
      <w:r w:rsidRPr="005B4339">
        <w:rPr>
          <w:rFonts w:ascii="Times New Roman" w:hAnsi="Times New Roman"/>
          <w:noProof/>
          <w:color w:val="000000"/>
          <w:sz w:val="24"/>
          <w:szCs w:val="24"/>
          <w:shd w:val="clear" w:color="auto" w:fill="FFFFFF"/>
          <w:lang w:val="en-IE"/>
        </w:rPr>
        <w:t>) and therefore a comparison between the two approaches could be performed for this impact category.</w:t>
      </w:r>
      <w:r w:rsidRPr="005B4339">
        <w:rPr>
          <w:noProof/>
          <w:color w:val="000000"/>
          <w:shd w:val="clear" w:color="auto" w:fill="E6E6E6"/>
          <w:lang w:val="en-IE"/>
        </w:rPr>
        <w:t> </w:t>
      </w:r>
    </w:p>
    <w:p w14:paraId="5A4C8F80" w14:textId="4EA4C2D0" w:rsidR="00794505"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Differences between the two approaches are significant and reflect the different methodological basis. In the case of the bottom-up approach</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avoided environmental impacts are calculated considering that a reduction of food waste brings benefits linked to: (i) the avoided impact of producing and distributing the food items saved up to the point of the FSC where the food waste is avoided</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and (ii) the avoided impact of the food waste disposal</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following the approach presented in (De Laurentiis et al</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2020). The assessment is entirely based on biophysical flows and assumes a linear relation between the amount of reduced food waste and reduced environmental impacts.</w:t>
      </w:r>
    </w:p>
    <w:p w14:paraId="6463006D" w14:textId="63972AC9" w:rsidR="00C6342D" w:rsidRPr="005B4339" w:rsidRDefault="00B6221F"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rPr>
        <w:instrText xml:space="preserve"> REF _Ref125109927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23</w:t>
      </w:r>
      <w:r w:rsidRPr="005B4339">
        <w:rPr>
          <w:rFonts w:ascii="Times New Roman" w:hAnsi="Times New Roman"/>
          <w:noProof/>
          <w:sz w:val="24"/>
          <w:szCs w:val="24"/>
          <w:lang w:val="en-IE"/>
        </w:rPr>
        <w:fldChar w:fldCharType="end"/>
      </w:r>
      <w:r w:rsidR="001E7FF3" w:rsidRPr="005B4339" w:rsidDel="00B6221F">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 xml:space="preserve">shows the potential climate change reductions due to food waste reduction targets assessed with the bottom-up approach in the context of the overall climate change impact due to the EU-27 economy (3298 Mt CO2 eq.), as reported by EEA (2020). The contribution of the EU food system is estimated as one third of the total when considering a production-based emissions (territorial approach) (Crippa et al., 2021). This share is higher when considering the emissions embodied in the imported goods with the Consumption Footprint (CF) approach (around a half of the total), which estimates the impact of food </w:t>
      </w:r>
      <w:r w:rsidR="008D5CCD" w:rsidRPr="005B4339">
        <w:rPr>
          <w:rFonts w:ascii="Times New Roman" w:hAnsi="Times New Roman"/>
          <w:noProof/>
          <w:sz w:val="24"/>
          <w:szCs w:val="24"/>
          <w:lang w:val="en-IE"/>
        </w:rPr>
        <w:t xml:space="preserve">consumption </w:t>
      </w:r>
      <w:r w:rsidR="00C6342D" w:rsidRPr="005B4339">
        <w:rPr>
          <w:rFonts w:ascii="Times New Roman" w:hAnsi="Times New Roman"/>
          <w:noProof/>
          <w:sz w:val="24"/>
          <w:szCs w:val="24"/>
          <w:lang w:val="en-IE"/>
        </w:rPr>
        <w:t xml:space="preserve">as </w:t>
      </w:r>
      <w:r w:rsidR="008D5CCD" w:rsidRPr="005B4339">
        <w:rPr>
          <w:rFonts w:ascii="Times New Roman" w:hAnsi="Times New Roman"/>
          <w:noProof/>
          <w:sz w:val="24"/>
          <w:szCs w:val="24"/>
          <w:lang w:val="en-IE"/>
        </w:rPr>
        <w:t xml:space="preserve">1577 </w:t>
      </w:r>
      <w:r w:rsidR="00C6342D" w:rsidRPr="005B4339">
        <w:rPr>
          <w:rFonts w:ascii="Times New Roman" w:hAnsi="Times New Roman"/>
          <w:noProof/>
          <w:sz w:val="24"/>
          <w:szCs w:val="24"/>
          <w:lang w:val="en-IE"/>
        </w:rPr>
        <w:t>Mt CO2 eq.</w:t>
      </w:r>
      <w:r w:rsidR="007A4016" w:rsidRPr="005B4339">
        <w:rPr>
          <w:rFonts w:ascii="Times New Roman" w:hAnsi="Times New Roman"/>
          <w:noProof/>
          <w:sz w:val="24"/>
          <w:szCs w:val="24"/>
          <w:lang w:val="en-IE"/>
        </w:rPr>
        <w:t xml:space="preserve"> Climate change impact of food waste in 2020 (based on reported food waste quantities, ESTAT (2022) is quantified as 246 Mt CO2 eq. (16% of the impact of food systems) and 244 Mt CO2 eq. in 2030 (based on projections of food waste derived applying the production changes used in MAGNET).</w:t>
      </w:r>
      <w:r w:rsidR="00F21677" w:rsidRPr="005B4339" w:rsidDel="00F21677">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 xml:space="preserve"> The emissions reductions obtained with the three policy options range between </w:t>
      </w:r>
      <w:r w:rsidR="00F21677" w:rsidRPr="005B4339">
        <w:rPr>
          <w:rFonts w:ascii="Times New Roman" w:hAnsi="Times New Roman"/>
          <w:noProof/>
          <w:sz w:val="24"/>
          <w:szCs w:val="24"/>
          <w:lang w:val="en-IE"/>
        </w:rPr>
        <w:t xml:space="preserve">33 </w:t>
      </w:r>
      <w:r w:rsidR="00C6342D" w:rsidRPr="005B4339">
        <w:rPr>
          <w:rFonts w:ascii="Times New Roman" w:hAnsi="Times New Roman"/>
          <w:noProof/>
          <w:sz w:val="24"/>
          <w:szCs w:val="24"/>
          <w:lang w:val="en-IE"/>
        </w:rPr>
        <w:t>and 1</w:t>
      </w:r>
      <w:r w:rsidR="00F21677" w:rsidRPr="005B4339">
        <w:rPr>
          <w:rFonts w:ascii="Times New Roman" w:hAnsi="Times New Roman"/>
          <w:noProof/>
          <w:sz w:val="24"/>
          <w:szCs w:val="24"/>
          <w:lang w:val="en-IE"/>
        </w:rPr>
        <w:t>0</w:t>
      </w:r>
      <w:r w:rsidR="00C6342D" w:rsidRPr="005B4339">
        <w:rPr>
          <w:rFonts w:ascii="Times New Roman" w:hAnsi="Times New Roman"/>
          <w:noProof/>
          <w:sz w:val="24"/>
          <w:szCs w:val="24"/>
          <w:lang w:val="en-IE"/>
        </w:rPr>
        <w:t>8 Mt CO2 eq. These values do not include possible rebound effects, which are instead captured in MAGNET and that seem to contribute substantially to offsetting the environmental benefits of these policy measure</w:t>
      </w:r>
      <w:r w:rsidR="00AB796C" w:rsidRPr="005B4339">
        <w:rPr>
          <w:rFonts w:ascii="Times New Roman" w:hAnsi="Times New Roman"/>
          <w:noProof/>
          <w:sz w:val="24"/>
          <w:szCs w:val="24"/>
          <w:lang w:val="en-IE"/>
        </w:rPr>
        <w:t>s</w:t>
      </w:r>
      <w:r w:rsidR="00C6342D" w:rsidRPr="005B4339">
        <w:rPr>
          <w:rFonts w:ascii="Times New Roman" w:hAnsi="Times New Roman"/>
          <w:noProof/>
          <w:sz w:val="24"/>
          <w:szCs w:val="24"/>
          <w:lang w:val="en-IE"/>
        </w:rPr>
        <w:t>.</w:t>
      </w:r>
    </w:p>
    <w:p w14:paraId="40C58B38" w14:textId="7C7419C8" w:rsidR="00692235" w:rsidRPr="005B4339" w:rsidRDefault="00794505" w:rsidP="003B6050">
      <w:pPr>
        <w:pStyle w:val="JRCFigurecaption"/>
        <w:rPr>
          <w:noProof/>
        </w:rPr>
      </w:pPr>
      <w:bookmarkStart w:id="465" w:name="_Ref125109927"/>
      <w:bookmarkStart w:id="466" w:name="_Toc139031958"/>
      <w:bookmarkStart w:id="467" w:name="_Toc133229350"/>
      <w:r w:rsidRPr="005B4339">
        <w:rPr>
          <w:noProof/>
          <w:lang w:val="en-IE"/>
        </w:rPr>
        <w:t xml:space="preserve">Figure </w:t>
      </w:r>
      <w:r w:rsidR="00393DFA">
        <w:rPr>
          <w:noProof/>
          <w:shd w:val="clear" w:color="auto" w:fill="FFFFFF"/>
        </w:rPr>
        <w:t>23</w:t>
      </w:r>
      <w:bookmarkEnd w:id="465"/>
      <w:r w:rsidRPr="005B4339">
        <w:rPr>
          <w:noProof/>
          <w:lang w:val="en-IE"/>
        </w:rPr>
        <w:t>:</w:t>
      </w:r>
      <w:bookmarkEnd w:id="466"/>
      <w:r w:rsidRPr="005B4339">
        <w:rPr>
          <w:noProof/>
          <w:lang w:val="en-IE"/>
        </w:rPr>
        <w:t xml:space="preserve"> </w:t>
      </w:r>
    </w:p>
    <w:p w14:paraId="74C4E657" w14:textId="77777777" w:rsidR="00692235" w:rsidRPr="005B4339" w:rsidRDefault="00692235" w:rsidP="003B6050">
      <w:pPr>
        <w:pStyle w:val="JRCFigurecaption"/>
        <w:rPr>
          <w:noProof/>
        </w:rPr>
      </w:pPr>
      <w:bookmarkStart w:id="468" w:name="_Toc139031959"/>
      <w:r w:rsidRPr="005B4339">
        <w:rPr>
          <w:noProof/>
        </w:rPr>
        <w:lastRenderedPageBreak/>
        <w:t>Reductions in climate change impact due to the application of food waste targets, in the context of the global impact of the EU 27 system and the impact due to food systems. All amounts are million tonnes of CO</w:t>
      </w:r>
      <w:r w:rsidRPr="005B4339">
        <w:rPr>
          <w:noProof/>
          <w:vertAlign w:val="subscript"/>
        </w:rPr>
        <w:t>2</w:t>
      </w:r>
      <w:r w:rsidRPr="005B4339">
        <w:rPr>
          <w:noProof/>
        </w:rPr>
        <w:t xml:space="preserve"> eq.</w:t>
      </w:r>
      <w:bookmarkEnd w:id="468"/>
      <w:r w:rsidRPr="005B4339">
        <w:rPr>
          <w:noProof/>
        </w:rPr>
        <w:t xml:space="preserve"> </w:t>
      </w:r>
    </w:p>
    <w:bookmarkEnd w:id="467"/>
    <w:p w14:paraId="02DA71C6" w14:textId="0E22445D" w:rsidR="00794505" w:rsidRPr="005B4339" w:rsidRDefault="00794505" w:rsidP="003B6050">
      <w:pPr>
        <w:pStyle w:val="JRCFigurecaption"/>
        <w:rPr>
          <w:noProof/>
          <w:shd w:val="clear" w:color="auto" w:fill="FFFFFF"/>
          <w:lang w:val="en-IE"/>
        </w:rPr>
      </w:pPr>
    </w:p>
    <w:p w14:paraId="34D6B18E" w14:textId="7C921588" w:rsidR="00C6342D" w:rsidRPr="005B4339" w:rsidRDefault="00C6342D" w:rsidP="00C6342D">
      <w:pPr>
        <w:pStyle w:val="JRCText"/>
        <w:rPr>
          <w:rFonts w:ascii="Times New Roman" w:hAnsi="Times New Roman"/>
          <w:noProof/>
          <w:sz w:val="24"/>
          <w:szCs w:val="24"/>
          <w:lang w:val="en-IE"/>
        </w:rPr>
      </w:pPr>
    </w:p>
    <w:p w14:paraId="2B666A4E" w14:textId="6EFF0198" w:rsidR="00C6342D" w:rsidRPr="005B4339" w:rsidRDefault="00BE1F4E" w:rsidP="0F0B9C28">
      <w:pPr>
        <w:shd w:val="clear" w:color="auto" w:fill="FFFFFF" w:themeFill="background1"/>
        <w:spacing w:after="0"/>
        <w:textAlignment w:val="baseline"/>
        <w:rPr>
          <w:noProof/>
          <w:lang w:val="en-IE"/>
        </w:rPr>
      </w:pPr>
      <w:r w:rsidRPr="005B4339">
        <w:rPr>
          <w:noProof/>
          <w:shd w:val="clear" w:color="auto" w:fill="E6E6E6"/>
          <w:lang w:eastAsia="en-GB"/>
        </w:rPr>
        <w:drawing>
          <wp:inline distT="0" distB="0" distL="0" distR="0" wp14:anchorId="4A4C58D9" wp14:editId="52488A20">
            <wp:extent cx="5731510" cy="3377497"/>
            <wp:effectExtent l="0" t="0" r="2540" b="0"/>
            <wp:docPr id="1112863395" name="Picture 1112863395"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ircle, screenshot, fon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3377497"/>
                    </a:xfrm>
                    <a:prstGeom prst="rect">
                      <a:avLst/>
                    </a:prstGeom>
                  </pic:spPr>
                </pic:pic>
              </a:graphicData>
            </a:graphic>
          </wp:inline>
        </w:drawing>
      </w:r>
    </w:p>
    <w:p w14:paraId="49560DB3" w14:textId="60A28758" w:rsidR="00692235" w:rsidRPr="005B4339" w:rsidRDefault="00C6342D" w:rsidP="00DB401B">
      <w:pPr>
        <w:pStyle w:val="JRCTablenote"/>
        <w:rPr>
          <w:noProof/>
        </w:rPr>
      </w:pPr>
      <w:r w:rsidRPr="005B4339">
        <w:rPr>
          <w:noProof/>
          <w:lang w:val="en-IE"/>
        </w:rPr>
        <w:t> </w:t>
      </w:r>
      <w:r w:rsidR="00692235" w:rsidRPr="005B4339">
        <w:rPr>
          <w:noProof/>
        </w:rPr>
        <w:t>Notes. (*)</w:t>
      </w:r>
      <w:r w:rsidR="00692235" w:rsidRPr="005B4339">
        <w:rPr>
          <w:rFonts w:asciiTheme="minorHAnsi" w:eastAsiaTheme="minorEastAsia" w:hAnsi="Calibri" w:cstheme="minorBidi"/>
          <w:noProof/>
          <w:kern w:val="24"/>
          <w:lang w:val="en-US"/>
        </w:rPr>
        <w:t xml:space="preserve"> </w:t>
      </w:r>
      <w:r w:rsidR="00692235" w:rsidRPr="005B4339">
        <w:rPr>
          <w:noProof/>
          <w:lang w:val="en-US"/>
        </w:rPr>
        <w:t xml:space="preserve">excluding Land Use, Land Use Change and Forestry (LULUCF) and international aviation </w:t>
      </w:r>
      <w:r w:rsidR="00692235" w:rsidRPr="005B4339">
        <w:rPr>
          <w:noProof/>
        </w:rPr>
        <w:t>and international maritime transport (EEA, 2022)</w:t>
      </w:r>
      <w:r w:rsidR="00DB401B" w:rsidRPr="005B4339">
        <w:rPr>
          <w:noProof/>
        </w:rPr>
        <w:t>;</w:t>
      </w:r>
      <w:r w:rsidR="00692235" w:rsidRPr="005B4339">
        <w:rPr>
          <w:noProof/>
        </w:rPr>
        <w:t xml:space="preserve"> </w:t>
      </w:r>
      <w:r w:rsidR="008022D8" w:rsidRPr="005B4339">
        <w:rPr>
          <w:noProof/>
        </w:rPr>
        <w:t xml:space="preserve">(**) </w:t>
      </w:r>
      <w:r w:rsidR="00692235" w:rsidRPr="005B4339">
        <w:rPr>
          <w:noProof/>
        </w:rPr>
        <w:t>EDGAR is the Emissions Database for Global Atmospheric Research developed by the JRC</w:t>
      </w:r>
      <w:r w:rsidR="00692235" w:rsidRPr="005B4339">
        <w:rPr>
          <w:rStyle w:val="FootnoteReference"/>
          <w:noProof/>
        </w:rPr>
        <w:footnoteReference w:id="152"/>
      </w:r>
      <w:r w:rsidR="00692235" w:rsidRPr="005B4339">
        <w:rPr>
          <w:noProof/>
        </w:rPr>
        <w:t xml:space="preserve"> (Crippa et al., 2021)</w:t>
      </w:r>
      <w:r w:rsidR="00DB401B" w:rsidRPr="005B4339">
        <w:rPr>
          <w:noProof/>
        </w:rPr>
        <w:t>;</w:t>
      </w:r>
      <w:r w:rsidR="00692235" w:rsidRPr="005B4339">
        <w:rPr>
          <w:noProof/>
        </w:rPr>
        <w:t xml:space="preserve"> (***) The Consumption Footprint (CF) approach is based on the calculation of impact at product level and considering the full life cycle of products</w:t>
      </w:r>
      <w:r w:rsidR="00692235" w:rsidRPr="005B4339">
        <w:rPr>
          <w:rStyle w:val="FootnoteReference"/>
          <w:noProof/>
        </w:rPr>
        <w:footnoteReference w:id="153"/>
      </w:r>
      <w:r w:rsidR="00692235" w:rsidRPr="005B4339">
        <w:rPr>
          <w:noProof/>
        </w:rPr>
        <w:t xml:space="preserve"> (Sanyé-Mengual and Sala, 2023).</w:t>
      </w:r>
    </w:p>
    <w:p w14:paraId="05586712" w14:textId="675519D6" w:rsidR="00692235" w:rsidRPr="005B4339" w:rsidRDefault="00692235" w:rsidP="00692235">
      <w:pPr>
        <w:pStyle w:val="JRCFiguresource"/>
        <w:rPr>
          <w:noProof/>
        </w:rPr>
      </w:pPr>
      <w:r w:rsidRPr="005B4339">
        <w:rPr>
          <w:noProof/>
        </w:rPr>
        <w:t>Source: Author’s own elaboration based on data from (EEA (2022),  Crippa et al., (2021), Sanyé-Mengual and Sala (2023), ESTAT (2022), bottom-up approach</w:t>
      </w:r>
    </w:p>
    <w:p w14:paraId="1FE45094" w14:textId="5FFB735D" w:rsidR="00C6342D" w:rsidRPr="005B4339" w:rsidRDefault="00C6342D"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In the case of the MAGNET model, the emissions reductions are calculated within an (economic) general equilibrium model approach which takes into account market dynamics and interrelations between different economic sectors., Similar to the results of the bottom-up analysis, though based on different assumptions, food waste reductions at all stages of the food supply chain have a significant positive environmental impact on emission savings, b</w:t>
      </w:r>
      <w:r w:rsidR="00DB44F2" w:rsidRPr="005B4339">
        <w:rPr>
          <w:rFonts w:ascii="Times New Roman" w:hAnsi="Times New Roman"/>
          <w:noProof/>
          <w:sz w:val="24"/>
          <w:szCs w:val="24"/>
          <w:lang w:val="en-IE"/>
        </w:rPr>
        <w:t>oth within the EU and globally.</w:t>
      </w:r>
      <w:r w:rsidRPr="005B4339">
        <w:rPr>
          <w:rFonts w:ascii="Times New Roman" w:hAnsi="Times New Roman"/>
          <w:noProof/>
          <w:sz w:val="24"/>
          <w:szCs w:val="24"/>
          <w:lang w:val="en-IE"/>
        </w:rPr>
        <w:t xml:space="preserve"> </w:t>
      </w:r>
    </w:p>
    <w:p w14:paraId="23C8EF13" w14:textId="77777777" w:rsidR="00794505"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t>The so-called rebound effect arises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when reduced household food expenditures result in rising non-food expenditures (savings rates are assumed fixed across all scenarios)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such that there is an increase in emissions from other non-food economic activities. As shown</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larger is the final demand redistribution effect resulting from higher household waste reductions</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then the larger is the rise in emissions in non-food and waste management/treatment activities. </w:t>
      </w:r>
    </w:p>
    <w:p w14:paraId="6E8866DE" w14:textId="7C921588" w:rsidR="00794505"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Therefore</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depending on the spatial and sectorial coverage as well as calculation method</w:t>
      </w:r>
      <w:r w:rsidR="00C6342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results are diverging (see sections 4.3.4.1 and 4</w:t>
      </w:r>
      <w:r w:rsidRPr="005B4339">
        <w:rPr>
          <w:noProof/>
          <w:color w:val="000000"/>
          <w:shd w:val="clear" w:color="auto" w:fill="FFFFFF"/>
          <w:lang w:val="en-IE"/>
        </w:rPr>
        <w:t>.3.4.3).</w:t>
      </w:r>
    </w:p>
    <w:p w14:paraId="6BB81865" w14:textId="6609CE55" w:rsidR="00C6342D" w:rsidRPr="005B4339" w:rsidRDefault="001E7FF3" w:rsidP="0F0B9C28">
      <w:pPr>
        <w:shd w:val="clear" w:color="auto" w:fill="FFFFFF" w:themeFill="background1"/>
        <w:spacing w:after="0"/>
        <w:textAlignment w:val="baseline"/>
        <w:rPr>
          <w:rStyle w:val="JRCTextChar"/>
          <w:rFonts w:ascii="Times New Roman" w:hAnsi="Times New Roman"/>
          <w:noProof/>
          <w:sz w:val="24"/>
          <w:lang w:val="en-IE"/>
        </w:rPr>
      </w:pPr>
      <w:r w:rsidRPr="005B4339">
        <w:rPr>
          <w:rStyle w:val="JRCTextChar"/>
          <w:rFonts w:ascii="Times New Roman" w:hAnsi="Times New Roman"/>
          <w:noProof/>
          <w:sz w:val="24"/>
          <w:lang w:val="en-IE"/>
        </w:rPr>
        <w:t xml:space="preserve">Figure </w:t>
      </w:r>
      <w:r w:rsidR="00E77A98" w:rsidRPr="005B4339">
        <w:rPr>
          <w:rStyle w:val="JRCTextChar"/>
          <w:rFonts w:ascii="Times New Roman" w:hAnsi="Times New Roman"/>
          <w:noProof/>
          <w:sz w:val="24"/>
          <w:lang w:val="en-IE"/>
        </w:rPr>
        <w:t>80</w:t>
      </w:r>
      <w:r w:rsidRPr="005B4339">
        <w:rPr>
          <w:rStyle w:val="JRCTextChar"/>
          <w:rFonts w:ascii="Times New Roman" w:hAnsi="Times New Roman"/>
          <w:noProof/>
          <w:sz w:val="24"/>
          <w:lang w:val="en-IE"/>
        </w:rPr>
        <w:t xml:space="preserve"> </w:t>
      </w:r>
      <w:r w:rsidR="00C6342D" w:rsidRPr="005B4339">
        <w:rPr>
          <w:rStyle w:val="JRCTextChar"/>
          <w:rFonts w:ascii="Times New Roman" w:hAnsi="Times New Roman"/>
          <w:noProof/>
          <w:sz w:val="24"/>
          <w:lang w:val="en-IE"/>
        </w:rPr>
        <w:t>shows the range of emission reductions in the scenarios (from Option 1 to Option 3). On the left-hand side, the reductions of the aggregated emission footprint associated with household food consumption for the EU are depicted (in Mio CO2eq Option 1: -7.4, Option 2: -14.6, Option 3: -24.1). Looking at the right-hand side, the emissions are presented as reductions in the EU food chain including the waste treatment (-4.9, -9.8, -16.7), including the global food chain (-8.3, -16.7, -28.0) and, finally, the EU whole economy including rebound effects (-2.0, -3.9, -6.5). It should be noted that there is a high uncertainty related to the assumptions regarding the waste treatment (e.g. share of food waste in landfill etc.).</w:t>
      </w:r>
    </w:p>
    <w:p w14:paraId="108CB8BB" w14:textId="4259DD44" w:rsidR="00C6342D" w:rsidRPr="005B4339" w:rsidRDefault="00C6342D" w:rsidP="003B6050">
      <w:pPr>
        <w:pStyle w:val="JRCFigurecaption"/>
        <w:rPr>
          <w:noProof/>
          <w:lang w:val="en-IE"/>
        </w:rPr>
      </w:pPr>
      <w:r w:rsidRPr="005B4339">
        <w:rPr>
          <w:noProof/>
          <w:lang w:val="en-IE"/>
        </w:rPr>
        <w:t> </w:t>
      </w:r>
      <w:bookmarkStart w:id="469" w:name="_Toc133229351"/>
      <w:bookmarkStart w:id="470" w:name="_Toc139031960"/>
      <w:r w:rsidRPr="005B4339">
        <w:rPr>
          <w:noProof/>
          <w:lang w:val="en-IE"/>
        </w:rPr>
        <w:t xml:space="preserve">Figure </w:t>
      </w:r>
      <w:bookmarkStart w:id="471" w:name="_Ref125109940"/>
      <w:r w:rsidR="00393DFA">
        <w:rPr>
          <w:noProof/>
          <w:color w:val="000000" w:themeColor="text1"/>
          <w:shd w:val="clear" w:color="auto" w:fill="FFFFFF"/>
        </w:rPr>
        <w:t>24</w:t>
      </w:r>
      <w:bookmarkEnd w:id="471"/>
      <w:r w:rsidRPr="005B4339">
        <w:rPr>
          <w:noProof/>
          <w:lang w:val="en-IE"/>
        </w:rPr>
        <w:t xml:space="preserve">: Overview of different emission calculations within MAGNET range of reduction in Mio CO2eq from </w:t>
      </w:r>
      <w:r w:rsidR="00692235" w:rsidRPr="005B4339">
        <w:rPr>
          <w:noProof/>
          <w:lang w:val="en-IE"/>
        </w:rPr>
        <w:t xml:space="preserve">Option 1 </w:t>
      </w:r>
      <w:r w:rsidRPr="005B4339">
        <w:rPr>
          <w:noProof/>
          <w:lang w:val="en-IE"/>
        </w:rPr>
        <w:t xml:space="preserve">to </w:t>
      </w:r>
      <w:r w:rsidR="00692235" w:rsidRPr="005B4339">
        <w:rPr>
          <w:noProof/>
          <w:lang w:val="en-IE"/>
        </w:rPr>
        <w:t>Option 3</w:t>
      </w:r>
      <w:bookmarkEnd w:id="469"/>
      <w:bookmarkEnd w:id="470"/>
    </w:p>
    <w:p w14:paraId="01978FEA" w14:textId="7C921588" w:rsidR="00C6342D" w:rsidRPr="005B4339" w:rsidRDefault="00C6342D" w:rsidP="0F0B9C28">
      <w:pPr>
        <w:shd w:val="clear" w:color="auto" w:fill="FFFFFF" w:themeFill="background1"/>
        <w:spacing w:after="0"/>
        <w:textAlignment w:val="baseline"/>
        <w:rPr>
          <w:noProof/>
          <w:lang w:val="en-IE"/>
        </w:rPr>
      </w:pPr>
    </w:p>
    <w:p w14:paraId="2E78BD67" w14:textId="7C921588" w:rsidR="00C6342D" w:rsidRPr="005B4339" w:rsidRDefault="00C6342D" w:rsidP="0F0B9C28">
      <w:pPr>
        <w:shd w:val="clear" w:color="auto" w:fill="FFFFFF" w:themeFill="background1"/>
        <w:spacing w:after="0"/>
        <w:textAlignment w:val="baseline"/>
        <w:rPr>
          <w:noProof/>
          <w:lang w:val="en-IE"/>
        </w:rPr>
      </w:pPr>
      <w:r w:rsidRPr="005B4339">
        <w:rPr>
          <w:noProof/>
          <w:lang w:val="en-IE"/>
        </w:rPr>
        <w:t> </w:t>
      </w:r>
    </w:p>
    <w:p w14:paraId="6906F780" w14:textId="7C921588" w:rsidR="00C6342D" w:rsidRPr="005B4339" w:rsidRDefault="00C6342D" w:rsidP="0F0B9C28">
      <w:pPr>
        <w:shd w:val="clear" w:color="auto" w:fill="FFFFFF" w:themeFill="background1"/>
        <w:spacing w:after="0"/>
        <w:jc w:val="center"/>
        <w:textAlignment w:val="baseline"/>
        <w:rPr>
          <w:noProof/>
          <w:lang w:val="en-IE"/>
        </w:rPr>
      </w:pPr>
      <w:r w:rsidRPr="005B4339">
        <w:rPr>
          <w:noProof/>
          <w:color w:val="2B579A"/>
          <w:shd w:val="clear" w:color="auto" w:fill="E6E6E6"/>
          <w:lang w:eastAsia="en-GB"/>
        </w:rPr>
        <w:drawing>
          <wp:inline distT="0" distB="0" distL="0" distR="0" wp14:anchorId="68E98944" wp14:editId="12A03173">
            <wp:extent cx="5731510" cy="3036570"/>
            <wp:effectExtent l="0" t="0" r="0" b="0"/>
            <wp:docPr id="1200524340" name="Picture 120052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524340"/>
                    <pic:cNvPicPr/>
                  </pic:nvPicPr>
                  <pic:blipFill>
                    <a:blip r:embed="rId71">
                      <a:extLst>
                        <a:ext uri="{28A0092B-C50C-407E-A947-70E740481C1C}">
                          <a14:useLocalDpi xmlns:a14="http://schemas.microsoft.com/office/drawing/2010/main" val="0"/>
                        </a:ext>
                      </a:extLst>
                    </a:blip>
                    <a:stretch>
                      <a:fillRect/>
                    </a:stretch>
                  </pic:blipFill>
                  <pic:spPr>
                    <a:xfrm>
                      <a:off x="0" y="0"/>
                      <a:ext cx="5731510" cy="3036570"/>
                    </a:xfrm>
                    <a:prstGeom prst="rect">
                      <a:avLst/>
                    </a:prstGeom>
                  </pic:spPr>
                </pic:pic>
              </a:graphicData>
            </a:graphic>
          </wp:inline>
        </w:drawing>
      </w:r>
    </w:p>
    <w:p w14:paraId="0C32AC8C" w14:textId="77777777" w:rsidR="00243599" w:rsidRPr="005B4339" w:rsidRDefault="00243599" w:rsidP="00243599">
      <w:pPr>
        <w:pStyle w:val="JRCFiguresource"/>
        <w:rPr>
          <w:noProof/>
        </w:rPr>
      </w:pPr>
      <w:r w:rsidRPr="005B4339">
        <w:rPr>
          <w:noProof/>
        </w:rPr>
        <w:t xml:space="preserve">Source: MAGNET simulation results </w:t>
      </w:r>
    </w:p>
    <w:p w14:paraId="1F5BAD27" w14:textId="31E81064" w:rsidR="00C6342D" w:rsidRPr="005B4339" w:rsidRDefault="00794505" w:rsidP="00C6342D">
      <w:pPr>
        <w:pStyle w:val="JRCText"/>
        <w:rPr>
          <w:rFonts w:ascii="Times New Roman" w:hAnsi="Times New Roman"/>
          <w:noProof/>
          <w:sz w:val="24"/>
          <w:szCs w:val="24"/>
          <w:lang w:val="en-IE"/>
        </w:rPr>
      </w:pPr>
      <w:r w:rsidRPr="005B4339">
        <w:rPr>
          <w:rFonts w:ascii="Times New Roman" w:hAnsi="Times New Roman"/>
          <w:noProof/>
          <w:color w:val="2B579A"/>
          <w:sz w:val="24"/>
          <w:szCs w:val="24"/>
          <w:shd w:val="clear" w:color="auto" w:fill="E6E6E6"/>
          <w:lang w:val="en-IE"/>
        </w:rPr>
        <w:fldChar w:fldCharType="begin"/>
      </w:r>
      <w:r w:rsidRPr="005B4339">
        <w:rPr>
          <w:rFonts w:ascii="Times New Roman" w:hAnsi="Times New Roman"/>
          <w:noProof/>
          <w:color w:val="2B579A"/>
          <w:sz w:val="24"/>
          <w:shd w:val="clear" w:color="auto" w:fill="E6E6E6"/>
        </w:rPr>
        <w:instrText xml:space="preserve"> REF _Ref125109951 \h  \* MERGEFORMAT </w:instrText>
      </w:r>
      <w:r w:rsidRPr="005B4339">
        <w:rPr>
          <w:rFonts w:ascii="Times New Roman" w:hAnsi="Times New Roman"/>
          <w:noProof/>
          <w:color w:val="2B579A"/>
          <w:sz w:val="24"/>
          <w:szCs w:val="24"/>
          <w:shd w:val="clear" w:color="auto" w:fill="E6E6E6"/>
          <w:lang w:val="en-IE"/>
        </w:rPr>
      </w:r>
      <w:r w:rsidRPr="005B4339">
        <w:rPr>
          <w:rFonts w:ascii="Times New Roman" w:hAnsi="Times New Roman"/>
          <w:noProof/>
          <w:color w:val="2B579A"/>
          <w:sz w:val="24"/>
          <w:szCs w:val="24"/>
          <w:shd w:val="clear" w:color="auto" w:fill="E6E6E6"/>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noProof/>
          <w:color w:val="000000" w:themeColor="text1"/>
          <w:sz w:val="24"/>
          <w:szCs w:val="24"/>
          <w:shd w:val="clear" w:color="auto" w:fill="FFFFFF"/>
          <w:lang w:val="en-IE"/>
        </w:rPr>
        <w:t>25</w:t>
      </w:r>
      <w:r w:rsidRPr="005B4339">
        <w:rPr>
          <w:rFonts w:ascii="Times New Roman" w:hAnsi="Times New Roman"/>
          <w:noProof/>
          <w:color w:val="2B579A"/>
          <w:sz w:val="24"/>
          <w:szCs w:val="24"/>
          <w:shd w:val="clear" w:color="auto" w:fill="E6E6E6"/>
          <w:lang w:val="en-IE"/>
        </w:rPr>
        <w:fldChar w:fldCharType="end"/>
      </w:r>
      <w:r w:rsidR="0041082B" w:rsidRPr="005B4339">
        <w:rPr>
          <w:rFonts w:ascii="Times New Roman" w:hAnsi="Times New Roman"/>
          <w:noProof/>
          <w:sz w:val="24"/>
          <w:szCs w:val="24"/>
          <w:lang w:val="en-IE"/>
        </w:rPr>
        <w:t xml:space="preserve"> </w:t>
      </w:r>
      <w:r w:rsidR="00C6342D" w:rsidRPr="005B4339">
        <w:rPr>
          <w:rFonts w:ascii="Times New Roman" w:hAnsi="Times New Roman"/>
          <w:noProof/>
          <w:sz w:val="24"/>
          <w:szCs w:val="24"/>
          <w:lang w:val="en-IE"/>
        </w:rPr>
        <w:t xml:space="preserve">presents a comparison of the bottom-up analysis and the general equilibrium model with regard to the resulting emission savings. Apart from different assumptions on the estimated emissions per ton of food commodity, the choice of a linear (maximum benefit through full substitution of market commodity) or non-linear (considering rebound effects) approach as well as the spatial and sectorial coverage explain the differences. </w:t>
      </w:r>
    </w:p>
    <w:p w14:paraId="1B0E835E" w14:textId="311E53E5" w:rsidR="00C6342D" w:rsidRPr="005B4339" w:rsidRDefault="00794505" w:rsidP="003B6050">
      <w:pPr>
        <w:pStyle w:val="JRCFigurecaption"/>
        <w:rPr>
          <w:noProof/>
          <w:lang w:val="en-IE"/>
        </w:rPr>
      </w:pPr>
      <w:bookmarkStart w:id="472" w:name="_Ref125109951"/>
      <w:bookmarkStart w:id="473" w:name="_Toc133229352"/>
      <w:bookmarkStart w:id="474" w:name="_Toc139031961"/>
      <w:r w:rsidRPr="005B4339">
        <w:rPr>
          <w:noProof/>
          <w:lang w:val="en-IE"/>
        </w:rPr>
        <w:t xml:space="preserve">Figure </w:t>
      </w:r>
      <w:r w:rsidR="00393DFA">
        <w:rPr>
          <w:noProof/>
          <w:color w:val="000000" w:themeColor="text1"/>
          <w:shd w:val="clear" w:color="auto" w:fill="FFFFFF"/>
        </w:rPr>
        <w:t>25</w:t>
      </w:r>
      <w:bookmarkEnd w:id="472"/>
      <w:r w:rsidR="00C6342D" w:rsidRPr="005B4339">
        <w:rPr>
          <w:noProof/>
          <w:lang w:val="en-IE"/>
        </w:rPr>
        <w:t xml:space="preserve">: Overview of different emission calculations by Consumption Footprint (life cycle assessment based) and within MAGNET range of reduction in Mio CO2eq from </w:t>
      </w:r>
      <w:bookmarkEnd w:id="473"/>
      <w:r w:rsidR="00243599" w:rsidRPr="005B4339">
        <w:rPr>
          <w:noProof/>
          <w:lang w:val="en-IE"/>
        </w:rPr>
        <w:t>Option 1 to Option 3</w:t>
      </w:r>
      <w:bookmarkEnd w:id="474"/>
    </w:p>
    <w:p w14:paraId="16D26A98" w14:textId="340A2C3D" w:rsidR="00C6342D" w:rsidRPr="005B4339" w:rsidRDefault="00C6342D" w:rsidP="00C6342D">
      <w:pPr>
        <w:pStyle w:val="JRCText"/>
        <w:rPr>
          <w:rFonts w:ascii="Times New Roman" w:hAnsi="Times New Roman"/>
          <w:noProof/>
          <w:sz w:val="24"/>
          <w:szCs w:val="24"/>
          <w:lang w:val="en-IE"/>
        </w:rPr>
      </w:pPr>
    </w:p>
    <w:p w14:paraId="6792FDA3" w14:textId="65D9DA05" w:rsidR="00243599" w:rsidRPr="005B4339" w:rsidRDefault="00243599" w:rsidP="00C6342D">
      <w:pPr>
        <w:pStyle w:val="JRCText"/>
        <w:rPr>
          <w:rFonts w:ascii="Times New Roman" w:hAnsi="Times New Roman"/>
          <w:noProof/>
          <w:sz w:val="24"/>
          <w:szCs w:val="24"/>
          <w:lang w:val="en-IE"/>
        </w:rPr>
      </w:pPr>
      <w:r w:rsidRPr="005B4339">
        <w:rPr>
          <w:noProof/>
          <w:lang w:eastAsia="en-GB"/>
        </w:rPr>
        <w:lastRenderedPageBreak/>
        <w:drawing>
          <wp:inline distT="0" distB="0" distL="0" distR="0" wp14:anchorId="379C6274" wp14:editId="0579D349">
            <wp:extent cx="4943825" cy="3778369"/>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6933" cy="3803672"/>
                    </a:xfrm>
                    <a:prstGeom prst="rect">
                      <a:avLst/>
                    </a:prstGeom>
                    <a:solidFill>
                      <a:schemeClr val="bg1">
                        <a:lumMod val="95000"/>
                      </a:schemeClr>
                    </a:solidFill>
                  </pic:spPr>
                </pic:pic>
              </a:graphicData>
            </a:graphic>
          </wp:inline>
        </w:drawing>
      </w:r>
    </w:p>
    <w:p w14:paraId="486E41EE" w14:textId="77777777" w:rsidR="00243599" w:rsidRPr="005B4339" w:rsidRDefault="00243599" w:rsidP="00243599">
      <w:pPr>
        <w:pStyle w:val="JRCFiguresource"/>
        <w:rPr>
          <w:noProof/>
        </w:rPr>
      </w:pPr>
      <w:r w:rsidRPr="005B4339">
        <w:rPr>
          <w:noProof/>
        </w:rPr>
        <w:t>Source: MAGNET simulation and b</w:t>
      </w:r>
      <w:r w:rsidRPr="005B4339">
        <w:rPr>
          <w:rStyle w:val="normaltextrun"/>
          <w:rFonts w:cs="Segoe UI"/>
          <w:noProof/>
          <w:color w:val="000000"/>
          <w:szCs w:val="20"/>
          <w:shd w:val="clear" w:color="auto" w:fill="FFFFFF"/>
        </w:rPr>
        <w:t>ottom-up approach</w:t>
      </w:r>
      <w:r w:rsidRPr="005B4339">
        <w:rPr>
          <w:noProof/>
        </w:rPr>
        <w:t xml:space="preserve"> results</w:t>
      </w:r>
    </w:p>
    <w:p w14:paraId="68B4B104" w14:textId="46DBDF02" w:rsidR="00794505" w:rsidRPr="005B4339" w:rsidRDefault="00794505">
      <w:pPr>
        <w:pStyle w:val="JRCLevel-2title"/>
        <w:numPr>
          <w:ilvl w:val="1"/>
          <w:numId w:val="161"/>
        </w:numPr>
        <w:rPr>
          <w:rFonts w:ascii="Times New Roman" w:eastAsia="Calibri" w:hAnsi="Times New Roman"/>
          <w:noProof/>
        </w:rPr>
      </w:pPr>
      <w:bookmarkStart w:id="475" w:name="_Toc122604022"/>
      <w:bookmarkStart w:id="476" w:name="_Toc122613110"/>
      <w:bookmarkStart w:id="477" w:name="_Toc124413259"/>
      <w:bookmarkStart w:id="478" w:name="_Toc125109499"/>
      <w:bookmarkStart w:id="479" w:name="_Toc531426434"/>
      <w:bookmarkStart w:id="480" w:name="_Toc2107104236"/>
      <w:bookmarkStart w:id="481" w:name="_Toc912937674"/>
      <w:bookmarkStart w:id="482" w:name="_Toc1476587123"/>
      <w:bookmarkStart w:id="483" w:name="_Toc2134127598"/>
      <w:bookmarkStart w:id="484" w:name="_Toc523986399"/>
      <w:bookmarkStart w:id="485" w:name="_Toc438477502"/>
      <w:bookmarkStart w:id="486" w:name="_Toc139032115"/>
      <w:r w:rsidRPr="005B4339">
        <w:rPr>
          <w:rFonts w:ascii="Times New Roman" w:eastAsia="Calibri" w:hAnsi="Times New Roman"/>
          <w:noProof/>
          <w:lang w:val="en-IE"/>
        </w:rPr>
        <w:t>Economic impacts</w:t>
      </w:r>
      <w:bookmarkEnd w:id="475"/>
      <w:bookmarkEnd w:id="476"/>
      <w:bookmarkEnd w:id="477"/>
      <w:bookmarkEnd w:id="478"/>
      <w:bookmarkEnd w:id="479"/>
      <w:bookmarkEnd w:id="480"/>
      <w:bookmarkEnd w:id="481"/>
      <w:bookmarkEnd w:id="482"/>
      <w:bookmarkEnd w:id="483"/>
      <w:bookmarkEnd w:id="484"/>
      <w:bookmarkEnd w:id="485"/>
      <w:bookmarkEnd w:id="486"/>
    </w:p>
    <w:p w14:paraId="76F7D665" w14:textId="688071B8"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 xml:space="preserve">This section assesses the impact of the selected </w:t>
      </w:r>
      <w:r w:rsidR="00393E3F" w:rsidRPr="005B4339">
        <w:rPr>
          <w:rFonts w:ascii="Times New Roman" w:hAnsi="Times New Roman"/>
          <w:noProof/>
          <w:sz w:val="24"/>
          <w:szCs w:val="24"/>
          <w:lang w:val="en-IE"/>
        </w:rPr>
        <w:t xml:space="preserve">policy options </w:t>
      </w:r>
      <w:r w:rsidRPr="005B4339">
        <w:rPr>
          <w:rFonts w:ascii="Times New Roman" w:hAnsi="Times New Roman"/>
          <w:noProof/>
          <w:sz w:val="24"/>
          <w:szCs w:val="24"/>
          <w:lang w:val="en-IE"/>
        </w:rPr>
        <w:t>on economic variables such as changes in consumer demand</w:t>
      </w:r>
      <w:r w:rsidR="00BF09A5"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agricultural production and market prices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and the impact on international trade. The aim is to show how the reduction of food waste affects different markets along the supply chain</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and to highlight the impact of possible</w:t>
      </w:r>
      <w:r w:rsidR="00F6519A" w:rsidRPr="005B4339">
        <w:rPr>
          <w:rFonts w:ascii="Times New Roman" w:hAnsi="Times New Roman"/>
          <w:noProof/>
          <w:sz w:val="24"/>
          <w:szCs w:val="24"/>
          <w:lang w:val="en-IE"/>
        </w:rPr>
        <w:t xml:space="preserve"> direct and indirect</w:t>
      </w:r>
      <w:r w:rsidRPr="005B4339">
        <w:rPr>
          <w:rFonts w:ascii="Times New Roman" w:hAnsi="Times New Roman"/>
          <w:noProof/>
          <w:sz w:val="24"/>
          <w:szCs w:val="24"/>
          <w:lang w:val="en-IE"/>
        </w:rPr>
        <w:t xml:space="preserve"> rebound effects through the interlinkages of different markets. This section concludes with an economic cost-benefit analysis focusing on the costs associated food waste reduction and the resulting impact on GDP and welfare.</w:t>
      </w:r>
    </w:p>
    <w:p w14:paraId="1CE8C8C5" w14:textId="2C0C55A6"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This study simulates the targeted consumer food waste reductions by increasing the cost of generating waste and accounting for both price and quantity effects associated with a reduction in food waste as outlined in earlier. In doing so 50</w:t>
      </w:r>
      <w:r w:rsidR="00BF09A5"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30% and 15%</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respectively</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of the initial food waste is recovered as food for human consumption. In addition</w:t>
      </w:r>
      <w:r w:rsidR="00BF09A5"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food waste reduction at retail</w:t>
      </w:r>
      <w:r w:rsidR="00A7589F"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processing</w:t>
      </w:r>
      <w:r w:rsidR="00A7589F"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primary production stages </w:t>
      </w:r>
      <w:r w:rsidR="00BF09A5" w:rsidRPr="005B4339">
        <w:rPr>
          <w:rFonts w:ascii="Times New Roman" w:hAnsi="Times New Roman"/>
          <w:noProof/>
          <w:sz w:val="24"/>
          <w:szCs w:val="24"/>
          <w:lang w:val="en-IE"/>
        </w:rPr>
        <w:t>affects</w:t>
      </w:r>
      <w:r w:rsidRPr="005B4339">
        <w:rPr>
          <w:rFonts w:ascii="Times New Roman" w:hAnsi="Times New Roman"/>
          <w:noProof/>
          <w:sz w:val="24"/>
          <w:szCs w:val="24"/>
          <w:lang w:val="en-IE"/>
        </w:rPr>
        <w:t xml:space="preserve"> output and market prices. Reducing food waste increases cost of waste generation relatively to the price for food commodities. As a result</w:t>
      </w:r>
      <w:r w:rsidR="00BF09A5"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waste rate will fall as more food commodities are purchased when looking at relative prices</w:t>
      </w:r>
      <w:r w:rsidR="00A7589F"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however</w:t>
      </w:r>
      <w:r w:rsidR="00A7589F"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 addition</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some of the initially demanded food commodities will be recovered for food production. Thus</w:t>
      </w:r>
      <w:r w:rsidR="3C6A897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agricultural and food production could be produced by demanding fewer food commodity inputs. However</w:t>
      </w:r>
      <w:r w:rsidR="00BF09A5"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by how much this translates into lower market prices for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food commodities depends on the cost associated with food waste reduction. </w:t>
      </w:r>
    </w:p>
    <w:p w14:paraId="4B44E303" w14:textId="77777777" w:rsidR="003C0E29" w:rsidRPr="005B4339" w:rsidRDefault="003C0E29" w:rsidP="003C0E29">
      <w:pPr>
        <w:rPr>
          <w:noProof/>
        </w:rPr>
      </w:pPr>
      <w:r w:rsidRPr="005B4339">
        <w:rPr>
          <w:noProof/>
        </w:rPr>
        <w:t xml:space="preserve">Regarding the latter, on the production side, for each leverage point in the food supply chain, the costs for food waste reduction represent an internalisation of a market failure (which is food waste). The additional cost (represented by a tax) proxies for the adjustment costs (i.e., </w:t>
      </w:r>
      <w:r w:rsidRPr="005B4339">
        <w:rPr>
          <w:noProof/>
        </w:rPr>
        <w:lastRenderedPageBreak/>
        <w:t xml:space="preserve">improvements in harvesting, labelling, storage, distribution) that inevitably result from (partly) removing these supply chain inefficiencies. </w:t>
      </w:r>
    </w:p>
    <w:p w14:paraId="703E9140" w14:textId="2CC5D936" w:rsidR="003C0E29" w:rsidRPr="005B4339" w:rsidRDefault="003C0E29" w:rsidP="003C0E29">
      <w:pPr>
        <w:pStyle w:val="JRCText"/>
        <w:rPr>
          <w:rFonts w:ascii="Times New Roman" w:hAnsi="Times New Roman"/>
          <w:noProof/>
          <w:sz w:val="24"/>
          <w:szCs w:val="24"/>
          <w:lang w:val="en-IE"/>
        </w:rPr>
      </w:pPr>
      <w:r w:rsidRPr="005B4339">
        <w:rPr>
          <w:rFonts w:ascii="Times New Roman" w:hAnsi="Times New Roman"/>
          <w:noProof/>
          <w:sz w:val="24"/>
          <w:szCs w:val="24"/>
        </w:rPr>
        <w:t>On the demand side, the slightly rising cost per unit of food consumption to the consumer is a market signal that reflects the behavioural adjustment required to reduce food waste (increased planning and preparation times, and/or market signals to incentivise food consumption behaviour). It should be noted, however, that market prices still fall because aggregate demands for food fall (quantity effect), which outweighs the rising per unit cost effect noted above</w:t>
      </w:r>
    </w:p>
    <w:p w14:paraId="296AEC95" w14:textId="46DBDF02" w:rsidR="00794505" w:rsidRPr="005B4339" w:rsidRDefault="00794505">
      <w:pPr>
        <w:pStyle w:val="JRCLevel-3title"/>
        <w:numPr>
          <w:ilvl w:val="2"/>
          <w:numId w:val="161"/>
        </w:numPr>
        <w:rPr>
          <w:rFonts w:ascii="Times New Roman" w:hAnsi="Times New Roman"/>
          <w:noProof/>
          <w:sz w:val="24"/>
          <w:lang w:val="en-IE"/>
        </w:rPr>
      </w:pPr>
      <w:bookmarkStart w:id="487" w:name="_Toc122604023"/>
      <w:bookmarkStart w:id="488" w:name="_Toc122613111"/>
      <w:bookmarkStart w:id="489" w:name="_Toc125109500"/>
      <w:bookmarkStart w:id="490" w:name="_Toc105958859"/>
      <w:bookmarkStart w:id="491" w:name="_Toc64046068"/>
      <w:bookmarkStart w:id="492" w:name="_Toc1657833216"/>
      <w:bookmarkStart w:id="493" w:name="_Toc1024739348"/>
      <w:bookmarkStart w:id="494" w:name="_Toc634950925"/>
      <w:bookmarkStart w:id="495" w:name="_Toc1905422595"/>
      <w:bookmarkStart w:id="496" w:name="_Toc1783669895"/>
      <w:bookmarkStart w:id="497" w:name="_Ref133229217"/>
      <w:bookmarkStart w:id="498" w:name="_Toc139032116"/>
      <w:r w:rsidRPr="005B4339">
        <w:rPr>
          <w:rFonts w:ascii="Times New Roman" w:hAnsi="Times New Roman"/>
          <w:noProof/>
          <w:sz w:val="24"/>
          <w:lang w:val="en-IE"/>
        </w:rPr>
        <w:t>Demand impacts</w:t>
      </w:r>
      <w:bookmarkEnd w:id="487"/>
      <w:bookmarkEnd w:id="488"/>
      <w:bookmarkEnd w:id="489"/>
      <w:bookmarkEnd w:id="490"/>
      <w:bookmarkEnd w:id="491"/>
      <w:bookmarkEnd w:id="492"/>
      <w:bookmarkEnd w:id="493"/>
      <w:bookmarkEnd w:id="494"/>
      <w:bookmarkEnd w:id="495"/>
      <w:bookmarkEnd w:id="496"/>
      <w:bookmarkEnd w:id="497"/>
      <w:bookmarkEnd w:id="498"/>
    </w:p>
    <w:p w14:paraId="7F1374F2" w14:textId="0D66F7AC" w:rsidR="00BF09A5" w:rsidRPr="005B4339" w:rsidRDefault="004E7D7B" w:rsidP="42C1D191">
      <w:pPr>
        <w:rPr>
          <w:noProof/>
          <w:lang w:val="en-IE"/>
        </w:rPr>
      </w:pPr>
      <w:r w:rsidRPr="005B4339">
        <w:rPr>
          <w:noProof/>
          <w:lang w:val="en-IE"/>
        </w:rPr>
        <w:fldChar w:fldCharType="begin"/>
      </w:r>
      <w:r w:rsidRPr="005B4339">
        <w:rPr>
          <w:noProof/>
          <w:lang w:val="en-IE"/>
        </w:rPr>
        <w:instrText xml:space="preserve"> REF _Ref133226895 \h </w:instrText>
      </w:r>
      <w:r w:rsidR="00E73C63" w:rsidRPr="005B4339">
        <w:rPr>
          <w:noProof/>
          <w:lang w:val="en-IE"/>
        </w:rPr>
        <w:instrText xml:space="preserve"> \* MERGEFORMAT </w:instrText>
      </w:r>
      <w:r w:rsidRPr="005B4339">
        <w:rPr>
          <w:noProof/>
          <w:lang w:val="en-IE"/>
        </w:rPr>
      </w:r>
      <w:r w:rsidRPr="005B4339">
        <w:rPr>
          <w:noProof/>
          <w:lang w:val="en-IE"/>
        </w:rPr>
        <w:fldChar w:fldCharType="separate"/>
      </w:r>
      <w:r w:rsidR="00393DFA" w:rsidRPr="005B4339">
        <w:rPr>
          <w:noProof/>
          <w:lang w:val="en-IE"/>
        </w:rPr>
        <w:t xml:space="preserve">Figure </w:t>
      </w:r>
      <w:r w:rsidR="00393DFA" w:rsidRPr="00393DFA">
        <w:rPr>
          <w:noProof/>
          <w:lang w:val="en-IE"/>
        </w:rPr>
        <w:t>26</w:t>
      </w:r>
      <w:r w:rsidRPr="005B4339">
        <w:rPr>
          <w:noProof/>
          <w:lang w:val="en-IE"/>
        </w:rPr>
        <w:fldChar w:fldCharType="end"/>
      </w:r>
      <w:r w:rsidR="00BF09A5" w:rsidRPr="005B4339">
        <w:rPr>
          <w:noProof/>
          <w:lang w:val="en-IE"/>
        </w:rPr>
        <w:t xml:space="preserve"> shows the changes in consumer demand in the </w:t>
      </w:r>
      <w:r w:rsidR="00393E3F" w:rsidRPr="005B4339">
        <w:rPr>
          <w:noProof/>
          <w:lang w:val="en-IE"/>
        </w:rPr>
        <w:t>three policy options</w:t>
      </w:r>
      <w:r w:rsidR="00BF09A5" w:rsidRPr="005B4339">
        <w:rPr>
          <w:noProof/>
          <w:lang w:val="en-IE"/>
        </w:rPr>
        <w:t xml:space="preserve"> compared to the baseline in 2030 for selected commodities. As expected</w:t>
      </w:r>
      <w:r w:rsidR="78BD5B42" w:rsidRPr="005B4339">
        <w:rPr>
          <w:noProof/>
          <w:lang w:val="en-IE"/>
        </w:rPr>
        <w:t>,</w:t>
      </w:r>
      <w:r w:rsidR="00BF09A5" w:rsidRPr="005B4339">
        <w:rPr>
          <w:noProof/>
          <w:lang w:val="en-IE"/>
        </w:rPr>
        <w:t xml:space="preserve"> consumer demand falls are greater when moving from the scenario “Option 1” to the scenario “Option 3” as more food waste is reduced and can be recovered for human consumption (quantity effects) and also increasing the relative price of generated waste to food commodities (price effect). </w:t>
      </w:r>
      <w:r w:rsidR="397E5980" w:rsidRPr="005B4339">
        <w:rPr>
          <w:rFonts w:eastAsia="Times New Roman"/>
          <w:noProof/>
          <w:lang w:val="en-IE"/>
        </w:rPr>
        <w:t>On average, agri</w:t>
      </w:r>
      <w:r w:rsidR="00D42216" w:rsidRPr="005B4339">
        <w:rPr>
          <w:rFonts w:eastAsia="Times New Roman"/>
          <w:noProof/>
          <w:lang w:val="en-IE"/>
        </w:rPr>
        <w:t>-</w:t>
      </w:r>
      <w:r w:rsidR="397E5980" w:rsidRPr="005B4339">
        <w:rPr>
          <w:rFonts w:eastAsia="Times New Roman"/>
          <w:noProof/>
          <w:lang w:val="en-IE"/>
        </w:rPr>
        <w:t>food demand drops up to 5.5% in Option 3. In general, t</w:t>
      </w:r>
      <w:r w:rsidR="09125FF3" w:rsidRPr="005B4339">
        <w:rPr>
          <w:noProof/>
          <w:lang w:val="en-IE"/>
        </w:rPr>
        <w:t>he</w:t>
      </w:r>
      <w:r w:rsidR="00BF09A5" w:rsidRPr="005B4339">
        <w:rPr>
          <w:noProof/>
          <w:lang w:val="en-IE"/>
        </w:rPr>
        <w:t xml:space="preserve"> reduction in consumer demand is highest for vegetables, cereals and fruits as these are the commodities with the highest waste shares</w:t>
      </w:r>
      <w:r w:rsidR="00042980" w:rsidRPr="005B4339">
        <w:rPr>
          <w:noProof/>
          <w:lang w:val="en-IE"/>
        </w:rPr>
        <w:t>,</w:t>
      </w:r>
      <w:r w:rsidR="00BF09A5" w:rsidRPr="005B4339">
        <w:rPr>
          <w:noProof/>
          <w:lang w:val="en-IE"/>
        </w:rPr>
        <w:t xml:space="preserve"> thus the uniform reduction of waste across commodities affects these commodities the most. </w:t>
      </w:r>
      <w:r w:rsidR="00657C7A" w:rsidRPr="005B4339">
        <w:rPr>
          <w:noProof/>
          <w:lang w:val="en-IE"/>
        </w:rPr>
        <w:fldChar w:fldCharType="begin"/>
      </w:r>
      <w:r w:rsidR="00657C7A" w:rsidRPr="005B4339">
        <w:rPr>
          <w:noProof/>
          <w:lang w:val="en-IE"/>
        </w:rPr>
        <w:instrText xml:space="preserve"> REF _Ref133227333 \h </w:instrText>
      </w:r>
      <w:r w:rsidR="005A0596" w:rsidRPr="005B4339">
        <w:rPr>
          <w:noProof/>
          <w:lang w:val="en-IE"/>
        </w:rPr>
        <w:instrText xml:space="preserve"> \* MERGEFORMAT </w:instrText>
      </w:r>
      <w:r w:rsidR="00657C7A" w:rsidRPr="005B4339">
        <w:rPr>
          <w:noProof/>
          <w:lang w:val="en-IE"/>
        </w:rPr>
      </w:r>
      <w:r w:rsidR="00657C7A" w:rsidRPr="005B4339">
        <w:rPr>
          <w:noProof/>
          <w:lang w:val="en-IE"/>
        </w:rPr>
        <w:fldChar w:fldCharType="separate"/>
      </w:r>
      <w:r w:rsidR="00393DFA" w:rsidRPr="005B4339">
        <w:rPr>
          <w:noProof/>
          <w:lang w:val="en-IE"/>
        </w:rPr>
        <w:t xml:space="preserve">Figure </w:t>
      </w:r>
      <w:r w:rsidR="00393DFA" w:rsidRPr="00393DFA">
        <w:rPr>
          <w:noProof/>
          <w:lang w:val="en-IE"/>
        </w:rPr>
        <w:t>27</w:t>
      </w:r>
      <w:r w:rsidR="00657C7A" w:rsidRPr="005B4339">
        <w:rPr>
          <w:noProof/>
          <w:lang w:val="en-IE"/>
        </w:rPr>
        <w:fldChar w:fldCharType="end"/>
      </w:r>
      <w:r w:rsidR="00657C7A" w:rsidRPr="005B4339">
        <w:rPr>
          <w:noProof/>
          <w:lang w:val="en-IE"/>
        </w:rPr>
        <w:t xml:space="preserve"> shows demand changes of selected food groups at the MS level for Option 3.</w:t>
      </w:r>
    </w:p>
    <w:p w14:paraId="287A669F" w14:textId="5A362AC5" w:rsidR="00BF09A5" w:rsidRPr="005B4339" w:rsidRDefault="00BF09A5" w:rsidP="003B6050">
      <w:pPr>
        <w:pStyle w:val="JRCFigurecaption"/>
        <w:rPr>
          <w:noProof/>
          <w:lang w:val="en-IE"/>
        </w:rPr>
      </w:pPr>
      <w:bookmarkStart w:id="499" w:name="_Ref133226895"/>
      <w:bookmarkStart w:id="500" w:name="_Toc133229353"/>
      <w:bookmarkStart w:id="501" w:name="_Toc139031962"/>
      <w:r w:rsidRPr="005B4339">
        <w:rPr>
          <w:noProof/>
          <w:lang w:val="en-IE"/>
        </w:rPr>
        <w:t xml:space="preserve">Figure </w:t>
      </w:r>
      <w:r w:rsidR="00393DFA">
        <w:rPr>
          <w:noProof/>
        </w:rPr>
        <w:t>26</w:t>
      </w:r>
      <w:bookmarkEnd w:id="499"/>
      <w:r w:rsidRPr="005B4339">
        <w:rPr>
          <w:noProof/>
          <w:lang w:val="en-IE"/>
        </w:rPr>
        <w:t>: Changes of EU27 consumer demand (%) for selected commodities</w:t>
      </w:r>
      <w:r w:rsidR="005A0596" w:rsidRPr="005B4339">
        <w:rPr>
          <w:noProof/>
          <w:lang w:val="en-IE"/>
        </w:rPr>
        <w:t>, options vs</w:t>
      </w:r>
      <w:r w:rsidRPr="005B4339">
        <w:rPr>
          <w:noProof/>
          <w:lang w:val="en-IE"/>
        </w:rPr>
        <w:t xml:space="preserve"> baseline 2030</w:t>
      </w:r>
      <w:bookmarkEnd w:id="500"/>
      <w:bookmarkEnd w:id="501"/>
    </w:p>
    <w:p w14:paraId="7ABF9B3A" w14:textId="637D64EE" w:rsidR="00BF09A5" w:rsidRPr="005B4339" w:rsidRDefault="3309DC7F" w:rsidP="00BF09A5">
      <w:pPr>
        <w:pStyle w:val="JRCText"/>
        <w:rPr>
          <w:noProof/>
          <w:lang w:val="en-IE"/>
        </w:rPr>
      </w:pPr>
      <w:r w:rsidRPr="005B4339">
        <w:rPr>
          <w:noProof/>
          <w:lang w:eastAsia="en-GB"/>
        </w:rPr>
        <w:drawing>
          <wp:inline distT="0" distB="0" distL="0" distR="0" wp14:anchorId="03D8BE53" wp14:editId="496437CC">
            <wp:extent cx="5692976" cy="2621141"/>
            <wp:effectExtent l="0" t="0" r="0" b="0"/>
            <wp:docPr id="1690898441" name="Picture 16908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692976" cy="2621141"/>
                    </a:xfrm>
                    <a:prstGeom prst="rect">
                      <a:avLst/>
                    </a:prstGeom>
                  </pic:spPr>
                </pic:pic>
              </a:graphicData>
            </a:graphic>
          </wp:inline>
        </w:drawing>
      </w:r>
    </w:p>
    <w:p w14:paraId="1CC30482" w14:textId="0EDA934F" w:rsidR="00794505" w:rsidRPr="005B4339" w:rsidRDefault="00794505" w:rsidP="00F54798">
      <w:pPr>
        <w:pStyle w:val="JRCFiguresource"/>
        <w:rPr>
          <w:noProof/>
          <w:lang w:val="en-IE"/>
        </w:rPr>
      </w:pPr>
      <w:r w:rsidRPr="005B4339">
        <w:rPr>
          <w:noProof/>
          <w:lang w:val="en-IE"/>
        </w:rPr>
        <w:t>Source: MAGNET simulation results</w:t>
      </w:r>
    </w:p>
    <w:p w14:paraId="26F2DA2C" w14:textId="6D79C98D" w:rsidR="00BF09A5" w:rsidRPr="005B4339" w:rsidRDefault="00794505" w:rsidP="003B6050">
      <w:pPr>
        <w:pStyle w:val="JRCFigurecaption"/>
        <w:rPr>
          <w:b/>
          <w:noProof/>
          <w:color w:val="2B579A"/>
          <w:shd w:val="clear" w:color="auto" w:fill="E6E6E6"/>
          <w:lang w:val="en-IE"/>
        </w:rPr>
      </w:pPr>
      <w:bookmarkStart w:id="502" w:name="_Ref133227333"/>
      <w:bookmarkStart w:id="503" w:name="_Toc133229354"/>
      <w:bookmarkStart w:id="504" w:name="_Toc139031963"/>
      <w:bookmarkStart w:id="505" w:name="_Toc122623352"/>
      <w:r w:rsidRPr="005B4339">
        <w:rPr>
          <w:noProof/>
          <w:lang w:val="en-IE"/>
        </w:rPr>
        <w:t xml:space="preserve">Figure </w:t>
      </w:r>
      <w:r w:rsidR="00393DFA">
        <w:rPr>
          <w:noProof/>
        </w:rPr>
        <w:t>27</w:t>
      </w:r>
      <w:bookmarkEnd w:id="502"/>
      <w:r w:rsidR="00BF09A5" w:rsidRPr="005B4339">
        <w:rPr>
          <w:noProof/>
          <w:lang w:val="en-IE"/>
        </w:rPr>
        <w:t>: Changes in consumer demand (%) in EU MS for selected commodities</w:t>
      </w:r>
      <w:r w:rsidR="005A0596" w:rsidRPr="005B4339">
        <w:rPr>
          <w:noProof/>
          <w:lang w:val="en-IE"/>
        </w:rPr>
        <w:t>,</w:t>
      </w:r>
      <w:r w:rsidR="00BF09A5" w:rsidRPr="005B4339">
        <w:rPr>
          <w:noProof/>
          <w:lang w:val="en-IE"/>
        </w:rPr>
        <w:t xml:space="preserve"> Option 3 </w:t>
      </w:r>
      <w:r w:rsidR="005A0596" w:rsidRPr="005B4339">
        <w:rPr>
          <w:noProof/>
          <w:lang w:val="en-IE"/>
        </w:rPr>
        <w:t>vs</w:t>
      </w:r>
      <w:r w:rsidR="00BF09A5" w:rsidRPr="005B4339">
        <w:rPr>
          <w:noProof/>
          <w:lang w:val="en-IE"/>
        </w:rPr>
        <w:t xml:space="preserve"> baseline 2030</w:t>
      </w:r>
      <w:bookmarkEnd w:id="503"/>
      <w:bookmarkEnd w:id="504"/>
    </w:p>
    <w:bookmarkEnd w:id="505"/>
    <w:p w14:paraId="4DA89DC1" w14:textId="28BD9C94" w:rsidR="00BF09A5" w:rsidRPr="005B4339" w:rsidRDefault="004928CC" w:rsidP="003B6050">
      <w:pPr>
        <w:pStyle w:val="JRCFigurecaption"/>
        <w:rPr>
          <w:noProof/>
          <w:lang w:val="en-IE"/>
        </w:rPr>
      </w:pPr>
      <w:r w:rsidRPr="004928CC">
        <w:lastRenderedPageBreak/>
        <w:drawing>
          <wp:inline distT="0" distB="0" distL="0" distR="0" wp14:anchorId="22340761" wp14:editId="3A572006">
            <wp:extent cx="5731510" cy="28467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846705"/>
                    </a:xfrm>
                    <a:prstGeom prst="rect">
                      <a:avLst/>
                    </a:prstGeom>
                    <a:noFill/>
                    <a:ln>
                      <a:noFill/>
                    </a:ln>
                  </pic:spPr>
                </pic:pic>
              </a:graphicData>
            </a:graphic>
          </wp:inline>
        </w:drawing>
      </w:r>
    </w:p>
    <w:p w14:paraId="474E8A1B" w14:textId="77777777" w:rsidR="00794505" w:rsidRPr="005B4339" w:rsidRDefault="00794505" w:rsidP="00F54798">
      <w:pPr>
        <w:pStyle w:val="JRCFiguresource"/>
        <w:rPr>
          <w:noProof/>
          <w:lang w:val="en-IE"/>
        </w:rPr>
      </w:pPr>
      <w:r w:rsidRPr="005B4339">
        <w:rPr>
          <w:noProof/>
          <w:lang w:val="en-IE"/>
        </w:rPr>
        <w:t>Source: MAGNET simulation results</w:t>
      </w:r>
    </w:p>
    <w:p w14:paraId="2B150E78" w14:textId="46DBDF02" w:rsidR="00794505" w:rsidRPr="005B4339" w:rsidRDefault="00794505">
      <w:pPr>
        <w:pStyle w:val="JRCLevel-3title"/>
        <w:numPr>
          <w:ilvl w:val="2"/>
          <w:numId w:val="161"/>
        </w:numPr>
        <w:rPr>
          <w:rFonts w:ascii="Times New Roman" w:hAnsi="Times New Roman"/>
          <w:noProof/>
          <w:sz w:val="24"/>
          <w:lang w:val="en-IE"/>
        </w:rPr>
      </w:pPr>
      <w:bookmarkStart w:id="506" w:name="_Toc122604024"/>
      <w:bookmarkStart w:id="507" w:name="_Toc122613112"/>
      <w:bookmarkStart w:id="508" w:name="_Toc125109501"/>
      <w:bookmarkStart w:id="509" w:name="_Toc927488230"/>
      <w:bookmarkStart w:id="510" w:name="_Toc1920030639"/>
      <w:bookmarkStart w:id="511" w:name="_Toc798037658"/>
      <w:bookmarkStart w:id="512" w:name="_Toc735158364"/>
      <w:bookmarkStart w:id="513" w:name="_Toc264455510"/>
      <w:bookmarkStart w:id="514" w:name="_Toc1008506686"/>
      <w:bookmarkStart w:id="515" w:name="_Toc429046602"/>
      <w:bookmarkStart w:id="516" w:name="_Toc139032117"/>
      <w:r w:rsidRPr="005B4339">
        <w:rPr>
          <w:rFonts w:ascii="Times New Roman" w:hAnsi="Times New Roman"/>
          <w:noProof/>
          <w:sz w:val="24"/>
          <w:lang w:val="en-IE"/>
        </w:rPr>
        <w:t>Price impacts</w:t>
      </w:r>
      <w:bookmarkEnd w:id="506"/>
      <w:bookmarkEnd w:id="507"/>
      <w:bookmarkEnd w:id="508"/>
      <w:bookmarkEnd w:id="509"/>
      <w:bookmarkEnd w:id="510"/>
      <w:bookmarkEnd w:id="511"/>
      <w:bookmarkEnd w:id="512"/>
      <w:bookmarkEnd w:id="513"/>
      <w:bookmarkEnd w:id="514"/>
      <w:bookmarkEnd w:id="515"/>
      <w:bookmarkEnd w:id="516"/>
    </w:p>
    <w:p w14:paraId="7A38E64B" w14:textId="6123BB23" w:rsidR="00BF09A5" w:rsidRPr="005B4339" w:rsidRDefault="00657C7A" w:rsidP="4C7EE6DC">
      <w:pPr>
        <w:rPr>
          <w:noProof/>
          <w:lang w:val="en-IE"/>
        </w:rPr>
      </w:pPr>
      <w:r w:rsidRPr="005B4339">
        <w:rPr>
          <w:noProof/>
          <w:lang w:val="en-IE"/>
        </w:rPr>
        <w:fldChar w:fldCharType="begin"/>
      </w:r>
      <w:r w:rsidRPr="005B4339">
        <w:rPr>
          <w:noProof/>
          <w:lang w:val="en-IE"/>
        </w:rPr>
        <w:instrText xml:space="preserve"> REF _Ref133227494 \h </w:instrText>
      </w:r>
      <w:r w:rsidR="00034A4B" w:rsidRPr="005B4339">
        <w:rPr>
          <w:noProof/>
          <w:lang w:val="en-IE"/>
        </w:rPr>
        <w:instrText xml:space="preserve"> \* MERGEFORMAT </w:instrText>
      </w:r>
      <w:r w:rsidRPr="005B4339">
        <w:rPr>
          <w:noProof/>
          <w:lang w:val="en-IE"/>
        </w:rPr>
      </w:r>
      <w:r w:rsidRPr="005B4339">
        <w:rPr>
          <w:noProof/>
          <w:lang w:val="en-IE"/>
        </w:rPr>
        <w:fldChar w:fldCharType="separate"/>
      </w:r>
      <w:r w:rsidR="00393DFA" w:rsidRPr="005B4339">
        <w:rPr>
          <w:noProof/>
          <w:lang w:val="en-IE"/>
        </w:rPr>
        <w:t xml:space="preserve">Figure </w:t>
      </w:r>
      <w:r w:rsidR="00393DFA" w:rsidRPr="00393DFA">
        <w:rPr>
          <w:noProof/>
          <w:lang w:val="en-IE"/>
        </w:rPr>
        <w:t>28</w:t>
      </w:r>
      <w:r w:rsidRPr="005B4339">
        <w:rPr>
          <w:noProof/>
          <w:lang w:val="en-IE"/>
        </w:rPr>
        <w:fldChar w:fldCharType="end"/>
      </w:r>
      <w:r w:rsidR="00BF09A5" w:rsidRPr="005B4339">
        <w:rPr>
          <w:noProof/>
          <w:lang w:val="en-IE"/>
        </w:rPr>
        <w:t xml:space="preserve"> shows the percentage deviations of EU27 market prices compared to the baseline in 2030 and Figure </w:t>
      </w:r>
      <w:r w:rsidR="00032D68" w:rsidRPr="005B4339">
        <w:rPr>
          <w:noProof/>
          <w:lang w:val="en-IE"/>
        </w:rPr>
        <w:t>85</w:t>
      </w:r>
      <w:r w:rsidR="0041082B" w:rsidRPr="005B4339">
        <w:rPr>
          <w:noProof/>
          <w:lang w:val="en-IE"/>
        </w:rPr>
        <w:t xml:space="preserve"> </w:t>
      </w:r>
      <w:r w:rsidR="00BF09A5" w:rsidRPr="005B4339">
        <w:rPr>
          <w:noProof/>
          <w:lang w:val="en-IE"/>
        </w:rPr>
        <w:t>shows the changes at MS level. As consumer food demand decreases, also prices for agricultural and food commodities decrease. The effects are particularly pronounced for vegetables and fruits and marginal for animal protein.</w:t>
      </w:r>
      <w:r w:rsidR="59F47D3A" w:rsidRPr="005B4339">
        <w:rPr>
          <w:noProof/>
          <w:lang w:val="en-IE"/>
        </w:rPr>
        <w:t xml:space="preserve"> </w:t>
      </w:r>
      <w:r w:rsidR="59F47D3A" w:rsidRPr="005B4339">
        <w:rPr>
          <w:rFonts w:eastAsia="Times New Roman"/>
          <w:noProof/>
          <w:lang w:val="en-IE"/>
        </w:rPr>
        <w:t>The average price of agri</w:t>
      </w:r>
      <w:r w:rsidR="00D42216" w:rsidRPr="005B4339">
        <w:rPr>
          <w:rFonts w:eastAsia="Times New Roman"/>
          <w:noProof/>
          <w:lang w:val="en-IE"/>
        </w:rPr>
        <w:t>-</w:t>
      </w:r>
      <w:r w:rsidR="59F47D3A" w:rsidRPr="005B4339">
        <w:rPr>
          <w:rFonts w:eastAsia="Times New Roman"/>
          <w:noProof/>
          <w:lang w:val="en-IE"/>
        </w:rPr>
        <w:t>food decreases from 0.3% (Option 1) to 1% (Option 3).</w:t>
      </w:r>
      <w:r w:rsidR="59F47D3A" w:rsidRPr="005B4339">
        <w:rPr>
          <w:noProof/>
          <w:lang w:val="en-IE"/>
        </w:rPr>
        <w:t xml:space="preserve"> </w:t>
      </w:r>
    </w:p>
    <w:p w14:paraId="654CE3E4" w14:textId="5A678C9F" w:rsidR="007F5ACC" w:rsidRPr="005B4339" w:rsidRDefault="00BF09A5" w:rsidP="003B6050">
      <w:pPr>
        <w:pStyle w:val="JRCFigurecaption"/>
        <w:rPr>
          <w:noProof/>
          <w:lang w:val="en-IE"/>
        </w:rPr>
      </w:pPr>
      <w:bookmarkStart w:id="517" w:name="_Ref133227494"/>
      <w:bookmarkStart w:id="518" w:name="_Toc133229355"/>
      <w:bookmarkStart w:id="519" w:name="_Toc139031965"/>
      <w:r w:rsidRPr="005B4339">
        <w:rPr>
          <w:noProof/>
          <w:lang w:val="en-IE"/>
        </w:rPr>
        <w:t xml:space="preserve">Figure </w:t>
      </w:r>
      <w:r w:rsidR="00393DFA">
        <w:rPr>
          <w:noProof/>
        </w:rPr>
        <w:t>28</w:t>
      </w:r>
      <w:bookmarkEnd w:id="517"/>
      <w:bookmarkEnd w:id="518"/>
      <w:r w:rsidRPr="005B4339">
        <w:rPr>
          <w:noProof/>
          <w:lang w:val="en-IE"/>
        </w:rPr>
        <w:t>: Changes of EU27 market prices (%) for selected commodities</w:t>
      </w:r>
      <w:r w:rsidR="005A0596" w:rsidRPr="005B4339">
        <w:rPr>
          <w:noProof/>
          <w:lang w:val="en-IE"/>
        </w:rPr>
        <w:t>,</w:t>
      </w:r>
      <w:r w:rsidRPr="005B4339">
        <w:rPr>
          <w:noProof/>
          <w:lang w:val="en-IE"/>
        </w:rPr>
        <w:t xml:space="preserve"> </w:t>
      </w:r>
      <w:r w:rsidR="005A0596" w:rsidRPr="005B4339">
        <w:rPr>
          <w:noProof/>
          <w:lang w:val="en-IE"/>
        </w:rPr>
        <w:t>options vs</w:t>
      </w:r>
      <w:r w:rsidRPr="005B4339">
        <w:rPr>
          <w:noProof/>
          <w:lang w:val="en-IE"/>
        </w:rPr>
        <w:t xml:space="preserve"> baseline 2030</w:t>
      </w:r>
      <w:bookmarkEnd w:id="519"/>
    </w:p>
    <w:p w14:paraId="1ED96813" w14:textId="19A30B09" w:rsidR="00BF09A5" w:rsidRPr="005B4339" w:rsidRDefault="004928CC" w:rsidP="00BF09A5">
      <w:pPr>
        <w:pStyle w:val="JRCText"/>
        <w:rPr>
          <w:rFonts w:ascii="Times New Roman" w:hAnsi="Times New Roman"/>
          <w:noProof/>
          <w:sz w:val="24"/>
          <w:szCs w:val="24"/>
          <w:lang w:val="en-IE"/>
        </w:rPr>
      </w:pPr>
      <w:r w:rsidRPr="004928CC">
        <w:drawing>
          <wp:inline distT="0" distB="0" distL="0" distR="0" wp14:anchorId="34A49068" wp14:editId="71104E91">
            <wp:extent cx="5667375" cy="2657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2657475"/>
                    </a:xfrm>
                    <a:prstGeom prst="rect">
                      <a:avLst/>
                    </a:prstGeom>
                    <a:noFill/>
                    <a:ln>
                      <a:noFill/>
                    </a:ln>
                  </pic:spPr>
                </pic:pic>
              </a:graphicData>
            </a:graphic>
          </wp:inline>
        </w:drawing>
      </w:r>
    </w:p>
    <w:p w14:paraId="6E1BD4D2" w14:textId="77777777" w:rsidR="00794505" w:rsidRPr="005B4339" w:rsidRDefault="00794505" w:rsidP="00F54798">
      <w:pPr>
        <w:pStyle w:val="JRCFiguresource"/>
        <w:rPr>
          <w:noProof/>
          <w:lang w:val="en-IE"/>
        </w:rPr>
      </w:pPr>
      <w:r w:rsidRPr="005B4339">
        <w:rPr>
          <w:noProof/>
          <w:lang w:val="en-IE"/>
        </w:rPr>
        <w:t>Source: MAGNET simulation results</w:t>
      </w:r>
    </w:p>
    <w:p w14:paraId="146DB799" w14:textId="5CA41F14" w:rsidR="00BF09A5" w:rsidRPr="005B4339" w:rsidRDefault="00BF09A5" w:rsidP="00BF09A5">
      <w:pPr>
        <w:pStyle w:val="JRCText"/>
        <w:rPr>
          <w:rFonts w:ascii="Times New Roman" w:hAnsi="Times New Roman"/>
          <w:noProof/>
          <w:sz w:val="24"/>
          <w:szCs w:val="24"/>
          <w:lang w:val="en-IE"/>
        </w:rPr>
      </w:pPr>
      <w:r w:rsidRPr="005B4339">
        <w:rPr>
          <w:rFonts w:ascii="Times New Roman" w:hAnsi="Times New Roman"/>
          <w:noProof/>
          <w:sz w:val="24"/>
          <w:szCs w:val="24"/>
          <w:lang w:val="en-IE"/>
        </w:rPr>
        <w:t>However, the prices changes significantly differ across M</w:t>
      </w:r>
      <w:r w:rsidR="007239D7"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These effects are mainly driven by the underlying waste shares that determine how much of food is recovered by achieving a certain target</w:t>
      </w:r>
      <w:r w:rsidR="00B55A4B"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thus have a clear influence on price and quantity effects.</w:t>
      </w:r>
    </w:p>
    <w:p w14:paraId="502928CB" w14:textId="4DB908FE" w:rsidR="00BF09A5" w:rsidRPr="005B4339" w:rsidRDefault="00794505" w:rsidP="003B6050">
      <w:pPr>
        <w:pStyle w:val="JRCFigurecaption"/>
        <w:rPr>
          <w:b/>
          <w:noProof/>
          <w:color w:val="2B579A"/>
          <w:shd w:val="clear" w:color="auto" w:fill="E6E6E6"/>
          <w:lang w:val="en-IE"/>
        </w:rPr>
      </w:pPr>
      <w:bookmarkStart w:id="520" w:name="_Toc133229356"/>
      <w:bookmarkStart w:id="521" w:name="_Toc139031966"/>
      <w:bookmarkStart w:id="522" w:name="_Toc122623354"/>
      <w:bookmarkStart w:id="523" w:name="_Toc125121535"/>
      <w:r w:rsidRPr="005B4339">
        <w:rPr>
          <w:noProof/>
          <w:lang w:val="en-IE"/>
        </w:rPr>
        <w:lastRenderedPageBreak/>
        <w:t xml:space="preserve">Figure </w:t>
      </w:r>
      <w:r w:rsidR="00393DFA">
        <w:rPr>
          <w:noProof/>
        </w:rPr>
        <w:t>29</w:t>
      </w:r>
      <w:r w:rsidR="00BF09A5" w:rsidRPr="005B4339">
        <w:rPr>
          <w:noProof/>
          <w:lang w:val="en-IE"/>
        </w:rPr>
        <w:t>: Changes of market prices (%) in EU MS for selected commodities</w:t>
      </w:r>
      <w:r w:rsidR="005A0596" w:rsidRPr="005B4339">
        <w:rPr>
          <w:noProof/>
          <w:lang w:val="en-IE"/>
        </w:rPr>
        <w:t>,</w:t>
      </w:r>
      <w:r w:rsidR="00BF09A5" w:rsidRPr="005B4339">
        <w:rPr>
          <w:noProof/>
          <w:lang w:val="en-IE"/>
        </w:rPr>
        <w:t xml:space="preserve"> Option 3 </w:t>
      </w:r>
      <w:r w:rsidR="005A0596" w:rsidRPr="005B4339">
        <w:rPr>
          <w:noProof/>
          <w:lang w:val="en-IE"/>
        </w:rPr>
        <w:t>vs</w:t>
      </w:r>
      <w:r w:rsidR="00BF09A5" w:rsidRPr="005B4339">
        <w:rPr>
          <w:noProof/>
          <w:lang w:val="en-IE"/>
        </w:rPr>
        <w:t xml:space="preserve"> baseline 2030</w:t>
      </w:r>
      <w:bookmarkEnd w:id="520"/>
      <w:bookmarkEnd w:id="521"/>
    </w:p>
    <w:p w14:paraId="560EE722" w14:textId="5001ACDF" w:rsidR="00BF09A5" w:rsidRPr="005B4339" w:rsidRDefault="004928CC" w:rsidP="00BF09A5">
      <w:pPr>
        <w:pStyle w:val="JRCText"/>
        <w:rPr>
          <w:rFonts w:ascii="Times New Roman" w:hAnsi="Times New Roman"/>
          <w:noProof/>
          <w:sz w:val="24"/>
          <w:szCs w:val="24"/>
          <w:lang w:val="en-IE"/>
        </w:rPr>
      </w:pPr>
      <w:r w:rsidRPr="004928CC">
        <w:drawing>
          <wp:inline distT="0" distB="0" distL="0" distR="0" wp14:anchorId="679EB539" wp14:editId="5B88E8E3">
            <wp:extent cx="5731510" cy="25038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503805"/>
                    </a:xfrm>
                    <a:prstGeom prst="rect">
                      <a:avLst/>
                    </a:prstGeom>
                    <a:noFill/>
                    <a:ln>
                      <a:noFill/>
                    </a:ln>
                  </pic:spPr>
                </pic:pic>
              </a:graphicData>
            </a:graphic>
          </wp:inline>
        </w:drawing>
      </w:r>
    </w:p>
    <w:p w14:paraId="14C5F911" w14:textId="77777777" w:rsidR="00BF09A5" w:rsidRPr="005B4339" w:rsidRDefault="00BF09A5" w:rsidP="00BF09A5">
      <w:pPr>
        <w:pStyle w:val="JRCFiguresource"/>
        <w:rPr>
          <w:noProof/>
          <w:lang w:val="en-IE"/>
        </w:rPr>
      </w:pPr>
      <w:r w:rsidRPr="005B4339">
        <w:rPr>
          <w:noProof/>
          <w:lang w:val="en-IE"/>
        </w:rPr>
        <w:t>Source: MAGNET simulation results</w:t>
      </w:r>
    </w:p>
    <w:p w14:paraId="09F0C25E" w14:textId="628ACF9B" w:rsidR="00BF09A5" w:rsidRPr="005B4339" w:rsidRDefault="00BF09A5" w:rsidP="00BF09A5">
      <w:pPr>
        <w:pStyle w:val="JRCText"/>
        <w:rPr>
          <w:rFonts w:ascii="Times New Roman" w:hAnsi="Times New Roman"/>
          <w:noProof/>
          <w:sz w:val="24"/>
          <w:szCs w:val="24"/>
          <w:lang w:val="en-IE"/>
        </w:rPr>
      </w:pPr>
      <w:r w:rsidRPr="005B4339">
        <w:rPr>
          <w:rFonts w:ascii="Times New Roman" w:hAnsi="Times New Roman"/>
          <w:noProof/>
          <w:sz w:val="24"/>
          <w:szCs w:val="24"/>
          <w:lang w:val="en-IE"/>
        </w:rPr>
        <w:t>We see higher and mixed movements in consumer prices than that of market prices for particular sectors (see</w:t>
      </w:r>
      <w:r w:rsidR="008209C6" w:rsidRPr="005B4339">
        <w:rPr>
          <w:rFonts w:ascii="Times New Roman" w:hAnsi="Times New Roman"/>
          <w:noProof/>
          <w:sz w:val="24"/>
          <w:szCs w:val="24"/>
          <w:lang w:val="en-IE"/>
        </w:rPr>
        <w:t xml:space="preserve"> </w:t>
      </w:r>
      <w:r w:rsidR="00657C7A" w:rsidRPr="005B4339">
        <w:rPr>
          <w:rFonts w:ascii="Times New Roman" w:hAnsi="Times New Roman"/>
          <w:noProof/>
          <w:sz w:val="24"/>
          <w:szCs w:val="24"/>
          <w:lang w:val="en-IE"/>
        </w:rPr>
        <w:fldChar w:fldCharType="begin"/>
      </w:r>
      <w:r w:rsidR="00657C7A" w:rsidRPr="005B4339">
        <w:rPr>
          <w:rFonts w:ascii="Times New Roman" w:hAnsi="Times New Roman"/>
          <w:noProof/>
          <w:sz w:val="24"/>
          <w:szCs w:val="24"/>
          <w:lang w:val="en-IE"/>
        </w:rPr>
        <w:instrText xml:space="preserve"> REF _Ref133227524 \h  \* MERGEFORMAT </w:instrText>
      </w:r>
      <w:r w:rsidR="00657C7A" w:rsidRPr="005B4339">
        <w:rPr>
          <w:rFonts w:ascii="Times New Roman" w:hAnsi="Times New Roman"/>
          <w:noProof/>
          <w:sz w:val="24"/>
          <w:szCs w:val="24"/>
          <w:lang w:val="en-IE"/>
        </w:rPr>
      </w:r>
      <w:r w:rsidR="00657C7A"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30</w:t>
      </w:r>
      <w:r w:rsidR="00657C7A"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That is because consumer prices also include the cost of reducing food waste to the households. Thus, the consumer price change reflects the net effect. While in some commodities prices increase, in </w:t>
      </w:r>
      <w:r w:rsidR="001C5616" w:rsidRPr="005B4339">
        <w:rPr>
          <w:rFonts w:ascii="Times New Roman" w:hAnsi="Times New Roman"/>
          <w:noProof/>
          <w:sz w:val="24"/>
          <w:szCs w:val="24"/>
          <w:lang w:val="en-IE"/>
        </w:rPr>
        <w:t>other</w:t>
      </w:r>
      <w:r w:rsidRPr="005B4339">
        <w:rPr>
          <w:rFonts w:ascii="Times New Roman" w:hAnsi="Times New Roman"/>
          <w:noProof/>
          <w:sz w:val="24"/>
          <w:szCs w:val="24"/>
          <w:lang w:val="en-IE"/>
        </w:rPr>
        <w:t xml:space="preserve"> commodities price decreases occur at the EU level. For instance, price of oilseeds is to increase by more than 4% in the most advanced scenario but for animal protein there are price decreases. We also see mixed impact of scenarios. In most cases, higher food waste reduction targets lead to higher changes – either decreasing or increasing. However, consumer price of vegetables and fruits decrease in Option 1 and Option 2 whereas they increase in Option 3. </w:t>
      </w:r>
    </w:p>
    <w:p w14:paraId="745D44AC" w14:textId="24D1B054" w:rsidR="00BF09A5" w:rsidRPr="005B4339" w:rsidRDefault="00BF09A5" w:rsidP="003B6050">
      <w:pPr>
        <w:pStyle w:val="JRCFigurecaption"/>
        <w:rPr>
          <w:noProof/>
          <w:lang w:val="en-IE"/>
        </w:rPr>
      </w:pPr>
      <w:bookmarkStart w:id="524" w:name="_Ref133227524"/>
      <w:bookmarkStart w:id="525" w:name="_Toc133229357"/>
      <w:bookmarkStart w:id="526" w:name="_Toc139031967"/>
      <w:r w:rsidRPr="005B4339">
        <w:rPr>
          <w:noProof/>
          <w:lang w:val="en-IE"/>
        </w:rPr>
        <w:t xml:space="preserve">Figure </w:t>
      </w:r>
      <w:r w:rsidR="00393DFA">
        <w:rPr>
          <w:noProof/>
        </w:rPr>
        <w:t>30</w:t>
      </w:r>
      <w:bookmarkEnd w:id="524"/>
      <w:r w:rsidRPr="005B4339">
        <w:rPr>
          <w:noProof/>
          <w:lang w:val="en-IE"/>
        </w:rPr>
        <w:t>: Changes in EU27 consumer prices (%) for selected commodities</w:t>
      </w:r>
      <w:r w:rsidR="005A0596" w:rsidRPr="005B4339">
        <w:rPr>
          <w:noProof/>
          <w:lang w:val="en-IE"/>
        </w:rPr>
        <w:t>, options vs</w:t>
      </w:r>
      <w:r w:rsidRPr="005B4339">
        <w:rPr>
          <w:noProof/>
          <w:lang w:val="en-IE"/>
        </w:rPr>
        <w:t xml:space="preserve"> baseline 2030</w:t>
      </w:r>
      <w:bookmarkEnd w:id="525"/>
      <w:bookmarkEnd w:id="526"/>
    </w:p>
    <w:bookmarkEnd w:id="522"/>
    <w:bookmarkEnd w:id="523"/>
    <w:p w14:paraId="392060FD" w14:textId="239BB9EC" w:rsidR="00BF09A5" w:rsidRPr="005B4339" w:rsidRDefault="004928CC" w:rsidP="00BF09A5">
      <w:pPr>
        <w:pStyle w:val="JRCText"/>
        <w:rPr>
          <w:rFonts w:ascii="Times New Roman" w:hAnsi="Times New Roman"/>
          <w:noProof/>
          <w:sz w:val="24"/>
          <w:szCs w:val="24"/>
          <w:lang w:val="en-IE"/>
        </w:rPr>
      </w:pPr>
      <w:r w:rsidRPr="004928CC">
        <w:drawing>
          <wp:inline distT="0" distB="0" distL="0" distR="0" wp14:anchorId="4CEC72F8" wp14:editId="0BE67824">
            <wp:extent cx="5572125" cy="2743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2125" cy="2743200"/>
                    </a:xfrm>
                    <a:prstGeom prst="rect">
                      <a:avLst/>
                    </a:prstGeom>
                    <a:noFill/>
                    <a:ln>
                      <a:noFill/>
                    </a:ln>
                  </pic:spPr>
                </pic:pic>
              </a:graphicData>
            </a:graphic>
          </wp:inline>
        </w:drawing>
      </w:r>
    </w:p>
    <w:p w14:paraId="1B6DD434" w14:textId="77777777" w:rsidR="00794505" w:rsidRPr="005B4339" w:rsidRDefault="00794505" w:rsidP="00F54798">
      <w:pPr>
        <w:pStyle w:val="JRCFiguresource"/>
        <w:rPr>
          <w:noProof/>
          <w:lang w:val="en-IE"/>
        </w:rPr>
      </w:pPr>
      <w:r w:rsidRPr="005B4339">
        <w:rPr>
          <w:noProof/>
          <w:lang w:val="en-IE"/>
        </w:rPr>
        <w:t>Source: MAGNET simulation results</w:t>
      </w:r>
    </w:p>
    <w:p w14:paraId="63E0F090" w14:textId="3FAEDD81" w:rsidR="00BF09A5" w:rsidRPr="005B4339" w:rsidRDefault="00BF09A5" w:rsidP="00BF09A5">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Similar to market prices, deviations in consumer prices change significantly across M</w:t>
      </w:r>
      <w:r w:rsidR="00DA2EB4"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and across sectors. One of the highest price changes are observed in the vegetables sector – up to 10% increase in the Netherlands. However, in some MSs there are price decreases.</w:t>
      </w:r>
    </w:p>
    <w:p w14:paraId="4779AB7D" w14:textId="40326440" w:rsidR="00BF09A5" w:rsidRPr="005B4339" w:rsidRDefault="00BF09A5" w:rsidP="003B6050">
      <w:pPr>
        <w:pStyle w:val="JRCFigurecaption"/>
        <w:rPr>
          <w:noProof/>
          <w:lang w:val="en-IE"/>
        </w:rPr>
      </w:pPr>
      <w:bookmarkStart w:id="527" w:name="_Toc133229358"/>
      <w:bookmarkStart w:id="528" w:name="_Toc139031968"/>
      <w:r w:rsidRPr="005B4339">
        <w:rPr>
          <w:noProof/>
          <w:lang w:val="en-IE"/>
        </w:rPr>
        <w:t xml:space="preserve">Figure </w:t>
      </w:r>
      <w:bookmarkStart w:id="529" w:name="_Toc122623356"/>
      <w:bookmarkStart w:id="530" w:name="_Toc125121537"/>
      <w:r w:rsidR="00393DFA">
        <w:rPr>
          <w:noProof/>
        </w:rPr>
        <w:t>31</w:t>
      </w:r>
      <w:r w:rsidRPr="005B4339">
        <w:rPr>
          <w:noProof/>
          <w:lang w:val="en-IE"/>
        </w:rPr>
        <w:t>: Changes in consumer prices (%) in EU MS for selected commodities</w:t>
      </w:r>
      <w:r w:rsidR="005A0596" w:rsidRPr="005B4339">
        <w:rPr>
          <w:noProof/>
          <w:lang w:val="en-IE"/>
        </w:rPr>
        <w:t>,</w:t>
      </w:r>
      <w:r w:rsidRPr="005B4339">
        <w:rPr>
          <w:noProof/>
          <w:lang w:val="en-IE"/>
        </w:rPr>
        <w:t xml:space="preserve"> Option 3 </w:t>
      </w:r>
      <w:r w:rsidR="005A0596" w:rsidRPr="005B4339">
        <w:rPr>
          <w:noProof/>
          <w:lang w:val="en-IE"/>
        </w:rPr>
        <w:t>vs</w:t>
      </w:r>
      <w:r w:rsidRPr="005B4339">
        <w:rPr>
          <w:noProof/>
          <w:lang w:val="en-IE"/>
        </w:rPr>
        <w:t xml:space="preserve"> baseline 2030</w:t>
      </w:r>
      <w:bookmarkEnd w:id="527"/>
      <w:bookmarkEnd w:id="528"/>
    </w:p>
    <w:p w14:paraId="21B4B8D2" w14:textId="34913C03" w:rsidR="00BF09A5" w:rsidRPr="005B4339" w:rsidRDefault="004928CC" w:rsidP="00BF09A5">
      <w:pPr>
        <w:pStyle w:val="JRCText"/>
        <w:rPr>
          <w:rFonts w:ascii="Times New Roman" w:hAnsi="Times New Roman"/>
          <w:noProof/>
          <w:sz w:val="24"/>
          <w:szCs w:val="24"/>
          <w:lang w:val="en-IE"/>
        </w:rPr>
      </w:pPr>
      <w:r w:rsidRPr="004928CC">
        <w:drawing>
          <wp:inline distT="0" distB="0" distL="0" distR="0" wp14:anchorId="729DE79A" wp14:editId="513BD12A">
            <wp:extent cx="5731510" cy="272288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722880"/>
                    </a:xfrm>
                    <a:prstGeom prst="rect">
                      <a:avLst/>
                    </a:prstGeom>
                    <a:noFill/>
                    <a:ln>
                      <a:noFill/>
                    </a:ln>
                  </pic:spPr>
                </pic:pic>
              </a:graphicData>
            </a:graphic>
          </wp:inline>
        </w:drawing>
      </w:r>
    </w:p>
    <w:p w14:paraId="2D232509" w14:textId="77777777" w:rsidR="00BF09A5" w:rsidRPr="005B4339" w:rsidRDefault="00BF09A5" w:rsidP="00BF09A5">
      <w:pPr>
        <w:pStyle w:val="JRCFiguresource"/>
        <w:rPr>
          <w:noProof/>
          <w:lang w:val="en-IE"/>
        </w:rPr>
      </w:pPr>
      <w:r w:rsidRPr="005B4339">
        <w:rPr>
          <w:noProof/>
          <w:lang w:val="en-IE"/>
        </w:rPr>
        <w:t>Source: MAGNET simulation results</w:t>
      </w:r>
    </w:p>
    <w:p w14:paraId="38508E74" w14:textId="4883329E" w:rsidR="00BF09A5" w:rsidRPr="005B4339" w:rsidRDefault="00BF09A5" w:rsidP="00BF09A5">
      <w:pPr>
        <w:pStyle w:val="JRCText"/>
        <w:rPr>
          <w:rFonts w:ascii="Times New Roman" w:hAnsi="Times New Roman"/>
          <w:noProof/>
          <w:sz w:val="24"/>
          <w:szCs w:val="24"/>
          <w:lang w:val="en-IE"/>
        </w:rPr>
      </w:pPr>
      <w:r w:rsidRPr="005B4339">
        <w:rPr>
          <w:rFonts w:ascii="Times New Roman" w:hAnsi="Times New Roman"/>
          <w:noProof/>
          <w:sz w:val="24"/>
          <w:szCs w:val="24"/>
          <w:lang w:val="en-IE"/>
        </w:rPr>
        <w:t>Reductions in demand for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in the EU and the price impact that it creates is also reflected in land prices. As shown in</w:t>
      </w:r>
      <w:r w:rsidR="008209C6" w:rsidRPr="005B4339">
        <w:rPr>
          <w:rFonts w:ascii="Times New Roman" w:hAnsi="Times New Roman"/>
          <w:noProof/>
          <w:sz w:val="24"/>
          <w:szCs w:val="24"/>
          <w:lang w:val="en-IE"/>
        </w:rPr>
        <w:t xml:space="preserve"> </w:t>
      </w:r>
      <w:r w:rsidR="00657C7A" w:rsidRPr="005B4339">
        <w:rPr>
          <w:rFonts w:ascii="Times New Roman" w:hAnsi="Times New Roman"/>
          <w:noProof/>
          <w:sz w:val="24"/>
          <w:szCs w:val="24"/>
          <w:lang w:val="en-IE"/>
        </w:rPr>
        <w:fldChar w:fldCharType="begin"/>
      </w:r>
      <w:r w:rsidR="00657C7A" w:rsidRPr="005B4339">
        <w:rPr>
          <w:rFonts w:ascii="Times New Roman" w:hAnsi="Times New Roman"/>
          <w:noProof/>
          <w:sz w:val="24"/>
          <w:szCs w:val="24"/>
          <w:lang w:val="en-IE"/>
        </w:rPr>
        <w:instrText xml:space="preserve"> REF _Ref133227648 \h  \* MERGEFORMAT </w:instrText>
      </w:r>
      <w:r w:rsidR="00657C7A" w:rsidRPr="005B4339">
        <w:rPr>
          <w:rFonts w:ascii="Times New Roman" w:hAnsi="Times New Roman"/>
          <w:noProof/>
          <w:sz w:val="24"/>
          <w:szCs w:val="24"/>
          <w:lang w:val="en-IE"/>
        </w:rPr>
      </w:r>
      <w:r w:rsidR="00657C7A"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32</w:t>
      </w:r>
      <w:r w:rsidR="00657C7A"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there is also a decrease in land prices for primary agriculture in the EU, which reaches up to 5% in the highest target scenario Option 3. The decrease for crops and pasture are in similar ranges in all scenarios. </w:t>
      </w:r>
    </w:p>
    <w:p w14:paraId="0575DD39" w14:textId="7DAF9D0B" w:rsidR="00BF09A5" w:rsidRPr="005B4339" w:rsidRDefault="00BF09A5" w:rsidP="003B6050">
      <w:pPr>
        <w:pStyle w:val="JRCFigurecaption"/>
        <w:rPr>
          <w:noProof/>
          <w:lang w:val="en-IE"/>
        </w:rPr>
      </w:pPr>
      <w:bookmarkStart w:id="531" w:name="_Ref133227648"/>
      <w:bookmarkStart w:id="532" w:name="_Toc133229359"/>
      <w:bookmarkStart w:id="533" w:name="_Toc139031969"/>
      <w:r w:rsidRPr="005B4339">
        <w:rPr>
          <w:noProof/>
          <w:lang w:val="en-IE"/>
        </w:rPr>
        <w:t xml:space="preserve">Figure </w:t>
      </w:r>
      <w:r w:rsidR="00393DFA">
        <w:rPr>
          <w:noProof/>
        </w:rPr>
        <w:t>32</w:t>
      </w:r>
      <w:bookmarkEnd w:id="531"/>
      <w:r w:rsidRPr="005B4339">
        <w:rPr>
          <w:noProof/>
          <w:lang w:val="en-IE"/>
        </w:rPr>
        <w:t>: Change in land prices in EU (% change</w:t>
      </w:r>
      <w:r w:rsidR="005A0596" w:rsidRPr="005B4339">
        <w:rPr>
          <w:noProof/>
          <w:lang w:val="en-IE"/>
        </w:rPr>
        <w:t>,</w:t>
      </w:r>
      <w:r w:rsidRPr="005B4339">
        <w:rPr>
          <w:noProof/>
          <w:lang w:val="en-IE"/>
        </w:rPr>
        <w:t xml:space="preserve"> </w:t>
      </w:r>
      <w:r w:rsidR="005A0596" w:rsidRPr="005B4339">
        <w:rPr>
          <w:noProof/>
          <w:lang w:val="en-IE"/>
        </w:rPr>
        <w:t>options</w:t>
      </w:r>
      <w:r w:rsidRPr="005B4339">
        <w:rPr>
          <w:noProof/>
          <w:lang w:val="en-IE"/>
        </w:rPr>
        <w:t xml:space="preserve"> vs baseline 2030</w:t>
      </w:r>
      <w:bookmarkEnd w:id="532"/>
      <w:bookmarkEnd w:id="533"/>
    </w:p>
    <w:p w14:paraId="15B48876" w14:textId="721F4C61" w:rsidR="00BF09A5" w:rsidRPr="005B4339" w:rsidRDefault="004928CC" w:rsidP="00BF09A5">
      <w:pPr>
        <w:pStyle w:val="JRCText"/>
        <w:rPr>
          <w:rFonts w:ascii="Times New Roman" w:hAnsi="Times New Roman"/>
          <w:noProof/>
          <w:sz w:val="24"/>
          <w:szCs w:val="24"/>
          <w:lang w:val="en-IE"/>
        </w:rPr>
      </w:pPr>
      <w:r w:rsidRPr="004928CC">
        <w:drawing>
          <wp:inline distT="0" distB="0" distL="0" distR="0" wp14:anchorId="2A9AF977" wp14:editId="2742FC0D">
            <wp:extent cx="5731510" cy="263271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632710"/>
                    </a:xfrm>
                    <a:prstGeom prst="rect">
                      <a:avLst/>
                    </a:prstGeom>
                    <a:noFill/>
                    <a:ln>
                      <a:noFill/>
                    </a:ln>
                  </pic:spPr>
                </pic:pic>
              </a:graphicData>
            </a:graphic>
          </wp:inline>
        </w:drawing>
      </w:r>
    </w:p>
    <w:bookmarkEnd w:id="529"/>
    <w:bookmarkEnd w:id="530"/>
    <w:p w14:paraId="49E3C58C" w14:textId="77777777" w:rsidR="00BF09A5" w:rsidRPr="005B4339" w:rsidRDefault="00BF09A5" w:rsidP="003B6050">
      <w:pPr>
        <w:pStyle w:val="JRCFigurecaption"/>
        <w:rPr>
          <w:noProof/>
          <w:lang w:val="en-IE"/>
        </w:rPr>
      </w:pPr>
    </w:p>
    <w:p w14:paraId="27F0B8D7" w14:textId="77777777" w:rsidR="00794505" w:rsidRPr="005B4339" w:rsidRDefault="00794505" w:rsidP="00F54798">
      <w:pPr>
        <w:pStyle w:val="JRCFiguresource"/>
        <w:rPr>
          <w:noProof/>
          <w:lang w:val="en-IE"/>
        </w:rPr>
      </w:pPr>
      <w:r w:rsidRPr="005B4339">
        <w:rPr>
          <w:noProof/>
          <w:lang w:val="en-IE"/>
        </w:rPr>
        <w:t>Source: MAGNET simulation results</w:t>
      </w:r>
    </w:p>
    <w:p w14:paraId="0717EB7F" w14:textId="12BB706F" w:rsidR="00BF09A5" w:rsidRPr="005B4339" w:rsidRDefault="00BF09A5" w:rsidP="00C6342D">
      <w:pPr>
        <w:pStyle w:val="JRCText"/>
        <w:rPr>
          <w:rFonts w:ascii="Times New Roman" w:hAnsi="Times New Roman"/>
          <w:noProof/>
          <w:sz w:val="24"/>
          <w:szCs w:val="24"/>
          <w:lang w:val="en-IE"/>
        </w:rPr>
      </w:pPr>
    </w:p>
    <w:p w14:paraId="2BC8F1F6" w14:textId="46DBDF02" w:rsidR="009A6644" w:rsidRPr="005B4339" w:rsidRDefault="009A6644">
      <w:pPr>
        <w:pStyle w:val="JRCLevel-3title"/>
        <w:numPr>
          <w:ilvl w:val="2"/>
          <w:numId w:val="161"/>
        </w:numPr>
        <w:rPr>
          <w:rFonts w:ascii="Times New Roman" w:hAnsi="Times New Roman"/>
          <w:noProof/>
          <w:sz w:val="24"/>
          <w:lang w:val="en-IE"/>
        </w:rPr>
      </w:pPr>
      <w:bookmarkStart w:id="534" w:name="_Toc237380647"/>
      <w:bookmarkStart w:id="535" w:name="_Toc1278313439"/>
      <w:bookmarkStart w:id="536" w:name="_Toc1505018750"/>
      <w:bookmarkStart w:id="537" w:name="_Toc1332908410"/>
      <w:bookmarkStart w:id="538" w:name="_Toc451370637"/>
      <w:bookmarkStart w:id="539" w:name="_Toc599440336"/>
      <w:bookmarkStart w:id="540" w:name="_Toc735806903"/>
      <w:bookmarkStart w:id="541" w:name="_Toc241123058"/>
      <w:bookmarkStart w:id="542" w:name="_Ref133229225"/>
      <w:bookmarkStart w:id="543" w:name="_Toc139032118"/>
      <w:r w:rsidRPr="005B4339">
        <w:rPr>
          <w:rFonts w:ascii="Times New Roman" w:hAnsi="Times New Roman"/>
          <w:noProof/>
          <w:sz w:val="24"/>
          <w:lang w:val="en-IE"/>
        </w:rPr>
        <w:t>Production impacts</w:t>
      </w:r>
      <w:bookmarkEnd w:id="534"/>
      <w:bookmarkEnd w:id="535"/>
      <w:bookmarkEnd w:id="536"/>
      <w:bookmarkEnd w:id="537"/>
      <w:bookmarkEnd w:id="538"/>
      <w:bookmarkEnd w:id="539"/>
      <w:bookmarkEnd w:id="540"/>
      <w:bookmarkEnd w:id="541"/>
      <w:bookmarkEnd w:id="542"/>
      <w:bookmarkEnd w:id="543"/>
    </w:p>
    <w:p w14:paraId="56F73B4A" w14:textId="241C114C" w:rsidR="009A6644" w:rsidRPr="005B4339" w:rsidRDefault="009A6644" w:rsidP="009A6644">
      <w:pPr>
        <w:pStyle w:val="JRCText"/>
        <w:rPr>
          <w:rFonts w:ascii="Times New Roman" w:hAnsi="Times New Roman"/>
          <w:noProof/>
          <w:sz w:val="24"/>
          <w:szCs w:val="24"/>
          <w:lang w:val="en-IE"/>
        </w:rPr>
      </w:pPr>
      <w:r w:rsidRPr="005B4339">
        <w:rPr>
          <w:rFonts w:ascii="Times New Roman" w:hAnsi="Times New Roman"/>
          <w:noProof/>
          <w:sz w:val="24"/>
          <w:szCs w:val="24"/>
          <w:lang w:val="en-IE"/>
        </w:rPr>
        <w:t>Reducing food waste associated with primary agricultural production (i.e.</w:t>
      </w:r>
      <w:r w:rsidR="00DA2EB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post-harvest losses) leads to an increased availability of agricultural commodities at each given price so that prices would need to decrease in order to achieve a new market equilibrium at which less agricultural commodities are sold at lower market prices. In our simulations we consider food waste reduction at processing, retail and consumer stages that result in an additional decrease of agricultural and food commodity demand, which in return leads to a fall in market prices and a reduction of agricultural and food supply to achieve a new market equilibrium. </w:t>
      </w:r>
      <w:r w:rsidR="003D0C01" w:rsidRPr="005B4339">
        <w:rPr>
          <w:rFonts w:ascii="Times New Roman" w:hAnsi="Times New Roman"/>
          <w:noProof/>
          <w:sz w:val="24"/>
          <w:szCs w:val="24"/>
          <w:lang w:val="en-IE"/>
        </w:rPr>
        <w:fldChar w:fldCharType="begin"/>
      </w:r>
      <w:r w:rsidR="003D0C01" w:rsidRPr="005B4339">
        <w:rPr>
          <w:rFonts w:ascii="Times New Roman" w:hAnsi="Times New Roman"/>
          <w:noProof/>
          <w:sz w:val="24"/>
          <w:szCs w:val="24"/>
          <w:lang w:val="en-IE"/>
        </w:rPr>
        <w:instrText xml:space="preserve"> REF _Ref133227821 \h  \* MERGEFORMAT </w:instrText>
      </w:r>
      <w:r w:rsidR="003D0C01" w:rsidRPr="005B4339">
        <w:rPr>
          <w:rFonts w:ascii="Times New Roman" w:hAnsi="Times New Roman"/>
          <w:noProof/>
          <w:sz w:val="24"/>
          <w:szCs w:val="24"/>
          <w:lang w:val="en-IE"/>
        </w:rPr>
      </w:r>
      <w:r w:rsidR="003D0C01"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33</w:t>
      </w:r>
      <w:r w:rsidR="003D0C01"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the percentage changes of agricultural and food supply in the selected </w:t>
      </w:r>
      <w:r w:rsidR="00393E3F" w:rsidRPr="005B4339">
        <w:rPr>
          <w:rFonts w:ascii="Times New Roman" w:hAnsi="Times New Roman"/>
          <w:noProof/>
          <w:sz w:val="24"/>
          <w:szCs w:val="24"/>
          <w:lang w:val="en-IE"/>
        </w:rPr>
        <w:t xml:space="preserve">policy options </w:t>
      </w:r>
      <w:r w:rsidRPr="005B4339">
        <w:rPr>
          <w:rFonts w:ascii="Times New Roman" w:hAnsi="Times New Roman"/>
          <w:noProof/>
          <w:sz w:val="24"/>
          <w:szCs w:val="24"/>
          <w:lang w:val="en-IE"/>
        </w:rPr>
        <w:t xml:space="preserve">compared to the baseline in 2030. </w:t>
      </w:r>
      <w:r w:rsidR="008F4B14" w:rsidRPr="005B4339">
        <w:rPr>
          <w:rFonts w:ascii="Times New Roman" w:hAnsi="Times New Roman"/>
          <w:noProof/>
          <w:sz w:val="24"/>
          <w:szCs w:val="24"/>
          <w:lang w:val="en-IE"/>
        </w:rPr>
        <w:t>On average agri</w:t>
      </w:r>
      <w:r w:rsidR="00D42216" w:rsidRPr="005B4339">
        <w:rPr>
          <w:rFonts w:ascii="Times New Roman" w:hAnsi="Times New Roman"/>
          <w:noProof/>
          <w:sz w:val="24"/>
          <w:szCs w:val="24"/>
          <w:lang w:val="en-IE"/>
        </w:rPr>
        <w:t>-</w:t>
      </w:r>
      <w:r w:rsidR="008F4B14" w:rsidRPr="005B4339">
        <w:rPr>
          <w:rFonts w:ascii="Times New Roman" w:hAnsi="Times New Roman"/>
          <w:noProof/>
          <w:sz w:val="24"/>
          <w:szCs w:val="24"/>
          <w:lang w:val="en-IE"/>
        </w:rPr>
        <w:t>food production is estimated to decrease from 0.6% (Option 1) to -2% (Option 3)</w:t>
      </w:r>
      <w:r w:rsidR="005A0596" w:rsidRPr="005B4339">
        <w:rPr>
          <w:rFonts w:ascii="Times New Roman" w:hAnsi="Times New Roman"/>
          <w:noProof/>
          <w:sz w:val="24"/>
          <w:szCs w:val="24"/>
          <w:lang w:val="en-IE"/>
        </w:rPr>
        <w:t>,</w:t>
      </w:r>
      <w:r w:rsidR="008F4B14" w:rsidRPr="005B4339">
        <w:rPr>
          <w:rFonts w:ascii="Times New Roman" w:hAnsi="Times New Roman"/>
          <w:noProof/>
          <w:sz w:val="24"/>
          <w:szCs w:val="24"/>
          <w:lang w:val="en-IE"/>
        </w:rPr>
        <w:t xml:space="preserve"> however at the commodity level there are differences. </w:t>
      </w:r>
      <w:r w:rsidRPr="005B4339">
        <w:rPr>
          <w:rFonts w:ascii="Times New Roman" w:hAnsi="Times New Roman"/>
          <w:noProof/>
          <w:sz w:val="24"/>
          <w:szCs w:val="24"/>
          <w:lang w:val="en-IE"/>
        </w:rPr>
        <w:t>While most of the commodities show a reduction in output</w:t>
      </w:r>
      <w:r w:rsidR="00DA2EB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effect on wheat and oilseeds differs. This can be explained by less waste shares in cereals and oilseeds than mainly that of vegetables and fruits. Also, the small increase in oilseeds production can be traced back to the decreasing demand and production of vegetables and fruits</w:t>
      </w:r>
      <w:r w:rsidR="00EB0A1F"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 the land that is freed up from the production of this sector which is now potentially filled by oilseeds over time as a rebound effect. </w:t>
      </w:r>
    </w:p>
    <w:p w14:paraId="65AA6650" w14:textId="12D0A08E" w:rsidR="009A6644" w:rsidRPr="005B4339" w:rsidRDefault="009A6644" w:rsidP="003B6050">
      <w:pPr>
        <w:pStyle w:val="JRCFigurecaption"/>
        <w:rPr>
          <w:noProof/>
          <w:lang w:val="en-IE"/>
        </w:rPr>
      </w:pPr>
      <w:bookmarkStart w:id="544" w:name="_Ref133227821"/>
      <w:bookmarkStart w:id="545" w:name="_Toc133229360"/>
      <w:bookmarkStart w:id="546" w:name="_Toc139031970"/>
      <w:r w:rsidRPr="005B4339">
        <w:rPr>
          <w:noProof/>
          <w:lang w:val="en-IE"/>
        </w:rPr>
        <w:t xml:space="preserve">Figure </w:t>
      </w:r>
      <w:r w:rsidR="00393DFA">
        <w:rPr>
          <w:noProof/>
        </w:rPr>
        <w:t>33</w:t>
      </w:r>
      <w:bookmarkEnd w:id="544"/>
      <w:r w:rsidRPr="005B4339">
        <w:rPr>
          <w:noProof/>
          <w:lang w:val="en-IE"/>
        </w:rPr>
        <w:t>: Change in EU27 agricultural production for selected commodities</w:t>
      </w:r>
      <w:r w:rsidR="008E2624" w:rsidRPr="005B4339">
        <w:rPr>
          <w:noProof/>
          <w:lang w:val="en-IE"/>
        </w:rPr>
        <w:t>, options vs</w:t>
      </w:r>
      <w:r w:rsidRPr="005B4339">
        <w:rPr>
          <w:noProof/>
          <w:lang w:val="en-IE"/>
        </w:rPr>
        <w:t xml:space="preserve"> baseline in 2030</w:t>
      </w:r>
      <w:bookmarkEnd w:id="545"/>
      <w:bookmarkEnd w:id="546"/>
    </w:p>
    <w:p w14:paraId="5524027F" w14:textId="5CE50777" w:rsidR="009A6644" w:rsidRPr="005B4339" w:rsidRDefault="009A6644" w:rsidP="009A6644">
      <w:pPr>
        <w:pStyle w:val="JRCText"/>
        <w:rPr>
          <w:rFonts w:ascii="Times New Roman" w:hAnsi="Times New Roman"/>
          <w:noProof/>
          <w:sz w:val="24"/>
          <w:szCs w:val="24"/>
          <w:lang w:val="en-IE"/>
        </w:rPr>
      </w:pPr>
    </w:p>
    <w:p w14:paraId="3D4B8EFA" w14:textId="674662F9" w:rsidR="008F4B14" w:rsidRPr="005B4339" w:rsidRDefault="004928CC" w:rsidP="009A6644">
      <w:pPr>
        <w:pStyle w:val="JRCText"/>
        <w:rPr>
          <w:rFonts w:ascii="Times New Roman" w:hAnsi="Times New Roman"/>
          <w:noProof/>
          <w:sz w:val="24"/>
          <w:szCs w:val="24"/>
          <w:lang w:val="en-IE"/>
        </w:rPr>
      </w:pPr>
      <w:r w:rsidRPr="004928CC">
        <w:drawing>
          <wp:inline distT="0" distB="0" distL="0" distR="0" wp14:anchorId="2BD6CDF6" wp14:editId="242CB4B3">
            <wp:extent cx="5731510" cy="253873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538730"/>
                    </a:xfrm>
                    <a:prstGeom prst="rect">
                      <a:avLst/>
                    </a:prstGeom>
                    <a:noFill/>
                    <a:ln>
                      <a:noFill/>
                    </a:ln>
                  </pic:spPr>
                </pic:pic>
              </a:graphicData>
            </a:graphic>
          </wp:inline>
        </w:drawing>
      </w:r>
    </w:p>
    <w:p w14:paraId="6180B081" w14:textId="12BB706F" w:rsidR="009A6644" w:rsidRPr="005B4339" w:rsidRDefault="009A6644" w:rsidP="009A6644">
      <w:pPr>
        <w:pStyle w:val="JRCFiguresource"/>
        <w:rPr>
          <w:noProof/>
          <w:lang w:val="en-IE"/>
        </w:rPr>
      </w:pPr>
      <w:r w:rsidRPr="005B4339">
        <w:rPr>
          <w:noProof/>
          <w:lang w:val="en-IE"/>
        </w:rPr>
        <w:t>Source: MAGNET simulation results</w:t>
      </w:r>
    </w:p>
    <w:p w14:paraId="2100340F" w14:textId="14F4A599" w:rsidR="009A6644" w:rsidRPr="005B4339" w:rsidRDefault="009A6644" w:rsidP="009A6644">
      <w:pPr>
        <w:pStyle w:val="JRCText"/>
        <w:rPr>
          <w:rFonts w:ascii="Times New Roman" w:hAnsi="Times New Roman"/>
          <w:noProof/>
          <w:sz w:val="24"/>
          <w:szCs w:val="24"/>
          <w:lang w:val="en-IE"/>
        </w:rPr>
      </w:pPr>
      <w:r w:rsidRPr="005B4339">
        <w:rPr>
          <w:rFonts w:ascii="Times New Roman" w:hAnsi="Times New Roman"/>
          <w:noProof/>
          <w:sz w:val="24"/>
          <w:szCs w:val="24"/>
          <w:lang w:val="en-IE"/>
        </w:rPr>
        <w:t>The higher the reduction target</w:t>
      </w:r>
      <w:r w:rsidR="00FC0D9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larger is the impact on agricultural and food output. </w:t>
      </w:r>
      <w:r w:rsidR="003D0C01" w:rsidRPr="005B4339">
        <w:rPr>
          <w:rFonts w:ascii="Times New Roman" w:hAnsi="Times New Roman"/>
          <w:noProof/>
          <w:sz w:val="24"/>
          <w:szCs w:val="24"/>
          <w:lang w:val="en-IE"/>
        </w:rPr>
        <w:fldChar w:fldCharType="begin"/>
      </w:r>
      <w:r w:rsidR="003D0C01" w:rsidRPr="005B4339">
        <w:rPr>
          <w:rFonts w:ascii="Times New Roman" w:hAnsi="Times New Roman"/>
          <w:noProof/>
          <w:sz w:val="24"/>
          <w:szCs w:val="24"/>
          <w:lang w:val="en-IE"/>
        </w:rPr>
        <w:instrText xml:space="preserve"> REF _Ref133227880 \h  \* MERGEFORMAT </w:instrText>
      </w:r>
      <w:r w:rsidR="003D0C01" w:rsidRPr="005B4339">
        <w:rPr>
          <w:rFonts w:ascii="Times New Roman" w:hAnsi="Times New Roman"/>
          <w:noProof/>
          <w:sz w:val="24"/>
          <w:szCs w:val="24"/>
          <w:lang w:val="en-IE"/>
        </w:rPr>
      </w:r>
      <w:r w:rsidR="003D0C01"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34</w:t>
      </w:r>
      <w:r w:rsidR="003D0C01"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the decomposition of the results by stage of the supply chain considering absolute deviation of agricultural and food output expressed in ktons compared to the baseline in 2030</w:t>
      </w:r>
      <w:r w:rsidR="00FC0D9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shows that the results are driven by the reduction of food waste at the consumer level while the other stages contribute much less. This is partially explained by the reduction target to be achieved, which is highest for the consumer level and by the waste share of each stage but also by the cost associated with achieving the reduction of food waste.</w:t>
      </w:r>
    </w:p>
    <w:p w14:paraId="1FD9EC35" w14:textId="307F84FD" w:rsidR="009A6644" w:rsidRPr="005B4339" w:rsidRDefault="00794505" w:rsidP="003B6050">
      <w:pPr>
        <w:pStyle w:val="JRCFigurecaption"/>
        <w:rPr>
          <w:noProof/>
          <w:lang w:val="en-IE"/>
        </w:rPr>
      </w:pPr>
      <w:bookmarkStart w:id="547" w:name="_Ref133227880"/>
      <w:bookmarkStart w:id="548" w:name="_Toc133229361"/>
      <w:bookmarkStart w:id="549" w:name="_Toc139031971"/>
      <w:bookmarkStart w:id="550" w:name="_Toc122623358"/>
      <w:bookmarkStart w:id="551" w:name="_Toc125121539"/>
      <w:r w:rsidRPr="005B4339">
        <w:rPr>
          <w:noProof/>
          <w:lang w:val="en-IE"/>
        </w:rPr>
        <w:t xml:space="preserve">Figure </w:t>
      </w:r>
      <w:r w:rsidR="00393DFA">
        <w:rPr>
          <w:noProof/>
        </w:rPr>
        <w:t>34</w:t>
      </w:r>
      <w:bookmarkEnd w:id="547"/>
      <w:r w:rsidR="009A6644" w:rsidRPr="005B4339">
        <w:rPr>
          <w:noProof/>
          <w:lang w:val="en-IE"/>
        </w:rPr>
        <w:t>: Changes in EU27 agricultural production compared to the baseline in 2030</w:t>
      </w:r>
      <w:bookmarkEnd w:id="548"/>
      <w:bookmarkEnd w:id="549"/>
    </w:p>
    <w:p w14:paraId="06476F0B" w14:textId="12BB706F" w:rsidR="009A6644" w:rsidRPr="005B4339" w:rsidRDefault="009A6644" w:rsidP="009A6644">
      <w:pPr>
        <w:pStyle w:val="JRCText"/>
        <w:rPr>
          <w:rFonts w:ascii="Times New Roman" w:hAnsi="Times New Roman"/>
          <w:noProof/>
          <w:sz w:val="24"/>
          <w:szCs w:val="24"/>
          <w:lang w:val="en-IE"/>
        </w:rPr>
      </w:pPr>
    </w:p>
    <w:bookmarkEnd w:id="550"/>
    <w:bookmarkEnd w:id="551"/>
    <w:p w14:paraId="7D7BBEE7" w14:textId="2A9A4005" w:rsidR="009A6644" w:rsidRPr="005B4339" w:rsidRDefault="009A6644" w:rsidP="009A6644">
      <w:pPr>
        <w:pStyle w:val="JRCText"/>
        <w:rPr>
          <w:rFonts w:ascii="Times New Roman" w:hAnsi="Times New Roman"/>
          <w:noProof/>
          <w:sz w:val="24"/>
          <w:szCs w:val="24"/>
          <w:lang w:val="en-IE"/>
        </w:rPr>
      </w:pPr>
      <w:r w:rsidRPr="005B4339">
        <w:rPr>
          <w:rFonts w:ascii="Times New Roman" w:hAnsi="Times New Roman"/>
          <w:noProof/>
          <w:sz w:val="24"/>
          <w:szCs w:val="24"/>
          <w:lang w:eastAsia="en-GB"/>
        </w:rPr>
        <mc:AlternateContent>
          <mc:Choice Requires="wpg">
            <w:drawing>
              <wp:anchor distT="0" distB="0" distL="114300" distR="114300" simplePos="0" relativeHeight="251658240" behindDoc="0" locked="0" layoutInCell="1" allowOverlap="1" wp14:anchorId="6FB34B0F" wp14:editId="4C53725D">
                <wp:simplePos x="0" y="0"/>
                <wp:positionH relativeFrom="column">
                  <wp:posOffset>2950633</wp:posOffset>
                </wp:positionH>
                <wp:positionV relativeFrom="paragraph">
                  <wp:posOffset>262255</wp:posOffset>
                </wp:positionV>
                <wp:extent cx="2175934" cy="2798233"/>
                <wp:effectExtent l="19050" t="57150" r="0" b="21590"/>
                <wp:wrapNone/>
                <wp:docPr id="1617598166" name="Group 1617598166"/>
                <wp:cNvGraphicFramePr/>
                <a:graphic xmlns:a="http://schemas.openxmlformats.org/drawingml/2006/main">
                  <a:graphicData uri="http://schemas.microsoft.com/office/word/2010/wordprocessingGroup">
                    <wpg:wgp>
                      <wpg:cNvGrpSpPr/>
                      <wpg:grpSpPr>
                        <a:xfrm>
                          <a:off x="0" y="0"/>
                          <a:ext cx="2175934" cy="2798233"/>
                          <a:chOff x="0" y="0"/>
                          <a:chExt cx="2175934" cy="2798233"/>
                        </a:xfrm>
                      </wpg:grpSpPr>
                      <wps:wsp>
                        <wps:cNvPr id="1617598164" name="Straight Connector 1617598164"/>
                        <wps:cNvCnPr/>
                        <wps:spPr>
                          <a:xfrm>
                            <a:off x="0" y="0"/>
                            <a:ext cx="8465" cy="2798233"/>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17598165" name="Straight Arrow Connector 1617598165"/>
                        <wps:cNvCnPr/>
                        <wps:spPr>
                          <a:xfrm>
                            <a:off x="139700" y="46566"/>
                            <a:ext cx="203623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E2B39E8" id="Group 1617598166" o:spid="_x0000_s1026" style="position:absolute;margin-left:232.35pt;margin-top:20.65pt;width:171.35pt;height:220.35pt;z-index:251658240;mso-height-relative:margin" coordsize="21759,2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">
                <v:line id="Straight Connector 1617598164" o:spid="_x0000_s1027" style="position:absolute;visibility:visible;mso-wrap-style:square" from="0,0" to="84,2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" strokecolor="black [3213]" strokeweight="2.25pt">
                  <v:stroke dashstyle="dash"/>
                </v:line>
                <v:shapetype id="_x0000_t32" coordsize="21600,21600" o:spt="32" o:oned="t" path="m,l21600,21600e" filled="f">
                  <v:path arrowok="t" fillok="f" o:connecttype="none"/>
                  <o:lock v:ext="edit" shapetype="t"/>
                </v:shapetype>
                <v:shape id="Straight Arrow Connector 1617598165" o:spid="_x0000_s1028" type="#_x0000_t32" style="position:absolute;left:1397;top:465;width:20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" strokecolor="black [3213]" strokeweight="2.25pt">
                  <v:stroke endarrow="block"/>
                </v:shape>
              </v:group>
            </w:pict>
          </mc:Fallback>
        </mc:AlternateContent>
      </w:r>
      <w:r w:rsidR="004928CC" w:rsidRPr="004928CC">
        <w:drawing>
          <wp:inline distT="0" distB="0" distL="0" distR="0" wp14:anchorId="75D76A59" wp14:editId="39584D9E">
            <wp:extent cx="5731510" cy="36461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646170"/>
                    </a:xfrm>
                    <a:prstGeom prst="rect">
                      <a:avLst/>
                    </a:prstGeom>
                    <a:noFill/>
                    <a:ln>
                      <a:noFill/>
                    </a:ln>
                  </pic:spPr>
                </pic:pic>
              </a:graphicData>
            </a:graphic>
          </wp:inline>
        </w:drawing>
      </w:r>
    </w:p>
    <w:p w14:paraId="6D41AF9D" w14:textId="12BB706F" w:rsidR="00794505" w:rsidRPr="005B4339" w:rsidRDefault="00794505" w:rsidP="00F54798">
      <w:pPr>
        <w:pStyle w:val="JRCFiguresource"/>
        <w:rPr>
          <w:noProof/>
          <w:lang w:val="en-IE"/>
        </w:rPr>
      </w:pPr>
      <w:r w:rsidRPr="005B4339">
        <w:rPr>
          <w:noProof/>
          <w:lang w:val="en-IE"/>
        </w:rPr>
        <w:t>Source: MAGNET simulation results</w:t>
      </w:r>
    </w:p>
    <w:p w14:paraId="2D350DFB" w14:textId="058836EB" w:rsidR="009A6644" w:rsidRPr="005B4339" w:rsidRDefault="009A6644" w:rsidP="009A6644">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In addition to that, </w:t>
      </w:r>
      <w:r w:rsidR="008F4B14" w:rsidRPr="005B4339">
        <w:rPr>
          <w:rFonts w:ascii="Times New Roman" w:hAnsi="Times New Roman"/>
          <w:noProof/>
          <w:sz w:val="24"/>
          <w:szCs w:val="24"/>
          <w:lang w:val="en-IE"/>
        </w:rPr>
        <w:fldChar w:fldCharType="begin"/>
      </w:r>
      <w:r w:rsidR="008F4B14" w:rsidRPr="005B4339">
        <w:rPr>
          <w:rFonts w:ascii="Times New Roman" w:hAnsi="Times New Roman"/>
          <w:noProof/>
          <w:sz w:val="24"/>
          <w:szCs w:val="24"/>
          <w:lang w:val="en-IE"/>
        </w:rPr>
        <w:instrText xml:space="preserve"> REF _Ref133228868 \h  \* MERGEFORMAT </w:instrText>
      </w:r>
      <w:r w:rsidR="008F4B14" w:rsidRPr="005B4339">
        <w:rPr>
          <w:rFonts w:ascii="Times New Roman" w:hAnsi="Times New Roman"/>
          <w:noProof/>
          <w:sz w:val="24"/>
          <w:szCs w:val="24"/>
          <w:lang w:val="en-IE"/>
        </w:rPr>
      </w:r>
      <w:r w:rsidR="008F4B1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35</w:t>
      </w:r>
      <w:r w:rsidR="008F4B14"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the absolute changes compared to the baseline in 2030 by M</w:t>
      </w:r>
      <w:r w:rsidR="00FC0D99" w:rsidRPr="005B4339">
        <w:rPr>
          <w:rFonts w:ascii="Times New Roman" w:hAnsi="Times New Roman"/>
          <w:noProof/>
          <w:sz w:val="24"/>
          <w:szCs w:val="24"/>
          <w:lang w:val="en-IE"/>
        </w:rPr>
        <w:t>ember State</w:t>
      </w:r>
      <w:r w:rsidRPr="005B4339">
        <w:rPr>
          <w:rFonts w:ascii="Times New Roman" w:hAnsi="Times New Roman"/>
          <w:noProof/>
          <w:sz w:val="24"/>
          <w:szCs w:val="24"/>
          <w:lang w:val="en-IE"/>
        </w:rPr>
        <w:t xml:space="preserve"> f</w:t>
      </w:r>
      <w:r w:rsidR="0041082B" w:rsidRPr="005B4339">
        <w:rPr>
          <w:rFonts w:ascii="Times New Roman" w:hAnsi="Times New Roman"/>
          <w:noProof/>
          <w:sz w:val="24"/>
          <w:szCs w:val="24"/>
          <w:lang w:val="en-IE"/>
        </w:rPr>
        <w:t xml:space="preserve">or the selected </w:t>
      </w:r>
      <w:r w:rsidR="00BE24F9" w:rsidRPr="005B4339">
        <w:rPr>
          <w:rFonts w:ascii="Times New Roman" w:hAnsi="Times New Roman"/>
          <w:noProof/>
          <w:sz w:val="24"/>
          <w:szCs w:val="24"/>
          <w:lang w:val="en-IE"/>
        </w:rPr>
        <w:t>options</w:t>
      </w:r>
      <w:r w:rsidR="0041082B" w:rsidRPr="005B4339">
        <w:rPr>
          <w:rFonts w:ascii="Times New Roman" w:hAnsi="Times New Roman"/>
          <w:noProof/>
          <w:sz w:val="24"/>
          <w:szCs w:val="24"/>
          <w:lang w:val="en-IE"/>
        </w:rPr>
        <w:t xml:space="preserve"> while </w:t>
      </w:r>
      <w:r w:rsidR="008F4B14" w:rsidRPr="005B4339">
        <w:rPr>
          <w:rFonts w:ascii="Times New Roman" w:hAnsi="Times New Roman"/>
          <w:noProof/>
          <w:sz w:val="24"/>
          <w:szCs w:val="24"/>
          <w:lang w:val="en-IE"/>
        </w:rPr>
        <w:fldChar w:fldCharType="begin"/>
      </w:r>
      <w:r w:rsidR="008F4B14" w:rsidRPr="005B4339">
        <w:rPr>
          <w:rFonts w:ascii="Times New Roman" w:hAnsi="Times New Roman"/>
          <w:noProof/>
          <w:sz w:val="24"/>
          <w:szCs w:val="24"/>
          <w:lang w:val="en-IE"/>
        </w:rPr>
        <w:instrText xml:space="preserve"> REF _Ref133228888 \h  \* MERGEFORMAT </w:instrText>
      </w:r>
      <w:r w:rsidR="008F4B14" w:rsidRPr="005B4339">
        <w:rPr>
          <w:rFonts w:ascii="Times New Roman" w:hAnsi="Times New Roman"/>
          <w:noProof/>
          <w:sz w:val="24"/>
          <w:szCs w:val="24"/>
          <w:lang w:val="en-IE"/>
        </w:rPr>
      </w:r>
      <w:r w:rsidR="008F4B1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36</w:t>
      </w:r>
      <w:r w:rsidR="008F4B14" w:rsidRPr="005B4339">
        <w:rPr>
          <w:rFonts w:ascii="Times New Roman" w:hAnsi="Times New Roman"/>
          <w:noProof/>
          <w:sz w:val="24"/>
          <w:szCs w:val="24"/>
          <w:lang w:val="en-IE"/>
        </w:rPr>
        <w:fldChar w:fldCharType="end"/>
      </w:r>
      <w:r w:rsidR="0041082B"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shows the absolute changes by M</w:t>
      </w:r>
      <w:r w:rsidR="00FC0D99" w:rsidRPr="005B4339">
        <w:rPr>
          <w:rFonts w:ascii="Times New Roman" w:hAnsi="Times New Roman"/>
          <w:noProof/>
          <w:sz w:val="24"/>
          <w:szCs w:val="24"/>
          <w:lang w:val="en-IE"/>
        </w:rPr>
        <w:t>ember State</w:t>
      </w:r>
      <w:r w:rsidRPr="005B4339">
        <w:rPr>
          <w:rFonts w:ascii="Times New Roman" w:hAnsi="Times New Roman"/>
          <w:noProof/>
          <w:sz w:val="24"/>
          <w:szCs w:val="24"/>
          <w:lang w:val="en-IE"/>
        </w:rPr>
        <w:t xml:space="preserve"> for selected food commodities </w:t>
      </w:r>
      <w:r w:rsidR="008E2624" w:rsidRPr="005B4339">
        <w:rPr>
          <w:rFonts w:ascii="Times New Roman" w:hAnsi="Times New Roman"/>
          <w:noProof/>
          <w:sz w:val="24"/>
          <w:szCs w:val="24"/>
          <w:lang w:val="en-IE"/>
        </w:rPr>
        <w:t>for Option 3</w:t>
      </w:r>
      <w:r w:rsidRPr="005B4339">
        <w:rPr>
          <w:rFonts w:ascii="Times New Roman" w:hAnsi="Times New Roman"/>
          <w:noProof/>
          <w:sz w:val="24"/>
          <w:szCs w:val="24"/>
          <w:lang w:val="en-IE"/>
        </w:rPr>
        <w:t>.</w:t>
      </w:r>
    </w:p>
    <w:p w14:paraId="676633D8" w14:textId="3B13676E" w:rsidR="009A6644" w:rsidRPr="005B4339" w:rsidRDefault="009A6644" w:rsidP="003B6050">
      <w:pPr>
        <w:pStyle w:val="JRCFigurecaption"/>
        <w:rPr>
          <w:noProof/>
          <w:lang w:val="en-IE"/>
        </w:rPr>
      </w:pPr>
      <w:bookmarkStart w:id="552" w:name="_Ref133228868"/>
      <w:bookmarkStart w:id="553" w:name="_Toc133229362"/>
      <w:bookmarkStart w:id="554" w:name="_Toc139031972"/>
      <w:r w:rsidRPr="005B4339">
        <w:rPr>
          <w:noProof/>
          <w:lang w:val="en-IE"/>
        </w:rPr>
        <w:t xml:space="preserve">Figure </w:t>
      </w:r>
      <w:r w:rsidR="00393DFA">
        <w:rPr>
          <w:noProof/>
        </w:rPr>
        <w:t>35</w:t>
      </w:r>
      <w:bookmarkEnd w:id="552"/>
      <w:r w:rsidRPr="005B4339">
        <w:rPr>
          <w:noProof/>
          <w:lang w:val="en-IE"/>
        </w:rPr>
        <w:t>: Changes in agricultural production (kton) in EU MS for agri</w:t>
      </w:r>
      <w:r w:rsidR="00D42216" w:rsidRPr="005B4339">
        <w:rPr>
          <w:noProof/>
          <w:lang w:val="en-IE"/>
        </w:rPr>
        <w:t>-</w:t>
      </w:r>
      <w:r w:rsidRPr="005B4339">
        <w:rPr>
          <w:noProof/>
          <w:lang w:val="en-IE"/>
        </w:rPr>
        <w:t>food commodities</w:t>
      </w:r>
      <w:r w:rsidR="008E2624" w:rsidRPr="005B4339">
        <w:rPr>
          <w:noProof/>
          <w:lang w:val="en-IE"/>
        </w:rPr>
        <w:t>, options vs</w:t>
      </w:r>
      <w:r w:rsidRPr="005B4339">
        <w:rPr>
          <w:noProof/>
          <w:lang w:val="en-IE"/>
        </w:rPr>
        <w:t xml:space="preserve"> baseline 2030</w:t>
      </w:r>
      <w:bookmarkEnd w:id="553"/>
      <w:bookmarkEnd w:id="554"/>
    </w:p>
    <w:p w14:paraId="56DFC141" w14:textId="5A4471D9" w:rsidR="009A6644" w:rsidRPr="005B4339" w:rsidRDefault="004928CC" w:rsidP="009A6644">
      <w:pPr>
        <w:pStyle w:val="JRCText"/>
        <w:rPr>
          <w:rFonts w:ascii="Times New Roman" w:hAnsi="Times New Roman"/>
          <w:noProof/>
          <w:sz w:val="24"/>
          <w:szCs w:val="24"/>
          <w:lang w:val="en-IE"/>
        </w:rPr>
      </w:pPr>
      <w:r w:rsidRPr="004928CC">
        <w:drawing>
          <wp:inline distT="0" distB="0" distL="0" distR="0" wp14:anchorId="373F3BC0" wp14:editId="6C7376F5">
            <wp:extent cx="5731510" cy="2360930"/>
            <wp:effectExtent l="0" t="0" r="2540" b="1270"/>
            <wp:docPr id="1112863423" name="Picture 111286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360930"/>
                    </a:xfrm>
                    <a:prstGeom prst="rect">
                      <a:avLst/>
                    </a:prstGeom>
                    <a:noFill/>
                    <a:ln>
                      <a:noFill/>
                    </a:ln>
                  </pic:spPr>
                </pic:pic>
              </a:graphicData>
            </a:graphic>
          </wp:inline>
        </w:drawing>
      </w:r>
    </w:p>
    <w:p w14:paraId="6897351B" w14:textId="12BB706F" w:rsidR="00794505" w:rsidRPr="005B4339" w:rsidRDefault="00794505" w:rsidP="00F54798">
      <w:pPr>
        <w:pStyle w:val="JRCFiguresource"/>
        <w:rPr>
          <w:noProof/>
          <w:lang w:val="en-IE"/>
        </w:rPr>
      </w:pPr>
      <w:r w:rsidRPr="005B4339">
        <w:rPr>
          <w:noProof/>
          <w:lang w:val="en-IE"/>
        </w:rPr>
        <w:t>Source: MAGNET simulation results</w:t>
      </w:r>
    </w:p>
    <w:p w14:paraId="35D6D60F" w14:textId="5CE67395" w:rsidR="009A6644" w:rsidRPr="005B4339" w:rsidRDefault="009A6644" w:rsidP="003B6050">
      <w:pPr>
        <w:pStyle w:val="JRCFigurecaption"/>
        <w:rPr>
          <w:noProof/>
          <w:lang w:val="en-IE"/>
        </w:rPr>
      </w:pPr>
      <w:bookmarkStart w:id="555" w:name="_Ref133228888"/>
      <w:bookmarkStart w:id="556" w:name="_Toc133229363"/>
      <w:bookmarkStart w:id="557" w:name="_Toc139031973"/>
      <w:bookmarkStart w:id="558" w:name="_Toc122623361"/>
      <w:bookmarkStart w:id="559" w:name="_Toc125121541"/>
      <w:r w:rsidRPr="005B4339">
        <w:rPr>
          <w:noProof/>
          <w:lang w:val="en-IE"/>
        </w:rPr>
        <w:t xml:space="preserve">Figure </w:t>
      </w:r>
      <w:r w:rsidR="00393DFA">
        <w:rPr>
          <w:noProof/>
        </w:rPr>
        <w:t>36</w:t>
      </w:r>
      <w:bookmarkEnd w:id="555"/>
      <w:r w:rsidRPr="005B4339">
        <w:rPr>
          <w:noProof/>
          <w:lang w:val="en-IE"/>
        </w:rPr>
        <w:t>: Changes in agricultural production (thousand tonnes) in EU MS for selected commodities</w:t>
      </w:r>
      <w:r w:rsidR="008E2624" w:rsidRPr="005B4339">
        <w:rPr>
          <w:noProof/>
          <w:lang w:val="en-IE"/>
        </w:rPr>
        <w:t>, Option 3 vs</w:t>
      </w:r>
      <w:r w:rsidRPr="005B4339">
        <w:rPr>
          <w:noProof/>
          <w:lang w:val="en-IE"/>
        </w:rPr>
        <w:t xml:space="preserve"> baseline 2030</w:t>
      </w:r>
      <w:bookmarkEnd w:id="556"/>
      <w:bookmarkEnd w:id="557"/>
    </w:p>
    <w:bookmarkEnd w:id="558"/>
    <w:bookmarkEnd w:id="559"/>
    <w:p w14:paraId="0DDED56B" w14:textId="6ACC2612" w:rsidR="009A6644" w:rsidRPr="005B4339" w:rsidRDefault="004928CC" w:rsidP="009A6644">
      <w:pPr>
        <w:pStyle w:val="JRCText"/>
        <w:rPr>
          <w:rFonts w:ascii="Times New Roman" w:hAnsi="Times New Roman"/>
          <w:noProof/>
          <w:sz w:val="24"/>
          <w:szCs w:val="24"/>
          <w:lang w:val="en-IE"/>
        </w:rPr>
      </w:pPr>
      <w:r w:rsidRPr="004928CC">
        <w:lastRenderedPageBreak/>
        <w:drawing>
          <wp:inline distT="0" distB="0" distL="0" distR="0" wp14:anchorId="65DE068E" wp14:editId="1E35932F">
            <wp:extent cx="5731510" cy="2313305"/>
            <wp:effectExtent l="0" t="0" r="2540" b="0"/>
            <wp:docPr id="1112863421" name="Picture 111286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2313305"/>
                    </a:xfrm>
                    <a:prstGeom prst="rect">
                      <a:avLst/>
                    </a:prstGeom>
                    <a:noFill/>
                    <a:ln>
                      <a:noFill/>
                    </a:ln>
                  </pic:spPr>
                </pic:pic>
              </a:graphicData>
            </a:graphic>
          </wp:inline>
        </w:drawing>
      </w:r>
    </w:p>
    <w:p w14:paraId="7FBB5619" w14:textId="0791E625" w:rsidR="00794505" w:rsidRPr="005B4339" w:rsidRDefault="00794505" w:rsidP="00F54798">
      <w:pPr>
        <w:pStyle w:val="JRCFiguresource"/>
        <w:rPr>
          <w:noProof/>
          <w:lang w:val="en-IE"/>
        </w:rPr>
      </w:pPr>
      <w:r w:rsidRPr="005B4339">
        <w:rPr>
          <w:noProof/>
          <w:lang w:val="en-IE"/>
        </w:rPr>
        <w:t>Source: MAGNET simulation results</w:t>
      </w:r>
    </w:p>
    <w:p w14:paraId="0C12E0B6" w14:textId="0473D4C5" w:rsidR="009A6644" w:rsidRPr="005B4339" w:rsidRDefault="009A6644" w:rsidP="009A6644">
      <w:pPr>
        <w:pStyle w:val="JRCText"/>
        <w:rPr>
          <w:rFonts w:ascii="Times New Roman" w:hAnsi="Times New Roman"/>
          <w:noProof/>
          <w:sz w:val="24"/>
          <w:szCs w:val="24"/>
          <w:lang w:val="en-IE"/>
        </w:rPr>
      </w:pPr>
      <w:r w:rsidRPr="005B4339">
        <w:rPr>
          <w:rFonts w:ascii="Times New Roman" w:hAnsi="Times New Roman"/>
          <w:noProof/>
          <w:sz w:val="24"/>
          <w:szCs w:val="24"/>
          <w:lang w:val="en-IE"/>
        </w:rPr>
        <w:t>Taking vegetables (</w:t>
      </w:r>
      <w:r w:rsidR="008F4B14" w:rsidRPr="005B4339">
        <w:rPr>
          <w:rFonts w:ascii="Times New Roman" w:hAnsi="Times New Roman"/>
          <w:noProof/>
          <w:sz w:val="24"/>
          <w:szCs w:val="24"/>
          <w:lang w:val="en-IE"/>
        </w:rPr>
        <w:fldChar w:fldCharType="begin"/>
      </w:r>
      <w:r w:rsidR="008F4B14" w:rsidRPr="005B4339">
        <w:rPr>
          <w:rFonts w:ascii="Times New Roman" w:hAnsi="Times New Roman"/>
          <w:noProof/>
          <w:sz w:val="24"/>
          <w:szCs w:val="24"/>
          <w:lang w:val="en-IE"/>
        </w:rPr>
        <w:instrText xml:space="preserve"> REF _Ref133228960 \h  \* MERGEFORMAT </w:instrText>
      </w:r>
      <w:r w:rsidR="008F4B14" w:rsidRPr="005B4339">
        <w:rPr>
          <w:rFonts w:ascii="Times New Roman" w:hAnsi="Times New Roman"/>
          <w:noProof/>
          <w:sz w:val="24"/>
          <w:szCs w:val="24"/>
          <w:lang w:val="en-IE"/>
        </w:rPr>
      </w:r>
      <w:r w:rsidR="008F4B1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37</w:t>
      </w:r>
      <w:r w:rsidR="008F4B14"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and fruits (</w:t>
      </w:r>
      <w:r w:rsidR="008F4B14" w:rsidRPr="005B4339">
        <w:rPr>
          <w:rFonts w:ascii="Times New Roman" w:hAnsi="Times New Roman"/>
          <w:noProof/>
          <w:sz w:val="24"/>
          <w:szCs w:val="24"/>
          <w:lang w:val="en-IE"/>
        </w:rPr>
        <w:fldChar w:fldCharType="begin"/>
      </w:r>
      <w:r w:rsidR="008F4B14" w:rsidRPr="005B4339">
        <w:rPr>
          <w:rFonts w:ascii="Times New Roman" w:hAnsi="Times New Roman"/>
          <w:noProof/>
          <w:sz w:val="24"/>
          <w:szCs w:val="24"/>
          <w:lang w:val="en-IE"/>
        </w:rPr>
        <w:instrText xml:space="preserve"> REF _Ref133228967 \h  \* MERGEFORMAT </w:instrText>
      </w:r>
      <w:r w:rsidR="008F4B14" w:rsidRPr="005B4339">
        <w:rPr>
          <w:rFonts w:ascii="Times New Roman" w:hAnsi="Times New Roman"/>
          <w:noProof/>
          <w:sz w:val="24"/>
          <w:szCs w:val="24"/>
          <w:lang w:val="en-IE"/>
        </w:rPr>
      </w:r>
      <w:r w:rsidR="008F4B1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rFonts w:ascii="Times New Roman" w:hAnsi="Times New Roman"/>
          <w:bCs/>
          <w:noProof/>
          <w:sz w:val="24"/>
          <w:szCs w:val="24"/>
          <w:lang w:val="en-IE"/>
        </w:rPr>
        <w:t>38</w:t>
      </w:r>
      <w:r w:rsidR="008F4B14"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as an example</w:t>
      </w:r>
      <w:r w:rsidR="00FC0D99"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graphs show the percentage changes of production and consumption compared to the baseline in 2030. It becomes apparent that food waste reduction results in a larger percentage reduction of consumer demand compared to the decrease or in some cases increase of production. As market prices in the EU fall, producers become more competitive on the world market</w:t>
      </w:r>
      <w:r w:rsidR="00FD0FBD" w:rsidRPr="005B4339">
        <w:rPr>
          <w:rFonts w:ascii="Times New Roman" w:hAnsi="Times New Roman"/>
          <w:noProof/>
          <w:sz w:val="24"/>
          <w:szCs w:val="24"/>
          <w:lang w:val="en-IE"/>
        </w:rPr>
        <w:t>, and</w:t>
      </w:r>
      <w:r w:rsidRPr="005B4339">
        <w:rPr>
          <w:rFonts w:ascii="Times New Roman" w:hAnsi="Times New Roman"/>
          <w:noProof/>
          <w:sz w:val="24"/>
          <w:szCs w:val="24"/>
          <w:lang w:val="en-IE"/>
        </w:rPr>
        <w:t xml:space="preserve"> thus could potentially increase their export to the world market in order to buffer the demand shock. </w:t>
      </w:r>
    </w:p>
    <w:p w14:paraId="4B436AFA" w14:textId="154728AD" w:rsidR="009A6644" w:rsidRPr="005B4339" w:rsidRDefault="009A6644" w:rsidP="003B6050">
      <w:pPr>
        <w:pStyle w:val="JRCFigurecaption"/>
        <w:rPr>
          <w:noProof/>
          <w:lang w:val="en-IE"/>
        </w:rPr>
      </w:pPr>
      <w:bookmarkStart w:id="560" w:name="_Ref133228960"/>
      <w:bookmarkStart w:id="561" w:name="_Toc133229364"/>
      <w:bookmarkStart w:id="562" w:name="_Toc139031974"/>
      <w:r w:rsidRPr="005B4339">
        <w:rPr>
          <w:noProof/>
          <w:lang w:val="en-IE"/>
        </w:rPr>
        <w:t xml:space="preserve">Figure </w:t>
      </w:r>
      <w:r w:rsidR="00393DFA">
        <w:rPr>
          <w:noProof/>
        </w:rPr>
        <w:t>37</w:t>
      </w:r>
      <w:bookmarkEnd w:id="560"/>
      <w:r w:rsidRPr="005B4339">
        <w:rPr>
          <w:noProof/>
          <w:lang w:val="en-IE"/>
        </w:rPr>
        <w:t xml:space="preserve">: Vegetables: Changes in agricultural production and consumer demand in EU MS </w:t>
      </w:r>
      <w:r w:rsidR="008E2624" w:rsidRPr="005B4339">
        <w:rPr>
          <w:noProof/>
          <w:lang w:val="en-IE"/>
        </w:rPr>
        <w:t>(%),</w:t>
      </w:r>
      <w:r w:rsidRPr="005B4339">
        <w:rPr>
          <w:noProof/>
          <w:lang w:val="en-IE"/>
        </w:rPr>
        <w:t xml:space="preserve"> Option 3 </w:t>
      </w:r>
      <w:r w:rsidR="008E2624" w:rsidRPr="005B4339">
        <w:rPr>
          <w:noProof/>
          <w:lang w:val="en-IE"/>
        </w:rPr>
        <w:t>vs</w:t>
      </w:r>
      <w:r w:rsidRPr="005B4339">
        <w:rPr>
          <w:noProof/>
          <w:lang w:val="en-IE"/>
        </w:rPr>
        <w:t xml:space="preserve"> baseline 2030</w:t>
      </w:r>
      <w:bookmarkEnd w:id="561"/>
      <w:bookmarkEnd w:id="562"/>
    </w:p>
    <w:p w14:paraId="746BCFE2" w14:textId="73BD26B9" w:rsidR="009A6644" w:rsidRPr="005B4339" w:rsidRDefault="004928CC" w:rsidP="009A6644">
      <w:pPr>
        <w:pStyle w:val="JRCText"/>
        <w:rPr>
          <w:rFonts w:ascii="Times New Roman" w:hAnsi="Times New Roman"/>
          <w:noProof/>
          <w:sz w:val="24"/>
          <w:szCs w:val="24"/>
          <w:lang w:val="en-IE"/>
        </w:rPr>
      </w:pPr>
      <w:r w:rsidRPr="004928CC">
        <w:drawing>
          <wp:inline distT="0" distB="0" distL="0" distR="0" wp14:anchorId="4930CB62" wp14:editId="7CBF60C8">
            <wp:extent cx="5731510" cy="2256155"/>
            <wp:effectExtent l="0" t="0" r="2540" b="0"/>
            <wp:docPr id="1112863420" name="Picture 111286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2256155"/>
                    </a:xfrm>
                    <a:prstGeom prst="rect">
                      <a:avLst/>
                    </a:prstGeom>
                    <a:noFill/>
                    <a:ln>
                      <a:noFill/>
                    </a:ln>
                  </pic:spPr>
                </pic:pic>
              </a:graphicData>
            </a:graphic>
          </wp:inline>
        </w:drawing>
      </w:r>
    </w:p>
    <w:p w14:paraId="0E9BE264" w14:textId="0791E625" w:rsidR="00794505" w:rsidRPr="005B4339" w:rsidRDefault="00794505" w:rsidP="00F54798">
      <w:pPr>
        <w:pStyle w:val="JRCFiguresource"/>
        <w:rPr>
          <w:noProof/>
          <w:lang w:val="en-IE"/>
        </w:rPr>
      </w:pPr>
      <w:r w:rsidRPr="005B4339">
        <w:rPr>
          <w:noProof/>
          <w:lang w:val="en-IE"/>
        </w:rPr>
        <w:t>Source: MAGNET simulation results</w:t>
      </w:r>
    </w:p>
    <w:p w14:paraId="3CA9530D" w14:textId="4A953AD2" w:rsidR="00794505" w:rsidRPr="005B4339" w:rsidRDefault="00794505" w:rsidP="003B6050">
      <w:pPr>
        <w:pStyle w:val="JRCFigurecaption"/>
        <w:rPr>
          <w:noProof/>
          <w:lang w:val="en-IE"/>
        </w:rPr>
      </w:pPr>
      <w:bookmarkStart w:id="563" w:name="_Ref133228967"/>
      <w:bookmarkStart w:id="564" w:name="_Toc122623363"/>
      <w:bookmarkStart w:id="565" w:name="_Toc125121543"/>
      <w:bookmarkStart w:id="566" w:name="_Toc133229365"/>
      <w:bookmarkStart w:id="567" w:name="_Toc139031975"/>
      <w:r w:rsidRPr="005B4339">
        <w:rPr>
          <w:noProof/>
          <w:lang w:val="en-IE"/>
        </w:rPr>
        <w:t xml:space="preserve">Figure </w:t>
      </w:r>
      <w:r w:rsidR="00393DFA">
        <w:rPr>
          <w:bCs/>
          <w:noProof/>
        </w:rPr>
        <w:t>38</w:t>
      </w:r>
      <w:bookmarkEnd w:id="563"/>
      <w:r w:rsidRPr="005B4339">
        <w:rPr>
          <w:noProof/>
          <w:lang w:val="en-IE"/>
        </w:rPr>
        <w:t>: Fruits: Changes in agricultural production and consumer demand in EU MS (%)</w:t>
      </w:r>
      <w:r w:rsidR="008E2624" w:rsidRPr="005B4339">
        <w:rPr>
          <w:noProof/>
          <w:lang w:val="en-IE"/>
        </w:rPr>
        <w:t>,,</w:t>
      </w:r>
      <w:r w:rsidRPr="005B4339">
        <w:rPr>
          <w:noProof/>
          <w:lang w:val="en-IE"/>
        </w:rPr>
        <w:t xml:space="preserve"> Option 3 </w:t>
      </w:r>
      <w:r w:rsidR="008E2624" w:rsidRPr="005B4339">
        <w:rPr>
          <w:noProof/>
          <w:lang w:val="en-IE"/>
        </w:rPr>
        <w:t>vs</w:t>
      </w:r>
      <w:r w:rsidRPr="005B4339">
        <w:rPr>
          <w:noProof/>
          <w:lang w:val="en-IE"/>
        </w:rPr>
        <w:t xml:space="preserve"> baseline 2030</w:t>
      </w:r>
      <w:bookmarkEnd w:id="564"/>
      <w:bookmarkEnd w:id="565"/>
      <w:bookmarkEnd w:id="566"/>
      <w:bookmarkEnd w:id="567"/>
    </w:p>
    <w:p w14:paraId="6C22A944" w14:textId="084563C5" w:rsidR="009A6644" w:rsidRPr="005B4339" w:rsidRDefault="004928CC" w:rsidP="009A6644">
      <w:pPr>
        <w:pStyle w:val="JRCText"/>
        <w:rPr>
          <w:rFonts w:ascii="Times New Roman" w:hAnsi="Times New Roman"/>
          <w:noProof/>
          <w:sz w:val="24"/>
          <w:szCs w:val="24"/>
          <w:lang w:val="en-IE"/>
        </w:rPr>
      </w:pPr>
      <w:r w:rsidRPr="004928CC">
        <w:lastRenderedPageBreak/>
        <w:drawing>
          <wp:inline distT="0" distB="0" distL="0" distR="0" wp14:anchorId="1CE585BA" wp14:editId="3BBDCD49">
            <wp:extent cx="5731510" cy="2189480"/>
            <wp:effectExtent l="0" t="0" r="2540" b="1270"/>
            <wp:docPr id="1112863419" name="Picture 11128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2189480"/>
                    </a:xfrm>
                    <a:prstGeom prst="rect">
                      <a:avLst/>
                    </a:prstGeom>
                    <a:noFill/>
                    <a:ln>
                      <a:noFill/>
                    </a:ln>
                  </pic:spPr>
                </pic:pic>
              </a:graphicData>
            </a:graphic>
          </wp:inline>
        </w:drawing>
      </w:r>
    </w:p>
    <w:p w14:paraId="46E3F18A" w14:textId="0791E625" w:rsidR="00794505" w:rsidRPr="005B4339" w:rsidRDefault="00794505" w:rsidP="00F54798">
      <w:pPr>
        <w:pStyle w:val="JRCFiguresource"/>
        <w:rPr>
          <w:noProof/>
          <w:lang w:val="en-IE"/>
        </w:rPr>
      </w:pPr>
      <w:r w:rsidRPr="005B4339">
        <w:rPr>
          <w:noProof/>
          <w:lang w:val="en-IE"/>
        </w:rPr>
        <w:t>Source: MAGNET simulation results</w:t>
      </w:r>
    </w:p>
    <w:p w14:paraId="29C14ECC" w14:textId="0791E625" w:rsidR="009A6644" w:rsidRPr="005B4339" w:rsidRDefault="009A6644" w:rsidP="009A6644">
      <w:pPr>
        <w:pStyle w:val="JRCText"/>
        <w:rPr>
          <w:noProof/>
          <w:lang w:val="en-IE"/>
        </w:rPr>
      </w:pPr>
    </w:p>
    <w:p w14:paraId="74509BBD" w14:textId="6E9602EA" w:rsidR="008E21B7" w:rsidRPr="005B4339" w:rsidRDefault="008E21B7" w:rsidP="008E21B7">
      <w:pPr>
        <w:pStyle w:val="JRCText"/>
        <w:rPr>
          <w:rFonts w:ascii="Times New Roman" w:hAnsi="Times New Roman"/>
          <w:noProof/>
          <w:sz w:val="24"/>
          <w:szCs w:val="24"/>
          <w:lang w:val="en-IE"/>
        </w:rPr>
      </w:pPr>
    </w:p>
    <w:p w14:paraId="31B6107A" w14:textId="46DBDF02" w:rsidR="00794505" w:rsidRPr="005B4339" w:rsidRDefault="00794505">
      <w:pPr>
        <w:pStyle w:val="JRCLevel-3title"/>
        <w:numPr>
          <w:ilvl w:val="2"/>
          <w:numId w:val="161"/>
        </w:numPr>
        <w:rPr>
          <w:rFonts w:ascii="Times New Roman" w:hAnsi="Times New Roman"/>
          <w:noProof/>
          <w:sz w:val="24"/>
          <w:lang w:val="en-IE"/>
        </w:rPr>
      </w:pPr>
      <w:bookmarkStart w:id="568" w:name="_Toc2020170598"/>
      <w:bookmarkStart w:id="569" w:name="_Toc523438540"/>
      <w:bookmarkStart w:id="570" w:name="_Toc336972513"/>
      <w:bookmarkStart w:id="571" w:name="_Toc111536551"/>
      <w:bookmarkStart w:id="572" w:name="_Toc678301766"/>
      <w:bookmarkStart w:id="573" w:name="_Toc827865861"/>
      <w:bookmarkStart w:id="574" w:name="_Toc661556982"/>
      <w:bookmarkStart w:id="575" w:name="_Toc2042265838"/>
      <w:bookmarkStart w:id="576" w:name="_Toc139032119"/>
      <w:r w:rsidRPr="005B4339">
        <w:rPr>
          <w:rFonts w:ascii="Times New Roman" w:hAnsi="Times New Roman"/>
          <w:noProof/>
          <w:sz w:val="24"/>
          <w:lang w:val="en-IE"/>
        </w:rPr>
        <w:t>Trade impacts</w:t>
      </w:r>
      <w:bookmarkEnd w:id="568"/>
      <w:bookmarkEnd w:id="569"/>
      <w:bookmarkEnd w:id="570"/>
      <w:bookmarkEnd w:id="571"/>
      <w:bookmarkEnd w:id="572"/>
      <w:bookmarkEnd w:id="573"/>
      <w:bookmarkEnd w:id="574"/>
      <w:bookmarkEnd w:id="575"/>
      <w:bookmarkEnd w:id="576"/>
    </w:p>
    <w:p w14:paraId="3EC3CD38" w14:textId="622B169D"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Food waste reduction in general </w:t>
      </w:r>
      <w:r w:rsidR="008E2624" w:rsidRPr="005B4339">
        <w:rPr>
          <w:rFonts w:ascii="Times New Roman" w:hAnsi="Times New Roman"/>
          <w:noProof/>
          <w:sz w:val="24"/>
          <w:szCs w:val="24"/>
          <w:lang w:val="en-IE"/>
        </w:rPr>
        <w:t>could lead</w:t>
      </w:r>
      <w:r w:rsidRPr="005B4339">
        <w:rPr>
          <w:rFonts w:ascii="Times New Roman" w:hAnsi="Times New Roman"/>
          <w:noProof/>
          <w:sz w:val="24"/>
          <w:szCs w:val="24"/>
          <w:lang w:val="en-IE"/>
        </w:rPr>
        <w:t xml:space="preserve"> to </w:t>
      </w:r>
      <w:r w:rsidR="008E2624" w:rsidRPr="005B4339">
        <w:rPr>
          <w:rFonts w:ascii="Times New Roman" w:hAnsi="Times New Roman"/>
          <w:noProof/>
          <w:sz w:val="24"/>
          <w:szCs w:val="24"/>
          <w:lang w:val="en-IE"/>
        </w:rPr>
        <w:t>higher</w:t>
      </w:r>
      <w:r w:rsidRPr="005B4339">
        <w:rPr>
          <w:rFonts w:ascii="Times New Roman" w:hAnsi="Times New Roman"/>
          <w:noProof/>
          <w:sz w:val="24"/>
          <w:szCs w:val="24"/>
          <w:lang w:val="en-IE"/>
        </w:rPr>
        <w:t xml:space="preserve"> extra-EU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food exports and lower agri-food extra-EU imports. </w:t>
      </w:r>
      <w:r w:rsidR="00156A86" w:rsidRPr="005B4339">
        <w:rPr>
          <w:rFonts w:ascii="Times New Roman" w:hAnsi="Times New Roman"/>
          <w:noProof/>
          <w:sz w:val="24"/>
          <w:szCs w:val="24"/>
          <w:lang w:val="en-IE"/>
        </w:rPr>
        <w:fldChar w:fldCharType="begin"/>
      </w:r>
      <w:r w:rsidR="00156A86" w:rsidRPr="005B4339">
        <w:rPr>
          <w:rFonts w:ascii="Times New Roman" w:hAnsi="Times New Roman"/>
          <w:noProof/>
          <w:sz w:val="24"/>
          <w:szCs w:val="24"/>
          <w:lang w:val="en-IE"/>
        </w:rPr>
        <w:instrText xml:space="preserve"> REF _Ref133230443 \h  \* MERGEFORMAT </w:instrText>
      </w:r>
      <w:r w:rsidR="00156A86" w:rsidRPr="005B4339">
        <w:rPr>
          <w:rFonts w:ascii="Times New Roman" w:hAnsi="Times New Roman"/>
          <w:noProof/>
          <w:sz w:val="24"/>
          <w:szCs w:val="24"/>
          <w:lang w:val="en-IE"/>
        </w:rPr>
      </w:r>
      <w:r w:rsidR="00156A86"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39</w:t>
      </w:r>
      <w:r w:rsidR="00156A86"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and </w:t>
      </w:r>
      <w:r w:rsidR="00156A86" w:rsidRPr="005B4339">
        <w:rPr>
          <w:rFonts w:ascii="Times New Roman" w:hAnsi="Times New Roman"/>
          <w:noProof/>
          <w:sz w:val="24"/>
          <w:szCs w:val="24"/>
          <w:lang w:val="en-IE"/>
        </w:rPr>
        <w:fldChar w:fldCharType="begin"/>
      </w:r>
      <w:r w:rsidR="00156A86" w:rsidRPr="005B4339">
        <w:rPr>
          <w:rFonts w:ascii="Times New Roman" w:hAnsi="Times New Roman"/>
          <w:noProof/>
          <w:sz w:val="24"/>
          <w:szCs w:val="24"/>
          <w:lang w:val="en-IE"/>
        </w:rPr>
        <w:instrText xml:space="preserve"> REF _Ref133230444 \h  \* MERGEFORMAT </w:instrText>
      </w:r>
      <w:r w:rsidR="00156A86" w:rsidRPr="005B4339">
        <w:rPr>
          <w:rFonts w:ascii="Times New Roman" w:hAnsi="Times New Roman"/>
          <w:noProof/>
          <w:sz w:val="24"/>
          <w:szCs w:val="24"/>
          <w:lang w:val="en-IE"/>
        </w:rPr>
      </w:r>
      <w:r w:rsidR="00156A86"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40</w:t>
      </w:r>
      <w:r w:rsidR="00156A86"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 percentage change deviations in EU’s exports to non-EU countries and imports from them for a selected group of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products</w:t>
      </w:r>
      <w:r w:rsidR="008E262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calculated for different </w:t>
      </w:r>
      <w:r w:rsidR="008E2624" w:rsidRPr="005B4339">
        <w:rPr>
          <w:rFonts w:ascii="Times New Roman" w:hAnsi="Times New Roman"/>
          <w:noProof/>
          <w:sz w:val="24"/>
          <w:szCs w:val="24"/>
          <w:lang w:val="en-IE"/>
        </w:rPr>
        <w:t xml:space="preserve">policy </w:t>
      </w:r>
      <w:r w:rsidR="00156A86" w:rsidRPr="005B4339">
        <w:rPr>
          <w:rFonts w:ascii="Times New Roman" w:hAnsi="Times New Roman"/>
          <w:noProof/>
          <w:sz w:val="24"/>
          <w:szCs w:val="24"/>
          <w:lang w:val="en-IE"/>
        </w:rPr>
        <w:t>options</w:t>
      </w:r>
      <w:r w:rsidRPr="005B4339">
        <w:rPr>
          <w:rFonts w:ascii="Times New Roman" w:hAnsi="Times New Roman"/>
          <w:noProof/>
          <w:sz w:val="24"/>
          <w:szCs w:val="24"/>
          <w:lang w:val="en-IE"/>
        </w:rPr>
        <w:t xml:space="preserve"> with respect to the baseline in 2030. Increasing the target rate for food waste reduction results in higher exports and lower imports.</w:t>
      </w:r>
    </w:p>
    <w:p w14:paraId="78A4B18F" w14:textId="568BEADC"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Regarding extra-EU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exports</w:t>
      </w:r>
      <w:r w:rsidR="000C67D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highest increase is seen in the vegetables sector</w:t>
      </w:r>
      <w:r w:rsidR="009A72D6"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rise by 7% </w:t>
      </w:r>
      <w:r w:rsidR="00156A86" w:rsidRPr="005B4339">
        <w:rPr>
          <w:rFonts w:ascii="Times New Roman" w:hAnsi="Times New Roman"/>
          <w:noProof/>
          <w:sz w:val="24"/>
          <w:szCs w:val="24"/>
          <w:lang w:val="en-IE"/>
        </w:rPr>
        <w:t>in Option 3</w:t>
      </w:r>
      <w:r w:rsidR="009A72D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Vegetables is one of the sectors with the highest waste shares, hence reducing food waste in this sector would lead to lower demand by consumers and lower production volumes as explained in Section </w:t>
      </w:r>
      <w:r w:rsidR="00393DFA">
        <w:rPr>
          <w:rFonts w:ascii="Times New Roman" w:hAnsi="Times New Roman"/>
          <w:noProof/>
          <w:sz w:val="24"/>
          <w:szCs w:val="24"/>
          <w:lang w:val="en-IE"/>
        </w:rPr>
        <w:t>2.3.1</w:t>
      </w:r>
      <w:r w:rsidRPr="005B4339">
        <w:rPr>
          <w:rFonts w:ascii="Times New Roman" w:hAnsi="Times New Roman"/>
          <w:noProof/>
          <w:sz w:val="24"/>
          <w:szCs w:val="24"/>
          <w:lang w:val="en-IE"/>
        </w:rPr>
        <w:t xml:space="preserve"> and </w:t>
      </w:r>
      <w:r w:rsidR="00B51605" w:rsidRPr="005B4339">
        <w:rPr>
          <w:rFonts w:ascii="Times New Roman" w:hAnsi="Times New Roman"/>
          <w:noProof/>
          <w:sz w:val="24"/>
          <w:szCs w:val="24"/>
          <w:lang w:val="en-IE"/>
        </w:rPr>
        <w:t xml:space="preserve">Section </w:t>
      </w:r>
      <w:r w:rsidR="00393DFA">
        <w:rPr>
          <w:rFonts w:ascii="Times New Roman" w:hAnsi="Times New Roman"/>
          <w:noProof/>
          <w:sz w:val="24"/>
          <w:szCs w:val="24"/>
          <w:lang w:val="en-IE"/>
        </w:rPr>
        <w:t>2.3.3</w:t>
      </w:r>
      <w:r w:rsidRPr="005B4339">
        <w:rPr>
          <w:rFonts w:ascii="Times New Roman" w:hAnsi="Times New Roman"/>
          <w:noProof/>
          <w:sz w:val="24"/>
          <w:szCs w:val="24"/>
          <w:lang w:val="en-IE"/>
        </w:rPr>
        <w:t>. In the end EU producers are expected to export more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products to non-EU countries</w:t>
      </w:r>
      <w:r w:rsidR="00156A86" w:rsidRPr="005B4339">
        <w:rPr>
          <w:rFonts w:ascii="Times New Roman" w:hAnsi="Times New Roman"/>
          <w:noProof/>
          <w:sz w:val="24"/>
          <w:szCs w:val="24"/>
          <w:lang w:val="en-IE"/>
        </w:rPr>
        <w:t xml:space="preserve"> in the short to medium term</w:t>
      </w:r>
      <w:r w:rsidRPr="005B4339">
        <w:rPr>
          <w:rFonts w:ascii="Times New Roman" w:hAnsi="Times New Roman"/>
          <w:noProof/>
          <w:sz w:val="24"/>
          <w:szCs w:val="24"/>
          <w:lang w:val="en-IE"/>
        </w:rPr>
        <w:t xml:space="preserve">. </w:t>
      </w:r>
    </w:p>
    <w:p w14:paraId="613CC172" w14:textId="125C34BF" w:rsidR="008E21B7" w:rsidRPr="005B4339" w:rsidRDefault="008E21B7" w:rsidP="003B6050">
      <w:pPr>
        <w:pStyle w:val="JRCFigurecaption"/>
        <w:rPr>
          <w:noProof/>
          <w:lang w:val="fr-BE"/>
        </w:rPr>
      </w:pPr>
      <w:bookmarkStart w:id="577" w:name="_Ref133230443"/>
      <w:bookmarkStart w:id="578" w:name="_Toc133229366"/>
      <w:bookmarkStart w:id="579" w:name="_Toc139031976"/>
      <w:r w:rsidRPr="005B4339">
        <w:rPr>
          <w:noProof/>
          <w:lang w:val="fr-BE"/>
        </w:rPr>
        <w:t xml:space="preserve">Figure </w:t>
      </w:r>
      <w:r w:rsidR="00393DFA">
        <w:rPr>
          <w:noProof/>
          <w:lang w:val="fr-BE"/>
        </w:rPr>
        <w:t>39</w:t>
      </w:r>
      <w:bookmarkEnd w:id="577"/>
      <w:r w:rsidRPr="005B4339">
        <w:rPr>
          <w:noProof/>
          <w:lang w:val="fr-BE"/>
        </w:rPr>
        <w:t xml:space="preserve">: Percentage change deviation in extra-EU exports, </w:t>
      </w:r>
      <w:r w:rsidR="00156A86" w:rsidRPr="005B4339">
        <w:rPr>
          <w:noProof/>
          <w:lang w:val="fr-BE"/>
        </w:rPr>
        <w:t>option</w:t>
      </w:r>
      <w:r w:rsidRPr="005B4339">
        <w:rPr>
          <w:noProof/>
          <w:lang w:val="fr-BE"/>
        </w:rPr>
        <w:t>s vs baseline 2030</w:t>
      </w:r>
      <w:bookmarkEnd w:id="578"/>
      <w:bookmarkEnd w:id="579"/>
    </w:p>
    <w:p w14:paraId="72D60E0C" w14:textId="69103E50"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3FCCC8F9" wp14:editId="0398D969">
            <wp:extent cx="5731510" cy="2151380"/>
            <wp:effectExtent l="0" t="0" r="2540" b="1270"/>
            <wp:docPr id="1112863418" name="Picture 111286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2151380"/>
                    </a:xfrm>
                    <a:prstGeom prst="rect">
                      <a:avLst/>
                    </a:prstGeom>
                    <a:noFill/>
                    <a:ln>
                      <a:noFill/>
                    </a:ln>
                  </pic:spPr>
                </pic:pic>
              </a:graphicData>
            </a:graphic>
          </wp:inline>
        </w:drawing>
      </w:r>
    </w:p>
    <w:p w14:paraId="18E5E82F" w14:textId="77777777" w:rsidR="008E21B7" w:rsidRPr="005B4339" w:rsidRDefault="008E21B7" w:rsidP="008E21B7">
      <w:pPr>
        <w:pStyle w:val="JRCFiguresource"/>
        <w:rPr>
          <w:noProof/>
          <w:lang w:val="en-IE"/>
        </w:rPr>
      </w:pPr>
      <w:r w:rsidRPr="005B4339">
        <w:rPr>
          <w:noProof/>
          <w:lang w:val="en-IE"/>
        </w:rPr>
        <w:t>Source: MAGNET simulation results</w:t>
      </w:r>
    </w:p>
    <w:p w14:paraId="4709166F" w14:textId="375C11A1" w:rsidR="008E21B7" w:rsidRPr="005B4339" w:rsidRDefault="00160D26"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 xml:space="preserve">Changes observed in </w:t>
      </w:r>
      <w:r w:rsidR="008E21B7" w:rsidRPr="005B4339">
        <w:rPr>
          <w:rFonts w:ascii="Times New Roman" w:hAnsi="Times New Roman"/>
          <w:noProof/>
          <w:sz w:val="24"/>
          <w:szCs w:val="24"/>
          <w:lang w:val="en-IE"/>
        </w:rPr>
        <w:t xml:space="preserve">extra-EU exports </w:t>
      </w:r>
      <w:r w:rsidRPr="005B4339">
        <w:rPr>
          <w:rFonts w:ascii="Times New Roman" w:hAnsi="Times New Roman"/>
          <w:noProof/>
          <w:sz w:val="24"/>
          <w:szCs w:val="24"/>
          <w:lang w:val="en-IE"/>
        </w:rPr>
        <w:t xml:space="preserve">are reflected </w:t>
      </w:r>
      <w:r w:rsidR="008E21B7" w:rsidRPr="005B4339">
        <w:rPr>
          <w:rFonts w:ascii="Times New Roman" w:hAnsi="Times New Roman"/>
          <w:noProof/>
          <w:sz w:val="24"/>
          <w:szCs w:val="24"/>
          <w:lang w:val="en-IE"/>
        </w:rPr>
        <w:t>on extra-EU imports (</w:t>
      </w:r>
      <w:r w:rsidR="00156A86" w:rsidRPr="005B4339">
        <w:rPr>
          <w:rFonts w:ascii="Times New Roman" w:hAnsi="Times New Roman"/>
          <w:noProof/>
          <w:sz w:val="24"/>
          <w:szCs w:val="24"/>
          <w:lang w:val="en-IE"/>
        </w:rPr>
        <w:fldChar w:fldCharType="begin"/>
      </w:r>
      <w:r w:rsidR="00156A86" w:rsidRPr="005B4339">
        <w:rPr>
          <w:rFonts w:ascii="Times New Roman" w:hAnsi="Times New Roman"/>
          <w:noProof/>
          <w:sz w:val="24"/>
          <w:szCs w:val="24"/>
          <w:lang w:val="en-IE"/>
        </w:rPr>
        <w:instrText xml:space="preserve"> REF _Ref133230444 \h  \* MERGEFORMAT </w:instrText>
      </w:r>
      <w:r w:rsidR="00156A86" w:rsidRPr="005B4339">
        <w:rPr>
          <w:rFonts w:ascii="Times New Roman" w:hAnsi="Times New Roman"/>
          <w:noProof/>
          <w:sz w:val="24"/>
          <w:szCs w:val="24"/>
          <w:lang w:val="en-IE"/>
        </w:rPr>
      </w:r>
      <w:r w:rsidR="00156A86"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40</w:t>
      </w:r>
      <w:r w:rsidR="00156A86" w:rsidRPr="005B4339">
        <w:rPr>
          <w:rFonts w:ascii="Times New Roman" w:hAnsi="Times New Roman"/>
          <w:noProof/>
          <w:sz w:val="24"/>
          <w:szCs w:val="24"/>
          <w:lang w:val="en-IE"/>
        </w:rPr>
        <w:fldChar w:fldCharType="end"/>
      </w:r>
      <w:r w:rsidR="008E21B7" w:rsidRPr="005B4339">
        <w:rPr>
          <w:rFonts w:ascii="Times New Roman" w:hAnsi="Times New Roman"/>
          <w:noProof/>
          <w:sz w:val="24"/>
          <w:szCs w:val="24"/>
          <w:lang w:val="en-IE"/>
        </w:rPr>
        <w:t xml:space="preserve">). Option 3 </w:t>
      </w:r>
      <w:r w:rsidR="00E3667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that leads to a 7% increase of EU’s vegetable exports</w:t>
      </w:r>
      <w:r w:rsidR="00E3667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leads to a decrease 12% in EU’s imports. For wheat</w:t>
      </w:r>
      <w:r w:rsidR="00156A8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the pattern is the same</w:t>
      </w:r>
      <w:r w:rsidR="00FC475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with an increase of over 5% in extra-EU exports with a decrease of </w:t>
      </w:r>
      <w:r w:rsidR="004364D1" w:rsidRPr="005B4339">
        <w:rPr>
          <w:rFonts w:ascii="Times New Roman" w:hAnsi="Times New Roman"/>
          <w:noProof/>
          <w:sz w:val="24"/>
          <w:szCs w:val="24"/>
          <w:lang w:val="en-IE"/>
        </w:rPr>
        <w:t>imports</w:t>
      </w:r>
      <w:r w:rsidR="00BC6BC5" w:rsidRPr="005B4339">
        <w:rPr>
          <w:rFonts w:ascii="Times New Roman" w:hAnsi="Times New Roman"/>
          <w:noProof/>
          <w:sz w:val="24"/>
          <w:szCs w:val="24"/>
          <w:lang w:val="en-IE"/>
        </w:rPr>
        <w:t xml:space="preserve"> by </w:t>
      </w:r>
      <w:r w:rsidR="008E21B7" w:rsidRPr="005B4339">
        <w:rPr>
          <w:rFonts w:ascii="Times New Roman" w:hAnsi="Times New Roman"/>
          <w:noProof/>
          <w:sz w:val="24"/>
          <w:szCs w:val="24"/>
          <w:lang w:val="en-IE"/>
        </w:rPr>
        <w:t xml:space="preserve">10% in </w:t>
      </w:r>
      <w:r w:rsidR="00156A86" w:rsidRPr="005B4339">
        <w:rPr>
          <w:rFonts w:ascii="Times New Roman" w:hAnsi="Times New Roman"/>
          <w:noProof/>
          <w:sz w:val="24"/>
          <w:szCs w:val="24"/>
          <w:lang w:val="en-IE"/>
        </w:rPr>
        <w:t>Option 3</w:t>
      </w:r>
      <w:r w:rsidR="008E21B7" w:rsidRPr="005B4339">
        <w:rPr>
          <w:rFonts w:ascii="Times New Roman" w:hAnsi="Times New Roman"/>
          <w:noProof/>
          <w:sz w:val="24"/>
          <w:szCs w:val="24"/>
          <w:lang w:val="en-IE"/>
        </w:rPr>
        <w:t xml:space="preserve">. </w:t>
      </w:r>
    </w:p>
    <w:p w14:paraId="42AE857A" w14:textId="640E8EFD" w:rsidR="008E21B7" w:rsidRPr="005B4339" w:rsidRDefault="008E21B7" w:rsidP="003B6050">
      <w:pPr>
        <w:pStyle w:val="JRCFigurecaption"/>
        <w:rPr>
          <w:noProof/>
          <w:lang w:val="fr-BE"/>
        </w:rPr>
      </w:pPr>
      <w:bookmarkStart w:id="580" w:name="_Ref133230444"/>
      <w:bookmarkStart w:id="581" w:name="_Toc133229367"/>
      <w:bookmarkStart w:id="582" w:name="_Toc139031977"/>
      <w:r w:rsidRPr="005B4339">
        <w:rPr>
          <w:noProof/>
          <w:lang w:val="fr-BE"/>
        </w:rPr>
        <w:t xml:space="preserve">Figure </w:t>
      </w:r>
      <w:r w:rsidR="00393DFA">
        <w:rPr>
          <w:noProof/>
          <w:lang w:val="fr-BE"/>
        </w:rPr>
        <w:t>40</w:t>
      </w:r>
      <w:bookmarkEnd w:id="580"/>
      <w:r w:rsidRPr="005B4339">
        <w:rPr>
          <w:noProof/>
          <w:lang w:val="fr-BE"/>
        </w:rPr>
        <w:t xml:space="preserve">: Percentage change deviation in extra-EU imports, </w:t>
      </w:r>
      <w:r w:rsidR="00156A86" w:rsidRPr="005B4339">
        <w:rPr>
          <w:noProof/>
          <w:lang w:val="fr-BE"/>
        </w:rPr>
        <w:t>option</w:t>
      </w:r>
      <w:r w:rsidRPr="005B4339">
        <w:rPr>
          <w:noProof/>
          <w:lang w:val="fr-BE"/>
        </w:rPr>
        <w:t>s vs baseline 2030</w:t>
      </w:r>
      <w:bookmarkEnd w:id="581"/>
      <w:bookmarkEnd w:id="582"/>
    </w:p>
    <w:p w14:paraId="3C437B67" w14:textId="2504905C"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552B1796" wp14:editId="2595267F">
            <wp:extent cx="5731510" cy="1932940"/>
            <wp:effectExtent l="0" t="0" r="2540" b="0"/>
            <wp:docPr id="1112863417" name="Picture 111286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1932940"/>
                    </a:xfrm>
                    <a:prstGeom prst="rect">
                      <a:avLst/>
                    </a:prstGeom>
                    <a:noFill/>
                    <a:ln>
                      <a:noFill/>
                    </a:ln>
                  </pic:spPr>
                </pic:pic>
              </a:graphicData>
            </a:graphic>
          </wp:inline>
        </w:drawing>
      </w:r>
    </w:p>
    <w:p w14:paraId="3B697DBC" w14:textId="77777777" w:rsidR="00794505" w:rsidRPr="005B4339" w:rsidRDefault="00794505" w:rsidP="00F54798">
      <w:pPr>
        <w:pStyle w:val="JRCFiguresource"/>
        <w:rPr>
          <w:noProof/>
          <w:lang w:val="en-IE"/>
        </w:rPr>
      </w:pPr>
      <w:r w:rsidRPr="005B4339">
        <w:rPr>
          <w:noProof/>
          <w:lang w:val="en-IE"/>
        </w:rPr>
        <w:t>Source: MAGNET simulation results</w:t>
      </w:r>
    </w:p>
    <w:p w14:paraId="59096399" w14:textId="48EABC0D"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The impact of food waste reduction scenarios on intra-EU trade is more limited than the impact on extra-EU trade. For instance</w:t>
      </w:r>
      <w:r w:rsidR="008E21B7"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intra-EU trade of fruits could decrease by only 0.6% in Option 1 to 1.8% in Option 3. For vegetables</w:t>
      </w:r>
      <w:r w:rsidR="00156A8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expected decrease is higher by 1.5% to 4.2%. </w:t>
      </w:r>
    </w:p>
    <w:p w14:paraId="583EB74D" w14:textId="772F79BA"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The generally decreasing trend in extra-EU imports and increasing in extra-EU exports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leads to an increase of EU’s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food trade baseline across all </w:t>
      </w:r>
      <w:r w:rsidR="00156A86" w:rsidRPr="005B4339">
        <w:rPr>
          <w:rFonts w:ascii="Times New Roman" w:hAnsi="Times New Roman"/>
          <w:noProof/>
          <w:sz w:val="24"/>
          <w:szCs w:val="24"/>
          <w:lang w:val="en-IE"/>
        </w:rPr>
        <w:t>options</w:t>
      </w:r>
      <w:r w:rsidRPr="005B4339">
        <w:rPr>
          <w:rFonts w:ascii="Times New Roman" w:hAnsi="Times New Roman"/>
          <w:noProof/>
          <w:sz w:val="24"/>
          <w:szCs w:val="24"/>
          <w:lang w:val="en-IE"/>
        </w:rPr>
        <w:t xml:space="preserve"> versus the baseline in 2030. In value terms</w:t>
      </w:r>
      <w:r w:rsidR="00CC4E3C" w:rsidRPr="005B4339">
        <w:rPr>
          <w:rFonts w:ascii="Times New Roman" w:hAnsi="Times New Roman"/>
          <w:noProof/>
          <w:sz w:val="24"/>
          <w:szCs w:val="24"/>
          <w:lang w:val="en-IE"/>
        </w:rPr>
        <w:t>, the</w:t>
      </w:r>
      <w:r w:rsidRPr="005B4339">
        <w:rPr>
          <w:rFonts w:ascii="Times New Roman" w:hAnsi="Times New Roman"/>
          <w:noProof/>
          <w:sz w:val="24"/>
          <w:szCs w:val="24"/>
          <w:lang w:val="en-IE"/>
        </w:rPr>
        <w:t xml:space="preserve"> highest increase in </w:t>
      </w:r>
      <w:r w:rsidR="00CC4E3C" w:rsidRPr="005B4339">
        <w:rPr>
          <w:rFonts w:ascii="Times New Roman" w:hAnsi="Times New Roman"/>
          <w:noProof/>
          <w:sz w:val="24"/>
          <w:szCs w:val="24"/>
          <w:lang w:val="en-IE"/>
        </w:rPr>
        <w:t xml:space="preserve">the </w:t>
      </w:r>
      <w:r w:rsidRPr="005B4339">
        <w:rPr>
          <w:rFonts w:ascii="Times New Roman" w:hAnsi="Times New Roman"/>
          <w:noProof/>
          <w:sz w:val="24"/>
          <w:szCs w:val="24"/>
          <w:lang w:val="en-IE"/>
        </w:rPr>
        <w:t>agri-food trade balance is seen in the fruits sector</w:t>
      </w:r>
      <w:r w:rsidR="008E21B7"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is negative in the baseline. Food waste reduction leads to an improvement in the fruits trade balance that ranges from nearly EUR 350 million to over EUR one billion depending on the </w:t>
      </w:r>
      <w:r w:rsidR="000F337F" w:rsidRPr="005B4339">
        <w:rPr>
          <w:rFonts w:ascii="Times New Roman" w:hAnsi="Times New Roman"/>
          <w:noProof/>
          <w:sz w:val="24"/>
          <w:szCs w:val="24"/>
          <w:lang w:val="en-IE"/>
        </w:rPr>
        <w:t>option</w:t>
      </w:r>
      <w:r w:rsidRPr="005B4339">
        <w:rPr>
          <w:rFonts w:ascii="Times New Roman" w:hAnsi="Times New Roman"/>
          <w:noProof/>
          <w:sz w:val="24"/>
          <w:szCs w:val="24"/>
          <w:lang w:val="en-IE"/>
        </w:rPr>
        <w:t xml:space="preserve"> </w:t>
      </w:r>
      <w:r w:rsidR="008E21B7" w:rsidRPr="005B4339">
        <w:rPr>
          <w:rFonts w:ascii="Times New Roman" w:hAnsi="Times New Roman"/>
          <w:noProof/>
          <w:sz w:val="24"/>
          <w:szCs w:val="24"/>
          <w:lang w:val="en-IE"/>
        </w:rPr>
        <w:t>(</w:t>
      </w:r>
      <w:r w:rsidR="00156A86" w:rsidRPr="005B4339">
        <w:rPr>
          <w:rFonts w:ascii="Times New Roman" w:hAnsi="Times New Roman"/>
          <w:noProof/>
          <w:sz w:val="24"/>
          <w:szCs w:val="24"/>
          <w:lang w:val="en-IE"/>
        </w:rPr>
        <w:fldChar w:fldCharType="begin"/>
      </w:r>
      <w:r w:rsidR="00156A86" w:rsidRPr="005B4339">
        <w:rPr>
          <w:rFonts w:ascii="Times New Roman" w:hAnsi="Times New Roman"/>
          <w:noProof/>
          <w:sz w:val="24"/>
          <w:szCs w:val="24"/>
          <w:lang w:val="en-IE"/>
        </w:rPr>
        <w:instrText xml:space="preserve"> REF _Ref133230669 \h  \* MERGEFORMAT </w:instrText>
      </w:r>
      <w:r w:rsidR="00156A86" w:rsidRPr="005B4339">
        <w:rPr>
          <w:rFonts w:ascii="Times New Roman" w:hAnsi="Times New Roman"/>
          <w:noProof/>
          <w:sz w:val="24"/>
          <w:szCs w:val="24"/>
          <w:lang w:val="en-IE"/>
        </w:rPr>
      </w:r>
      <w:r w:rsidR="00156A86"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41</w:t>
      </w:r>
      <w:r w:rsidR="00156A86" w:rsidRPr="005B4339">
        <w:rPr>
          <w:rFonts w:ascii="Times New Roman" w:hAnsi="Times New Roman"/>
          <w:noProof/>
          <w:sz w:val="24"/>
          <w:szCs w:val="24"/>
          <w:lang w:val="en-IE"/>
        </w:rPr>
        <w:fldChar w:fldCharType="end"/>
      </w:r>
      <w:r w:rsidR="008E21B7"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hence decreasing the trade deficit in fruits up to 11% in Option 3.</w:t>
      </w:r>
    </w:p>
    <w:p w14:paraId="21775CC3" w14:textId="4AB53409" w:rsidR="008E21B7" w:rsidRPr="005B4339" w:rsidRDefault="00794505" w:rsidP="003B6050">
      <w:pPr>
        <w:pStyle w:val="JRCFigurecaption"/>
        <w:rPr>
          <w:noProof/>
          <w:lang w:val="en-IE"/>
        </w:rPr>
      </w:pPr>
      <w:bookmarkStart w:id="583" w:name="_Ref133230669"/>
      <w:bookmarkStart w:id="584" w:name="_Toc133229368"/>
      <w:bookmarkStart w:id="585" w:name="_Toc139031978"/>
      <w:r w:rsidRPr="005B4339">
        <w:rPr>
          <w:noProof/>
          <w:lang w:val="en-IE"/>
        </w:rPr>
        <w:t xml:space="preserve">Figure </w:t>
      </w:r>
      <w:r w:rsidR="00393DFA">
        <w:rPr>
          <w:noProof/>
        </w:rPr>
        <w:t>41</w:t>
      </w:r>
      <w:bookmarkEnd w:id="583"/>
      <w:r w:rsidR="008E21B7" w:rsidRPr="005B4339">
        <w:rPr>
          <w:noProof/>
          <w:lang w:val="en-IE"/>
        </w:rPr>
        <w:t>: Change in EU’s agri</w:t>
      </w:r>
      <w:r w:rsidR="00D42216" w:rsidRPr="005B4339">
        <w:rPr>
          <w:noProof/>
          <w:lang w:val="en-IE"/>
        </w:rPr>
        <w:t>-</w:t>
      </w:r>
      <w:r w:rsidR="008E21B7" w:rsidRPr="005B4339">
        <w:rPr>
          <w:noProof/>
          <w:lang w:val="en-IE"/>
        </w:rPr>
        <w:t xml:space="preserve">food trade balance by food groups </w:t>
      </w:r>
      <w:r w:rsidR="00393E3F" w:rsidRPr="005B4339">
        <w:rPr>
          <w:noProof/>
          <w:lang w:val="en-IE"/>
        </w:rPr>
        <w:t xml:space="preserve">options </w:t>
      </w:r>
      <w:r w:rsidR="008E21B7" w:rsidRPr="005B4339">
        <w:rPr>
          <w:noProof/>
          <w:lang w:val="en-IE"/>
        </w:rPr>
        <w:t>vs baseline 2030</w:t>
      </w:r>
      <w:bookmarkEnd w:id="584"/>
      <w:bookmarkEnd w:id="585"/>
    </w:p>
    <w:p w14:paraId="7B2E6DBE" w14:textId="4D7FF897"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3931B117" wp14:editId="55879585">
            <wp:extent cx="5724525" cy="2371725"/>
            <wp:effectExtent l="0" t="0" r="9525" b="9525"/>
            <wp:docPr id="1112863416" name="Picture 111286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noFill/>
                    </a:ln>
                  </pic:spPr>
                </pic:pic>
              </a:graphicData>
            </a:graphic>
          </wp:inline>
        </w:drawing>
      </w:r>
    </w:p>
    <w:p w14:paraId="3F35081C" w14:textId="77777777" w:rsidR="008E21B7" w:rsidRPr="005B4339" w:rsidRDefault="008E21B7" w:rsidP="008E21B7">
      <w:pPr>
        <w:pStyle w:val="JRCFiguresource"/>
        <w:rPr>
          <w:noProof/>
          <w:lang w:val="en-IE"/>
        </w:rPr>
      </w:pPr>
      <w:r w:rsidRPr="005B4339">
        <w:rPr>
          <w:noProof/>
          <w:lang w:val="en-IE"/>
        </w:rPr>
        <w:t>Source: MAGNET simulation results</w:t>
      </w:r>
    </w:p>
    <w:p w14:paraId="7084FE33" w14:textId="5CB9A637" w:rsidR="008E21B7" w:rsidRPr="005B4339" w:rsidRDefault="008E2624"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Also driven by lower EU prices and increased competitiveness of EU producers in the world market, i</w:t>
      </w:r>
      <w:r w:rsidR="008E21B7" w:rsidRPr="005B4339">
        <w:rPr>
          <w:rFonts w:ascii="Times New Roman" w:hAnsi="Times New Roman"/>
          <w:noProof/>
          <w:sz w:val="24"/>
          <w:szCs w:val="24"/>
          <w:lang w:val="en-IE"/>
        </w:rPr>
        <w:t>mpact of food waste reduction is positive for the EU’s agri</w:t>
      </w:r>
      <w:r w:rsidR="00D4221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food trade balance</w:t>
      </w:r>
      <w:r w:rsidR="000F337F" w:rsidRPr="005B4339">
        <w:rPr>
          <w:rFonts w:ascii="Times New Roman" w:hAnsi="Times New Roman"/>
          <w:noProof/>
          <w:sz w:val="24"/>
          <w:szCs w:val="24"/>
          <w:lang w:val="en-IE"/>
        </w:rPr>
        <w:t xml:space="preserve"> – at </w:t>
      </w:r>
      <w:r w:rsidR="000F337F" w:rsidRPr="005B4339">
        <w:rPr>
          <w:rFonts w:ascii="Times New Roman" w:hAnsi="Times New Roman"/>
          <w:noProof/>
          <w:sz w:val="24"/>
          <w:szCs w:val="24"/>
          <w:lang w:val="en-IE"/>
        </w:rPr>
        <w:lastRenderedPageBreak/>
        <w:t xml:space="preserve">least in the short term to the medium term until markets adapt to the </w:t>
      </w:r>
      <w:r w:rsidR="00A37D3D" w:rsidRPr="005B4339">
        <w:rPr>
          <w:rFonts w:ascii="Times New Roman" w:hAnsi="Times New Roman"/>
          <w:noProof/>
          <w:sz w:val="24"/>
          <w:szCs w:val="24"/>
          <w:lang w:val="en-IE"/>
        </w:rPr>
        <w:t xml:space="preserve">generation </w:t>
      </w:r>
      <w:r w:rsidR="000F337F" w:rsidRPr="005B4339">
        <w:rPr>
          <w:rFonts w:ascii="Times New Roman" w:hAnsi="Times New Roman"/>
          <w:noProof/>
          <w:sz w:val="24"/>
          <w:szCs w:val="24"/>
          <w:lang w:val="en-IE"/>
        </w:rPr>
        <w:t xml:space="preserve">of less food waste. </w:t>
      </w:r>
      <w:r w:rsidR="008E21B7" w:rsidRPr="005B4339">
        <w:rPr>
          <w:rFonts w:ascii="Times New Roman" w:hAnsi="Times New Roman"/>
          <w:noProof/>
          <w:sz w:val="24"/>
          <w:szCs w:val="24"/>
          <w:lang w:val="en-IE"/>
        </w:rPr>
        <w:t xml:space="preserve"> With </w:t>
      </w:r>
      <w:r w:rsidRPr="005B4339">
        <w:rPr>
          <w:rFonts w:ascii="Times New Roman" w:hAnsi="Times New Roman"/>
          <w:noProof/>
          <w:sz w:val="24"/>
          <w:szCs w:val="24"/>
          <w:lang w:val="en-IE"/>
        </w:rPr>
        <w:t xml:space="preserve">the policy </w:t>
      </w:r>
      <w:r w:rsidR="008E21B7" w:rsidRPr="005B4339">
        <w:rPr>
          <w:rFonts w:ascii="Times New Roman" w:hAnsi="Times New Roman"/>
          <w:noProof/>
          <w:sz w:val="24"/>
          <w:szCs w:val="24"/>
          <w:lang w:val="en-IE"/>
        </w:rPr>
        <w:t>Option 3</w:t>
      </w:r>
      <w:r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the expected increase in the EU’s agri</w:t>
      </w:r>
      <w:r w:rsidR="00D4221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food trade balance amounts nearly to EUR 7 900 millions, whereas we observe decreases in the agri</w:t>
      </w:r>
      <w:r w:rsidR="00D4221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food trade balance of non-EU countries. </w:t>
      </w:r>
      <w:r w:rsidR="000F337F" w:rsidRPr="005B4339">
        <w:rPr>
          <w:rFonts w:ascii="Times New Roman" w:hAnsi="Times New Roman"/>
          <w:noProof/>
          <w:sz w:val="24"/>
          <w:szCs w:val="24"/>
          <w:lang w:val="en-IE"/>
        </w:rPr>
        <w:fldChar w:fldCharType="begin"/>
      </w:r>
      <w:r w:rsidR="000F337F" w:rsidRPr="005B4339">
        <w:rPr>
          <w:rFonts w:ascii="Times New Roman" w:hAnsi="Times New Roman"/>
          <w:noProof/>
          <w:sz w:val="24"/>
          <w:szCs w:val="24"/>
          <w:lang w:val="en-IE"/>
        </w:rPr>
        <w:instrText xml:space="preserve"> REF _Ref133231387 \h  \* MERGEFORMAT </w:instrText>
      </w:r>
      <w:r w:rsidR="000F337F" w:rsidRPr="005B4339">
        <w:rPr>
          <w:rFonts w:ascii="Times New Roman" w:hAnsi="Times New Roman"/>
          <w:noProof/>
          <w:sz w:val="24"/>
          <w:szCs w:val="24"/>
          <w:lang w:val="en-IE"/>
        </w:rPr>
      </w:r>
      <w:r w:rsidR="000F337F"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42</w:t>
      </w:r>
      <w:r w:rsidR="000F337F" w:rsidRPr="005B4339">
        <w:rPr>
          <w:rFonts w:ascii="Times New Roman" w:hAnsi="Times New Roman"/>
          <w:noProof/>
          <w:sz w:val="24"/>
          <w:szCs w:val="24"/>
          <w:lang w:val="en-IE"/>
        </w:rPr>
        <w:fldChar w:fldCharType="end"/>
      </w:r>
      <w:r w:rsidR="008E21B7" w:rsidRPr="005B4339">
        <w:rPr>
          <w:rFonts w:ascii="Times New Roman" w:hAnsi="Times New Roman"/>
          <w:noProof/>
          <w:sz w:val="24"/>
          <w:szCs w:val="24"/>
          <w:lang w:val="en-IE"/>
        </w:rPr>
        <w:t xml:space="preserve"> depicts these changes for Option 3. Asia’s trade balance in agri</w:t>
      </w:r>
      <w:r w:rsidR="00D4221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food is to decrease the most mainly lead by declining trade balance in dairy and livestock. For Latin America</w:t>
      </w:r>
      <w:r w:rsidR="00A37D3D"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 the decrease primarily result</w:t>
      </w:r>
      <w:r w:rsidR="00A37D3D" w:rsidRPr="005B4339">
        <w:rPr>
          <w:rFonts w:ascii="Times New Roman" w:hAnsi="Times New Roman"/>
          <w:noProof/>
          <w:sz w:val="24"/>
          <w:szCs w:val="24"/>
          <w:lang w:val="en-IE"/>
        </w:rPr>
        <w:t>s</w:t>
      </w:r>
      <w:r w:rsidR="008E21B7" w:rsidRPr="005B4339">
        <w:rPr>
          <w:rFonts w:ascii="Times New Roman" w:hAnsi="Times New Roman"/>
          <w:noProof/>
          <w:sz w:val="24"/>
          <w:szCs w:val="24"/>
          <w:lang w:val="en-IE"/>
        </w:rPr>
        <w:t xml:space="preserve"> from the fruits sector given the highest share of fruit imports of the EU from this region and expected less imports of EU.</w:t>
      </w:r>
    </w:p>
    <w:p w14:paraId="3918D72D" w14:textId="475594C2" w:rsidR="008E21B7" w:rsidRPr="005B4339" w:rsidRDefault="008E21B7" w:rsidP="003B6050">
      <w:pPr>
        <w:pStyle w:val="JRCFigurecaption"/>
        <w:rPr>
          <w:noProof/>
          <w:lang w:val="en-IE"/>
        </w:rPr>
      </w:pPr>
      <w:bookmarkStart w:id="586" w:name="_Ref133231387"/>
      <w:bookmarkStart w:id="587" w:name="_Toc133229369"/>
      <w:bookmarkStart w:id="588" w:name="_Toc139031979"/>
      <w:r w:rsidRPr="005B4339">
        <w:rPr>
          <w:noProof/>
          <w:lang w:val="en-IE"/>
        </w:rPr>
        <w:t xml:space="preserve">Figure </w:t>
      </w:r>
      <w:r w:rsidR="00393DFA">
        <w:rPr>
          <w:noProof/>
        </w:rPr>
        <w:t>42</w:t>
      </w:r>
      <w:bookmarkEnd w:id="586"/>
      <w:r w:rsidRPr="005B4339">
        <w:rPr>
          <w:noProof/>
          <w:lang w:val="en-IE"/>
        </w:rPr>
        <w:t>: Change deviation in agri</w:t>
      </w:r>
      <w:r w:rsidR="00D42216" w:rsidRPr="005B4339">
        <w:rPr>
          <w:noProof/>
          <w:lang w:val="en-IE"/>
        </w:rPr>
        <w:t>-</w:t>
      </w:r>
      <w:r w:rsidRPr="005B4339">
        <w:rPr>
          <w:noProof/>
          <w:lang w:val="en-IE"/>
        </w:rPr>
        <w:t>food trade balance Option 3 vs baseline 2030</w:t>
      </w:r>
      <w:bookmarkEnd w:id="587"/>
      <w:bookmarkEnd w:id="588"/>
    </w:p>
    <w:p w14:paraId="09039B83" w14:textId="4F282ABA"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33FFB442" wp14:editId="5734C821">
            <wp:extent cx="5731510" cy="2465705"/>
            <wp:effectExtent l="0" t="0" r="2540" b="0"/>
            <wp:docPr id="1112863415" name="Picture 11128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465705"/>
                    </a:xfrm>
                    <a:prstGeom prst="rect">
                      <a:avLst/>
                    </a:prstGeom>
                    <a:noFill/>
                    <a:ln>
                      <a:noFill/>
                    </a:ln>
                  </pic:spPr>
                </pic:pic>
              </a:graphicData>
            </a:graphic>
          </wp:inline>
        </w:drawing>
      </w:r>
    </w:p>
    <w:p w14:paraId="390E0E8E" w14:textId="77777777" w:rsidR="00794505" w:rsidRPr="005B4339" w:rsidRDefault="00794505" w:rsidP="00F54798">
      <w:pPr>
        <w:pStyle w:val="JRCFiguresource"/>
        <w:rPr>
          <w:noProof/>
          <w:lang w:val="en-IE"/>
        </w:rPr>
      </w:pPr>
      <w:r w:rsidRPr="005B4339">
        <w:rPr>
          <w:noProof/>
          <w:lang w:val="en-IE"/>
        </w:rPr>
        <w:tab/>
      </w:r>
      <w:r w:rsidRPr="005B4339">
        <w:rPr>
          <w:noProof/>
          <w:lang w:val="en-IE"/>
        </w:rPr>
        <w:tab/>
        <w:t>Source: MAGNET simulation results</w:t>
      </w:r>
    </w:p>
    <w:p w14:paraId="26EBF81D" w14:textId="77777777"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It should be noted that this is based on the assumption that while non-EU countries may be engaging in food waste prevention as part of their commitment to the global SDG Target 12.3, they are not implementing similar food waste reduction policies (i.e., legally binding targets) and/or implementing such policies at a slower pace. If they do, the advantage of the EU will decrease proportionally to their progress.</w:t>
      </w:r>
    </w:p>
    <w:p w14:paraId="459A3B77" w14:textId="77777777" w:rsidR="008E21B7" w:rsidRPr="005B4339" w:rsidRDefault="008E21B7" w:rsidP="008E21B7">
      <w:pPr>
        <w:pStyle w:val="JRCText"/>
        <w:rPr>
          <w:rFonts w:ascii="Times New Roman" w:hAnsi="Times New Roman"/>
          <w:noProof/>
          <w:sz w:val="24"/>
          <w:szCs w:val="24"/>
          <w:lang w:val="en-IE"/>
        </w:rPr>
      </w:pPr>
    </w:p>
    <w:p w14:paraId="48E81048" w14:textId="46DBDF02" w:rsidR="008E21B7" w:rsidRPr="005B4339" w:rsidRDefault="008E21B7">
      <w:pPr>
        <w:pStyle w:val="JRCLevel-3title"/>
        <w:numPr>
          <w:ilvl w:val="2"/>
          <w:numId w:val="161"/>
        </w:numPr>
        <w:rPr>
          <w:rFonts w:ascii="Times New Roman" w:hAnsi="Times New Roman"/>
          <w:noProof/>
          <w:sz w:val="24"/>
          <w:lang w:val="en-IE"/>
        </w:rPr>
      </w:pPr>
      <w:bookmarkStart w:id="589" w:name="_Toc2136087598"/>
      <w:bookmarkStart w:id="590" w:name="_Toc1788654013"/>
      <w:bookmarkStart w:id="591" w:name="_Toc19472625"/>
      <w:bookmarkStart w:id="592" w:name="_Toc190825150"/>
      <w:bookmarkStart w:id="593" w:name="_Toc1473079875"/>
      <w:bookmarkStart w:id="594" w:name="_Toc1899828713"/>
      <w:bookmarkStart w:id="595" w:name="_Toc1966675820"/>
      <w:bookmarkStart w:id="596" w:name="_Toc962231845"/>
      <w:bookmarkStart w:id="597" w:name="_Toc139032120"/>
      <w:r w:rsidRPr="005B4339">
        <w:rPr>
          <w:rFonts w:ascii="Times New Roman" w:hAnsi="Times New Roman"/>
          <w:noProof/>
          <w:sz w:val="24"/>
          <w:lang w:val="en-IE"/>
        </w:rPr>
        <w:t>GDP and income</w:t>
      </w:r>
      <w:bookmarkEnd w:id="589"/>
      <w:bookmarkEnd w:id="590"/>
      <w:bookmarkEnd w:id="591"/>
      <w:bookmarkEnd w:id="592"/>
      <w:bookmarkEnd w:id="593"/>
      <w:bookmarkEnd w:id="594"/>
      <w:bookmarkEnd w:id="595"/>
      <w:bookmarkEnd w:id="596"/>
      <w:bookmarkEnd w:id="597"/>
    </w:p>
    <w:p w14:paraId="09C58203" w14:textId="27F2CA84"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Food waste reduction scenarios have marginal macroeconomic impact on the real GDP of the EU and non-EU countries as a total whereas the impact increases with higher food waste reduction targets (</w:t>
      </w:r>
      <w:r w:rsidR="007E4F42" w:rsidRPr="005B4339">
        <w:rPr>
          <w:rFonts w:ascii="Times New Roman" w:hAnsi="Times New Roman"/>
          <w:noProof/>
          <w:sz w:val="24"/>
          <w:szCs w:val="24"/>
          <w:lang w:val="en-IE"/>
        </w:rPr>
        <w:fldChar w:fldCharType="begin"/>
      </w:r>
      <w:r w:rsidR="007E4F42" w:rsidRPr="005B4339">
        <w:rPr>
          <w:rFonts w:ascii="Times New Roman" w:hAnsi="Times New Roman"/>
          <w:noProof/>
          <w:sz w:val="24"/>
          <w:szCs w:val="24"/>
          <w:lang w:val="en-IE"/>
        </w:rPr>
        <w:instrText xml:space="preserve"> REF _Ref133231747 \h  \* MERGEFORMAT </w:instrText>
      </w:r>
      <w:r w:rsidR="007E4F42" w:rsidRPr="005B4339">
        <w:rPr>
          <w:rFonts w:ascii="Times New Roman" w:hAnsi="Times New Roman"/>
          <w:noProof/>
          <w:sz w:val="24"/>
          <w:szCs w:val="24"/>
          <w:lang w:val="en-IE"/>
        </w:rPr>
      </w:r>
      <w:r w:rsidR="007E4F4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43</w:t>
      </w:r>
      <w:r w:rsidR="007E4F4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Even with the most advanced reduction targets</w:t>
      </w:r>
      <w:r w:rsidR="00CC2BA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there is a decline in EU27 GDP of less than 0.02%. On the other hand, although not depicted in </w:t>
      </w:r>
      <w:r w:rsidR="007E4F42" w:rsidRPr="005B4339">
        <w:rPr>
          <w:rFonts w:ascii="Times New Roman" w:hAnsi="Times New Roman"/>
          <w:noProof/>
          <w:sz w:val="24"/>
          <w:szCs w:val="24"/>
          <w:lang w:val="en-IE"/>
        </w:rPr>
        <w:fldChar w:fldCharType="begin"/>
      </w:r>
      <w:r w:rsidR="007E4F42" w:rsidRPr="005B4339">
        <w:rPr>
          <w:rFonts w:ascii="Times New Roman" w:hAnsi="Times New Roman"/>
          <w:noProof/>
          <w:sz w:val="24"/>
          <w:szCs w:val="24"/>
          <w:lang w:val="en-IE"/>
        </w:rPr>
        <w:instrText xml:space="preserve"> REF _Ref133231747 \h  \* MERGEFORMAT </w:instrText>
      </w:r>
      <w:r w:rsidR="007E4F42" w:rsidRPr="005B4339">
        <w:rPr>
          <w:rFonts w:ascii="Times New Roman" w:hAnsi="Times New Roman"/>
          <w:noProof/>
          <w:sz w:val="24"/>
          <w:szCs w:val="24"/>
          <w:lang w:val="en-IE"/>
        </w:rPr>
      </w:r>
      <w:r w:rsidR="007E4F4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43</w:t>
      </w:r>
      <w:r w:rsidR="007E4F4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there is a small increase in GDP per capita (up to 0.05% for the EU27 average in Option 3). For the rest of the world the impact is negligible. </w:t>
      </w:r>
    </w:p>
    <w:p w14:paraId="7919571F" w14:textId="4C91FEF6" w:rsidR="008E21B7" w:rsidRPr="005B4339" w:rsidRDefault="008E21B7" w:rsidP="003B6050">
      <w:pPr>
        <w:pStyle w:val="JRCFigurecaption"/>
        <w:rPr>
          <w:noProof/>
          <w:lang w:val="en-IE"/>
        </w:rPr>
      </w:pPr>
      <w:bookmarkStart w:id="598" w:name="_Ref133231747"/>
      <w:bookmarkStart w:id="599" w:name="_Toc133229370"/>
      <w:bookmarkStart w:id="600" w:name="_Toc139031980"/>
      <w:r w:rsidRPr="005B4339">
        <w:rPr>
          <w:noProof/>
          <w:lang w:val="en-IE"/>
        </w:rPr>
        <w:t xml:space="preserve">Figure </w:t>
      </w:r>
      <w:r w:rsidR="00393DFA">
        <w:rPr>
          <w:noProof/>
        </w:rPr>
        <w:t>43</w:t>
      </w:r>
      <w:bookmarkEnd w:id="598"/>
      <w:r w:rsidRPr="005B4339">
        <w:rPr>
          <w:noProof/>
          <w:lang w:val="en-IE"/>
        </w:rPr>
        <w:t>: Change deviation in real GDP for EU and non-EU</w:t>
      </w:r>
      <w:r w:rsidR="19A37547" w:rsidRPr="005B4339">
        <w:rPr>
          <w:noProof/>
          <w:lang w:val="en-IE"/>
        </w:rPr>
        <w:t>, option</w:t>
      </w:r>
      <w:r w:rsidR="2C6895DF" w:rsidRPr="005B4339">
        <w:rPr>
          <w:noProof/>
          <w:lang w:val="en-IE"/>
        </w:rPr>
        <w:t>s</w:t>
      </w:r>
      <w:r w:rsidRPr="005B4339">
        <w:rPr>
          <w:noProof/>
          <w:lang w:val="en-IE"/>
        </w:rPr>
        <w:t xml:space="preserve"> vs baseline 2030</w:t>
      </w:r>
      <w:bookmarkEnd w:id="599"/>
      <w:bookmarkEnd w:id="600"/>
    </w:p>
    <w:p w14:paraId="5C303CA4" w14:textId="636A0DE6" w:rsidR="008E21B7" w:rsidRPr="005B4339" w:rsidRDefault="004928CC" w:rsidP="008E21B7">
      <w:pPr>
        <w:pStyle w:val="JRCText"/>
        <w:rPr>
          <w:rFonts w:ascii="Times New Roman" w:hAnsi="Times New Roman"/>
          <w:noProof/>
          <w:sz w:val="24"/>
          <w:szCs w:val="24"/>
          <w:lang w:val="en-IE"/>
        </w:rPr>
      </w:pPr>
      <w:r w:rsidRPr="004928CC">
        <w:lastRenderedPageBreak/>
        <w:drawing>
          <wp:inline distT="0" distB="0" distL="0" distR="0" wp14:anchorId="39FFE887" wp14:editId="034C92D0">
            <wp:extent cx="5731510" cy="2041525"/>
            <wp:effectExtent l="0" t="0" r="2540" b="0"/>
            <wp:docPr id="1112863412" name="Picture 111286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041525"/>
                    </a:xfrm>
                    <a:prstGeom prst="rect">
                      <a:avLst/>
                    </a:prstGeom>
                    <a:noFill/>
                    <a:ln>
                      <a:noFill/>
                    </a:ln>
                  </pic:spPr>
                </pic:pic>
              </a:graphicData>
            </a:graphic>
          </wp:inline>
        </w:drawing>
      </w:r>
    </w:p>
    <w:p w14:paraId="41934D80" w14:textId="77777777" w:rsidR="008E21B7" w:rsidRPr="005B4339" w:rsidRDefault="008E21B7" w:rsidP="008E21B7">
      <w:pPr>
        <w:pStyle w:val="JRCFiguresource"/>
        <w:rPr>
          <w:noProof/>
          <w:lang w:val="en-IE"/>
        </w:rPr>
      </w:pPr>
      <w:r w:rsidRPr="005B4339">
        <w:rPr>
          <w:noProof/>
          <w:lang w:val="en-IE"/>
        </w:rPr>
        <w:t>Source: MAGNET simulation results</w:t>
      </w:r>
    </w:p>
    <w:p w14:paraId="4B10ECE2" w14:textId="6539BA53"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impact of food waste reduction on the GDP of individual EU27 countries is given in </w:t>
      </w:r>
      <w:r w:rsidR="007E4F42" w:rsidRPr="005B4339">
        <w:rPr>
          <w:rFonts w:ascii="Times New Roman" w:hAnsi="Times New Roman"/>
          <w:noProof/>
          <w:sz w:val="24"/>
          <w:szCs w:val="24"/>
          <w:lang w:val="en-IE"/>
        </w:rPr>
        <w:fldChar w:fldCharType="begin"/>
      </w:r>
      <w:r w:rsidR="007E4F42" w:rsidRPr="005B4339">
        <w:rPr>
          <w:rFonts w:ascii="Times New Roman" w:hAnsi="Times New Roman"/>
          <w:noProof/>
          <w:sz w:val="24"/>
          <w:szCs w:val="24"/>
          <w:lang w:val="en-IE"/>
        </w:rPr>
        <w:instrText xml:space="preserve"> REF _Ref133231824 \h  \* MERGEFORMAT </w:instrText>
      </w:r>
      <w:r w:rsidR="007E4F42" w:rsidRPr="005B4339">
        <w:rPr>
          <w:rFonts w:ascii="Times New Roman" w:hAnsi="Times New Roman"/>
          <w:noProof/>
          <w:sz w:val="24"/>
          <w:szCs w:val="24"/>
          <w:lang w:val="en-IE"/>
        </w:rPr>
      </w:r>
      <w:r w:rsidR="007E4F4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44</w:t>
      </w:r>
      <w:r w:rsidR="007E4F4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Although the total impact on GDP is negative and small, we see a more mixed impact at the M</w:t>
      </w:r>
      <w:r w:rsidR="00746731" w:rsidRPr="005B4339">
        <w:rPr>
          <w:rFonts w:ascii="Times New Roman" w:hAnsi="Times New Roman"/>
          <w:noProof/>
          <w:sz w:val="24"/>
          <w:szCs w:val="24"/>
          <w:lang w:val="en-IE"/>
        </w:rPr>
        <w:t>ember State</w:t>
      </w:r>
      <w:r w:rsidRPr="005B4339">
        <w:rPr>
          <w:rFonts w:ascii="Times New Roman" w:hAnsi="Times New Roman"/>
          <w:noProof/>
          <w:sz w:val="24"/>
          <w:szCs w:val="24"/>
          <w:lang w:val="en-IE"/>
        </w:rPr>
        <w:t xml:space="preserve"> level. In most cases, impacts are negative and</w:t>
      </w:r>
      <w:r w:rsidR="0074673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even with the highest reduction scenario </w:t>
      </w:r>
      <w:r w:rsidR="000A25AD" w:rsidRPr="005B4339">
        <w:rPr>
          <w:rFonts w:ascii="Times New Roman" w:hAnsi="Times New Roman"/>
          <w:noProof/>
          <w:sz w:val="24"/>
          <w:szCs w:val="24"/>
          <w:lang w:val="en-IE"/>
        </w:rPr>
        <w:t>(</w:t>
      </w:r>
      <w:r w:rsidRPr="005B4339">
        <w:rPr>
          <w:rFonts w:ascii="Times New Roman" w:hAnsi="Times New Roman"/>
          <w:noProof/>
          <w:sz w:val="24"/>
          <w:szCs w:val="24"/>
          <w:lang w:val="en-IE"/>
        </w:rPr>
        <w:t>Option 3</w:t>
      </w:r>
      <w:r w:rsidR="000A25A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they are very limited</w:t>
      </w:r>
      <w:r w:rsidR="000A25A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with less than 0.1% decline. On the other hand, some countries (e.g., Bulgaria Lithuania) experience GDP growth with decreasing their food waste. However, this increase is also very limited and reaches 0 05% only in the highest case.</w:t>
      </w:r>
    </w:p>
    <w:p w14:paraId="635C7B95" w14:textId="492C4CA1" w:rsidR="008E21B7" w:rsidRPr="005B4339" w:rsidRDefault="00794505" w:rsidP="003B6050">
      <w:pPr>
        <w:pStyle w:val="JRCFigurecaption"/>
        <w:rPr>
          <w:noProof/>
          <w:lang w:val="en-IE"/>
        </w:rPr>
      </w:pPr>
      <w:bookmarkStart w:id="601" w:name="_Ref133231824"/>
      <w:bookmarkStart w:id="602" w:name="_Toc133229371"/>
      <w:bookmarkStart w:id="603" w:name="_Toc139031981"/>
      <w:r w:rsidRPr="005B4339">
        <w:rPr>
          <w:noProof/>
          <w:lang w:val="en-IE"/>
        </w:rPr>
        <w:t xml:space="preserve">Figure </w:t>
      </w:r>
      <w:r w:rsidR="00393DFA">
        <w:rPr>
          <w:noProof/>
        </w:rPr>
        <w:t>44</w:t>
      </w:r>
      <w:bookmarkEnd w:id="601"/>
      <w:r w:rsidRPr="005B4339">
        <w:rPr>
          <w:noProof/>
          <w:lang w:val="en-IE"/>
        </w:rPr>
        <w:t>: Change deviation in real GDP at MS level</w:t>
      </w:r>
      <w:r w:rsidR="6D653950" w:rsidRPr="005B4339">
        <w:rPr>
          <w:noProof/>
          <w:lang w:val="en-IE"/>
        </w:rPr>
        <w:t>, options</w:t>
      </w:r>
      <w:r w:rsidRPr="005B4339">
        <w:rPr>
          <w:noProof/>
          <w:lang w:val="en-IE"/>
        </w:rPr>
        <w:t xml:space="preserve"> vs baseline 2030</w:t>
      </w:r>
      <w:bookmarkEnd w:id="602"/>
      <w:bookmarkEnd w:id="603"/>
      <w:r w:rsidR="008E21B7" w:rsidRPr="005B4339">
        <w:rPr>
          <w:noProof/>
          <w:lang w:val="en-IE"/>
        </w:rPr>
        <w:t xml:space="preserve"> </w:t>
      </w:r>
    </w:p>
    <w:p w14:paraId="6DFDE907" w14:textId="4ED32D39"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6557B2F9" wp14:editId="54DADEA6">
            <wp:extent cx="5731510" cy="2389505"/>
            <wp:effectExtent l="0" t="0" r="2540" b="0"/>
            <wp:docPr id="1112863411" name="Picture 11128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389505"/>
                    </a:xfrm>
                    <a:prstGeom prst="rect">
                      <a:avLst/>
                    </a:prstGeom>
                    <a:noFill/>
                    <a:ln>
                      <a:noFill/>
                    </a:ln>
                  </pic:spPr>
                </pic:pic>
              </a:graphicData>
            </a:graphic>
          </wp:inline>
        </w:drawing>
      </w:r>
    </w:p>
    <w:p w14:paraId="0245D0AC" w14:textId="77777777" w:rsidR="00794505" w:rsidRPr="005B4339" w:rsidRDefault="00794505" w:rsidP="003B6050">
      <w:pPr>
        <w:pStyle w:val="JRCFigurecaption"/>
        <w:rPr>
          <w:noProof/>
          <w:lang w:val="en-IE"/>
        </w:rPr>
      </w:pPr>
    </w:p>
    <w:p w14:paraId="4B62FF65" w14:textId="77777777" w:rsidR="00794505" w:rsidRPr="005B4339" w:rsidRDefault="00794505" w:rsidP="00F54798">
      <w:pPr>
        <w:pStyle w:val="JRCFiguresource"/>
        <w:rPr>
          <w:noProof/>
          <w:lang w:val="en-IE"/>
        </w:rPr>
      </w:pPr>
      <w:r w:rsidRPr="005B4339">
        <w:rPr>
          <w:noProof/>
          <w:lang w:val="en-IE"/>
        </w:rPr>
        <w:t>Source: MAGNET simulation results</w:t>
      </w:r>
    </w:p>
    <w:p w14:paraId="242D9CF6" w14:textId="6C2113E3" w:rsidR="008E21B7" w:rsidRPr="005B4339" w:rsidRDefault="008E21B7"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t>The effects on income (value added) in total remain unchanged for the EU aggregate</w:t>
      </w:r>
      <w:r w:rsidR="000241D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even a small increase of EUR 800 million to over EUR 2.2 billion can be observed depending on the option (</w:t>
      </w:r>
      <w:r w:rsidR="007E4F42" w:rsidRPr="005B4339">
        <w:rPr>
          <w:rFonts w:ascii="Times New Roman" w:hAnsi="Times New Roman"/>
          <w:noProof/>
          <w:sz w:val="24"/>
          <w:szCs w:val="24"/>
          <w:lang w:val="en-IE"/>
        </w:rPr>
        <w:fldChar w:fldCharType="begin"/>
      </w:r>
      <w:r w:rsidR="007E4F42" w:rsidRPr="005B4339">
        <w:rPr>
          <w:rFonts w:ascii="Times New Roman" w:hAnsi="Times New Roman"/>
          <w:noProof/>
          <w:sz w:val="24"/>
          <w:szCs w:val="24"/>
          <w:lang w:val="en-IE"/>
        </w:rPr>
        <w:instrText xml:space="preserve"> REF _Ref133231865 \h  \* MERGEFORMAT </w:instrText>
      </w:r>
      <w:r w:rsidR="007E4F42" w:rsidRPr="005B4339">
        <w:rPr>
          <w:rFonts w:ascii="Times New Roman" w:hAnsi="Times New Roman"/>
          <w:noProof/>
          <w:sz w:val="24"/>
          <w:szCs w:val="24"/>
          <w:lang w:val="en-IE"/>
        </w:rPr>
      </w:r>
      <w:r w:rsidR="007E4F4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45</w:t>
      </w:r>
      <w:r w:rsidR="007E4F4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w:t>
      </w:r>
    </w:p>
    <w:p w14:paraId="04EB5978" w14:textId="507C66B4" w:rsidR="008E21B7" w:rsidRPr="005B4339" w:rsidRDefault="008E21B7" w:rsidP="003B6050">
      <w:pPr>
        <w:pStyle w:val="JRCFigurecaption"/>
        <w:rPr>
          <w:noProof/>
          <w:lang w:val="en-IE"/>
        </w:rPr>
      </w:pPr>
      <w:bookmarkStart w:id="604" w:name="_Ref133231865"/>
      <w:bookmarkStart w:id="605" w:name="_Toc133229372"/>
      <w:bookmarkStart w:id="606" w:name="_Toc139031982"/>
      <w:r w:rsidRPr="005B4339">
        <w:rPr>
          <w:noProof/>
          <w:lang w:val="en-IE"/>
        </w:rPr>
        <w:t xml:space="preserve">Figure </w:t>
      </w:r>
      <w:r w:rsidR="00393DFA">
        <w:rPr>
          <w:noProof/>
        </w:rPr>
        <w:t>45</w:t>
      </w:r>
      <w:bookmarkEnd w:id="604"/>
      <w:r w:rsidRPr="005B4339">
        <w:rPr>
          <w:noProof/>
          <w:lang w:val="en-IE"/>
        </w:rPr>
        <w:t xml:space="preserve">: Changes in total income in </w:t>
      </w:r>
      <w:r w:rsidR="2C8EF35F" w:rsidRPr="005B4339">
        <w:rPr>
          <w:noProof/>
          <w:lang w:val="en-IE"/>
        </w:rPr>
        <w:t>EU</w:t>
      </w:r>
      <w:r w:rsidR="5F3543EC" w:rsidRPr="005B4339">
        <w:rPr>
          <w:noProof/>
          <w:lang w:val="en-IE"/>
        </w:rPr>
        <w:t xml:space="preserve">27, </w:t>
      </w:r>
      <w:r w:rsidR="18ABFDDA" w:rsidRPr="005B4339">
        <w:rPr>
          <w:noProof/>
          <w:lang w:val="en-IE"/>
        </w:rPr>
        <w:t>o</w:t>
      </w:r>
      <w:r w:rsidR="1F8E210C" w:rsidRPr="005B4339">
        <w:rPr>
          <w:noProof/>
          <w:lang w:val="en-IE"/>
        </w:rPr>
        <w:t>ptions</w:t>
      </w:r>
      <w:r w:rsidR="5F3543EC" w:rsidRPr="005B4339">
        <w:rPr>
          <w:noProof/>
          <w:lang w:val="en-IE"/>
        </w:rPr>
        <w:t xml:space="preserve"> compared to</w:t>
      </w:r>
      <w:r w:rsidRPr="005B4339">
        <w:rPr>
          <w:noProof/>
          <w:lang w:val="en-IE"/>
        </w:rPr>
        <w:t xml:space="preserve"> baseline </w:t>
      </w:r>
      <w:r w:rsidR="5F3543EC" w:rsidRPr="005B4339">
        <w:rPr>
          <w:noProof/>
          <w:lang w:val="en-IE"/>
        </w:rPr>
        <w:t>(</w:t>
      </w:r>
      <w:r w:rsidRPr="005B4339">
        <w:rPr>
          <w:noProof/>
          <w:lang w:val="en-IE"/>
        </w:rPr>
        <w:t>2030</w:t>
      </w:r>
      <w:r w:rsidR="5F3543EC" w:rsidRPr="005B4339">
        <w:rPr>
          <w:noProof/>
          <w:lang w:val="en-IE"/>
        </w:rPr>
        <w:t>) for different actors</w:t>
      </w:r>
      <w:bookmarkEnd w:id="605"/>
      <w:bookmarkEnd w:id="606"/>
    </w:p>
    <w:p w14:paraId="53D40ABD" w14:textId="58D4D351" w:rsidR="008E21B7" w:rsidRPr="005B4339" w:rsidRDefault="471CE711" w:rsidP="008E21B7">
      <w:pPr>
        <w:pStyle w:val="JRCText"/>
        <w:rPr>
          <w:noProof/>
          <w:lang w:val="en-IE"/>
        </w:rPr>
      </w:pPr>
      <w:r w:rsidRPr="005B4339">
        <w:rPr>
          <w:noProof/>
          <w:lang w:eastAsia="en-GB"/>
        </w:rPr>
        <w:lastRenderedPageBreak/>
        <w:drawing>
          <wp:inline distT="0" distB="0" distL="0" distR="0" wp14:anchorId="75AB8642" wp14:editId="7C71CAD7">
            <wp:extent cx="5787943" cy="3096883"/>
            <wp:effectExtent l="0" t="0" r="3810" b="8890"/>
            <wp:docPr id="1112863422" name="Picture 111286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865455" cy="3138356"/>
                    </a:xfrm>
                    <a:prstGeom prst="rect">
                      <a:avLst/>
                    </a:prstGeom>
                  </pic:spPr>
                </pic:pic>
              </a:graphicData>
            </a:graphic>
          </wp:inline>
        </w:drawing>
      </w:r>
    </w:p>
    <w:p w14:paraId="4D7BCE52" w14:textId="5D7EAAC8" w:rsidR="4BCD7A18" w:rsidRPr="005B4339" w:rsidRDefault="4BCD7A18" w:rsidP="46D1A56C">
      <w:pPr>
        <w:rPr>
          <w:noProof/>
          <w:lang w:val="en-IE"/>
        </w:rPr>
      </w:pPr>
      <w:r w:rsidRPr="005B4339">
        <w:rPr>
          <w:rFonts w:eastAsia="Times New Roman"/>
          <w:noProof/>
          <w:sz w:val="18"/>
          <w:szCs w:val="18"/>
          <w:lang w:val="en-IE"/>
        </w:rPr>
        <w:t>Note: Rest of the economy includes a broad number of sectors with either positive or negative income changes.</w:t>
      </w:r>
    </w:p>
    <w:p w14:paraId="66CBC7F0" w14:textId="77777777" w:rsidR="00794505" w:rsidRPr="005B4339" w:rsidRDefault="00794505" w:rsidP="00F54798">
      <w:pPr>
        <w:pStyle w:val="JRCFiguresource"/>
        <w:rPr>
          <w:noProof/>
          <w:lang w:val="en-IE"/>
        </w:rPr>
      </w:pPr>
      <w:r w:rsidRPr="005B4339">
        <w:rPr>
          <w:noProof/>
          <w:lang w:val="en-IE"/>
        </w:rPr>
        <w:t>Source: MAGNET simulation results</w:t>
      </w:r>
    </w:p>
    <w:p w14:paraId="6835D946" w14:textId="63E271EC" w:rsidR="008E21B7" w:rsidRPr="005B4339" w:rsidRDefault="007E4F42" w:rsidP="008E21B7">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_Ref133231924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46</w:t>
      </w:r>
      <w:r w:rsidRPr="005B4339">
        <w:rPr>
          <w:rFonts w:ascii="Times New Roman" w:hAnsi="Times New Roman"/>
          <w:noProof/>
          <w:sz w:val="24"/>
          <w:szCs w:val="24"/>
          <w:lang w:val="en-IE"/>
        </w:rPr>
        <w:fldChar w:fldCharType="end"/>
      </w:r>
      <w:r w:rsidR="008E21B7" w:rsidRPr="005B4339">
        <w:rPr>
          <w:rFonts w:ascii="Times New Roman" w:hAnsi="Times New Roman"/>
          <w:noProof/>
          <w:sz w:val="24"/>
          <w:szCs w:val="24"/>
          <w:lang w:val="en-IE"/>
        </w:rPr>
        <w:t xml:space="preserve"> shows the changes in income per M</w:t>
      </w:r>
      <w:r w:rsidR="00415CAE" w:rsidRPr="005B4339">
        <w:rPr>
          <w:rFonts w:ascii="Times New Roman" w:hAnsi="Times New Roman"/>
          <w:noProof/>
          <w:sz w:val="24"/>
          <w:szCs w:val="24"/>
          <w:lang w:val="en-IE"/>
        </w:rPr>
        <w:t>ember State</w:t>
      </w:r>
      <w:r w:rsidR="008E21B7" w:rsidRPr="005B4339">
        <w:rPr>
          <w:rFonts w:ascii="Times New Roman" w:hAnsi="Times New Roman"/>
          <w:noProof/>
          <w:sz w:val="24"/>
          <w:szCs w:val="24"/>
          <w:lang w:val="en-IE"/>
        </w:rPr>
        <w:t xml:space="preserve"> and per sector. The income of the agri</w:t>
      </w:r>
      <w:r w:rsidR="00D42216" w:rsidRPr="005B4339">
        <w:rPr>
          <w:rFonts w:ascii="Times New Roman" w:hAnsi="Times New Roman"/>
          <w:noProof/>
          <w:sz w:val="24"/>
          <w:szCs w:val="24"/>
          <w:lang w:val="en-IE"/>
        </w:rPr>
        <w:t>-</w:t>
      </w:r>
      <w:r w:rsidR="008E21B7" w:rsidRPr="005B4339">
        <w:rPr>
          <w:rFonts w:ascii="Times New Roman" w:hAnsi="Times New Roman"/>
          <w:noProof/>
          <w:sz w:val="24"/>
          <w:szCs w:val="24"/>
          <w:lang w:val="en-IE"/>
        </w:rPr>
        <w:t xml:space="preserve">food sector (including food processing but not food services) experiences a slight decrease of -3.6%. Impacts are higher in the food service sector. The losses in the food sector are in general compensated by additional income in non-food sectors. </w:t>
      </w:r>
    </w:p>
    <w:p w14:paraId="74DD41FF" w14:textId="07408A6F" w:rsidR="008E21B7" w:rsidRPr="005B4339" w:rsidRDefault="008E21B7" w:rsidP="003B6050">
      <w:pPr>
        <w:pStyle w:val="JRCFigurecaption"/>
        <w:rPr>
          <w:noProof/>
          <w:lang w:val="en-IE"/>
        </w:rPr>
      </w:pPr>
      <w:bookmarkStart w:id="607" w:name="_Ref133231924"/>
      <w:bookmarkStart w:id="608" w:name="_Toc133229373"/>
      <w:bookmarkStart w:id="609" w:name="_Toc139031983"/>
      <w:r w:rsidRPr="005B4339">
        <w:rPr>
          <w:noProof/>
          <w:lang w:val="en-IE"/>
        </w:rPr>
        <w:t xml:space="preserve">Figure </w:t>
      </w:r>
      <w:r w:rsidR="00393DFA">
        <w:rPr>
          <w:noProof/>
        </w:rPr>
        <w:t>46</w:t>
      </w:r>
      <w:bookmarkEnd w:id="607"/>
      <w:r w:rsidRPr="005B4339">
        <w:rPr>
          <w:noProof/>
          <w:lang w:val="en-IE"/>
        </w:rPr>
        <w:t>: Changes in income in EU MS</w:t>
      </w:r>
      <w:r w:rsidR="1717B450" w:rsidRPr="005B4339">
        <w:rPr>
          <w:noProof/>
          <w:lang w:val="en-IE"/>
        </w:rPr>
        <w:t>,</w:t>
      </w:r>
      <w:r w:rsidRPr="005B4339">
        <w:rPr>
          <w:noProof/>
          <w:lang w:val="en-IE"/>
        </w:rPr>
        <w:t xml:space="preserve"> Option 3 vs baseline 2030</w:t>
      </w:r>
      <w:bookmarkEnd w:id="608"/>
      <w:bookmarkEnd w:id="609"/>
    </w:p>
    <w:p w14:paraId="6739BF3B" w14:textId="504465C6" w:rsidR="008E21B7" w:rsidRPr="005B4339" w:rsidRDefault="004928CC" w:rsidP="008E21B7">
      <w:pPr>
        <w:pStyle w:val="JRCText"/>
        <w:rPr>
          <w:rFonts w:ascii="Times New Roman" w:hAnsi="Times New Roman"/>
          <w:noProof/>
          <w:sz w:val="24"/>
          <w:szCs w:val="24"/>
          <w:lang w:val="en-IE"/>
        </w:rPr>
      </w:pPr>
      <w:r w:rsidRPr="004928CC">
        <w:drawing>
          <wp:inline distT="0" distB="0" distL="0" distR="0" wp14:anchorId="7AE72AE8" wp14:editId="3607538D">
            <wp:extent cx="5731510" cy="2727325"/>
            <wp:effectExtent l="0" t="0" r="2540" b="0"/>
            <wp:docPr id="1112863410" name="Picture 111286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2727325"/>
                    </a:xfrm>
                    <a:prstGeom prst="rect">
                      <a:avLst/>
                    </a:prstGeom>
                    <a:noFill/>
                    <a:ln>
                      <a:noFill/>
                    </a:ln>
                  </pic:spPr>
                </pic:pic>
              </a:graphicData>
            </a:graphic>
          </wp:inline>
        </w:drawing>
      </w:r>
      <w:r w:rsidR="008E21B7" w:rsidRPr="005B4339">
        <w:rPr>
          <w:rFonts w:ascii="Times New Roman" w:hAnsi="Times New Roman"/>
          <w:noProof/>
          <w:sz w:val="24"/>
          <w:szCs w:val="24"/>
          <w:lang w:val="en-IE"/>
        </w:rPr>
        <w:t xml:space="preserve"> </w:t>
      </w:r>
    </w:p>
    <w:p w14:paraId="3B33023A" w14:textId="77777777" w:rsidR="00794505" w:rsidRPr="005B4339" w:rsidRDefault="00794505" w:rsidP="00F54798">
      <w:pPr>
        <w:pStyle w:val="JRCFiguresource"/>
        <w:rPr>
          <w:noProof/>
          <w:lang w:val="en-IE"/>
        </w:rPr>
      </w:pPr>
      <w:r w:rsidRPr="005B4339">
        <w:rPr>
          <w:noProof/>
          <w:lang w:val="en-IE"/>
        </w:rPr>
        <w:t>Source: MAGNET simulation results</w:t>
      </w:r>
    </w:p>
    <w:p w14:paraId="2EE950AD" w14:textId="46DBDF02" w:rsidR="00794505" w:rsidRPr="005B4339" w:rsidRDefault="00794505">
      <w:pPr>
        <w:pStyle w:val="JRCLevel-3title"/>
        <w:numPr>
          <w:ilvl w:val="2"/>
          <w:numId w:val="161"/>
        </w:numPr>
        <w:rPr>
          <w:rFonts w:ascii="Times New Roman" w:hAnsi="Times New Roman"/>
          <w:noProof/>
          <w:sz w:val="24"/>
          <w:lang w:val="en-IE"/>
        </w:rPr>
      </w:pPr>
      <w:bookmarkStart w:id="610" w:name="_Toc1697093467"/>
      <w:bookmarkStart w:id="611" w:name="_Toc47812810"/>
      <w:bookmarkStart w:id="612" w:name="_Toc2077672977"/>
      <w:bookmarkStart w:id="613" w:name="_Toc134997606"/>
      <w:bookmarkStart w:id="614" w:name="_Toc324039571"/>
      <w:bookmarkStart w:id="615" w:name="_Toc150559292"/>
      <w:bookmarkStart w:id="616" w:name="_Toc717217755"/>
      <w:bookmarkStart w:id="617" w:name="_Toc684984829"/>
      <w:bookmarkStart w:id="618" w:name="_Toc139032121"/>
      <w:r w:rsidRPr="005B4339">
        <w:rPr>
          <w:rFonts w:ascii="Times New Roman" w:hAnsi="Times New Roman"/>
          <w:noProof/>
          <w:sz w:val="24"/>
          <w:lang w:val="en-IE"/>
        </w:rPr>
        <w:lastRenderedPageBreak/>
        <w:t>Estimated adjustment costs associated with food waste reduction</w:t>
      </w:r>
      <w:bookmarkEnd w:id="610"/>
      <w:bookmarkEnd w:id="611"/>
      <w:bookmarkEnd w:id="612"/>
      <w:bookmarkEnd w:id="613"/>
      <w:bookmarkEnd w:id="614"/>
      <w:bookmarkEnd w:id="615"/>
      <w:bookmarkEnd w:id="616"/>
      <w:bookmarkEnd w:id="617"/>
      <w:bookmarkEnd w:id="618"/>
    </w:p>
    <w:p w14:paraId="47C8BC03" w14:textId="1F0F9EE4"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This section discusses the cost associated with food waste reduction along the stages of the supply chain to</w:t>
      </w:r>
      <w:r w:rsidR="008B7574" w:rsidRPr="005B4339">
        <w:rPr>
          <w:rFonts w:ascii="Times New Roman" w:hAnsi="Times New Roman"/>
          <w:noProof/>
          <w:sz w:val="24"/>
          <w:szCs w:val="24"/>
          <w:lang w:val="en-IE"/>
        </w:rPr>
        <w:t xml:space="preserve"> the</w:t>
      </w:r>
      <w:r w:rsidRPr="005B4339">
        <w:rPr>
          <w:rFonts w:ascii="Times New Roman" w:hAnsi="Times New Roman"/>
          <w:noProof/>
          <w:sz w:val="24"/>
          <w:szCs w:val="24"/>
          <w:lang w:val="en-IE"/>
        </w:rPr>
        <w:t xml:space="preserve"> end users. As introduced in </w:t>
      </w:r>
      <w:r w:rsidR="004B33EB"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ection </w:t>
      </w:r>
      <w:r w:rsidR="00393DFA">
        <w:rPr>
          <w:rFonts w:ascii="Times New Roman" w:hAnsi="Times New Roman"/>
          <w:b/>
          <w:bCs/>
          <w:noProof/>
          <w:sz w:val="24"/>
          <w:szCs w:val="24"/>
          <w:lang w:val="en-US"/>
        </w:rPr>
        <w:t>Error! Reference source not found.</w:t>
      </w:r>
      <w:r w:rsidR="004B33EB" w:rsidRPr="005B4339">
        <w:rPr>
          <w:rFonts w:ascii="Times New Roman" w:hAnsi="Times New Roman"/>
          <w:noProof/>
          <w:sz w:val="24"/>
          <w:szCs w:val="24"/>
          <w:lang w:val="en-IE"/>
        </w:rPr>
        <w:t xml:space="preserve"> of Annex 4</w:t>
      </w:r>
      <w:r w:rsidR="00415CA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waste generation in production and consumption are the resulting market externalities arising from rational agent behaviour. </w:t>
      </w:r>
    </w:p>
    <w:p w14:paraId="3C69CBFC" w14:textId="4C433A76"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To account for these negative externalities associated with food waste</w:t>
      </w:r>
      <w:r w:rsidR="000C473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thus correct the market failure</w:t>
      </w:r>
      <w:r w:rsidR="000C4736"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an adjustment cost must be imposed on the corresponding agent to internalise (partly) the full (social) cost associated with waste. </w:t>
      </w:r>
      <w:r w:rsidR="008B7574" w:rsidRPr="005B4339">
        <w:rPr>
          <w:rFonts w:ascii="Times New Roman" w:hAnsi="Times New Roman"/>
          <w:noProof/>
          <w:sz w:val="24"/>
          <w:szCs w:val="24"/>
          <w:lang w:val="en-IE"/>
        </w:rPr>
        <w:t>In the model assessment, t</w:t>
      </w:r>
      <w:r w:rsidRPr="005B4339">
        <w:rPr>
          <w:rFonts w:ascii="Times New Roman" w:hAnsi="Times New Roman"/>
          <w:noProof/>
          <w:sz w:val="24"/>
          <w:szCs w:val="24"/>
          <w:lang w:val="en-IE"/>
        </w:rPr>
        <w:t>hese cost</w:t>
      </w:r>
      <w:r w:rsidR="000C4736"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 are estimated by inserting taxes on those agents that generate food waste from the farmgate to the end user. </w:t>
      </w:r>
    </w:p>
    <w:p w14:paraId="0DC422EF" w14:textId="18C850EF" w:rsidR="00A70642" w:rsidRPr="005B4339" w:rsidRDefault="00A70642" w:rsidP="00A70642">
      <w:pPr>
        <w:spacing w:after="60"/>
        <w:rPr>
          <w:noProof/>
          <w:lang w:val="en-IE"/>
        </w:rPr>
      </w:pPr>
      <w:r w:rsidRPr="005B4339">
        <w:rPr>
          <w:noProof/>
          <w:lang w:val="en-IE"/>
        </w:rPr>
        <w:t>The total adjustment costs for food waste reduction (calculated separately per supply chain and then aggregated) are estimated to be around EUR 0.9 bn for Option 1, EUR 2 bn for Option 2, and EUR 3.8 bn for Option 3 (</w:t>
      </w:r>
      <w:r w:rsidRPr="005B4339">
        <w:rPr>
          <w:noProof/>
          <w:lang w:val="en-IE"/>
        </w:rPr>
        <w:fldChar w:fldCharType="begin"/>
      </w:r>
      <w:r w:rsidRPr="005B4339">
        <w:rPr>
          <w:noProof/>
          <w:lang w:val="en-IE"/>
        </w:rPr>
        <w:instrText xml:space="preserve"> REF _Ref133484465 \h </w:instrText>
      </w:r>
      <w:r w:rsidR="00034A4B" w:rsidRPr="005B4339">
        <w:rPr>
          <w:noProof/>
          <w:lang w:val="en-IE"/>
        </w:rPr>
        <w:instrText xml:space="preserve"> \* MERGEFORMAT </w:instrText>
      </w:r>
      <w:r w:rsidRPr="005B4339">
        <w:rPr>
          <w:noProof/>
          <w:lang w:val="en-IE"/>
        </w:rPr>
      </w:r>
      <w:r w:rsidRPr="005B4339">
        <w:rPr>
          <w:noProof/>
          <w:lang w:val="en-IE"/>
        </w:rPr>
        <w:fldChar w:fldCharType="separate"/>
      </w:r>
      <w:r w:rsidR="00393DFA" w:rsidRPr="005B4339">
        <w:rPr>
          <w:noProof/>
          <w:lang w:val="en-IE"/>
        </w:rPr>
        <w:t xml:space="preserve">Figure </w:t>
      </w:r>
      <w:r w:rsidR="00393DFA" w:rsidRPr="00393DFA">
        <w:rPr>
          <w:noProof/>
          <w:lang w:val="en-IE"/>
        </w:rPr>
        <w:t>47</w:t>
      </w:r>
      <w:r w:rsidRPr="005B4339">
        <w:rPr>
          <w:noProof/>
          <w:lang w:val="en-IE"/>
        </w:rPr>
        <w:fldChar w:fldCharType="end"/>
      </w:r>
      <w:r w:rsidRPr="005B4339">
        <w:rPr>
          <w:noProof/>
          <w:lang w:val="en-IE"/>
        </w:rPr>
        <w:t xml:space="preserve">). Since the largest share of food waste is generated at the consumption stage, the costs associated with food waste reduction at this stage are the highest (exceeding EUR 3 bn in Option 3). The total adjustment costs for the industry are estimated to be relatively lower.  </w:t>
      </w:r>
    </w:p>
    <w:p w14:paraId="49B1032B" w14:textId="1CFFC526" w:rsidR="00A70642" w:rsidRPr="005B4339" w:rsidRDefault="00A70642" w:rsidP="003B6050">
      <w:pPr>
        <w:pStyle w:val="JRCFigurecaption"/>
        <w:rPr>
          <w:noProof/>
          <w:lang w:val="en-IE"/>
        </w:rPr>
      </w:pPr>
      <w:bookmarkStart w:id="619" w:name="_Ref133484465"/>
      <w:bookmarkStart w:id="620" w:name="_Toc139031984"/>
      <w:r w:rsidRPr="005B4339">
        <w:rPr>
          <w:noProof/>
          <w:lang w:val="en-IE"/>
        </w:rPr>
        <w:t xml:space="preserve">Figure </w:t>
      </w:r>
      <w:r w:rsidR="00393DFA">
        <w:rPr>
          <w:noProof/>
        </w:rPr>
        <w:t>47</w:t>
      </w:r>
      <w:bookmarkEnd w:id="619"/>
      <w:r w:rsidRPr="005B4339">
        <w:rPr>
          <w:noProof/>
          <w:lang w:val="en-IE"/>
        </w:rPr>
        <w:t>: Estimated adjustment costs associated with food waste reduction per stage of food supply chain, EU27 – options vs baseline 2030</w:t>
      </w:r>
      <w:bookmarkEnd w:id="620"/>
      <w:r w:rsidRPr="005B4339">
        <w:rPr>
          <w:noProof/>
          <w:lang w:val="en-IE"/>
        </w:rPr>
        <w:t xml:space="preserve"> </w:t>
      </w:r>
    </w:p>
    <w:p w14:paraId="26D367DB" w14:textId="30E5A9C6" w:rsidR="00A70642" w:rsidRPr="005B4339" w:rsidRDefault="004928CC" w:rsidP="00A70642">
      <w:pPr>
        <w:pStyle w:val="JRCText"/>
        <w:rPr>
          <w:rFonts w:ascii="Times New Roman" w:hAnsi="Times New Roman"/>
          <w:noProof/>
          <w:sz w:val="24"/>
          <w:lang w:val="en-IE"/>
        </w:rPr>
      </w:pPr>
      <w:r w:rsidRPr="004928CC">
        <w:drawing>
          <wp:inline distT="0" distB="0" distL="0" distR="0" wp14:anchorId="0D5D7C64" wp14:editId="65A47212">
            <wp:extent cx="5731510" cy="2675255"/>
            <wp:effectExtent l="0" t="0" r="2540" b="0"/>
            <wp:docPr id="1112863409" name="Picture 111286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2675255"/>
                    </a:xfrm>
                    <a:prstGeom prst="rect">
                      <a:avLst/>
                    </a:prstGeom>
                    <a:noFill/>
                    <a:ln>
                      <a:noFill/>
                    </a:ln>
                  </pic:spPr>
                </pic:pic>
              </a:graphicData>
            </a:graphic>
          </wp:inline>
        </w:drawing>
      </w:r>
    </w:p>
    <w:p w14:paraId="1744113B" w14:textId="77777777" w:rsidR="00794505" w:rsidRPr="005B4339" w:rsidRDefault="00794505" w:rsidP="00F54798">
      <w:pPr>
        <w:pStyle w:val="JRCFiguresource"/>
        <w:rPr>
          <w:noProof/>
          <w:lang w:val="en-IE"/>
        </w:rPr>
      </w:pPr>
      <w:r w:rsidRPr="005B4339">
        <w:rPr>
          <w:noProof/>
          <w:lang w:val="en-IE"/>
        </w:rPr>
        <w:t>Source: MAGNET simulation results</w:t>
      </w:r>
    </w:p>
    <w:p w14:paraId="7E8074D2" w14:textId="590A3B20" w:rsidR="00A70642" w:rsidRPr="005B4339" w:rsidRDefault="00A70642" w:rsidP="00794505">
      <w:pPr>
        <w:pStyle w:val="JRCText"/>
        <w:rPr>
          <w:rFonts w:ascii="Times New Roman" w:hAnsi="Times New Roman"/>
          <w:noProof/>
          <w:sz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_Ref133484607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48</w:t>
      </w:r>
      <w:r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below shows the total costs associated with food waste reduction in the M</w:t>
      </w:r>
      <w:r w:rsidR="000C4736"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for the three options. The costs are calculated separately per supply chain and then aggregated to represent the total costs per country and per option. Reaching the targets in Option 1 comes at comparably low cost, while costs tend to increase when moving to the higher food waste reduction targets as in Option 2 and Option 3. These costs differ significantly across M</w:t>
      </w:r>
      <w:r w:rsidR="006100A2"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As shown in </w:t>
      </w:r>
      <w:r w:rsidR="00FE3FE6" w:rsidRPr="005B4339">
        <w:rPr>
          <w:rFonts w:ascii="Times New Roman" w:hAnsi="Times New Roman"/>
          <w:noProof/>
          <w:sz w:val="24"/>
          <w:szCs w:val="24"/>
          <w:lang w:val="en-IE"/>
        </w:rPr>
        <w:fldChar w:fldCharType="begin"/>
      </w:r>
      <w:r w:rsidR="00FE3FE6" w:rsidRPr="005B4339">
        <w:rPr>
          <w:rFonts w:ascii="Times New Roman" w:hAnsi="Times New Roman"/>
          <w:noProof/>
          <w:sz w:val="24"/>
          <w:szCs w:val="24"/>
          <w:lang w:val="en-IE"/>
        </w:rPr>
        <w:instrText xml:space="preserve"> REF _Ref133484607 \h  \* MERGEFORMAT </w:instrText>
      </w:r>
      <w:r w:rsidR="00FE3FE6" w:rsidRPr="005B4339">
        <w:rPr>
          <w:rFonts w:ascii="Times New Roman" w:hAnsi="Times New Roman"/>
          <w:noProof/>
          <w:sz w:val="24"/>
          <w:szCs w:val="24"/>
          <w:lang w:val="en-IE"/>
        </w:rPr>
      </w:r>
      <w:r w:rsidR="00FE3FE6"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48</w:t>
      </w:r>
      <w:r w:rsidR="00FE3FE6" w:rsidRPr="005B4339">
        <w:rPr>
          <w:rFonts w:ascii="Times New Roman" w:hAnsi="Times New Roman"/>
          <w:noProof/>
          <w:sz w:val="24"/>
          <w:szCs w:val="24"/>
          <w:lang w:val="en-IE"/>
        </w:rPr>
        <w:fldChar w:fldCharType="end"/>
      </w:r>
      <w:r w:rsidR="008C553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total food waste reduction costs are small in EU13</w:t>
      </w:r>
      <w:r w:rsidRPr="005B4339">
        <w:rPr>
          <w:rStyle w:val="FootnoteReference"/>
          <w:rFonts w:ascii="Times New Roman" w:hAnsi="Times New Roman"/>
          <w:noProof/>
          <w:sz w:val="24"/>
          <w:szCs w:val="24"/>
          <w:lang w:val="en-IE"/>
        </w:rPr>
        <w:footnoteReference w:id="154"/>
      </w:r>
      <w:r w:rsidRPr="005B4339">
        <w:rPr>
          <w:rFonts w:ascii="Times New Roman" w:hAnsi="Times New Roman"/>
          <w:noProof/>
          <w:sz w:val="24"/>
          <w:szCs w:val="24"/>
          <w:lang w:val="en-IE"/>
        </w:rPr>
        <w:t xml:space="preserve"> countries. These countries have relatively lower food waste quantities </w:t>
      </w:r>
      <w:r w:rsidRPr="005B4339">
        <w:rPr>
          <w:rFonts w:ascii="Times New Roman" w:hAnsi="Times New Roman"/>
          <w:noProof/>
          <w:sz w:val="24"/>
          <w:szCs w:val="24"/>
          <w:lang w:val="en-IE"/>
        </w:rPr>
        <w:lastRenderedPageBreak/>
        <w:t>compared to the EU average in the baseline.</w:t>
      </w:r>
      <w:r w:rsidRPr="005B4339">
        <w:rPr>
          <w:noProof/>
          <w:lang w:val="en-IE"/>
        </w:rPr>
        <w:t xml:space="preserve"> </w:t>
      </w:r>
      <w:r w:rsidRPr="005B4339">
        <w:rPr>
          <w:rFonts w:ascii="Times New Roman" w:hAnsi="Times New Roman"/>
          <w:noProof/>
          <w:sz w:val="24"/>
          <w:szCs w:val="24"/>
          <w:lang w:val="en-IE"/>
        </w:rPr>
        <w:t xml:space="preserve">According to the size of the countries, highest costs are observed in Germany, reaching up to 1 EUR billion in Option 3, followed by Italy (600 EUR million) and France (500 EUR million). In these </w:t>
      </w:r>
      <w:r w:rsidR="00FE3FE6" w:rsidRPr="005B4339">
        <w:rPr>
          <w:rFonts w:ascii="Times New Roman" w:hAnsi="Times New Roman"/>
          <w:noProof/>
          <w:sz w:val="24"/>
          <w:szCs w:val="24"/>
          <w:lang w:val="en-IE"/>
        </w:rPr>
        <w:t>M</w:t>
      </w:r>
      <w:r w:rsidR="008C553D"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absolute food waste quantities are the highest in the 2030 baseline, leading to higher amounts of food waste to be reduced per option.</w:t>
      </w:r>
    </w:p>
    <w:p w14:paraId="29ECF2B1" w14:textId="3FF5BA9B" w:rsidR="00A70642" w:rsidRPr="005B4339" w:rsidRDefault="00BB700C" w:rsidP="00A70642">
      <w:pPr>
        <w:spacing w:after="60"/>
        <w:rPr>
          <w:noProof/>
          <w:lang w:val="en-IE"/>
        </w:rPr>
      </w:pPr>
      <w:bookmarkStart w:id="621" w:name="_Ref133484607"/>
      <w:r w:rsidRPr="005B4339">
        <w:rPr>
          <w:noProof/>
          <w:lang w:val="en-IE"/>
        </w:rPr>
        <w:t xml:space="preserve">Figure </w:t>
      </w:r>
      <w:r w:rsidR="00393DFA">
        <w:rPr>
          <w:noProof/>
        </w:rPr>
        <w:t>48</w:t>
      </w:r>
      <w:bookmarkEnd w:id="621"/>
      <w:r w:rsidR="00A70642" w:rsidRPr="005B4339">
        <w:rPr>
          <w:noProof/>
          <w:lang w:val="en-IE"/>
        </w:rPr>
        <w:t xml:space="preserve">: Total estimated adjustment costs associated with food waste reduction, EU MSs – options vs baseline 2030 </w:t>
      </w:r>
    </w:p>
    <w:p w14:paraId="02273337" w14:textId="10B15E40" w:rsidR="00A70642" w:rsidRPr="005B4339" w:rsidRDefault="004928CC" w:rsidP="00A70642">
      <w:pPr>
        <w:pStyle w:val="JRCText"/>
        <w:rPr>
          <w:rFonts w:ascii="Times New Roman" w:hAnsi="Times New Roman"/>
          <w:noProof/>
          <w:sz w:val="24"/>
          <w:lang w:val="en-IE"/>
        </w:rPr>
      </w:pPr>
      <w:r w:rsidRPr="004928CC">
        <w:drawing>
          <wp:inline distT="0" distB="0" distL="0" distR="0" wp14:anchorId="417176EF" wp14:editId="71E59C7D">
            <wp:extent cx="5705475" cy="2867025"/>
            <wp:effectExtent l="0" t="0" r="9525" b="9525"/>
            <wp:docPr id="1112863406" name="Picture 111286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05475" cy="2867025"/>
                    </a:xfrm>
                    <a:prstGeom prst="rect">
                      <a:avLst/>
                    </a:prstGeom>
                    <a:noFill/>
                    <a:ln>
                      <a:noFill/>
                    </a:ln>
                  </pic:spPr>
                </pic:pic>
              </a:graphicData>
            </a:graphic>
          </wp:inline>
        </w:drawing>
      </w:r>
    </w:p>
    <w:p w14:paraId="34E48053" w14:textId="77777777" w:rsidR="00794505" w:rsidRPr="005B4339" w:rsidRDefault="00794505" w:rsidP="00F54798">
      <w:pPr>
        <w:pStyle w:val="JRCFiguresource"/>
        <w:rPr>
          <w:noProof/>
          <w:lang w:val="en-IE"/>
        </w:rPr>
      </w:pPr>
      <w:r w:rsidRPr="005B4339">
        <w:rPr>
          <w:noProof/>
          <w:lang w:val="en-IE"/>
        </w:rPr>
        <w:t>Source: MAGNET simulation results</w:t>
      </w:r>
    </w:p>
    <w:p w14:paraId="74DE71A2" w14:textId="1CE6B994" w:rsidR="00A70642" w:rsidRPr="005B4339" w:rsidRDefault="00A70642" w:rsidP="00A70642">
      <w:pPr>
        <w:pStyle w:val="JRCText"/>
        <w:rPr>
          <w:rStyle w:val="normaltextrun"/>
          <w:rFonts w:ascii="Times New Roman" w:hAnsi="Times New Roman"/>
          <w:noProof/>
          <w:color w:val="000000"/>
          <w:sz w:val="32"/>
          <w:shd w:val="clear" w:color="auto" w:fill="FFFFFF"/>
          <w:lang w:val="en-IE"/>
        </w:rPr>
      </w:pPr>
      <w:r w:rsidRPr="005B4339">
        <w:rPr>
          <w:rStyle w:val="normaltextrun"/>
          <w:rFonts w:ascii="Times New Roman" w:hAnsi="Times New Roman"/>
          <w:noProof/>
          <w:color w:val="000000"/>
          <w:sz w:val="24"/>
          <w:shd w:val="clear" w:color="auto" w:fill="FFFFFF"/>
          <w:lang w:val="en-IE"/>
        </w:rPr>
        <w:t>Regarding adjustment costs per ton of food waste reduced, on average</w:t>
      </w:r>
      <w:r w:rsidR="003902DC" w:rsidRPr="005B4339">
        <w:rPr>
          <w:rStyle w:val="normaltextrun"/>
          <w:rFonts w:ascii="Times New Roman" w:hAnsi="Times New Roman"/>
          <w:noProof/>
          <w:color w:val="000000"/>
          <w:sz w:val="24"/>
          <w:shd w:val="clear" w:color="auto" w:fill="FFFFFF"/>
          <w:lang w:val="en-IE"/>
        </w:rPr>
        <w:t>,</w:t>
      </w:r>
      <w:r w:rsidRPr="005B4339">
        <w:rPr>
          <w:rStyle w:val="normaltextrun"/>
          <w:rFonts w:ascii="Times New Roman" w:hAnsi="Times New Roman"/>
          <w:noProof/>
          <w:color w:val="000000"/>
          <w:sz w:val="24"/>
          <w:shd w:val="clear" w:color="auto" w:fill="FFFFFF"/>
          <w:lang w:val="en-IE"/>
        </w:rPr>
        <w:t xml:space="preserve"> the costs range </w:t>
      </w:r>
      <w:r w:rsidR="00C47E13" w:rsidRPr="005B4339">
        <w:rPr>
          <w:rStyle w:val="normaltextrun"/>
          <w:rFonts w:ascii="Times New Roman" w:hAnsi="Times New Roman"/>
          <w:noProof/>
          <w:color w:val="000000"/>
          <w:sz w:val="24"/>
          <w:shd w:val="clear" w:color="auto" w:fill="FFFFFF"/>
          <w:lang w:val="en-IE"/>
        </w:rPr>
        <w:t>from EUR</w:t>
      </w:r>
      <w:r w:rsidRPr="005B4339">
        <w:rPr>
          <w:rStyle w:val="normaltextrun"/>
          <w:rFonts w:ascii="Times New Roman" w:hAnsi="Times New Roman"/>
          <w:noProof/>
          <w:color w:val="000000"/>
          <w:sz w:val="24"/>
          <w:shd w:val="clear" w:color="auto" w:fill="FFFFFF"/>
          <w:lang w:val="en-IE"/>
        </w:rPr>
        <w:t xml:space="preserve"> 17 per ton in Option 1 to over EUR 100 per ton in Option 3 </w:t>
      </w:r>
      <w:r w:rsidRPr="005B4339">
        <w:rPr>
          <w:rStyle w:val="normaltextrun"/>
          <w:rFonts w:ascii="Times New Roman" w:hAnsi="Times New Roman"/>
          <w:noProof/>
          <w:color w:val="000000"/>
          <w:sz w:val="24"/>
          <w:szCs w:val="24"/>
          <w:shd w:val="clear" w:color="auto" w:fill="FFFFFF"/>
          <w:lang w:val="en-IE"/>
        </w:rPr>
        <w:t>(</w:t>
      </w:r>
      <w:r w:rsidR="00C47E13" w:rsidRPr="005B4339">
        <w:rPr>
          <w:rStyle w:val="normaltextrun"/>
          <w:rFonts w:ascii="Times New Roman" w:hAnsi="Times New Roman"/>
          <w:noProof/>
          <w:color w:val="000000"/>
          <w:sz w:val="24"/>
          <w:szCs w:val="24"/>
          <w:shd w:val="clear" w:color="auto" w:fill="FFFFFF"/>
          <w:lang w:val="en-IE"/>
        </w:rPr>
        <w:fldChar w:fldCharType="begin"/>
      </w:r>
      <w:r w:rsidR="00C47E13" w:rsidRPr="005B4339">
        <w:rPr>
          <w:rStyle w:val="normaltextrun"/>
          <w:rFonts w:ascii="Times New Roman" w:hAnsi="Times New Roman"/>
          <w:noProof/>
          <w:color w:val="000000"/>
          <w:sz w:val="24"/>
          <w:szCs w:val="24"/>
          <w:shd w:val="clear" w:color="auto" w:fill="FFFFFF"/>
          <w:lang w:val="en-IE"/>
        </w:rPr>
        <w:instrText xml:space="preserve"> REF _Ref136505049 \h  \* MERGEFORMAT </w:instrText>
      </w:r>
      <w:r w:rsidR="00C47E13" w:rsidRPr="005B4339">
        <w:rPr>
          <w:rStyle w:val="normaltextrun"/>
          <w:rFonts w:ascii="Times New Roman" w:hAnsi="Times New Roman"/>
          <w:noProof/>
          <w:color w:val="000000"/>
          <w:sz w:val="24"/>
          <w:szCs w:val="24"/>
          <w:shd w:val="clear" w:color="auto" w:fill="FFFFFF"/>
          <w:lang w:val="en-IE"/>
        </w:rPr>
      </w:r>
      <w:r w:rsidR="00C47E13" w:rsidRPr="005B4339">
        <w:rPr>
          <w:rStyle w:val="normaltextrun"/>
          <w:rFonts w:ascii="Times New Roman" w:hAnsi="Times New Roman"/>
          <w:noProof/>
          <w:color w:val="000000"/>
          <w:sz w:val="24"/>
          <w:szCs w:val="24"/>
          <w:shd w:val="clear" w:color="auto" w:fill="FFFFFF"/>
          <w:lang w:val="en-IE"/>
        </w:rPr>
        <w:fldChar w:fldCharType="separate"/>
      </w:r>
      <w:r w:rsidR="00393DFA" w:rsidRPr="00393DFA">
        <w:rPr>
          <w:rFonts w:ascii="Times New Roman" w:hAnsi="Times New Roman"/>
          <w:noProof/>
          <w:sz w:val="24"/>
          <w:szCs w:val="24"/>
          <w:lang w:val="en-IE"/>
        </w:rPr>
        <w:t>Figure 49</w:t>
      </w:r>
      <w:r w:rsidR="00C47E13" w:rsidRPr="005B4339">
        <w:rPr>
          <w:rStyle w:val="normaltextrun"/>
          <w:rFonts w:ascii="Times New Roman" w:hAnsi="Times New Roman"/>
          <w:noProof/>
          <w:color w:val="000000"/>
          <w:sz w:val="24"/>
          <w:szCs w:val="24"/>
          <w:shd w:val="clear" w:color="auto" w:fill="FFFFFF"/>
          <w:lang w:val="en-IE"/>
        </w:rPr>
        <w:fldChar w:fldCharType="end"/>
      </w:r>
      <w:r w:rsidRPr="005B4339">
        <w:rPr>
          <w:rStyle w:val="normaltextrun"/>
          <w:rFonts w:ascii="Times New Roman" w:hAnsi="Times New Roman"/>
          <w:noProof/>
          <w:color w:val="000000"/>
          <w:sz w:val="24"/>
          <w:szCs w:val="24"/>
          <w:shd w:val="clear" w:color="auto" w:fill="FFFFFF"/>
          <w:lang w:val="en-IE"/>
        </w:rPr>
        <w:t>).</w:t>
      </w:r>
      <w:r w:rsidRPr="005B4339">
        <w:rPr>
          <w:rStyle w:val="normaltextrun"/>
          <w:rFonts w:ascii="Times New Roman" w:hAnsi="Times New Roman"/>
          <w:noProof/>
          <w:color w:val="000000"/>
          <w:sz w:val="24"/>
          <w:shd w:val="clear" w:color="auto" w:fill="FFFFFF"/>
          <w:lang w:val="en-IE"/>
        </w:rPr>
        <w:t xml:space="preserve"> At the individual stage level, highest costs occur for households – reaching up to EUR 160 per ton (Option 3). However, costs for the retail and distribution sector are also estimated to be over EUR 100 per ton (Option 3) due to high targets of food waste reduction (50%). </w:t>
      </w:r>
    </w:p>
    <w:p w14:paraId="14BA5B40" w14:textId="384A69CA" w:rsidR="00A70642" w:rsidRPr="005B4339" w:rsidRDefault="00A70642" w:rsidP="003B6050">
      <w:pPr>
        <w:pStyle w:val="JRCFigurecaption"/>
        <w:rPr>
          <w:noProof/>
          <w:lang w:val="en-IE"/>
        </w:rPr>
      </w:pPr>
      <w:bookmarkStart w:id="622" w:name="_Ref136505049"/>
      <w:bookmarkStart w:id="623" w:name="_Toc139031985"/>
      <w:r w:rsidRPr="005B4339">
        <w:rPr>
          <w:noProof/>
          <w:lang w:val="en-IE"/>
        </w:rPr>
        <w:t xml:space="preserve">Figure </w:t>
      </w:r>
      <w:r w:rsidR="00393DFA">
        <w:rPr>
          <w:noProof/>
          <w:lang w:val="en-IE"/>
        </w:rPr>
        <w:t>49</w:t>
      </w:r>
      <w:bookmarkEnd w:id="622"/>
      <w:r w:rsidRPr="005B4339">
        <w:rPr>
          <w:noProof/>
          <w:lang w:val="en-IE"/>
        </w:rPr>
        <w:t>: Adjustment costs of food waste reduction per ton of food waste reduced, EU27 – options vs baseline 2030</w:t>
      </w:r>
      <w:bookmarkEnd w:id="623"/>
      <w:r w:rsidRPr="005B4339">
        <w:rPr>
          <w:noProof/>
          <w:lang w:val="en-IE"/>
        </w:rPr>
        <w:t xml:space="preserve"> </w:t>
      </w:r>
    </w:p>
    <w:p w14:paraId="4C4B626B" w14:textId="4797B585" w:rsidR="00A70642" w:rsidRPr="005B4339" w:rsidRDefault="004928CC" w:rsidP="00A70642">
      <w:pPr>
        <w:pStyle w:val="JRCText"/>
        <w:rPr>
          <w:rFonts w:ascii="Times New Roman" w:hAnsi="Times New Roman"/>
          <w:noProof/>
          <w:sz w:val="32"/>
          <w:lang w:val="en-IE"/>
        </w:rPr>
      </w:pPr>
      <w:r w:rsidRPr="004928CC">
        <w:lastRenderedPageBreak/>
        <w:drawing>
          <wp:inline distT="0" distB="0" distL="0" distR="0" wp14:anchorId="05C0A89C" wp14:editId="74DB4797">
            <wp:extent cx="5731510" cy="2751455"/>
            <wp:effectExtent l="0" t="0" r="2540" b="0"/>
            <wp:docPr id="1112863403" name="Picture 111286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751455"/>
                    </a:xfrm>
                    <a:prstGeom prst="rect">
                      <a:avLst/>
                    </a:prstGeom>
                    <a:noFill/>
                    <a:ln>
                      <a:noFill/>
                    </a:ln>
                  </pic:spPr>
                </pic:pic>
              </a:graphicData>
            </a:graphic>
          </wp:inline>
        </w:drawing>
      </w:r>
    </w:p>
    <w:p w14:paraId="030B773F" w14:textId="77777777" w:rsidR="00BB700C" w:rsidRPr="005B4339" w:rsidRDefault="00BB700C" w:rsidP="00BB700C">
      <w:pPr>
        <w:pStyle w:val="JRCFiguresource"/>
        <w:rPr>
          <w:noProof/>
          <w:lang w:val="en-IE"/>
        </w:rPr>
      </w:pPr>
      <w:r w:rsidRPr="005B4339">
        <w:rPr>
          <w:noProof/>
          <w:lang w:val="en-IE"/>
        </w:rPr>
        <w:t>Source: MAGNET simulation results</w:t>
      </w:r>
    </w:p>
    <w:p w14:paraId="7F24ED51" w14:textId="77777777" w:rsidR="006062D5" w:rsidRPr="005B4339" w:rsidRDefault="006062D5" w:rsidP="006062D5">
      <w:pPr>
        <w:pStyle w:val="JRCLevel-4title"/>
        <w:rPr>
          <w:rFonts w:ascii="Times New Roman" w:hAnsi="Times New Roman"/>
          <w:noProof/>
          <w:sz w:val="24"/>
          <w:lang w:val="en-IE"/>
        </w:rPr>
      </w:pPr>
      <w:r w:rsidRPr="005B4339">
        <w:rPr>
          <w:rFonts w:ascii="Times New Roman" w:hAnsi="Times New Roman"/>
          <w:noProof/>
          <w:sz w:val="24"/>
          <w:lang w:val="en-IE"/>
        </w:rPr>
        <w:t>Primary production</w:t>
      </w:r>
    </w:p>
    <w:p w14:paraId="46B12AA5" w14:textId="1AF4F1AD" w:rsidR="006062D5" w:rsidRPr="005B4339" w:rsidRDefault="006062D5" w:rsidP="006062D5">
      <w:pPr>
        <w:pStyle w:val="JRCText"/>
        <w:rPr>
          <w:rFonts w:ascii="Times New Roman" w:hAnsi="Times New Roman"/>
          <w:noProof/>
          <w:sz w:val="24"/>
          <w:szCs w:val="24"/>
          <w:lang w:val="en-IE"/>
        </w:rPr>
      </w:pPr>
      <w:r w:rsidRPr="005B4339">
        <w:rPr>
          <w:rFonts w:ascii="Times New Roman" w:hAnsi="Times New Roman"/>
          <w:noProof/>
          <w:sz w:val="24"/>
          <w:szCs w:val="24"/>
          <w:lang w:val="en-IE"/>
        </w:rPr>
        <w:t>As only Option 3 targets food waste reductions at the primary production level, we report only the results of Option 3 in</w:t>
      </w:r>
      <w:r w:rsidR="00042314" w:rsidRPr="005B4339">
        <w:rPr>
          <w:rFonts w:ascii="Times New Roman" w:hAnsi="Times New Roman"/>
          <w:noProof/>
          <w:sz w:val="24"/>
          <w:szCs w:val="24"/>
          <w:lang w:val="en-IE"/>
        </w:rPr>
        <w:t xml:space="preserve"> </w:t>
      </w:r>
      <w:bookmarkStart w:id="624" w:name="_Hlk133920614"/>
      <w:r w:rsidR="00042314" w:rsidRPr="005B4339">
        <w:rPr>
          <w:rFonts w:ascii="Times New Roman" w:hAnsi="Times New Roman"/>
          <w:noProof/>
          <w:sz w:val="24"/>
          <w:szCs w:val="24"/>
          <w:lang w:val="en-IE"/>
        </w:rPr>
        <w:fldChar w:fldCharType="begin"/>
      </w:r>
      <w:r w:rsidR="00042314" w:rsidRPr="005B4339">
        <w:rPr>
          <w:rFonts w:ascii="Times New Roman" w:hAnsi="Times New Roman"/>
          <w:noProof/>
          <w:sz w:val="24"/>
          <w:szCs w:val="24"/>
          <w:lang w:val="en-IE"/>
        </w:rPr>
        <w:instrText xml:space="preserve"> REF _Ref133920556 \h  \* MERGEFORMAT </w:instrText>
      </w:r>
      <w:r w:rsidR="00042314" w:rsidRPr="005B4339">
        <w:rPr>
          <w:rFonts w:ascii="Times New Roman" w:hAnsi="Times New Roman"/>
          <w:noProof/>
          <w:sz w:val="24"/>
          <w:szCs w:val="24"/>
          <w:lang w:val="en-IE"/>
        </w:rPr>
      </w:r>
      <w:r w:rsidR="0004231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50</w:t>
      </w:r>
      <w:r w:rsidR="00042314" w:rsidRPr="005B4339">
        <w:rPr>
          <w:rFonts w:ascii="Times New Roman" w:hAnsi="Times New Roman"/>
          <w:noProof/>
          <w:sz w:val="24"/>
          <w:szCs w:val="24"/>
          <w:lang w:val="en-IE"/>
        </w:rPr>
        <w:fldChar w:fldCharType="end"/>
      </w:r>
      <w:bookmarkEnd w:id="624"/>
      <w:r w:rsidRPr="005B4339">
        <w:rPr>
          <w:rFonts w:ascii="Times New Roman" w:hAnsi="Times New Roman"/>
          <w:noProof/>
          <w:sz w:val="24"/>
          <w:szCs w:val="24"/>
          <w:lang w:val="en-IE"/>
        </w:rPr>
        <w:t>. A 10% reduction of food waste in the production stage leads to an average adjustment cost of around 6 EUR per ton of food waste reduced. This cost is mainly driven by the waste reductions in the crop sector,</w:t>
      </w:r>
      <w:r w:rsidR="00B701C0" w:rsidRPr="005B4339">
        <w:rPr>
          <w:rFonts w:ascii="Times New Roman" w:hAnsi="Times New Roman"/>
          <w:noProof/>
          <w:sz w:val="24"/>
          <w:szCs w:val="24"/>
          <w:lang w:val="en-IE"/>
        </w:rPr>
        <w:t xml:space="preserve"> </w:t>
      </w:r>
      <w:r w:rsidR="003902DC" w:rsidRPr="005B4339">
        <w:rPr>
          <w:rFonts w:ascii="Times New Roman" w:hAnsi="Times New Roman"/>
          <w:noProof/>
          <w:sz w:val="24"/>
          <w:szCs w:val="24"/>
          <w:lang w:val="en-IE"/>
        </w:rPr>
        <w:t>with</w:t>
      </w:r>
      <w:r w:rsidRPr="005B4339">
        <w:rPr>
          <w:rFonts w:ascii="Times New Roman" w:hAnsi="Times New Roman"/>
          <w:noProof/>
          <w:sz w:val="24"/>
          <w:szCs w:val="24"/>
          <w:lang w:val="en-IE"/>
        </w:rPr>
        <w:t xml:space="preserve"> adjustment costs estimated similar</w:t>
      </w:r>
      <w:r w:rsidR="003902DC" w:rsidRPr="005B4339">
        <w:rPr>
          <w:rFonts w:ascii="Times New Roman" w:hAnsi="Times New Roman"/>
          <w:noProof/>
          <w:sz w:val="24"/>
          <w:szCs w:val="24"/>
          <w:lang w:val="en-IE"/>
        </w:rPr>
        <w:t>ly</w:t>
      </w:r>
      <w:r w:rsidRPr="005B4339">
        <w:rPr>
          <w:rFonts w:ascii="Times New Roman" w:hAnsi="Times New Roman"/>
          <w:noProof/>
          <w:sz w:val="24"/>
          <w:szCs w:val="24"/>
          <w:lang w:val="en-IE"/>
        </w:rPr>
        <w:t xml:space="preserve"> </w:t>
      </w:r>
      <w:r w:rsidR="003902DC" w:rsidRPr="005B4339">
        <w:rPr>
          <w:rFonts w:ascii="Times New Roman" w:hAnsi="Times New Roman"/>
          <w:noProof/>
          <w:sz w:val="24"/>
          <w:szCs w:val="24"/>
          <w:lang w:val="en-IE"/>
        </w:rPr>
        <w:t>at</w:t>
      </w:r>
      <w:r w:rsidRPr="005B4339">
        <w:rPr>
          <w:rFonts w:ascii="Times New Roman" w:hAnsi="Times New Roman"/>
          <w:noProof/>
          <w:sz w:val="24"/>
          <w:szCs w:val="24"/>
          <w:lang w:val="en-IE"/>
        </w:rPr>
        <w:t xml:space="preserve"> around 6 EUR per ton. The costs for livestock production are slightly higher, however they influence the average price less than the crops sector as primary production only considers livestock farming and excludes processing.</w:t>
      </w:r>
    </w:p>
    <w:p w14:paraId="15BDDD47" w14:textId="5A594439" w:rsidR="006062D5" w:rsidRPr="005B4339" w:rsidRDefault="006062D5" w:rsidP="003B6050">
      <w:pPr>
        <w:pStyle w:val="JRCFigurecaption"/>
        <w:rPr>
          <w:noProof/>
          <w:lang w:val="en-IE"/>
        </w:rPr>
      </w:pPr>
      <w:bookmarkStart w:id="625" w:name="_Ref133920556"/>
      <w:bookmarkStart w:id="626" w:name="_Toc139031986"/>
      <w:r w:rsidRPr="005B4339">
        <w:rPr>
          <w:noProof/>
          <w:lang w:val="en-IE"/>
        </w:rPr>
        <w:t xml:space="preserve">Figure </w:t>
      </w:r>
      <w:r w:rsidR="00393DFA">
        <w:rPr>
          <w:noProof/>
          <w:lang w:val="en-IE"/>
        </w:rPr>
        <w:t>50</w:t>
      </w:r>
      <w:bookmarkEnd w:id="625"/>
      <w:r w:rsidRPr="005B4339">
        <w:rPr>
          <w:noProof/>
          <w:lang w:val="en-IE"/>
        </w:rPr>
        <w:t>: Adjustment costs associated with 10% food waste reduction at the primary production stage, EU27, Option 3 vs baseline</w:t>
      </w:r>
      <w:bookmarkEnd w:id="626"/>
    </w:p>
    <w:p w14:paraId="2FDE9E66" w14:textId="74960D00" w:rsidR="006062D5" w:rsidRPr="005B4339" w:rsidRDefault="004928CC" w:rsidP="006062D5">
      <w:pPr>
        <w:pStyle w:val="JRCText"/>
        <w:rPr>
          <w:noProof/>
          <w:lang w:val="en-IE"/>
        </w:rPr>
      </w:pPr>
      <w:r w:rsidRPr="004928CC">
        <w:drawing>
          <wp:inline distT="0" distB="0" distL="0" distR="0" wp14:anchorId="6735C734" wp14:editId="113D37E5">
            <wp:extent cx="4572000" cy="2743200"/>
            <wp:effectExtent l="0" t="0" r="0" b="0"/>
            <wp:docPr id="1112863402" name="Picture 111286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A6F6BFA" w14:textId="77777777" w:rsidR="006062D5" w:rsidRPr="005B4339" w:rsidRDefault="006062D5" w:rsidP="006062D5">
      <w:pPr>
        <w:pStyle w:val="JRCText"/>
        <w:rPr>
          <w:rFonts w:ascii="Times New Roman" w:hAnsi="Times New Roman"/>
          <w:noProof/>
          <w:sz w:val="24"/>
          <w:szCs w:val="24"/>
          <w:lang w:val="en-IE"/>
        </w:rPr>
      </w:pPr>
    </w:p>
    <w:p w14:paraId="6F8DFCC8" w14:textId="77777777" w:rsidR="00794505" w:rsidRPr="005B4339" w:rsidRDefault="00794505" w:rsidP="00794505">
      <w:pPr>
        <w:pStyle w:val="JRCFiguresource"/>
        <w:rPr>
          <w:noProof/>
          <w:lang w:val="en-IE"/>
        </w:rPr>
      </w:pPr>
      <w:r w:rsidRPr="005B4339">
        <w:rPr>
          <w:noProof/>
          <w:lang w:val="en-IE"/>
        </w:rPr>
        <w:t>Source: MAGNET simulation results</w:t>
      </w:r>
    </w:p>
    <w:p w14:paraId="3F9AFBFE" w14:textId="77777777" w:rsidR="006062D5" w:rsidRPr="005B4339" w:rsidRDefault="006062D5" w:rsidP="006062D5">
      <w:pPr>
        <w:pStyle w:val="JRCLevel-4title"/>
        <w:rPr>
          <w:rFonts w:ascii="Times New Roman" w:hAnsi="Times New Roman"/>
          <w:noProof/>
          <w:sz w:val="24"/>
          <w:lang w:val="en-IE"/>
        </w:rPr>
      </w:pPr>
      <w:r w:rsidRPr="005B4339">
        <w:rPr>
          <w:rFonts w:ascii="Times New Roman" w:hAnsi="Times New Roman"/>
          <w:noProof/>
          <w:sz w:val="24"/>
          <w:lang w:val="en-IE"/>
        </w:rPr>
        <w:lastRenderedPageBreak/>
        <w:t>Processing and manufacturing</w:t>
      </w:r>
    </w:p>
    <w:p w14:paraId="37C20ED9" w14:textId="3B874CD7" w:rsidR="006062D5" w:rsidRPr="005B4339" w:rsidRDefault="006062D5" w:rsidP="006062D5">
      <w:pPr>
        <w:pStyle w:val="JRCText"/>
        <w:rPr>
          <w:rFonts w:ascii="Times New Roman" w:hAnsi="Times New Roman"/>
          <w:noProof/>
          <w:sz w:val="24"/>
          <w:szCs w:val="24"/>
          <w:lang w:val="en-IE"/>
        </w:rPr>
      </w:pPr>
      <w:r w:rsidRPr="005B4339">
        <w:rPr>
          <w:rFonts w:ascii="Times New Roman" w:hAnsi="Times New Roman"/>
          <w:noProof/>
          <w:sz w:val="24"/>
          <w:lang w:val="en-IE"/>
        </w:rPr>
        <w:t>Adjustment costs of food waste reduction per ton of food waste reduced at the processing and manufacturing stage, start from 19 EUR/ton in Option 1, and reaches up to 29 EUR/ton in Option 3</w:t>
      </w:r>
      <w:r w:rsidR="003902DC" w:rsidRPr="005B4339">
        <w:rPr>
          <w:rFonts w:ascii="Times New Roman" w:hAnsi="Times New Roman"/>
          <w:noProof/>
          <w:sz w:val="24"/>
          <w:lang w:val="en-IE"/>
        </w:rPr>
        <w:t>,</w:t>
      </w:r>
      <w:r w:rsidRPr="005B4339">
        <w:rPr>
          <w:rFonts w:ascii="Times New Roman" w:hAnsi="Times New Roman"/>
          <w:noProof/>
          <w:sz w:val="24"/>
          <w:lang w:val="en-IE"/>
        </w:rPr>
        <w:t xml:space="preserve"> on average</w:t>
      </w:r>
      <w:r w:rsidR="003902DC" w:rsidRPr="005B4339">
        <w:rPr>
          <w:rFonts w:ascii="Times New Roman" w:hAnsi="Times New Roman"/>
          <w:noProof/>
          <w:sz w:val="24"/>
          <w:lang w:val="en-IE"/>
        </w:rPr>
        <w:t>,</w:t>
      </w:r>
      <w:r w:rsidRPr="005B4339">
        <w:rPr>
          <w:rFonts w:ascii="Times New Roman" w:hAnsi="Times New Roman"/>
          <w:noProof/>
          <w:sz w:val="24"/>
          <w:lang w:val="en-IE"/>
        </w:rPr>
        <w:t xml:space="preserve"> for food and agriculture commodities</w:t>
      </w:r>
      <w:r w:rsidR="003902DC" w:rsidRPr="005B4339">
        <w:rPr>
          <w:rFonts w:ascii="Times New Roman" w:hAnsi="Times New Roman"/>
          <w:noProof/>
          <w:sz w:val="24"/>
          <w:lang w:val="en-IE"/>
        </w:rPr>
        <w:t>,</w:t>
      </w:r>
      <w:r w:rsidRPr="005B4339">
        <w:rPr>
          <w:rFonts w:ascii="Times New Roman" w:hAnsi="Times New Roman"/>
          <w:noProof/>
          <w:sz w:val="24"/>
          <w:lang w:val="en-IE"/>
        </w:rPr>
        <w:t xml:space="preserve"> as shown in</w:t>
      </w:r>
      <w:r w:rsidR="00C002E4" w:rsidRPr="005B4339">
        <w:rPr>
          <w:rFonts w:ascii="Times New Roman" w:hAnsi="Times New Roman"/>
          <w:noProof/>
          <w:sz w:val="24"/>
          <w:lang w:val="en-IE"/>
        </w:rPr>
        <w:t xml:space="preserve"> </w:t>
      </w:r>
      <w:r w:rsidR="00C002E4" w:rsidRPr="005B4339">
        <w:rPr>
          <w:rFonts w:ascii="Times New Roman" w:hAnsi="Times New Roman"/>
          <w:noProof/>
          <w:sz w:val="24"/>
          <w:szCs w:val="24"/>
          <w:lang w:val="en-IE"/>
        </w:rPr>
        <w:fldChar w:fldCharType="begin"/>
      </w:r>
      <w:r w:rsidR="00C002E4" w:rsidRPr="005B4339">
        <w:rPr>
          <w:rFonts w:ascii="Times New Roman" w:hAnsi="Times New Roman"/>
          <w:noProof/>
          <w:sz w:val="24"/>
          <w:szCs w:val="24"/>
          <w:lang w:val="en-IE"/>
        </w:rPr>
        <w:instrText xml:space="preserve"> REF _Ref133920556 \h  \* MERGEFORMAT </w:instrText>
      </w:r>
      <w:r w:rsidR="00C002E4" w:rsidRPr="005B4339">
        <w:rPr>
          <w:rFonts w:ascii="Times New Roman" w:hAnsi="Times New Roman"/>
          <w:noProof/>
          <w:sz w:val="24"/>
          <w:szCs w:val="24"/>
          <w:lang w:val="en-IE"/>
        </w:rPr>
      </w:r>
      <w:r w:rsidR="00C002E4"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50</w:t>
      </w:r>
      <w:r w:rsidR="00C002E4" w:rsidRPr="005B4339">
        <w:rPr>
          <w:rFonts w:ascii="Times New Roman" w:hAnsi="Times New Roman"/>
          <w:noProof/>
          <w:sz w:val="24"/>
          <w:szCs w:val="24"/>
          <w:lang w:val="en-IE"/>
        </w:rPr>
        <w:fldChar w:fldCharType="end"/>
      </w:r>
      <w:r w:rsidRPr="005B4339">
        <w:rPr>
          <w:rFonts w:ascii="Times New Roman" w:hAnsi="Times New Roman"/>
          <w:noProof/>
          <w:sz w:val="24"/>
          <w:lang w:val="en-IE"/>
        </w:rPr>
        <w:t xml:space="preserve"> </w:t>
      </w:r>
      <w:r w:rsidRPr="005B4339">
        <w:rPr>
          <w:rStyle w:val="normaltextrun"/>
          <w:rFonts w:ascii="Times New Roman" w:hAnsi="Times New Roman"/>
          <w:noProof/>
          <w:color w:val="000000"/>
          <w:sz w:val="24"/>
          <w:szCs w:val="24"/>
          <w:shd w:val="clear" w:color="auto" w:fill="FFFFFF"/>
          <w:lang w:val="en-IE"/>
        </w:rPr>
        <w:t>in the previous sub-section</w:t>
      </w:r>
      <w:r w:rsidRPr="005B4339">
        <w:rPr>
          <w:rFonts w:ascii="Times New Roman" w:hAnsi="Times New Roman"/>
          <w:noProof/>
          <w:sz w:val="24"/>
          <w:lang w:val="en-IE"/>
        </w:rPr>
        <w:t>.</w:t>
      </w:r>
      <w:r w:rsidRPr="005B4339">
        <w:rPr>
          <w:rFonts w:ascii="Times New Roman" w:hAnsi="Times New Roman"/>
          <w:noProof/>
          <w:sz w:val="32"/>
          <w:szCs w:val="24"/>
          <w:lang w:val="en-IE"/>
        </w:rPr>
        <w:t xml:space="preserve"> </w:t>
      </w:r>
    </w:p>
    <w:p w14:paraId="2AC07F50" w14:textId="48FD3503" w:rsidR="006062D5" w:rsidRPr="005B4339" w:rsidRDefault="00C002E4" w:rsidP="006062D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_Ref133920642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51</w:t>
      </w:r>
      <w:r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w:t>
      </w:r>
      <w:r w:rsidR="006062D5" w:rsidRPr="005B4339">
        <w:rPr>
          <w:rFonts w:ascii="Times New Roman" w:hAnsi="Times New Roman"/>
          <w:noProof/>
          <w:sz w:val="24"/>
          <w:szCs w:val="24"/>
          <w:lang w:val="en-IE"/>
        </w:rPr>
        <w:t>shows the average adjustment costs associated with food waste reduction at the processing and manufacturing sectors across MSs. While the costs vary significantly across MSs, in the majority of MSs, they are lower than the EU average.  Particularly the Netherlands and Spain face the highest costs which are higher than 40 EUR per ton.</w:t>
      </w:r>
    </w:p>
    <w:p w14:paraId="3091D2DB" w14:textId="31688BC6" w:rsidR="00A70642" w:rsidRPr="005B4339" w:rsidRDefault="006062D5" w:rsidP="003B6050">
      <w:pPr>
        <w:pStyle w:val="JRCFigurecaption"/>
        <w:rPr>
          <w:noProof/>
          <w:lang w:val="en-IE"/>
        </w:rPr>
      </w:pPr>
      <w:bookmarkStart w:id="627" w:name="_Ref133920642"/>
      <w:bookmarkStart w:id="628" w:name="_Toc139031987"/>
      <w:r w:rsidRPr="005B4339">
        <w:rPr>
          <w:noProof/>
          <w:lang w:val="en-IE"/>
        </w:rPr>
        <w:t xml:space="preserve">Figure </w:t>
      </w:r>
      <w:r w:rsidR="00393DFA">
        <w:rPr>
          <w:noProof/>
          <w:lang w:val="en-IE"/>
        </w:rPr>
        <w:t>51</w:t>
      </w:r>
      <w:bookmarkEnd w:id="627"/>
      <w:r w:rsidRPr="005B4339">
        <w:rPr>
          <w:noProof/>
          <w:lang w:val="en-IE"/>
        </w:rPr>
        <w:t>: Cost associated with food waste reduction at the processing stage across Member States, options vs baseline 2030</w:t>
      </w:r>
      <w:bookmarkEnd w:id="628"/>
    </w:p>
    <w:p w14:paraId="1DEAA338" w14:textId="77CAE785" w:rsidR="006062D5" w:rsidRPr="005B4339" w:rsidRDefault="004928CC" w:rsidP="006062D5">
      <w:pPr>
        <w:pStyle w:val="JRCText"/>
        <w:rPr>
          <w:rFonts w:ascii="Times New Roman" w:hAnsi="Times New Roman"/>
          <w:noProof/>
          <w:sz w:val="32"/>
          <w:szCs w:val="24"/>
          <w:lang w:val="en-IE"/>
        </w:rPr>
      </w:pPr>
      <w:r w:rsidRPr="004928CC">
        <w:drawing>
          <wp:inline distT="0" distB="0" distL="0" distR="0" wp14:anchorId="19374E1B" wp14:editId="5961FDC5">
            <wp:extent cx="5731510" cy="2770505"/>
            <wp:effectExtent l="0" t="0" r="2540" b="0"/>
            <wp:docPr id="1112863401" name="Picture 111286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41FEA663" w14:textId="77777777" w:rsidR="006062D5" w:rsidRPr="005B4339" w:rsidRDefault="006062D5" w:rsidP="006062D5">
      <w:pPr>
        <w:pStyle w:val="JRCFiguresource"/>
        <w:rPr>
          <w:noProof/>
          <w:lang w:val="en-IE"/>
        </w:rPr>
      </w:pPr>
      <w:r w:rsidRPr="005B4339">
        <w:rPr>
          <w:noProof/>
          <w:lang w:val="en-IE"/>
        </w:rPr>
        <w:t>Source: MAGNET simulation results</w:t>
      </w:r>
    </w:p>
    <w:p w14:paraId="55709257" w14:textId="77777777" w:rsidR="006062D5" w:rsidRPr="005B4339" w:rsidRDefault="006062D5" w:rsidP="006062D5">
      <w:pPr>
        <w:pStyle w:val="JRCLevel-4title"/>
        <w:rPr>
          <w:rFonts w:ascii="Times New Roman" w:hAnsi="Times New Roman"/>
          <w:noProof/>
          <w:sz w:val="24"/>
          <w:lang w:val="en-IE"/>
        </w:rPr>
      </w:pPr>
      <w:r w:rsidRPr="005B4339">
        <w:rPr>
          <w:rFonts w:ascii="Times New Roman" w:hAnsi="Times New Roman"/>
          <w:noProof/>
          <w:sz w:val="24"/>
          <w:lang w:val="en-IE"/>
        </w:rPr>
        <w:t>Retail and Distribution</w:t>
      </w:r>
    </w:p>
    <w:p w14:paraId="5AAB0951" w14:textId="4785788C" w:rsidR="006062D5" w:rsidRPr="005B4339" w:rsidRDefault="006062D5" w:rsidP="006062D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On average, adjustment costs of food waste reduction per ton of food waste reduced for the retail and distribution sector is estimated to start from 25 EUR/ton in Option 1 and increase up to 123 EUR/ton in Option 3. </w:t>
      </w:r>
      <w:r w:rsidRPr="005B4339">
        <w:rPr>
          <w:rFonts w:ascii="Times New Roman" w:hAnsi="Times New Roman"/>
          <w:noProof/>
          <w:color w:val="FF0000"/>
          <w:sz w:val="24"/>
          <w:szCs w:val="24"/>
          <w:lang w:val="en-IE"/>
        </w:rPr>
        <w:t xml:space="preserve"> </w:t>
      </w:r>
      <w:r w:rsidR="004A16F9" w:rsidRPr="005B4339">
        <w:rPr>
          <w:rFonts w:ascii="Times New Roman" w:hAnsi="Times New Roman"/>
          <w:noProof/>
          <w:color w:val="FF0000"/>
          <w:sz w:val="24"/>
          <w:szCs w:val="24"/>
          <w:lang w:val="en-IE"/>
        </w:rPr>
        <w:fldChar w:fldCharType="begin"/>
      </w:r>
      <w:r w:rsidR="004A16F9" w:rsidRPr="005B4339">
        <w:rPr>
          <w:rFonts w:ascii="Times New Roman" w:hAnsi="Times New Roman"/>
          <w:noProof/>
          <w:color w:val="FF0000"/>
          <w:sz w:val="24"/>
          <w:szCs w:val="24"/>
          <w:lang w:val="en-IE"/>
        </w:rPr>
        <w:instrText xml:space="preserve"> REF _Ref133485367 \h  \* MERGEFORMAT </w:instrText>
      </w:r>
      <w:r w:rsidR="004A16F9" w:rsidRPr="005B4339">
        <w:rPr>
          <w:rFonts w:ascii="Times New Roman" w:hAnsi="Times New Roman"/>
          <w:noProof/>
          <w:color w:val="FF0000"/>
          <w:sz w:val="24"/>
          <w:szCs w:val="24"/>
          <w:lang w:val="en-IE"/>
        </w:rPr>
      </w:r>
      <w:r w:rsidR="004A16F9" w:rsidRPr="005B4339">
        <w:rPr>
          <w:rFonts w:ascii="Times New Roman" w:hAnsi="Times New Roman"/>
          <w:noProof/>
          <w:color w:val="FF0000"/>
          <w:sz w:val="24"/>
          <w:szCs w:val="24"/>
          <w:lang w:val="en-IE"/>
        </w:rPr>
        <w:fldChar w:fldCharType="separate"/>
      </w:r>
      <w:r w:rsidR="00393DFA" w:rsidRPr="00393DFA">
        <w:rPr>
          <w:rFonts w:ascii="Times New Roman" w:hAnsi="Times New Roman"/>
          <w:noProof/>
          <w:sz w:val="24"/>
          <w:szCs w:val="24"/>
          <w:lang w:val="en-IE"/>
        </w:rPr>
        <w:t xml:space="preserve">Figure </w:t>
      </w:r>
      <w:r w:rsidR="00393DFA">
        <w:rPr>
          <w:noProof/>
          <w:lang w:val="en-IE"/>
        </w:rPr>
        <w:t>52</w:t>
      </w:r>
      <w:r w:rsidR="004A16F9" w:rsidRPr="005B4339">
        <w:rPr>
          <w:rFonts w:ascii="Times New Roman" w:hAnsi="Times New Roman"/>
          <w:noProof/>
          <w:color w:val="FF0000"/>
          <w:sz w:val="24"/>
          <w:szCs w:val="24"/>
          <w:lang w:val="en-IE"/>
        </w:rPr>
        <w:fldChar w:fldCharType="end"/>
      </w:r>
      <w:r w:rsidRPr="005B4339">
        <w:rPr>
          <w:rFonts w:ascii="Times New Roman" w:hAnsi="Times New Roman"/>
          <w:noProof/>
          <w:color w:val="FF0000"/>
          <w:sz w:val="24"/>
          <w:szCs w:val="24"/>
          <w:lang w:val="en-IE"/>
        </w:rPr>
        <w:t xml:space="preserve"> </w:t>
      </w:r>
      <w:r w:rsidRPr="005B4339">
        <w:rPr>
          <w:rFonts w:ascii="Times New Roman" w:hAnsi="Times New Roman"/>
          <w:noProof/>
          <w:sz w:val="24"/>
          <w:szCs w:val="24"/>
          <w:lang w:val="en-IE"/>
        </w:rPr>
        <w:t xml:space="preserve">shows the cost associated with food waste reduction at the retail and distribution stage for the three options that is split into </w:t>
      </w:r>
      <w:r w:rsidR="004634E1" w:rsidRPr="005B4339">
        <w:rPr>
          <w:rFonts w:ascii="Times New Roman" w:hAnsi="Times New Roman"/>
          <w:noProof/>
          <w:sz w:val="24"/>
          <w:szCs w:val="24"/>
          <w:lang w:val="en-IE"/>
        </w:rPr>
        <w:t xml:space="preserve">the following </w:t>
      </w:r>
      <w:r w:rsidRPr="005B4339">
        <w:rPr>
          <w:rFonts w:ascii="Times New Roman" w:hAnsi="Times New Roman"/>
          <w:noProof/>
          <w:sz w:val="24"/>
          <w:szCs w:val="24"/>
          <w:lang w:val="en-IE"/>
        </w:rPr>
        <w:t>retail categories</w:t>
      </w:r>
      <w:r w:rsidR="004634E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distribution, food services, and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retail. Costs increase as the ambition with regard to food waste reduction increases</w:t>
      </w:r>
      <w:r w:rsidR="00C272F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however, they are within the same range across retail categories in all options.</w:t>
      </w:r>
    </w:p>
    <w:p w14:paraId="6E914FF9" w14:textId="78148AFA" w:rsidR="006062D5" w:rsidRPr="005B4339" w:rsidRDefault="006062D5" w:rsidP="003B6050">
      <w:pPr>
        <w:pStyle w:val="JRCFigurecaption"/>
        <w:rPr>
          <w:noProof/>
          <w:lang w:val="en-IE"/>
        </w:rPr>
      </w:pPr>
      <w:bookmarkStart w:id="629" w:name="_Ref133485367"/>
      <w:bookmarkStart w:id="630" w:name="_Toc139031988"/>
      <w:r w:rsidRPr="005B4339">
        <w:rPr>
          <w:noProof/>
          <w:lang w:val="en-IE"/>
        </w:rPr>
        <w:t xml:space="preserve">Figure </w:t>
      </w:r>
      <w:r w:rsidR="00393DFA">
        <w:rPr>
          <w:noProof/>
          <w:lang w:val="en-IE"/>
        </w:rPr>
        <w:t>52</w:t>
      </w:r>
      <w:bookmarkEnd w:id="629"/>
      <w:r w:rsidRPr="005B4339">
        <w:rPr>
          <w:noProof/>
          <w:lang w:val="en-IE"/>
        </w:rPr>
        <w:t>: Adjustment costs associated with food waste reduction at the retail stage EUR/ton, EU27, options vs baseline, 2030</w:t>
      </w:r>
      <w:bookmarkEnd w:id="630"/>
    </w:p>
    <w:p w14:paraId="57B604B5" w14:textId="3A799589" w:rsidR="006062D5" w:rsidRPr="005B4339" w:rsidRDefault="004928CC" w:rsidP="006062D5">
      <w:pPr>
        <w:pStyle w:val="JRCText"/>
        <w:rPr>
          <w:noProof/>
          <w:lang w:val="en-IE"/>
        </w:rPr>
      </w:pPr>
      <w:r w:rsidRPr="004928CC">
        <w:lastRenderedPageBreak/>
        <w:drawing>
          <wp:inline distT="0" distB="0" distL="0" distR="0" wp14:anchorId="4DEB766C" wp14:editId="39061C54">
            <wp:extent cx="5638800" cy="2838450"/>
            <wp:effectExtent l="0" t="0" r="0" b="0"/>
            <wp:docPr id="1112863399" name="Picture 111286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p>
    <w:p w14:paraId="7CDF7A54" w14:textId="77777777" w:rsidR="006062D5" w:rsidRPr="005B4339" w:rsidRDefault="006062D5" w:rsidP="006062D5">
      <w:pPr>
        <w:pStyle w:val="JRCText"/>
        <w:rPr>
          <w:rFonts w:ascii="Times New Roman" w:hAnsi="Times New Roman"/>
          <w:noProof/>
          <w:sz w:val="24"/>
          <w:szCs w:val="24"/>
          <w:lang w:val="en-IE"/>
        </w:rPr>
      </w:pPr>
    </w:p>
    <w:p w14:paraId="2464DBE8" w14:textId="77777777" w:rsidR="006062D5" w:rsidRPr="005B4339" w:rsidRDefault="006062D5" w:rsidP="006062D5">
      <w:pPr>
        <w:pStyle w:val="JRCFiguresource"/>
        <w:rPr>
          <w:noProof/>
          <w:lang w:val="en-IE"/>
        </w:rPr>
      </w:pPr>
      <w:r w:rsidRPr="005B4339">
        <w:rPr>
          <w:noProof/>
          <w:lang w:val="en-IE"/>
        </w:rPr>
        <w:t>Source: MAGNET simulation results</w:t>
      </w:r>
    </w:p>
    <w:p w14:paraId="5906AD9F" w14:textId="3F4CE2AB" w:rsidR="00F556A5" w:rsidRPr="005B4339" w:rsidRDefault="00D27316" w:rsidP="00F556A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_Ref133485648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53</w:t>
      </w:r>
      <w:r w:rsidRPr="005B4339">
        <w:rPr>
          <w:rFonts w:ascii="Times New Roman" w:hAnsi="Times New Roman"/>
          <w:noProof/>
          <w:sz w:val="24"/>
          <w:szCs w:val="24"/>
          <w:lang w:val="en-IE"/>
        </w:rPr>
        <w:fldChar w:fldCharType="end"/>
      </w:r>
      <w:r w:rsidR="00F556A5" w:rsidRPr="005B4339">
        <w:rPr>
          <w:rFonts w:ascii="Times New Roman" w:hAnsi="Times New Roman"/>
          <w:noProof/>
          <w:sz w:val="24"/>
          <w:szCs w:val="24"/>
          <w:lang w:val="en-IE"/>
        </w:rPr>
        <w:t xml:space="preserve"> shows the average costs associated with food waste reduction across all policy options at the individual MS level. Most countries face adjustment costs that are over 100 EUR per ton. While the lowest costs are observed for Bulgaria and Romania, the highest cost occurs in Ireland. </w:t>
      </w:r>
    </w:p>
    <w:p w14:paraId="703F8519" w14:textId="60C1DBED" w:rsidR="00F556A5" w:rsidRPr="005B4339" w:rsidRDefault="00F556A5" w:rsidP="003B6050">
      <w:pPr>
        <w:pStyle w:val="JRCFigurecaption"/>
        <w:rPr>
          <w:noProof/>
          <w:lang w:val="en-IE"/>
        </w:rPr>
      </w:pPr>
      <w:bookmarkStart w:id="631" w:name="_Ref133485648"/>
      <w:bookmarkStart w:id="632" w:name="_Toc139031989"/>
      <w:r w:rsidRPr="005B4339">
        <w:rPr>
          <w:noProof/>
          <w:lang w:val="en-IE"/>
        </w:rPr>
        <w:t xml:space="preserve">Figure </w:t>
      </w:r>
      <w:r w:rsidR="00393DFA">
        <w:rPr>
          <w:noProof/>
          <w:lang w:val="en-IE"/>
        </w:rPr>
        <w:t>53</w:t>
      </w:r>
      <w:bookmarkEnd w:id="631"/>
      <w:r w:rsidRPr="005B4339">
        <w:rPr>
          <w:noProof/>
          <w:lang w:val="en-IE"/>
        </w:rPr>
        <w:t>: Average costs associated with food waste reduction at the retail stage across MSs, options vs baseline, 2030</w:t>
      </w:r>
      <w:bookmarkEnd w:id="632"/>
    </w:p>
    <w:p w14:paraId="317B2BC6" w14:textId="5FFBD104" w:rsidR="006062D5" w:rsidRPr="005B4339" w:rsidRDefault="004928CC" w:rsidP="006062D5">
      <w:pPr>
        <w:pStyle w:val="JRCText"/>
        <w:rPr>
          <w:rFonts w:ascii="Times New Roman" w:hAnsi="Times New Roman"/>
          <w:noProof/>
          <w:sz w:val="32"/>
          <w:szCs w:val="24"/>
          <w:lang w:val="en-IE"/>
        </w:rPr>
      </w:pPr>
      <w:r w:rsidRPr="004928CC">
        <w:drawing>
          <wp:inline distT="0" distB="0" distL="0" distR="0" wp14:anchorId="60623D7E" wp14:editId="303E72F8">
            <wp:extent cx="5731510" cy="2770505"/>
            <wp:effectExtent l="0" t="0" r="2540" b="0"/>
            <wp:docPr id="1112863398" name="Picture 111286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194BD3D8" w14:textId="77777777" w:rsidR="00F556A5" w:rsidRPr="005B4339" w:rsidRDefault="00F556A5" w:rsidP="00F556A5">
      <w:pPr>
        <w:pStyle w:val="JRCFiguresource"/>
        <w:rPr>
          <w:noProof/>
          <w:lang w:val="en-IE"/>
        </w:rPr>
      </w:pPr>
      <w:r w:rsidRPr="005B4339">
        <w:rPr>
          <w:noProof/>
          <w:lang w:val="en-IE"/>
        </w:rPr>
        <w:t>Source: MAGNET simulation results</w:t>
      </w:r>
    </w:p>
    <w:p w14:paraId="78C7AA4E" w14:textId="77777777" w:rsidR="00536D83" w:rsidRPr="005B4339" w:rsidRDefault="00536D83" w:rsidP="00536D83">
      <w:pPr>
        <w:pStyle w:val="JRCLevel-4title"/>
        <w:rPr>
          <w:rFonts w:ascii="Times New Roman" w:hAnsi="Times New Roman"/>
          <w:noProof/>
          <w:sz w:val="24"/>
          <w:lang w:val="en-IE"/>
        </w:rPr>
      </w:pPr>
      <w:r w:rsidRPr="005B4339">
        <w:rPr>
          <w:rFonts w:ascii="Times New Roman" w:hAnsi="Times New Roman"/>
          <w:noProof/>
          <w:sz w:val="24"/>
          <w:lang w:val="en-IE"/>
        </w:rPr>
        <w:t>Households</w:t>
      </w:r>
    </w:p>
    <w:p w14:paraId="1EDD7071" w14:textId="77777777" w:rsidR="00536D83" w:rsidRPr="005B4339" w:rsidRDefault="00536D83" w:rsidP="00536D83">
      <w:pPr>
        <w:pStyle w:val="JRCText"/>
        <w:rPr>
          <w:noProof/>
          <w:lang w:val="en-IE" w:eastAsia="en-GB"/>
        </w:rPr>
      </w:pPr>
    </w:p>
    <w:p w14:paraId="302F6D81" w14:textId="25B3202C" w:rsidR="00536D83" w:rsidRPr="005B4339" w:rsidRDefault="00536D83" w:rsidP="00536D83">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fldChar w:fldCharType="begin"/>
      </w:r>
      <w:r w:rsidRPr="005B4339">
        <w:rPr>
          <w:rFonts w:ascii="Times New Roman" w:hAnsi="Times New Roman"/>
          <w:noProof/>
          <w:sz w:val="24"/>
          <w:szCs w:val="24"/>
          <w:lang w:val="en-IE"/>
        </w:rPr>
        <w:instrText xml:space="preserve"> REF _Ref133486270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54</w:t>
      </w:r>
      <w:r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the cost associated with household food waste reduction in the EU27 for the three options</w:t>
      </w:r>
      <w:r w:rsidR="00C272F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expressed in EUR per ton for the average of </w:t>
      </w:r>
      <w:r w:rsidR="00C272FA" w:rsidRPr="005B4339">
        <w:rPr>
          <w:rFonts w:ascii="Times New Roman" w:hAnsi="Times New Roman"/>
          <w:noProof/>
          <w:sz w:val="24"/>
          <w:szCs w:val="24"/>
          <w:lang w:val="en-IE"/>
        </w:rPr>
        <w:t xml:space="preserve">the </w:t>
      </w:r>
      <w:r w:rsidRPr="005B4339">
        <w:rPr>
          <w:rFonts w:ascii="Times New Roman" w:hAnsi="Times New Roman"/>
          <w:noProof/>
          <w:sz w:val="24"/>
          <w:szCs w:val="24"/>
          <w:lang w:val="en-IE"/>
        </w:rPr>
        <w:t xml:space="preserve">food and agriculture sector, and at a more granular level for crops, livestock, and food and food services. Reaching the targets in Option 1 comes at </w:t>
      </w:r>
      <w:r w:rsidR="00C272FA" w:rsidRPr="005B4339">
        <w:rPr>
          <w:rFonts w:ascii="Times New Roman" w:hAnsi="Times New Roman"/>
          <w:noProof/>
          <w:sz w:val="24"/>
          <w:szCs w:val="24"/>
          <w:lang w:val="en-IE"/>
        </w:rPr>
        <w:t xml:space="preserve">a </w:t>
      </w:r>
      <w:r w:rsidRPr="005B4339">
        <w:rPr>
          <w:rFonts w:ascii="Times New Roman" w:hAnsi="Times New Roman"/>
          <w:noProof/>
          <w:sz w:val="24"/>
          <w:szCs w:val="24"/>
          <w:lang w:val="en-IE"/>
        </w:rPr>
        <w:t>comparably low cost. The cost associated with food waste reduction is estimated to be 20 EUR/ton for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food on average, but costs tend to </w:t>
      </w:r>
      <w:r w:rsidR="00C272FA" w:rsidRPr="005B4339">
        <w:rPr>
          <w:rFonts w:ascii="Times New Roman" w:hAnsi="Times New Roman"/>
          <w:noProof/>
          <w:sz w:val="24"/>
          <w:szCs w:val="24"/>
          <w:lang w:val="en-IE"/>
        </w:rPr>
        <w:t xml:space="preserve">increase </w:t>
      </w:r>
      <w:r w:rsidRPr="005B4339">
        <w:rPr>
          <w:rFonts w:ascii="Times New Roman" w:hAnsi="Times New Roman"/>
          <w:noProof/>
          <w:sz w:val="24"/>
          <w:szCs w:val="24"/>
          <w:lang w:val="en-IE"/>
        </w:rPr>
        <w:t xml:space="preserve">more than proportionally when moving to higher reduction targets in Option 2 (60 EUR/ton) and in Option 3 (160 EUR/ton). This more than proportional increase of costs </w:t>
      </w:r>
      <w:r w:rsidR="006F2643" w:rsidRPr="005B4339">
        <w:rPr>
          <w:rFonts w:ascii="Times New Roman" w:hAnsi="Times New Roman"/>
          <w:noProof/>
          <w:sz w:val="24"/>
          <w:szCs w:val="24"/>
          <w:lang w:val="en-IE"/>
        </w:rPr>
        <w:t xml:space="preserve">occurs </w:t>
      </w:r>
      <w:r w:rsidRPr="005B4339">
        <w:rPr>
          <w:rFonts w:ascii="Times New Roman" w:hAnsi="Times New Roman"/>
          <w:noProof/>
          <w:sz w:val="24"/>
          <w:szCs w:val="24"/>
          <w:lang w:val="en-IE"/>
        </w:rPr>
        <w:t>as f</w:t>
      </w:r>
      <w:r w:rsidRPr="005B4339">
        <w:rPr>
          <w:rStyle w:val="normaltextrun"/>
          <w:rFonts w:ascii="Times New Roman" w:hAnsi="Times New Roman"/>
          <w:noProof/>
          <w:color w:val="000000"/>
          <w:sz w:val="24"/>
          <w:szCs w:val="24"/>
          <w:bdr w:val="none" w:sz="0" w:space="0" w:color="auto" w:frame="1"/>
          <w:lang w:val="en-IE"/>
        </w:rPr>
        <w:t>ood waste prevention actions usually first target the areas where savings are easiest to achiev</w:t>
      </w:r>
      <w:r w:rsidRPr="005B4339">
        <w:rPr>
          <w:rFonts w:ascii="Times New Roman" w:hAnsi="Times New Roman"/>
          <w:noProof/>
          <w:sz w:val="24"/>
          <w:szCs w:val="24"/>
          <w:lang w:val="en-IE"/>
        </w:rPr>
        <w:t xml:space="preserve">e, and after this point, expected costs tend to </w:t>
      </w:r>
      <w:r w:rsidR="004A2612" w:rsidRPr="005B4339">
        <w:rPr>
          <w:rFonts w:ascii="Times New Roman" w:hAnsi="Times New Roman"/>
          <w:noProof/>
          <w:sz w:val="24"/>
          <w:szCs w:val="24"/>
          <w:lang w:val="en-IE"/>
        </w:rPr>
        <w:t xml:space="preserve">become </w:t>
      </w:r>
      <w:r w:rsidRPr="005B4339">
        <w:rPr>
          <w:rFonts w:ascii="Times New Roman" w:hAnsi="Times New Roman"/>
          <w:noProof/>
          <w:sz w:val="24"/>
          <w:szCs w:val="24"/>
          <w:lang w:val="en-IE"/>
        </w:rPr>
        <w:t xml:space="preserve">higher. At the sector level, the highest costs are noted for food and food services </w:t>
      </w:r>
    </w:p>
    <w:p w14:paraId="2688A829" w14:textId="2914FB17" w:rsidR="00536D83" w:rsidRPr="005B4339" w:rsidRDefault="00536D83" w:rsidP="003B6050">
      <w:pPr>
        <w:pStyle w:val="JRCFigurecaption"/>
        <w:rPr>
          <w:noProof/>
          <w:lang w:val="en-IE"/>
        </w:rPr>
      </w:pPr>
      <w:bookmarkStart w:id="633" w:name="_Ref133486270"/>
      <w:bookmarkStart w:id="634" w:name="_Toc139031990"/>
      <w:r w:rsidRPr="005B4339">
        <w:rPr>
          <w:noProof/>
          <w:lang w:val="en-IE"/>
        </w:rPr>
        <w:t xml:space="preserve">Figure </w:t>
      </w:r>
      <w:r w:rsidR="00393DFA">
        <w:rPr>
          <w:noProof/>
          <w:lang w:val="en-IE"/>
        </w:rPr>
        <w:t>54</w:t>
      </w:r>
      <w:bookmarkEnd w:id="633"/>
      <w:r w:rsidRPr="005B4339">
        <w:rPr>
          <w:noProof/>
          <w:lang w:val="en-IE"/>
        </w:rPr>
        <w:t>: Adjustment costs associated with household food waste reduction, EU27, options vs baseline 2030</w:t>
      </w:r>
      <w:bookmarkEnd w:id="634"/>
    </w:p>
    <w:p w14:paraId="4F0EBC23" w14:textId="2D29979E" w:rsidR="00536D83" w:rsidRPr="005B4339" w:rsidRDefault="004928CC" w:rsidP="00536D83">
      <w:pPr>
        <w:pStyle w:val="JRCText"/>
        <w:rPr>
          <w:rFonts w:ascii="Times New Roman" w:hAnsi="Times New Roman"/>
          <w:noProof/>
          <w:sz w:val="24"/>
          <w:szCs w:val="24"/>
          <w:lang w:val="en-IE"/>
        </w:rPr>
      </w:pPr>
      <w:r w:rsidRPr="004928CC">
        <w:drawing>
          <wp:inline distT="0" distB="0" distL="0" distR="0" wp14:anchorId="19F12916" wp14:editId="3B04B1F8">
            <wp:extent cx="5731510" cy="2720975"/>
            <wp:effectExtent l="0" t="0" r="2540" b="3175"/>
            <wp:docPr id="1112863397" name="Picture 111286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720975"/>
                    </a:xfrm>
                    <a:prstGeom prst="rect">
                      <a:avLst/>
                    </a:prstGeom>
                    <a:noFill/>
                    <a:ln>
                      <a:noFill/>
                    </a:ln>
                  </pic:spPr>
                </pic:pic>
              </a:graphicData>
            </a:graphic>
          </wp:inline>
        </w:drawing>
      </w:r>
    </w:p>
    <w:p w14:paraId="03546FA6" w14:textId="7B3EA4CF" w:rsidR="00536D83" w:rsidRPr="005B4339" w:rsidRDefault="00536D83" w:rsidP="00536D83">
      <w:pPr>
        <w:pStyle w:val="JRCFiguresource"/>
        <w:rPr>
          <w:noProof/>
          <w:lang w:val="en-IE"/>
        </w:rPr>
      </w:pPr>
      <w:r w:rsidRPr="005B4339">
        <w:rPr>
          <w:noProof/>
          <w:lang w:val="en-IE"/>
        </w:rPr>
        <w:t>Source: MAGNET simulation results</w:t>
      </w:r>
    </w:p>
    <w:p w14:paraId="216EA336" w14:textId="5F99213E" w:rsidR="00536D83" w:rsidRPr="005B4339" w:rsidRDefault="00536D83" w:rsidP="00536D83">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Costs associated with household food reduction differ significantly across MSs. </w:t>
      </w:r>
      <w:r w:rsidR="00AF4D4A" w:rsidRPr="005B4339">
        <w:rPr>
          <w:rFonts w:ascii="Times New Roman" w:hAnsi="Times New Roman"/>
          <w:noProof/>
          <w:sz w:val="24"/>
          <w:szCs w:val="24"/>
          <w:lang w:val="en-IE"/>
        </w:rPr>
        <w:fldChar w:fldCharType="begin"/>
      </w:r>
      <w:r w:rsidR="00AF4D4A" w:rsidRPr="005B4339">
        <w:rPr>
          <w:rFonts w:ascii="Times New Roman" w:hAnsi="Times New Roman"/>
          <w:noProof/>
          <w:sz w:val="24"/>
          <w:szCs w:val="24"/>
          <w:lang w:val="en-IE"/>
        </w:rPr>
        <w:instrText xml:space="preserve"> REF _Ref133501613 \h  \* MERGEFORMAT </w:instrText>
      </w:r>
      <w:r w:rsidR="00AF4D4A" w:rsidRPr="005B4339">
        <w:rPr>
          <w:rFonts w:ascii="Times New Roman" w:hAnsi="Times New Roman"/>
          <w:noProof/>
          <w:sz w:val="24"/>
          <w:szCs w:val="24"/>
          <w:lang w:val="en-IE"/>
        </w:rPr>
      </w:r>
      <w:r w:rsidR="00AF4D4A"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Pr>
          <w:noProof/>
          <w:lang w:val="en-IE"/>
        </w:rPr>
        <w:t>58</w:t>
      </w:r>
      <w:r w:rsidR="00AF4D4A"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that cost tend to be lowest and below EU average in the EU13 MSs. While highest cost is observed in Ireland, food waste reduction at the household level lead to lowest costs in Bulgaria. </w:t>
      </w:r>
    </w:p>
    <w:p w14:paraId="2C7824DC" w14:textId="5AFC8DC8" w:rsidR="00536D83" w:rsidRPr="005B4339" w:rsidRDefault="00536D83" w:rsidP="003B6050">
      <w:pPr>
        <w:pStyle w:val="JRCFigurecaption"/>
        <w:rPr>
          <w:noProof/>
          <w:lang w:val="en-IE"/>
        </w:rPr>
      </w:pPr>
      <w:bookmarkStart w:id="635" w:name="_Ref133486460"/>
      <w:bookmarkStart w:id="636" w:name="_Toc139031991"/>
      <w:r w:rsidRPr="005B4339">
        <w:rPr>
          <w:noProof/>
          <w:lang w:val="en-IE"/>
        </w:rPr>
        <w:t xml:space="preserve">Figure </w:t>
      </w:r>
      <w:r w:rsidR="00393DFA">
        <w:rPr>
          <w:noProof/>
          <w:lang w:val="en-IE"/>
        </w:rPr>
        <w:t>55</w:t>
      </w:r>
      <w:bookmarkEnd w:id="635"/>
      <w:r w:rsidRPr="005B4339">
        <w:rPr>
          <w:noProof/>
          <w:lang w:val="en-IE"/>
        </w:rPr>
        <w:t>: Average adjustment costs associated with household food waste reduction, options vs baseline 2030</w:t>
      </w:r>
      <w:bookmarkEnd w:id="636"/>
      <w:r w:rsidRPr="005B4339">
        <w:rPr>
          <w:noProof/>
          <w:lang w:val="en-IE"/>
        </w:rPr>
        <w:t xml:space="preserve"> </w:t>
      </w:r>
    </w:p>
    <w:p w14:paraId="5DCB320D" w14:textId="7BFAEDD0" w:rsidR="00536D83" w:rsidRPr="005B4339" w:rsidRDefault="004928CC" w:rsidP="00536D83">
      <w:pPr>
        <w:pStyle w:val="JRCText"/>
        <w:rPr>
          <w:rFonts w:ascii="Times New Roman" w:hAnsi="Times New Roman"/>
          <w:noProof/>
          <w:sz w:val="24"/>
          <w:szCs w:val="24"/>
          <w:lang w:val="en-IE"/>
        </w:rPr>
      </w:pPr>
      <w:r w:rsidRPr="004928CC">
        <w:lastRenderedPageBreak/>
        <w:drawing>
          <wp:inline distT="0" distB="0" distL="0" distR="0" wp14:anchorId="21C99765" wp14:editId="51DE377E">
            <wp:extent cx="5731510" cy="2647315"/>
            <wp:effectExtent l="0" t="0" r="2540" b="635"/>
            <wp:docPr id="1112863393" name="Picture 111286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2647315"/>
                    </a:xfrm>
                    <a:prstGeom prst="rect">
                      <a:avLst/>
                    </a:prstGeom>
                    <a:noFill/>
                    <a:ln>
                      <a:noFill/>
                    </a:ln>
                  </pic:spPr>
                </pic:pic>
              </a:graphicData>
            </a:graphic>
          </wp:inline>
        </w:drawing>
      </w:r>
    </w:p>
    <w:p w14:paraId="574C12E2" w14:textId="77777777" w:rsidR="00536D83" w:rsidRPr="005B4339" w:rsidRDefault="00536D83" w:rsidP="00536D83">
      <w:pPr>
        <w:pStyle w:val="JRCFiguresource"/>
        <w:rPr>
          <w:noProof/>
          <w:lang w:val="en-IE"/>
        </w:rPr>
      </w:pPr>
      <w:r w:rsidRPr="005B4339">
        <w:rPr>
          <w:noProof/>
          <w:lang w:val="en-IE"/>
        </w:rPr>
        <w:t>Source: MAGNET simulation results</w:t>
      </w:r>
    </w:p>
    <w:p w14:paraId="2D459369" w14:textId="77777777" w:rsidR="00536D83" w:rsidRPr="005B4339" w:rsidRDefault="00536D83" w:rsidP="00B01C65">
      <w:pPr>
        <w:pStyle w:val="JRCText"/>
        <w:rPr>
          <w:noProof/>
          <w:lang w:val="en-IE"/>
        </w:rPr>
      </w:pPr>
    </w:p>
    <w:p w14:paraId="606543C7" w14:textId="19AFCA03" w:rsidR="00BB700C" w:rsidRPr="005B4339" w:rsidRDefault="00BB700C" w:rsidP="00BB700C">
      <w:pPr>
        <w:pStyle w:val="JRCText"/>
        <w:rPr>
          <w:rFonts w:ascii="Times New Roman" w:hAnsi="Times New Roman"/>
          <w:noProof/>
          <w:sz w:val="24"/>
          <w:szCs w:val="24"/>
          <w:lang w:val="en-IE"/>
        </w:rPr>
      </w:pPr>
      <w:r w:rsidRPr="005B4339">
        <w:rPr>
          <w:rFonts w:ascii="Times New Roman" w:hAnsi="Times New Roman"/>
          <w:noProof/>
          <w:sz w:val="24"/>
          <w:szCs w:val="24"/>
          <w:lang w:val="en-IE"/>
        </w:rPr>
        <w:t>The survey sent to stakeholders as part of the targeted consultation (Annex 2) aimed at gathering quantitative data on food waste prevention actions provided some insights on the cost of preventing FW</w:t>
      </w:r>
      <w:r w:rsidR="00F00A24" w:rsidRPr="005B4339">
        <w:rPr>
          <w:rStyle w:val="FootnoteReference"/>
          <w:rFonts w:ascii="Times New Roman" w:hAnsi="Times New Roman"/>
          <w:noProof/>
          <w:sz w:val="24"/>
          <w:szCs w:val="24"/>
          <w:lang w:val="en-IE"/>
        </w:rPr>
        <w:footnoteReference w:id="155"/>
      </w:r>
      <w:r w:rsidRPr="005B4339">
        <w:rPr>
          <w:rFonts w:ascii="Times New Roman" w:hAnsi="Times New Roman"/>
          <w:noProof/>
          <w:sz w:val="24"/>
          <w:szCs w:val="24"/>
          <w:lang w:val="en-IE"/>
        </w:rPr>
        <w:t xml:space="preserve">. It received </w:t>
      </w:r>
      <w:r w:rsidR="008B7574" w:rsidRPr="005B4339">
        <w:rPr>
          <w:rFonts w:ascii="Times New Roman" w:hAnsi="Times New Roman"/>
          <w:noProof/>
          <w:sz w:val="24"/>
          <w:szCs w:val="24"/>
          <w:lang w:val="en-IE"/>
        </w:rPr>
        <w:t xml:space="preserve">50 </w:t>
      </w:r>
      <w:r w:rsidRPr="005B4339">
        <w:rPr>
          <w:rFonts w:ascii="Times New Roman" w:hAnsi="Times New Roman"/>
          <w:noProof/>
          <w:sz w:val="24"/>
          <w:szCs w:val="24"/>
          <w:lang w:val="en-IE"/>
        </w:rPr>
        <w:t xml:space="preserve">answers on the cost of </w:t>
      </w:r>
      <w:r w:rsidR="008B7574" w:rsidRPr="005B4339">
        <w:rPr>
          <w:rFonts w:ascii="Times New Roman" w:hAnsi="Times New Roman"/>
          <w:noProof/>
          <w:sz w:val="24"/>
          <w:szCs w:val="24"/>
          <w:lang w:val="en-IE"/>
        </w:rPr>
        <w:t>running</w:t>
      </w:r>
      <w:r w:rsidRPr="005B4339">
        <w:rPr>
          <w:rFonts w:ascii="Times New Roman" w:hAnsi="Times New Roman"/>
          <w:noProof/>
          <w:sz w:val="24"/>
          <w:szCs w:val="24"/>
          <w:lang w:val="en-IE"/>
        </w:rPr>
        <w:t xml:space="preserve"> the initiatives. 42 respondents provided quantitative data on the amount of prevented food waste achieved by the initiative. </w:t>
      </w:r>
    </w:p>
    <w:p w14:paraId="27E61B30" w14:textId="5106A2C4" w:rsidR="00BB700C" w:rsidRPr="005B4339" w:rsidRDefault="00BB700C" w:rsidP="00BB700C">
      <w:pPr>
        <w:pStyle w:val="JRCText"/>
        <w:rPr>
          <w:rFonts w:ascii="Times New Roman" w:hAnsi="Times New Roman"/>
          <w:noProof/>
          <w:sz w:val="24"/>
          <w:szCs w:val="24"/>
          <w:lang w:val="en-IE"/>
        </w:rPr>
      </w:pPr>
      <w:r w:rsidRPr="005B4339">
        <w:rPr>
          <w:rFonts w:ascii="Times New Roman" w:hAnsi="Times New Roman"/>
          <w:noProof/>
          <w:sz w:val="24"/>
          <w:szCs w:val="24"/>
          <w:lang w:val="en-IE"/>
        </w:rPr>
        <w:t>Based on these data</w:t>
      </w:r>
      <w:r w:rsidR="002075E3"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 total cost per tonne of avoided food waste was calculated. The mean value for the whole set of initiatives was 986 E</w:t>
      </w:r>
      <w:r w:rsidR="008B7574" w:rsidRPr="005B4339">
        <w:rPr>
          <w:rFonts w:ascii="Times New Roman" w:hAnsi="Times New Roman"/>
          <w:noProof/>
          <w:sz w:val="24"/>
          <w:szCs w:val="24"/>
          <w:lang w:val="en-IE"/>
        </w:rPr>
        <w:t>UR</w:t>
      </w:r>
      <w:r w:rsidRPr="005B4339">
        <w:rPr>
          <w:rFonts w:ascii="Times New Roman" w:hAnsi="Times New Roman"/>
          <w:noProof/>
          <w:sz w:val="24"/>
          <w:szCs w:val="24"/>
          <w:lang w:val="en-IE"/>
        </w:rPr>
        <w:t xml:space="preserve">/ton, while when considering the </w:t>
      </w:r>
      <w:r w:rsidR="002075E3" w:rsidRPr="005B4339">
        <w:rPr>
          <w:rFonts w:ascii="Times New Roman" w:hAnsi="Times New Roman"/>
          <w:noProof/>
          <w:sz w:val="24"/>
          <w:szCs w:val="24"/>
          <w:lang w:val="en-IE"/>
        </w:rPr>
        <w:t>‘</w:t>
      </w:r>
      <w:r w:rsidRPr="005B4339">
        <w:rPr>
          <w:rFonts w:ascii="Times New Roman" w:hAnsi="Times New Roman"/>
          <w:noProof/>
          <w:sz w:val="24"/>
          <w:szCs w:val="24"/>
          <w:lang w:val="en-IE"/>
        </w:rPr>
        <w:t>food redistribution</w:t>
      </w:r>
      <w:r w:rsidR="002075E3"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initiative type</w:t>
      </w:r>
      <w:r w:rsidR="002075E3"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mean value was lower (475 E</w:t>
      </w:r>
      <w:r w:rsidR="008B7574" w:rsidRPr="005B4339">
        <w:rPr>
          <w:rFonts w:ascii="Times New Roman" w:hAnsi="Times New Roman"/>
          <w:noProof/>
          <w:sz w:val="24"/>
          <w:szCs w:val="24"/>
          <w:lang w:val="en-IE"/>
        </w:rPr>
        <w:t>UR</w:t>
      </w:r>
      <w:r w:rsidRPr="005B4339">
        <w:rPr>
          <w:rFonts w:ascii="Times New Roman" w:hAnsi="Times New Roman"/>
          <w:noProof/>
          <w:sz w:val="24"/>
          <w:szCs w:val="24"/>
          <w:lang w:val="en-IE"/>
        </w:rPr>
        <w:t>/ton). These values are higher compared to those derived by the MAGNET model and the few information available in literature (</w:t>
      </w:r>
      <w:r w:rsidR="008B7574" w:rsidRPr="005B4339">
        <w:rPr>
          <w:rStyle w:val="JRCTextChar"/>
          <w:rFonts w:ascii="Times New Roman" w:hAnsi="Times New Roman"/>
          <w:noProof/>
          <w:sz w:val="24"/>
        </w:rPr>
        <w:t>Garcia Herrero et al., 2023</w:t>
      </w:r>
      <w:r w:rsidRPr="005B4339">
        <w:rPr>
          <w:rFonts w:ascii="Times New Roman" w:hAnsi="Times New Roman"/>
          <w:noProof/>
          <w:sz w:val="24"/>
          <w:szCs w:val="24"/>
          <w:lang w:val="en-IE"/>
        </w:rPr>
        <w:t xml:space="preserve">). Possible explanations for this difference are </w:t>
      </w:r>
      <w:r w:rsidR="00141A80" w:rsidRPr="005B4339">
        <w:rPr>
          <w:rFonts w:ascii="Times New Roman" w:hAnsi="Times New Roman"/>
          <w:noProof/>
          <w:sz w:val="24"/>
          <w:szCs w:val="24"/>
          <w:lang w:val="en-IE"/>
        </w:rPr>
        <w:t>few</w:t>
      </w:r>
      <w:r w:rsidRPr="005B4339">
        <w:rPr>
          <w:rFonts w:ascii="Times New Roman" w:hAnsi="Times New Roman"/>
          <w:noProof/>
          <w:sz w:val="24"/>
          <w:szCs w:val="24"/>
          <w:lang w:val="en-IE"/>
        </w:rPr>
        <w:t xml:space="preserve"> initiatives </w:t>
      </w:r>
      <w:r w:rsidR="00141A80" w:rsidRPr="005B4339">
        <w:rPr>
          <w:rFonts w:ascii="Times New Roman" w:hAnsi="Times New Roman"/>
          <w:noProof/>
          <w:sz w:val="24"/>
          <w:szCs w:val="24"/>
          <w:lang w:val="en-IE"/>
        </w:rPr>
        <w:t xml:space="preserve">were reported through </w:t>
      </w:r>
      <w:r w:rsidRPr="005B4339">
        <w:rPr>
          <w:rFonts w:ascii="Times New Roman" w:hAnsi="Times New Roman"/>
          <w:noProof/>
          <w:sz w:val="24"/>
          <w:szCs w:val="24"/>
          <w:lang w:val="en-IE"/>
        </w:rPr>
        <w:t xml:space="preserve"> the survey</w:t>
      </w:r>
      <w:r w:rsidR="00141A80" w:rsidRPr="005B4339">
        <w:rPr>
          <w:rFonts w:ascii="Times New Roman" w:hAnsi="Times New Roman"/>
          <w:noProof/>
          <w:sz w:val="24"/>
          <w:szCs w:val="24"/>
          <w:lang w:val="en-IE"/>
        </w:rPr>
        <w:t>; these were</w:t>
      </w:r>
      <w:r w:rsidRPr="005B4339">
        <w:rPr>
          <w:rFonts w:ascii="Times New Roman" w:hAnsi="Times New Roman"/>
          <w:noProof/>
          <w:sz w:val="24"/>
          <w:szCs w:val="24"/>
          <w:lang w:val="en-IE"/>
        </w:rPr>
        <w:t xml:space="preserve"> were generally small and many were oriented to the achievement of additional objectives (i.e.</w:t>
      </w:r>
      <w:r w:rsidR="00141A80"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support</w:t>
      </w:r>
      <w:r w:rsidR="001637BC" w:rsidRPr="005B4339">
        <w:rPr>
          <w:rFonts w:ascii="Times New Roman" w:hAnsi="Times New Roman"/>
          <w:noProof/>
          <w:sz w:val="24"/>
          <w:szCs w:val="24"/>
          <w:lang w:val="en-IE"/>
        </w:rPr>
        <w:t>ing</w:t>
      </w:r>
      <w:r w:rsidRPr="005B4339">
        <w:rPr>
          <w:rFonts w:ascii="Times New Roman" w:hAnsi="Times New Roman"/>
          <w:noProof/>
          <w:sz w:val="24"/>
          <w:szCs w:val="24"/>
          <w:lang w:val="en-IE"/>
        </w:rPr>
        <w:t xml:space="preserve"> people in need</w:t>
      </w:r>
      <w:r w:rsidR="001637BC" w:rsidRPr="005B4339">
        <w:rPr>
          <w:rFonts w:ascii="Times New Roman" w:hAnsi="Times New Roman"/>
          <w:noProof/>
          <w:sz w:val="24"/>
          <w:szCs w:val="24"/>
          <w:lang w:val="en-IE"/>
        </w:rPr>
        <w:t>, helping</w:t>
      </w:r>
      <w:r w:rsidRPr="005B4339">
        <w:rPr>
          <w:rFonts w:ascii="Times New Roman" w:hAnsi="Times New Roman"/>
          <w:noProof/>
          <w:sz w:val="24"/>
          <w:szCs w:val="24"/>
          <w:lang w:val="en-IE"/>
        </w:rPr>
        <w:t xml:space="preserve"> the professional reinsertion of unemployed people etc.). Moreover, in some cases</w:t>
      </w:r>
      <w:r w:rsidR="001637B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initiatives aimed at long term behavioural changes (e.g. school campaigns) while food waste measurements gathered only immediate </w:t>
      </w:r>
      <w:r w:rsidR="001637BC" w:rsidRPr="005B4339">
        <w:rPr>
          <w:rFonts w:ascii="Times New Roman" w:hAnsi="Times New Roman"/>
          <w:noProof/>
          <w:sz w:val="24"/>
          <w:szCs w:val="24"/>
          <w:lang w:val="en-IE"/>
        </w:rPr>
        <w:t>food waste</w:t>
      </w:r>
      <w:r w:rsidRPr="005B4339">
        <w:rPr>
          <w:rFonts w:ascii="Times New Roman" w:hAnsi="Times New Roman"/>
          <w:noProof/>
          <w:sz w:val="24"/>
          <w:szCs w:val="24"/>
          <w:lang w:val="en-IE"/>
        </w:rPr>
        <w:t xml:space="preserve"> reductions. For these reasons</w:t>
      </w:r>
      <w:r w:rsidR="001637B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also due to the high variability of the data on costs collected</w:t>
      </w:r>
      <w:r w:rsidR="001637B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r w:rsidR="001637BC" w:rsidRPr="005B4339">
        <w:rPr>
          <w:rFonts w:ascii="Times New Roman" w:hAnsi="Times New Roman"/>
          <w:noProof/>
          <w:sz w:val="24"/>
          <w:szCs w:val="24"/>
          <w:lang w:val="en-IE"/>
        </w:rPr>
        <w:t xml:space="preserve">information from the survey related to costs </w:t>
      </w:r>
      <w:r w:rsidR="00EF4D4D" w:rsidRPr="005B4339">
        <w:rPr>
          <w:rFonts w:ascii="Times New Roman" w:hAnsi="Times New Roman"/>
          <w:noProof/>
          <w:sz w:val="24"/>
          <w:szCs w:val="24"/>
          <w:lang w:val="en-IE"/>
        </w:rPr>
        <w:t>of food waste prevention</w:t>
      </w:r>
      <w:r w:rsidRPr="005B4339">
        <w:rPr>
          <w:rFonts w:ascii="Times New Roman" w:hAnsi="Times New Roman"/>
          <w:noProof/>
          <w:sz w:val="24"/>
          <w:szCs w:val="24"/>
          <w:lang w:val="en-IE"/>
        </w:rPr>
        <w:t xml:space="preserve"> were not directly used in the MAGNET model to calculate the macro-economic impacts of targets.</w:t>
      </w:r>
    </w:p>
    <w:p w14:paraId="41ADB783" w14:textId="3511EC7D" w:rsidR="00BB700C" w:rsidRPr="005B4339" w:rsidRDefault="00794505" w:rsidP="00BB700C">
      <w:pPr>
        <w:pStyle w:val="JRCText"/>
        <w:rPr>
          <w:rFonts w:ascii="Times New Roman" w:hAnsi="Times New Roman"/>
          <w:noProof/>
          <w:sz w:val="24"/>
          <w:szCs w:val="24"/>
          <w:lang w:val="en-IE"/>
        </w:rPr>
      </w:pPr>
      <w:r w:rsidRPr="005B4339">
        <w:rPr>
          <w:rFonts w:ascii="Times New Roman" w:hAnsi="Times New Roman"/>
          <w:noProof/>
          <w:sz w:val="24"/>
          <w:szCs w:val="24"/>
          <w:lang w:val="en-IE"/>
        </w:rPr>
        <w:t>Furthermore</w:t>
      </w:r>
      <w:r w:rsidR="00BB700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from the analysis of the survey responses</w:t>
      </w:r>
      <w:r w:rsidR="00BB700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it resulted that</w:t>
      </w:r>
      <w:r w:rsidR="00EF4D4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on average</w:t>
      </w:r>
      <w:r w:rsidR="00EF4D4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40% of the costs were linked to setting up the different initiatives with the remaining 60% linked to maintaining them. It is however important to highlight that significant variability was reported in this respect</w:t>
      </w:r>
      <w:r w:rsidR="00BB700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most likely due to the heterogeneity of the types of initiatives reported but also the duration of the initiatives as the contribution of setting up costs naturally decreases with time. </w:t>
      </w:r>
    </w:p>
    <w:p w14:paraId="33F8B38C" w14:textId="77777777" w:rsidR="00794505" w:rsidRPr="005B4339" w:rsidRDefault="00794505" w:rsidP="00794505">
      <w:pPr>
        <w:pStyle w:val="JRCText"/>
        <w:rPr>
          <w:noProof/>
          <w:lang w:val="en-IE"/>
        </w:rPr>
      </w:pPr>
    </w:p>
    <w:p w14:paraId="670CBE2D" w14:textId="74C931BA" w:rsidR="00794505" w:rsidRPr="005B4339" w:rsidRDefault="00794505">
      <w:pPr>
        <w:pStyle w:val="JRCLevel-2title"/>
        <w:numPr>
          <w:ilvl w:val="1"/>
          <w:numId w:val="161"/>
        </w:numPr>
        <w:rPr>
          <w:rFonts w:ascii="Times New Roman" w:hAnsi="Times New Roman"/>
          <w:noProof/>
          <w:lang w:val="en-IE"/>
        </w:rPr>
      </w:pPr>
      <w:bookmarkStart w:id="637" w:name="_Toc122604029"/>
      <w:bookmarkStart w:id="638" w:name="_Toc122613117"/>
      <w:bookmarkStart w:id="639" w:name="_Toc124413260"/>
      <w:bookmarkStart w:id="640" w:name="_Toc125109506"/>
      <w:bookmarkStart w:id="641" w:name="_Toc1553677635"/>
      <w:bookmarkStart w:id="642" w:name="_Toc308932503"/>
      <w:bookmarkStart w:id="643" w:name="_Toc919041989"/>
      <w:bookmarkStart w:id="644" w:name="_Toc1816794650"/>
      <w:bookmarkStart w:id="645" w:name="_Toc1335496106"/>
      <w:bookmarkStart w:id="646" w:name="_Toc1475222352"/>
      <w:bookmarkStart w:id="647" w:name="_Toc713589693"/>
      <w:bookmarkStart w:id="648" w:name="_Toc139032122"/>
      <w:r w:rsidRPr="005B4339">
        <w:rPr>
          <w:rFonts w:ascii="Times New Roman" w:hAnsi="Times New Roman"/>
          <w:noProof/>
          <w:lang w:val="en-IE"/>
        </w:rPr>
        <w:t>Social impacts</w:t>
      </w:r>
      <w:bookmarkEnd w:id="637"/>
      <w:bookmarkEnd w:id="638"/>
      <w:bookmarkEnd w:id="639"/>
      <w:bookmarkEnd w:id="640"/>
      <w:bookmarkEnd w:id="641"/>
      <w:bookmarkEnd w:id="642"/>
      <w:bookmarkEnd w:id="643"/>
      <w:bookmarkEnd w:id="644"/>
      <w:bookmarkEnd w:id="645"/>
      <w:bookmarkEnd w:id="646"/>
      <w:bookmarkEnd w:id="647"/>
      <w:bookmarkEnd w:id="648"/>
    </w:p>
    <w:p w14:paraId="63F7FC5D" w14:textId="148AE02E" w:rsidR="00E63309" w:rsidRPr="005B4339" w:rsidRDefault="00E63309" w:rsidP="00E63309">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There are two main social impacts identified from food waste reduction targets: a potential loss of jobs in food production and processing and improved food affordability. Other social impacts such as “inconvenience” or the so-called ‘labour-leisure’ trade-off (“lost” leisure time linked to more attention to food preparation more trips to the supermarket etc.) are hardly quantifiable but are included in the estimation of the costs linked to </w:t>
      </w:r>
      <w:r w:rsidR="00194020"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reduction of food waste at consumption</w:t>
      </w:r>
      <w:r w:rsidR="00430F36" w:rsidRPr="005B4339">
        <w:rPr>
          <w:rFonts w:ascii="Times New Roman" w:hAnsi="Times New Roman"/>
          <w:noProof/>
          <w:sz w:val="24"/>
          <w:szCs w:val="24"/>
          <w:lang w:val="en-IE"/>
        </w:rPr>
        <w:t xml:space="preserve"> level</w:t>
      </w:r>
      <w:r w:rsidRPr="005B4339">
        <w:rPr>
          <w:rFonts w:ascii="Times New Roman" w:hAnsi="Times New Roman"/>
          <w:noProof/>
          <w:sz w:val="24"/>
          <w:szCs w:val="24"/>
          <w:lang w:val="en-IE"/>
        </w:rPr>
        <w:t>. Similarly, the analysis of social impacts does not include such potential positive impacts as better understanding of impacts of food choices on health and the environment awareness</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raising</w:t>
      </w:r>
      <w:r w:rsidR="00F76691" w:rsidRPr="005B4339">
        <w:rPr>
          <w:rFonts w:ascii="Times New Roman" w:hAnsi="Times New Roman"/>
          <w:noProof/>
          <w:sz w:val="24"/>
          <w:szCs w:val="24"/>
          <w:lang w:val="en-IE"/>
        </w:rPr>
        <w:t>, potentially</w:t>
      </w:r>
      <w:r w:rsidRPr="005B4339">
        <w:rPr>
          <w:rFonts w:ascii="Times New Roman" w:hAnsi="Times New Roman"/>
          <w:noProof/>
          <w:sz w:val="24"/>
          <w:szCs w:val="24"/>
          <w:lang w:val="en-IE"/>
        </w:rPr>
        <w:t xml:space="preserve"> reducing the possible feelings of guilt and/or frustration associated with discarding food</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positive social aspects of sharing food etc. </w:t>
      </w:r>
    </w:p>
    <w:p w14:paraId="3B997326" w14:textId="6B2EE72B" w:rsidR="00E63309" w:rsidRPr="005B4339" w:rsidRDefault="00E63309" w:rsidP="00E63309">
      <w:pPr>
        <w:pStyle w:val="JRCText"/>
        <w:rPr>
          <w:rFonts w:ascii="Times New Roman" w:hAnsi="Times New Roman"/>
          <w:noProof/>
          <w:sz w:val="24"/>
          <w:szCs w:val="24"/>
          <w:lang w:val="en-IE"/>
        </w:rPr>
      </w:pPr>
      <w:r w:rsidRPr="005B4339">
        <w:rPr>
          <w:rFonts w:ascii="Times New Roman" w:hAnsi="Times New Roman"/>
          <w:noProof/>
          <w:sz w:val="24"/>
          <w:szCs w:val="24"/>
          <w:lang w:val="en-IE"/>
        </w:rPr>
        <w:t>From the responses to the survey sent as part of the targeted consultation (presented in Annex 2)</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it emerged that food security and poverty reduction are </w:t>
      </w:r>
      <w:r w:rsidR="00430F36" w:rsidRPr="005B4339">
        <w:rPr>
          <w:rFonts w:ascii="Times New Roman" w:hAnsi="Times New Roman"/>
          <w:noProof/>
          <w:sz w:val="24"/>
          <w:szCs w:val="24"/>
          <w:lang w:val="en-IE"/>
        </w:rPr>
        <w:t xml:space="preserve">seen as </w:t>
      </w:r>
      <w:r w:rsidRPr="005B4339">
        <w:rPr>
          <w:rFonts w:ascii="Times New Roman" w:hAnsi="Times New Roman"/>
          <w:noProof/>
          <w:sz w:val="24"/>
          <w:szCs w:val="24"/>
          <w:lang w:val="en-IE"/>
        </w:rPr>
        <w:t>the main social benefit deriving from food waste prevention initiatives. Moreover, additional benefits related to awareness raising</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training provided to employees and volunteers</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education and social cohesion were also reported.</w:t>
      </w:r>
    </w:p>
    <w:p w14:paraId="4A26EE48" w14:textId="77777777" w:rsidR="00794505" w:rsidRPr="005B4339" w:rsidRDefault="00794505" w:rsidP="00794505">
      <w:pPr>
        <w:pStyle w:val="JRCText"/>
        <w:rPr>
          <w:noProof/>
          <w:lang w:val="en-IE"/>
        </w:rPr>
      </w:pPr>
    </w:p>
    <w:p w14:paraId="52901965" w14:textId="74C931BA" w:rsidR="00794505" w:rsidRPr="005B4339" w:rsidRDefault="00794505">
      <w:pPr>
        <w:pStyle w:val="JRCLevel-3title"/>
        <w:numPr>
          <w:ilvl w:val="2"/>
          <w:numId w:val="161"/>
        </w:numPr>
        <w:rPr>
          <w:rFonts w:ascii="Times New Roman" w:hAnsi="Times New Roman"/>
          <w:noProof/>
          <w:sz w:val="24"/>
          <w:lang w:val="en-IE"/>
        </w:rPr>
      </w:pPr>
      <w:bookmarkStart w:id="649" w:name="_Toc122604030"/>
      <w:bookmarkStart w:id="650" w:name="_Toc122613118"/>
      <w:bookmarkStart w:id="651" w:name="_Toc125109507"/>
      <w:bookmarkStart w:id="652" w:name="_Toc2127630347"/>
      <w:bookmarkStart w:id="653" w:name="_Toc1540709219"/>
      <w:bookmarkStart w:id="654" w:name="_Toc1458350915"/>
      <w:bookmarkStart w:id="655" w:name="_Toc1933485975"/>
      <w:bookmarkStart w:id="656" w:name="_Toc986865081"/>
      <w:bookmarkStart w:id="657" w:name="_Toc1964855853"/>
      <w:bookmarkStart w:id="658" w:name="_Toc2112470983"/>
      <w:bookmarkStart w:id="659" w:name="_Toc139032123"/>
      <w:r w:rsidRPr="005B4339">
        <w:rPr>
          <w:rFonts w:ascii="Times New Roman" w:hAnsi="Times New Roman"/>
          <w:noProof/>
          <w:sz w:val="24"/>
          <w:lang w:val="en-IE"/>
        </w:rPr>
        <w:t>Employment</w:t>
      </w:r>
      <w:bookmarkEnd w:id="649"/>
      <w:bookmarkEnd w:id="650"/>
      <w:bookmarkEnd w:id="651"/>
      <w:bookmarkEnd w:id="652"/>
      <w:bookmarkEnd w:id="653"/>
      <w:bookmarkEnd w:id="654"/>
      <w:bookmarkEnd w:id="655"/>
      <w:bookmarkEnd w:id="656"/>
      <w:bookmarkEnd w:id="657"/>
      <w:bookmarkEnd w:id="658"/>
      <w:bookmarkEnd w:id="659"/>
      <w:r w:rsidRPr="005B4339">
        <w:rPr>
          <w:rFonts w:ascii="Times New Roman" w:hAnsi="Times New Roman"/>
          <w:noProof/>
          <w:sz w:val="24"/>
          <w:lang w:val="en-IE"/>
        </w:rPr>
        <w:t xml:space="preserve"> </w:t>
      </w:r>
    </w:p>
    <w:p w14:paraId="43B0D52C" w14:textId="54C05AC9" w:rsidR="00EC449E" w:rsidRPr="005B4339" w:rsidRDefault="00EC449E" w:rsidP="00EC449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In this section we report the </w:t>
      </w:r>
      <w:r w:rsidR="00430F36" w:rsidRPr="005B4339">
        <w:rPr>
          <w:rFonts w:ascii="Times New Roman" w:hAnsi="Times New Roman"/>
          <w:noProof/>
          <w:sz w:val="24"/>
          <w:szCs w:val="24"/>
          <w:lang w:val="en-IE"/>
        </w:rPr>
        <w:t xml:space="preserve">estimated </w:t>
      </w:r>
      <w:r w:rsidRPr="005B4339">
        <w:rPr>
          <w:rFonts w:ascii="Times New Roman" w:hAnsi="Times New Roman"/>
          <w:noProof/>
          <w:sz w:val="24"/>
          <w:szCs w:val="24"/>
          <w:lang w:val="en-IE"/>
        </w:rPr>
        <w:t xml:space="preserve">impact of food waste reduction on employment with a focus on agriculture and food sectors. </w:t>
      </w:r>
      <w:r w:rsidR="00430F36" w:rsidRPr="005B4339">
        <w:rPr>
          <w:rFonts w:ascii="Times New Roman" w:hAnsi="Times New Roman"/>
          <w:noProof/>
          <w:sz w:val="24"/>
          <w:szCs w:val="24"/>
          <w:lang w:val="en-IE"/>
        </w:rPr>
        <w:t>T</w:t>
      </w:r>
      <w:r w:rsidRPr="005B4339">
        <w:rPr>
          <w:rFonts w:ascii="Times New Roman" w:hAnsi="Times New Roman"/>
          <w:noProof/>
          <w:sz w:val="24"/>
          <w:szCs w:val="24"/>
          <w:lang w:val="en-IE"/>
        </w:rPr>
        <w:t xml:space="preserve">he </w:t>
      </w:r>
      <w:r w:rsidR="00430F36" w:rsidRPr="005B4339">
        <w:rPr>
          <w:rFonts w:ascii="Times New Roman" w:hAnsi="Times New Roman"/>
          <w:noProof/>
          <w:sz w:val="24"/>
          <w:szCs w:val="24"/>
          <w:lang w:val="en-IE"/>
        </w:rPr>
        <w:t>presented</w:t>
      </w:r>
      <w:r w:rsidRPr="005B4339">
        <w:rPr>
          <w:rFonts w:ascii="Times New Roman" w:hAnsi="Times New Roman"/>
          <w:noProof/>
          <w:sz w:val="24"/>
          <w:szCs w:val="24"/>
          <w:lang w:val="en-IE"/>
        </w:rPr>
        <w:t xml:space="preserve"> employment effects have to be interpreted taking into account </w:t>
      </w:r>
      <w:r w:rsidR="00430F36" w:rsidRPr="005B4339">
        <w:rPr>
          <w:rFonts w:ascii="Times New Roman" w:hAnsi="Times New Roman"/>
          <w:noProof/>
          <w:sz w:val="24"/>
          <w:szCs w:val="24"/>
          <w:lang w:val="en-IE"/>
        </w:rPr>
        <w:t xml:space="preserve">the earlier described </w:t>
      </w:r>
      <w:r w:rsidRPr="005B4339">
        <w:rPr>
          <w:rFonts w:ascii="Times New Roman" w:hAnsi="Times New Roman"/>
          <w:noProof/>
          <w:sz w:val="24"/>
          <w:szCs w:val="24"/>
          <w:lang w:val="en-IE"/>
        </w:rPr>
        <w:t xml:space="preserve">model specificities regarding the functioning of the employment market. </w:t>
      </w:r>
    </w:p>
    <w:p w14:paraId="71EEC9E7" w14:textId="5EA0C315" w:rsidR="00EC449E" w:rsidRPr="005B4339" w:rsidRDefault="00EC449E" w:rsidP="00EC449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Looking at the agri-food sector, food waste reduction scenarios generally lead to a decrease in employment as shown in </w:t>
      </w:r>
      <w:r w:rsidR="00823483" w:rsidRPr="005B4339">
        <w:rPr>
          <w:rFonts w:ascii="Times New Roman" w:hAnsi="Times New Roman"/>
          <w:noProof/>
          <w:sz w:val="24"/>
          <w:szCs w:val="24"/>
          <w:lang w:val="en-IE"/>
        </w:rPr>
        <w:fldChar w:fldCharType="begin"/>
      </w:r>
      <w:r w:rsidR="00823483" w:rsidRPr="005B4339">
        <w:rPr>
          <w:rFonts w:ascii="Times New Roman" w:hAnsi="Times New Roman"/>
          <w:noProof/>
          <w:sz w:val="24"/>
          <w:szCs w:val="24"/>
          <w:lang w:val="en-IE"/>
        </w:rPr>
        <w:instrText xml:space="preserve"> REF _Ref133501547 \h  \* MERGEFORMAT </w:instrText>
      </w:r>
      <w:r w:rsidR="00823483" w:rsidRPr="005B4339">
        <w:rPr>
          <w:rFonts w:ascii="Times New Roman" w:hAnsi="Times New Roman"/>
          <w:noProof/>
          <w:sz w:val="24"/>
          <w:szCs w:val="24"/>
          <w:lang w:val="en-IE"/>
        </w:rPr>
      </w:r>
      <w:r w:rsidR="00823483"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56</w:t>
      </w:r>
      <w:r w:rsidR="00823483"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The magnitude of the decrease depends on the level of the food waste reduction target. The impact of lower consumer demand, hence lower production rates</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is also seen as decreasing employment in </w:t>
      </w:r>
      <w:r w:rsidR="00430F36" w:rsidRPr="005B4339">
        <w:rPr>
          <w:rFonts w:ascii="Times New Roman" w:hAnsi="Times New Roman"/>
          <w:noProof/>
          <w:sz w:val="24"/>
          <w:szCs w:val="24"/>
          <w:lang w:val="en-IE"/>
        </w:rPr>
        <w:t xml:space="preserve">the </w:t>
      </w:r>
      <w:r w:rsidRPr="005B4339">
        <w:rPr>
          <w:rFonts w:ascii="Times New Roman" w:hAnsi="Times New Roman"/>
          <w:noProof/>
          <w:sz w:val="24"/>
          <w:szCs w:val="24"/>
          <w:lang w:val="en-IE"/>
        </w:rPr>
        <w:t xml:space="preserve">food and agriculture sector. </w:t>
      </w:r>
      <w:r w:rsidR="00430F36" w:rsidRPr="005B4339">
        <w:rPr>
          <w:rFonts w:ascii="Times New Roman" w:hAnsi="Times New Roman"/>
          <w:noProof/>
          <w:sz w:val="24"/>
          <w:szCs w:val="24"/>
          <w:lang w:val="en-IE"/>
        </w:rPr>
        <w:t xml:space="preserve">However, the overall decrease in </w:t>
      </w:r>
      <w:r w:rsidR="00F76691" w:rsidRPr="005B4339">
        <w:rPr>
          <w:rFonts w:ascii="Times New Roman" w:hAnsi="Times New Roman"/>
          <w:noProof/>
          <w:sz w:val="24"/>
          <w:szCs w:val="24"/>
          <w:lang w:val="en-IE"/>
        </w:rPr>
        <w:t xml:space="preserve">the </w:t>
      </w:r>
      <w:r w:rsidR="00430F36" w:rsidRPr="005B4339">
        <w:rPr>
          <w:rFonts w:ascii="Times New Roman" w:hAnsi="Times New Roman"/>
          <w:noProof/>
          <w:sz w:val="24"/>
          <w:szCs w:val="24"/>
          <w:lang w:val="en-IE"/>
        </w:rPr>
        <w:t>total agri-food sector is limited to 2% even in the most ambitious scenario, Option 3. At the sector level, t</w:t>
      </w:r>
      <w:r w:rsidRPr="005B4339">
        <w:rPr>
          <w:rFonts w:ascii="Times New Roman" w:hAnsi="Times New Roman"/>
          <w:noProof/>
          <w:sz w:val="24"/>
          <w:szCs w:val="24"/>
          <w:lang w:val="en-IE"/>
        </w:rPr>
        <w:t xml:space="preserve">he employment in vegetables and other food sector is expected to decrease </w:t>
      </w:r>
      <w:r w:rsidR="00430F36" w:rsidRPr="005B4339">
        <w:rPr>
          <w:rFonts w:ascii="Times New Roman" w:hAnsi="Times New Roman"/>
          <w:noProof/>
          <w:sz w:val="24"/>
          <w:szCs w:val="24"/>
          <w:lang w:val="en-IE"/>
        </w:rPr>
        <w:t>the most among</w:t>
      </w:r>
      <w:r w:rsidR="00F76691" w:rsidRPr="005B4339">
        <w:rPr>
          <w:rFonts w:ascii="Times New Roman" w:hAnsi="Times New Roman"/>
          <w:noProof/>
          <w:sz w:val="24"/>
          <w:szCs w:val="24"/>
          <w:lang w:val="en-IE"/>
        </w:rPr>
        <w:t>st</w:t>
      </w:r>
      <w:r w:rsidR="00430F36" w:rsidRPr="005B4339">
        <w:rPr>
          <w:rFonts w:ascii="Times New Roman" w:hAnsi="Times New Roman"/>
          <w:noProof/>
          <w:sz w:val="24"/>
          <w:szCs w:val="24"/>
          <w:lang w:val="en-IE"/>
        </w:rPr>
        <w:t xml:space="preserve"> other sectors (</w:t>
      </w:r>
      <w:r w:rsidRPr="005B4339">
        <w:rPr>
          <w:rFonts w:ascii="Times New Roman" w:hAnsi="Times New Roman"/>
          <w:noProof/>
          <w:sz w:val="24"/>
          <w:szCs w:val="24"/>
          <w:lang w:val="en-IE"/>
        </w:rPr>
        <w:t>4% in Option 3</w:t>
      </w:r>
      <w:r w:rsidR="00430F3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On the other hand, employment </w:t>
      </w:r>
      <w:r w:rsidR="00F76691" w:rsidRPr="005B4339">
        <w:rPr>
          <w:rFonts w:ascii="Times New Roman" w:hAnsi="Times New Roman"/>
          <w:noProof/>
          <w:sz w:val="24"/>
          <w:szCs w:val="24"/>
          <w:lang w:val="en-IE"/>
        </w:rPr>
        <w:t>rises in</w:t>
      </w:r>
      <w:r w:rsidR="00430F36" w:rsidRPr="005B4339">
        <w:rPr>
          <w:rFonts w:ascii="Times New Roman" w:hAnsi="Times New Roman"/>
          <w:noProof/>
          <w:sz w:val="24"/>
          <w:szCs w:val="24"/>
          <w:lang w:val="en-IE"/>
        </w:rPr>
        <w:t xml:space="preserve"> non-agri-food sectors</w:t>
      </w:r>
      <w:r w:rsidRPr="005B4339">
        <w:rPr>
          <w:rFonts w:ascii="Times New Roman" w:hAnsi="Times New Roman"/>
          <w:noProof/>
          <w:sz w:val="24"/>
          <w:szCs w:val="24"/>
          <w:lang w:val="en-IE"/>
        </w:rPr>
        <w:t>.</w:t>
      </w:r>
    </w:p>
    <w:p w14:paraId="572A158B" w14:textId="6C23F9F8" w:rsidR="007E70A7" w:rsidRPr="005B4339" w:rsidRDefault="007E70A7" w:rsidP="003B6050">
      <w:pPr>
        <w:pStyle w:val="JRCFigurecaption"/>
        <w:rPr>
          <w:noProof/>
          <w:lang w:val="en-IE"/>
        </w:rPr>
      </w:pPr>
      <w:bookmarkStart w:id="660" w:name="_Ref133501547"/>
      <w:bookmarkStart w:id="661" w:name="_Toc139031992"/>
      <w:r w:rsidRPr="005B4339">
        <w:rPr>
          <w:noProof/>
          <w:lang w:val="en-IE"/>
        </w:rPr>
        <w:t xml:space="preserve">Figure </w:t>
      </w:r>
      <w:r w:rsidR="00393DFA">
        <w:rPr>
          <w:noProof/>
          <w:lang w:val="en-IE"/>
        </w:rPr>
        <w:t>56</w:t>
      </w:r>
      <w:bookmarkEnd w:id="660"/>
      <w:r w:rsidRPr="005B4339">
        <w:rPr>
          <w:noProof/>
          <w:lang w:val="en-IE"/>
        </w:rPr>
        <w:t xml:space="preserve">: Change in employment in the EU (% change) </w:t>
      </w:r>
      <w:r w:rsidR="008B7574" w:rsidRPr="005B4339">
        <w:rPr>
          <w:noProof/>
          <w:lang w:val="en-IE"/>
        </w:rPr>
        <w:t xml:space="preserve">options </w:t>
      </w:r>
      <w:r w:rsidRPr="005B4339">
        <w:rPr>
          <w:noProof/>
          <w:lang w:val="en-IE"/>
        </w:rPr>
        <w:t>vs baseline 2030</w:t>
      </w:r>
      <w:bookmarkEnd w:id="661"/>
    </w:p>
    <w:p w14:paraId="43AFA2A1" w14:textId="42FE9C2A" w:rsidR="00EC449E" w:rsidRPr="005B4339" w:rsidRDefault="004928CC" w:rsidP="00EC449E">
      <w:pPr>
        <w:pStyle w:val="JRCText"/>
        <w:rPr>
          <w:rFonts w:ascii="Times New Roman" w:hAnsi="Times New Roman"/>
          <w:noProof/>
          <w:sz w:val="24"/>
          <w:szCs w:val="24"/>
          <w:lang w:val="en-IE"/>
        </w:rPr>
      </w:pPr>
      <w:r w:rsidRPr="004928CC">
        <w:lastRenderedPageBreak/>
        <w:drawing>
          <wp:inline distT="0" distB="0" distL="0" distR="0" wp14:anchorId="5A15581B" wp14:editId="494D8DE9">
            <wp:extent cx="5731510" cy="2846705"/>
            <wp:effectExtent l="0" t="0" r="2540" b="0"/>
            <wp:docPr id="1112863392" name="Picture 11128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846705"/>
                    </a:xfrm>
                    <a:prstGeom prst="rect">
                      <a:avLst/>
                    </a:prstGeom>
                    <a:noFill/>
                    <a:ln>
                      <a:noFill/>
                    </a:ln>
                  </pic:spPr>
                </pic:pic>
              </a:graphicData>
            </a:graphic>
          </wp:inline>
        </w:drawing>
      </w:r>
    </w:p>
    <w:p w14:paraId="35447C97" w14:textId="4F46885D" w:rsidR="00794505" w:rsidRPr="005B4339" w:rsidRDefault="00794505" w:rsidP="00F54798">
      <w:pPr>
        <w:pStyle w:val="JRCFiguresource"/>
        <w:rPr>
          <w:noProof/>
          <w:lang w:val="en-IE"/>
        </w:rPr>
      </w:pPr>
      <w:r w:rsidRPr="005B4339">
        <w:rPr>
          <w:noProof/>
          <w:lang w:val="en-IE"/>
        </w:rPr>
        <w:t>Source: MAGNET simulation results</w:t>
      </w:r>
    </w:p>
    <w:p w14:paraId="20867ED0" w14:textId="3309BFAE" w:rsidR="00EC449E" w:rsidRPr="005B4339" w:rsidRDefault="00823483" w:rsidP="00EC449E">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_Ref133501571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57</w:t>
      </w:r>
      <w:r w:rsidRPr="005B4339">
        <w:rPr>
          <w:rFonts w:ascii="Times New Roman" w:hAnsi="Times New Roman"/>
          <w:noProof/>
          <w:sz w:val="24"/>
          <w:szCs w:val="24"/>
          <w:lang w:val="en-IE"/>
        </w:rPr>
        <w:fldChar w:fldCharType="end"/>
      </w:r>
      <w:r w:rsidR="00EC449E" w:rsidRPr="005B4339">
        <w:rPr>
          <w:rFonts w:ascii="Times New Roman" w:hAnsi="Times New Roman"/>
          <w:noProof/>
          <w:sz w:val="24"/>
          <w:szCs w:val="24"/>
          <w:lang w:val="en-IE"/>
        </w:rPr>
        <w:t xml:space="preserve"> shows the absolute changes in employment for selected sectors. Job numbers decrease for the agri</w:t>
      </w:r>
      <w:r w:rsidR="00D42216" w:rsidRPr="005B4339">
        <w:rPr>
          <w:rFonts w:ascii="Times New Roman" w:hAnsi="Times New Roman"/>
          <w:noProof/>
          <w:sz w:val="24"/>
          <w:szCs w:val="24"/>
          <w:lang w:val="en-IE"/>
        </w:rPr>
        <w:t>-</w:t>
      </w:r>
      <w:r w:rsidR="00EC449E" w:rsidRPr="005B4339">
        <w:rPr>
          <w:rFonts w:ascii="Times New Roman" w:hAnsi="Times New Roman"/>
          <w:noProof/>
          <w:sz w:val="24"/>
          <w:szCs w:val="24"/>
          <w:lang w:val="en-IE"/>
        </w:rPr>
        <w:t>food sector by 70 000 in Option 1</w:t>
      </w:r>
      <w:r w:rsidR="00C1768D" w:rsidRPr="005B4339">
        <w:rPr>
          <w:rFonts w:ascii="Times New Roman" w:hAnsi="Times New Roman"/>
          <w:noProof/>
          <w:sz w:val="24"/>
          <w:szCs w:val="24"/>
          <w:lang w:val="en-IE"/>
        </w:rPr>
        <w:t>,</w:t>
      </w:r>
      <w:r w:rsidR="00EC449E" w:rsidRPr="005B4339">
        <w:rPr>
          <w:rFonts w:ascii="Times New Roman" w:hAnsi="Times New Roman"/>
          <w:noProof/>
          <w:sz w:val="24"/>
          <w:szCs w:val="24"/>
          <w:lang w:val="en-IE"/>
        </w:rPr>
        <w:t xml:space="preserve"> 135 000 in Option 2</w:t>
      </w:r>
      <w:r w:rsidR="00C1768D" w:rsidRPr="005B4339">
        <w:rPr>
          <w:rFonts w:ascii="Times New Roman" w:hAnsi="Times New Roman"/>
          <w:noProof/>
          <w:sz w:val="24"/>
          <w:szCs w:val="24"/>
          <w:lang w:val="en-IE"/>
        </w:rPr>
        <w:t>,</w:t>
      </w:r>
      <w:r w:rsidR="00EC449E" w:rsidRPr="005B4339">
        <w:rPr>
          <w:rFonts w:ascii="Times New Roman" w:hAnsi="Times New Roman"/>
          <w:noProof/>
          <w:sz w:val="24"/>
          <w:szCs w:val="24"/>
          <w:lang w:val="en-IE"/>
        </w:rPr>
        <w:t xml:space="preserve"> and 220 000 in Option 3. It should be noted that in other sectors, such as manufacturing</w:t>
      </w:r>
      <w:r w:rsidR="00F76691" w:rsidRPr="005B4339">
        <w:rPr>
          <w:rFonts w:ascii="Times New Roman" w:hAnsi="Times New Roman"/>
          <w:noProof/>
          <w:sz w:val="24"/>
          <w:szCs w:val="24"/>
          <w:lang w:val="en-IE"/>
        </w:rPr>
        <w:t>,</w:t>
      </w:r>
      <w:r w:rsidR="00EC449E" w:rsidRPr="005B4339">
        <w:rPr>
          <w:rFonts w:ascii="Times New Roman" w:hAnsi="Times New Roman"/>
          <w:noProof/>
          <w:sz w:val="24"/>
          <w:szCs w:val="24"/>
          <w:lang w:val="en-IE"/>
        </w:rPr>
        <w:t xml:space="preserve"> new jobs are created.</w:t>
      </w:r>
    </w:p>
    <w:p w14:paraId="4A4ADBB9" w14:textId="2C5EDB42" w:rsidR="007E70A7" w:rsidRPr="005B4339" w:rsidRDefault="007E70A7" w:rsidP="003B6050">
      <w:pPr>
        <w:pStyle w:val="JRCFigurecaption"/>
        <w:rPr>
          <w:noProof/>
          <w:lang w:val="en-IE"/>
        </w:rPr>
      </w:pPr>
      <w:bookmarkStart w:id="662" w:name="_Ref133501571"/>
      <w:bookmarkStart w:id="663" w:name="_Toc139031993"/>
      <w:r w:rsidRPr="005B4339">
        <w:rPr>
          <w:noProof/>
          <w:lang w:val="en-IE"/>
        </w:rPr>
        <w:t xml:space="preserve">Figure </w:t>
      </w:r>
      <w:r w:rsidR="00393DFA">
        <w:rPr>
          <w:noProof/>
          <w:lang w:val="en-IE"/>
        </w:rPr>
        <w:t>57</w:t>
      </w:r>
      <w:bookmarkEnd w:id="662"/>
      <w:r w:rsidRPr="005B4339">
        <w:rPr>
          <w:noProof/>
          <w:lang w:val="en-IE"/>
        </w:rPr>
        <w:t xml:space="preserve">: Change in employment in the EU in selected sectors (thousand heads) </w:t>
      </w:r>
      <w:r w:rsidR="008B7574" w:rsidRPr="005B4339">
        <w:rPr>
          <w:noProof/>
          <w:lang w:val="en-IE"/>
        </w:rPr>
        <w:t xml:space="preserve">options </w:t>
      </w:r>
      <w:r w:rsidRPr="005B4339">
        <w:rPr>
          <w:noProof/>
          <w:lang w:val="en-IE"/>
        </w:rPr>
        <w:t>vs baseline 2030</w:t>
      </w:r>
      <w:bookmarkEnd w:id="663"/>
    </w:p>
    <w:p w14:paraId="5657E40B" w14:textId="5759BC78" w:rsidR="00EC449E" w:rsidRPr="005B4339" w:rsidRDefault="004928CC" w:rsidP="00EC449E">
      <w:pPr>
        <w:pStyle w:val="JRCText"/>
        <w:rPr>
          <w:rFonts w:ascii="Times New Roman" w:hAnsi="Times New Roman"/>
          <w:noProof/>
          <w:sz w:val="24"/>
          <w:szCs w:val="24"/>
          <w:lang w:val="en-IE"/>
        </w:rPr>
      </w:pPr>
      <w:r w:rsidRPr="004928CC">
        <w:drawing>
          <wp:inline distT="0" distB="0" distL="0" distR="0" wp14:anchorId="774DC46D" wp14:editId="285DE539">
            <wp:extent cx="5731510" cy="24752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475230"/>
                    </a:xfrm>
                    <a:prstGeom prst="rect">
                      <a:avLst/>
                    </a:prstGeom>
                    <a:noFill/>
                    <a:ln>
                      <a:noFill/>
                    </a:ln>
                  </pic:spPr>
                </pic:pic>
              </a:graphicData>
            </a:graphic>
          </wp:inline>
        </w:drawing>
      </w:r>
    </w:p>
    <w:p w14:paraId="04D44E25" w14:textId="4F46885D" w:rsidR="00EC449E" w:rsidRPr="005B4339" w:rsidRDefault="00EC449E" w:rsidP="002E0646">
      <w:pPr>
        <w:pStyle w:val="JRCFiguresource"/>
        <w:rPr>
          <w:noProof/>
          <w:lang w:val="en-IE"/>
        </w:rPr>
      </w:pPr>
      <w:r w:rsidRPr="005B4339">
        <w:rPr>
          <w:noProof/>
          <w:lang w:val="en-IE"/>
        </w:rPr>
        <w:t>Source: MAGNET simulation results</w:t>
      </w:r>
    </w:p>
    <w:bookmarkStart w:id="664" w:name="_Ref133501591"/>
    <w:p w14:paraId="41624F0C" w14:textId="7B47600F" w:rsidR="00C1768D" w:rsidRPr="005B4339" w:rsidRDefault="00823483" w:rsidP="00C1768D">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_Ref133501613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58</w:t>
      </w:r>
      <w:r w:rsidRPr="005B4339">
        <w:rPr>
          <w:rFonts w:ascii="Times New Roman" w:hAnsi="Times New Roman"/>
          <w:noProof/>
          <w:sz w:val="24"/>
          <w:szCs w:val="24"/>
          <w:lang w:val="en-IE"/>
        </w:rPr>
        <w:fldChar w:fldCharType="end"/>
      </w:r>
      <w:r w:rsidR="00C1768D" w:rsidRPr="005B4339">
        <w:rPr>
          <w:rFonts w:ascii="Times New Roman" w:hAnsi="Times New Roman"/>
          <w:noProof/>
          <w:sz w:val="24"/>
          <w:szCs w:val="24"/>
          <w:lang w:val="en-IE"/>
        </w:rPr>
        <w:t xml:space="preserve"> depicts the impact of food waste reduction on agri</w:t>
      </w:r>
      <w:r w:rsidR="00D42216" w:rsidRPr="005B4339">
        <w:rPr>
          <w:rFonts w:ascii="Times New Roman" w:hAnsi="Times New Roman"/>
          <w:noProof/>
          <w:sz w:val="24"/>
          <w:szCs w:val="24"/>
          <w:lang w:val="en-IE"/>
        </w:rPr>
        <w:t>-</w:t>
      </w:r>
      <w:r w:rsidR="00C1768D" w:rsidRPr="005B4339">
        <w:rPr>
          <w:rFonts w:ascii="Times New Roman" w:hAnsi="Times New Roman"/>
          <w:noProof/>
          <w:sz w:val="24"/>
          <w:szCs w:val="24"/>
          <w:lang w:val="en-IE"/>
        </w:rPr>
        <w:t xml:space="preserve">food employment for </w:t>
      </w:r>
      <w:r w:rsidR="001949BC" w:rsidRPr="005B4339">
        <w:rPr>
          <w:rFonts w:ascii="Times New Roman" w:hAnsi="Times New Roman"/>
          <w:noProof/>
          <w:sz w:val="24"/>
          <w:szCs w:val="24"/>
          <w:lang w:val="en-IE"/>
        </w:rPr>
        <w:t>three policy options</w:t>
      </w:r>
      <w:r w:rsidR="00C1768D" w:rsidRPr="005B4339">
        <w:rPr>
          <w:rFonts w:ascii="Times New Roman" w:hAnsi="Times New Roman"/>
          <w:noProof/>
          <w:sz w:val="24"/>
          <w:szCs w:val="24"/>
          <w:lang w:val="en-IE"/>
        </w:rPr>
        <w:t>. Expected reduction varies across M</w:t>
      </w:r>
      <w:r w:rsidR="00F76691" w:rsidRPr="005B4339">
        <w:rPr>
          <w:rFonts w:ascii="Times New Roman" w:hAnsi="Times New Roman"/>
          <w:noProof/>
          <w:sz w:val="24"/>
          <w:szCs w:val="24"/>
          <w:lang w:val="en-IE"/>
        </w:rPr>
        <w:t>ember States</w:t>
      </w:r>
      <w:r w:rsidR="00C1768D" w:rsidRPr="005B4339">
        <w:rPr>
          <w:rFonts w:ascii="Times New Roman" w:hAnsi="Times New Roman"/>
          <w:noProof/>
          <w:sz w:val="24"/>
          <w:szCs w:val="24"/>
          <w:lang w:val="en-IE"/>
        </w:rPr>
        <w:t xml:space="preserve"> – ranging from -0.3% in Option 1 to -3% in Option 3 depending on the country. Largest percentage change decreases are observed for Germany, Portugal, and Belgium and Luxembourg. </w:t>
      </w:r>
    </w:p>
    <w:p w14:paraId="6614D116" w14:textId="1289836D" w:rsidR="007E70A7" w:rsidRPr="005B4339" w:rsidRDefault="007E70A7" w:rsidP="003B6050">
      <w:pPr>
        <w:pStyle w:val="JRCFigurecaption"/>
        <w:rPr>
          <w:noProof/>
          <w:lang w:val="en-IE"/>
        </w:rPr>
      </w:pPr>
      <w:bookmarkStart w:id="665" w:name="_Ref133501613"/>
      <w:bookmarkStart w:id="666" w:name="_Toc139031994"/>
      <w:r w:rsidRPr="005B4339">
        <w:rPr>
          <w:noProof/>
          <w:lang w:val="en-IE"/>
        </w:rPr>
        <w:t xml:space="preserve">Figure </w:t>
      </w:r>
      <w:r w:rsidR="00393DFA">
        <w:rPr>
          <w:noProof/>
          <w:lang w:val="en-IE"/>
        </w:rPr>
        <w:t>58</w:t>
      </w:r>
      <w:bookmarkEnd w:id="664"/>
      <w:bookmarkEnd w:id="665"/>
      <w:r w:rsidRPr="005B4339">
        <w:rPr>
          <w:noProof/>
          <w:lang w:val="en-IE"/>
        </w:rPr>
        <w:t>: Change in agri</w:t>
      </w:r>
      <w:r w:rsidR="00D42216" w:rsidRPr="005B4339">
        <w:rPr>
          <w:noProof/>
          <w:lang w:val="en-IE"/>
        </w:rPr>
        <w:t>-</w:t>
      </w:r>
      <w:r w:rsidRPr="005B4339">
        <w:rPr>
          <w:noProof/>
          <w:lang w:val="en-IE"/>
        </w:rPr>
        <w:t>food employment in EU MSs, options vs baseline 2030</w:t>
      </w:r>
      <w:bookmarkEnd w:id="666"/>
    </w:p>
    <w:p w14:paraId="4388A947" w14:textId="06930046" w:rsidR="00C1768D" w:rsidRPr="005B4339" w:rsidRDefault="004928CC" w:rsidP="00C1768D">
      <w:pPr>
        <w:pStyle w:val="JRCText"/>
        <w:rPr>
          <w:rFonts w:ascii="Times New Roman" w:hAnsi="Times New Roman"/>
          <w:noProof/>
          <w:sz w:val="24"/>
          <w:szCs w:val="24"/>
          <w:lang w:val="en-IE"/>
        </w:rPr>
      </w:pPr>
      <w:r w:rsidRPr="004928CC">
        <w:lastRenderedPageBreak/>
        <w:drawing>
          <wp:inline distT="0" distB="0" distL="0" distR="0" wp14:anchorId="18932401" wp14:editId="341038B1">
            <wp:extent cx="5731510" cy="24872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487295"/>
                    </a:xfrm>
                    <a:prstGeom prst="rect">
                      <a:avLst/>
                    </a:prstGeom>
                    <a:noFill/>
                    <a:ln>
                      <a:noFill/>
                    </a:ln>
                  </pic:spPr>
                </pic:pic>
              </a:graphicData>
            </a:graphic>
          </wp:inline>
        </w:drawing>
      </w:r>
    </w:p>
    <w:p w14:paraId="6CD2E960" w14:textId="77777777" w:rsidR="00C1768D" w:rsidRPr="005B4339" w:rsidRDefault="00C1768D" w:rsidP="00C1768D">
      <w:pPr>
        <w:pStyle w:val="JRCText"/>
        <w:rPr>
          <w:rFonts w:ascii="Times New Roman" w:hAnsi="Times New Roman"/>
          <w:noProof/>
          <w:sz w:val="24"/>
          <w:szCs w:val="24"/>
          <w:lang w:val="en-IE"/>
        </w:rPr>
      </w:pPr>
    </w:p>
    <w:p w14:paraId="724FE6E2" w14:textId="77777777" w:rsidR="00C1768D" w:rsidRPr="005B4339" w:rsidRDefault="00C1768D" w:rsidP="00C1768D">
      <w:pPr>
        <w:pStyle w:val="JRCFiguresource"/>
        <w:rPr>
          <w:noProof/>
          <w:lang w:val="en-IE"/>
        </w:rPr>
      </w:pPr>
      <w:r w:rsidRPr="005B4339">
        <w:rPr>
          <w:noProof/>
          <w:lang w:val="en-IE"/>
        </w:rPr>
        <w:t>Source: MAGNET simulation results</w:t>
      </w:r>
    </w:p>
    <w:p w14:paraId="1C8C6B95" w14:textId="77777777" w:rsidR="00C1768D" w:rsidRPr="005B4339" w:rsidRDefault="00C1768D" w:rsidP="00EC449E">
      <w:pPr>
        <w:pStyle w:val="JRCText"/>
        <w:rPr>
          <w:rFonts w:ascii="Times New Roman" w:hAnsi="Times New Roman"/>
          <w:noProof/>
          <w:sz w:val="24"/>
          <w:szCs w:val="24"/>
          <w:lang w:val="en-IE"/>
        </w:rPr>
      </w:pPr>
    </w:p>
    <w:p w14:paraId="5FC6943E" w14:textId="2B42C894" w:rsidR="00EC449E" w:rsidRPr="005B4339" w:rsidRDefault="00EC449E" w:rsidP="00EC449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reader is informed that the food service sector (and other service sectors) </w:t>
      </w:r>
      <w:r w:rsidR="00C1768D" w:rsidRPr="005B4339">
        <w:rPr>
          <w:rFonts w:ascii="Times New Roman" w:hAnsi="Times New Roman"/>
          <w:noProof/>
          <w:sz w:val="24"/>
          <w:szCs w:val="24"/>
          <w:lang w:val="en-IE"/>
        </w:rPr>
        <w:t>are not presented in the</w:t>
      </w:r>
      <w:r w:rsidRPr="005B4339">
        <w:rPr>
          <w:rFonts w:ascii="Times New Roman" w:hAnsi="Times New Roman"/>
          <w:noProof/>
          <w:sz w:val="24"/>
          <w:szCs w:val="24"/>
          <w:lang w:val="en-IE"/>
        </w:rPr>
        <w:t xml:space="preserve"> analysis. While the numbers of the primary and secondary sectors are directly linked to specific activities impacted by food waste reduction</w:t>
      </w:r>
      <w:r w:rsidR="00F76691"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reaction of the food service sector cannot be represented in a fully satisfactory way. First</w:t>
      </w:r>
      <w:r w:rsidR="00F76691" w:rsidRPr="005B4339">
        <w:rPr>
          <w:rFonts w:ascii="Times New Roman" w:hAnsi="Times New Roman"/>
          <w:noProof/>
          <w:sz w:val="24"/>
          <w:szCs w:val="24"/>
          <w:lang w:val="en-IE"/>
        </w:rPr>
        <w:t>ly</w:t>
      </w:r>
      <w:r w:rsidRPr="005B4339">
        <w:rPr>
          <w:rFonts w:ascii="Times New Roman" w:hAnsi="Times New Roman"/>
          <w:noProof/>
          <w:sz w:val="24"/>
          <w:szCs w:val="24"/>
          <w:lang w:val="en-IE"/>
        </w:rPr>
        <w:t>, the exact composition of the food service sector (i.e., restaurant, delivery services etc.) is not available. Second</w:t>
      </w:r>
      <w:r w:rsidR="00F76691" w:rsidRPr="005B4339">
        <w:rPr>
          <w:rFonts w:ascii="Times New Roman" w:hAnsi="Times New Roman"/>
          <w:noProof/>
          <w:sz w:val="24"/>
          <w:szCs w:val="24"/>
          <w:lang w:val="en-IE"/>
        </w:rPr>
        <w:t>ly</w:t>
      </w:r>
      <w:r w:rsidRPr="005B4339">
        <w:rPr>
          <w:rFonts w:ascii="Times New Roman" w:hAnsi="Times New Roman"/>
          <w:noProof/>
          <w:sz w:val="24"/>
          <w:szCs w:val="24"/>
          <w:lang w:val="en-IE"/>
        </w:rPr>
        <w:t xml:space="preserve">, the </w:t>
      </w:r>
      <w:r w:rsidR="00073C67" w:rsidRPr="005B4339">
        <w:rPr>
          <w:rFonts w:ascii="Times New Roman" w:hAnsi="Times New Roman"/>
          <w:noProof/>
          <w:sz w:val="24"/>
          <w:szCs w:val="24"/>
          <w:lang w:val="en-IE"/>
        </w:rPr>
        <w:t>possible</w:t>
      </w:r>
      <w:r w:rsidRPr="005B4339">
        <w:rPr>
          <w:rFonts w:ascii="Times New Roman" w:hAnsi="Times New Roman"/>
          <w:noProof/>
          <w:sz w:val="24"/>
          <w:szCs w:val="24"/>
          <w:lang w:val="en-IE"/>
        </w:rPr>
        <w:t xml:space="preserve"> reaction of consumers to less </w:t>
      </w:r>
      <w:r w:rsidR="00C1768D" w:rsidRPr="005B4339">
        <w:rPr>
          <w:rFonts w:ascii="Times New Roman" w:hAnsi="Times New Roman"/>
          <w:noProof/>
          <w:sz w:val="24"/>
          <w:szCs w:val="24"/>
          <w:lang w:val="en-IE"/>
        </w:rPr>
        <w:t xml:space="preserve">waste in </w:t>
      </w:r>
      <w:r w:rsidRPr="005B4339">
        <w:rPr>
          <w:rFonts w:ascii="Times New Roman" w:hAnsi="Times New Roman"/>
          <w:noProof/>
          <w:sz w:val="24"/>
          <w:szCs w:val="24"/>
          <w:lang w:val="en-IE"/>
        </w:rPr>
        <w:t xml:space="preserve">food services is not straightforward. The expectation </w:t>
      </w:r>
      <w:r w:rsidR="00C1768D" w:rsidRPr="005B4339">
        <w:rPr>
          <w:rFonts w:ascii="Times New Roman" w:hAnsi="Times New Roman"/>
          <w:noProof/>
          <w:sz w:val="24"/>
          <w:szCs w:val="24"/>
          <w:lang w:val="en-IE"/>
        </w:rPr>
        <w:t>to</w:t>
      </w:r>
      <w:r w:rsidRPr="005B4339">
        <w:rPr>
          <w:rFonts w:ascii="Times New Roman" w:hAnsi="Times New Roman"/>
          <w:noProof/>
          <w:sz w:val="24"/>
          <w:szCs w:val="24"/>
          <w:lang w:val="en-IE"/>
        </w:rPr>
        <w:t xml:space="preserve"> food waste reduction at the food service level is that if consumers behave in a more socially responsible manner (i.e. waste less), they might be expected to cut back on restaurant visits per time period as they consume out-of-home ‘leftovers’ at home. It is recognised</w:t>
      </w:r>
      <w:r w:rsidR="00073C67"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however</w:t>
      </w:r>
      <w:r w:rsidR="00073C67"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that the reduction in the number of visits to the restaurant is not proportionate to the reduction in waste as people enjoy the experience of eating out. Indeed, individuals with higher disposable income may cut back food services demand considerably less than those </w:t>
      </w:r>
      <w:r w:rsidR="00C1768D" w:rsidRPr="005B4339">
        <w:rPr>
          <w:rFonts w:ascii="Times New Roman" w:hAnsi="Times New Roman"/>
          <w:noProof/>
          <w:sz w:val="24"/>
          <w:szCs w:val="24"/>
          <w:lang w:val="en-IE"/>
        </w:rPr>
        <w:t>with</w:t>
      </w:r>
      <w:r w:rsidRPr="005B4339">
        <w:rPr>
          <w:rFonts w:ascii="Times New Roman" w:hAnsi="Times New Roman"/>
          <w:noProof/>
          <w:sz w:val="24"/>
          <w:szCs w:val="24"/>
          <w:lang w:val="en-IE"/>
        </w:rPr>
        <w:t xml:space="preserve"> lower incomes. In addition, food services waste reduction could be achieved (partly) by developing/improving management strategies. Thus, in the absence of any empirical evidence, the modelling </w:t>
      </w:r>
      <w:r w:rsidR="00713FE6" w:rsidRPr="005B4339">
        <w:rPr>
          <w:rFonts w:ascii="Times New Roman" w:hAnsi="Times New Roman"/>
          <w:noProof/>
          <w:sz w:val="24"/>
          <w:szCs w:val="24"/>
          <w:lang w:val="en-IE"/>
        </w:rPr>
        <w:t>approach</w:t>
      </w:r>
      <w:r w:rsidRPr="005B4339">
        <w:rPr>
          <w:rFonts w:ascii="Times New Roman" w:hAnsi="Times New Roman"/>
          <w:noProof/>
          <w:sz w:val="24"/>
          <w:szCs w:val="24"/>
          <w:lang w:val="en-IE"/>
        </w:rPr>
        <w:t xml:space="preserve"> assumes </w:t>
      </w:r>
      <w:r w:rsidR="00713FE6" w:rsidRPr="005B4339">
        <w:rPr>
          <w:rFonts w:ascii="Times New Roman" w:hAnsi="Times New Roman"/>
          <w:noProof/>
          <w:sz w:val="24"/>
          <w:szCs w:val="24"/>
          <w:lang w:val="en-IE"/>
        </w:rPr>
        <w:t>here</w:t>
      </w:r>
      <w:r w:rsidRPr="005B4339">
        <w:rPr>
          <w:rFonts w:ascii="Times New Roman" w:hAnsi="Times New Roman"/>
          <w:noProof/>
          <w:sz w:val="24"/>
          <w:szCs w:val="24"/>
          <w:lang w:val="en-IE"/>
        </w:rPr>
        <w:t xml:space="preserve"> that the reduction in household demand for food services is in proportion to the reduction in food services waste, thus likely overstating the effect </w:t>
      </w:r>
      <w:r w:rsidR="00713FE6" w:rsidRPr="005B4339">
        <w:rPr>
          <w:rFonts w:ascii="Times New Roman" w:hAnsi="Times New Roman"/>
          <w:noProof/>
          <w:sz w:val="24"/>
          <w:szCs w:val="24"/>
          <w:lang w:val="en-IE"/>
        </w:rPr>
        <w:t xml:space="preserve">on </w:t>
      </w:r>
      <w:r w:rsidRPr="005B4339">
        <w:rPr>
          <w:rFonts w:ascii="Times New Roman" w:hAnsi="Times New Roman"/>
          <w:noProof/>
          <w:sz w:val="24"/>
          <w:szCs w:val="24"/>
          <w:lang w:val="en-IE"/>
        </w:rPr>
        <w:t>food services demand of consumers and the associated impacts on employment. Hence, in this section</w:t>
      </w:r>
      <w:r w:rsidR="00425400"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results</w:t>
      </w:r>
      <w:r w:rsidR="00425400" w:rsidRPr="005B4339">
        <w:rPr>
          <w:rFonts w:ascii="Times New Roman" w:hAnsi="Times New Roman"/>
          <w:noProof/>
          <w:sz w:val="24"/>
          <w:szCs w:val="24"/>
          <w:lang w:val="en-IE"/>
        </w:rPr>
        <w:t xml:space="preserve"> for </w:t>
      </w:r>
      <w:r w:rsidR="00713FE6"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food service sector </w:t>
      </w:r>
      <w:r w:rsidR="00425400" w:rsidRPr="005B4339">
        <w:rPr>
          <w:rFonts w:ascii="Times New Roman" w:hAnsi="Times New Roman"/>
          <w:noProof/>
          <w:sz w:val="24"/>
          <w:szCs w:val="24"/>
          <w:lang w:val="en-IE"/>
        </w:rPr>
        <w:t>are</w:t>
      </w:r>
      <w:r w:rsidR="00713FE6" w:rsidRPr="005B4339">
        <w:rPr>
          <w:rFonts w:ascii="Times New Roman" w:hAnsi="Times New Roman"/>
          <w:noProof/>
          <w:sz w:val="24"/>
          <w:szCs w:val="24"/>
          <w:lang w:val="en-IE"/>
        </w:rPr>
        <w:t>s not presented</w:t>
      </w:r>
      <w:r w:rsidRPr="005B4339">
        <w:rPr>
          <w:rFonts w:ascii="Times New Roman" w:hAnsi="Times New Roman"/>
          <w:noProof/>
          <w:sz w:val="24"/>
          <w:szCs w:val="24"/>
          <w:lang w:val="en-IE"/>
        </w:rPr>
        <w:t>.</w:t>
      </w:r>
      <w:r w:rsidR="00713FE6" w:rsidRPr="005B4339">
        <w:rPr>
          <w:rFonts w:ascii="Times New Roman" w:hAnsi="Times New Roman"/>
          <w:noProof/>
          <w:sz w:val="24"/>
          <w:szCs w:val="24"/>
          <w:lang w:val="en-IE"/>
        </w:rPr>
        <w:t xml:space="preserve"> </w:t>
      </w:r>
      <w:r w:rsidR="00713FE6" w:rsidRPr="005B4339">
        <w:rPr>
          <w:rStyle w:val="normaltextrun"/>
          <w:rFonts w:ascii="Times New Roman" w:hAnsi="Times New Roman"/>
          <w:noProof/>
          <w:color w:val="000000"/>
          <w:sz w:val="24"/>
          <w:szCs w:val="24"/>
          <w:shd w:val="clear" w:color="auto" w:fill="FFFFFF"/>
          <w:lang w:val="en-IE"/>
        </w:rPr>
        <w:t>As a conclusion, even without the food service sector, the numbers below should be considered as a worst-case scenario. To the exten</w:t>
      </w:r>
      <w:r w:rsidR="00425400" w:rsidRPr="005B4339">
        <w:rPr>
          <w:rStyle w:val="normaltextrun"/>
          <w:rFonts w:ascii="Times New Roman" w:hAnsi="Times New Roman"/>
          <w:noProof/>
          <w:color w:val="000000"/>
          <w:sz w:val="24"/>
          <w:szCs w:val="24"/>
          <w:shd w:val="clear" w:color="auto" w:fill="FFFFFF"/>
          <w:lang w:val="en-IE"/>
        </w:rPr>
        <w:t>t</w:t>
      </w:r>
      <w:r w:rsidR="00713FE6" w:rsidRPr="005B4339">
        <w:rPr>
          <w:rStyle w:val="normaltextrun"/>
          <w:rFonts w:ascii="Times New Roman" w:hAnsi="Times New Roman"/>
          <w:noProof/>
          <w:color w:val="000000"/>
          <w:sz w:val="24"/>
          <w:szCs w:val="24"/>
          <w:shd w:val="clear" w:color="auto" w:fill="FFFFFF"/>
          <w:lang w:val="en-IE"/>
        </w:rPr>
        <w:t xml:space="preserve"> known, Member States that have taken steps in reducing food waste have not experienced negative impacts on employment in the food supply chain due to this reduction</w:t>
      </w:r>
      <w:r w:rsidRPr="005B4339">
        <w:rPr>
          <w:rStyle w:val="normaltextrun"/>
          <w:rFonts w:ascii="Times New Roman" w:hAnsi="Times New Roman"/>
          <w:noProof/>
          <w:color w:val="000000"/>
          <w:sz w:val="24"/>
          <w:szCs w:val="24"/>
          <w:shd w:val="clear" w:color="auto" w:fill="FFFFFF"/>
          <w:lang w:val="en-IE"/>
        </w:rPr>
        <w:t>.</w:t>
      </w:r>
    </w:p>
    <w:p w14:paraId="768C3F5E" w14:textId="0627E6AD" w:rsidR="00EC449E" w:rsidRPr="005B4339" w:rsidRDefault="00EC449E" w:rsidP="00EC449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These results do also not </w:t>
      </w:r>
      <w:r w:rsidR="00425400" w:rsidRPr="005B4339">
        <w:rPr>
          <w:rFonts w:ascii="Times New Roman" w:hAnsi="Times New Roman"/>
          <w:noProof/>
          <w:sz w:val="24"/>
          <w:szCs w:val="24"/>
          <w:lang w:val="en-IE"/>
        </w:rPr>
        <w:t>take into account</w:t>
      </w:r>
      <w:r w:rsidRPr="005B4339">
        <w:rPr>
          <w:rFonts w:ascii="Times New Roman" w:hAnsi="Times New Roman"/>
          <w:noProof/>
          <w:sz w:val="24"/>
          <w:szCs w:val="24"/>
          <w:lang w:val="en-IE"/>
        </w:rPr>
        <w:t xml:space="preserve"> the potential job creation from food waste reduction initiatives</w:t>
      </w:r>
      <w:r w:rsidR="00713FE6" w:rsidRPr="005B4339">
        <w:rPr>
          <w:rFonts w:ascii="Times New Roman" w:hAnsi="Times New Roman"/>
          <w:noProof/>
          <w:sz w:val="24"/>
          <w:szCs w:val="24"/>
          <w:lang w:val="en-IE"/>
        </w:rPr>
        <w:t>, as this would entail strong assumptions on new job profiles</w:t>
      </w:r>
      <w:r w:rsidR="00425400" w:rsidRPr="005B4339">
        <w:rPr>
          <w:rFonts w:ascii="Times New Roman" w:hAnsi="Times New Roman"/>
          <w:noProof/>
          <w:sz w:val="24"/>
          <w:szCs w:val="24"/>
          <w:lang w:val="en-IE"/>
        </w:rPr>
        <w:t xml:space="preserve"> required</w:t>
      </w:r>
      <w:r w:rsidRPr="005B4339">
        <w:rPr>
          <w:rFonts w:ascii="Times New Roman" w:hAnsi="Times New Roman"/>
          <w:noProof/>
          <w:sz w:val="24"/>
          <w:szCs w:val="24"/>
          <w:lang w:val="en-IE"/>
        </w:rPr>
        <w:t>. Based on data from surveys to stakeholders, JRC estimates the number of new jobs created respectively for options 1, 2 and 3 at: 6 700 heads 12 500 heads and 22 300 heads. The new jobs created included the roles</w:t>
      </w:r>
      <w:r w:rsidR="002B4718" w:rsidRPr="005B4339">
        <w:rPr>
          <w:rFonts w:ascii="Times New Roman" w:hAnsi="Times New Roman"/>
          <w:noProof/>
          <w:sz w:val="24"/>
          <w:szCs w:val="24"/>
          <w:lang w:val="en-IE"/>
        </w:rPr>
        <w:t xml:space="preserve"> such as</w:t>
      </w:r>
      <w:r w:rsidRPr="005B4339">
        <w:rPr>
          <w:rFonts w:ascii="Times New Roman" w:hAnsi="Times New Roman"/>
          <w:noProof/>
          <w:sz w:val="24"/>
          <w:szCs w:val="24"/>
          <w:lang w:val="en-IE"/>
        </w:rPr>
        <w:t>: logistics operators in food banks, coaching supermarkets’ staff as part of food redistribution initiatives</w:t>
      </w:r>
      <w:r w:rsidR="00425400" w:rsidRPr="005B4339">
        <w:rPr>
          <w:rFonts w:ascii="Times New Roman" w:hAnsi="Times New Roman"/>
          <w:noProof/>
          <w:sz w:val="24"/>
          <w:szCs w:val="24"/>
          <w:lang w:val="en-IE"/>
        </w:rPr>
        <w:t>, and</w:t>
      </w:r>
      <w:r w:rsidRPr="005B4339">
        <w:rPr>
          <w:rFonts w:ascii="Times New Roman" w:hAnsi="Times New Roman"/>
          <w:noProof/>
          <w:sz w:val="24"/>
          <w:szCs w:val="24"/>
          <w:lang w:val="en-IE"/>
        </w:rPr>
        <w:t xml:space="preserve"> collection/transport of products deriving from the valorisation of surplus food and by-products.</w:t>
      </w:r>
    </w:p>
    <w:p w14:paraId="19DB8CA8" w14:textId="4F46885D" w:rsidR="00EC449E" w:rsidRPr="005B4339" w:rsidRDefault="00EC449E" w:rsidP="00EC449E">
      <w:pPr>
        <w:pStyle w:val="JRCText"/>
        <w:rPr>
          <w:noProof/>
          <w:lang w:val="en-IE"/>
        </w:rPr>
      </w:pPr>
    </w:p>
    <w:p w14:paraId="122AE229" w14:textId="4083BD7C" w:rsidR="00794505" w:rsidRPr="005B4339" w:rsidRDefault="00794505">
      <w:pPr>
        <w:pStyle w:val="JRCLevel-3title"/>
        <w:numPr>
          <w:ilvl w:val="2"/>
          <w:numId w:val="161"/>
        </w:numPr>
        <w:rPr>
          <w:rFonts w:ascii="Times New Roman" w:hAnsi="Times New Roman"/>
          <w:noProof/>
          <w:sz w:val="24"/>
          <w:lang w:val="en-IE"/>
        </w:rPr>
      </w:pPr>
      <w:bookmarkStart w:id="667" w:name="_Toc122604031"/>
      <w:bookmarkStart w:id="668" w:name="_Toc122613119"/>
      <w:bookmarkStart w:id="669" w:name="_Toc125109508"/>
      <w:bookmarkStart w:id="670" w:name="_Toc593249300"/>
      <w:bookmarkStart w:id="671" w:name="_Toc593845497"/>
      <w:bookmarkStart w:id="672" w:name="_Toc1601538282"/>
      <w:bookmarkStart w:id="673" w:name="_Toc1198879679"/>
      <w:bookmarkStart w:id="674" w:name="_Toc185761161"/>
      <w:bookmarkStart w:id="675" w:name="_Toc1988462954"/>
      <w:bookmarkStart w:id="676" w:name="_Toc237345076"/>
      <w:bookmarkStart w:id="677" w:name="_Toc139032124"/>
      <w:r w:rsidRPr="005B4339">
        <w:rPr>
          <w:rFonts w:ascii="Times New Roman" w:hAnsi="Times New Roman"/>
          <w:noProof/>
          <w:sz w:val="24"/>
          <w:lang w:val="en-IE"/>
        </w:rPr>
        <w:t>Income</w:t>
      </w:r>
      <w:bookmarkEnd w:id="667"/>
      <w:bookmarkEnd w:id="668"/>
      <w:bookmarkEnd w:id="669"/>
      <w:bookmarkEnd w:id="670"/>
      <w:bookmarkEnd w:id="671"/>
      <w:bookmarkEnd w:id="672"/>
      <w:bookmarkEnd w:id="673"/>
      <w:bookmarkEnd w:id="674"/>
      <w:bookmarkEnd w:id="675"/>
      <w:bookmarkEnd w:id="676"/>
      <w:r w:rsidR="006218A2" w:rsidRPr="005B4339">
        <w:rPr>
          <w:rFonts w:ascii="Times New Roman" w:hAnsi="Times New Roman"/>
          <w:noProof/>
          <w:sz w:val="24"/>
          <w:lang w:val="en-IE"/>
        </w:rPr>
        <w:t xml:space="preserve"> distribution</w:t>
      </w:r>
      <w:bookmarkEnd w:id="677"/>
    </w:p>
    <w:p w14:paraId="1309C67B" w14:textId="2F94ACCE" w:rsidR="75659547" w:rsidRPr="005B4339" w:rsidRDefault="00425400" w:rsidP="22792A04">
      <w:pPr>
        <w:pStyle w:val="JRCText"/>
        <w:rPr>
          <w:rFonts w:ascii="Times New Roman" w:hAnsi="Times New Roman"/>
          <w:noProof/>
          <w:sz w:val="24"/>
          <w:szCs w:val="24"/>
          <w:lang w:val="en-IE"/>
        </w:rPr>
      </w:pPr>
      <w:r w:rsidRPr="005B4339">
        <w:rPr>
          <w:rFonts w:ascii="Times New Roman" w:hAnsi="Times New Roman"/>
          <w:noProof/>
          <w:sz w:val="24"/>
          <w:szCs w:val="24"/>
          <w:lang w:val="en-IE"/>
        </w:rPr>
        <w:t>In all three options, the</w:t>
      </w:r>
      <w:r w:rsidR="75659547" w:rsidRPr="005B4339">
        <w:rPr>
          <w:rFonts w:ascii="Times New Roman" w:hAnsi="Times New Roman"/>
          <w:noProof/>
          <w:sz w:val="24"/>
          <w:szCs w:val="24"/>
          <w:lang w:val="en-IE"/>
        </w:rPr>
        <w:t xml:space="preserve"> economy in the EU27 is only marginally </w:t>
      </w:r>
      <w:r w:rsidRPr="005B4339">
        <w:rPr>
          <w:rFonts w:ascii="Times New Roman" w:hAnsi="Times New Roman"/>
          <w:noProof/>
          <w:sz w:val="24"/>
          <w:szCs w:val="24"/>
          <w:lang w:val="en-IE"/>
        </w:rPr>
        <w:t>a</w:t>
      </w:r>
      <w:r w:rsidR="75659547" w:rsidRPr="005B4339">
        <w:rPr>
          <w:rFonts w:ascii="Times New Roman" w:hAnsi="Times New Roman"/>
          <w:noProof/>
          <w:sz w:val="24"/>
          <w:szCs w:val="24"/>
          <w:lang w:val="en-IE"/>
        </w:rPr>
        <w:t>ffected. Calculating a standard measure for macroeconomic impacts, i.e.</w:t>
      </w:r>
      <w:r w:rsidR="001F6AB8" w:rsidRPr="005B4339">
        <w:rPr>
          <w:rFonts w:ascii="Times New Roman" w:hAnsi="Times New Roman"/>
          <w:noProof/>
          <w:sz w:val="24"/>
          <w:szCs w:val="24"/>
          <w:lang w:val="en-IE"/>
        </w:rPr>
        <w:t>,</w:t>
      </w:r>
      <w:r w:rsidR="75659547" w:rsidRPr="005B4339">
        <w:rPr>
          <w:rFonts w:ascii="Times New Roman" w:hAnsi="Times New Roman"/>
          <w:noProof/>
          <w:sz w:val="24"/>
          <w:szCs w:val="24"/>
          <w:lang w:val="en-IE"/>
        </w:rPr>
        <w:t xml:space="preserve"> the value added at basic prices (output minus intermediate consumption), hereafter called “income”, the EU27 shows a slight increase </w:t>
      </w:r>
      <w:r w:rsidR="004B63DD" w:rsidRPr="005B4339">
        <w:rPr>
          <w:rFonts w:ascii="Times New Roman" w:hAnsi="Times New Roman"/>
          <w:noProof/>
          <w:sz w:val="24"/>
          <w:szCs w:val="24"/>
          <w:lang w:val="en-IE"/>
        </w:rPr>
        <w:t xml:space="preserve">in </w:t>
      </w:r>
      <w:r w:rsidR="75659547" w:rsidRPr="005B4339">
        <w:rPr>
          <w:rFonts w:ascii="Times New Roman" w:hAnsi="Times New Roman"/>
          <w:noProof/>
          <w:sz w:val="24"/>
          <w:szCs w:val="24"/>
          <w:lang w:val="en-IE"/>
        </w:rPr>
        <w:t>net income of more than 2 billion EUR (0.022%) in option 3. Also</w:t>
      </w:r>
      <w:r w:rsidR="004B63DD" w:rsidRPr="005B4339">
        <w:rPr>
          <w:rFonts w:ascii="Times New Roman" w:hAnsi="Times New Roman"/>
          <w:noProof/>
          <w:sz w:val="24"/>
          <w:szCs w:val="24"/>
          <w:lang w:val="en-IE"/>
        </w:rPr>
        <w:t>,</w:t>
      </w:r>
      <w:r w:rsidR="75659547" w:rsidRPr="005B4339">
        <w:rPr>
          <w:rFonts w:ascii="Times New Roman" w:hAnsi="Times New Roman"/>
          <w:noProof/>
          <w:sz w:val="24"/>
          <w:szCs w:val="24"/>
          <w:lang w:val="en-IE"/>
        </w:rPr>
        <w:t xml:space="preserve"> for the options 1 (0.8 billion EUR, 0.008%) and 2 (1.6 billion EUR, 0.016%), the overall economic impact is positive.</w:t>
      </w:r>
    </w:p>
    <w:p w14:paraId="4621A859" w14:textId="7F066018"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Food waste reduction</w:t>
      </w:r>
      <w:r w:rsidR="1324783E" w:rsidRPr="005B4339">
        <w:rPr>
          <w:rFonts w:ascii="Times New Roman" w:hAnsi="Times New Roman"/>
          <w:noProof/>
          <w:sz w:val="24"/>
          <w:szCs w:val="24"/>
          <w:lang w:val="en-IE"/>
        </w:rPr>
        <w:t>, however,</w:t>
      </w:r>
      <w:r w:rsidRPr="005B4339">
        <w:rPr>
          <w:rFonts w:ascii="Times New Roman" w:hAnsi="Times New Roman"/>
          <w:noProof/>
          <w:sz w:val="24"/>
          <w:szCs w:val="24"/>
          <w:lang w:val="en-IE"/>
        </w:rPr>
        <w:t xml:space="preserve"> could lead to farm income losses due to less food wasted and hence </w:t>
      </w:r>
      <w:r w:rsidR="0091335F" w:rsidRPr="005B4339">
        <w:rPr>
          <w:rFonts w:ascii="Times New Roman" w:hAnsi="Times New Roman"/>
          <w:noProof/>
          <w:sz w:val="24"/>
          <w:szCs w:val="24"/>
          <w:lang w:val="en-IE"/>
        </w:rPr>
        <w:t>lower resulting</w:t>
      </w:r>
      <w:r w:rsidRPr="005B4339">
        <w:rPr>
          <w:rFonts w:ascii="Times New Roman" w:hAnsi="Times New Roman"/>
          <w:noProof/>
          <w:sz w:val="24"/>
          <w:szCs w:val="24"/>
          <w:lang w:val="en-IE"/>
        </w:rPr>
        <w:t xml:space="preserve"> food</w:t>
      </w:r>
      <w:r w:rsidR="0091335F" w:rsidRPr="005B4339">
        <w:rPr>
          <w:rFonts w:ascii="Times New Roman" w:hAnsi="Times New Roman"/>
          <w:noProof/>
          <w:sz w:val="24"/>
          <w:szCs w:val="24"/>
          <w:lang w:val="en-IE"/>
        </w:rPr>
        <w:t xml:space="preserve"> demand</w:t>
      </w:r>
      <w:r w:rsidRPr="005B4339">
        <w:rPr>
          <w:rFonts w:ascii="Times New Roman" w:hAnsi="Times New Roman"/>
          <w:noProof/>
          <w:sz w:val="24"/>
          <w:szCs w:val="24"/>
          <w:lang w:val="en-IE"/>
        </w:rPr>
        <w:t xml:space="preserve">. </w:t>
      </w:r>
      <w:r w:rsidR="003874F8" w:rsidRPr="005B4339">
        <w:rPr>
          <w:rFonts w:ascii="Times New Roman" w:hAnsi="Times New Roman"/>
          <w:noProof/>
          <w:sz w:val="24"/>
          <w:szCs w:val="24"/>
          <w:lang w:val="en-IE"/>
        </w:rPr>
        <w:fldChar w:fldCharType="begin"/>
      </w:r>
      <w:r w:rsidR="003874F8" w:rsidRPr="005B4339">
        <w:rPr>
          <w:rFonts w:ascii="Times New Roman" w:hAnsi="Times New Roman"/>
          <w:noProof/>
          <w:sz w:val="24"/>
          <w:szCs w:val="24"/>
          <w:lang w:val="en-IE"/>
        </w:rPr>
        <w:instrText xml:space="preserve"> REF _Ref133501248 \h  \* MERGEFORMAT </w:instrText>
      </w:r>
      <w:r w:rsidR="003874F8" w:rsidRPr="005B4339">
        <w:rPr>
          <w:rFonts w:ascii="Times New Roman" w:hAnsi="Times New Roman"/>
          <w:noProof/>
          <w:sz w:val="24"/>
          <w:szCs w:val="24"/>
          <w:lang w:val="en-IE"/>
        </w:rPr>
      </w:r>
      <w:r w:rsidR="003874F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59</w:t>
      </w:r>
      <w:r w:rsidR="003874F8" w:rsidRPr="005B4339">
        <w:rPr>
          <w:rFonts w:ascii="Times New Roman" w:hAnsi="Times New Roman"/>
          <w:noProof/>
          <w:sz w:val="24"/>
          <w:szCs w:val="24"/>
          <w:lang w:val="en-IE"/>
        </w:rPr>
        <w:fldChar w:fldCharType="end"/>
      </w:r>
      <w:r w:rsidR="00D84072"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shows the change in farm income from primary agriculture for EU27 across </w:t>
      </w:r>
      <w:r w:rsidR="006218A2" w:rsidRPr="005B4339">
        <w:rPr>
          <w:rFonts w:ascii="Times New Roman" w:hAnsi="Times New Roman"/>
          <w:noProof/>
          <w:sz w:val="24"/>
          <w:szCs w:val="24"/>
          <w:lang w:val="en-IE"/>
        </w:rPr>
        <w:t>policy options</w:t>
      </w:r>
      <w:r w:rsidRPr="005B4339">
        <w:rPr>
          <w:rFonts w:ascii="Times New Roman" w:hAnsi="Times New Roman"/>
          <w:noProof/>
          <w:sz w:val="24"/>
          <w:szCs w:val="24"/>
          <w:lang w:val="en-IE"/>
        </w:rPr>
        <w:t>. In general income losses from the crops sector are higher than in the livestock sector</w:t>
      </w:r>
      <w:r w:rsidR="006218A2" w:rsidRPr="005B4339">
        <w:rPr>
          <w:rFonts w:ascii="Times New Roman" w:hAnsi="Times New Roman"/>
          <w:noProof/>
          <w:sz w:val="24"/>
          <w:szCs w:val="24"/>
          <w:lang w:val="en-IE"/>
        </w:rPr>
        <w:t xml:space="preserve"> </w:t>
      </w:r>
      <w:r w:rsidR="006218A2" w:rsidRPr="005B4339">
        <w:rPr>
          <w:rStyle w:val="normaltextrun"/>
          <w:rFonts w:ascii="Times New Roman" w:hAnsi="Times New Roman"/>
          <w:noProof/>
          <w:color w:val="000000"/>
          <w:sz w:val="24"/>
          <w:shd w:val="clear" w:color="auto" w:fill="FFFFFF"/>
          <w:lang w:val="en-IE"/>
        </w:rPr>
        <w:t>due to the higher share of fruit, vegetables and cereals in total food waste</w:t>
      </w:r>
      <w:r w:rsidR="006218A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Option 1 leads to a decrease </w:t>
      </w:r>
      <w:r w:rsidR="00704C7A" w:rsidRPr="005B4339">
        <w:rPr>
          <w:rFonts w:ascii="Times New Roman" w:hAnsi="Times New Roman"/>
          <w:noProof/>
          <w:sz w:val="24"/>
          <w:szCs w:val="24"/>
          <w:lang w:val="en-IE"/>
        </w:rPr>
        <w:t>of</w:t>
      </w:r>
      <w:r w:rsidRPr="005B4339">
        <w:rPr>
          <w:rFonts w:ascii="Times New Roman" w:hAnsi="Times New Roman"/>
          <w:noProof/>
          <w:sz w:val="24"/>
          <w:szCs w:val="24"/>
          <w:lang w:val="en-IE"/>
        </w:rPr>
        <w:t xml:space="preserve"> around EUR 2.2 billion in farmers’ income from crops and livestock farming</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whereas in Option 3 this decrease is higher with EUR 7 billion</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corresponds to a decrease of 3.5%. The income in the total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sector (including food processing but not including food services) could experience in the EU a limited decrease of about 3.6% in the most ambitious scenario (about 4.7% including food services).</w:t>
      </w:r>
    </w:p>
    <w:p w14:paraId="72CCFD40" w14:textId="13283B85" w:rsidR="003874F8" w:rsidRPr="005B4339" w:rsidRDefault="00E36262" w:rsidP="003B6050">
      <w:pPr>
        <w:pStyle w:val="JRCFigurecaption"/>
        <w:rPr>
          <w:noProof/>
          <w:lang w:val="en-IE"/>
        </w:rPr>
      </w:pPr>
      <w:bookmarkStart w:id="678" w:name="_Ref133501248"/>
      <w:bookmarkStart w:id="679" w:name="_Toc139031995"/>
      <w:r w:rsidRPr="005B4339">
        <w:rPr>
          <w:noProof/>
          <w:lang w:val="en-IE"/>
        </w:rPr>
        <w:t xml:space="preserve">Figure </w:t>
      </w:r>
      <w:r w:rsidR="00393DFA">
        <w:rPr>
          <w:noProof/>
          <w:lang w:val="en-IE"/>
        </w:rPr>
        <w:t>59</w:t>
      </w:r>
      <w:bookmarkEnd w:id="678"/>
      <w:r w:rsidR="003874F8" w:rsidRPr="005B4339">
        <w:rPr>
          <w:noProof/>
          <w:lang w:val="en-IE"/>
        </w:rPr>
        <w:t xml:space="preserve">: Change deviation in farm income (primary agriculture) EU27, </w:t>
      </w:r>
      <w:r w:rsidR="008B7574" w:rsidRPr="005B4339">
        <w:rPr>
          <w:noProof/>
          <w:lang w:val="en-IE"/>
        </w:rPr>
        <w:t xml:space="preserve">options </w:t>
      </w:r>
      <w:r w:rsidR="003874F8" w:rsidRPr="005B4339">
        <w:rPr>
          <w:noProof/>
          <w:lang w:val="en-IE"/>
        </w:rPr>
        <w:t>vs baseline 2030</w:t>
      </w:r>
      <w:bookmarkEnd w:id="679"/>
    </w:p>
    <w:p w14:paraId="14444822" w14:textId="144F1764" w:rsidR="00794505" w:rsidRPr="005B4339" w:rsidRDefault="004928CC" w:rsidP="00794505">
      <w:pPr>
        <w:pStyle w:val="JRCText"/>
        <w:rPr>
          <w:rFonts w:ascii="Times New Roman" w:hAnsi="Times New Roman"/>
          <w:noProof/>
          <w:sz w:val="24"/>
          <w:szCs w:val="24"/>
          <w:lang w:val="en-IE"/>
        </w:rPr>
      </w:pPr>
      <w:r w:rsidRPr="004928CC">
        <w:drawing>
          <wp:inline distT="0" distB="0" distL="0" distR="0" wp14:anchorId="74324CDC" wp14:editId="184B1AC8">
            <wp:extent cx="4657725" cy="2257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57725" cy="2257425"/>
                    </a:xfrm>
                    <a:prstGeom prst="rect">
                      <a:avLst/>
                    </a:prstGeom>
                    <a:noFill/>
                    <a:ln>
                      <a:noFill/>
                    </a:ln>
                  </pic:spPr>
                </pic:pic>
              </a:graphicData>
            </a:graphic>
          </wp:inline>
        </w:drawing>
      </w:r>
    </w:p>
    <w:p w14:paraId="22473E22" w14:textId="77777777" w:rsidR="00794505" w:rsidRPr="005B4339" w:rsidRDefault="00794505" w:rsidP="00F54798">
      <w:pPr>
        <w:pStyle w:val="JRCFiguresource"/>
        <w:rPr>
          <w:noProof/>
          <w:lang w:val="en-IE"/>
        </w:rPr>
      </w:pPr>
      <w:r w:rsidRPr="005B4339">
        <w:rPr>
          <w:noProof/>
          <w:lang w:val="en-IE"/>
        </w:rPr>
        <w:t>Source: MAGNET simulation results</w:t>
      </w:r>
    </w:p>
    <w:p w14:paraId="22276FA7" w14:textId="1A816F73" w:rsidR="00794505" w:rsidRPr="005B4339" w:rsidRDefault="003874F8" w:rsidP="00794505">
      <w:pPr>
        <w:pStyle w:val="JRCText"/>
        <w:rPr>
          <w:rFonts w:ascii="Times New Roman" w:hAnsi="Times New Roman"/>
          <w:noProof/>
          <w:sz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_Ref133501179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60</w:t>
      </w:r>
      <w:r w:rsidRPr="005B4339">
        <w:rPr>
          <w:rFonts w:ascii="Times New Roman" w:hAnsi="Times New Roman"/>
          <w:noProof/>
          <w:sz w:val="24"/>
          <w:szCs w:val="24"/>
          <w:lang w:val="en-IE"/>
        </w:rPr>
        <w:fldChar w:fldCharType="end"/>
      </w:r>
      <w:r w:rsidR="00794505" w:rsidRPr="005B4339">
        <w:rPr>
          <w:rFonts w:ascii="Times New Roman" w:hAnsi="Times New Roman"/>
          <w:noProof/>
          <w:sz w:val="24"/>
          <w:lang w:val="en-IE"/>
        </w:rPr>
        <w:t xml:space="preserve"> depicts the change in the farm income for the maximum target scenario</w:t>
      </w:r>
      <w:r w:rsidR="00E36262" w:rsidRPr="005B4339">
        <w:rPr>
          <w:rFonts w:ascii="Times New Roman" w:hAnsi="Times New Roman"/>
          <w:noProof/>
          <w:sz w:val="24"/>
          <w:lang w:val="en-IE"/>
        </w:rPr>
        <w:t>,</w:t>
      </w:r>
      <w:r w:rsidR="00794505" w:rsidRPr="005B4339">
        <w:rPr>
          <w:rFonts w:ascii="Times New Roman" w:hAnsi="Times New Roman"/>
          <w:noProof/>
          <w:sz w:val="24"/>
          <w:lang w:val="en-IE"/>
        </w:rPr>
        <w:t xml:space="preserve"> Option 3</w:t>
      </w:r>
      <w:r w:rsidR="00E36262" w:rsidRPr="005B4339">
        <w:rPr>
          <w:rFonts w:ascii="Times New Roman" w:hAnsi="Times New Roman"/>
          <w:noProof/>
          <w:sz w:val="24"/>
          <w:lang w:val="en-IE"/>
        </w:rPr>
        <w:t>,</w:t>
      </w:r>
      <w:r w:rsidR="00794505" w:rsidRPr="005B4339">
        <w:rPr>
          <w:rFonts w:ascii="Times New Roman" w:hAnsi="Times New Roman"/>
          <w:noProof/>
          <w:sz w:val="24"/>
          <w:lang w:val="en-IE"/>
        </w:rPr>
        <w:t xml:space="preserve"> with respect to the baseline at the M</w:t>
      </w:r>
      <w:r w:rsidR="00704C7A" w:rsidRPr="005B4339">
        <w:rPr>
          <w:rFonts w:ascii="Times New Roman" w:hAnsi="Times New Roman"/>
          <w:noProof/>
          <w:sz w:val="24"/>
          <w:lang w:val="en-IE"/>
        </w:rPr>
        <w:t>ember State</w:t>
      </w:r>
      <w:r w:rsidR="00794505" w:rsidRPr="005B4339">
        <w:rPr>
          <w:rFonts w:ascii="Times New Roman" w:hAnsi="Times New Roman"/>
          <w:noProof/>
          <w:sz w:val="24"/>
          <w:lang w:val="en-IE"/>
        </w:rPr>
        <w:t xml:space="preserve"> level.  At the M</w:t>
      </w:r>
      <w:r w:rsidR="00704C7A" w:rsidRPr="005B4339">
        <w:rPr>
          <w:rFonts w:ascii="Times New Roman" w:hAnsi="Times New Roman"/>
          <w:noProof/>
          <w:sz w:val="24"/>
          <w:lang w:val="en-IE"/>
        </w:rPr>
        <w:t>ember State</w:t>
      </w:r>
      <w:r w:rsidR="00794505" w:rsidRPr="005B4339">
        <w:rPr>
          <w:rFonts w:ascii="Times New Roman" w:hAnsi="Times New Roman"/>
          <w:noProof/>
          <w:sz w:val="24"/>
          <w:lang w:val="en-IE"/>
        </w:rPr>
        <w:t xml:space="preserve"> level</w:t>
      </w:r>
      <w:r w:rsidR="00E36262" w:rsidRPr="005B4339">
        <w:rPr>
          <w:rFonts w:ascii="Times New Roman" w:hAnsi="Times New Roman"/>
          <w:noProof/>
          <w:sz w:val="24"/>
          <w:lang w:val="en-IE"/>
        </w:rPr>
        <w:t>,</w:t>
      </w:r>
      <w:r w:rsidR="00794505" w:rsidRPr="005B4339">
        <w:rPr>
          <w:rFonts w:ascii="Times New Roman" w:hAnsi="Times New Roman"/>
          <w:noProof/>
          <w:sz w:val="24"/>
          <w:lang w:val="en-IE"/>
        </w:rPr>
        <w:t xml:space="preserve"> we see differences</w:t>
      </w:r>
      <w:r w:rsidR="0099430A" w:rsidRPr="005B4339">
        <w:rPr>
          <w:rFonts w:ascii="Times New Roman" w:hAnsi="Times New Roman"/>
          <w:noProof/>
          <w:sz w:val="24"/>
          <w:lang w:val="en-IE"/>
        </w:rPr>
        <w:t xml:space="preserve"> </w:t>
      </w:r>
      <w:r w:rsidR="00794505" w:rsidRPr="005B4339">
        <w:rPr>
          <w:rFonts w:ascii="Times New Roman" w:hAnsi="Times New Roman"/>
          <w:noProof/>
          <w:sz w:val="24"/>
          <w:lang w:val="en-IE"/>
        </w:rPr>
        <w:t>where France</w:t>
      </w:r>
      <w:r w:rsidR="00E36262" w:rsidRPr="005B4339">
        <w:rPr>
          <w:rFonts w:ascii="Times New Roman" w:hAnsi="Times New Roman"/>
          <w:noProof/>
          <w:sz w:val="24"/>
          <w:lang w:val="en-IE"/>
        </w:rPr>
        <w:t>,</w:t>
      </w:r>
      <w:r w:rsidR="00794505" w:rsidRPr="005B4339">
        <w:rPr>
          <w:rFonts w:ascii="Times New Roman" w:hAnsi="Times New Roman"/>
          <w:noProof/>
          <w:sz w:val="24"/>
          <w:lang w:val="en-IE"/>
        </w:rPr>
        <w:t xml:space="preserve"> Germany and Italy show the highest losses in absolute terms. It should be noted that the losses in the food sector are in general compensated by additional income in non-food sectors.</w:t>
      </w:r>
    </w:p>
    <w:p w14:paraId="31CFB116" w14:textId="116A2969" w:rsidR="003874F8" w:rsidRPr="005B4339" w:rsidRDefault="003874F8" w:rsidP="003B6050">
      <w:pPr>
        <w:pStyle w:val="JRCFigurecaption"/>
        <w:rPr>
          <w:noProof/>
          <w:lang w:val="en-IE"/>
        </w:rPr>
      </w:pPr>
      <w:bookmarkStart w:id="680" w:name="_Ref133501179"/>
      <w:bookmarkStart w:id="681" w:name="_Toc139031996"/>
      <w:r w:rsidRPr="005B4339">
        <w:rPr>
          <w:noProof/>
          <w:lang w:val="en-IE"/>
        </w:rPr>
        <w:t xml:space="preserve">Figure </w:t>
      </w:r>
      <w:r w:rsidR="00393DFA">
        <w:rPr>
          <w:noProof/>
          <w:lang w:val="en-IE"/>
        </w:rPr>
        <w:t>60</w:t>
      </w:r>
      <w:bookmarkEnd w:id="680"/>
      <w:r w:rsidRPr="005B4339">
        <w:rPr>
          <w:noProof/>
          <w:lang w:val="en-IE"/>
        </w:rPr>
        <w:t>: Change deviation in farm income (primary agriculture), Option 3 vs baseline 2030</w:t>
      </w:r>
      <w:bookmarkEnd w:id="681"/>
    </w:p>
    <w:p w14:paraId="5DF31037" w14:textId="34335551" w:rsidR="00794505" w:rsidRPr="005B4339" w:rsidRDefault="007E70A7" w:rsidP="00794505">
      <w:pPr>
        <w:pStyle w:val="JRCText"/>
        <w:rPr>
          <w:rFonts w:ascii="Times New Roman" w:hAnsi="Times New Roman"/>
          <w:noProof/>
          <w:sz w:val="24"/>
          <w:szCs w:val="24"/>
          <w:lang w:val="en-IE"/>
        </w:rPr>
      </w:pPr>
      <w:r w:rsidRPr="005B4339">
        <w:rPr>
          <w:rFonts w:ascii="Times New Roman" w:hAnsi="Times New Roman"/>
          <w:noProof/>
          <w:color w:val="2B579A"/>
          <w:sz w:val="24"/>
          <w:shd w:val="clear" w:color="auto" w:fill="E6E6E6"/>
          <w:lang w:val="en-IE" w:eastAsia="en-GB"/>
        </w:rPr>
        <w:lastRenderedPageBreak/>
        <w:t xml:space="preserve"> </w:t>
      </w:r>
      <w:r w:rsidR="004928CC" w:rsidRPr="004928CC">
        <w:drawing>
          <wp:inline distT="0" distB="0" distL="0" distR="0" wp14:anchorId="29EB90D2" wp14:editId="36CD2030">
            <wp:extent cx="5731510" cy="295148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951480"/>
                    </a:xfrm>
                    <a:prstGeom prst="rect">
                      <a:avLst/>
                    </a:prstGeom>
                    <a:noFill/>
                    <a:ln>
                      <a:noFill/>
                    </a:ln>
                  </pic:spPr>
                </pic:pic>
              </a:graphicData>
            </a:graphic>
          </wp:inline>
        </w:drawing>
      </w:r>
    </w:p>
    <w:p w14:paraId="3B402571" w14:textId="77777777" w:rsidR="00794505" w:rsidRPr="005B4339" w:rsidRDefault="00794505" w:rsidP="00F54798">
      <w:pPr>
        <w:pStyle w:val="JRCFiguresource"/>
        <w:rPr>
          <w:noProof/>
          <w:lang w:val="en-IE"/>
        </w:rPr>
      </w:pPr>
      <w:r w:rsidRPr="005B4339">
        <w:rPr>
          <w:noProof/>
          <w:lang w:val="en-IE"/>
        </w:rPr>
        <w:t>Source: MAGNET simulation results</w:t>
      </w:r>
    </w:p>
    <w:p w14:paraId="26E93DA3" w14:textId="2EF0D673"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Regarding income changes for processed food and the food service sector</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r w:rsidR="00BF2036" w:rsidRPr="005B4339">
        <w:rPr>
          <w:rFonts w:ascii="Times New Roman" w:hAnsi="Times New Roman"/>
          <w:noProof/>
          <w:sz w:val="24"/>
          <w:szCs w:val="24"/>
          <w:lang w:val="en-IE"/>
        </w:rPr>
        <w:t xml:space="preserve">the </w:t>
      </w:r>
      <w:r w:rsidRPr="005B4339">
        <w:rPr>
          <w:rFonts w:ascii="Times New Roman" w:hAnsi="Times New Roman"/>
          <w:noProof/>
          <w:sz w:val="24"/>
          <w:szCs w:val="24"/>
          <w:lang w:val="en-IE"/>
        </w:rPr>
        <w:t xml:space="preserve">highest income losses due to food waste reduction come from the food service sector (6% reduction at the EU level in Option 3). </w:t>
      </w:r>
      <w:r w:rsidR="003874F8" w:rsidRPr="005B4339">
        <w:rPr>
          <w:rFonts w:ascii="Times New Roman" w:hAnsi="Times New Roman"/>
          <w:noProof/>
          <w:sz w:val="24"/>
          <w:szCs w:val="24"/>
          <w:lang w:val="en-IE"/>
        </w:rPr>
        <w:fldChar w:fldCharType="begin"/>
      </w:r>
      <w:r w:rsidR="003874F8" w:rsidRPr="005B4339">
        <w:rPr>
          <w:rFonts w:ascii="Times New Roman" w:hAnsi="Times New Roman"/>
          <w:noProof/>
          <w:sz w:val="24"/>
          <w:szCs w:val="24"/>
          <w:lang w:val="en-IE"/>
        </w:rPr>
        <w:instrText xml:space="preserve"> REF _Ref133501212 \h  \* MERGEFORMAT </w:instrText>
      </w:r>
      <w:r w:rsidR="003874F8" w:rsidRPr="005B4339">
        <w:rPr>
          <w:rFonts w:ascii="Times New Roman" w:hAnsi="Times New Roman"/>
          <w:noProof/>
          <w:sz w:val="24"/>
          <w:szCs w:val="24"/>
          <w:lang w:val="en-IE"/>
        </w:rPr>
      </w:r>
      <w:r w:rsidR="003874F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61</w:t>
      </w:r>
      <w:r w:rsidR="003874F8"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shows the change deviations per MS. Similarly to primary agriculture</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highest changes are observed in France</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Germany</w:t>
      </w:r>
      <w:r w:rsidR="00E3626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Italy and Spain. </w:t>
      </w:r>
    </w:p>
    <w:p w14:paraId="07B85ECA" w14:textId="545ADDDA" w:rsidR="003874F8" w:rsidRPr="005B4339" w:rsidRDefault="003874F8" w:rsidP="003B6050">
      <w:pPr>
        <w:pStyle w:val="JRCFigurecaption"/>
        <w:rPr>
          <w:noProof/>
          <w:lang w:val="en-IE"/>
        </w:rPr>
      </w:pPr>
      <w:bookmarkStart w:id="682" w:name="_Ref133501212"/>
      <w:bookmarkStart w:id="683" w:name="_Toc139031997"/>
      <w:r w:rsidRPr="005B4339">
        <w:rPr>
          <w:noProof/>
          <w:lang w:val="en-IE"/>
        </w:rPr>
        <w:t xml:space="preserve">Figure </w:t>
      </w:r>
      <w:r w:rsidR="00393DFA">
        <w:rPr>
          <w:noProof/>
          <w:lang w:val="en-IE"/>
        </w:rPr>
        <w:t>61</w:t>
      </w:r>
      <w:bookmarkEnd w:id="682"/>
      <w:r w:rsidRPr="005B4339">
        <w:rPr>
          <w:noProof/>
          <w:lang w:val="en-IE"/>
        </w:rPr>
        <w:t>: Change deviation in income (food sector), advanced Option 3 vs baseline 2030</w:t>
      </w:r>
      <w:bookmarkEnd w:id="683"/>
    </w:p>
    <w:p w14:paraId="293F988A" w14:textId="77777777" w:rsidR="003874F8" w:rsidRPr="005B4339" w:rsidRDefault="003874F8" w:rsidP="00794505">
      <w:pPr>
        <w:pStyle w:val="JRCText"/>
        <w:rPr>
          <w:rFonts w:ascii="Times New Roman" w:hAnsi="Times New Roman"/>
          <w:noProof/>
          <w:sz w:val="24"/>
          <w:szCs w:val="24"/>
          <w:lang w:val="en-IE"/>
        </w:rPr>
      </w:pPr>
    </w:p>
    <w:p w14:paraId="5CEE6B08" w14:textId="095F170D" w:rsidR="00794505" w:rsidRPr="005B4339" w:rsidRDefault="004928CC" w:rsidP="00794505">
      <w:pPr>
        <w:pStyle w:val="JRCText"/>
        <w:rPr>
          <w:rFonts w:ascii="Times New Roman" w:hAnsi="Times New Roman"/>
          <w:noProof/>
          <w:sz w:val="24"/>
          <w:szCs w:val="24"/>
          <w:lang w:val="en-IE"/>
        </w:rPr>
      </w:pPr>
      <w:r w:rsidRPr="004928CC">
        <w:drawing>
          <wp:inline distT="0" distB="0" distL="0" distR="0" wp14:anchorId="3B6A92B9" wp14:editId="204BF081">
            <wp:extent cx="5731510" cy="29514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951480"/>
                    </a:xfrm>
                    <a:prstGeom prst="rect">
                      <a:avLst/>
                    </a:prstGeom>
                    <a:noFill/>
                    <a:ln>
                      <a:noFill/>
                    </a:ln>
                  </pic:spPr>
                </pic:pic>
              </a:graphicData>
            </a:graphic>
          </wp:inline>
        </w:drawing>
      </w:r>
    </w:p>
    <w:p w14:paraId="59C92731" w14:textId="77777777" w:rsidR="00794505" w:rsidRPr="005B4339" w:rsidRDefault="00794505" w:rsidP="00F54798">
      <w:pPr>
        <w:pStyle w:val="JRCFiguresource"/>
        <w:rPr>
          <w:noProof/>
          <w:lang w:val="en-IE"/>
        </w:rPr>
      </w:pPr>
      <w:r w:rsidRPr="005B4339">
        <w:rPr>
          <w:noProof/>
          <w:lang w:val="en-IE"/>
        </w:rPr>
        <w:t>Source: MAGNET simulation results</w:t>
      </w:r>
    </w:p>
    <w:p w14:paraId="0A0732F9" w14:textId="581280AF" w:rsidR="001949BC" w:rsidRPr="005B4339" w:rsidRDefault="001949BC" w:rsidP="001949BC">
      <w:pPr>
        <w:pStyle w:val="JRCText"/>
        <w:rPr>
          <w:rStyle w:val="normaltextrun"/>
          <w:noProof/>
          <w:color w:val="000000"/>
          <w:sz w:val="24"/>
          <w:szCs w:val="24"/>
          <w:shd w:val="clear" w:color="auto" w:fill="FFFFFF"/>
          <w:lang w:val="en-IE"/>
        </w:rPr>
      </w:pPr>
      <w:r w:rsidRPr="005B4339">
        <w:rPr>
          <w:rStyle w:val="normaltextrun"/>
          <w:rFonts w:ascii="Times New Roman" w:hAnsi="Times New Roman"/>
          <w:noProof/>
          <w:color w:val="000000"/>
          <w:sz w:val="24"/>
          <w:szCs w:val="24"/>
          <w:shd w:val="clear" w:color="auto" w:fill="FFFFFF"/>
          <w:lang w:val="en-IE"/>
        </w:rPr>
        <w:t>It should be noted that the model does not take into account possible developments in production systems and consumption habits</w:t>
      </w:r>
      <w:r w:rsidRPr="005B4339">
        <w:rPr>
          <w:rStyle w:val="superscript"/>
          <w:rFonts w:ascii="Times New Roman" w:hAnsi="Times New Roman"/>
          <w:noProof/>
          <w:color w:val="000000"/>
          <w:sz w:val="24"/>
          <w:szCs w:val="24"/>
          <w:shd w:val="clear" w:color="auto" w:fill="FFFFFF"/>
          <w:vertAlign w:val="superscript"/>
          <w:lang w:val="en-IE"/>
        </w:rPr>
        <w:t>171</w:t>
      </w:r>
      <w:r w:rsidRPr="005B4339">
        <w:rPr>
          <w:rStyle w:val="normaltextrun"/>
          <w:rFonts w:ascii="Times New Roman" w:hAnsi="Times New Roman"/>
          <w:noProof/>
          <w:color w:val="000000"/>
          <w:sz w:val="24"/>
          <w:szCs w:val="24"/>
          <w:shd w:val="clear" w:color="auto" w:fill="FFFFFF"/>
          <w:lang w:val="en-IE"/>
        </w:rPr>
        <w:t xml:space="preserve"> linked to the transition to sustainable food systems, which could trigger needs for new products and/or services (e.g., shift to organic </w:t>
      </w:r>
      <w:r w:rsidRPr="005B4339">
        <w:rPr>
          <w:rStyle w:val="normaltextrun"/>
          <w:rFonts w:ascii="Times New Roman" w:hAnsi="Times New Roman"/>
          <w:noProof/>
          <w:color w:val="000000"/>
          <w:sz w:val="24"/>
          <w:szCs w:val="24"/>
          <w:shd w:val="clear" w:color="auto" w:fill="FFFFFF"/>
          <w:lang w:val="en-IE"/>
        </w:rPr>
        <w:lastRenderedPageBreak/>
        <w:t>farming which generates higher income</w:t>
      </w:r>
      <w:r w:rsidR="0055135F" w:rsidRPr="005B4339">
        <w:rPr>
          <w:rStyle w:val="normaltextrun"/>
          <w:rFonts w:ascii="Times New Roman" w:hAnsi="Times New Roman"/>
          <w:noProof/>
          <w:color w:val="000000"/>
          <w:sz w:val="24"/>
          <w:szCs w:val="24"/>
          <w:shd w:val="clear" w:color="auto" w:fill="FFFFFF"/>
          <w:lang w:val="en-IE"/>
        </w:rPr>
        <w:t>)</w:t>
      </w:r>
      <w:r w:rsidRPr="005B4339">
        <w:rPr>
          <w:rStyle w:val="normaltextrun"/>
          <w:rFonts w:ascii="Times New Roman" w:hAnsi="Times New Roman"/>
          <w:noProof/>
          <w:color w:val="000000"/>
          <w:sz w:val="24"/>
          <w:szCs w:val="24"/>
          <w:shd w:val="clear" w:color="auto" w:fill="FFFFFF"/>
          <w:lang w:val="en-IE"/>
        </w:rPr>
        <w:t>. For this reason, the numbers above should be treated rather as a worst-case scenario. </w:t>
      </w:r>
    </w:p>
    <w:p w14:paraId="14F15E4B" w14:textId="6A8DD4B0" w:rsidR="00794505" w:rsidRPr="005B4339" w:rsidRDefault="00794505">
      <w:pPr>
        <w:pStyle w:val="JRCLevel-3title"/>
        <w:numPr>
          <w:ilvl w:val="2"/>
          <w:numId w:val="161"/>
        </w:numPr>
        <w:rPr>
          <w:rFonts w:ascii="Times New Roman" w:hAnsi="Times New Roman"/>
          <w:noProof/>
          <w:sz w:val="24"/>
          <w:lang w:val="en-IE"/>
        </w:rPr>
      </w:pPr>
      <w:bookmarkStart w:id="684" w:name="_Toc133915246"/>
      <w:bookmarkStart w:id="685" w:name="_Toc122604032"/>
      <w:bookmarkStart w:id="686" w:name="_Toc122613120"/>
      <w:bookmarkStart w:id="687" w:name="_Toc125109509"/>
      <w:bookmarkStart w:id="688" w:name="_Toc140545858"/>
      <w:bookmarkStart w:id="689" w:name="_Toc1872570618"/>
      <w:bookmarkStart w:id="690" w:name="_Toc470170132"/>
      <w:bookmarkStart w:id="691" w:name="_Toc1039357442"/>
      <w:bookmarkStart w:id="692" w:name="_Toc569932509"/>
      <w:bookmarkStart w:id="693" w:name="_Toc1307883653"/>
      <w:bookmarkStart w:id="694" w:name="_Toc190276266"/>
      <w:bookmarkStart w:id="695" w:name="_Toc139032125"/>
      <w:bookmarkEnd w:id="684"/>
      <w:r w:rsidRPr="005B4339">
        <w:rPr>
          <w:rFonts w:ascii="Times New Roman" w:hAnsi="Times New Roman"/>
          <w:noProof/>
          <w:sz w:val="24"/>
          <w:lang w:val="en-IE"/>
        </w:rPr>
        <w:t xml:space="preserve">Food </w:t>
      </w:r>
      <w:bookmarkEnd w:id="685"/>
      <w:bookmarkEnd w:id="686"/>
      <w:bookmarkEnd w:id="687"/>
      <w:bookmarkEnd w:id="688"/>
      <w:bookmarkEnd w:id="689"/>
      <w:bookmarkEnd w:id="690"/>
      <w:bookmarkEnd w:id="691"/>
      <w:bookmarkEnd w:id="692"/>
      <w:bookmarkEnd w:id="693"/>
      <w:bookmarkEnd w:id="694"/>
      <w:r w:rsidR="001949BC" w:rsidRPr="005B4339">
        <w:rPr>
          <w:rFonts w:ascii="Times New Roman" w:hAnsi="Times New Roman"/>
          <w:noProof/>
          <w:sz w:val="24"/>
          <w:lang w:val="en-IE"/>
        </w:rPr>
        <w:t>affordability</w:t>
      </w:r>
      <w:bookmarkEnd w:id="695"/>
    </w:p>
    <w:p w14:paraId="0ABB0E69" w14:textId="2C1F4327"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val="en-IE"/>
        </w:rPr>
        <w:t>The average share of food expenditure (agri</w:t>
      </w:r>
      <w:r w:rsidR="00D42216" w:rsidRPr="005B4339">
        <w:rPr>
          <w:rFonts w:ascii="Times New Roman" w:hAnsi="Times New Roman"/>
          <w:noProof/>
          <w:sz w:val="24"/>
          <w:szCs w:val="24"/>
          <w:lang w:val="en-IE"/>
        </w:rPr>
        <w:t>-</w:t>
      </w:r>
      <w:r w:rsidRPr="005B4339">
        <w:rPr>
          <w:rFonts w:ascii="Times New Roman" w:hAnsi="Times New Roman"/>
          <w:noProof/>
          <w:sz w:val="24"/>
          <w:szCs w:val="24"/>
          <w:lang w:val="en-IE"/>
        </w:rPr>
        <w:t>food and food services) in total household expenditure in EU27 for 2020 is around 19%</w:t>
      </w:r>
      <w:r w:rsidR="002E064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is projected to decrease by around 1.5 percentage point</w:t>
      </w:r>
      <w:r w:rsidR="00F51655"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 in 2030 in the baseline as depicted in </w:t>
      </w:r>
      <w:r w:rsidR="003874F8" w:rsidRPr="005B4339">
        <w:rPr>
          <w:rFonts w:ascii="Times New Roman" w:hAnsi="Times New Roman"/>
          <w:noProof/>
          <w:sz w:val="24"/>
          <w:szCs w:val="24"/>
          <w:lang w:val="en-IE"/>
        </w:rPr>
        <w:fldChar w:fldCharType="begin"/>
      </w:r>
      <w:r w:rsidR="003874F8" w:rsidRPr="005B4339">
        <w:rPr>
          <w:rFonts w:ascii="Times New Roman" w:hAnsi="Times New Roman"/>
          <w:noProof/>
          <w:sz w:val="24"/>
          <w:szCs w:val="24"/>
          <w:lang w:val="en-IE"/>
        </w:rPr>
        <w:instrText xml:space="preserve"> REF _Ref133501448 \h  \* MERGEFORMAT </w:instrText>
      </w:r>
      <w:r w:rsidR="003874F8" w:rsidRPr="005B4339">
        <w:rPr>
          <w:rFonts w:ascii="Times New Roman" w:hAnsi="Times New Roman"/>
          <w:noProof/>
          <w:sz w:val="24"/>
          <w:szCs w:val="24"/>
          <w:lang w:val="en-IE"/>
        </w:rPr>
      </w:r>
      <w:r w:rsidR="003874F8"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62</w:t>
      </w:r>
      <w:r w:rsidR="003874F8"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This result is because as personal disposal incomes grow</w:t>
      </w:r>
      <w:r w:rsidR="002E064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non-food demands in developed societies grow faster than food demands (Engel’s Law). The extent of this share differs across M</w:t>
      </w:r>
      <w:r w:rsidR="008F7DDD" w:rsidRPr="005B4339">
        <w:rPr>
          <w:rFonts w:ascii="Times New Roman" w:hAnsi="Times New Roman"/>
          <w:noProof/>
          <w:sz w:val="24"/>
          <w:szCs w:val="24"/>
          <w:lang w:val="en-IE"/>
        </w:rPr>
        <w:t>ember States</w:t>
      </w:r>
      <w:r w:rsidR="002E064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where typically those countries with lower per capita disposable incomes exhibit higher food budget shares.</w:t>
      </w:r>
    </w:p>
    <w:p w14:paraId="54965148" w14:textId="6E9CAF09" w:rsidR="003874F8" w:rsidRPr="005B4339" w:rsidRDefault="003874F8" w:rsidP="003B6050">
      <w:pPr>
        <w:pStyle w:val="JRCFigurecaption"/>
        <w:rPr>
          <w:noProof/>
          <w:lang w:val="en-IE"/>
        </w:rPr>
      </w:pPr>
      <w:bookmarkStart w:id="696" w:name="_Ref133501448"/>
      <w:bookmarkStart w:id="697" w:name="_Toc139031998"/>
      <w:r w:rsidRPr="005B4339">
        <w:rPr>
          <w:noProof/>
          <w:lang w:val="en-IE"/>
        </w:rPr>
        <w:t xml:space="preserve">Figure </w:t>
      </w:r>
      <w:r w:rsidR="00393DFA">
        <w:rPr>
          <w:noProof/>
          <w:lang w:val="en-IE"/>
        </w:rPr>
        <w:t>62</w:t>
      </w:r>
      <w:bookmarkEnd w:id="696"/>
      <w:r w:rsidRPr="005B4339">
        <w:rPr>
          <w:noProof/>
          <w:lang w:val="en-IE"/>
        </w:rPr>
        <w:t>: Percentage share of food expenditure in total household expenditure, (Baseline 2020 and 2030)</w:t>
      </w:r>
      <w:bookmarkEnd w:id="697"/>
    </w:p>
    <w:p w14:paraId="4524773C" w14:textId="4818AFF1" w:rsidR="00794505" w:rsidRPr="005B4339" w:rsidRDefault="004928CC" w:rsidP="00794505">
      <w:pPr>
        <w:pStyle w:val="JRCText"/>
        <w:rPr>
          <w:rFonts w:ascii="Times New Roman" w:hAnsi="Times New Roman"/>
          <w:noProof/>
          <w:sz w:val="24"/>
          <w:szCs w:val="24"/>
          <w:lang w:val="en-IE"/>
        </w:rPr>
      </w:pPr>
      <w:r w:rsidRPr="004928CC">
        <w:drawing>
          <wp:inline distT="0" distB="0" distL="0" distR="0" wp14:anchorId="2D950BC7" wp14:editId="6ED0DE5C">
            <wp:extent cx="5731510" cy="20948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2094865"/>
                    </a:xfrm>
                    <a:prstGeom prst="rect">
                      <a:avLst/>
                    </a:prstGeom>
                    <a:noFill/>
                    <a:ln>
                      <a:noFill/>
                    </a:ln>
                  </pic:spPr>
                </pic:pic>
              </a:graphicData>
            </a:graphic>
          </wp:inline>
        </w:drawing>
      </w:r>
    </w:p>
    <w:p w14:paraId="2DF96EB5" w14:textId="77777777" w:rsidR="00794505" w:rsidRPr="005B4339" w:rsidRDefault="00794505" w:rsidP="00F54798">
      <w:pPr>
        <w:pStyle w:val="JRCFiguresource"/>
        <w:rPr>
          <w:noProof/>
          <w:lang w:val="en-IE"/>
        </w:rPr>
      </w:pPr>
      <w:r w:rsidRPr="005B4339">
        <w:rPr>
          <w:noProof/>
          <w:lang w:val="en-IE"/>
        </w:rPr>
        <w:t>Source: MAGNET simulation results</w:t>
      </w:r>
    </w:p>
    <w:p w14:paraId="56C19B0C" w14:textId="41871A9C" w:rsidR="008E7DEC" w:rsidRPr="005B4339" w:rsidRDefault="008E7DEC" w:rsidP="008E7DEC">
      <w:pPr>
        <w:pStyle w:val="JRCText"/>
        <w:rPr>
          <w:rFonts w:ascii="Times New Roman" w:hAnsi="Times New Roman"/>
          <w:noProof/>
          <w:sz w:val="24"/>
          <w:szCs w:val="24"/>
          <w:lang w:val="en-IE"/>
        </w:rPr>
      </w:pPr>
      <w:r w:rsidRPr="005B4339">
        <w:rPr>
          <w:rStyle w:val="normaltextrun"/>
          <w:rFonts w:ascii="Times New Roman" w:hAnsi="Times New Roman"/>
          <w:noProof/>
          <w:color w:val="000000"/>
          <w:sz w:val="24"/>
          <w:bdr w:val="none" w:sz="0" w:space="0" w:color="auto" w:frame="1"/>
          <w:lang w:val="en-IE"/>
        </w:rPr>
        <w:t>In all policy options examined, the share of food expenditure is expected to fall further, mostly because of decreased demand for food and linked food price reduction to it (</w:t>
      </w:r>
      <w:r w:rsidR="00E3402A" w:rsidRPr="005B4339">
        <w:rPr>
          <w:rStyle w:val="normaltextrun"/>
          <w:rFonts w:ascii="Times New Roman" w:hAnsi="Times New Roman"/>
          <w:noProof/>
          <w:color w:val="000000"/>
          <w:sz w:val="24"/>
          <w:szCs w:val="24"/>
          <w:bdr w:val="none" w:sz="0" w:space="0" w:color="auto" w:frame="1"/>
          <w:lang w:val="en-IE"/>
        </w:rPr>
        <w:fldChar w:fldCharType="begin"/>
      </w:r>
      <w:r w:rsidR="00E3402A" w:rsidRPr="005B4339">
        <w:rPr>
          <w:rStyle w:val="normaltextrun"/>
          <w:rFonts w:ascii="Times New Roman" w:hAnsi="Times New Roman"/>
          <w:noProof/>
          <w:color w:val="000000"/>
          <w:sz w:val="24"/>
          <w:szCs w:val="24"/>
          <w:bdr w:val="none" w:sz="0" w:space="0" w:color="auto" w:frame="1"/>
          <w:lang w:val="en-IE"/>
        </w:rPr>
        <w:instrText xml:space="preserve"> REF _Ref133921953 \h  \* MERGEFORMAT </w:instrText>
      </w:r>
      <w:r w:rsidR="00E3402A" w:rsidRPr="005B4339">
        <w:rPr>
          <w:rStyle w:val="normaltextrun"/>
          <w:rFonts w:ascii="Times New Roman" w:hAnsi="Times New Roman"/>
          <w:noProof/>
          <w:color w:val="000000"/>
          <w:sz w:val="24"/>
          <w:szCs w:val="24"/>
          <w:bdr w:val="none" w:sz="0" w:space="0" w:color="auto" w:frame="1"/>
          <w:lang w:val="en-IE"/>
        </w:rPr>
      </w:r>
      <w:r w:rsidR="00E3402A" w:rsidRPr="005B4339">
        <w:rPr>
          <w:rStyle w:val="normaltextrun"/>
          <w:rFonts w:ascii="Times New Roman" w:hAnsi="Times New Roman"/>
          <w:noProof/>
          <w:color w:val="000000"/>
          <w:sz w:val="24"/>
          <w:szCs w:val="24"/>
          <w:bdr w:val="none" w:sz="0" w:space="0" w:color="auto" w:frame="1"/>
          <w:lang w:val="en-IE"/>
        </w:rPr>
        <w:fldChar w:fldCharType="separate"/>
      </w:r>
      <w:r w:rsidR="00393DFA" w:rsidRPr="00393DFA">
        <w:rPr>
          <w:rFonts w:ascii="Times New Roman" w:hAnsi="Times New Roman"/>
          <w:noProof/>
          <w:sz w:val="24"/>
          <w:szCs w:val="24"/>
          <w:lang w:val="en-IE"/>
        </w:rPr>
        <w:t>Figure 63</w:t>
      </w:r>
      <w:r w:rsidR="00E3402A" w:rsidRPr="005B4339">
        <w:rPr>
          <w:rStyle w:val="normaltextrun"/>
          <w:rFonts w:ascii="Times New Roman" w:hAnsi="Times New Roman"/>
          <w:noProof/>
          <w:color w:val="000000"/>
          <w:sz w:val="24"/>
          <w:szCs w:val="24"/>
          <w:bdr w:val="none" w:sz="0" w:space="0" w:color="auto" w:frame="1"/>
          <w:lang w:val="en-IE"/>
        </w:rPr>
        <w:fldChar w:fldCharType="end"/>
      </w:r>
      <w:r w:rsidRPr="005B4339">
        <w:rPr>
          <w:rStyle w:val="normaltextrun"/>
          <w:rFonts w:ascii="Times New Roman" w:hAnsi="Times New Roman"/>
          <w:noProof/>
          <w:color w:val="000000"/>
          <w:sz w:val="24"/>
          <w:bdr w:val="none" w:sz="0" w:space="0" w:color="auto" w:frame="1"/>
          <w:lang w:val="en-IE"/>
        </w:rPr>
        <w:t xml:space="preserve">). Larger amounts of food waste reduction lead to higher </w:t>
      </w:r>
      <w:r w:rsidRPr="005B4339">
        <w:rPr>
          <w:rFonts w:ascii="Times New Roman" w:hAnsi="Times New Roman"/>
          <w:noProof/>
          <w:sz w:val="24"/>
          <w:szCs w:val="24"/>
          <w:lang w:val="en-IE"/>
        </w:rPr>
        <w:t xml:space="preserve">decreases in food expenditure shares of households. </w:t>
      </w:r>
      <w:r w:rsidRPr="005B4339">
        <w:rPr>
          <w:rStyle w:val="normaltextrun"/>
          <w:rFonts w:ascii="Times New Roman" w:hAnsi="Times New Roman"/>
          <w:noProof/>
          <w:color w:val="000000"/>
          <w:sz w:val="24"/>
          <w:shd w:val="clear" w:color="auto" w:fill="FFFFFF"/>
          <w:lang w:val="en-IE"/>
        </w:rPr>
        <w:t>Due to an expected decrease in food prices</w:t>
      </w:r>
      <w:r w:rsidR="005A7611" w:rsidRPr="005B4339">
        <w:rPr>
          <w:rStyle w:val="normaltextrun"/>
          <w:rFonts w:ascii="Times New Roman" w:hAnsi="Times New Roman"/>
          <w:noProof/>
          <w:color w:val="000000"/>
          <w:sz w:val="24"/>
          <w:shd w:val="clear" w:color="auto" w:fill="FFFFFF"/>
          <w:lang w:val="en-IE"/>
        </w:rPr>
        <w:t xml:space="preserve"> linked to food waste reduction</w:t>
      </w:r>
      <w:r w:rsidRPr="005B4339">
        <w:rPr>
          <w:rStyle w:val="normaltextrun"/>
          <w:rFonts w:ascii="Times New Roman" w:hAnsi="Times New Roman"/>
          <w:noProof/>
          <w:color w:val="000000"/>
          <w:sz w:val="24"/>
          <w:shd w:val="clear" w:color="auto" w:fill="FFFFFF"/>
          <w:lang w:val="en-IE"/>
        </w:rPr>
        <w:t xml:space="preserve">, and the reduced amount of food (and food services) purchased, households could save, on average, from 220 to over 720 EUR per year (depending on target levels) and spend these amounts on </w:t>
      </w:r>
      <w:r w:rsidR="006C26A7" w:rsidRPr="005B4339">
        <w:rPr>
          <w:rStyle w:val="normaltextrun"/>
          <w:rFonts w:ascii="Times New Roman" w:hAnsi="Times New Roman"/>
          <w:noProof/>
          <w:color w:val="000000"/>
          <w:sz w:val="24"/>
          <w:shd w:val="clear" w:color="auto" w:fill="FFFFFF"/>
          <w:lang w:val="en-IE"/>
        </w:rPr>
        <w:t xml:space="preserve">higher quality </w:t>
      </w:r>
      <w:r w:rsidRPr="005B4339">
        <w:rPr>
          <w:rStyle w:val="normaltextrun"/>
          <w:rFonts w:ascii="Times New Roman" w:hAnsi="Times New Roman"/>
          <w:noProof/>
          <w:color w:val="000000"/>
          <w:sz w:val="24"/>
          <w:shd w:val="clear" w:color="auto" w:fill="FFFFFF"/>
          <w:lang w:val="en-IE"/>
        </w:rPr>
        <w:t>food or other goods and services. Such savings are particularly relevant in the current context of rising food prices.</w:t>
      </w:r>
    </w:p>
    <w:p w14:paraId="1B9FB3B1" w14:textId="77777777" w:rsidR="008E7DEC" w:rsidRPr="005B4339" w:rsidRDefault="008E7DEC" w:rsidP="00C26886">
      <w:pPr>
        <w:pStyle w:val="JRCText"/>
        <w:rPr>
          <w:noProof/>
          <w:lang w:val="en-IE"/>
        </w:rPr>
      </w:pPr>
    </w:p>
    <w:p w14:paraId="6DD526E3" w14:textId="260623AD" w:rsidR="003874F8" w:rsidRPr="005B4339" w:rsidRDefault="003874F8" w:rsidP="003B6050">
      <w:pPr>
        <w:pStyle w:val="JRCFigurecaption"/>
        <w:rPr>
          <w:noProof/>
          <w:lang w:val="en-IE"/>
        </w:rPr>
      </w:pPr>
      <w:bookmarkStart w:id="698" w:name="_Ref133921953"/>
      <w:bookmarkStart w:id="699" w:name="_Toc139031999"/>
      <w:r w:rsidRPr="005B4339">
        <w:rPr>
          <w:noProof/>
          <w:lang w:val="en-IE"/>
        </w:rPr>
        <w:t xml:space="preserve">Figure </w:t>
      </w:r>
      <w:r w:rsidR="00393DFA">
        <w:rPr>
          <w:noProof/>
          <w:lang w:val="en-IE"/>
        </w:rPr>
        <w:t>63</w:t>
      </w:r>
      <w:bookmarkEnd w:id="698"/>
      <w:r w:rsidRPr="005B4339">
        <w:rPr>
          <w:noProof/>
          <w:lang w:val="en-IE"/>
        </w:rPr>
        <w:t>: Food expenditure shares and percentage change deviations in food expenditure share, options vs baseline 2030</w:t>
      </w:r>
      <w:bookmarkEnd w:id="699"/>
    </w:p>
    <w:p w14:paraId="37A6D7A9" w14:textId="77777777" w:rsidR="00794505" w:rsidRPr="005B4339" w:rsidRDefault="00794505" w:rsidP="00794505">
      <w:pPr>
        <w:pStyle w:val="JRCText"/>
        <w:rPr>
          <w:rFonts w:ascii="Times New Roman" w:hAnsi="Times New Roman"/>
          <w:noProof/>
          <w:sz w:val="24"/>
          <w:lang w:val="en-IE"/>
        </w:rPr>
      </w:pPr>
      <w:r w:rsidRPr="005B4339">
        <w:rPr>
          <w:rFonts w:ascii="Times New Roman" w:hAnsi="Times New Roman"/>
          <w:noProof/>
          <w:sz w:val="24"/>
          <w:szCs w:val="24"/>
          <w:lang w:eastAsia="en-GB"/>
        </w:rPr>
        <w:lastRenderedPageBreak/>
        <w:drawing>
          <wp:inline distT="0" distB="0" distL="0" distR="0" wp14:anchorId="1D043913" wp14:editId="460E5310">
            <wp:extent cx="5683910" cy="2849512"/>
            <wp:effectExtent l="0" t="0" r="0" b="8255"/>
            <wp:docPr id="1617598144" name="Picture 16175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91953" cy="2853544"/>
                    </a:xfrm>
                    <a:prstGeom prst="rect">
                      <a:avLst/>
                    </a:prstGeom>
                  </pic:spPr>
                </pic:pic>
              </a:graphicData>
            </a:graphic>
          </wp:inline>
        </w:drawing>
      </w:r>
    </w:p>
    <w:p w14:paraId="6900271D" w14:textId="77777777" w:rsidR="00794505" w:rsidRPr="005B4339" w:rsidRDefault="00794505" w:rsidP="00F54798">
      <w:pPr>
        <w:pStyle w:val="JRCFiguresource"/>
        <w:rPr>
          <w:noProof/>
          <w:lang w:val="en-IE"/>
        </w:rPr>
      </w:pPr>
      <w:r w:rsidRPr="005B4339">
        <w:rPr>
          <w:noProof/>
          <w:lang w:val="en-IE"/>
        </w:rPr>
        <w:t>Source: MAGNET simulation results</w:t>
      </w:r>
    </w:p>
    <w:p w14:paraId="33CBFF71" w14:textId="5892C1EA" w:rsidR="008E7DEC" w:rsidRPr="005B4339" w:rsidRDefault="00E3402A" w:rsidP="008E7DEC">
      <w:pPr>
        <w:pStyle w:val="JRCText"/>
        <w:rPr>
          <w:rFonts w:ascii="Times New Roman" w:hAnsi="Times New Roman"/>
          <w:noProof/>
          <w:sz w:val="24"/>
          <w:lang w:val="en-IE"/>
        </w:rPr>
      </w:pPr>
      <w:r w:rsidRPr="005B4339">
        <w:rPr>
          <w:rFonts w:ascii="Times New Roman" w:hAnsi="Times New Roman"/>
          <w:noProof/>
          <w:sz w:val="32"/>
          <w:szCs w:val="24"/>
          <w:lang w:val="en-IE"/>
        </w:rPr>
        <w:fldChar w:fldCharType="begin"/>
      </w:r>
      <w:r w:rsidRPr="005B4339">
        <w:rPr>
          <w:rFonts w:ascii="Times New Roman" w:hAnsi="Times New Roman"/>
          <w:noProof/>
          <w:sz w:val="32"/>
          <w:szCs w:val="24"/>
          <w:lang w:val="en-IE"/>
        </w:rPr>
        <w:instrText xml:space="preserve"> REF _Ref133493689 \h  \* MERGEFORMAT </w:instrText>
      </w:r>
      <w:r w:rsidRPr="005B4339">
        <w:rPr>
          <w:rFonts w:ascii="Times New Roman" w:hAnsi="Times New Roman"/>
          <w:noProof/>
          <w:sz w:val="32"/>
          <w:szCs w:val="24"/>
          <w:lang w:val="en-IE"/>
        </w:rPr>
      </w:r>
      <w:r w:rsidRPr="005B4339">
        <w:rPr>
          <w:rFonts w:ascii="Times New Roman" w:hAnsi="Times New Roman"/>
          <w:noProof/>
          <w:sz w:val="32"/>
          <w:szCs w:val="24"/>
          <w:lang w:val="en-IE"/>
        </w:rPr>
        <w:fldChar w:fldCharType="separate"/>
      </w:r>
      <w:r w:rsidR="00393DFA" w:rsidRPr="00393DFA">
        <w:rPr>
          <w:rFonts w:ascii="Times New Roman" w:hAnsi="Times New Roman"/>
          <w:noProof/>
          <w:sz w:val="24"/>
          <w:lang w:val="en-IE"/>
        </w:rPr>
        <w:t xml:space="preserve">Figure </w:t>
      </w:r>
      <w:r w:rsidR="00393DFA" w:rsidRPr="00393DFA">
        <w:rPr>
          <w:noProof/>
          <w:lang w:val="en-IE"/>
        </w:rPr>
        <w:t>67</w:t>
      </w:r>
      <w:r w:rsidRPr="005B4339">
        <w:rPr>
          <w:rFonts w:ascii="Times New Roman" w:hAnsi="Times New Roman"/>
          <w:noProof/>
          <w:sz w:val="32"/>
          <w:szCs w:val="24"/>
          <w:lang w:val="en-IE"/>
        </w:rPr>
        <w:fldChar w:fldCharType="end"/>
      </w:r>
      <w:r w:rsidR="008E7DEC" w:rsidRPr="005B4339">
        <w:rPr>
          <w:rFonts w:ascii="Times New Roman" w:hAnsi="Times New Roman"/>
          <w:noProof/>
          <w:sz w:val="24"/>
          <w:szCs w:val="24"/>
          <w:lang w:val="en-IE"/>
        </w:rPr>
        <w:t xml:space="preserve"> shows the M</w:t>
      </w:r>
      <w:r w:rsidR="006C26A7" w:rsidRPr="005B4339">
        <w:rPr>
          <w:rFonts w:ascii="Times New Roman" w:hAnsi="Times New Roman"/>
          <w:noProof/>
          <w:sz w:val="24"/>
          <w:szCs w:val="24"/>
          <w:lang w:val="en-IE"/>
        </w:rPr>
        <w:t>ember State-</w:t>
      </w:r>
      <w:r w:rsidR="008E7DEC" w:rsidRPr="005B4339">
        <w:rPr>
          <w:rFonts w:ascii="Times New Roman" w:hAnsi="Times New Roman"/>
          <w:noProof/>
          <w:sz w:val="24"/>
          <w:szCs w:val="24"/>
          <w:lang w:val="en-IE"/>
        </w:rPr>
        <w:t>specific data for percentage change deviations in food expenditure. In nearly all EU27 countries, Option 3 results in a decrease of over 6%. Food expenditure shares decrease the most in Slovenia, Denmark and Bulgaria (around 8%).</w:t>
      </w:r>
    </w:p>
    <w:p w14:paraId="193CDB04" w14:textId="3735D289" w:rsidR="003874F8" w:rsidRPr="005B4339" w:rsidRDefault="003874F8" w:rsidP="003B6050">
      <w:pPr>
        <w:pStyle w:val="JRCFigurecaption"/>
        <w:rPr>
          <w:noProof/>
          <w:lang w:val="en-IE"/>
        </w:rPr>
      </w:pPr>
      <w:bookmarkStart w:id="700" w:name="_Toc139032000"/>
      <w:r w:rsidRPr="005B4339">
        <w:rPr>
          <w:noProof/>
          <w:lang w:val="en-IE"/>
        </w:rPr>
        <w:t xml:space="preserve">Figure </w:t>
      </w:r>
      <w:r w:rsidR="00393DFA">
        <w:rPr>
          <w:noProof/>
          <w:lang w:val="en-IE"/>
        </w:rPr>
        <w:t>64</w:t>
      </w:r>
      <w:r w:rsidRPr="005B4339">
        <w:rPr>
          <w:noProof/>
          <w:lang w:val="en-IE"/>
        </w:rPr>
        <w:t xml:space="preserve">: Percentage change deviations in food expenditure share in total household expenditure, </w:t>
      </w:r>
      <w:r w:rsidR="00393E3F" w:rsidRPr="005B4339">
        <w:rPr>
          <w:noProof/>
          <w:lang w:val="en-IE"/>
        </w:rPr>
        <w:t xml:space="preserve">options </w:t>
      </w:r>
      <w:r w:rsidRPr="005B4339">
        <w:rPr>
          <w:noProof/>
          <w:lang w:val="en-IE"/>
        </w:rPr>
        <w:t>vs baseline 2030</w:t>
      </w:r>
      <w:bookmarkEnd w:id="700"/>
    </w:p>
    <w:p w14:paraId="1785A009" w14:textId="64A5B0C9" w:rsidR="00794505" w:rsidRPr="005B4339" w:rsidRDefault="003874F8" w:rsidP="00794505">
      <w:pPr>
        <w:pStyle w:val="JRCText"/>
        <w:rPr>
          <w:rFonts w:ascii="Times New Roman" w:hAnsi="Times New Roman"/>
          <w:noProof/>
          <w:sz w:val="24"/>
          <w:szCs w:val="24"/>
          <w:lang w:val="en-IE"/>
        </w:rPr>
      </w:pPr>
      <w:r w:rsidRPr="005B4339">
        <w:rPr>
          <w:noProof/>
          <w:lang w:val="en-IE" w:eastAsia="en-GB"/>
        </w:rPr>
        <w:t xml:space="preserve"> </w:t>
      </w:r>
      <w:r w:rsidR="004928CC" w:rsidRPr="004928CC">
        <w:drawing>
          <wp:inline distT="0" distB="0" distL="0" distR="0" wp14:anchorId="7E4A9A25" wp14:editId="0DE91DDB">
            <wp:extent cx="5731510" cy="22180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218055"/>
                    </a:xfrm>
                    <a:prstGeom prst="rect">
                      <a:avLst/>
                    </a:prstGeom>
                    <a:noFill/>
                    <a:ln>
                      <a:noFill/>
                    </a:ln>
                  </pic:spPr>
                </pic:pic>
              </a:graphicData>
            </a:graphic>
          </wp:inline>
        </w:drawing>
      </w:r>
    </w:p>
    <w:p w14:paraId="07B4036B" w14:textId="77777777" w:rsidR="00794505" w:rsidRPr="005B4339" w:rsidRDefault="00794505" w:rsidP="00F54798">
      <w:pPr>
        <w:pStyle w:val="JRCFiguresource"/>
        <w:rPr>
          <w:noProof/>
          <w:lang w:val="en-IE"/>
        </w:rPr>
      </w:pPr>
      <w:r w:rsidRPr="005B4339">
        <w:rPr>
          <w:noProof/>
          <w:lang w:val="en-IE"/>
        </w:rPr>
        <w:t>Source: MAGNET simulation results</w:t>
      </w:r>
    </w:p>
    <w:p w14:paraId="7238CDB3" w14:textId="77777777" w:rsidR="00794505" w:rsidRPr="005B4339" w:rsidRDefault="00794505" w:rsidP="00794505">
      <w:pPr>
        <w:pStyle w:val="JRCText"/>
        <w:rPr>
          <w:noProof/>
          <w:lang w:val="en-IE"/>
        </w:rPr>
      </w:pPr>
    </w:p>
    <w:p w14:paraId="083848A3" w14:textId="77777777" w:rsidR="00794505" w:rsidRPr="005B4339" w:rsidRDefault="00794505" w:rsidP="00794505">
      <w:pPr>
        <w:spacing w:after="0"/>
        <w:rPr>
          <w:b/>
          <w:noProof/>
          <w:lang w:val="en-IE"/>
        </w:rPr>
      </w:pPr>
      <w:bookmarkStart w:id="701" w:name="_Toc121146934"/>
      <w:bookmarkStart w:id="702" w:name="_Toc121153958"/>
      <w:bookmarkStart w:id="703" w:name="_Toc121414740"/>
      <w:bookmarkStart w:id="704" w:name="_Toc121415041"/>
      <w:bookmarkStart w:id="705" w:name="_Toc121752880"/>
      <w:bookmarkStart w:id="706" w:name="_Toc121753419"/>
      <w:bookmarkStart w:id="707" w:name="_Toc121755947"/>
      <w:bookmarkStart w:id="708" w:name="_Toc121763610"/>
      <w:bookmarkStart w:id="709" w:name="_Toc121771383"/>
      <w:r w:rsidRPr="005B4339">
        <w:rPr>
          <w:noProof/>
          <w:lang w:val="en-IE"/>
        </w:rPr>
        <w:br w:type="page"/>
      </w:r>
    </w:p>
    <w:p w14:paraId="72474B63" w14:textId="74C931BA" w:rsidR="00794505" w:rsidRPr="005B4339" w:rsidRDefault="00794505">
      <w:pPr>
        <w:pStyle w:val="JRCLevel-2title"/>
        <w:numPr>
          <w:ilvl w:val="1"/>
          <w:numId w:val="161"/>
        </w:numPr>
        <w:rPr>
          <w:rFonts w:ascii="Times New Roman" w:hAnsi="Times New Roman"/>
          <w:noProof/>
          <w:lang w:val="en-IE"/>
        </w:rPr>
      </w:pPr>
      <w:bookmarkStart w:id="710" w:name="_Toc122604038"/>
      <w:bookmarkStart w:id="711" w:name="_Toc122613126"/>
      <w:bookmarkStart w:id="712" w:name="_Toc124413262"/>
      <w:bookmarkStart w:id="713" w:name="_Toc125109510"/>
      <w:bookmarkStart w:id="714" w:name="_Toc1906693220"/>
      <w:bookmarkStart w:id="715" w:name="_Toc759907856"/>
      <w:bookmarkStart w:id="716" w:name="_Toc1307592779"/>
      <w:bookmarkStart w:id="717" w:name="_Toc1282372873"/>
      <w:bookmarkStart w:id="718" w:name="_Toc723174143"/>
      <w:bookmarkStart w:id="719" w:name="_Toc2043421243"/>
      <w:bookmarkStart w:id="720" w:name="_Toc182363575"/>
      <w:bookmarkStart w:id="721" w:name="_Toc139032126"/>
      <w:bookmarkEnd w:id="701"/>
      <w:bookmarkEnd w:id="702"/>
      <w:bookmarkEnd w:id="703"/>
      <w:bookmarkEnd w:id="704"/>
      <w:bookmarkEnd w:id="705"/>
      <w:bookmarkEnd w:id="706"/>
      <w:bookmarkEnd w:id="707"/>
      <w:bookmarkEnd w:id="708"/>
      <w:bookmarkEnd w:id="709"/>
      <w:r w:rsidRPr="005B4339">
        <w:rPr>
          <w:rFonts w:ascii="Times New Roman" w:hAnsi="Times New Roman"/>
          <w:noProof/>
          <w:lang w:val="en-IE"/>
        </w:rPr>
        <w:lastRenderedPageBreak/>
        <w:t>Other impacts</w:t>
      </w:r>
      <w:bookmarkEnd w:id="710"/>
      <w:bookmarkEnd w:id="711"/>
      <w:bookmarkEnd w:id="712"/>
      <w:bookmarkEnd w:id="713"/>
      <w:bookmarkEnd w:id="714"/>
      <w:bookmarkEnd w:id="715"/>
      <w:bookmarkEnd w:id="716"/>
      <w:bookmarkEnd w:id="717"/>
      <w:bookmarkEnd w:id="718"/>
      <w:bookmarkEnd w:id="719"/>
      <w:bookmarkEnd w:id="720"/>
      <w:bookmarkEnd w:id="721"/>
    </w:p>
    <w:p w14:paraId="3423FB51" w14:textId="74C931BA" w:rsidR="00794505" w:rsidRPr="005B4339" w:rsidRDefault="00794505">
      <w:pPr>
        <w:pStyle w:val="JRCLevel-3title"/>
        <w:numPr>
          <w:ilvl w:val="2"/>
          <w:numId w:val="161"/>
        </w:numPr>
        <w:rPr>
          <w:rFonts w:ascii="Times New Roman" w:hAnsi="Times New Roman"/>
          <w:noProof/>
          <w:sz w:val="24"/>
          <w:lang w:val="en-IE"/>
        </w:rPr>
      </w:pPr>
      <w:bookmarkStart w:id="722" w:name="_Toc125109511"/>
      <w:bookmarkStart w:id="723" w:name="_Toc785163244"/>
      <w:bookmarkStart w:id="724" w:name="_Toc996942448"/>
      <w:bookmarkStart w:id="725" w:name="_Toc22146047"/>
      <w:bookmarkStart w:id="726" w:name="_Toc1804582679"/>
      <w:bookmarkStart w:id="727" w:name="_Toc175917364"/>
      <w:bookmarkStart w:id="728" w:name="_Toc462394573"/>
      <w:bookmarkStart w:id="729" w:name="_Toc1523692638"/>
      <w:bookmarkStart w:id="730" w:name="_Toc139032127"/>
      <w:r w:rsidRPr="005B4339">
        <w:rPr>
          <w:rFonts w:ascii="Times New Roman" w:hAnsi="Times New Roman"/>
          <w:noProof/>
          <w:sz w:val="24"/>
          <w:lang w:val="en-IE"/>
        </w:rPr>
        <w:t>SDGs</w:t>
      </w:r>
      <w:bookmarkEnd w:id="722"/>
      <w:bookmarkEnd w:id="723"/>
      <w:bookmarkEnd w:id="724"/>
      <w:bookmarkEnd w:id="725"/>
      <w:bookmarkEnd w:id="726"/>
      <w:bookmarkEnd w:id="727"/>
      <w:bookmarkEnd w:id="728"/>
      <w:bookmarkEnd w:id="729"/>
      <w:bookmarkEnd w:id="730"/>
    </w:p>
    <w:p w14:paraId="0CB509BB" w14:textId="33D5F514" w:rsidR="00F522AE" w:rsidRPr="005B4339" w:rsidRDefault="00794505"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w:t>
      </w:r>
      <w:hyperlink r:id="rId112" w:history="1">
        <w:r w:rsidRPr="005B4339">
          <w:rPr>
            <w:rStyle w:val="Hyperlink"/>
            <w:rFonts w:ascii="Times New Roman" w:hAnsi="Times New Roman"/>
            <w:noProof/>
            <w:sz w:val="24"/>
            <w:szCs w:val="24"/>
            <w:lang w:val="en-IE"/>
          </w:rPr>
          <w:t>Better Regulation TOOL #19. SUSTAINABLE DEVELOPMENT GOALS</w:t>
        </w:r>
      </w:hyperlink>
      <w:r w:rsidR="00F522AE" w:rsidRPr="005B4339">
        <w:rPr>
          <w:rFonts w:ascii="Times New Roman" w:hAnsi="Times New Roman"/>
          <w:noProof/>
          <w:sz w:val="24"/>
          <w:szCs w:val="24"/>
          <w:lang w:val="en-IE"/>
        </w:rPr>
        <w:t xml:space="preserve"> indicates: “The indicators and monitoring arrangements underpinning the SDGs can be used to describe the status quo policy objectives, expected impacts of policy options and the observed changes resulting from new policies. As such, the SDG framework is highly relevant for impact assessments and evaluations.” It further outlines “the relevant SDGs should be identified and the associated indicators should be used (if available) when preparing the following sections of the impact assessment report” (page 151). </w:t>
      </w:r>
    </w:p>
    <w:p w14:paraId="184309A7" w14:textId="77777777" w:rsidR="00F522AE" w:rsidRPr="005B4339" w:rsidRDefault="00F522AE"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Among the proposed “Tools for the analysis of SDGs” the SDGs modelling tool aims to facilitate the use of models for sustainability assessment in the SDGs framework trough the identification of appropriate model(s) for the assessment of specific policy options. The tool provides the list of all the models run or developed by the Commission and included in the Modelling Inventory and Knowledge Management System (MIDAS) and their contribution to the SDGs (at goal target and indicator level). This tool offers a transparent mapping of how model outputs can be directly or indirectly linked to EU/UN SDGs indicators, therefore screening which models could be suitable to quantitatively evaluate the impacts of policy options on SDGs targets and indicators.”</w:t>
      </w:r>
    </w:p>
    <w:p w14:paraId="5ED6006A" w14:textId="3227DF5A" w:rsidR="00F522AE" w:rsidRPr="005B4339" w:rsidRDefault="00794505"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As shown in the related report “</w:t>
      </w:r>
      <w:hyperlink r:id="rId113" w:history="1">
        <w:r w:rsidRPr="005B4339">
          <w:rPr>
            <w:rStyle w:val="Hyperlink"/>
            <w:rFonts w:ascii="Times New Roman" w:hAnsi="Times New Roman"/>
            <w:noProof/>
            <w:sz w:val="24"/>
            <w:szCs w:val="24"/>
            <w:lang w:val="en-IE"/>
          </w:rPr>
          <w:t>Modelling for Sustainable Development Goals (SDGs): Overview of JRC models</w:t>
        </w:r>
      </w:hyperlink>
      <w:r w:rsidR="00F522AE" w:rsidRPr="005B4339">
        <w:rPr>
          <w:rFonts w:ascii="Times New Roman" w:hAnsi="Times New Roman"/>
          <w:noProof/>
          <w:sz w:val="24"/>
          <w:szCs w:val="24"/>
          <w:lang w:val="en-IE"/>
        </w:rPr>
        <w:t xml:space="preserve">”, the MAGNET model is listed as one of the models with the broadest coverage of SDGs and its related indicators. </w:t>
      </w:r>
    </w:p>
    <w:p w14:paraId="110445FC" w14:textId="62788452" w:rsidR="00794505" w:rsidRPr="005B4339" w:rsidRDefault="00F522AE" w:rsidP="00794505">
      <w:pPr>
        <w:pStyle w:val="JRCText"/>
        <w:rPr>
          <w:rFonts w:ascii="Times New Roman" w:hAnsi="Times New Roman"/>
          <w:noProof/>
          <w:sz w:val="24"/>
          <w:lang w:val="en-IE"/>
        </w:rPr>
      </w:pPr>
      <w:r w:rsidRPr="005B4339">
        <w:rPr>
          <w:rFonts w:ascii="Times New Roman" w:hAnsi="Times New Roman"/>
          <w:noProof/>
          <w:sz w:val="24"/>
          <w:szCs w:val="24"/>
          <w:lang w:val="en-IE"/>
        </w:rPr>
        <w:t>Indeed,</w:t>
      </w:r>
      <w:r w:rsidR="00794505" w:rsidRPr="005B4339">
        <w:rPr>
          <w:rFonts w:ascii="Times New Roman" w:hAnsi="Times New Roman"/>
          <w:noProof/>
          <w:sz w:val="24"/>
          <w:szCs w:val="24"/>
          <w:lang w:val="en-IE"/>
        </w:rPr>
        <w:t xml:space="preserve"> over the last years</w:t>
      </w:r>
      <w:r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the MAGNET model has been further developed for this purpose and was selected by UN-DESA as one of the 16 outstanding </w:t>
      </w:r>
      <w:hyperlink r:id="rId114" w:history="1">
        <w:r w:rsidR="00794505" w:rsidRPr="005B4339">
          <w:rPr>
            <w:rStyle w:val="Hyperlink"/>
            <w:rFonts w:ascii="Times New Roman" w:hAnsi="Times New Roman"/>
            <w:noProof/>
            <w:sz w:val="24"/>
            <w:szCs w:val="24"/>
            <w:lang w:val="en-IE"/>
          </w:rPr>
          <w:t>SDG Good Practices</w:t>
        </w:r>
      </w:hyperlink>
      <w:r w:rsidR="00794505" w:rsidRPr="005B4339">
        <w:rPr>
          <w:rFonts w:ascii="Times New Roman" w:hAnsi="Times New Roman"/>
          <w:noProof/>
          <w:sz w:val="24"/>
          <w:szCs w:val="24"/>
          <w:lang w:val="en-IE"/>
        </w:rPr>
        <w:t xml:space="preserve"> across the world. The approach also features in the 2021 OECD/JRC report on “</w:t>
      </w:r>
      <w:hyperlink r:id="rId115" w:history="1">
        <w:r w:rsidR="00794505" w:rsidRPr="005B4339">
          <w:rPr>
            <w:rStyle w:val="Hyperlink"/>
            <w:rFonts w:ascii="Times New Roman" w:hAnsi="Times New Roman"/>
            <w:noProof/>
            <w:sz w:val="24"/>
            <w:szCs w:val="24"/>
            <w:lang w:val="en-IE"/>
          </w:rPr>
          <w:t>Spillovers and Transboundary Impacts of Public Policies</w:t>
        </w:r>
      </w:hyperlink>
      <w:r w:rsidR="00794505" w:rsidRPr="005B4339">
        <w:rPr>
          <w:rFonts w:ascii="Times New Roman" w:hAnsi="Times New Roman"/>
          <w:noProof/>
          <w:sz w:val="24"/>
          <w:szCs w:val="24"/>
          <w:lang w:val="en-IE"/>
        </w:rPr>
        <w:t xml:space="preserve">”. Several </w:t>
      </w:r>
      <w:hyperlink r:id="rId116" w:history="1">
        <w:r w:rsidR="00794505" w:rsidRPr="005B4339">
          <w:rPr>
            <w:rStyle w:val="Hyperlink"/>
            <w:rFonts w:ascii="Times New Roman" w:hAnsi="Times New Roman"/>
            <w:noProof/>
            <w:sz w:val="24"/>
            <w:szCs w:val="24"/>
            <w:lang w:val="en-IE"/>
          </w:rPr>
          <w:t>scientific articles</w:t>
        </w:r>
      </w:hyperlink>
      <w:r w:rsidR="00794505" w:rsidRPr="005B4339">
        <w:rPr>
          <w:rFonts w:ascii="Times New Roman" w:hAnsi="Times New Roman"/>
          <w:noProof/>
          <w:sz w:val="24"/>
          <w:szCs w:val="24"/>
          <w:lang w:val="en-IE"/>
        </w:rPr>
        <w:t xml:space="preserve"> witness the methodological developments and applications over a broad range of topics.</w:t>
      </w:r>
    </w:p>
    <w:p w14:paraId="31803A11" w14:textId="7D478DB3" w:rsidR="00F522AE" w:rsidRPr="005B4339" w:rsidRDefault="00F522AE"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figures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_Ref133493557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65</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(percentage changes in the three options) and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_Ref133493568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66</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(absolute changes) present a selection of direct or indirect SDG indicators as outcome of the MAGNET model.</w:t>
      </w:r>
    </w:p>
    <w:p w14:paraId="1F4072C6" w14:textId="6811DF39" w:rsidR="00F522AE" w:rsidRPr="005B4339" w:rsidRDefault="00F522AE"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The results of the bottom-up analysis can complement the assessment of the implications of the policy options on a number of relevant SDGs, as this analysis provides an assessment of the impact of the different policy options on additional environmental impact categories. The assessment allows to further evaluate four environmental impact categories of the Environmental Footprint (</w:t>
      </w:r>
      <w:hyperlink r:id="rId117">
        <w:r w:rsidRPr="005B4339">
          <w:rPr>
            <w:rFonts w:ascii="Times New Roman" w:hAnsi="Times New Roman"/>
            <w:noProof/>
            <w:sz w:val="24"/>
            <w:szCs w:val="24"/>
            <w:lang w:val="en-IE"/>
          </w:rPr>
          <w:t>Commission Recommendation C(2021) 9332 final</w:t>
        </w:r>
      </w:hyperlink>
      <w:r w:rsidRPr="005B4339">
        <w:rPr>
          <w:rFonts w:ascii="Times New Roman" w:hAnsi="Times New Roman"/>
          <w:noProof/>
          <w:sz w:val="24"/>
          <w:szCs w:val="24"/>
          <w:lang w:val="en-IE"/>
        </w:rPr>
        <w:t xml:space="preserve">), which are connected to a number of SDGs (Sanye-Mengual and Sala, 2022). The approach also features in the 2021 OECD/JRC report on </w:t>
      </w:r>
      <w:r w:rsidRPr="005B4339">
        <w:rPr>
          <w:noProof/>
        </w:rPr>
        <w:t>“</w:t>
      </w:r>
      <w:hyperlink r:id="rId118" w:history="1">
        <w:r w:rsidR="007C7EF8" w:rsidRPr="005B4339">
          <w:rPr>
            <w:rStyle w:val="Hyperlink"/>
            <w:rFonts w:ascii="Times New Roman" w:hAnsi="Times New Roman"/>
            <w:noProof/>
            <w:sz w:val="24"/>
            <w:szCs w:val="24"/>
            <w:lang w:val="en-IE"/>
          </w:rPr>
          <w:t>Spillovers and Transboundary Impacts of Public Policies</w:t>
        </w:r>
      </w:hyperlink>
      <w:r w:rsidRPr="005B4339">
        <w:rPr>
          <w:rFonts w:ascii="Times New Roman" w:hAnsi="Times New Roman"/>
          <w:noProof/>
          <w:sz w:val="24"/>
          <w:szCs w:val="24"/>
          <w:lang w:val="en-IE"/>
        </w:rPr>
        <w:t>”.</w:t>
      </w:r>
    </w:p>
    <w:p w14:paraId="067FCC2E" w14:textId="52CFFDEB" w:rsidR="00F522AE" w:rsidRPr="005B4339" w:rsidRDefault="00F522AE" w:rsidP="00F522AE">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For the purpose of this exercise, to reduce the complexity of the assessment, the most relevant SDG was identified for each of the four environmental impact categories considered in this analysis. The outcome is presented in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_Ref133493689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67</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(percentage changes in the three options) and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_Ref133493698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68</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(absolute changes).</w:t>
      </w:r>
    </w:p>
    <w:p w14:paraId="18F4687A" w14:textId="77777777" w:rsidR="00794505" w:rsidRPr="005B4339" w:rsidRDefault="00794505" w:rsidP="00794505">
      <w:pPr>
        <w:pStyle w:val="JRCText"/>
        <w:rPr>
          <w:rFonts w:ascii="Times New Roman" w:hAnsi="Times New Roman"/>
          <w:noProof/>
          <w:sz w:val="24"/>
          <w:lang w:val="en-IE"/>
        </w:rPr>
      </w:pPr>
    </w:p>
    <w:p w14:paraId="1A50DED9" w14:textId="2D2A3A87" w:rsidR="00F522AE" w:rsidRPr="005B4339" w:rsidRDefault="00794505" w:rsidP="003B6050">
      <w:pPr>
        <w:pStyle w:val="JRCFigurecaption"/>
        <w:rPr>
          <w:noProof/>
          <w:lang w:val="en-IE"/>
        </w:rPr>
      </w:pPr>
      <w:r w:rsidRPr="005B4339">
        <w:rPr>
          <w:noProof/>
          <w:lang w:val="en-IE"/>
        </w:rPr>
        <w:t xml:space="preserve"> </w:t>
      </w:r>
      <w:bookmarkStart w:id="731" w:name="_Ref133493557"/>
      <w:bookmarkStart w:id="732" w:name="_Toc133229390"/>
      <w:bookmarkStart w:id="733" w:name="_Toc139032001"/>
      <w:r w:rsidR="00F522AE" w:rsidRPr="005B4339">
        <w:rPr>
          <w:noProof/>
          <w:lang w:val="en-IE"/>
        </w:rPr>
        <w:t xml:space="preserve">Figure </w:t>
      </w:r>
      <w:r w:rsidR="00393DFA">
        <w:rPr>
          <w:noProof/>
        </w:rPr>
        <w:t>65</w:t>
      </w:r>
      <w:bookmarkEnd w:id="731"/>
      <w:r w:rsidR="00F522AE" w:rsidRPr="005B4339">
        <w:rPr>
          <w:noProof/>
          <w:lang w:val="en-IE"/>
        </w:rPr>
        <w:t>: Percentage changes of selected direct or indirect SDG indicators</w:t>
      </w:r>
      <w:bookmarkEnd w:id="732"/>
      <w:bookmarkEnd w:id="733"/>
      <w:r w:rsidR="00F522AE" w:rsidRPr="005B4339">
        <w:rPr>
          <w:noProof/>
          <w:lang w:val="en-IE"/>
        </w:rPr>
        <w:t xml:space="preserve"> </w:t>
      </w:r>
    </w:p>
    <w:p w14:paraId="7358BD20" w14:textId="77777777" w:rsidR="00794505" w:rsidRPr="005B4339" w:rsidRDefault="00794505" w:rsidP="00794505">
      <w:pPr>
        <w:pStyle w:val="JRCText"/>
        <w:rPr>
          <w:rFonts w:ascii="Times New Roman" w:hAnsi="Times New Roman"/>
          <w:noProof/>
          <w:sz w:val="24"/>
          <w:lang w:val="en-IE"/>
        </w:rPr>
      </w:pPr>
    </w:p>
    <w:p w14:paraId="2E5C664B" w14:textId="77777777" w:rsidR="00794505" w:rsidRPr="005B4339" w:rsidRDefault="00794505" w:rsidP="00794505">
      <w:pPr>
        <w:pStyle w:val="JRCText"/>
        <w:rPr>
          <w:rFonts w:ascii="Times New Roman" w:hAnsi="Times New Roman"/>
          <w:noProof/>
          <w:sz w:val="24"/>
          <w:szCs w:val="24"/>
          <w:lang w:val="en-IE"/>
        </w:rPr>
      </w:pPr>
      <w:r w:rsidRPr="005B4339">
        <w:rPr>
          <w:noProof/>
          <w:color w:val="2B579A"/>
          <w:shd w:val="clear" w:color="auto" w:fill="E6E6E6"/>
          <w:lang w:eastAsia="en-GB"/>
        </w:rPr>
        <w:lastRenderedPageBreak/>
        <w:drawing>
          <wp:inline distT="0" distB="0" distL="0" distR="0" wp14:anchorId="50D53A59" wp14:editId="1F2C40F9">
            <wp:extent cx="5742709" cy="6338050"/>
            <wp:effectExtent l="0" t="0" r="0" b="5715"/>
            <wp:docPr id="1617598170" name="Picture 161759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4231" r="4610"/>
                    <a:stretch/>
                  </pic:blipFill>
                  <pic:spPr bwMode="auto">
                    <a:xfrm>
                      <a:off x="0" y="0"/>
                      <a:ext cx="5751240" cy="6347465"/>
                    </a:xfrm>
                    <a:prstGeom prst="rect">
                      <a:avLst/>
                    </a:prstGeom>
                    <a:noFill/>
                    <a:ln>
                      <a:noFill/>
                    </a:ln>
                    <a:extLst>
                      <a:ext uri="{53640926-AAD7-44D8-BBD7-CCE9431645EC}">
                        <a14:shadowObscured xmlns:a14="http://schemas.microsoft.com/office/drawing/2010/main"/>
                      </a:ext>
                    </a:extLst>
                  </pic:spPr>
                </pic:pic>
              </a:graphicData>
            </a:graphic>
          </wp:inline>
        </w:drawing>
      </w:r>
    </w:p>
    <w:p w14:paraId="3B7F6C69" w14:textId="77777777" w:rsidR="00794505" w:rsidRPr="005B4339" w:rsidRDefault="00794505" w:rsidP="00794505">
      <w:pPr>
        <w:pStyle w:val="JRCFiguresource"/>
        <w:rPr>
          <w:noProof/>
          <w:lang w:val="en-IE"/>
        </w:rPr>
      </w:pPr>
      <w:r w:rsidRPr="005B4339">
        <w:rPr>
          <w:noProof/>
          <w:lang w:val="en-IE"/>
        </w:rPr>
        <w:t>Source: MAGNET simulation results</w:t>
      </w:r>
    </w:p>
    <w:p w14:paraId="41EB8143" w14:textId="45EE3740" w:rsidR="00F522AE" w:rsidRPr="005B4339" w:rsidRDefault="00F522AE" w:rsidP="003B6050">
      <w:pPr>
        <w:pStyle w:val="JRCFigurecaption"/>
        <w:rPr>
          <w:noProof/>
          <w:lang w:val="en-IE"/>
        </w:rPr>
      </w:pPr>
      <w:bookmarkStart w:id="734" w:name="_Ref133493568"/>
      <w:bookmarkStart w:id="735" w:name="_Toc133229391"/>
      <w:bookmarkStart w:id="736" w:name="_Toc139032002"/>
      <w:r w:rsidRPr="005B4339">
        <w:rPr>
          <w:noProof/>
          <w:lang w:val="en-IE"/>
        </w:rPr>
        <w:t xml:space="preserve">Figure </w:t>
      </w:r>
      <w:r w:rsidR="00393DFA">
        <w:rPr>
          <w:noProof/>
        </w:rPr>
        <w:t>66</w:t>
      </w:r>
      <w:bookmarkEnd w:id="734"/>
      <w:r w:rsidRPr="005B4339">
        <w:rPr>
          <w:noProof/>
          <w:lang w:val="en-IE"/>
        </w:rPr>
        <w:t>: Absolute changes of selected direct or indirect SDG indicators</w:t>
      </w:r>
      <w:bookmarkEnd w:id="735"/>
      <w:bookmarkEnd w:id="736"/>
      <w:r w:rsidRPr="005B4339">
        <w:rPr>
          <w:noProof/>
          <w:lang w:val="en-IE"/>
        </w:rPr>
        <w:t xml:space="preserve"> </w:t>
      </w:r>
    </w:p>
    <w:p w14:paraId="226EC64C" w14:textId="77777777" w:rsidR="00794505" w:rsidRPr="005B4339" w:rsidRDefault="00794505" w:rsidP="00794505">
      <w:pPr>
        <w:pStyle w:val="JRCText"/>
        <w:rPr>
          <w:rFonts w:ascii="Times New Roman" w:hAnsi="Times New Roman"/>
          <w:noProof/>
          <w:sz w:val="24"/>
          <w:lang w:val="en-IE"/>
        </w:rPr>
      </w:pPr>
    </w:p>
    <w:p w14:paraId="0EBA1666" w14:textId="77777777" w:rsidR="00794505" w:rsidRPr="005B4339" w:rsidRDefault="00794505" w:rsidP="00794505">
      <w:pPr>
        <w:pStyle w:val="JRCText"/>
        <w:rPr>
          <w:rFonts w:ascii="Times New Roman" w:hAnsi="Times New Roman"/>
          <w:noProof/>
          <w:sz w:val="24"/>
          <w:lang w:val="en-IE"/>
        </w:rPr>
      </w:pPr>
      <w:r w:rsidRPr="005B4339">
        <w:rPr>
          <w:noProof/>
          <w:color w:val="2B579A"/>
          <w:shd w:val="clear" w:color="auto" w:fill="E6E6E6"/>
          <w:lang w:eastAsia="en-GB"/>
        </w:rPr>
        <w:lastRenderedPageBreak/>
        <w:drawing>
          <wp:inline distT="0" distB="0" distL="0" distR="0" wp14:anchorId="7FC565B9" wp14:editId="52DC5F2B">
            <wp:extent cx="5375564" cy="5746368"/>
            <wp:effectExtent l="0" t="0" r="0" b="6985"/>
            <wp:docPr id="1617598171" name="Picture 16175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263" r="2931"/>
                    <a:stretch/>
                  </pic:blipFill>
                  <pic:spPr bwMode="auto">
                    <a:xfrm>
                      <a:off x="0" y="0"/>
                      <a:ext cx="5376443" cy="5747307"/>
                    </a:xfrm>
                    <a:prstGeom prst="rect">
                      <a:avLst/>
                    </a:prstGeom>
                    <a:noFill/>
                    <a:ln>
                      <a:noFill/>
                    </a:ln>
                    <a:extLst>
                      <a:ext uri="{53640926-AAD7-44D8-BBD7-CCE9431645EC}">
                        <a14:shadowObscured xmlns:a14="http://schemas.microsoft.com/office/drawing/2010/main"/>
                      </a:ext>
                    </a:extLst>
                  </pic:spPr>
                </pic:pic>
              </a:graphicData>
            </a:graphic>
          </wp:inline>
        </w:drawing>
      </w:r>
    </w:p>
    <w:p w14:paraId="769755E3" w14:textId="77777777" w:rsidR="00794505" w:rsidRPr="005B4339" w:rsidRDefault="00794505" w:rsidP="00794505">
      <w:pPr>
        <w:pStyle w:val="JRCFiguresource"/>
        <w:rPr>
          <w:noProof/>
          <w:lang w:val="en-IE"/>
        </w:rPr>
      </w:pPr>
      <w:r w:rsidRPr="005B4339">
        <w:rPr>
          <w:noProof/>
          <w:lang w:val="en-IE"/>
        </w:rPr>
        <w:t>Source: MAGNET simulation results</w:t>
      </w:r>
    </w:p>
    <w:p w14:paraId="5EDABB65" w14:textId="177ED612" w:rsidR="00F522AE" w:rsidRPr="005B4339" w:rsidRDefault="00F522AE" w:rsidP="003B6050">
      <w:pPr>
        <w:pStyle w:val="JRCFigurecaption"/>
        <w:rPr>
          <w:noProof/>
          <w:lang w:val="en-IE"/>
        </w:rPr>
      </w:pPr>
      <w:bookmarkStart w:id="737" w:name="_Ref133493689"/>
      <w:bookmarkStart w:id="738" w:name="_Toc133229392"/>
      <w:bookmarkStart w:id="739" w:name="_Toc139032003"/>
      <w:r w:rsidRPr="005B4339">
        <w:rPr>
          <w:noProof/>
          <w:lang w:val="en-IE"/>
        </w:rPr>
        <w:t xml:space="preserve">Figure </w:t>
      </w:r>
      <w:r w:rsidR="00393DFA">
        <w:rPr>
          <w:noProof/>
        </w:rPr>
        <w:t>67</w:t>
      </w:r>
      <w:bookmarkEnd w:id="737"/>
      <w:r w:rsidRPr="005B4339">
        <w:rPr>
          <w:noProof/>
          <w:lang w:val="en-IE"/>
        </w:rPr>
        <w:t>: Percentage changes of selected direct or indirect SDG indicators</w:t>
      </w:r>
      <w:bookmarkEnd w:id="738"/>
      <w:bookmarkEnd w:id="739"/>
      <w:r w:rsidRPr="005B4339">
        <w:rPr>
          <w:noProof/>
          <w:lang w:val="en-IE"/>
        </w:rPr>
        <w:t xml:space="preserve"> </w:t>
      </w:r>
    </w:p>
    <w:p w14:paraId="3720A5F9" w14:textId="30F59227" w:rsidR="00794505" w:rsidRPr="005B4339" w:rsidRDefault="00FF0A86" w:rsidP="00794505">
      <w:pPr>
        <w:pStyle w:val="JRCText"/>
        <w:rPr>
          <w:rFonts w:ascii="Times New Roman" w:hAnsi="Times New Roman"/>
          <w:noProof/>
          <w:sz w:val="24"/>
          <w:lang w:val="en-IE"/>
        </w:rPr>
      </w:pPr>
      <w:r w:rsidRPr="005B4339">
        <w:rPr>
          <w:noProof/>
          <w:lang w:eastAsia="en-GB"/>
        </w:rPr>
        <w:drawing>
          <wp:inline distT="0" distB="0" distL="0" distR="0" wp14:anchorId="7551BEFC" wp14:editId="176DBCC5">
            <wp:extent cx="5731510" cy="1608982"/>
            <wp:effectExtent l="0" t="0" r="2540" b="0"/>
            <wp:docPr id="210007941" name="Picture 2100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1061"/>
                    <a:stretch/>
                  </pic:blipFill>
                  <pic:spPr bwMode="auto">
                    <a:xfrm>
                      <a:off x="0" y="0"/>
                      <a:ext cx="5731510" cy="1608982"/>
                    </a:xfrm>
                    <a:prstGeom prst="rect">
                      <a:avLst/>
                    </a:prstGeom>
                    <a:ln>
                      <a:noFill/>
                    </a:ln>
                    <a:extLst>
                      <a:ext uri="{53640926-AAD7-44D8-BBD7-CCE9431645EC}">
                        <a14:shadowObscured xmlns:a14="http://schemas.microsoft.com/office/drawing/2010/main"/>
                      </a:ext>
                    </a:extLst>
                  </pic:spPr>
                </pic:pic>
              </a:graphicData>
            </a:graphic>
          </wp:inline>
        </w:drawing>
      </w:r>
    </w:p>
    <w:p w14:paraId="6A8D34F6" w14:textId="77777777" w:rsidR="00794505" w:rsidRPr="005B4339" w:rsidRDefault="00794505" w:rsidP="00794505">
      <w:pPr>
        <w:pStyle w:val="JRCFiguresource"/>
        <w:rPr>
          <w:noProof/>
          <w:lang w:val="en-IE"/>
        </w:rPr>
      </w:pPr>
      <w:r w:rsidRPr="005B4339">
        <w:rPr>
          <w:noProof/>
          <w:lang w:val="en-IE"/>
        </w:rPr>
        <w:t>Source: Bottom-up analysis</w:t>
      </w:r>
    </w:p>
    <w:p w14:paraId="30AADCA6" w14:textId="7D7C6FA9" w:rsidR="00F522AE" w:rsidRPr="005B4339" w:rsidRDefault="00F522AE" w:rsidP="003B6050">
      <w:pPr>
        <w:pStyle w:val="JRCFigurecaption"/>
        <w:rPr>
          <w:noProof/>
          <w:lang w:val="en-IE"/>
        </w:rPr>
      </w:pPr>
      <w:bookmarkStart w:id="740" w:name="_Ref133493698"/>
      <w:bookmarkStart w:id="741" w:name="_Toc133229393"/>
      <w:bookmarkStart w:id="742" w:name="_Toc139032004"/>
      <w:r w:rsidRPr="005B4339">
        <w:rPr>
          <w:noProof/>
          <w:lang w:val="en-IE"/>
        </w:rPr>
        <w:t xml:space="preserve">Figure </w:t>
      </w:r>
      <w:r w:rsidR="00393DFA">
        <w:rPr>
          <w:noProof/>
        </w:rPr>
        <w:t>68</w:t>
      </w:r>
      <w:bookmarkEnd w:id="740"/>
      <w:r w:rsidRPr="005B4339">
        <w:rPr>
          <w:noProof/>
          <w:lang w:val="en-IE"/>
        </w:rPr>
        <w:t>: Absolute changes of selected direct or indirect SDG indicators</w:t>
      </w:r>
      <w:bookmarkEnd w:id="741"/>
      <w:bookmarkEnd w:id="742"/>
      <w:r w:rsidRPr="005B4339">
        <w:rPr>
          <w:noProof/>
          <w:lang w:val="en-IE"/>
        </w:rPr>
        <w:t xml:space="preserve"> </w:t>
      </w:r>
    </w:p>
    <w:p w14:paraId="4635BBBA" w14:textId="77777777" w:rsidR="00794505" w:rsidRPr="005B4339" w:rsidRDefault="00794505" w:rsidP="00794505">
      <w:pPr>
        <w:pStyle w:val="JRCText"/>
        <w:rPr>
          <w:rFonts w:ascii="Times New Roman" w:hAnsi="Times New Roman"/>
          <w:noProof/>
          <w:sz w:val="24"/>
          <w:lang w:val="en-IE"/>
        </w:rPr>
      </w:pPr>
    </w:p>
    <w:p w14:paraId="166F99CD" w14:textId="57F4AAC6" w:rsidR="00794505" w:rsidRPr="005B4339" w:rsidRDefault="00A275FB" w:rsidP="00794505">
      <w:pPr>
        <w:pStyle w:val="JRCText"/>
        <w:rPr>
          <w:rFonts w:ascii="Times New Roman" w:hAnsi="Times New Roman"/>
          <w:noProof/>
          <w:sz w:val="24"/>
          <w:lang w:val="en-IE"/>
        </w:rPr>
      </w:pPr>
      <w:r w:rsidRPr="005B4339">
        <w:rPr>
          <w:noProof/>
          <w:lang w:eastAsia="en-GB"/>
        </w:rPr>
        <w:drawing>
          <wp:inline distT="0" distB="0" distL="0" distR="0" wp14:anchorId="74BCFDB1" wp14:editId="4108C775">
            <wp:extent cx="5731510" cy="1439545"/>
            <wp:effectExtent l="0" t="0" r="2540" b="8255"/>
            <wp:docPr id="210007942" name="Picture 21000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1510" cy="1439545"/>
                    </a:xfrm>
                    <a:prstGeom prst="rect">
                      <a:avLst/>
                    </a:prstGeom>
                  </pic:spPr>
                </pic:pic>
              </a:graphicData>
            </a:graphic>
          </wp:inline>
        </w:drawing>
      </w:r>
    </w:p>
    <w:p w14:paraId="1689A3A4" w14:textId="77777777" w:rsidR="00794505" w:rsidRPr="005B4339" w:rsidRDefault="00794505" w:rsidP="00794505">
      <w:pPr>
        <w:pStyle w:val="JRCFiguresource"/>
        <w:rPr>
          <w:noProof/>
          <w:lang w:val="en-IE"/>
        </w:rPr>
      </w:pPr>
      <w:r w:rsidRPr="005B4339">
        <w:rPr>
          <w:noProof/>
          <w:lang w:val="en-IE"/>
        </w:rPr>
        <w:t>Source: Bottom-up analysis</w:t>
      </w:r>
    </w:p>
    <w:p w14:paraId="3957761D" w14:textId="77777777" w:rsidR="00794505" w:rsidRPr="005B4339" w:rsidRDefault="00794505" w:rsidP="00794505">
      <w:pPr>
        <w:pStyle w:val="JRCText"/>
        <w:rPr>
          <w:rFonts w:ascii="Times New Roman" w:hAnsi="Times New Roman"/>
          <w:noProof/>
          <w:sz w:val="24"/>
          <w:lang w:val="en-IE"/>
        </w:rPr>
      </w:pPr>
    </w:p>
    <w:p w14:paraId="5743F9DC" w14:textId="74C931BA" w:rsidR="00794505" w:rsidRPr="005B4339" w:rsidRDefault="00794505">
      <w:pPr>
        <w:pStyle w:val="JRCLevel-3title"/>
        <w:numPr>
          <w:ilvl w:val="2"/>
          <w:numId w:val="161"/>
        </w:numPr>
        <w:rPr>
          <w:rFonts w:ascii="Times New Roman" w:hAnsi="Times New Roman"/>
          <w:noProof/>
          <w:sz w:val="24"/>
          <w:lang w:val="en-IE"/>
        </w:rPr>
      </w:pPr>
      <w:bookmarkStart w:id="743" w:name="_Toc122604039"/>
      <w:bookmarkStart w:id="744" w:name="_Toc122613127"/>
      <w:bookmarkStart w:id="745" w:name="_Toc125109512"/>
      <w:bookmarkStart w:id="746" w:name="_Toc2050038689"/>
      <w:bookmarkStart w:id="747" w:name="_Toc436287296"/>
      <w:bookmarkStart w:id="748" w:name="_Toc1143147686"/>
      <w:bookmarkStart w:id="749" w:name="_Toc1235513116"/>
      <w:bookmarkStart w:id="750" w:name="_Toc1683636987"/>
      <w:bookmarkStart w:id="751" w:name="_Toc937151117"/>
      <w:bookmarkStart w:id="752" w:name="_Toc1021299463"/>
      <w:bookmarkStart w:id="753" w:name="_Toc139032128"/>
      <w:r w:rsidRPr="005B4339">
        <w:rPr>
          <w:rFonts w:ascii="Times New Roman" w:hAnsi="Times New Roman"/>
          <w:noProof/>
          <w:sz w:val="24"/>
          <w:lang w:val="en-IE"/>
        </w:rPr>
        <w:t>Territorial impacts</w:t>
      </w:r>
      <w:bookmarkEnd w:id="743"/>
      <w:bookmarkEnd w:id="744"/>
      <w:bookmarkEnd w:id="745"/>
      <w:bookmarkEnd w:id="746"/>
      <w:bookmarkEnd w:id="747"/>
      <w:bookmarkEnd w:id="748"/>
      <w:bookmarkEnd w:id="749"/>
      <w:bookmarkEnd w:id="750"/>
      <w:bookmarkEnd w:id="751"/>
      <w:bookmarkEnd w:id="752"/>
      <w:bookmarkEnd w:id="753"/>
    </w:p>
    <w:p w14:paraId="65D5468E" w14:textId="7ECF20E4" w:rsidR="00794505" w:rsidRPr="005B4339" w:rsidRDefault="00794505"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MAGNET model does not provide results for subnational geographical units. </w:t>
      </w:r>
      <w:r w:rsidR="004E085A" w:rsidRPr="005B4339">
        <w:rPr>
          <w:rFonts w:ascii="Times New Roman" w:hAnsi="Times New Roman"/>
          <w:noProof/>
          <w:sz w:val="24"/>
          <w:szCs w:val="24"/>
          <w:lang w:val="en-IE"/>
        </w:rPr>
        <w:t>However,</w:t>
      </w:r>
      <w:r w:rsidRPr="005B4339">
        <w:rPr>
          <w:rFonts w:ascii="Times New Roman" w:hAnsi="Times New Roman"/>
          <w:noProof/>
          <w:sz w:val="24"/>
          <w:szCs w:val="24"/>
          <w:lang w:val="en-IE"/>
        </w:rPr>
        <w:t xml:space="preserve"> a preliminary assessment of the potential territorial impacts of the food waste reduction targets can be performed considering the differences in the production structure at the regional level. </w:t>
      </w:r>
      <w:r w:rsidR="004E085A" w:rsidRPr="005B4339">
        <w:rPr>
          <w:rFonts w:ascii="Times New Roman" w:hAnsi="Times New Roman"/>
          <w:noProof/>
          <w:sz w:val="24"/>
          <w:szCs w:val="24"/>
          <w:lang w:val="en-IE"/>
        </w:rPr>
        <w:t>Thus,</w:t>
      </w:r>
      <w:r w:rsidRPr="005B4339">
        <w:rPr>
          <w:rFonts w:ascii="Times New Roman" w:hAnsi="Times New Roman"/>
          <w:noProof/>
          <w:sz w:val="24"/>
          <w:szCs w:val="24"/>
          <w:lang w:val="en-IE"/>
        </w:rPr>
        <w:t xml:space="preserve"> we can assume that those regions whose production structure </w:t>
      </w:r>
      <w:r w:rsidR="004A772A" w:rsidRPr="005B4339">
        <w:rPr>
          <w:rFonts w:ascii="Times New Roman" w:hAnsi="Times New Roman"/>
          <w:noProof/>
          <w:sz w:val="24"/>
          <w:szCs w:val="24"/>
          <w:lang w:val="en-IE"/>
        </w:rPr>
        <w:t>includes</w:t>
      </w:r>
      <w:r w:rsidRPr="005B4339">
        <w:rPr>
          <w:rFonts w:ascii="Times New Roman" w:hAnsi="Times New Roman"/>
          <w:noProof/>
          <w:sz w:val="24"/>
          <w:szCs w:val="24"/>
          <w:lang w:val="en-IE"/>
        </w:rPr>
        <w:t xml:space="preserve"> most affected sectors by the food waste reduction objectives</w:t>
      </w:r>
      <w:r w:rsidR="004A772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will be also the most exposed to the overall economic impact</w:t>
      </w:r>
      <w:r w:rsidR="004E085A" w:rsidRPr="005B4339">
        <w:rPr>
          <w:rFonts w:ascii="Times New Roman" w:hAnsi="Times New Roman"/>
          <w:noProof/>
          <w:sz w:val="24"/>
          <w:szCs w:val="24"/>
          <w:lang w:val="en-IE"/>
        </w:rPr>
        <w:t xml:space="preserve">. </w:t>
      </w:r>
    </w:p>
    <w:p w14:paraId="420090D9" w14:textId="11CF32A8"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In this section we analyse the potential impacts of food waste reduction in the advanced target scenario over regional employment. For this exercise, we focused on some selected sectors that would be the most affected by the food waste reduction according to the aforementioned scenario: (1) agriculture (2) food manufacturing and (3) waste collection. We also analysed both the manufacturing and service sectors (the latter only for value added) so as to have a holistic perspective of the economy. For each sector, we retrieved data on both regional employment (number of persons employed by NUTS2 regions) and value added (million euros) from Eurostat data sources (Regional Accounts and Structural Business Statistics</w:t>
      </w:r>
      <w:r w:rsidR="00C92CEF" w:rsidRPr="005B4339">
        <w:rPr>
          <w:rFonts w:ascii="Times New Roman" w:hAnsi="Times New Roman"/>
          <w:noProof/>
          <w:sz w:val="24"/>
          <w:szCs w:val="24"/>
          <w:lang w:val="en-IE"/>
        </w:rPr>
        <w:t>)</w:t>
      </w:r>
      <w:r w:rsidRPr="005B4339">
        <w:rPr>
          <w:rFonts w:ascii="Times New Roman" w:hAnsi="Times New Roman"/>
          <w:noProof/>
          <w:sz w:val="24"/>
          <w:szCs w:val="24"/>
          <w:lang w:val="en-IE"/>
        </w:rPr>
        <w:t>.</w:t>
      </w:r>
    </w:p>
    <w:p w14:paraId="2AC1B7D0" w14:textId="77777777"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The year 2019 is selected as the reference given that it is the most recent year not affected by the COVID-19 pandemic for which both datasets have data availability. Regional accounts provide information until the year 2021, while Structural Business Statistics recently published the data for 2020. However, some sectors such as the accommodation and food services activities were strongly affected by lockdowns and other measures to mitigate the pandemic. Consequently, the information on these years may be distorted with regard to both recent and projected trends in MAGNET even though the effects of the COVID-19 shock was already considered in the baseline scenario.</w:t>
      </w:r>
    </w:p>
    <w:p w14:paraId="64B57E60" w14:textId="5B89EA0A" w:rsidR="004E085A" w:rsidRPr="005B4339" w:rsidRDefault="004E085A" w:rsidP="006C432E">
      <w:pPr>
        <w:pStyle w:val="Caption"/>
        <w:keepNext/>
        <w:jc w:val="left"/>
        <w:rPr>
          <w:noProof/>
          <w:color w:val="auto"/>
          <w:sz w:val="24"/>
          <w:szCs w:val="24"/>
          <w:lang w:val="en-IE"/>
        </w:rPr>
      </w:pPr>
      <w:bookmarkStart w:id="754" w:name="_Toc122624033"/>
      <w:bookmarkStart w:id="755" w:name="_Toc125119087"/>
      <w:bookmarkStart w:id="756" w:name="_Toc133229501"/>
      <w:bookmarkStart w:id="757" w:name="_Toc139032055"/>
      <w:r w:rsidRPr="005B4339">
        <w:rPr>
          <w:noProof/>
          <w:color w:val="auto"/>
          <w:sz w:val="24"/>
          <w:szCs w:val="24"/>
          <w:lang w:val="en-IE"/>
        </w:rPr>
        <w:t xml:space="preserve">Table </w:t>
      </w:r>
      <w:r w:rsidR="00393DFA">
        <w:rPr>
          <w:noProof/>
          <w:color w:val="auto"/>
          <w:sz w:val="20"/>
        </w:rPr>
        <w:t>39</w:t>
      </w:r>
      <w:r w:rsidR="00BA4098" w:rsidRPr="005B4339">
        <w:rPr>
          <w:noProof/>
          <w:color w:val="auto"/>
          <w:sz w:val="24"/>
          <w:szCs w:val="24"/>
          <w:lang w:val="en-IE"/>
        </w:rPr>
        <w:t>:</w:t>
      </w:r>
      <w:r w:rsidRPr="005B4339">
        <w:rPr>
          <w:noProof/>
          <w:color w:val="auto"/>
          <w:sz w:val="24"/>
          <w:szCs w:val="24"/>
          <w:lang w:val="en-IE"/>
        </w:rPr>
        <w:t xml:space="preserve"> Selected indicators and data sources</w:t>
      </w:r>
      <w:bookmarkEnd w:id="754"/>
      <w:bookmarkEnd w:id="755"/>
      <w:bookmarkEnd w:id="756"/>
      <w:bookmarkEnd w:id="757"/>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9"/>
        <w:gridCol w:w="2746"/>
        <w:gridCol w:w="2977"/>
        <w:gridCol w:w="1701"/>
      </w:tblGrid>
      <w:tr w:rsidR="004E085A" w:rsidRPr="005B4339" w14:paraId="2DE869E3" w14:textId="77777777" w:rsidTr="00C44DD8">
        <w:trPr>
          <w:trHeight w:val="495"/>
        </w:trPr>
        <w:tc>
          <w:tcPr>
            <w:tcW w:w="1499" w:type="dxa"/>
            <w:tcBorders>
              <w:top w:val="single" w:sz="6" w:space="0" w:color="auto"/>
              <w:left w:val="single" w:sz="6" w:space="0" w:color="auto"/>
              <w:bottom w:val="single" w:sz="6" w:space="0" w:color="auto"/>
              <w:right w:val="single" w:sz="6" w:space="0" w:color="auto"/>
            </w:tcBorders>
            <w:vAlign w:val="center"/>
            <w:hideMark/>
          </w:tcPr>
          <w:p w14:paraId="21BE2495" w14:textId="77777777" w:rsidR="004E085A" w:rsidRPr="005B4339" w:rsidRDefault="004E085A" w:rsidP="00C44DD8">
            <w:pPr>
              <w:spacing w:after="0"/>
              <w:ind w:left="157" w:right="102"/>
              <w:textAlignment w:val="baseline"/>
              <w:rPr>
                <w:noProof/>
                <w:lang w:val="en-IE"/>
              </w:rPr>
            </w:pPr>
            <w:r w:rsidRPr="005B4339">
              <w:rPr>
                <w:noProof/>
                <w:lang w:val="en-IE"/>
              </w:rPr>
              <w:t>Indicator </w:t>
            </w:r>
          </w:p>
        </w:tc>
        <w:tc>
          <w:tcPr>
            <w:tcW w:w="2746" w:type="dxa"/>
            <w:tcBorders>
              <w:top w:val="single" w:sz="6" w:space="0" w:color="auto"/>
              <w:left w:val="single" w:sz="6" w:space="0" w:color="auto"/>
              <w:bottom w:val="single" w:sz="6" w:space="0" w:color="auto"/>
              <w:right w:val="single" w:sz="6" w:space="0" w:color="auto"/>
            </w:tcBorders>
            <w:vAlign w:val="center"/>
            <w:hideMark/>
          </w:tcPr>
          <w:p w14:paraId="168E3DB3" w14:textId="77777777" w:rsidR="004E085A" w:rsidRPr="005B4339" w:rsidRDefault="004E085A" w:rsidP="00C44DD8">
            <w:pPr>
              <w:spacing w:after="0"/>
              <w:ind w:left="157" w:right="102"/>
              <w:textAlignment w:val="baseline"/>
              <w:rPr>
                <w:noProof/>
                <w:lang w:val="en-IE"/>
              </w:rPr>
            </w:pPr>
            <w:r w:rsidRPr="005B4339">
              <w:rPr>
                <w:noProof/>
                <w:lang w:val="en-IE"/>
              </w:rPr>
              <w:t>Data sources </w:t>
            </w:r>
          </w:p>
        </w:tc>
        <w:tc>
          <w:tcPr>
            <w:tcW w:w="2977" w:type="dxa"/>
            <w:tcBorders>
              <w:top w:val="single" w:sz="6" w:space="0" w:color="auto"/>
              <w:left w:val="single" w:sz="6" w:space="0" w:color="auto"/>
              <w:bottom w:val="single" w:sz="6" w:space="0" w:color="auto"/>
              <w:right w:val="single" w:sz="6" w:space="0" w:color="auto"/>
            </w:tcBorders>
            <w:vAlign w:val="center"/>
            <w:hideMark/>
          </w:tcPr>
          <w:p w14:paraId="69E1C023" w14:textId="77777777" w:rsidR="004E085A" w:rsidRPr="005B4339" w:rsidRDefault="004E085A" w:rsidP="00C44DD8">
            <w:pPr>
              <w:spacing w:after="0"/>
              <w:ind w:left="157" w:right="102"/>
              <w:textAlignment w:val="baseline"/>
              <w:rPr>
                <w:noProof/>
                <w:lang w:val="en-IE"/>
              </w:rPr>
            </w:pPr>
            <w:r w:rsidRPr="005B4339">
              <w:rPr>
                <w:noProof/>
                <w:lang w:val="en-IE"/>
              </w:rPr>
              <w:t>Sector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94DCD4" w14:textId="77777777" w:rsidR="004E085A" w:rsidRPr="005B4339" w:rsidRDefault="004E085A" w:rsidP="00C44DD8">
            <w:pPr>
              <w:spacing w:after="0"/>
              <w:ind w:left="157" w:right="102"/>
              <w:textAlignment w:val="baseline"/>
              <w:rPr>
                <w:noProof/>
                <w:lang w:val="en-IE"/>
              </w:rPr>
            </w:pPr>
            <w:r w:rsidRPr="005B4339">
              <w:rPr>
                <w:noProof/>
                <w:lang w:val="en-IE"/>
              </w:rPr>
              <w:t>NACE code </w:t>
            </w:r>
          </w:p>
        </w:tc>
      </w:tr>
      <w:tr w:rsidR="004E085A" w:rsidRPr="005B4339" w14:paraId="2FB456FE" w14:textId="77777777" w:rsidTr="00C44DD8">
        <w:trPr>
          <w:trHeight w:val="375"/>
        </w:trPr>
        <w:tc>
          <w:tcPr>
            <w:tcW w:w="1499" w:type="dxa"/>
            <w:vMerge w:val="restart"/>
            <w:tcBorders>
              <w:top w:val="single" w:sz="6" w:space="0" w:color="auto"/>
              <w:left w:val="single" w:sz="6" w:space="0" w:color="auto"/>
              <w:bottom w:val="nil"/>
              <w:right w:val="single" w:sz="6" w:space="0" w:color="auto"/>
            </w:tcBorders>
            <w:vAlign w:val="center"/>
            <w:hideMark/>
          </w:tcPr>
          <w:p w14:paraId="4832FE22" w14:textId="77777777" w:rsidR="004E085A" w:rsidRPr="005B4339" w:rsidRDefault="004E085A" w:rsidP="00C44DD8">
            <w:pPr>
              <w:spacing w:after="0"/>
              <w:ind w:left="157" w:right="102"/>
              <w:textAlignment w:val="baseline"/>
              <w:rPr>
                <w:noProof/>
                <w:lang w:val="en-IE"/>
              </w:rPr>
            </w:pPr>
            <w:r w:rsidRPr="005B4339">
              <w:rPr>
                <w:noProof/>
                <w:lang w:val="en-IE"/>
              </w:rPr>
              <w:t>Number of persons employed</w:t>
            </w:r>
          </w:p>
        </w:tc>
        <w:tc>
          <w:tcPr>
            <w:tcW w:w="2746" w:type="dxa"/>
            <w:vMerge w:val="restart"/>
            <w:tcBorders>
              <w:top w:val="single" w:sz="6" w:space="0" w:color="auto"/>
              <w:left w:val="single" w:sz="6" w:space="0" w:color="auto"/>
              <w:bottom w:val="single" w:sz="4" w:space="0" w:color="auto"/>
              <w:right w:val="single" w:sz="6" w:space="0" w:color="auto"/>
            </w:tcBorders>
            <w:vAlign w:val="center"/>
            <w:hideMark/>
          </w:tcPr>
          <w:p w14:paraId="674C41EE" w14:textId="48CC8EAB" w:rsidR="004E085A" w:rsidRPr="005B4339" w:rsidRDefault="004E085A" w:rsidP="00C44DD8">
            <w:pPr>
              <w:spacing w:after="0"/>
              <w:ind w:left="157" w:right="102"/>
              <w:textAlignment w:val="baseline"/>
              <w:rPr>
                <w:noProof/>
                <w:lang w:val="en-IE"/>
              </w:rPr>
            </w:pPr>
            <w:r w:rsidRPr="005B4339">
              <w:rPr>
                <w:noProof/>
                <w:lang w:val="en-IE"/>
              </w:rPr>
              <w:t>Regional Economic Accounts (</w:t>
            </w:r>
            <w:hyperlink r:id="rId123" w:tgtFrame="_blank" w:history="1">
              <w:r w:rsidRPr="005B4339">
                <w:rPr>
                  <w:noProof/>
                  <w:lang w:val="en-IE"/>
                </w:rPr>
                <w:t>nama_10r_3empers</w:t>
              </w:r>
            </w:hyperlink>
            <w:r w:rsidRPr="005B4339">
              <w:rPr>
                <w:noProof/>
                <w:lang w:val="en-IE"/>
              </w:rPr>
              <w:t>)</w:t>
            </w:r>
          </w:p>
        </w:tc>
        <w:tc>
          <w:tcPr>
            <w:tcW w:w="2977" w:type="dxa"/>
            <w:tcBorders>
              <w:top w:val="single" w:sz="6" w:space="0" w:color="auto"/>
              <w:left w:val="single" w:sz="6" w:space="0" w:color="auto"/>
              <w:bottom w:val="single" w:sz="4" w:space="0" w:color="auto"/>
              <w:right w:val="single" w:sz="6" w:space="0" w:color="auto"/>
            </w:tcBorders>
            <w:vAlign w:val="center"/>
            <w:hideMark/>
          </w:tcPr>
          <w:p w14:paraId="738A30A8" w14:textId="77777777" w:rsidR="004E085A" w:rsidRPr="005B4339" w:rsidRDefault="004E085A" w:rsidP="00C44DD8">
            <w:pPr>
              <w:spacing w:after="0"/>
              <w:ind w:left="157" w:right="102"/>
              <w:textAlignment w:val="baseline"/>
              <w:rPr>
                <w:noProof/>
                <w:lang w:val="en-IE"/>
              </w:rPr>
            </w:pPr>
            <w:r w:rsidRPr="005B4339">
              <w:rPr>
                <w:noProof/>
                <w:lang w:val="en-IE"/>
              </w:rPr>
              <w:t>Agriculture </w:t>
            </w:r>
          </w:p>
        </w:tc>
        <w:tc>
          <w:tcPr>
            <w:tcW w:w="1701" w:type="dxa"/>
            <w:tcBorders>
              <w:top w:val="single" w:sz="6" w:space="0" w:color="auto"/>
              <w:left w:val="single" w:sz="6" w:space="0" w:color="auto"/>
              <w:bottom w:val="single" w:sz="4" w:space="0" w:color="auto"/>
              <w:right w:val="single" w:sz="6" w:space="0" w:color="auto"/>
            </w:tcBorders>
            <w:vAlign w:val="center"/>
            <w:hideMark/>
          </w:tcPr>
          <w:p w14:paraId="17799E23" w14:textId="77777777" w:rsidR="004E085A" w:rsidRPr="005B4339" w:rsidRDefault="004E085A" w:rsidP="00C44DD8">
            <w:pPr>
              <w:spacing w:after="0"/>
              <w:ind w:left="157" w:right="102"/>
              <w:textAlignment w:val="baseline"/>
              <w:rPr>
                <w:noProof/>
                <w:lang w:val="en-IE"/>
              </w:rPr>
            </w:pPr>
            <w:r w:rsidRPr="005B4339">
              <w:rPr>
                <w:noProof/>
                <w:lang w:val="en-IE"/>
              </w:rPr>
              <w:t>A01</w:t>
            </w:r>
          </w:p>
        </w:tc>
      </w:tr>
      <w:tr w:rsidR="004E085A" w:rsidRPr="005B4339" w14:paraId="53FF67F0" w14:textId="77777777" w:rsidTr="00C44DD8">
        <w:trPr>
          <w:trHeight w:val="330"/>
        </w:trPr>
        <w:tc>
          <w:tcPr>
            <w:tcW w:w="0" w:type="auto"/>
            <w:vMerge/>
            <w:tcBorders>
              <w:top w:val="single" w:sz="6" w:space="0" w:color="auto"/>
              <w:left w:val="single" w:sz="6" w:space="0" w:color="auto"/>
              <w:bottom w:val="nil"/>
              <w:right w:val="single" w:sz="6" w:space="0" w:color="auto"/>
            </w:tcBorders>
            <w:vAlign w:val="center"/>
            <w:hideMark/>
          </w:tcPr>
          <w:p w14:paraId="347A238B" w14:textId="77777777" w:rsidR="004E085A" w:rsidRPr="005B4339" w:rsidRDefault="004E085A" w:rsidP="00C44DD8">
            <w:pPr>
              <w:spacing w:after="0"/>
              <w:rPr>
                <w:noProof/>
                <w:lang w:val="en-IE"/>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4CB25A18" w14:textId="77777777" w:rsidR="004E085A" w:rsidRPr="005B4339" w:rsidRDefault="004E085A" w:rsidP="00C44DD8">
            <w:pPr>
              <w:spacing w:after="0"/>
              <w:rPr>
                <w:noProof/>
                <w:lang w:val="en-IE"/>
              </w:rPr>
            </w:pPr>
          </w:p>
        </w:tc>
        <w:tc>
          <w:tcPr>
            <w:tcW w:w="2977" w:type="dxa"/>
            <w:tcBorders>
              <w:top w:val="single" w:sz="4" w:space="0" w:color="auto"/>
              <w:left w:val="single" w:sz="6" w:space="0" w:color="auto"/>
              <w:bottom w:val="single" w:sz="4" w:space="0" w:color="auto"/>
              <w:right w:val="single" w:sz="6" w:space="0" w:color="auto"/>
            </w:tcBorders>
            <w:vAlign w:val="center"/>
            <w:hideMark/>
          </w:tcPr>
          <w:p w14:paraId="7137394F" w14:textId="77777777" w:rsidR="004E085A" w:rsidRPr="005B4339" w:rsidRDefault="004E085A" w:rsidP="00C44DD8">
            <w:pPr>
              <w:spacing w:after="0"/>
              <w:ind w:left="157" w:right="102"/>
              <w:textAlignment w:val="baseline"/>
              <w:rPr>
                <w:noProof/>
                <w:lang w:val="en-IE"/>
              </w:rPr>
            </w:pPr>
            <w:r w:rsidRPr="005B4339">
              <w:rPr>
                <w:noProof/>
                <w:lang w:val="en-IE"/>
              </w:rPr>
              <w:t xml:space="preserve">Manufacturing </w:t>
            </w:r>
          </w:p>
        </w:tc>
        <w:tc>
          <w:tcPr>
            <w:tcW w:w="1701" w:type="dxa"/>
            <w:tcBorders>
              <w:top w:val="single" w:sz="4" w:space="0" w:color="auto"/>
              <w:left w:val="single" w:sz="6" w:space="0" w:color="auto"/>
              <w:bottom w:val="single" w:sz="4" w:space="0" w:color="auto"/>
              <w:right w:val="single" w:sz="6" w:space="0" w:color="auto"/>
            </w:tcBorders>
            <w:vAlign w:val="center"/>
            <w:hideMark/>
          </w:tcPr>
          <w:p w14:paraId="6E9E8FCC" w14:textId="77777777" w:rsidR="004E085A" w:rsidRPr="005B4339" w:rsidRDefault="004E085A" w:rsidP="00C44DD8">
            <w:pPr>
              <w:spacing w:after="0"/>
              <w:ind w:left="157" w:right="102"/>
              <w:textAlignment w:val="baseline"/>
              <w:rPr>
                <w:noProof/>
                <w:lang w:val="en-IE"/>
              </w:rPr>
            </w:pPr>
            <w:r w:rsidRPr="005B4339">
              <w:rPr>
                <w:noProof/>
                <w:lang w:val="en-IE"/>
              </w:rPr>
              <w:t>C (excl. C10)</w:t>
            </w:r>
          </w:p>
        </w:tc>
      </w:tr>
      <w:tr w:rsidR="004E085A" w:rsidRPr="005B4339" w14:paraId="5D3B841C" w14:textId="77777777" w:rsidTr="00C44DD8">
        <w:trPr>
          <w:trHeight w:val="271"/>
        </w:trPr>
        <w:tc>
          <w:tcPr>
            <w:tcW w:w="0" w:type="auto"/>
            <w:vMerge/>
            <w:tcBorders>
              <w:top w:val="single" w:sz="6" w:space="0" w:color="auto"/>
              <w:left w:val="single" w:sz="6" w:space="0" w:color="auto"/>
              <w:bottom w:val="nil"/>
              <w:right w:val="single" w:sz="6" w:space="0" w:color="auto"/>
            </w:tcBorders>
            <w:vAlign w:val="center"/>
            <w:hideMark/>
          </w:tcPr>
          <w:p w14:paraId="08435282" w14:textId="77777777" w:rsidR="004E085A" w:rsidRPr="005B4339" w:rsidRDefault="004E085A" w:rsidP="00C44DD8">
            <w:pPr>
              <w:spacing w:after="0"/>
              <w:rPr>
                <w:noProof/>
                <w:lang w:val="en-IE"/>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9C1036B" w14:textId="77777777" w:rsidR="004E085A" w:rsidRPr="005B4339" w:rsidRDefault="004E085A" w:rsidP="00C44DD8">
            <w:pPr>
              <w:spacing w:after="0"/>
              <w:rPr>
                <w:noProof/>
                <w:lang w:val="en-IE"/>
              </w:rPr>
            </w:pPr>
          </w:p>
        </w:tc>
        <w:tc>
          <w:tcPr>
            <w:tcW w:w="2977" w:type="dxa"/>
            <w:tcBorders>
              <w:top w:val="single" w:sz="4" w:space="0" w:color="auto"/>
              <w:left w:val="single" w:sz="6" w:space="0" w:color="auto"/>
              <w:bottom w:val="single" w:sz="6" w:space="0" w:color="auto"/>
              <w:right w:val="single" w:sz="6" w:space="0" w:color="auto"/>
            </w:tcBorders>
            <w:vAlign w:val="center"/>
            <w:hideMark/>
          </w:tcPr>
          <w:p w14:paraId="1CACF092" w14:textId="77777777" w:rsidR="004E085A" w:rsidRPr="005B4339" w:rsidRDefault="004E085A" w:rsidP="00C44DD8">
            <w:pPr>
              <w:spacing w:after="0"/>
              <w:ind w:left="157" w:right="102"/>
              <w:textAlignment w:val="baseline"/>
              <w:rPr>
                <w:noProof/>
                <w:lang w:val="en-IE"/>
              </w:rPr>
            </w:pPr>
            <w:r w:rsidRPr="005B4339">
              <w:rPr>
                <w:noProof/>
                <w:lang w:val="en-IE"/>
              </w:rPr>
              <w:t>Services (including Accommodation and Food services)</w:t>
            </w:r>
          </w:p>
        </w:tc>
        <w:tc>
          <w:tcPr>
            <w:tcW w:w="1701" w:type="dxa"/>
            <w:tcBorders>
              <w:top w:val="single" w:sz="4" w:space="0" w:color="auto"/>
              <w:left w:val="single" w:sz="6" w:space="0" w:color="auto"/>
              <w:bottom w:val="single" w:sz="6" w:space="0" w:color="auto"/>
              <w:right w:val="single" w:sz="6" w:space="0" w:color="auto"/>
            </w:tcBorders>
            <w:vAlign w:val="center"/>
            <w:hideMark/>
          </w:tcPr>
          <w:p w14:paraId="3195DC91" w14:textId="77777777" w:rsidR="004E085A" w:rsidRPr="005B4339" w:rsidRDefault="004E085A" w:rsidP="00C44DD8">
            <w:pPr>
              <w:spacing w:after="0"/>
              <w:ind w:left="157" w:right="102"/>
              <w:textAlignment w:val="baseline"/>
              <w:rPr>
                <w:noProof/>
                <w:lang w:val="en-IE"/>
              </w:rPr>
            </w:pPr>
            <w:r w:rsidRPr="005B4339">
              <w:rPr>
                <w:noProof/>
                <w:lang w:val="en-IE"/>
              </w:rPr>
              <w:t>F, G-J, K-N, O-U</w:t>
            </w:r>
          </w:p>
        </w:tc>
      </w:tr>
      <w:tr w:rsidR="004E085A" w:rsidRPr="005B4339" w14:paraId="50B76AB7" w14:textId="77777777" w:rsidTr="00C44DD8">
        <w:trPr>
          <w:trHeight w:val="435"/>
        </w:trPr>
        <w:tc>
          <w:tcPr>
            <w:tcW w:w="0" w:type="auto"/>
            <w:vMerge/>
            <w:tcBorders>
              <w:top w:val="single" w:sz="6" w:space="0" w:color="auto"/>
              <w:left w:val="single" w:sz="6" w:space="0" w:color="auto"/>
              <w:bottom w:val="nil"/>
              <w:right w:val="single" w:sz="6" w:space="0" w:color="auto"/>
            </w:tcBorders>
            <w:vAlign w:val="center"/>
            <w:hideMark/>
          </w:tcPr>
          <w:p w14:paraId="4F48136B" w14:textId="77777777" w:rsidR="004E085A" w:rsidRPr="005B4339" w:rsidRDefault="004E085A" w:rsidP="00C44DD8">
            <w:pPr>
              <w:spacing w:after="0"/>
              <w:rPr>
                <w:noProof/>
                <w:lang w:val="en-IE"/>
              </w:rPr>
            </w:pPr>
          </w:p>
        </w:tc>
        <w:tc>
          <w:tcPr>
            <w:tcW w:w="2746" w:type="dxa"/>
            <w:vMerge w:val="restart"/>
            <w:tcBorders>
              <w:top w:val="single" w:sz="4" w:space="0" w:color="auto"/>
              <w:left w:val="single" w:sz="6" w:space="0" w:color="auto"/>
              <w:bottom w:val="nil"/>
              <w:right w:val="single" w:sz="6" w:space="0" w:color="auto"/>
            </w:tcBorders>
            <w:vAlign w:val="center"/>
            <w:hideMark/>
          </w:tcPr>
          <w:p w14:paraId="1B1DC345" w14:textId="6A8A1F05" w:rsidR="004E085A" w:rsidRPr="005B4339" w:rsidRDefault="004E085A" w:rsidP="00C44DD8">
            <w:pPr>
              <w:spacing w:after="0"/>
              <w:ind w:left="157" w:right="102"/>
              <w:textAlignment w:val="baseline"/>
              <w:rPr>
                <w:noProof/>
                <w:lang w:val="en-IE"/>
              </w:rPr>
            </w:pPr>
            <w:r w:rsidRPr="005B4339">
              <w:rPr>
                <w:noProof/>
                <w:lang w:val="en-IE"/>
              </w:rPr>
              <w:t>Structural Business Statistics (</w:t>
            </w:r>
            <w:hyperlink r:id="rId124" w:tgtFrame="_blank" w:history="1">
              <w:r w:rsidRPr="005B4339">
                <w:rPr>
                  <w:noProof/>
                  <w:lang w:val="en-IE"/>
                </w:rPr>
                <w:t>sbs_r_nuts06_r2</w:t>
              </w:r>
            </w:hyperlink>
            <w:r w:rsidRPr="005B4339">
              <w:rPr>
                <w:noProof/>
                <w:lang w:val="en-IE"/>
              </w:rPr>
              <w:t>) </w:t>
            </w:r>
          </w:p>
        </w:tc>
        <w:tc>
          <w:tcPr>
            <w:tcW w:w="2977" w:type="dxa"/>
            <w:tcBorders>
              <w:top w:val="single" w:sz="6" w:space="0" w:color="auto"/>
              <w:left w:val="single" w:sz="6" w:space="0" w:color="auto"/>
              <w:bottom w:val="single" w:sz="6" w:space="0" w:color="auto"/>
              <w:right w:val="single" w:sz="6" w:space="0" w:color="auto"/>
            </w:tcBorders>
            <w:vAlign w:val="center"/>
            <w:hideMark/>
          </w:tcPr>
          <w:p w14:paraId="5FD8E7E9" w14:textId="77777777" w:rsidR="004E085A" w:rsidRPr="005B4339" w:rsidRDefault="004E085A" w:rsidP="00C44DD8">
            <w:pPr>
              <w:spacing w:after="0"/>
              <w:ind w:left="157" w:right="102"/>
              <w:textAlignment w:val="baseline"/>
              <w:rPr>
                <w:noProof/>
                <w:lang w:val="en-IE"/>
              </w:rPr>
            </w:pPr>
            <w:r w:rsidRPr="005B4339">
              <w:rPr>
                <w:noProof/>
                <w:lang w:val="en-IE"/>
              </w:rPr>
              <w:t>Food Manufacturing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45B82D" w14:textId="77777777" w:rsidR="004E085A" w:rsidRPr="005B4339" w:rsidRDefault="004E085A" w:rsidP="00C44DD8">
            <w:pPr>
              <w:spacing w:after="0"/>
              <w:ind w:left="157" w:right="102"/>
              <w:textAlignment w:val="baseline"/>
              <w:rPr>
                <w:noProof/>
                <w:lang w:val="en-IE"/>
              </w:rPr>
            </w:pPr>
            <w:r w:rsidRPr="005B4339">
              <w:rPr>
                <w:noProof/>
                <w:lang w:val="en-IE"/>
              </w:rPr>
              <w:t>C10 </w:t>
            </w:r>
          </w:p>
        </w:tc>
      </w:tr>
      <w:tr w:rsidR="004E085A" w:rsidRPr="005B4339" w14:paraId="1908FD47" w14:textId="77777777" w:rsidTr="00C44DD8">
        <w:trPr>
          <w:trHeight w:val="431"/>
        </w:trPr>
        <w:tc>
          <w:tcPr>
            <w:tcW w:w="0" w:type="auto"/>
            <w:vMerge/>
            <w:tcBorders>
              <w:top w:val="single" w:sz="6" w:space="0" w:color="auto"/>
              <w:left w:val="single" w:sz="6" w:space="0" w:color="auto"/>
              <w:bottom w:val="nil"/>
              <w:right w:val="single" w:sz="6" w:space="0" w:color="auto"/>
            </w:tcBorders>
            <w:vAlign w:val="center"/>
            <w:hideMark/>
          </w:tcPr>
          <w:p w14:paraId="2785DC8D" w14:textId="77777777" w:rsidR="004E085A" w:rsidRPr="005B4339" w:rsidRDefault="004E085A" w:rsidP="00C44DD8">
            <w:pPr>
              <w:spacing w:after="0"/>
              <w:rPr>
                <w:noProof/>
                <w:lang w:val="en-IE"/>
              </w:rPr>
            </w:pPr>
          </w:p>
        </w:tc>
        <w:tc>
          <w:tcPr>
            <w:tcW w:w="0" w:type="auto"/>
            <w:vMerge/>
            <w:tcBorders>
              <w:top w:val="single" w:sz="4" w:space="0" w:color="auto"/>
              <w:left w:val="single" w:sz="6" w:space="0" w:color="auto"/>
              <w:bottom w:val="nil"/>
              <w:right w:val="single" w:sz="6" w:space="0" w:color="auto"/>
            </w:tcBorders>
            <w:vAlign w:val="center"/>
            <w:hideMark/>
          </w:tcPr>
          <w:p w14:paraId="556AE08B" w14:textId="77777777" w:rsidR="004E085A" w:rsidRPr="005B4339" w:rsidRDefault="004E085A" w:rsidP="00C44DD8">
            <w:pPr>
              <w:spacing w:after="0"/>
              <w:rPr>
                <w:noProof/>
                <w:lang w:val="en-IE"/>
              </w:rPr>
            </w:pPr>
          </w:p>
        </w:tc>
        <w:tc>
          <w:tcPr>
            <w:tcW w:w="2977" w:type="dxa"/>
            <w:tcBorders>
              <w:top w:val="single" w:sz="6" w:space="0" w:color="auto"/>
              <w:left w:val="nil"/>
              <w:bottom w:val="single" w:sz="6" w:space="0" w:color="auto"/>
              <w:right w:val="single" w:sz="6" w:space="0" w:color="auto"/>
            </w:tcBorders>
            <w:vAlign w:val="center"/>
            <w:hideMark/>
          </w:tcPr>
          <w:p w14:paraId="00350DBD" w14:textId="77777777" w:rsidR="004E085A" w:rsidRPr="005B4339" w:rsidRDefault="004E085A" w:rsidP="00C44DD8">
            <w:pPr>
              <w:spacing w:after="0"/>
              <w:ind w:left="157" w:right="102"/>
              <w:textAlignment w:val="baseline"/>
              <w:rPr>
                <w:noProof/>
                <w:lang w:val="en-IE"/>
              </w:rPr>
            </w:pPr>
            <w:r w:rsidRPr="005B4339">
              <w:rPr>
                <w:noProof/>
                <w:lang w:val="en-IE"/>
              </w:rPr>
              <w:t>Waste Collection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5CCBF4" w14:textId="77777777" w:rsidR="004E085A" w:rsidRPr="005B4339" w:rsidRDefault="004E085A" w:rsidP="00C44DD8">
            <w:pPr>
              <w:spacing w:after="0"/>
              <w:ind w:left="157" w:right="102"/>
              <w:textAlignment w:val="baseline"/>
              <w:rPr>
                <w:noProof/>
                <w:lang w:val="en-IE"/>
              </w:rPr>
            </w:pPr>
            <w:r w:rsidRPr="005B4339">
              <w:rPr>
                <w:noProof/>
                <w:lang w:val="en-IE"/>
              </w:rPr>
              <w:t>E38 </w:t>
            </w:r>
          </w:p>
        </w:tc>
      </w:tr>
      <w:tr w:rsidR="004E085A" w:rsidRPr="005B4339" w14:paraId="7AF3ABAB" w14:textId="77777777" w:rsidTr="00C44DD8">
        <w:trPr>
          <w:trHeight w:val="404"/>
        </w:trPr>
        <w:tc>
          <w:tcPr>
            <w:tcW w:w="1499" w:type="dxa"/>
            <w:vMerge w:val="restart"/>
            <w:tcBorders>
              <w:top w:val="single" w:sz="6" w:space="0" w:color="auto"/>
              <w:left w:val="single" w:sz="6" w:space="0" w:color="auto"/>
              <w:bottom w:val="single" w:sz="6" w:space="0" w:color="auto"/>
              <w:right w:val="single" w:sz="6" w:space="0" w:color="auto"/>
            </w:tcBorders>
            <w:vAlign w:val="center"/>
            <w:hideMark/>
          </w:tcPr>
          <w:p w14:paraId="08E94007" w14:textId="77777777" w:rsidR="004E085A" w:rsidRPr="005B4339" w:rsidRDefault="004E085A" w:rsidP="00C44DD8">
            <w:pPr>
              <w:spacing w:after="0"/>
              <w:ind w:left="157" w:right="102"/>
              <w:rPr>
                <w:noProof/>
                <w:lang w:val="en-IE"/>
              </w:rPr>
            </w:pPr>
            <w:r w:rsidRPr="005B4339">
              <w:rPr>
                <w:noProof/>
                <w:lang w:val="en-IE"/>
              </w:rPr>
              <w:t>Value Added</w:t>
            </w:r>
          </w:p>
        </w:tc>
        <w:tc>
          <w:tcPr>
            <w:tcW w:w="2746" w:type="dxa"/>
            <w:vMerge w:val="restart"/>
            <w:tcBorders>
              <w:top w:val="single" w:sz="6" w:space="0" w:color="auto"/>
              <w:left w:val="nil"/>
              <w:bottom w:val="single" w:sz="6" w:space="0" w:color="auto"/>
              <w:right w:val="single" w:sz="4" w:space="0" w:color="auto"/>
            </w:tcBorders>
            <w:vAlign w:val="center"/>
            <w:hideMark/>
          </w:tcPr>
          <w:p w14:paraId="774A1128" w14:textId="77777777" w:rsidR="004E085A" w:rsidRPr="005B4339" w:rsidRDefault="004E085A" w:rsidP="00C44DD8">
            <w:pPr>
              <w:spacing w:after="0"/>
              <w:ind w:left="157" w:right="102"/>
              <w:textAlignment w:val="baseline"/>
              <w:rPr>
                <w:noProof/>
                <w:lang w:val="en-IE"/>
              </w:rPr>
            </w:pPr>
            <w:r w:rsidRPr="005B4339">
              <w:rPr>
                <w:noProof/>
                <w:lang w:val="en-IE"/>
              </w:rPr>
              <w:t>Regional Economic Accounts</w:t>
            </w:r>
          </w:p>
          <w:p w14:paraId="6F811BE7" w14:textId="4FD4E80B" w:rsidR="004E085A" w:rsidRPr="005B4339" w:rsidRDefault="004E085A" w:rsidP="00C44DD8">
            <w:pPr>
              <w:spacing w:after="0"/>
              <w:ind w:left="157" w:right="102"/>
              <w:textAlignment w:val="baseline"/>
              <w:rPr>
                <w:noProof/>
                <w:lang w:val="en-IE"/>
              </w:rPr>
            </w:pPr>
            <w:r w:rsidRPr="005B4339">
              <w:rPr>
                <w:noProof/>
                <w:lang w:val="en-IE"/>
              </w:rPr>
              <w:t>(</w:t>
            </w:r>
            <w:hyperlink r:id="rId125" w:history="1">
              <w:r w:rsidRPr="005B4339">
                <w:rPr>
                  <w:noProof/>
                  <w:lang w:val="en-IE"/>
                </w:rPr>
                <w:t>nama_10r_3gva</w:t>
              </w:r>
            </w:hyperlink>
            <w:r w:rsidRPr="005B4339">
              <w:rPr>
                <w:noProof/>
                <w:lang w:val="en-IE"/>
              </w:rPr>
              <w:t>)</w:t>
            </w:r>
          </w:p>
        </w:tc>
        <w:tc>
          <w:tcPr>
            <w:tcW w:w="2977" w:type="dxa"/>
            <w:tcBorders>
              <w:top w:val="single" w:sz="6" w:space="0" w:color="auto"/>
              <w:left w:val="nil"/>
              <w:bottom w:val="single" w:sz="6" w:space="0" w:color="auto"/>
              <w:right w:val="single" w:sz="6" w:space="0" w:color="auto"/>
            </w:tcBorders>
            <w:vAlign w:val="center"/>
            <w:hideMark/>
          </w:tcPr>
          <w:p w14:paraId="47186062" w14:textId="77777777" w:rsidR="004E085A" w:rsidRPr="005B4339" w:rsidRDefault="004E085A" w:rsidP="00C44DD8">
            <w:pPr>
              <w:spacing w:after="0"/>
              <w:ind w:left="157" w:right="102"/>
              <w:textAlignment w:val="baseline"/>
              <w:rPr>
                <w:noProof/>
                <w:lang w:val="en-IE"/>
              </w:rPr>
            </w:pPr>
            <w:r w:rsidRPr="005B4339">
              <w:rPr>
                <w:noProof/>
                <w:lang w:val="en-IE"/>
              </w:rPr>
              <w:t>Agriculture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3665FF" w14:textId="77777777" w:rsidR="004E085A" w:rsidRPr="005B4339" w:rsidRDefault="004E085A" w:rsidP="00C44DD8">
            <w:pPr>
              <w:spacing w:after="0"/>
              <w:ind w:left="157" w:right="102"/>
              <w:textAlignment w:val="baseline"/>
              <w:rPr>
                <w:noProof/>
                <w:lang w:val="en-IE"/>
              </w:rPr>
            </w:pPr>
            <w:r w:rsidRPr="005B4339">
              <w:rPr>
                <w:noProof/>
                <w:lang w:val="en-IE"/>
              </w:rPr>
              <w:t>A01</w:t>
            </w:r>
          </w:p>
        </w:tc>
      </w:tr>
      <w:tr w:rsidR="004E085A" w:rsidRPr="005B4339" w14:paraId="535C5745" w14:textId="77777777" w:rsidTr="00C44DD8">
        <w:trPr>
          <w:trHeight w:val="3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10DBCA0" w14:textId="77777777" w:rsidR="004E085A" w:rsidRPr="005B4339" w:rsidRDefault="004E085A" w:rsidP="00C44DD8">
            <w:pPr>
              <w:spacing w:after="0"/>
              <w:rPr>
                <w:noProof/>
                <w:lang w:val="en-IE"/>
              </w:rPr>
            </w:pPr>
          </w:p>
        </w:tc>
        <w:tc>
          <w:tcPr>
            <w:tcW w:w="0" w:type="auto"/>
            <w:vMerge/>
            <w:tcBorders>
              <w:top w:val="single" w:sz="6" w:space="0" w:color="auto"/>
              <w:left w:val="nil"/>
              <w:bottom w:val="single" w:sz="6" w:space="0" w:color="auto"/>
              <w:right w:val="single" w:sz="4" w:space="0" w:color="auto"/>
            </w:tcBorders>
            <w:vAlign w:val="center"/>
            <w:hideMark/>
          </w:tcPr>
          <w:p w14:paraId="370A298E" w14:textId="77777777" w:rsidR="004E085A" w:rsidRPr="005B4339" w:rsidRDefault="004E085A" w:rsidP="00C44DD8">
            <w:pPr>
              <w:spacing w:after="0"/>
              <w:rPr>
                <w:noProof/>
                <w:lang w:val="en-IE"/>
              </w:rPr>
            </w:pPr>
          </w:p>
        </w:tc>
        <w:tc>
          <w:tcPr>
            <w:tcW w:w="2977" w:type="dxa"/>
            <w:tcBorders>
              <w:top w:val="single" w:sz="6" w:space="0" w:color="auto"/>
              <w:left w:val="nil"/>
              <w:bottom w:val="single" w:sz="6" w:space="0" w:color="auto"/>
              <w:right w:val="single" w:sz="6" w:space="0" w:color="auto"/>
            </w:tcBorders>
            <w:vAlign w:val="center"/>
            <w:hideMark/>
          </w:tcPr>
          <w:p w14:paraId="1BE907ED" w14:textId="77777777" w:rsidR="004E085A" w:rsidRPr="005B4339" w:rsidRDefault="004E085A" w:rsidP="00C44DD8">
            <w:pPr>
              <w:spacing w:after="0"/>
              <w:ind w:left="157" w:right="102"/>
              <w:textAlignment w:val="baseline"/>
              <w:rPr>
                <w:noProof/>
                <w:lang w:val="en-IE"/>
              </w:rPr>
            </w:pPr>
            <w:r w:rsidRPr="005B4339">
              <w:rPr>
                <w:noProof/>
                <w:lang w:val="en-IE"/>
              </w:rPr>
              <w:t xml:space="preserve">Manufacturing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E1D2AF" w14:textId="77777777" w:rsidR="004E085A" w:rsidRPr="005B4339" w:rsidRDefault="004E085A" w:rsidP="00C44DD8">
            <w:pPr>
              <w:spacing w:after="0"/>
              <w:ind w:left="157" w:right="102"/>
              <w:textAlignment w:val="baseline"/>
              <w:rPr>
                <w:noProof/>
                <w:lang w:val="en-IE"/>
              </w:rPr>
            </w:pPr>
            <w:r w:rsidRPr="005B4339">
              <w:rPr>
                <w:noProof/>
                <w:lang w:val="en-IE"/>
              </w:rPr>
              <w:t>C (excl. C10)</w:t>
            </w:r>
          </w:p>
        </w:tc>
      </w:tr>
      <w:tr w:rsidR="004E085A" w:rsidRPr="005B4339" w14:paraId="15C8998E" w14:textId="77777777" w:rsidTr="00C44DD8">
        <w:trPr>
          <w:trHeight w:val="363"/>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88CC7C9" w14:textId="77777777" w:rsidR="004E085A" w:rsidRPr="005B4339" w:rsidRDefault="004E085A" w:rsidP="00C44DD8">
            <w:pPr>
              <w:spacing w:after="0"/>
              <w:rPr>
                <w:noProof/>
                <w:lang w:val="en-IE"/>
              </w:rPr>
            </w:pPr>
          </w:p>
        </w:tc>
        <w:tc>
          <w:tcPr>
            <w:tcW w:w="0" w:type="auto"/>
            <w:vMerge/>
            <w:tcBorders>
              <w:top w:val="single" w:sz="6" w:space="0" w:color="auto"/>
              <w:left w:val="nil"/>
              <w:bottom w:val="single" w:sz="6" w:space="0" w:color="auto"/>
              <w:right w:val="single" w:sz="4" w:space="0" w:color="auto"/>
            </w:tcBorders>
            <w:vAlign w:val="center"/>
            <w:hideMark/>
          </w:tcPr>
          <w:p w14:paraId="6BD93C10" w14:textId="77777777" w:rsidR="004E085A" w:rsidRPr="005B4339" w:rsidRDefault="004E085A" w:rsidP="00C44DD8">
            <w:pPr>
              <w:spacing w:after="0"/>
              <w:rPr>
                <w:noProof/>
                <w:lang w:val="en-IE"/>
              </w:rPr>
            </w:pPr>
          </w:p>
        </w:tc>
        <w:tc>
          <w:tcPr>
            <w:tcW w:w="2977" w:type="dxa"/>
            <w:tcBorders>
              <w:top w:val="single" w:sz="6" w:space="0" w:color="auto"/>
              <w:left w:val="nil"/>
              <w:bottom w:val="single" w:sz="6" w:space="0" w:color="auto"/>
              <w:right w:val="single" w:sz="6" w:space="0" w:color="auto"/>
            </w:tcBorders>
            <w:vAlign w:val="center"/>
            <w:hideMark/>
          </w:tcPr>
          <w:p w14:paraId="07E22E0C" w14:textId="77777777" w:rsidR="004E085A" w:rsidRPr="005B4339" w:rsidRDefault="004E085A" w:rsidP="00C44DD8">
            <w:pPr>
              <w:spacing w:after="0"/>
              <w:ind w:left="157" w:right="102"/>
              <w:textAlignment w:val="baseline"/>
              <w:rPr>
                <w:noProof/>
                <w:lang w:val="en-IE"/>
              </w:rPr>
            </w:pPr>
            <w:r w:rsidRPr="005B4339">
              <w:rPr>
                <w:noProof/>
                <w:lang w:val="en-IE"/>
              </w:rPr>
              <w:t>Services (excluding Accommodation and Food services)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0D3C22" w14:textId="77777777" w:rsidR="004E085A" w:rsidRPr="005B4339" w:rsidRDefault="004E085A" w:rsidP="00C44DD8">
            <w:pPr>
              <w:spacing w:after="0"/>
              <w:ind w:left="157" w:right="102"/>
              <w:textAlignment w:val="baseline"/>
              <w:rPr>
                <w:noProof/>
                <w:lang w:val="en-IE"/>
              </w:rPr>
            </w:pPr>
            <w:r w:rsidRPr="005B4339">
              <w:rPr>
                <w:noProof/>
                <w:lang w:val="en-IE"/>
              </w:rPr>
              <w:t>F, G, H, J, K-N, O-U</w:t>
            </w:r>
          </w:p>
        </w:tc>
      </w:tr>
      <w:tr w:rsidR="004E085A" w:rsidRPr="005B4339" w14:paraId="5ED8371E" w14:textId="77777777" w:rsidTr="00C44DD8">
        <w:trPr>
          <w:trHeight w:val="5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B78EB6" w14:textId="77777777" w:rsidR="004E085A" w:rsidRPr="005B4339" w:rsidRDefault="004E085A" w:rsidP="00C44DD8">
            <w:pPr>
              <w:spacing w:after="0"/>
              <w:rPr>
                <w:noProof/>
                <w:lang w:val="en-IE"/>
              </w:rPr>
            </w:pPr>
          </w:p>
        </w:tc>
        <w:tc>
          <w:tcPr>
            <w:tcW w:w="2746" w:type="dxa"/>
            <w:vMerge w:val="restart"/>
            <w:tcBorders>
              <w:top w:val="single" w:sz="6" w:space="0" w:color="auto"/>
              <w:left w:val="nil"/>
              <w:bottom w:val="single" w:sz="6" w:space="0" w:color="auto"/>
              <w:right w:val="single" w:sz="4" w:space="0" w:color="auto"/>
            </w:tcBorders>
            <w:vAlign w:val="center"/>
            <w:hideMark/>
          </w:tcPr>
          <w:p w14:paraId="5BEAC9D0" w14:textId="35D6D70C" w:rsidR="004E085A" w:rsidRPr="005B4339" w:rsidRDefault="004E085A" w:rsidP="00C44DD8">
            <w:pPr>
              <w:spacing w:after="0"/>
              <w:ind w:left="157" w:right="102"/>
              <w:textAlignment w:val="baseline"/>
              <w:rPr>
                <w:noProof/>
                <w:lang w:val="en-IE"/>
              </w:rPr>
            </w:pPr>
            <w:r w:rsidRPr="005B4339">
              <w:rPr>
                <w:noProof/>
                <w:lang w:val="en-IE"/>
              </w:rPr>
              <w:t>Structural Business Statistics (</w:t>
            </w:r>
            <w:hyperlink r:id="rId126" w:tgtFrame="_blank" w:history="1">
              <w:r w:rsidRPr="005B4339">
                <w:rPr>
                  <w:noProof/>
                  <w:lang w:val="en-IE"/>
                </w:rPr>
                <w:t>sbs_r_nuts06_r2</w:t>
              </w:r>
            </w:hyperlink>
            <w:r w:rsidRPr="005B4339">
              <w:rPr>
                <w:noProof/>
                <w:lang w:val="en-IE"/>
              </w:rPr>
              <w:t>) </w:t>
            </w:r>
          </w:p>
        </w:tc>
        <w:tc>
          <w:tcPr>
            <w:tcW w:w="2977" w:type="dxa"/>
            <w:tcBorders>
              <w:top w:val="single" w:sz="6" w:space="0" w:color="auto"/>
              <w:left w:val="nil"/>
              <w:bottom w:val="single" w:sz="6" w:space="0" w:color="auto"/>
              <w:right w:val="single" w:sz="6" w:space="0" w:color="auto"/>
            </w:tcBorders>
            <w:vAlign w:val="center"/>
            <w:hideMark/>
          </w:tcPr>
          <w:p w14:paraId="594D0767" w14:textId="77777777" w:rsidR="004E085A" w:rsidRPr="005B4339" w:rsidRDefault="004E085A" w:rsidP="00C44DD8">
            <w:pPr>
              <w:spacing w:after="0"/>
              <w:ind w:left="157" w:right="102"/>
              <w:textAlignment w:val="baseline"/>
              <w:rPr>
                <w:noProof/>
                <w:lang w:val="en-IE"/>
              </w:rPr>
            </w:pPr>
            <w:r w:rsidRPr="005B4339">
              <w:rPr>
                <w:noProof/>
                <w:lang w:val="en-IE"/>
              </w:rPr>
              <w:t>Food Manufacturing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21E842" w14:textId="77777777" w:rsidR="004E085A" w:rsidRPr="005B4339" w:rsidRDefault="004E085A" w:rsidP="00C44DD8">
            <w:pPr>
              <w:spacing w:after="0"/>
              <w:ind w:left="157" w:right="102"/>
              <w:textAlignment w:val="baseline"/>
              <w:rPr>
                <w:noProof/>
                <w:lang w:val="en-IE"/>
              </w:rPr>
            </w:pPr>
            <w:r w:rsidRPr="005B4339">
              <w:rPr>
                <w:noProof/>
                <w:lang w:val="en-IE"/>
              </w:rPr>
              <w:t>C10 </w:t>
            </w:r>
          </w:p>
        </w:tc>
      </w:tr>
      <w:tr w:rsidR="004E085A" w:rsidRPr="005B4339" w14:paraId="7225A372" w14:textId="77777777" w:rsidTr="00C44DD8">
        <w:trPr>
          <w:trHeight w:val="27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7C75F94" w14:textId="77777777" w:rsidR="004E085A" w:rsidRPr="005B4339" w:rsidRDefault="004E085A" w:rsidP="00C44DD8">
            <w:pPr>
              <w:spacing w:after="0"/>
              <w:rPr>
                <w:noProof/>
                <w:lang w:val="en-IE"/>
              </w:rPr>
            </w:pPr>
          </w:p>
        </w:tc>
        <w:tc>
          <w:tcPr>
            <w:tcW w:w="0" w:type="auto"/>
            <w:vMerge/>
            <w:tcBorders>
              <w:top w:val="single" w:sz="6" w:space="0" w:color="auto"/>
              <w:left w:val="nil"/>
              <w:bottom w:val="single" w:sz="6" w:space="0" w:color="auto"/>
              <w:right w:val="single" w:sz="4" w:space="0" w:color="auto"/>
            </w:tcBorders>
            <w:vAlign w:val="center"/>
            <w:hideMark/>
          </w:tcPr>
          <w:p w14:paraId="26AA76E6" w14:textId="77777777" w:rsidR="004E085A" w:rsidRPr="005B4339" w:rsidRDefault="004E085A" w:rsidP="00C44DD8">
            <w:pPr>
              <w:spacing w:after="0"/>
              <w:rPr>
                <w:noProof/>
                <w:lang w:val="en-IE"/>
              </w:rPr>
            </w:pPr>
          </w:p>
        </w:tc>
        <w:tc>
          <w:tcPr>
            <w:tcW w:w="2977" w:type="dxa"/>
            <w:tcBorders>
              <w:top w:val="single" w:sz="6" w:space="0" w:color="auto"/>
              <w:left w:val="nil"/>
              <w:bottom w:val="single" w:sz="6" w:space="0" w:color="auto"/>
              <w:right w:val="single" w:sz="6" w:space="0" w:color="auto"/>
            </w:tcBorders>
            <w:vAlign w:val="center"/>
            <w:hideMark/>
          </w:tcPr>
          <w:p w14:paraId="74A02FFE" w14:textId="77777777" w:rsidR="004E085A" w:rsidRPr="005B4339" w:rsidRDefault="004E085A" w:rsidP="00C44DD8">
            <w:pPr>
              <w:spacing w:after="0"/>
              <w:ind w:left="157" w:right="102"/>
              <w:textAlignment w:val="baseline"/>
              <w:rPr>
                <w:noProof/>
                <w:lang w:val="en-IE"/>
              </w:rPr>
            </w:pPr>
            <w:r w:rsidRPr="005B4339">
              <w:rPr>
                <w:noProof/>
                <w:lang w:val="en-IE"/>
              </w:rPr>
              <w:t>Waste Collection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5E0654" w14:textId="77777777" w:rsidR="004E085A" w:rsidRPr="005B4339" w:rsidRDefault="004E085A" w:rsidP="00C44DD8">
            <w:pPr>
              <w:spacing w:after="0"/>
              <w:ind w:left="157" w:right="102"/>
              <w:textAlignment w:val="baseline"/>
              <w:rPr>
                <w:noProof/>
                <w:lang w:val="en-IE"/>
              </w:rPr>
            </w:pPr>
            <w:r w:rsidRPr="005B4339">
              <w:rPr>
                <w:noProof/>
                <w:lang w:val="en-IE"/>
              </w:rPr>
              <w:t>E38 </w:t>
            </w:r>
          </w:p>
        </w:tc>
      </w:tr>
      <w:tr w:rsidR="004E085A" w:rsidRPr="005B4339" w14:paraId="291C890A" w14:textId="77777777" w:rsidTr="00C44DD8">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8FC51F0" w14:textId="77777777" w:rsidR="004E085A" w:rsidRPr="005B4339" w:rsidRDefault="004E085A" w:rsidP="00C44DD8">
            <w:pPr>
              <w:spacing w:after="0"/>
              <w:rPr>
                <w:noProof/>
                <w:lang w:val="en-IE"/>
              </w:rPr>
            </w:pPr>
          </w:p>
        </w:tc>
        <w:tc>
          <w:tcPr>
            <w:tcW w:w="0" w:type="auto"/>
            <w:vMerge/>
            <w:tcBorders>
              <w:top w:val="single" w:sz="6" w:space="0" w:color="auto"/>
              <w:left w:val="nil"/>
              <w:bottom w:val="single" w:sz="6" w:space="0" w:color="auto"/>
              <w:right w:val="single" w:sz="4" w:space="0" w:color="auto"/>
            </w:tcBorders>
            <w:vAlign w:val="center"/>
            <w:hideMark/>
          </w:tcPr>
          <w:p w14:paraId="72E03209" w14:textId="77777777" w:rsidR="004E085A" w:rsidRPr="005B4339" w:rsidRDefault="004E085A" w:rsidP="00C44DD8">
            <w:pPr>
              <w:spacing w:after="0"/>
              <w:rPr>
                <w:noProof/>
                <w:lang w:val="en-IE"/>
              </w:rPr>
            </w:pPr>
          </w:p>
        </w:tc>
        <w:tc>
          <w:tcPr>
            <w:tcW w:w="2977" w:type="dxa"/>
            <w:tcBorders>
              <w:top w:val="single" w:sz="6" w:space="0" w:color="auto"/>
              <w:left w:val="nil"/>
              <w:bottom w:val="single" w:sz="6" w:space="0" w:color="auto"/>
              <w:right w:val="single" w:sz="6" w:space="0" w:color="auto"/>
            </w:tcBorders>
            <w:vAlign w:val="center"/>
            <w:hideMark/>
          </w:tcPr>
          <w:p w14:paraId="1DEC78E9" w14:textId="77777777" w:rsidR="004E085A" w:rsidRPr="005B4339" w:rsidRDefault="004E085A" w:rsidP="00C44DD8">
            <w:pPr>
              <w:spacing w:after="0"/>
              <w:ind w:left="157" w:right="102"/>
              <w:textAlignment w:val="baseline"/>
              <w:rPr>
                <w:noProof/>
                <w:lang w:val="en-IE"/>
              </w:rPr>
            </w:pPr>
            <w:r w:rsidRPr="005B4339">
              <w:rPr>
                <w:noProof/>
                <w:lang w:val="en-IE"/>
              </w:rPr>
              <w:t>Accommodation and Food services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3E73D04" w14:textId="77777777" w:rsidR="004E085A" w:rsidRPr="005B4339" w:rsidRDefault="004E085A" w:rsidP="00C44DD8">
            <w:pPr>
              <w:spacing w:after="0"/>
              <w:ind w:left="157" w:right="102"/>
              <w:textAlignment w:val="baseline"/>
              <w:rPr>
                <w:noProof/>
                <w:lang w:val="en-IE"/>
              </w:rPr>
            </w:pPr>
            <w:r w:rsidRPr="005B4339">
              <w:rPr>
                <w:noProof/>
                <w:lang w:val="en-IE"/>
              </w:rPr>
              <w:t>I </w:t>
            </w:r>
          </w:p>
        </w:tc>
      </w:tr>
    </w:tbl>
    <w:p w14:paraId="46C1FC28" w14:textId="77777777" w:rsidR="00794505" w:rsidRPr="005B4339" w:rsidRDefault="00794505" w:rsidP="00794505">
      <w:pPr>
        <w:pStyle w:val="JRCTablesource"/>
        <w:rPr>
          <w:rFonts w:ascii="Times New Roman" w:hAnsi="Times New Roman"/>
          <w:noProof/>
          <w:sz w:val="24"/>
          <w:szCs w:val="24"/>
          <w:lang w:val="en-IE"/>
        </w:rPr>
      </w:pPr>
      <w:r w:rsidRPr="005B4339">
        <w:rPr>
          <w:rFonts w:ascii="Times New Roman" w:hAnsi="Times New Roman"/>
          <w:noProof/>
          <w:sz w:val="24"/>
          <w:szCs w:val="24"/>
          <w:lang w:val="en-IE"/>
        </w:rPr>
        <w:t>Source: Authors’ own elaboration </w:t>
      </w:r>
    </w:p>
    <w:p w14:paraId="1AF354DD" w14:textId="77777777" w:rsidR="00794505" w:rsidRPr="005B4339" w:rsidRDefault="00794505" w:rsidP="00794505">
      <w:pPr>
        <w:spacing w:after="0"/>
        <w:textAlignment w:val="baseline"/>
        <w:rPr>
          <w:noProof/>
          <w:lang w:val="en-IE"/>
        </w:rPr>
      </w:pPr>
    </w:p>
    <w:p w14:paraId="040B5CF5" w14:textId="4F5341F5"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After some processing and consistency checks</w:t>
      </w:r>
      <w:r w:rsidRPr="005B4339">
        <w:rPr>
          <w:rFonts w:ascii="Times New Roman" w:hAnsi="Times New Roman"/>
          <w:noProof/>
          <w:sz w:val="24"/>
          <w:szCs w:val="24"/>
          <w:vertAlign w:val="superscript"/>
          <w:lang w:val="en-IE"/>
        </w:rPr>
        <w:footnoteReference w:id="156"/>
      </w:r>
      <w:r w:rsidR="004E085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data from Eurostat </w:t>
      </w:r>
      <w:r w:rsidR="007F3DA1" w:rsidRPr="005B4339">
        <w:rPr>
          <w:rFonts w:ascii="Times New Roman" w:hAnsi="Times New Roman"/>
          <w:noProof/>
          <w:sz w:val="24"/>
          <w:szCs w:val="24"/>
          <w:lang w:val="en-IE"/>
        </w:rPr>
        <w:t xml:space="preserve">were used </w:t>
      </w:r>
      <w:r w:rsidRPr="005B4339">
        <w:rPr>
          <w:rFonts w:ascii="Times New Roman" w:hAnsi="Times New Roman"/>
          <w:noProof/>
          <w:sz w:val="24"/>
          <w:szCs w:val="24"/>
          <w:lang w:val="en-IE"/>
        </w:rPr>
        <w:t>to calculate the share of both regional employment and value added over the total for each sector</w:t>
      </w:r>
      <w:r w:rsidR="00C92CEF" w:rsidRPr="005B4339">
        <w:rPr>
          <w:rFonts w:ascii="Times New Roman" w:hAnsi="Times New Roman"/>
          <w:noProof/>
          <w:sz w:val="24"/>
          <w:szCs w:val="24"/>
          <w:lang w:val="en-IE"/>
        </w:rPr>
        <w:t xml:space="preserve"> per country</w:t>
      </w:r>
      <w:r w:rsidR="5AFF7528"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r w:rsidR="004E085A" w:rsidRPr="005B4339">
        <w:rPr>
          <w:rFonts w:ascii="Times New Roman" w:hAnsi="Times New Roman"/>
          <w:noProof/>
          <w:sz w:val="24"/>
          <w:szCs w:val="24"/>
          <w:lang w:val="en-IE"/>
        </w:rPr>
        <w:t>Then,</w:t>
      </w:r>
      <w:r w:rsidRPr="005B4339">
        <w:rPr>
          <w:rFonts w:ascii="Times New Roman" w:hAnsi="Times New Roman"/>
          <w:noProof/>
          <w:sz w:val="24"/>
          <w:szCs w:val="24"/>
          <w:lang w:val="en-IE"/>
        </w:rPr>
        <w:t xml:space="preserve"> these shares </w:t>
      </w:r>
      <w:r w:rsidR="007F3DA1" w:rsidRPr="005B4339">
        <w:rPr>
          <w:rFonts w:ascii="Times New Roman" w:hAnsi="Times New Roman"/>
          <w:noProof/>
          <w:sz w:val="24"/>
          <w:szCs w:val="24"/>
          <w:lang w:val="en-IE"/>
        </w:rPr>
        <w:t>were used</w:t>
      </w:r>
      <w:r w:rsidR="5AFF7528"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as a criterion to distribute the foreseen deviations by country among the corresponding NUTS2. The results are described below. </w:t>
      </w:r>
    </w:p>
    <w:p w14:paraId="42F9DF19" w14:textId="120B2D38" w:rsidR="00794505" w:rsidRPr="005B4339" w:rsidRDefault="00A938F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_Ref133493744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Table 40</w:t>
      </w:r>
      <w:r w:rsidRPr="005B4339">
        <w:rPr>
          <w:rFonts w:ascii="Times New Roman" w:hAnsi="Times New Roman"/>
          <w:noProof/>
          <w:sz w:val="24"/>
          <w:szCs w:val="24"/>
          <w:lang w:val="en-IE"/>
        </w:rPr>
        <w:fldChar w:fldCharType="end"/>
      </w:r>
      <w:r w:rsidR="00203A42"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 xml:space="preserve">and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_Ref133493765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Table 41</w:t>
      </w:r>
      <w:r w:rsidRPr="005B4339">
        <w:rPr>
          <w:rFonts w:ascii="Times New Roman" w:hAnsi="Times New Roman"/>
          <w:noProof/>
          <w:sz w:val="24"/>
          <w:szCs w:val="24"/>
          <w:lang w:val="en-IE"/>
        </w:rPr>
        <w:fldChar w:fldCharType="end"/>
      </w:r>
      <w:r w:rsidR="00203A42"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 xml:space="preserve">show a general overview of the impact of food waste reduction by NUTS2 regions classified according to their level of development. This classification follows the same criteria as the eligibility to receive European Regional Development Funds. </w:t>
      </w:r>
      <w:r w:rsidR="004E085A" w:rsidRPr="005B4339">
        <w:rPr>
          <w:rFonts w:ascii="Times New Roman" w:hAnsi="Times New Roman"/>
          <w:noProof/>
          <w:sz w:val="24"/>
          <w:szCs w:val="24"/>
          <w:lang w:val="en-IE"/>
        </w:rPr>
        <w:t>Thus, the less developed regions are those whose GDP per capita is below 75% of the EU average, the transition regions show a GDP per capita between 75% and 100% of the EU average,</w:t>
      </w:r>
      <w:r w:rsidR="00794505" w:rsidRPr="005B4339">
        <w:rPr>
          <w:rFonts w:ascii="Times New Roman" w:hAnsi="Times New Roman"/>
          <w:noProof/>
          <w:sz w:val="24"/>
          <w:szCs w:val="24"/>
          <w:lang w:val="en-IE"/>
        </w:rPr>
        <w:t xml:space="preserve"> while the most developed regions present a GDP per capita above 100% of the EU average. </w:t>
      </w:r>
    </w:p>
    <w:p w14:paraId="06F08F7D" w14:textId="57AFE177" w:rsidR="00794505" w:rsidRPr="005B4339" w:rsidRDefault="00575EB5" w:rsidP="00575EB5">
      <w:pPr>
        <w:pStyle w:val="Caption"/>
        <w:rPr>
          <w:noProof/>
          <w:color w:val="auto"/>
          <w:sz w:val="24"/>
          <w:szCs w:val="24"/>
          <w:lang w:val="en-IE"/>
        </w:rPr>
      </w:pPr>
      <w:bookmarkStart w:id="758" w:name="_Ref133493744"/>
      <w:bookmarkStart w:id="759" w:name="_Toc122624034"/>
      <w:bookmarkStart w:id="760" w:name="_Toc125119088"/>
      <w:bookmarkStart w:id="761" w:name="_Toc133229502"/>
      <w:bookmarkStart w:id="762" w:name="_Toc139032056"/>
      <w:r w:rsidRPr="005B4339">
        <w:rPr>
          <w:noProof/>
          <w:color w:val="auto"/>
          <w:sz w:val="24"/>
          <w:szCs w:val="24"/>
          <w:lang w:val="en-IE"/>
        </w:rPr>
        <w:t xml:space="preserve">Table </w:t>
      </w:r>
      <w:r w:rsidR="00393DFA">
        <w:rPr>
          <w:noProof/>
          <w:color w:val="auto"/>
          <w:sz w:val="24"/>
          <w:szCs w:val="24"/>
        </w:rPr>
        <w:t>40</w:t>
      </w:r>
      <w:bookmarkEnd w:id="758"/>
      <w:r w:rsidRPr="005B4339">
        <w:rPr>
          <w:noProof/>
          <w:color w:val="auto"/>
          <w:sz w:val="24"/>
          <w:szCs w:val="24"/>
          <w:lang w:val="en-IE"/>
        </w:rPr>
        <w:t xml:space="preserve"> -</w:t>
      </w:r>
      <w:r w:rsidR="00794505" w:rsidRPr="005B4339">
        <w:rPr>
          <w:noProof/>
          <w:color w:val="auto"/>
          <w:sz w:val="24"/>
          <w:szCs w:val="24"/>
          <w:lang w:val="en-IE"/>
        </w:rPr>
        <w:t xml:space="preserve"> Potential impact on total regional employment by group of regions according to their level of development</w:t>
      </w:r>
      <w:bookmarkEnd w:id="759"/>
      <w:bookmarkEnd w:id="760"/>
      <w:bookmarkEnd w:id="761"/>
      <w:bookmarkEnd w:id="762"/>
    </w:p>
    <w:tbl>
      <w:tblPr>
        <w:tblW w:w="8789" w:type="dxa"/>
        <w:jc w:val="center"/>
        <w:tblLayout w:type="fixed"/>
        <w:tblLook w:val="04A0" w:firstRow="1" w:lastRow="0" w:firstColumn="1" w:lastColumn="0" w:noHBand="0" w:noVBand="1"/>
      </w:tblPr>
      <w:tblGrid>
        <w:gridCol w:w="1980"/>
        <w:gridCol w:w="1417"/>
        <w:gridCol w:w="1701"/>
        <w:gridCol w:w="1560"/>
        <w:gridCol w:w="2131"/>
      </w:tblGrid>
      <w:tr w:rsidR="00794505" w:rsidRPr="005B4339" w14:paraId="1A2968A8" w14:textId="77777777" w:rsidTr="00034A4B">
        <w:trPr>
          <w:trHeight w:val="470"/>
          <w:jc w:val="center"/>
        </w:trPr>
        <w:tc>
          <w:tcPr>
            <w:tcW w:w="1980" w:type="dxa"/>
            <w:tcBorders>
              <w:top w:val="single" w:sz="4" w:space="0" w:color="auto"/>
              <w:left w:val="single" w:sz="4" w:space="0" w:color="auto"/>
              <w:bottom w:val="single" w:sz="4" w:space="0" w:color="auto"/>
              <w:right w:val="single" w:sz="4" w:space="0" w:color="auto"/>
            </w:tcBorders>
            <w:noWrap/>
            <w:vAlign w:val="bottom"/>
          </w:tcPr>
          <w:p w14:paraId="55BD53E0" w14:textId="77777777" w:rsidR="00794505" w:rsidRPr="005B4339" w:rsidRDefault="00794505" w:rsidP="00F160D3">
            <w:pPr>
              <w:spacing w:after="0"/>
              <w:rPr>
                <w:noProof/>
                <w:lang w:val="en-IE"/>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478B52" w14:textId="77777777" w:rsidR="00794505" w:rsidRPr="005B4339" w:rsidRDefault="00794505" w:rsidP="00F160D3">
            <w:pPr>
              <w:spacing w:after="0"/>
              <w:rPr>
                <w:noProof/>
                <w:lang w:val="en-IE"/>
              </w:rPr>
            </w:pPr>
            <w:r w:rsidRPr="005B4339">
              <w:rPr>
                <w:noProof/>
                <w:lang w:val="en-IE"/>
              </w:rPr>
              <w:t>Agriculture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B8A58C" w14:textId="77777777" w:rsidR="00794505" w:rsidRPr="005B4339" w:rsidRDefault="00794505" w:rsidP="00F160D3">
            <w:pPr>
              <w:spacing w:after="0"/>
              <w:rPr>
                <w:noProof/>
                <w:lang w:val="en-IE"/>
              </w:rPr>
            </w:pPr>
            <w:r w:rsidRPr="005B4339">
              <w:rPr>
                <w:noProof/>
                <w:lang w:val="en-IE"/>
              </w:rPr>
              <w:t>Food Manufacturing</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B3E71D" w14:textId="77777777" w:rsidR="00794505" w:rsidRPr="005B4339" w:rsidRDefault="00794505" w:rsidP="00F160D3">
            <w:pPr>
              <w:spacing w:after="0"/>
              <w:rPr>
                <w:noProof/>
                <w:lang w:val="en-IE"/>
              </w:rPr>
            </w:pPr>
            <w:r w:rsidRPr="005B4339">
              <w:rPr>
                <w:noProof/>
                <w:lang w:val="en-IE"/>
              </w:rPr>
              <w:t>Waste Collection</w:t>
            </w:r>
          </w:p>
        </w:tc>
        <w:tc>
          <w:tcPr>
            <w:tcW w:w="213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B63C04" w14:textId="76C201B3" w:rsidR="00794505" w:rsidRPr="005B4339" w:rsidRDefault="00794505" w:rsidP="00F160D3">
            <w:pPr>
              <w:spacing w:after="0"/>
              <w:rPr>
                <w:noProof/>
                <w:lang w:val="en-IE"/>
              </w:rPr>
            </w:pPr>
            <w:r w:rsidRPr="005B4339">
              <w:rPr>
                <w:noProof/>
                <w:lang w:val="en-IE"/>
              </w:rPr>
              <w:t xml:space="preserve">Manufacturing (excl. </w:t>
            </w:r>
            <w:r w:rsidR="00C92CEF" w:rsidRPr="005B4339">
              <w:rPr>
                <w:noProof/>
                <w:lang w:val="en-IE"/>
              </w:rPr>
              <w:t>f</w:t>
            </w:r>
            <w:r w:rsidRPr="005B4339">
              <w:rPr>
                <w:noProof/>
                <w:lang w:val="en-IE"/>
              </w:rPr>
              <w:t>ood-related activities)</w:t>
            </w:r>
          </w:p>
        </w:tc>
      </w:tr>
      <w:tr w:rsidR="00794505" w:rsidRPr="005B4339" w14:paraId="1062BED1" w14:textId="77777777" w:rsidTr="00C92CEF">
        <w:trPr>
          <w:trHeight w:val="283"/>
          <w:jc w:val="center"/>
        </w:trPr>
        <w:tc>
          <w:tcPr>
            <w:tcW w:w="1980" w:type="dxa"/>
            <w:tcBorders>
              <w:top w:val="nil"/>
              <w:left w:val="single" w:sz="4" w:space="0" w:color="auto"/>
              <w:bottom w:val="single" w:sz="4" w:space="0" w:color="auto"/>
              <w:right w:val="single" w:sz="4" w:space="0" w:color="auto"/>
            </w:tcBorders>
            <w:noWrap/>
            <w:vAlign w:val="bottom"/>
            <w:hideMark/>
          </w:tcPr>
          <w:p w14:paraId="41A0AA9B" w14:textId="77777777" w:rsidR="00794505" w:rsidRPr="005B4339" w:rsidRDefault="00794505" w:rsidP="00F160D3">
            <w:pPr>
              <w:spacing w:after="0"/>
              <w:rPr>
                <w:noProof/>
                <w:lang w:val="en-IE"/>
              </w:rPr>
            </w:pPr>
            <w:r w:rsidRPr="005B4339">
              <w:rPr>
                <w:noProof/>
                <w:lang w:val="en-IE"/>
              </w:rPr>
              <w:t xml:space="preserve"> Less developed </w:t>
            </w:r>
          </w:p>
        </w:tc>
        <w:tc>
          <w:tcPr>
            <w:tcW w:w="1417" w:type="dxa"/>
            <w:tcBorders>
              <w:top w:val="nil"/>
              <w:left w:val="nil"/>
              <w:bottom w:val="single" w:sz="4" w:space="0" w:color="auto"/>
              <w:right w:val="single" w:sz="4" w:space="0" w:color="auto"/>
            </w:tcBorders>
            <w:noWrap/>
            <w:vAlign w:val="bottom"/>
            <w:hideMark/>
          </w:tcPr>
          <w:p w14:paraId="4BBDD147" w14:textId="77777777" w:rsidR="00794505" w:rsidRPr="005B4339" w:rsidRDefault="00794505" w:rsidP="00F160D3">
            <w:pPr>
              <w:spacing w:after="0"/>
              <w:rPr>
                <w:noProof/>
                <w:lang w:val="en-IE"/>
              </w:rPr>
            </w:pPr>
            <w:r w:rsidRPr="005B4339">
              <w:rPr>
                <w:noProof/>
                <w:lang w:val="en-IE"/>
              </w:rPr>
              <w:t>-0.14%</w:t>
            </w:r>
          </w:p>
        </w:tc>
        <w:tc>
          <w:tcPr>
            <w:tcW w:w="1701" w:type="dxa"/>
            <w:tcBorders>
              <w:top w:val="nil"/>
              <w:left w:val="nil"/>
              <w:bottom w:val="single" w:sz="4" w:space="0" w:color="auto"/>
              <w:right w:val="single" w:sz="4" w:space="0" w:color="auto"/>
            </w:tcBorders>
            <w:noWrap/>
            <w:vAlign w:val="bottom"/>
            <w:hideMark/>
          </w:tcPr>
          <w:p w14:paraId="4C1269E2" w14:textId="77777777" w:rsidR="00794505" w:rsidRPr="005B4339" w:rsidRDefault="00794505" w:rsidP="00F160D3">
            <w:pPr>
              <w:spacing w:after="0"/>
              <w:rPr>
                <w:noProof/>
                <w:lang w:val="en-IE"/>
              </w:rPr>
            </w:pPr>
            <w:r w:rsidRPr="005B4339">
              <w:rPr>
                <w:noProof/>
                <w:lang w:val="en-IE"/>
              </w:rPr>
              <w:t>-0.03%</w:t>
            </w:r>
          </w:p>
        </w:tc>
        <w:tc>
          <w:tcPr>
            <w:tcW w:w="1560" w:type="dxa"/>
            <w:tcBorders>
              <w:top w:val="nil"/>
              <w:left w:val="nil"/>
              <w:bottom w:val="single" w:sz="4" w:space="0" w:color="auto"/>
              <w:right w:val="single" w:sz="4" w:space="0" w:color="auto"/>
            </w:tcBorders>
            <w:noWrap/>
            <w:vAlign w:val="bottom"/>
            <w:hideMark/>
          </w:tcPr>
          <w:p w14:paraId="7974DBD0" w14:textId="77777777" w:rsidR="00794505" w:rsidRPr="005B4339" w:rsidRDefault="00794505" w:rsidP="00F160D3">
            <w:pPr>
              <w:spacing w:after="0"/>
              <w:rPr>
                <w:noProof/>
                <w:lang w:val="en-IE"/>
              </w:rPr>
            </w:pPr>
            <w:r w:rsidRPr="005B4339">
              <w:rPr>
                <w:noProof/>
                <w:lang w:val="en-IE"/>
              </w:rPr>
              <w:t>-0.03%</w:t>
            </w:r>
          </w:p>
        </w:tc>
        <w:tc>
          <w:tcPr>
            <w:tcW w:w="2131" w:type="dxa"/>
            <w:tcBorders>
              <w:top w:val="nil"/>
              <w:left w:val="nil"/>
              <w:bottom w:val="single" w:sz="4" w:space="0" w:color="auto"/>
              <w:right w:val="single" w:sz="4" w:space="0" w:color="auto"/>
            </w:tcBorders>
            <w:noWrap/>
            <w:vAlign w:val="bottom"/>
            <w:hideMark/>
          </w:tcPr>
          <w:p w14:paraId="1321BD2A" w14:textId="77777777" w:rsidR="00794505" w:rsidRPr="005B4339" w:rsidRDefault="00794505" w:rsidP="00F160D3">
            <w:pPr>
              <w:spacing w:after="0"/>
              <w:rPr>
                <w:noProof/>
                <w:lang w:val="en-IE"/>
              </w:rPr>
            </w:pPr>
            <w:r w:rsidRPr="005B4339">
              <w:rPr>
                <w:noProof/>
                <w:lang w:val="en-IE"/>
              </w:rPr>
              <w:t>0.03%</w:t>
            </w:r>
          </w:p>
        </w:tc>
      </w:tr>
      <w:tr w:rsidR="00794505" w:rsidRPr="005B4339" w14:paraId="7761592D" w14:textId="77777777" w:rsidTr="00C92CEF">
        <w:trPr>
          <w:trHeight w:val="283"/>
          <w:jc w:val="center"/>
        </w:trPr>
        <w:tc>
          <w:tcPr>
            <w:tcW w:w="1980" w:type="dxa"/>
            <w:tcBorders>
              <w:top w:val="nil"/>
              <w:left w:val="single" w:sz="4" w:space="0" w:color="auto"/>
              <w:bottom w:val="single" w:sz="4" w:space="0" w:color="auto"/>
              <w:right w:val="single" w:sz="4" w:space="0" w:color="auto"/>
            </w:tcBorders>
            <w:noWrap/>
            <w:vAlign w:val="bottom"/>
            <w:hideMark/>
          </w:tcPr>
          <w:p w14:paraId="373F0123" w14:textId="77777777" w:rsidR="00794505" w:rsidRPr="005B4339" w:rsidRDefault="00794505" w:rsidP="00F160D3">
            <w:pPr>
              <w:spacing w:after="0"/>
              <w:rPr>
                <w:noProof/>
                <w:lang w:val="en-IE"/>
              </w:rPr>
            </w:pPr>
            <w:r w:rsidRPr="005B4339">
              <w:rPr>
                <w:noProof/>
                <w:lang w:val="en-IE"/>
              </w:rPr>
              <w:t xml:space="preserve"> Transition </w:t>
            </w:r>
          </w:p>
        </w:tc>
        <w:tc>
          <w:tcPr>
            <w:tcW w:w="1417" w:type="dxa"/>
            <w:tcBorders>
              <w:top w:val="nil"/>
              <w:left w:val="nil"/>
              <w:bottom w:val="single" w:sz="4" w:space="0" w:color="auto"/>
              <w:right w:val="single" w:sz="4" w:space="0" w:color="auto"/>
            </w:tcBorders>
            <w:noWrap/>
            <w:vAlign w:val="bottom"/>
            <w:hideMark/>
          </w:tcPr>
          <w:p w14:paraId="071B71D0" w14:textId="77777777" w:rsidR="00794505" w:rsidRPr="005B4339" w:rsidRDefault="00794505" w:rsidP="00F160D3">
            <w:pPr>
              <w:spacing w:after="0"/>
              <w:rPr>
                <w:noProof/>
                <w:lang w:val="en-IE"/>
              </w:rPr>
            </w:pPr>
            <w:r w:rsidRPr="005B4339">
              <w:rPr>
                <w:noProof/>
                <w:lang w:val="en-IE"/>
              </w:rPr>
              <w:t>-0.07%</w:t>
            </w:r>
          </w:p>
        </w:tc>
        <w:tc>
          <w:tcPr>
            <w:tcW w:w="1701" w:type="dxa"/>
            <w:tcBorders>
              <w:top w:val="nil"/>
              <w:left w:val="nil"/>
              <w:bottom w:val="single" w:sz="4" w:space="0" w:color="auto"/>
              <w:right w:val="single" w:sz="4" w:space="0" w:color="auto"/>
            </w:tcBorders>
            <w:noWrap/>
            <w:vAlign w:val="bottom"/>
            <w:hideMark/>
          </w:tcPr>
          <w:p w14:paraId="42E9E0B9" w14:textId="77777777" w:rsidR="00794505" w:rsidRPr="005B4339" w:rsidRDefault="00794505" w:rsidP="00F160D3">
            <w:pPr>
              <w:spacing w:after="0"/>
              <w:rPr>
                <w:noProof/>
                <w:lang w:val="en-IE"/>
              </w:rPr>
            </w:pPr>
            <w:r w:rsidRPr="005B4339">
              <w:rPr>
                <w:noProof/>
                <w:lang w:val="en-IE"/>
              </w:rPr>
              <w:t>-0.03%</w:t>
            </w:r>
          </w:p>
        </w:tc>
        <w:tc>
          <w:tcPr>
            <w:tcW w:w="1560" w:type="dxa"/>
            <w:tcBorders>
              <w:top w:val="nil"/>
              <w:left w:val="nil"/>
              <w:bottom w:val="single" w:sz="4" w:space="0" w:color="auto"/>
              <w:right w:val="single" w:sz="4" w:space="0" w:color="auto"/>
            </w:tcBorders>
            <w:noWrap/>
            <w:vAlign w:val="bottom"/>
            <w:hideMark/>
          </w:tcPr>
          <w:p w14:paraId="215F00D6" w14:textId="77777777" w:rsidR="00794505" w:rsidRPr="005B4339" w:rsidRDefault="00794505" w:rsidP="00F160D3">
            <w:pPr>
              <w:spacing w:after="0"/>
              <w:rPr>
                <w:noProof/>
                <w:lang w:val="en-IE"/>
              </w:rPr>
            </w:pPr>
            <w:r w:rsidRPr="005B4339">
              <w:rPr>
                <w:noProof/>
                <w:lang w:val="en-IE"/>
              </w:rPr>
              <w:t>-0.02%</w:t>
            </w:r>
          </w:p>
        </w:tc>
        <w:tc>
          <w:tcPr>
            <w:tcW w:w="2131" w:type="dxa"/>
            <w:tcBorders>
              <w:top w:val="nil"/>
              <w:left w:val="nil"/>
              <w:bottom w:val="single" w:sz="4" w:space="0" w:color="auto"/>
              <w:right w:val="single" w:sz="4" w:space="0" w:color="auto"/>
            </w:tcBorders>
            <w:noWrap/>
            <w:vAlign w:val="bottom"/>
            <w:hideMark/>
          </w:tcPr>
          <w:p w14:paraId="54AFCD3C" w14:textId="77777777" w:rsidR="00794505" w:rsidRPr="005B4339" w:rsidRDefault="00794505" w:rsidP="00F160D3">
            <w:pPr>
              <w:spacing w:after="0"/>
              <w:rPr>
                <w:noProof/>
                <w:lang w:val="en-IE"/>
              </w:rPr>
            </w:pPr>
            <w:r w:rsidRPr="005B4339">
              <w:rPr>
                <w:noProof/>
                <w:lang w:val="en-IE"/>
              </w:rPr>
              <w:t>0.01%</w:t>
            </w:r>
          </w:p>
        </w:tc>
      </w:tr>
      <w:tr w:rsidR="00794505" w:rsidRPr="005B4339" w14:paraId="011139FB" w14:textId="77777777" w:rsidTr="00C92CEF">
        <w:trPr>
          <w:trHeight w:val="283"/>
          <w:jc w:val="center"/>
        </w:trPr>
        <w:tc>
          <w:tcPr>
            <w:tcW w:w="1980" w:type="dxa"/>
            <w:tcBorders>
              <w:top w:val="nil"/>
              <w:left w:val="single" w:sz="4" w:space="0" w:color="auto"/>
              <w:bottom w:val="single" w:sz="4" w:space="0" w:color="auto"/>
              <w:right w:val="single" w:sz="4" w:space="0" w:color="auto"/>
            </w:tcBorders>
            <w:noWrap/>
            <w:vAlign w:val="bottom"/>
            <w:hideMark/>
          </w:tcPr>
          <w:p w14:paraId="6CA70024" w14:textId="77777777" w:rsidR="00794505" w:rsidRPr="005B4339" w:rsidRDefault="00794505" w:rsidP="00F160D3">
            <w:pPr>
              <w:spacing w:after="0"/>
              <w:rPr>
                <w:noProof/>
                <w:lang w:val="en-IE"/>
              </w:rPr>
            </w:pPr>
            <w:r w:rsidRPr="005B4339">
              <w:rPr>
                <w:noProof/>
                <w:lang w:val="en-IE"/>
              </w:rPr>
              <w:t xml:space="preserve"> Most Developed </w:t>
            </w:r>
          </w:p>
        </w:tc>
        <w:tc>
          <w:tcPr>
            <w:tcW w:w="1417" w:type="dxa"/>
            <w:tcBorders>
              <w:top w:val="nil"/>
              <w:left w:val="nil"/>
              <w:bottom w:val="single" w:sz="4" w:space="0" w:color="auto"/>
              <w:right w:val="single" w:sz="4" w:space="0" w:color="auto"/>
            </w:tcBorders>
            <w:noWrap/>
            <w:vAlign w:val="bottom"/>
            <w:hideMark/>
          </w:tcPr>
          <w:p w14:paraId="5DBD5B63" w14:textId="77777777" w:rsidR="00794505" w:rsidRPr="005B4339" w:rsidRDefault="00794505" w:rsidP="00F160D3">
            <w:pPr>
              <w:spacing w:after="0"/>
              <w:rPr>
                <w:noProof/>
                <w:lang w:val="en-IE"/>
              </w:rPr>
            </w:pPr>
            <w:r w:rsidRPr="005B4339">
              <w:rPr>
                <w:noProof/>
                <w:lang w:val="en-IE"/>
              </w:rPr>
              <w:t>-0.04%</w:t>
            </w:r>
          </w:p>
        </w:tc>
        <w:tc>
          <w:tcPr>
            <w:tcW w:w="1701" w:type="dxa"/>
            <w:tcBorders>
              <w:top w:val="nil"/>
              <w:left w:val="nil"/>
              <w:bottom w:val="single" w:sz="4" w:space="0" w:color="auto"/>
              <w:right w:val="single" w:sz="4" w:space="0" w:color="auto"/>
            </w:tcBorders>
            <w:noWrap/>
            <w:vAlign w:val="bottom"/>
            <w:hideMark/>
          </w:tcPr>
          <w:p w14:paraId="4467DDF9" w14:textId="77777777" w:rsidR="00794505" w:rsidRPr="005B4339" w:rsidRDefault="00794505" w:rsidP="00F160D3">
            <w:pPr>
              <w:spacing w:after="0"/>
              <w:rPr>
                <w:noProof/>
                <w:lang w:val="en-IE"/>
              </w:rPr>
            </w:pPr>
            <w:r w:rsidRPr="005B4339">
              <w:rPr>
                <w:noProof/>
                <w:lang w:val="en-IE"/>
              </w:rPr>
              <w:t>-0.03%</w:t>
            </w:r>
          </w:p>
        </w:tc>
        <w:tc>
          <w:tcPr>
            <w:tcW w:w="1560" w:type="dxa"/>
            <w:tcBorders>
              <w:top w:val="nil"/>
              <w:left w:val="nil"/>
              <w:bottom w:val="single" w:sz="4" w:space="0" w:color="auto"/>
              <w:right w:val="single" w:sz="4" w:space="0" w:color="auto"/>
            </w:tcBorders>
            <w:noWrap/>
            <w:vAlign w:val="bottom"/>
            <w:hideMark/>
          </w:tcPr>
          <w:p w14:paraId="5FBB80B5" w14:textId="77777777" w:rsidR="00794505" w:rsidRPr="005B4339" w:rsidRDefault="00794505" w:rsidP="00F160D3">
            <w:pPr>
              <w:spacing w:after="0"/>
              <w:rPr>
                <w:noProof/>
                <w:lang w:val="en-IE"/>
              </w:rPr>
            </w:pPr>
            <w:r w:rsidRPr="005B4339">
              <w:rPr>
                <w:noProof/>
                <w:lang w:val="en-IE"/>
              </w:rPr>
              <w:t>-0.01%</w:t>
            </w:r>
          </w:p>
        </w:tc>
        <w:tc>
          <w:tcPr>
            <w:tcW w:w="2131" w:type="dxa"/>
            <w:tcBorders>
              <w:top w:val="nil"/>
              <w:left w:val="nil"/>
              <w:bottom w:val="single" w:sz="4" w:space="0" w:color="auto"/>
              <w:right w:val="single" w:sz="4" w:space="0" w:color="auto"/>
            </w:tcBorders>
            <w:noWrap/>
            <w:vAlign w:val="bottom"/>
            <w:hideMark/>
          </w:tcPr>
          <w:p w14:paraId="37458522" w14:textId="77777777" w:rsidR="00794505" w:rsidRPr="005B4339" w:rsidRDefault="00794505" w:rsidP="00F160D3">
            <w:pPr>
              <w:spacing w:after="0"/>
              <w:rPr>
                <w:noProof/>
                <w:lang w:val="en-IE"/>
              </w:rPr>
            </w:pPr>
            <w:r w:rsidRPr="005B4339">
              <w:rPr>
                <w:noProof/>
                <w:lang w:val="en-IE"/>
              </w:rPr>
              <w:t>0.02%</w:t>
            </w:r>
          </w:p>
        </w:tc>
      </w:tr>
    </w:tbl>
    <w:p w14:paraId="0CE9F062" w14:textId="77777777" w:rsidR="00794505" w:rsidRPr="005B4339" w:rsidRDefault="00794505" w:rsidP="00F54798">
      <w:pPr>
        <w:pStyle w:val="JRCFiguresource"/>
        <w:rPr>
          <w:noProof/>
          <w:lang w:val="en-IE"/>
        </w:rPr>
      </w:pPr>
      <w:r w:rsidRPr="005B4339">
        <w:rPr>
          <w:noProof/>
          <w:lang w:val="en-IE"/>
        </w:rPr>
        <w:t> Source: Own elaboration from MAGNET results and Eurostat data. </w:t>
      </w:r>
    </w:p>
    <w:p w14:paraId="05B79ACD" w14:textId="14835ECB" w:rsidR="00794505" w:rsidRPr="005B4339" w:rsidRDefault="00575EB5" w:rsidP="00575EB5">
      <w:pPr>
        <w:pStyle w:val="Caption"/>
        <w:rPr>
          <w:noProof/>
          <w:color w:val="auto"/>
          <w:sz w:val="24"/>
          <w:szCs w:val="24"/>
          <w:lang w:val="en-IE"/>
        </w:rPr>
      </w:pPr>
      <w:bookmarkStart w:id="763" w:name="_Ref133493765"/>
      <w:bookmarkStart w:id="764" w:name="_Toc125119089"/>
      <w:bookmarkStart w:id="765" w:name="_Toc133229503"/>
      <w:bookmarkStart w:id="766" w:name="_Toc139032057"/>
      <w:r w:rsidRPr="005B4339">
        <w:rPr>
          <w:noProof/>
          <w:color w:val="auto"/>
          <w:sz w:val="24"/>
          <w:szCs w:val="24"/>
          <w:lang w:val="en-IE"/>
        </w:rPr>
        <w:t xml:space="preserve">Table </w:t>
      </w:r>
      <w:r w:rsidR="00393DFA">
        <w:rPr>
          <w:noProof/>
          <w:color w:val="auto"/>
          <w:sz w:val="24"/>
          <w:szCs w:val="24"/>
        </w:rPr>
        <w:t>41</w:t>
      </w:r>
      <w:bookmarkEnd w:id="763"/>
      <w:r w:rsidRPr="005B4339">
        <w:rPr>
          <w:noProof/>
          <w:color w:val="auto"/>
          <w:sz w:val="24"/>
          <w:szCs w:val="24"/>
          <w:lang w:val="en-IE"/>
        </w:rPr>
        <w:t xml:space="preserve"> - </w:t>
      </w:r>
      <w:r w:rsidR="00794505" w:rsidRPr="005B4339">
        <w:rPr>
          <w:noProof/>
          <w:color w:val="auto"/>
          <w:sz w:val="24"/>
          <w:szCs w:val="24"/>
          <w:lang w:val="en-IE"/>
        </w:rPr>
        <w:t>Potential impact on total regional value added by group of regions</w:t>
      </w:r>
      <w:bookmarkEnd w:id="764"/>
      <w:bookmarkEnd w:id="765"/>
      <w:bookmarkEnd w:id="766"/>
    </w:p>
    <w:tbl>
      <w:tblPr>
        <w:tblW w:w="0" w:type="dxa"/>
        <w:jc w:val="center"/>
        <w:tblLayout w:type="fixed"/>
        <w:tblLook w:val="04A0" w:firstRow="1" w:lastRow="0" w:firstColumn="1" w:lastColumn="0" w:noHBand="0" w:noVBand="1"/>
      </w:tblPr>
      <w:tblGrid>
        <w:gridCol w:w="1980"/>
        <w:gridCol w:w="1398"/>
        <w:gridCol w:w="1399"/>
        <w:gridCol w:w="1398"/>
        <w:gridCol w:w="1399"/>
        <w:gridCol w:w="1399"/>
      </w:tblGrid>
      <w:tr w:rsidR="00794505" w:rsidRPr="005B4339" w14:paraId="39F2A085" w14:textId="77777777" w:rsidTr="00F160D3">
        <w:trPr>
          <w:trHeight w:val="216"/>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6FBA561E" w14:textId="77777777" w:rsidR="00794505" w:rsidRPr="005B4339" w:rsidRDefault="00794505" w:rsidP="00F160D3">
            <w:pPr>
              <w:rPr>
                <w:noProof/>
                <w:lang w:val="en-IE"/>
              </w:rPr>
            </w:pP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86A276" w14:textId="77777777" w:rsidR="00794505" w:rsidRPr="005B4339" w:rsidRDefault="00794505" w:rsidP="00F160D3">
            <w:pPr>
              <w:spacing w:after="0"/>
              <w:rPr>
                <w:noProof/>
                <w:lang w:val="en-IE"/>
              </w:rPr>
            </w:pPr>
            <w:r w:rsidRPr="005B4339">
              <w:rPr>
                <w:noProof/>
                <w:lang w:val="en-IE"/>
              </w:rPr>
              <w:t>Agriculture</w:t>
            </w:r>
          </w:p>
        </w:tc>
        <w:tc>
          <w:tcPr>
            <w:tcW w:w="13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137E20" w14:textId="77777777" w:rsidR="00794505" w:rsidRPr="005B4339" w:rsidRDefault="00794505" w:rsidP="00F160D3">
            <w:pPr>
              <w:spacing w:after="0"/>
              <w:rPr>
                <w:noProof/>
                <w:lang w:val="en-IE"/>
              </w:rPr>
            </w:pPr>
            <w:r w:rsidRPr="005B4339">
              <w:rPr>
                <w:noProof/>
                <w:lang w:val="en-IE"/>
              </w:rPr>
              <w:t>Food Manufacturing</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DA9C17" w14:textId="77777777" w:rsidR="00794505" w:rsidRPr="005B4339" w:rsidRDefault="00794505" w:rsidP="00F160D3">
            <w:pPr>
              <w:spacing w:after="0"/>
              <w:rPr>
                <w:noProof/>
                <w:lang w:val="en-IE"/>
              </w:rPr>
            </w:pPr>
            <w:r w:rsidRPr="005B4339">
              <w:rPr>
                <w:noProof/>
                <w:lang w:val="en-IE"/>
              </w:rPr>
              <w:t>Waste Collection</w:t>
            </w:r>
          </w:p>
        </w:tc>
        <w:tc>
          <w:tcPr>
            <w:tcW w:w="13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A311F8" w14:textId="77777777" w:rsidR="00794505" w:rsidRPr="005B4339" w:rsidRDefault="00794505" w:rsidP="00F160D3">
            <w:pPr>
              <w:spacing w:after="0"/>
              <w:rPr>
                <w:noProof/>
                <w:lang w:val="en-IE"/>
              </w:rPr>
            </w:pPr>
            <w:r w:rsidRPr="005B4339">
              <w:rPr>
                <w:noProof/>
                <w:lang w:val="en-IE"/>
              </w:rPr>
              <w:t xml:space="preserve">Manufacturing (excl. Food-related </w:t>
            </w:r>
            <w:r w:rsidRPr="005B4339">
              <w:rPr>
                <w:noProof/>
                <w:lang w:val="en-IE"/>
              </w:rPr>
              <w:lastRenderedPageBreak/>
              <w:t>activities)</w:t>
            </w:r>
          </w:p>
        </w:tc>
        <w:tc>
          <w:tcPr>
            <w:tcW w:w="13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F53B58" w14:textId="77777777" w:rsidR="00794505" w:rsidRPr="005B4339" w:rsidRDefault="00794505" w:rsidP="00F160D3">
            <w:pPr>
              <w:spacing w:after="0"/>
              <w:rPr>
                <w:noProof/>
                <w:lang w:val="en-IE"/>
              </w:rPr>
            </w:pPr>
            <w:r w:rsidRPr="005B4339">
              <w:rPr>
                <w:noProof/>
                <w:lang w:val="en-IE"/>
              </w:rPr>
              <w:lastRenderedPageBreak/>
              <w:t>Services</w:t>
            </w:r>
          </w:p>
        </w:tc>
      </w:tr>
      <w:tr w:rsidR="00794505" w:rsidRPr="005B4339" w14:paraId="3AB18C91" w14:textId="77777777" w:rsidTr="00F160D3">
        <w:trPr>
          <w:trHeight w:val="216"/>
          <w:jc w:val="center"/>
        </w:trPr>
        <w:tc>
          <w:tcPr>
            <w:tcW w:w="1980" w:type="dxa"/>
            <w:tcBorders>
              <w:top w:val="nil"/>
              <w:left w:val="single" w:sz="4" w:space="0" w:color="auto"/>
              <w:bottom w:val="single" w:sz="4" w:space="0" w:color="auto"/>
              <w:right w:val="single" w:sz="4" w:space="0" w:color="auto"/>
            </w:tcBorders>
            <w:noWrap/>
            <w:vAlign w:val="center"/>
            <w:hideMark/>
          </w:tcPr>
          <w:p w14:paraId="2C04EA68" w14:textId="77777777" w:rsidR="00794505" w:rsidRPr="005B4339" w:rsidRDefault="00794505" w:rsidP="00F160D3">
            <w:pPr>
              <w:spacing w:after="0"/>
              <w:rPr>
                <w:noProof/>
                <w:lang w:val="en-IE"/>
              </w:rPr>
            </w:pPr>
            <w:r w:rsidRPr="005B4339">
              <w:rPr>
                <w:noProof/>
                <w:lang w:val="en-IE"/>
              </w:rPr>
              <w:t>Less developed regions</w:t>
            </w:r>
          </w:p>
        </w:tc>
        <w:tc>
          <w:tcPr>
            <w:tcW w:w="1398" w:type="dxa"/>
            <w:tcBorders>
              <w:top w:val="nil"/>
              <w:left w:val="nil"/>
              <w:bottom w:val="single" w:sz="4" w:space="0" w:color="auto"/>
              <w:right w:val="single" w:sz="4" w:space="0" w:color="auto"/>
            </w:tcBorders>
            <w:noWrap/>
            <w:vAlign w:val="center"/>
            <w:hideMark/>
          </w:tcPr>
          <w:p w14:paraId="53A15453"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-0.18%</w:t>
            </w:r>
          </w:p>
        </w:tc>
        <w:tc>
          <w:tcPr>
            <w:tcW w:w="1399" w:type="dxa"/>
            <w:tcBorders>
              <w:top w:val="nil"/>
              <w:left w:val="nil"/>
              <w:bottom w:val="single" w:sz="4" w:space="0" w:color="auto"/>
              <w:right w:val="single" w:sz="4" w:space="0" w:color="auto"/>
            </w:tcBorders>
            <w:noWrap/>
            <w:vAlign w:val="center"/>
            <w:hideMark/>
          </w:tcPr>
          <w:p w14:paraId="6F2CC4FF"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-0.09%</w:t>
            </w:r>
          </w:p>
        </w:tc>
        <w:tc>
          <w:tcPr>
            <w:tcW w:w="1398" w:type="dxa"/>
            <w:tcBorders>
              <w:top w:val="nil"/>
              <w:left w:val="nil"/>
              <w:bottom w:val="single" w:sz="4" w:space="0" w:color="auto"/>
              <w:right w:val="single" w:sz="4" w:space="0" w:color="auto"/>
            </w:tcBorders>
            <w:noWrap/>
            <w:vAlign w:val="center"/>
            <w:hideMark/>
          </w:tcPr>
          <w:p w14:paraId="238E6A77"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-0.03%</w:t>
            </w:r>
          </w:p>
        </w:tc>
        <w:tc>
          <w:tcPr>
            <w:tcW w:w="1399" w:type="dxa"/>
            <w:tcBorders>
              <w:top w:val="nil"/>
              <w:left w:val="nil"/>
              <w:bottom w:val="single" w:sz="4" w:space="0" w:color="auto"/>
              <w:right w:val="single" w:sz="4" w:space="0" w:color="auto"/>
            </w:tcBorders>
            <w:noWrap/>
            <w:vAlign w:val="center"/>
            <w:hideMark/>
          </w:tcPr>
          <w:p w14:paraId="29972C93"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0.05%</w:t>
            </w:r>
          </w:p>
        </w:tc>
        <w:tc>
          <w:tcPr>
            <w:tcW w:w="1399" w:type="dxa"/>
            <w:tcBorders>
              <w:top w:val="nil"/>
              <w:left w:val="nil"/>
              <w:bottom w:val="single" w:sz="4" w:space="0" w:color="auto"/>
              <w:right w:val="single" w:sz="4" w:space="0" w:color="auto"/>
            </w:tcBorders>
            <w:vAlign w:val="center"/>
            <w:hideMark/>
          </w:tcPr>
          <w:p w14:paraId="2795D8F9"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0.13%</w:t>
            </w:r>
          </w:p>
        </w:tc>
      </w:tr>
      <w:tr w:rsidR="00794505" w:rsidRPr="005B4339" w14:paraId="45D60DF1" w14:textId="77777777" w:rsidTr="00F160D3">
        <w:trPr>
          <w:trHeight w:val="216"/>
          <w:jc w:val="center"/>
        </w:trPr>
        <w:tc>
          <w:tcPr>
            <w:tcW w:w="1980" w:type="dxa"/>
            <w:tcBorders>
              <w:top w:val="nil"/>
              <w:left w:val="single" w:sz="4" w:space="0" w:color="auto"/>
              <w:bottom w:val="single" w:sz="4" w:space="0" w:color="auto"/>
              <w:right w:val="single" w:sz="4" w:space="0" w:color="auto"/>
            </w:tcBorders>
            <w:noWrap/>
            <w:vAlign w:val="center"/>
            <w:hideMark/>
          </w:tcPr>
          <w:p w14:paraId="486A74C9" w14:textId="77777777" w:rsidR="00794505" w:rsidRPr="005B4339" w:rsidRDefault="00794505" w:rsidP="00F160D3">
            <w:pPr>
              <w:spacing w:after="0"/>
              <w:rPr>
                <w:noProof/>
                <w:lang w:val="en-IE"/>
              </w:rPr>
            </w:pPr>
            <w:r w:rsidRPr="005B4339">
              <w:rPr>
                <w:noProof/>
                <w:lang w:val="en-IE"/>
              </w:rPr>
              <w:t>Transition regions</w:t>
            </w:r>
          </w:p>
        </w:tc>
        <w:tc>
          <w:tcPr>
            <w:tcW w:w="1398" w:type="dxa"/>
            <w:tcBorders>
              <w:top w:val="nil"/>
              <w:left w:val="nil"/>
              <w:bottom w:val="single" w:sz="4" w:space="0" w:color="auto"/>
              <w:right w:val="single" w:sz="4" w:space="0" w:color="auto"/>
            </w:tcBorders>
            <w:noWrap/>
            <w:vAlign w:val="center"/>
            <w:hideMark/>
          </w:tcPr>
          <w:p w14:paraId="370F2241"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-0.10%</w:t>
            </w:r>
          </w:p>
        </w:tc>
        <w:tc>
          <w:tcPr>
            <w:tcW w:w="1399" w:type="dxa"/>
            <w:tcBorders>
              <w:top w:val="nil"/>
              <w:left w:val="nil"/>
              <w:bottom w:val="single" w:sz="4" w:space="0" w:color="auto"/>
              <w:right w:val="single" w:sz="4" w:space="0" w:color="auto"/>
            </w:tcBorders>
            <w:noWrap/>
            <w:vAlign w:val="center"/>
            <w:hideMark/>
          </w:tcPr>
          <w:p w14:paraId="5AA1EC48"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-0.08%</w:t>
            </w:r>
          </w:p>
        </w:tc>
        <w:tc>
          <w:tcPr>
            <w:tcW w:w="1398" w:type="dxa"/>
            <w:tcBorders>
              <w:top w:val="nil"/>
              <w:left w:val="nil"/>
              <w:bottom w:val="single" w:sz="4" w:space="0" w:color="auto"/>
              <w:right w:val="single" w:sz="4" w:space="0" w:color="auto"/>
            </w:tcBorders>
            <w:noWrap/>
            <w:vAlign w:val="center"/>
            <w:hideMark/>
          </w:tcPr>
          <w:p w14:paraId="10F269BD"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-0.01%</w:t>
            </w:r>
          </w:p>
        </w:tc>
        <w:tc>
          <w:tcPr>
            <w:tcW w:w="1399" w:type="dxa"/>
            <w:tcBorders>
              <w:top w:val="nil"/>
              <w:left w:val="nil"/>
              <w:bottom w:val="single" w:sz="4" w:space="0" w:color="auto"/>
              <w:right w:val="single" w:sz="4" w:space="0" w:color="auto"/>
            </w:tcBorders>
            <w:noWrap/>
            <w:vAlign w:val="center"/>
            <w:hideMark/>
          </w:tcPr>
          <w:p w14:paraId="3ECF3A7F"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0.01%</w:t>
            </w:r>
          </w:p>
        </w:tc>
        <w:tc>
          <w:tcPr>
            <w:tcW w:w="1399" w:type="dxa"/>
            <w:tcBorders>
              <w:top w:val="nil"/>
              <w:left w:val="nil"/>
              <w:bottom w:val="single" w:sz="4" w:space="0" w:color="auto"/>
              <w:right w:val="single" w:sz="4" w:space="0" w:color="auto"/>
            </w:tcBorders>
            <w:vAlign w:val="center"/>
            <w:hideMark/>
          </w:tcPr>
          <w:p w14:paraId="2F03F4E0"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0.24%</w:t>
            </w:r>
          </w:p>
        </w:tc>
      </w:tr>
      <w:tr w:rsidR="00794505" w:rsidRPr="005B4339" w14:paraId="11A9CA19" w14:textId="77777777" w:rsidTr="00F160D3">
        <w:trPr>
          <w:trHeight w:val="216"/>
          <w:jc w:val="center"/>
        </w:trPr>
        <w:tc>
          <w:tcPr>
            <w:tcW w:w="1980" w:type="dxa"/>
            <w:tcBorders>
              <w:top w:val="nil"/>
              <w:left w:val="single" w:sz="4" w:space="0" w:color="auto"/>
              <w:bottom w:val="single" w:sz="4" w:space="0" w:color="auto"/>
              <w:right w:val="single" w:sz="4" w:space="0" w:color="auto"/>
            </w:tcBorders>
            <w:noWrap/>
            <w:vAlign w:val="center"/>
            <w:hideMark/>
          </w:tcPr>
          <w:p w14:paraId="3FE1A4DA" w14:textId="77777777" w:rsidR="00794505" w:rsidRPr="005B4339" w:rsidRDefault="00794505" w:rsidP="00F160D3">
            <w:pPr>
              <w:spacing w:after="0"/>
              <w:rPr>
                <w:noProof/>
                <w:lang w:val="en-IE"/>
              </w:rPr>
            </w:pPr>
            <w:r w:rsidRPr="005B4339">
              <w:rPr>
                <w:noProof/>
                <w:lang w:val="en-IE"/>
              </w:rPr>
              <w:t>Most Developed regions</w:t>
            </w:r>
          </w:p>
        </w:tc>
        <w:tc>
          <w:tcPr>
            <w:tcW w:w="1398" w:type="dxa"/>
            <w:tcBorders>
              <w:top w:val="nil"/>
              <w:left w:val="nil"/>
              <w:bottom w:val="single" w:sz="4" w:space="0" w:color="auto"/>
              <w:right w:val="single" w:sz="4" w:space="0" w:color="auto"/>
            </w:tcBorders>
            <w:noWrap/>
            <w:vAlign w:val="center"/>
            <w:hideMark/>
          </w:tcPr>
          <w:p w14:paraId="4E7E11EA"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-0.04%</w:t>
            </w:r>
          </w:p>
        </w:tc>
        <w:tc>
          <w:tcPr>
            <w:tcW w:w="1399" w:type="dxa"/>
            <w:tcBorders>
              <w:top w:val="nil"/>
              <w:left w:val="nil"/>
              <w:bottom w:val="single" w:sz="4" w:space="0" w:color="auto"/>
              <w:right w:val="single" w:sz="4" w:space="0" w:color="auto"/>
            </w:tcBorders>
            <w:noWrap/>
            <w:vAlign w:val="center"/>
            <w:hideMark/>
          </w:tcPr>
          <w:p w14:paraId="55822C3A"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-0.05%</w:t>
            </w:r>
          </w:p>
        </w:tc>
        <w:tc>
          <w:tcPr>
            <w:tcW w:w="1398" w:type="dxa"/>
            <w:tcBorders>
              <w:top w:val="nil"/>
              <w:left w:val="nil"/>
              <w:bottom w:val="single" w:sz="4" w:space="0" w:color="auto"/>
              <w:right w:val="single" w:sz="4" w:space="0" w:color="auto"/>
            </w:tcBorders>
            <w:noWrap/>
            <w:vAlign w:val="center"/>
            <w:hideMark/>
          </w:tcPr>
          <w:p w14:paraId="7DE78E53"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-0.01%</w:t>
            </w:r>
          </w:p>
        </w:tc>
        <w:tc>
          <w:tcPr>
            <w:tcW w:w="1399" w:type="dxa"/>
            <w:tcBorders>
              <w:top w:val="nil"/>
              <w:left w:val="nil"/>
              <w:bottom w:val="single" w:sz="4" w:space="0" w:color="auto"/>
              <w:right w:val="single" w:sz="4" w:space="0" w:color="auto"/>
            </w:tcBorders>
            <w:noWrap/>
            <w:vAlign w:val="center"/>
            <w:hideMark/>
          </w:tcPr>
          <w:p w14:paraId="374BFD84"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0.02%</w:t>
            </w:r>
          </w:p>
        </w:tc>
        <w:tc>
          <w:tcPr>
            <w:tcW w:w="1399" w:type="dxa"/>
            <w:tcBorders>
              <w:top w:val="nil"/>
              <w:left w:val="nil"/>
              <w:bottom w:val="single" w:sz="4" w:space="0" w:color="auto"/>
              <w:right w:val="single" w:sz="4" w:space="0" w:color="auto"/>
            </w:tcBorders>
            <w:vAlign w:val="center"/>
            <w:hideMark/>
          </w:tcPr>
          <w:p w14:paraId="79497210" w14:textId="77777777" w:rsidR="00794505" w:rsidRPr="005B4339" w:rsidRDefault="00794505" w:rsidP="00F160D3">
            <w:pPr>
              <w:pStyle w:val="JRCText"/>
              <w:rPr>
                <w:rFonts w:ascii="Times New Roman" w:hAnsi="Times New Roman"/>
                <w:noProof/>
                <w:sz w:val="24"/>
                <w:szCs w:val="24"/>
                <w:lang w:val="en-IE"/>
              </w:rPr>
            </w:pPr>
            <w:r w:rsidRPr="005B4339">
              <w:rPr>
                <w:rFonts w:ascii="Times New Roman" w:hAnsi="Times New Roman"/>
                <w:noProof/>
                <w:sz w:val="24"/>
                <w:szCs w:val="24"/>
                <w:lang w:val="en-IE"/>
              </w:rPr>
              <w:t>0.14%</w:t>
            </w:r>
          </w:p>
        </w:tc>
      </w:tr>
    </w:tbl>
    <w:p w14:paraId="39BAE558" w14:textId="77777777" w:rsidR="00794505" w:rsidRPr="005B4339" w:rsidRDefault="00794505" w:rsidP="00F54798">
      <w:pPr>
        <w:pStyle w:val="JRCFiguresource"/>
        <w:rPr>
          <w:noProof/>
          <w:lang w:val="en-IE"/>
        </w:rPr>
      </w:pPr>
      <w:r w:rsidRPr="005B4339">
        <w:rPr>
          <w:noProof/>
          <w:lang w:val="en-IE"/>
        </w:rPr>
        <w:t> Source: Own elaboration from MAGNET results and Eurostat data. </w:t>
      </w:r>
    </w:p>
    <w:p w14:paraId="51FD26A7" w14:textId="02A11D6F"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In general, we can identify that the impact on agriculture and waste collection sectors could be relatively higher in the less developed regions in terms of both employment and value added. The effect would be lower in the most developed ones. Regarding food manufacturing, there are no significant differences among the three </w:t>
      </w:r>
      <w:r w:rsidR="00C92CEF" w:rsidRPr="005B4339">
        <w:rPr>
          <w:rFonts w:ascii="Times New Roman" w:hAnsi="Times New Roman"/>
          <w:noProof/>
          <w:sz w:val="24"/>
          <w:szCs w:val="24"/>
          <w:lang w:val="en-IE"/>
        </w:rPr>
        <w:t xml:space="preserve">regional </w:t>
      </w:r>
      <w:r w:rsidRPr="005B4339">
        <w:rPr>
          <w:rFonts w:ascii="Times New Roman" w:hAnsi="Times New Roman"/>
          <w:noProof/>
          <w:sz w:val="24"/>
          <w:szCs w:val="24"/>
          <w:lang w:val="en-IE"/>
        </w:rPr>
        <w:t>group</w:t>
      </w:r>
      <w:r w:rsidR="00C92CEF"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 in terms of employment. As for value added, the most developed regions could register a </w:t>
      </w:r>
      <w:r w:rsidR="00C92CEF" w:rsidRPr="005B4339">
        <w:rPr>
          <w:rFonts w:ascii="Times New Roman" w:hAnsi="Times New Roman"/>
          <w:noProof/>
          <w:sz w:val="24"/>
          <w:szCs w:val="24"/>
          <w:lang w:val="en-IE"/>
        </w:rPr>
        <w:t>smaller</w:t>
      </w:r>
      <w:r w:rsidRPr="005B4339">
        <w:rPr>
          <w:rFonts w:ascii="Times New Roman" w:hAnsi="Times New Roman"/>
          <w:noProof/>
          <w:sz w:val="24"/>
          <w:szCs w:val="24"/>
          <w:lang w:val="en-IE"/>
        </w:rPr>
        <w:t xml:space="preserve"> impact. The rest of the manufacturing activities would partially compensate these negative effects on both employment and value added, especially in the less developed group of regions.</w:t>
      </w:r>
    </w:p>
    <w:p w14:paraId="77C0ABA8" w14:textId="481E8C94"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As indicated in previous sections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the positive impact in service sectors would partially compensate the negative effects of food waste reduction on value added from food-related activities. According to our estimates</w:t>
      </w:r>
      <w:r w:rsidR="004E085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transition regions would be most benefit</w:t>
      </w:r>
      <w:r w:rsidR="00C92CEF" w:rsidRPr="005B4339">
        <w:rPr>
          <w:rFonts w:ascii="Times New Roman" w:hAnsi="Times New Roman"/>
          <w:noProof/>
          <w:sz w:val="24"/>
          <w:szCs w:val="24"/>
          <w:lang w:val="en-IE"/>
        </w:rPr>
        <w:t>ting</w:t>
      </w:r>
      <w:r w:rsidRPr="005B4339">
        <w:rPr>
          <w:rFonts w:ascii="Times New Roman" w:hAnsi="Times New Roman"/>
          <w:noProof/>
          <w:sz w:val="24"/>
          <w:szCs w:val="24"/>
          <w:lang w:val="en-IE"/>
        </w:rPr>
        <w:t xml:space="preserve"> by the positive impact on the services sector. This may be explained by the higher relative weight of tertiary activities over their GDP. </w:t>
      </w:r>
      <w:r w:rsidR="004E085A" w:rsidRPr="005B4339">
        <w:rPr>
          <w:rFonts w:ascii="Times New Roman" w:hAnsi="Times New Roman"/>
          <w:noProof/>
          <w:sz w:val="24"/>
          <w:szCs w:val="24"/>
          <w:lang w:val="en-IE"/>
        </w:rPr>
        <w:t>By contrast,</w:t>
      </w:r>
      <w:r w:rsidRPr="005B4339">
        <w:rPr>
          <w:rFonts w:ascii="Times New Roman" w:hAnsi="Times New Roman"/>
          <w:noProof/>
          <w:sz w:val="24"/>
          <w:szCs w:val="24"/>
          <w:lang w:val="en-IE"/>
        </w:rPr>
        <w:t xml:space="preserve"> the positive effect of services would be less significant for the less developed group of regions. </w:t>
      </w:r>
    </w:p>
    <w:p w14:paraId="358647D0" w14:textId="4E426136" w:rsidR="00794505" w:rsidRPr="005B4339" w:rsidRDefault="00DF1FE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_Ref133501855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69</w:t>
      </w:r>
      <w:r w:rsidRPr="005B4339">
        <w:rPr>
          <w:rFonts w:ascii="Times New Roman" w:hAnsi="Times New Roman"/>
          <w:noProof/>
          <w:sz w:val="24"/>
          <w:szCs w:val="24"/>
          <w:lang w:val="en-IE"/>
        </w:rPr>
        <w:fldChar w:fldCharType="end"/>
      </w:r>
      <w:r w:rsidR="004E36F7"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shows the relative decreases of both the agricultural employment and value added over the total regional economy. From the analysis of this figure</w:t>
      </w:r>
      <w:r w:rsidR="004E085A"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we can identify </w:t>
      </w:r>
      <w:r w:rsidR="004A772A" w:rsidRPr="005B4339">
        <w:rPr>
          <w:rFonts w:ascii="Times New Roman" w:hAnsi="Times New Roman"/>
          <w:noProof/>
          <w:sz w:val="24"/>
          <w:szCs w:val="24"/>
          <w:lang w:val="en-IE"/>
        </w:rPr>
        <w:t>the following</w:t>
      </w:r>
      <w:r w:rsidR="00794505" w:rsidRPr="005B4339">
        <w:rPr>
          <w:rFonts w:ascii="Times New Roman" w:hAnsi="Times New Roman"/>
          <w:noProof/>
          <w:sz w:val="24"/>
          <w:szCs w:val="24"/>
          <w:lang w:val="en-IE"/>
        </w:rPr>
        <w:t xml:space="preserve"> insights.</w:t>
      </w:r>
    </w:p>
    <w:p w14:paraId="7B7DD318" w14:textId="12046A86"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In terms of employment, the most affected regions are concentrated in Eastern Europe (mainly in Poland and in Bulgaria) as well as in Greece. This is explained by the high share of jobs depending on the primary sectors in these regions. Within Western Europe</w:t>
      </w:r>
      <w:r w:rsidR="008A406B"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most affected areas would be most regions in France and Austria and some regions in Central and Southern Spain,</w:t>
      </w:r>
      <w:r w:rsidR="00F77212" w:rsidRPr="005B4339">
        <w:rPr>
          <w:rFonts w:ascii="Times New Roman" w:hAnsi="Times New Roman"/>
          <w:noProof/>
          <w:sz w:val="24"/>
          <w:szCs w:val="24"/>
          <w:lang w:val="en-IE"/>
        </w:rPr>
        <w:t xml:space="preserve"> as well as in Southern Italy.</w:t>
      </w:r>
    </w:p>
    <w:p w14:paraId="25184C70" w14:textId="4BF9938D"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territorial distribution of the impact on the agricultural value added is quite similar. </w:t>
      </w:r>
      <w:r w:rsidR="004E085A" w:rsidRPr="005B4339">
        <w:rPr>
          <w:rFonts w:ascii="Times New Roman" w:hAnsi="Times New Roman"/>
          <w:noProof/>
          <w:sz w:val="24"/>
          <w:szCs w:val="24"/>
          <w:lang w:val="en-IE"/>
        </w:rPr>
        <w:t>However,</w:t>
      </w:r>
      <w:r w:rsidRPr="005B4339">
        <w:rPr>
          <w:rFonts w:ascii="Times New Roman" w:hAnsi="Times New Roman"/>
          <w:noProof/>
          <w:sz w:val="24"/>
          <w:szCs w:val="24"/>
          <w:lang w:val="en-IE"/>
        </w:rPr>
        <w:t xml:space="preserve"> the impact </w:t>
      </w:r>
      <w:r w:rsidR="00C92CEF" w:rsidRPr="005B4339">
        <w:rPr>
          <w:rFonts w:ascii="Times New Roman" w:hAnsi="Times New Roman"/>
          <w:noProof/>
          <w:sz w:val="24"/>
          <w:szCs w:val="24"/>
          <w:lang w:val="en-IE"/>
        </w:rPr>
        <w:t>w</w:t>
      </w:r>
      <w:r w:rsidRPr="005B4339">
        <w:rPr>
          <w:rFonts w:ascii="Times New Roman" w:hAnsi="Times New Roman"/>
          <w:noProof/>
          <w:sz w:val="24"/>
          <w:szCs w:val="24"/>
          <w:lang w:val="en-IE"/>
        </w:rPr>
        <w:t>ould be more homogenous when comparing both Western and Eastern group of regions. This may suggest higher labour productivity gains in the latter group.</w:t>
      </w:r>
    </w:p>
    <w:p w14:paraId="30391CF6" w14:textId="6E0B4DAD" w:rsidR="00794505" w:rsidRPr="005B4339" w:rsidRDefault="00A938F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_Ref133493918 \h </w:instrText>
      </w:r>
      <w:r w:rsidR="00823483" w:rsidRPr="005B4339">
        <w:rPr>
          <w:rFonts w:ascii="Times New Roman" w:hAnsi="Times New Roman"/>
          <w:noProof/>
          <w:sz w:val="24"/>
          <w:szCs w:val="24"/>
          <w:lang w:val="en-IE"/>
        </w:rPr>
        <w:instrText xml:space="preserve">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70</w:t>
      </w:r>
      <w:r w:rsidRPr="005B4339">
        <w:rPr>
          <w:rFonts w:ascii="Times New Roman" w:hAnsi="Times New Roman"/>
          <w:noProof/>
          <w:sz w:val="24"/>
          <w:szCs w:val="24"/>
          <w:lang w:val="en-IE"/>
        </w:rPr>
        <w:fldChar w:fldCharType="end"/>
      </w:r>
      <w:r w:rsidR="004E36F7"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 xml:space="preserve">represents the potential impact on the food manufacturing. </w:t>
      </w:r>
      <w:r w:rsidR="00C92CEF" w:rsidRPr="005B4339">
        <w:rPr>
          <w:rFonts w:ascii="Times New Roman" w:hAnsi="Times New Roman"/>
          <w:noProof/>
          <w:sz w:val="24"/>
          <w:szCs w:val="24"/>
          <w:lang w:val="en-IE"/>
        </w:rPr>
        <w:t>Contrary</w:t>
      </w:r>
      <w:r w:rsidR="004E085A" w:rsidRPr="005B4339">
        <w:rPr>
          <w:rFonts w:ascii="Times New Roman" w:hAnsi="Times New Roman"/>
          <w:noProof/>
          <w:sz w:val="24"/>
          <w:szCs w:val="24"/>
          <w:lang w:val="en-IE"/>
        </w:rPr>
        <w:t xml:space="preserve"> to agriculture</w:t>
      </w:r>
      <w:r w:rsidR="00C92CEF" w:rsidRPr="005B4339">
        <w:rPr>
          <w:rFonts w:ascii="Times New Roman" w:hAnsi="Times New Roman"/>
          <w:noProof/>
          <w:sz w:val="24"/>
          <w:szCs w:val="24"/>
          <w:lang w:val="en-IE"/>
        </w:rPr>
        <w:t>,</w:t>
      </w:r>
      <w:r w:rsidR="004E085A" w:rsidRPr="005B4339">
        <w:rPr>
          <w:rFonts w:ascii="Times New Roman" w:hAnsi="Times New Roman"/>
          <w:noProof/>
          <w:sz w:val="24"/>
          <w:szCs w:val="24"/>
          <w:lang w:val="en-IE"/>
        </w:rPr>
        <w:t xml:space="preserve"> the regions with higher job losses in the food manufacturing sector due to the food waste reduction would be mainly located in Western Europe. Specifically</w:t>
      </w:r>
      <w:r w:rsidR="00CE4AA5" w:rsidRPr="005B4339">
        <w:rPr>
          <w:rFonts w:ascii="Times New Roman" w:hAnsi="Times New Roman"/>
          <w:noProof/>
          <w:sz w:val="24"/>
          <w:szCs w:val="24"/>
          <w:lang w:val="en-IE"/>
        </w:rPr>
        <w:t>,</w:t>
      </w:r>
      <w:r w:rsidR="004E085A" w:rsidRPr="005B4339">
        <w:rPr>
          <w:rFonts w:ascii="Times New Roman" w:hAnsi="Times New Roman"/>
          <w:noProof/>
          <w:sz w:val="24"/>
          <w:szCs w:val="24"/>
          <w:lang w:val="en-IE"/>
        </w:rPr>
        <w:t xml:space="preserve"> regions in Central Spain, Western France and across Germany would suffer the highest decreases in </w:t>
      </w:r>
      <w:r w:rsidR="00CE4AA5" w:rsidRPr="005B4339">
        <w:rPr>
          <w:rFonts w:ascii="Times New Roman" w:hAnsi="Times New Roman"/>
          <w:noProof/>
          <w:sz w:val="24"/>
          <w:szCs w:val="24"/>
          <w:lang w:val="en-IE"/>
        </w:rPr>
        <w:t xml:space="preserve">the </w:t>
      </w:r>
      <w:r w:rsidR="004E085A" w:rsidRPr="005B4339">
        <w:rPr>
          <w:rFonts w:ascii="Times New Roman" w:hAnsi="Times New Roman"/>
          <w:noProof/>
          <w:sz w:val="24"/>
          <w:szCs w:val="24"/>
          <w:lang w:val="en-IE"/>
        </w:rPr>
        <w:t>number of persons employed in this sector. In addition, Croatian regions would be also highly affected. Other geographical areas with moderate potential impacts would be located in Italy, Greece and in Poland (surroundings of Warsaw). Concerning value added, the effects of reducing food waste on this sector would follow a similar regional distribution</w:t>
      </w:r>
      <w:r w:rsidR="00794505" w:rsidRPr="005B4339">
        <w:rPr>
          <w:rFonts w:ascii="Times New Roman" w:hAnsi="Times New Roman"/>
          <w:noProof/>
          <w:sz w:val="24"/>
          <w:szCs w:val="24"/>
          <w:lang w:val="en-IE"/>
        </w:rPr>
        <w:t xml:space="preserve"> but with a more homogeneous impact </w:t>
      </w:r>
      <w:r w:rsidR="00C92CEF" w:rsidRPr="005B4339">
        <w:rPr>
          <w:rFonts w:ascii="Times New Roman" w:hAnsi="Times New Roman"/>
          <w:noProof/>
          <w:sz w:val="24"/>
          <w:szCs w:val="24"/>
          <w:lang w:val="en-IE"/>
        </w:rPr>
        <w:t>in</w:t>
      </w:r>
      <w:r w:rsidR="00794505" w:rsidRPr="005B4339">
        <w:rPr>
          <w:rFonts w:ascii="Times New Roman" w:hAnsi="Times New Roman"/>
          <w:noProof/>
          <w:sz w:val="24"/>
          <w:szCs w:val="24"/>
          <w:lang w:val="en-IE"/>
        </w:rPr>
        <w:t xml:space="preserve"> Eastern and Western regions. </w:t>
      </w:r>
    </w:p>
    <w:p w14:paraId="1A18CCA8" w14:textId="38CC119D"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potential impacts of food waste reduction </w:t>
      </w:r>
      <w:r w:rsidR="00C92CEF" w:rsidRPr="005B4339">
        <w:rPr>
          <w:rFonts w:ascii="Times New Roman" w:hAnsi="Times New Roman"/>
          <w:noProof/>
          <w:sz w:val="24"/>
          <w:szCs w:val="24"/>
          <w:lang w:val="en-IE"/>
        </w:rPr>
        <w:t>targets</w:t>
      </w:r>
      <w:r w:rsidRPr="005B4339">
        <w:rPr>
          <w:rFonts w:ascii="Times New Roman" w:hAnsi="Times New Roman"/>
          <w:noProof/>
          <w:sz w:val="24"/>
          <w:szCs w:val="24"/>
          <w:lang w:val="en-IE"/>
        </w:rPr>
        <w:t xml:space="preserve"> in the waste collection sector are shown in</w:t>
      </w:r>
      <w:r w:rsidR="004E36F7" w:rsidRPr="005B4339">
        <w:rPr>
          <w:rFonts w:ascii="Times New Roman" w:hAnsi="Times New Roman"/>
          <w:noProof/>
          <w:sz w:val="24"/>
          <w:szCs w:val="24"/>
          <w:lang w:val="en-IE"/>
        </w:rPr>
        <w:t xml:space="preserve">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_Ref133493933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71</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w:t>
      </w:r>
      <w:r w:rsidR="004E085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The main insights from this sector are described below.</w:t>
      </w:r>
    </w:p>
    <w:p w14:paraId="447000DA" w14:textId="0D721D10"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Latvia would register the highest impact on the employment generated by this sector. </w:t>
      </w:r>
      <w:r w:rsidR="004E085A" w:rsidRPr="005B4339">
        <w:rPr>
          <w:rFonts w:ascii="Times New Roman" w:hAnsi="Times New Roman"/>
          <w:noProof/>
          <w:sz w:val="24"/>
          <w:szCs w:val="24"/>
          <w:lang w:val="en-IE"/>
        </w:rPr>
        <w:t xml:space="preserve">As the entire country is considered as a NUTS2 territorial unit, no regional differentiations can be </w:t>
      </w:r>
      <w:r w:rsidR="004E085A" w:rsidRPr="005B4339">
        <w:rPr>
          <w:rFonts w:ascii="Times New Roman" w:hAnsi="Times New Roman"/>
          <w:noProof/>
          <w:sz w:val="24"/>
          <w:szCs w:val="24"/>
          <w:lang w:val="en-IE"/>
        </w:rPr>
        <w:lastRenderedPageBreak/>
        <w:t xml:space="preserve">identified within this country. Other regions moderately affected by a reduction in the number of persons employed in the </w:t>
      </w:r>
      <w:r w:rsidR="00C92CEF" w:rsidRPr="005B4339">
        <w:rPr>
          <w:rFonts w:ascii="Times New Roman" w:hAnsi="Times New Roman"/>
          <w:noProof/>
          <w:sz w:val="24"/>
          <w:szCs w:val="24"/>
          <w:lang w:val="en-IE"/>
        </w:rPr>
        <w:t>w</w:t>
      </w:r>
      <w:r w:rsidR="004E085A" w:rsidRPr="005B4339">
        <w:rPr>
          <w:rFonts w:ascii="Times New Roman" w:hAnsi="Times New Roman"/>
          <w:noProof/>
          <w:sz w:val="24"/>
          <w:szCs w:val="24"/>
          <w:lang w:val="en-IE"/>
        </w:rPr>
        <w:t xml:space="preserve">aste </w:t>
      </w:r>
      <w:r w:rsidR="00C92CEF" w:rsidRPr="005B4339">
        <w:rPr>
          <w:rFonts w:ascii="Times New Roman" w:hAnsi="Times New Roman"/>
          <w:noProof/>
          <w:sz w:val="24"/>
          <w:szCs w:val="24"/>
          <w:lang w:val="en-IE"/>
        </w:rPr>
        <w:t>c</w:t>
      </w:r>
      <w:r w:rsidR="004E085A" w:rsidRPr="005B4339">
        <w:rPr>
          <w:rFonts w:ascii="Times New Roman" w:hAnsi="Times New Roman"/>
          <w:noProof/>
          <w:sz w:val="24"/>
          <w:szCs w:val="24"/>
          <w:lang w:val="en-IE"/>
        </w:rPr>
        <w:t xml:space="preserve">ollection sector are in Portugal, Italy (Southern regions) and Romania (specially the capital region Bucharest). </w:t>
      </w:r>
    </w:p>
    <w:p w14:paraId="17DD9166" w14:textId="565E36EA"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In terms of value added</w:t>
      </w:r>
      <w:r w:rsidR="00801BF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territorial distribution of the impact of food waste reduction would follow a pattern similar to that of employment except for Portugal, which shows a higher relative decrease </w:t>
      </w:r>
      <w:r w:rsidR="00C92CEF" w:rsidRPr="005B4339">
        <w:rPr>
          <w:rFonts w:ascii="Times New Roman" w:hAnsi="Times New Roman"/>
          <w:noProof/>
          <w:sz w:val="24"/>
          <w:szCs w:val="24"/>
          <w:lang w:val="en-IE"/>
        </w:rPr>
        <w:t>for</w:t>
      </w:r>
      <w:r w:rsidRPr="005B4339">
        <w:rPr>
          <w:rFonts w:ascii="Times New Roman" w:hAnsi="Times New Roman"/>
          <w:noProof/>
          <w:sz w:val="24"/>
          <w:szCs w:val="24"/>
          <w:lang w:val="en-IE"/>
        </w:rPr>
        <w:t xml:space="preserve"> this variable. </w:t>
      </w:r>
    </w:p>
    <w:p w14:paraId="2A1FC69B" w14:textId="12553CA7" w:rsidR="00794505" w:rsidRPr="005B4339" w:rsidRDefault="00794505" w:rsidP="00794505">
      <w:pPr>
        <w:rPr>
          <w:noProof/>
          <w:lang w:val="en-IE"/>
        </w:rPr>
      </w:pPr>
      <w:r w:rsidRPr="005B4339">
        <w:rPr>
          <w:noProof/>
          <w:lang w:val="en-IE"/>
        </w:rPr>
        <w:t>The territorial distribution o</w:t>
      </w:r>
      <w:r w:rsidR="00C92CEF" w:rsidRPr="005B4339">
        <w:rPr>
          <w:noProof/>
          <w:lang w:val="en-IE"/>
        </w:rPr>
        <w:t>f</w:t>
      </w:r>
      <w:r w:rsidRPr="005B4339">
        <w:rPr>
          <w:noProof/>
          <w:lang w:val="en-IE"/>
        </w:rPr>
        <w:t xml:space="preserve"> the </w:t>
      </w:r>
      <w:r w:rsidR="00C92CEF" w:rsidRPr="005B4339">
        <w:rPr>
          <w:noProof/>
          <w:lang w:val="en-IE"/>
        </w:rPr>
        <w:t>impacts</w:t>
      </w:r>
      <w:r w:rsidRPr="005B4339">
        <w:rPr>
          <w:noProof/>
          <w:lang w:val="en-IE"/>
        </w:rPr>
        <w:t xml:space="preserve"> on the manufacturing sector (excluding food manufacturing) is depicted in</w:t>
      </w:r>
      <w:r w:rsidR="004E36F7" w:rsidRPr="005B4339">
        <w:rPr>
          <w:noProof/>
          <w:lang w:val="en-IE"/>
        </w:rPr>
        <w:t xml:space="preserve"> </w:t>
      </w:r>
      <w:r w:rsidR="00A938F2" w:rsidRPr="005B4339">
        <w:rPr>
          <w:noProof/>
          <w:lang w:val="en-IE"/>
        </w:rPr>
        <w:fldChar w:fldCharType="begin"/>
      </w:r>
      <w:r w:rsidR="00A938F2" w:rsidRPr="005B4339">
        <w:rPr>
          <w:noProof/>
          <w:lang w:val="en-IE"/>
        </w:rPr>
        <w:instrText xml:space="preserve"> REF _Ref133493946 \h </w:instrText>
      </w:r>
      <w:r w:rsidR="00034A4B" w:rsidRPr="005B4339">
        <w:rPr>
          <w:noProof/>
          <w:lang w:val="en-IE"/>
        </w:rPr>
        <w:instrText xml:space="preserve"> \* MERGEFORMAT </w:instrText>
      </w:r>
      <w:r w:rsidR="00A938F2" w:rsidRPr="005B4339">
        <w:rPr>
          <w:noProof/>
          <w:lang w:val="en-IE"/>
        </w:rPr>
      </w:r>
      <w:r w:rsidR="00A938F2" w:rsidRPr="005B4339">
        <w:rPr>
          <w:noProof/>
          <w:lang w:val="en-IE"/>
        </w:rPr>
        <w:fldChar w:fldCharType="separate"/>
      </w:r>
      <w:r w:rsidR="00393DFA" w:rsidRPr="005B4339">
        <w:rPr>
          <w:noProof/>
          <w:lang w:val="en-IE"/>
        </w:rPr>
        <w:t xml:space="preserve">Figure </w:t>
      </w:r>
      <w:r w:rsidR="00393DFA" w:rsidRPr="00393DFA">
        <w:rPr>
          <w:noProof/>
          <w:lang w:val="en-IE"/>
        </w:rPr>
        <w:t>72</w:t>
      </w:r>
      <w:r w:rsidR="00A938F2" w:rsidRPr="005B4339">
        <w:rPr>
          <w:noProof/>
          <w:lang w:val="en-IE"/>
        </w:rPr>
        <w:fldChar w:fldCharType="end"/>
      </w:r>
      <w:r w:rsidRPr="005B4339">
        <w:rPr>
          <w:noProof/>
          <w:lang w:val="en-IE"/>
        </w:rPr>
        <w:t>. The positive effect on manufacturing employment will be reflected in northern Spain (which concentrates the most industrialized regions within the country</w:t>
      </w:r>
      <w:r w:rsidR="004E085A" w:rsidRPr="005B4339">
        <w:rPr>
          <w:noProof/>
          <w:lang w:val="en-IE"/>
        </w:rPr>
        <w:t>),</w:t>
      </w:r>
      <w:r w:rsidRPr="005B4339">
        <w:rPr>
          <w:noProof/>
          <w:lang w:val="en-IE"/>
        </w:rPr>
        <w:t xml:space="preserve"> some regions in Romania and</w:t>
      </w:r>
      <w:r w:rsidR="004E085A" w:rsidRPr="005B4339">
        <w:rPr>
          <w:noProof/>
          <w:lang w:val="en-IE"/>
        </w:rPr>
        <w:t>,</w:t>
      </w:r>
      <w:r w:rsidRPr="005B4339">
        <w:rPr>
          <w:noProof/>
          <w:lang w:val="en-IE"/>
        </w:rPr>
        <w:t xml:space="preserve"> to a lesser extent</w:t>
      </w:r>
      <w:r w:rsidR="004E085A" w:rsidRPr="005B4339">
        <w:rPr>
          <w:noProof/>
          <w:lang w:val="en-IE"/>
        </w:rPr>
        <w:t>,</w:t>
      </w:r>
      <w:r w:rsidRPr="005B4339">
        <w:rPr>
          <w:noProof/>
          <w:lang w:val="en-IE"/>
        </w:rPr>
        <w:t xml:space="preserve"> areas from the rest of </w:t>
      </w:r>
      <w:r w:rsidR="00C92CEF" w:rsidRPr="005B4339">
        <w:rPr>
          <w:noProof/>
          <w:lang w:val="en-IE"/>
        </w:rPr>
        <w:t>E</w:t>
      </w:r>
      <w:r w:rsidRPr="005B4339">
        <w:rPr>
          <w:noProof/>
          <w:lang w:val="en-IE"/>
        </w:rPr>
        <w:t>astern countries</w:t>
      </w:r>
      <w:r w:rsidR="00C92CEF" w:rsidRPr="005B4339">
        <w:rPr>
          <w:noProof/>
          <w:lang w:val="en-IE"/>
        </w:rPr>
        <w:t>,</w:t>
      </w:r>
      <w:r w:rsidR="0099430A" w:rsidRPr="005B4339">
        <w:rPr>
          <w:noProof/>
          <w:lang w:val="en-IE"/>
        </w:rPr>
        <w:t xml:space="preserve"> </w:t>
      </w:r>
      <w:r w:rsidRPr="005B4339">
        <w:rPr>
          <w:noProof/>
          <w:lang w:val="en-IE"/>
        </w:rPr>
        <w:t>Germany</w:t>
      </w:r>
      <w:r w:rsidR="0099430A" w:rsidRPr="005B4339">
        <w:rPr>
          <w:noProof/>
          <w:lang w:val="en-IE"/>
        </w:rPr>
        <w:t xml:space="preserve"> </w:t>
      </w:r>
      <w:r w:rsidRPr="005B4339">
        <w:rPr>
          <w:noProof/>
          <w:lang w:val="en-IE"/>
        </w:rPr>
        <w:t>and Italy. As for value added</w:t>
      </w:r>
      <w:r w:rsidR="004E085A" w:rsidRPr="005B4339">
        <w:rPr>
          <w:noProof/>
          <w:lang w:val="en-IE"/>
        </w:rPr>
        <w:t>,</w:t>
      </w:r>
      <w:r w:rsidRPr="005B4339">
        <w:rPr>
          <w:noProof/>
          <w:lang w:val="en-IE"/>
        </w:rPr>
        <w:t xml:space="preserve"> the distribution of the most affected areas is similar. However</w:t>
      </w:r>
      <w:r w:rsidR="004E085A" w:rsidRPr="005B4339">
        <w:rPr>
          <w:noProof/>
          <w:lang w:val="en-IE"/>
        </w:rPr>
        <w:t>,</w:t>
      </w:r>
      <w:r w:rsidRPr="005B4339">
        <w:rPr>
          <w:noProof/>
          <w:lang w:val="en-IE"/>
        </w:rPr>
        <w:t xml:space="preserve"> the most positive effects are concentrated in Poland and Romania.</w:t>
      </w:r>
    </w:p>
    <w:p w14:paraId="2012E5E7" w14:textId="3C243FA3" w:rsidR="00794505" w:rsidRPr="005B4339" w:rsidRDefault="00A938F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_Ref133494027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73</w:t>
      </w:r>
      <w:r w:rsidRPr="005B4339">
        <w:rPr>
          <w:rFonts w:ascii="Times New Roman" w:hAnsi="Times New Roman"/>
          <w:noProof/>
          <w:sz w:val="24"/>
          <w:szCs w:val="24"/>
          <w:lang w:val="en-IE"/>
        </w:rPr>
        <w:fldChar w:fldCharType="end"/>
      </w:r>
      <w:r w:rsidR="004E36F7"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 xml:space="preserve">illustrates the potential positive impact of reducing food waste on value added from the service sector. </w:t>
      </w:r>
      <w:r w:rsidR="004E085A" w:rsidRPr="005B4339">
        <w:rPr>
          <w:rFonts w:ascii="Times New Roman" w:hAnsi="Times New Roman"/>
          <w:noProof/>
          <w:sz w:val="24"/>
          <w:szCs w:val="24"/>
          <w:lang w:val="en-IE"/>
        </w:rPr>
        <w:t>In general, the performance of this sector at the regional level seems to be highly driven by the national-level effect of food waste reduction. In addition, a net positive impact is observed in this sector, which could reach 1.0% of value added for some regions. However, we can still identify some ‘hot spots’ registering negative impacts, many of which are located in coastal and/or touristic areas. This may be a result of the high importance of accommodation and food service activities in those areas. The most negatively affected regions are concentrated in Greece (mainly in the islands) and Portugal (specifically the most southern region, Algarve could be highly affected). Other areas with moderate potential negative impact are located in Italy and Austria (Tyrolean regions),</w:t>
      </w:r>
      <w:r w:rsidR="00794505" w:rsidRPr="005B4339">
        <w:rPr>
          <w:rFonts w:ascii="Times New Roman" w:hAnsi="Times New Roman"/>
          <w:noProof/>
          <w:sz w:val="24"/>
          <w:szCs w:val="24"/>
          <w:lang w:val="en-IE"/>
        </w:rPr>
        <w:t xml:space="preserve"> Spain (island regions) and Poland. </w:t>
      </w:r>
    </w:p>
    <w:p w14:paraId="100A8E3C" w14:textId="3CC3FB61" w:rsidR="00794505" w:rsidRPr="005B4339" w:rsidRDefault="00A938F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_Ref133494145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74</w:t>
      </w:r>
      <w:r w:rsidRPr="005B4339">
        <w:rPr>
          <w:rFonts w:ascii="Times New Roman" w:hAnsi="Times New Roman"/>
          <w:noProof/>
          <w:sz w:val="24"/>
          <w:szCs w:val="24"/>
          <w:lang w:val="en-IE"/>
        </w:rPr>
        <w:fldChar w:fldCharType="end"/>
      </w:r>
      <w:r w:rsidR="004E36F7" w:rsidRPr="005B4339">
        <w:rPr>
          <w:rFonts w:ascii="Times New Roman" w:hAnsi="Times New Roman"/>
          <w:noProof/>
          <w:sz w:val="24"/>
          <w:szCs w:val="24"/>
          <w:lang w:val="en-IE"/>
        </w:rPr>
        <w:t xml:space="preserve"> </w:t>
      </w:r>
      <w:r w:rsidR="004E085A" w:rsidRPr="005B4339">
        <w:rPr>
          <w:rFonts w:ascii="Times New Roman" w:hAnsi="Times New Roman"/>
          <w:noProof/>
          <w:sz w:val="24"/>
          <w:szCs w:val="24"/>
          <w:lang w:val="en-IE"/>
        </w:rPr>
        <w:t xml:space="preserve">shows the potential losses in value added from the most negatively affected regions (share of GDP), while </w:t>
      </w:r>
      <w:r w:rsidRPr="005B4339">
        <w:rPr>
          <w:rFonts w:ascii="Times New Roman" w:hAnsi="Times New Roman"/>
          <w:noProof/>
          <w:sz w:val="24"/>
          <w:szCs w:val="24"/>
          <w:lang w:val="en-IE"/>
        </w:rPr>
        <w:fldChar w:fldCharType="begin"/>
      </w:r>
      <w:r w:rsidRPr="005B4339">
        <w:rPr>
          <w:rFonts w:ascii="Times New Roman" w:hAnsi="Times New Roman"/>
          <w:noProof/>
          <w:sz w:val="24"/>
          <w:szCs w:val="24"/>
          <w:lang w:val="en-IE"/>
        </w:rPr>
        <w:instrText xml:space="preserve"> REF _Ref133493852 \h  \* MERGEFORMAT </w:instrText>
      </w:r>
      <w:r w:rsidRPr="005B4339">
        <w:rPr>
          <w:rFonts w:ascii="Times New Roman" w:hAnsi="Times New Roman"/>
          <w:noProof/>
          <w:sz w:val="24"/>
          <w:szCs w:val="24"/>
          <w:lang w:val="en-IE"/>
        </w:rPr>
      </w:r>
      <w:r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Figure 75</w:t>
      </w:r>
      <w:r w:rsidRPr="005B4339">
        <w:rPr>
          <w:rFonts w:ascii="Times New Roman" w:hAnsi="Times New Roman"/>
          <w:noProof/>
          <w:sz w:val="24"/>
          <w:szCs w:val="24"/>
          <w:lang w:val="en-IE"/>
        </w:rPr>
        <w:fldChar w:fldCharType="end"/>
      </w:r>
      <w:r w:rsidR="00794505" w:rsidRPr="005B4339">
        <w:rPr>
          <w:rFonts w:ascii="Times New Roman" w:hAnsi="Times New Roman"/>
          <w:noProof/>
          <w:sz w:val="24"/>
          <w:szCs w:val="24"/>
          <w:lang w:val="en-IE"/>
        </w:rPr>
        <w:t xml:space="preserve"> shows potential value added gains in the most positively affected ones. </w:t>
      </w:r>
    </w:p>
    <w:p w14:paraId="7FFF59ED" w14:textId="3B201EF0"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In general, the regions with higher potential decreases in value added correspond to Southern and Eastern countries. The losses in the five potentially </w:t>
      </w:r>
      <w:r w:rsidR="00C92CEF" w:rsidRPr="005B4339">
        <w:rPr>
          <w:rFonts w:ascii="Times New Roman" w:hAnsi="Times New Roman"/>
          <w:noProof/>
          <w:sz w:val="24"/>
          <w:szCs w:val="24"/>
          <w:lang w:val="en-IE"/>
        </w:rPr>
        <w:t xml:space="preserve">most </w:t>
      </w:r>
      <w:r w:rsidRPr="005B4339">
        <w:rPr>
          <w:rFonts w:ascii="Times New Roman" w:hAnsi="Times New Roman"/>
          <w:noProof/>
          <w:sz w:val="24"/>
          <w:szCs w:val="24"/>
          <w:lang w:val="en-IE"/>
        </w:rPr>
        <w:t xml:space="preserve">affected regions are explained by sharp declines in the services sectors probably driven by </w:t>
      </w:r>
      <w:r w:rsidR="00C92CEF"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high importance of the accommodation and food service activities (four out of five are coastal touristic areas). In the rest of the displayed regions</w:t>
      </w:r>
      <w:r w:rsidR="00E23E96"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agriculture and the food manufacturing are the main sectors explaining the decline in total value added. </w:t>
      </w:r>
    </w:p>
    <w:p w14:paraId="0229D9E7" w14:textId="479F19C0"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The most positively affected regions belong to France (6 regions)</w:t>
      </w:r>
      <w:r w:rsidR="00AE18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continental Greece (4 regions)</w:t>
      </w:r>
      <w:r w:rsidR="00AE18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and, to a lesser extent, Portugal (2 regions), Spain (2 regions), Belgium (2 regions) and Croatia (1 region). In general, many of these regions show a high importance of the service sectors (five of them are capital regions of the mentioned countries). Therefore, they would be the ones to benefit most from the overall positive effect in this sector.</w:t>
      </w:r>
    </w:p>
    <w:p w14:paraId="1A992FB0" w14:textId="392BBC5C" w:rsidR="004E085A" w:rsidRPr="005B4339" w:rsidRDefault="004E085A" w:rsidP="004E085A">
      <w:pPr>
        <w:pStyle w:val="JRCText"/>
        <w:rPr>
          <w:rFonts w:ascii="Times New Roman" w:hAnsi="Times New Roman"/>
          <w:noProof/>
          <w:sz w:val="24"/>
          <w:szCs w:val="24"/>
          <w:lang w:val="en-IE"/>
        </w:rPr>
      </w:pPr>
      <w:r w:rsidRPr="005B4339">
        <w:rPr>
          <w:rFonts w:ascii="Times New Roman" w:hAnsi="Times New Roman"/>
          <w:noProof/>
          <w:sz w:val="24"/>
          <w:szCs w:val="24"/>
          <w:lang w:val="en-IE"/>
        </w:rPr>
        <w:t>As mentioned, the results reflected in this section assume that the impact of food waste reduction by sectors would suffer an equal shock in all regions within a country. Thus, the regional differences would be explained by the weight of each of the four analysed sectors in the sectoral composition of regional employment. Consequently, the obtained results should not be considered as regional job losses per se but as an indicator reflecting the degree of exposure of regional employment to the fulfilment of the food waste reduction objectives in the advanced target scenario.</w:t>
      </w:r>
    </w:p>
    <w:p w14:paraId="01C73255" w14:textId="77777777" w:rsidR="004E085A" w:rsidRPr="005B4339" w:rsidRDefault="004E085A" w:rsidP="004E085A">
      <w:pPr>
        <w:spacing w:after="0" w:line="256" w:lineRule="auto"/>
        <w:rPr>
          <w:noProof/>
          <w:lang w:val="en-IE"/>
        </w:rPr>
        <w:sectPr w:rsidR="004E085A" w:rsidRPr="005B4339" w:rsidSect="00794505">
          <w:headerReference w:type="even" r:id="rId127"/>
          <w:headerReference w:type="default" r:id="rId128"/>
          <w:footerReference w:type="even" r:id="rId129"/>
          <w:footerReference w:type="default" r:id="rId130"/>
          <w:headerReference w:type="first" r:id="rId131"/>
          <w:footerReference w:type="first" r:id="rId132"/>
          <w:pgSz w:w="11906" w:h="16838"/>
          <w:pgMar w:top="1440" w:right="1440" w:bottom="1440" w:left="1440" w:header="708" w:footer="708" w:gutter="0"/>
          <w:cols w:space="720"/>
        </w:sectPr>
      </w:pPr>
    </w:p>
    <w:p w14:paraId="51E2A49E" w14:textId="18C7DA2F" w:rsidR="00794505" w:rsidRPr="005B4339" w:rsidRDefault="00794505" w:rsidP="003B6050">
      <w:pPr>
        <w:pStyle w:val="JRCFigurecaption"/>
        <w:rPr>
          <w:noProof/>
          <w:lang w:val="en-IE"/>
        </w:rPr>
      </w:pPr>
      <w:bookmarkStart w:id="767" w:name="_Ref125108421"/>
      <w:bookmarkStart w:id="768" w:name="_Ref133501855"/>
      <w:bookmarkStart w:id="769" w:name="_Toc122624000"/>
      <w:bookmarkStart w:id="770" w:name="_Toc125121572"/>
      <w:bookmarkStart w:id="771" w:name="_Toc133229394"/>
      <w:bookmarkStart w:id="772" w:name="_Toc139032005"/>
      <w:r w:rsidRPr="005B4339">
        <w:rPr>
          <w:noProof/>
          <w:lang w:val="en-IE"/>
        </w:rPr>
        <w:lastRenderedPageBreak/>
        <w:t xml:space="preserve">Figure </w:t>
      </w:r>
      <w:bookmarkEnd w:id="767"/>
      <w:r w:rsidR="00393DFA">
        <w:rPr>
          <w:noProof/>
        </w:rPr>
        <w:t>69</w:t>
      </w:r>
      <w:bookmarkEnd w:id="768"/>
      <w:r w:rsidR="00F27B33" w:rsidRPr="005B4339">
        <w:rPr>
          <w:noProof/>
          <w:lang w:val="en-IE"/>
        </w:rPr>
        <w:t>:</w:t>
      </w:r>
      <w:r w:rsidRPr="005B4339">
        <w:rPr>
          <w:noProof/>
          <w:lang w:val="en-IE"/>
        </w:rPr>
        <w:t xml:space="preserve"> Regional impact on agriculture sector. Percentage of deviation over total employment (left) and value added (right) in baseline by NUTS2</w:t>
      </w:r>
      <w:bookmarkEnd w:id="769"/>
      <w:bookmarkEnd w:id="770"/>
      <w:bookmarkEnd w:id="771"/>
      <w:bookmarkEnd w:id="772"/>
    </w:p>
    <w:p w14:paraId="7ED23503" w14:textId="4756648D" w:rsidR="004E085A" w:rsidRPr="005B4339" w:rsidRDefault="00834CAA" w:rsidP="004E085A">
      <w:pPr>
        <w:shd w:val="clear" w:color="auto" w:fill="FFFFFF"/>
        <w:spacing w:after="0"/>
        <w:textAlignment w:val="baseline"/>
        <w:rPr>
          <w:noProof/>
          <w:lang w:val="en-IE"/>
        </w:rPr>
      </w:pPr>
      <w:r w:rsidRPr="005B4339">
        <w:rPr>
          <w:noProof/>
          <w:color w:val="2B579A"/>
          <w:shd w:val="clear" w:color="auto" w:fill="E6E6E6"/>
          <w:lang w:eastAsia="en-GB"/>
        </w:rPr>
        <w:drawing>
          <wp:anchor distT="0" distB="0" distL="114300" distR="114300" simplePos="0" relativeHeight="251658252" behindDoc="0" locked="0" layoutInCell="1" allowOverlap="1" wp14:anchorId="35D5E50B" wp14:editId="60D35A19">
            <wp:simplePos x="0" y="0"/>
            <wp:positionH relativeFrom="column">
              <wp:posOffset>4467860</wp:posOffset>
            </wp:positionH>
            <wp:positionV relativeFrom="paragraph">
              <wp:posOffset>176530</wp:posOffset>
            </wp:positionV>
            <wp:extent cx="1151890" cy="14458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36571"/>
                    <pic:cNvPicPr/>
                  </pic:nvPicPr>
                  <pic:blipFill>
                    <a:blip r:embed="rId133">
                      <a:extLst>
                        <a:ext uri="{28A0092B-C50C-407E-A947-70E740481C1C}">
                          <a14:useLocalDpi xmlns:a14="http://schemas.microsoft.com/office/drawing/2010/main" val="0"/>
                        </a:ext>
                      </a:extLst>
                    </a:blip>
                    <a:srcRect r="10416"/>
                    <a:stretch>
                      <a:fillRect/>
                    </a:stretch>
                  </pic:blipFill>
                  <pic:spPr>
                    <a:xfrm>
                      <a:off x="0" y="0"/>
                      <a:ext cx="1151890" cy="1445895"/>
                    </a:xfrm>
                    <a:prstGeom prst="rect">
                      <a:avLst/>
                    </a:prstGeom>
                  </pic:spPr>
                </pic:pic>
              </a:graphicData>
            </a:graphic>
          </wp:anchor>
        </w:drawing>
      </w:r>
    </w:p>
    <w:p w14:paraId="6148AF58" w14:textId="2CE1D361" w:rsidR="004E085A" w:rsidRPr="005B4339" w:rsidRDefault="004E085A" w:rsidP="004E085A">
      <w:pPr>
        <w:tabs>
          <w:tab w:val="left" w:pos="5812"/>
        </w:tabs>
        <w:jc w:val="center"/>
        <w:rPr>
          <w:noProof/>
          <w:lang w:val="en-IE"/>
        </w:rPr>
      </w:pPr>
      <w:r w:rsidRPr="005B4339">
        <w:rPr>
          <w:noProof/>
          <w:lang w:eastAsia="en-GB"/>
        </w:rPr>
        <w:drawing>
          <wp:anchor distT="0" distB="0" distL="114300" distR="114300" simplePos="0" relativeHeight="251658241" behindDoc="0" locked="0" layoutInCell="1" allowOverlap="1" wp14:anchorId="7C0A9FA7" wp14:editId="3E9BB916">
            <wp:simplePos x="0" y="0"/>
            <wp:positionH relativeFrom="column">
              <wp:align>left</wp:align>
            </wp:positionH>
            <wp:positionV relativeFrom="paragraph">
              <wp:posOffset>0</wp:posOffset>
            </wp:positionV>
            <wp:extent cx="1152525" cy="1447165"/>
            <wp:effectExtent l="0" t="0" r="9525" b="635"/>
            <wp:wrapNone/>
            <wp:docPr id="234136571" name="Picture 2341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598175"/>
                    <pic:cNvPicPr/>
                  </pic:nvPicPr>
                  <pic:blipFill>
                    <a:blip r:embed="rId133">
                      <a:extLst>
                        <a:ext uri="{28A0092B-C50C-407E-A947-70E740481C1C}">
                          <a14:useLocalDpi xmlns:a14="http://schemas.microsoft.com/office/drawing/2010/main" val="0"/>
                        </a:ext>
                      </a:extLst>
                    </a:blip>
                    <a:srcRect r="10416"/>
                    <a:stretch>
                      <a:fillRect/>
                    </a:stretch>
                  </pic:blipFill>
                  <pic:spPr>
                    <a:xfrm>
                      <a:off x="0" y="0"/>
                      <a:ext cx="1152525" cy="1447165"/>
                    </a:xfrm>
                    <a:prstGeom prst="rect">
                      <a:avLst/>
                    </a:prstGeom>
                  </pic:spPr>
                </pic:pic>
              </a:graphicData>
            </a:graphic>
            <wp14:sizeRelH relativeFrom="page">
              <wp14:pctWidth>0</wp14:pctWidth>
            </wp14:sizeRelH>
            <wp14:sizeRelV relativeFrom="page">
              <wp14:pctHeight>0</wp14:pctHeight>
            </wp14:sizeRelV>
          </wp:anchor>
        </w:drawing>
      </w:r>
      <w:r w:rsidRPr="005B4339">
        <w:rPr>
          <w:noProof/>
          <w:lang w:eastAsia="en-GB"/>
        </w:rPr>
        <w:drawing>
          <wp:anchor distT="0" distB="0" distL="114300" distR="114300" simplePos="0" relativeHeight="251658242" behindDoc="0" locked="0" layoutInCell="1" allowOverlap="1" wp14:anchorId="77185EB9" wp14:editId="7CF6E853">
            <wp:simplePos x="0" y="0"/>
            <wp:positionH relativeFrom="column">
              <wp:align>left</wp:align>
            </wp:positionH>
            <wp:positionV relativeFrom="paragraph">
              <wp:posOffset>0</wp:posOffset>
            </wp:positionV>
            <wp:extent cx="1122680" cy="1428750"/>
            <wp:effectExtent l="0" t="0" r="1270" b="0"/>
            <wp:wrapNone/>
            <wp:docPr id="170407249" name="Picture 170407249" descr="5FED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598176"/>
                    <pic:cNvPicPr/>
                  </pic:nvPicPr>
                  <pic:blipFill>
                    <a:blip r:embed="rId134">
                      <a:extLst>
                        <a:ext uri="{28A0092B-C50C-407E-A947-70E740481C1C}">
                          <a14:useLocalDpi xmlns:a14="http://schemas.microsoft.com/office/drawing/2010/main" val="0"/>
                        </a:ext>
                      </a:extLst>
                    </a:blip>
                    <a:stretch>
                      <a:fillRect/>
                    </a:stretch>
                  </pic:blipFill>
                  <pic:spPr>
                    <a:xfrm>
                      <a:off x="0" y="0"/>
                      <a:ext cx="1122680" cy="1428750"/>
                    </a:xfrm>
                    <a:prstGeom prst="rect">
                      <a:avLst/>
                    </a:prstGeom>
                  </pic:spPr>
                </pic:pic>
              </a:graphicData>
            </a:graphic>
            <wp14:sizeRelH relativeFrom="page">
              <wp14:pctWidth>0</wp14:pctWidth>
            </wp14:sizeRelH>
            <wp14:sizeRelV relativeFrom="page">
              <wp14:pctHeight>0</wp14:pctHeight>
            </wp14:sizeRelV>
          </wp:anchor>
        </w:drawing>
      </w:r>
      <w:r w:rsidRPr="005B4339">
        <w:rPr>
          <w:noProof/>
          <w:lang w:eastAsia="en-GB"/>
        </w:rPr>
        <w:drawing>
          <wp:inline distT="0" distB="0" distL="0" distR="0" wp14:anchorId="273BA194" wp14:editId="35B2741F">
            <wp:extent cx="3962400" cy="3519170"/>
            <wp:effectExtent l="0" t="0" r="0" b="5080"/>
            <wp:docPr id="1617598177" name="Picture 161759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060916"/>
                    <pic:cNvPicPr>
                      <a:picLocks noChangeAspect="1" noChangeArrowheads="1"/>
                    </pic:cNvPicPr>
                  </pic:nvPicPr>
                  <pic:blipFill>
                    <a:blip r:embed="rId135">
                      <a:extLst>
                        <a:ext uri="{28A0092B-C50C-407E-A947-70E740481C1C}">
                          <a14:useLocalDpi xmlns:a14="http://schemas.microsoft.com/office/drawing/2010/main" val="0"/>
                        </a:ext>
                      </a:extLst>
                    </a:blip>
                    <a:srcRect t="1334"/>
                    <a:stretch>
                      <a:fillRect/>
                    </a:stretch>
                  </pic:blipFill>
                  <pic:spPr bwMode="auto">
                    <a:xfrm>
                      <a:off x="0" y="0"/>
                      <a:ext cx="3962400" cy="3519170"/>
                    </a:xfrm>
                    <a:prstGeom prst="rect">
                      <a:avLst/>
                    </a:prstGeom>
                    <a:noFill/>
                    <a:ln>
                      <a:noFill/>
                    </a:ln>
                  </pic:spPr>
                </pic:pic>
              </a:graphicData>
            </a:graphic>
          </wp:inline>
        </w:drawing>
      </w:r>
      <w:r w:rsidRPr="005B4339">
        <w:rPr>
          <w:noProof/>
          <w:lang w:val="en-IE"/>
        </w:rPr>
        <w:t xml:space="preserve"> </w:t>
      </w:r>
      <w:r w:rsidRPr="005B4339">
        <w:rPr>
          <w:noProof/>
          <w:lang w:eastAsia="en-GB"/>
        </w:rPr>
        <w:drawing>
          <wp:inline distT="0" distB="0" distL="0" distR="0" wp14:anchorId="1A1D9C6F" wp14:editId="7D0719A0">
            <wp:extent cx="3962400" cy="3519170"/>
            <wp:effectExtent l="0" t="0" r="0" b="5080"/>
            <wp:docPr id="1617598178" name="Picture 16175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0609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519170"/>
                    </a:xfrm>
                    <a:prstGeom prst="rect">
                      <a:avLst/>
                    </a:prstGeom>
                    <a:noFill/>
                    <a:ln>
                      <a:noFill/>
                    </a:ln>
                  </pic:spPr>
                </pic:pic>
              </a:graphicData>
            </a:graphic>
          </wp:inline>
        </w:drawing>
      </w:r>
    </w:p>
    <w:p w14:paraId="3C7BBB87"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71D60DD8" w14:textId="77777777" w:rsidR="00794505" w:rsidRPr="005B4339" w:rsidRDefault="00794505" w:rsidP="00794505">
      <w:pPr>
        <w:rPr>
          <w:noProof/>
          <w:lang w:val="en-IE"/>
        </w:rPr>
      </w:pPr>
      <w:r w:rsidRPr="005B4339">
        <w:rPr>
          <w:noProof/>
          <w:lang w:val="en-IE"/>
        </w:rPr>
        <w:br w:type="page"/>
      </w:r>
    </w:p>
    <w:p w14:paraId="3BDE1593" w14:textId="09F319A5" w:rsidR="00794505" w:rsidRPr="005B4339" w:rsidRDefault="00794505" w:rsidP="003B6050">
      <w:pPr>
        <w:pStyle w:val="JRCFigurecaption"/>
        <w:rPr>
          <w:noProof/>
          <w:lang w:val="en-IE"/>
        </w:rPr>
      </w:pPr>
      <w:bookmarkStart w:id="773" w:name="_Ref125108454"/>
      <w:bookmarkStart w:id="774" w:name="_Ref133493918"/>
      <w:bookmarkStart w:id="775" w:name="_Toc122624001"/>
      <w:bookmarkStart w:id="776" w:name="_Toc125121573"/>
      <w:bookmarkStart w:id="777" w:name="_Toc133229395"/>
      <w:bookmarkStart w:id="778" w:name="_Toc139032006"/>
      <w:r w:rsidRPr="005B4339">
        <w:rPr>
          <w:noProof/>
          <w:lang w:val="en-IE"/>
        </w:rPr>
        <w:lastRenderedPageBreak/>
        <w:t xml:space="preserve">Figure </w:t>
      </w:r>
      <w:bookmarkEnd w:id="773"/>
      <w:r w:rsidR="00393DFA">
        <w:rPr>
          <w:noProof/>
        </w:rPr>
        <w:t>70</w:t>
      </w:r>
      <w:bookmarkEnd w:id="774"/>
      <w:r w:rsidR="00F27B33" w:rsidRPr="005B4339">
        <w:rPr>
          <w:noProof/>
          <w:lang w:val="en-IE"/>
        </w:rPr>
        <w:t>:</w:t>
      </w:r>
      <w:r w:rsidRPr="005B4339">
        <w:rPr>
          <w:noProof/>
          <w:lang w:val="en-IE"/>
        </w:rPr>
        <w:t xml:space="preserve"> Regional impact on the food manufacturing. Percentage of deviation over total employment (left) and value added (right) in baseline by NUTS2</w:t>
      </w:r>
      <w:bookmarkEnd w:id="775"/>
      <w:bookmarkEnd w:id="776"/>
      <w:bookmarkEnd w:id="777"/>
      <w:bookmarkEnd w:id="778"/>
    </w:p>
    <w:p w14:paraId="51EE76DA" w14:textId="77777777" w:rsidR="004E085A" w:rsidRPr="005B4339" w:rsidRDefault="004E085A" w:rsidP="004E085A">
      <w:pPr>
        <w:spacing w:after="0"/>
        <w:jc w:val="center"/>
        <w:textAlignment w:val="baseline"/>
        <w:rPr>
          <w:noProof/>
          <w:lang w:val="en-IE"/>
        </w:rPr>
      </w:pPr>
    </w:p>
    <w:p w14:paraId="445269DA" w14:textId="3BB441FB" w:rsidR="004E085A" w:rsidRPr="005B4339" w:rsidRDefault="00834CAA" w:rsidP="004E085A">
      <w:pPr>
        <w:jc w:val="center"/>
        <w:rPr>
          <w:noProof/>
          <w:lang w:val="en-IE"/>
        </w:rPr>
      </w:pPr>
      <w:r w:rsidRPr="005B4339">
        <w:rPr>
          <w:noProof/>
          <w:lang w:eastAsia="en-GB"/>
        </w:rPr>
        <w:drawing>
          <wp:anchor distT="0" distB="0" distL="114300" distR="114300" simplePos="0" relativeHeight="251658244" behindDoc="0" locked="0" layoutInCell="1" allowOverlap="1" wp14:anchorId="717B0D15" wp14:editId="35F2DC23">
            <wp:simplePos x="0" y="0"/>
            <wp:positionH relativeFrom="margin">
              <wp:posOffset>448430</wp:posOffset>
            </wp:positionH>
            <wp:positionV relativeFrom="paragraph">
              <wp:posOffset>25028</wp:posOffset>
            </wp:positionV>
            <wp:extent cx="1038225" cy="1214755"/>
            <wp:effectExtent l="0" t="0" r="9525" b="4445"/>
            <wp:wrapNone/>
            <wp:docPr id="1870452366" name="Picture 1870452366" descr="8D28A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598179"/>
                    <pic:cNvPicPr/>
                  </pic:nvPicPr>
                  <pic:blipFill>
                    <a:blip r:embed="rId137">
                      <a:extLst>
                        <a:ext uri="{28A0092B-C50C-407E-A947-70E740481C1C}">
                          <a14:useLocalDpi xmlns:a14="http://schemas.microsoft.com/office/drawing/2010/main" val="0"/>
                        </a:ext>
                      </a:extLst>
                    </a:blip>
                    <a:stretch>
                      <a:fillRect/>
                    </a:stretch>
                  </pic:blipFill>
                  <pic:spPr>
                    <a:xfrm>
                      <a:off x="0" y="0"/>
                      <a:ext cx="1038225" cy="1214755"/>
                    </a:xfrm>
                    <a:prstGeom prst="rect">
                      <a:avLst/>
                    </a:prstGeom>
                  </pic:spPr>
                </pic:pic>
              </a:graphicData>
            </a:graphic>
            <wp14:sizeRelH relativeFrom="page">
              <wp14:pctWidth>0</wp14:pctWidth>
            </wp14:sizeRelH>
            <wp14:sizeRelV relativeFrom="page">
              <wp14:pctHeight>0</wp14:pctHeight>
            </wp14:sizeRelV>
          </wp:anchor>
        </w:drawing>
      </w:r>
      <w:r w:rsidRPr="005B4339">
        <w:rPr>
          <w:noProof/>
          <w:lang w:eastAsia="en-GB"/>
        </w:rPr>
        <w:drawing>
          <wp:anchor distT="0" distB="0" distL="114300" distR="114300" simplePos="0" relativeHeight="251658243" behindDoc="0" locked="0" layoutInCell="1" allowOverlap="1" wp14:anchorId="146EFE06" wp14:editId="30219EB8">
            <wp:simplePos x="0" y="0"/>
            <wp:positionH relativeFrom="column">
              <wp:posOffset>4459857</wp:posOffset>
            </wp:positionH>
            <wp:positionV relativeFrom="paragraph">
              <wp:posOffset>8626</wp:posOffset>
            </wp:positionV>
            <wp:extent cx="1041400" cy="1285875"/>
            <wp:effectExtent l="0" t="0" r="6350" b="9525"/>
            <wp:wrapNone/>
            <wp:docPr id="1861286007" name="Picture 186128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63701"/>
                    <pic:cNvPicPr/>
                  </pic:nvPicPr>
                  <pic:blipFill>
                    <a:blip r:embed="rId138">
                      <a:extLst>
                        <a:ext uri="{28A0092B-C50C-407E-A947-70E740481C1C}">
                          <a14:useLocalDpi xmlns:a14="http://schemas.microsoft.com/office/drawing/2010/main" val="0"/>
                        </a:ext>
                      </a:extLst>
                    </a:blip>
                    <a:stretch>
                      <a:fillRect/>
                    </a:stretch>
                  </pic:blipFill>
                  <pic:spPr>
                    <a:xfrm>
                      <a:off x="0" y="0"/>
                      <a:ext cx="1041400" cy="1285875"/>
                    </a:xfrm>
                    <a:prstGeom prst="rect">
                      <a:avLst/>
                    </a:prstGeom>
                  </pic:spPr>
                </pic:pic>
              </a:graphicData>
            </a:graphic>
            <wp14:sizeRelH relativeFrom="page">
              <wp14:pctWidth>0</wp14:pctWidth>
            </wp14:sizeRelH>
            <wp14:sizeRelV relativeFrom="page">
              <wp14:pctHeight>0</wp14:pctHeight>
            </wp14:sizeRelV>
          </wp:anchor>
        </w:drawing>
      </w:r>
      <w:r w:rsidR="004E085A" w:rsidRPr="005B4339">
        <w:rPr>
          <w:noProof/>
          <w:lang w:eastAsia="en-GB"/>
        </w:rPr>
        <w:drawing>
          <wp:inline distT="0" distB="0" distL="0" distR="0" wp14:anchorId="778853A6" wp14:editId="43FE0256">
            <wp:extent cx="3955415" cy="3442970"/>
            <wp:effectExtent l="0" t="0" r="6985" b="5080"/>
            <wp:docPr id="1617598180" name="Picture 1617598180" descr="7BFB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060921" descr="7BFB9909"/>
                    <pic:cNvPicPr>
                      <a:picLocks noChangeAspect="1" noChangeArrowheads="1"/>
                    </pic:cNvPicPr>
                  </pic:nvPicPr>
                  <pic:blipFill>
                    <a:blip r:embed="rId139">
                      <a:extLst>
                        <a:ext uri="{28A0092B-C50C-407E-A947-70E740481C1C}">
                          <a14:useLocalDpi xmlns:a14="http://schemas.microsoft.com/office/drawing/2010/main" val="0"/>
                        </a:ext>
                      </a:extLst>
                    </a:blip>
                    <a:srcRect l="2211"/>
                    <a:stretch>
                      <a:fillRect/>
                    </a:stretch>
                  </pic:blipFill>
                  <pic:spPr bwMode="auto">
                    <a:xfrm>
                      <a:off x="0" y="0"/>
                      <a:ext cx="3955415" cy="3442970"/>
                    </a:xfrm>
                    <a:prstGeom prst="rect">
                      <a:avLst/>
                    </a:prstGeom>
                    <a:noFill/>
                    <a:ln>
                      <a:noFill/>
                    </a:ln>
                  </pic:spPr>
                </pic:pic>
              </a:graphicData>
            </a:graphic>
          </wp:inline>
        </w:drawing>
      </w:r>
      <w:r w:rsidR="004E085A" w:rsidRPr="005B4339">
        <w:rPr>
          <w:noProof/>
          <w:lang w:val="en-IE"/>
        </w:rPr>
        <w:t xml:space="preserve"> </w:t>
      </w:r>
      <w:r w:rsidR="004E085A" w:rsidRPr="005B4339">
        <w:rPr>
          <w:noProof/>
          <w:lang w:eastAsia="en-GB"/>
        </w:rPr>
        <w:drawing>
          <wp:inline distT="0" distB="0" distL="0" distR="0" wp14:anchorId="02AC80FA" wp14:editId="2EDCA13B">
            <wp:extent cx="3955415" cy="3442970"/>
            <wp:effectExtent l="0" t="0" r="6985" b="5080"/>
            <wp:docPr id="1617598181" name="Picture 161759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060922"/>
                    <pic:cNvPicPr>
                      <a:picLocks noChangeAspect="1" noChangeArrowheads="1"/>
                    </pic:cNvPicPr>
                  </pic:nvPicPr>
                  <pic:blipFill>
                    <a:blip r:embed="rId140">
                      <a:extLst>
                        <a:ext uri="{28A0092B-C50C-407E-A947-70E740481C1C}">
                          <a14:useLocalDpi xmlns:a14="http://schemas.microsoft.com/office/drawing/2010/main" val="0"/>
                        </a:ext>
                      </a:extLst>
                    </a:blip>
                    <a:srcRect t="1938"/>
                    <a:stretch>
                      <a:fillRect/>
                    </a:stretch>
                  </pic:blipFill>
                  <pic:spPr bwMode="auto">
                    <a:xfrm>
                      <a:off x="0" y="0"/>
                      <a:ext cx="3955415" cy="3442970"/>
                    </a:xfrm>
                    <a:prstGeom prst="rect">
                      <a:avLst/>
                    </a:prstGeom>
                    <a:noFill/>
                    <a:ln>
                      <a:noFill/>
                    </a:ln>
                  </pic:spPr>
                </pic:pic>
              </a:graphicData>
            </a:graphic>
          </wp:inline>
        </w:drawing>
      </w:r>
    </w:p>
    <w:p w14:paraId="28B3B62D"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116097FE" w14:textId="77777777" w:rsidR="00794505" w:rsidRPr="005B4339" w:rsidRDefault="00794505" w:rsidP="00794505">
      <w:pPr>
        <w:pStyle w:val="JRCFiguresource"/>
        <w:rPr>
          <w:noProof/>
          <w:lang w:val="en-IE"/>
        </w:rPr>
      </w:pPr>
      <w:r w:rsidRPr="005B4339">
        <w:rPr>
          <w:noProof/>
          <w:lang w:val="en-IE"/>
        </w:rPr>
        <w:t xml:space="preserve"> </w:t>
      </w:r>
      <w:r w:rsidRPr="005B4339">
        <w:rPr>
          <w:noProof/>
          <w:lang w:val="en-IE"/>
        </w:rPr>
        <w:br w:type="page"/>
      </w:r>
    </w:p>
    <w:p w14:paraId="41B3B53A" w14:textId="749C0709" w:rsidR="00794505" w:rsidRPr="005B4339" w:rsidRDefault="00794505" w:rsidP="003B6050">
      <w:pPr>
        <w:pStyle w:val="JRCFigurecaption"/>
        <w:rPr>
          <w:noProof/>
          <w:lang w:val="en-IE"/>
        </w:rPr>
      </w:pPr>
      <w:bookmarkStart w:id="779" w:name="_Ref125108470"/>
      <w:bookmarkStart w:id="780" w:name="_Ref133493933"/>
      <w:bookmarkStart w:id="781" w:name="_Toc122624002"/>
      <w:bookmarkStart w:id="782" w:name="_Toc125121574"/>
      <w:bookmarkStart w:id="783" w:name="_Toc133229396"/>
      <w:bookmarkStart w:id="784" w:name="_Toc139032007"/>
      <w:r w:rsidRPr="005B4339">
        <w:rPr>
          <w:noProof/>
          <w:lang w:val="en-IE"/>
        </w:rPr>
        <w:lastRenderedPageBreak/>
        <w:t xml:space="preserve">Figure </w:t>
      </w:r>
      <w:bookmarkEnd w:id="779"/>
      <w:r w:rsidR="00393DFA">
        <w:rPr>
          <w:noProof/>
        </w:rPr>
        <w:t>71</w:t>
      </w:r>
      <w:bookmarkEnd w:id="780"/>
      <w:r w:rsidR="00F27B33" w:rsidRPr="005B4339">
        <w:rPr>
          <w:noProof/>
          <w:lang w:val="en-IE"/>
        </w:rPr>
        <w:t>:</w:t>
      </w:r>
      <w:r w:rsidRPr="005B4339">
        <w:rPr>
          <w:noProof/>
          <w:lang w:val="en-IE"/>
        </w:rPr>
        <w:t xml:space="preserve"> Regional impact on the Waste Collection. Percentage of deviation over total employment (left) and value added (right) in baseline by NUTS2</w:t>
      </w:r>
      <w:bookmarkEnd w:id="781"/>
      <w:bookmarkEnd w:id="782"/>
      <w:bookmarkEnd w:id="783"/>
      <w:bookmarkEnd w:id="784"/>
    </w:p>
    <w:p w14:paraId="263C56A0" w14:textId="77777777" w:rsidR="004E085A" w:rsidRPr="005B4339" w:rsidRDefault="004E085A" w:rsidP="004E085A">
      <w:pPr>
        <w:jc w:val="center"/>
        <w:rPr>
          <w:noProof/>
          <w:lang w:val="en-IE"/>
        </w:rPr>
      </w:pPr>
      <w:r w:rsidRPr="005B4339">
        <w:rPr>
          <w:noProof/>
          <w:lang w:eastAsia="en-GB"/>
        </w:rPr>
        <w:drawing>
          <wp:anchor distT="0" distB="0" distL="114300" distR="114300" simplePos="0" relativeHeight="251658248" behindDoc="0" locked="0" layoutInCell="1" allowOverlap="1" wp14:anchorId="612226EE" wp14:editId="763C68C7">
            <wp:simplePos x="0" y="0"/>
            <wp:positionH relativeFrom="column">
              <wp:posOffset>4571365</wp:posOffset>
            </wp:positionH>
            <wp:positionV relativeFrom="paragraph">
              <wp:posOffset>62230</wp:posOffset>
            </wp:positionV>
            <wp:extent cx="943610" cy="1228725"/>
            <wp:effectExtent l="0" t="0" r="8890" b="9525"/>
            <wp:wrapNone/>
            <wp:docPr id="1617598182" name="Picture 161759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43610" cy="1228725"/>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eastAsia="en-GB"/>
        </w:rPr>
        <w:drawing>
          <wp:anchor distT="0" distB="0" distL="114300" distR="114300" simplePos="0" relativeHeight="251658246" behindDoc="0" locked="0" layoutInCell="1" allowOverlap="1" wp14:anchorId="068C7EDA" wp14:editId="56EB1BAE">
            <wp:simplePos x="0" y="0"/>
            <wp:positionH relativeFrom="column">
              <wp:posOffset>157480</wp:posOffset>
            </wp:positionH>
            <wp:positionV relativeFrom="paragraph">
              <wp:posOffset>127000</wp:posOffset>
            </wp:positionV>
            <wp:extent cx="993775" cy="1207770"/>
            <wp:effectExtent l="0" t="0" r="0" b="0"/>
            <wp:wrapNone/>
            <wp:docPr id="255263696" name="Picture 255263696" descr="42A79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060923" descr="42A79EBB"/>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3775" cy="1207770"/>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eastAsia="en-GB"/>
        </w:rPr>
        <w:drawing>
          <wp:inline distT="0" distB="0" distL="0" distR="0" wp14:anchorId="1491BBAE" wp14:editId="35D9B10B">
            <wp:extent cx="4322445" cy="3934460"/>
            <wp:effectExtent l="0" t="0" r="1905" b="8890"/>
            <wp:docPr id="1617598183" name="Picture 161759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22445" cy="3934460"/>
                    </a:xfrm>
                    <a:prstGeom prst="rect">
                      <a:avLst/>
                    </a:prstGeom>
                    <a:noFill/>
                    <a:ln>
                      <a:noFill/>
                    </a:ln>
                  </pic:spPr>
                </pic:pic>
              </a:graphicData>
            </a:graphic>
          </wp:inline>
        </w:drawing>
      </w:r>
      <w:r w:rsidRPr="005B4339">
        <w:rPr>
          <w:noProof/>
          <w:lang w:val="en-IE"/>
        </w:rPr>
        <w:t xml:space="preserve"> </w:t>
      </w:r>
      <w:r w:rsidRPr="005B4339">
        <w:rPr>
          <w:noProof/>
          <w:lang w:eastAsia="en-GB"/>
        </w:rPr>
        <w:drawing>
          <wp:inline distT="0" distB="0" distL="0" distR="0" wp14:anchorId="7B69BAA0" wp14:editId="22297ED8">
            <wp:extent cx="4239260" cy="3934460"/>
            <wp:effectExtent l="0" t="0" r="8890" b="8890"/>
            <wp:docPr id="1617598184" name="Picture 161759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39260" cy="3934460"/>
                    </a:xfrm>
                    <a:prstGeom prst="rect">
                      <a:avLst/>
                    </a:prstGeom>
                    <a:noFill/>
                    <a:ln>
                      <a:noFill/>
                    </a:ln>
                  </pic:spPr>
                </pic:pic>
              </a:graphicData>
            </a:graphic>
          </wp:inline>
        </w:drawing>
      </w:r>
    </w:p>
    <w:p w14:paraId="73D408D2"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2863522F" w14:textId="77777777" w:rsidR="00794505" w:rsidRPr="005B4339" w:rsidRDefault="00794505" w:rsidP="00794505">
      <w:pPr>
        <w:jc w:val="center"/>
        <w:rPr>
          <w:noProof/>
          <w:lang w:val="en-IE"/>
        </w:rPr>
      </w:pPr>
    </w:p>
    <w:p w14:paraId="05548C27" w14:textId="77777777" w:rsidR="00794505" w:rsidRPr="005B4339" w:rsidRDefault="00794505" w:rsidP="00794505">
      <w:pPr>
        <w:jc w:val="center"/>
        <w:rPr>
          <w:noProof/>
          <w:lang w:val="en-IE"/>
        </w:rPr>
      </w:pPr>
    </w:p>
    <w:p w14:paraId="179154B1" w14:textId="057A92D9" w:rsidR="00794505" w:rsidRPr="005B4339" w:rsidRDefault="00794505" w:rsidP="003B6050">
      <w:pPr>
        <w:pStyle w:val="JRCFigurecaption"/>
        <w:rPr>
          <w:noProof/>
          <w:lang w:val="en-IE"/>
        </w:rPr>
      </w:pPr>
      <w:bookmarkStart w:id="785" w:name="_Ref125108481"/>
      <w:bookmarkStart w:id="786" w:name="_Ref133493946"/>
      <w:bookmarkStart w:id="787" w:name="_Toc122624004"/>
      <w:bookmarkStart w:id="788" w:name="_Toc125121575"/>
      <w:bookmarkStart w:id="789" w:name="_Toc133229397"/>
      <w:bookmarkStart w:id="790" w:name="_Toc139032008"/>
      <w:r w:rsidRPr="005B4339">
        <w:rPr>
          <w:noProof/>
          <w:lang w:val="en-IE"/>
        </w:rPr>
        <w:lastRenderedPageBreak/>
        <w:t xml:space="preserve">Figure </w:t>
      </w:r>
      <w:bookmarkEnd w:id="785"/>
      <w:r w:rsidR="00393DFA">
        <w:rPr>
          <w:noProof/>
        </w:rPr>
        <w:t>72</w:t>
      </w:r>
      <w:bookmarkEnd w:id="786"/>
      <w:r w:rsidR="00F27B33" w:rsidRPr="005B4339">
        <w:rPr>
          <w:noProof/>
          <w:lang w:val="en-IE"/>
        </w:rPr>
        <w:t>:</w:t>
      </w:r>
      <w:r w:rsidRPr="005B4339">
        <w:rPr>
          <w:noProof/>
          <w:lang w:val="en-IE"/>
        </w:rPr>
        <w:t xml:space="preserve"> Regional impact on Manufactures (excluding food manufacturing). Percentage of deviation over total employment (left) and value added (right) in baseline by NUTS2</w:t>
      </w:r>
      <w:bookmarkEnd w:id="787"/>
      <w:bookmarkEnd w:id="788"/>
      <w:bookmarkEnd w:id="789"/>
      <w:bookmarkEnd w:id="790"/>
    </w:p>
    <w:p w14:paraId="3D6AB755" w14:textId="77777777" w:rsidR="004E085A" w:rsidRPr="005B4339" w:rsidRDefault="004E085A" w:rsidP="003B6050">
      <w:pPr>
        <w:pStyle w:val="JRCFigurecaption"/>
        <w:rPr>
          <w:noProof/>
          <w:lang w:val="en-IE"/>
        </w:rPr>
      </w:pPr>
    </w:p>
    <w:p w14:paraId="42081816" w14:textId="77777777" w:rsidR="004E085A" w:rsidRPr="005B4339" w:rsidRDefault="004E085A" w:rsidP="004E085A">
      <w:pPr>
        <w:jc w:val="center"/>
        <w:rPr>
          <w:noProof/>
          <w:lang w:val="en-IE"/>
        </w:rPr>
      </w:pPr>
      <w:r w:rsidRPr="005B4339">
        <w:rPr>
          <w:noProof/>
          <w:lang w:eastAsia="en-GB"/>
        </w:rPr>
        <w:drawing>
          <wp:anchor distT="0" distB="0" distL="114300" distR="114300" simplePos="0" relativeHeight="251658249" behindDoc="0" locked="0" layoutInCell="1" allowOverlap="1" wp14:anchorId="2CF3DB8B" wp14:editId="223A2A61">
            <wp:simplePos x="0" y="0"/>
            <wp:positionH relativeFrom="column">
              <wp:posOffset>505460</wp:posOffset>
            </wp:positionH>
            <wp:positionV relativeFrom="paragraph">
              <wp:posOffset>482600</wp:posOffset>
            </wp:positionV>
            <wp:extent cx="632460" cy="912495"/>
            <wp:effectExtent l="0" t="0" r="0" b="1905"/>
            <wp:wrapNone/>
            <wp:docPr id="1617598185" name="Picture 16175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2460" cy="912495"/>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eastAsia="en-GB"/>
        </w:rPr>
        <w:drawing>
          <wp:anchor distT="0" distB="0" distL="114300" distR="114300" simplePos="0" relativeHeight="251658245" behindDoc="0" locked="0" layoutInCell="1" allowOverlap="1" wp14:anchorId="2C789EA3" wp14:editId="2A6A8D10">
            <wp:simplePos x="0" y="0"/>
            <wp:positionH relativeFrom="column">
              <wp:posOffset>4542790</wp:posOffset>
            </wp:positionH>
            <wp:positionV relativeFrom="paragraph">
              <wp:posOffset>172720</wp:posOffset>
            </wp:positionV>
            <wp:extent cx="997585" cy="1248410"/>
            <wp:effectExtent l="0" t="0" r="0" b="8890"/>
            <wp:wrapNone/>
            <wp:docPr id="1617598186" name="Picture 161759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7585" cy="1248410"/>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eastAsia="en-GB"/>
        </w:rPr>
        <w:drawing>
          <wp:anchor distT="0" distB="0" distL="114300" distR="114300" simplePos="0" relativeHeight="251658247" behindDoc="0" locked="0" layoutInCell="1" allowOverlap="1" wp14:anchorId="54B25AFB" wp14:editId="5959238D">
            <wp:simplePos x="0" y="0"/>
            <wp:positionH relativeFrom="column">
              <wp:posOffset>325120</wp:posOffset>
            </wp:positionH>
            <wp:positionV relativeFrom="paragraph">
              <wp:posOffset>156845</wp:posOffset>
            </wp:positionV>
            <wp:extent cx="1033780" cy="1243330"/>
            <wp:effectExtent l="0" t="0" r="0" b="0"/>
            <wp:wrapNone/>
            <wp:docPr id="1617598187" name="Picture 161759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1134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33780" cy="1243330"/>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eastAsia="en-GB"/>
        </w:rPr>
        <w:drawing>
          <wp:inline distT="0" distB="0" distL="0" distR="0" wp14:anchorId="4BB5C64B" wp14:editId="1784FE92">
            <wp:extent cx="4322445" cy="4079875"/>
            <wp:effectExtent l="0" t="0" r="1905" b="0"/>
            <wp:docPr id="1617598188" name="Picture 161759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22445" cy="4079875"/>
                    </a:xfrm>
                    <a:prstGeom prst="rect">
                      <a:avLst/>
                    </a:prstGeom>
                    <a:noFill/>
                    <a:ln>
                      <a:noFill/>
                    </a:ln>
                  </pic:spPr>
                </pic:pic>
              </a:graphicData>
            </a:graphic>
          </wp:inline>
        </w:drawing>
      </w:r>
      <w:r w:rsidRPr="005B4339">
        <w:rPr>
          <w:noProof/>
          <w:lang w:val="en-IE"/>
        </w:rPr>
        <w:t xml:space="preserve"> </w:t>
      </w:r>
      <w:r w:rsidRPr="005B4339">
        <w:rPr>
          <w:noProof/>
          <w:lang w:eastAsia="en-GB"/>
        </w:rPr>
        <w:drawing>
          <wp:inline distT="0" distB="0" distL="0" distR="0" wp14:anchorId="6426D9EA" wp14:editId="4182CCA9">
            <wp:extent cx="4322445" cy="4038600"/>
            <wp:effectExtent l="0" t="0" r="1905" b="0"/>
            <wp:docPr id="1617598189" name="Picture 161759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22445" cy="4038600"/>
                    </a:xfrm>
                    <a:prstGeom prst="rect">
                      <a:avLst/>
                    </a:prstGeom>
                    <a:noFill/>
                    <a:ln>
                      <a:noFill/>
                    </a:ln>
                  </pic:spPr>
                </pic:pic>
              </a:graphicData>
            </a:graphic>
          </wp:inline>
        </w:drawing>
      </w:r>
    </w:p>
    <w:p w14:paraId="4B90E686"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10E8770D" w14:textId="77777777" w:rsidR="00794505" w:rsidRPr="005B4339" w:rsidRDefault="00794505" w:rsidP="004E085A">
      <w:pPr>
        <w:rPr>
          <w:noProof/>
          <w:lang w:val="en-IE"/>
        </w:rPr>
      </w:pPr>
    </w:p>
    <w:p w14:paraId="412BF56E" w14:textId="6A91BA39" w:rsidR="00794505" w:rsidRPr="005B4339" w:rsidRDefault="00794505" w:rsidP="003B6050">
      <w:pPr>
        <w:pStyle w:val="JRCFigurecaption"/>
        <w:rPr>
          <w:noProof/>
          <w:lang w:val="en-IE"/>
        </w:rPr>
      </w:pPr>
      <w:bookmarkStart w:id="791" w:name="_Ref125108391"/>
      <w:bookmarkStart w:id="792" w:name="_Ref133494027"/>
      <w:bookmarkStart w:id="793" w:name="_Toc122624005"/>
      <w:bookmarkStart w:id="794" w:name="_Toc125121576"/>
      <w:bookmarkStart w:id="795" w:name="_Toc133229398"/>
      <w:bookmarkStart w:id="796" w:name="_Toc139032009"/>
      <w:r w:rsidRPr="005B4339">
        <w:rPr>
          <w:noProof/>
          <w:lang w:val="en-IE"/>
        </w:rPr>
        <w:lastRenderedPageBreak/>
        <w:t xml:space="preserve">Figure </w:t>
      </w:r>
      <w:bookmarkEnd w:id="791"/>
      <w:r w:rsidR="00393DFA">
        <w:rPr>
          <w:noProof/>
        </w:rPr>
        <w:t>73</w:t>
      </w:r>
      <w:bookmarkEnd w:id="792"/>
      <w:r w:rsidR="00F27B33" w:rsidRPr="005B4339">
        <w:rPr>
          <w:noProof/>
          <w:lang w:val="en-IE"/>
        </w:rPr>
        <w:t>:</w:t>
      </w:r>
      <w:r w:rsidRPr="005B4339">
        <w:rPr>
          <w:noProof/>
          <w:lang w:val="en-IE"/>
        </w:rPr>
        <w:t xml:space="preserve"> Regional impact on Services (including Accommodation and Food services activities). Percentage of deviation over total value added (right) in baseline by NUTS2</w:t>
      </w:r>
      <w:bookmarkEnd w:id="793"/>
      <w:bookmarkEnd w:id="794"/>
      <w:bookmarkEnd w:id="795"/>
      <w:bookmarkEnd w:id="796"/>
    </w:p>
    <w:p w14:paraId="4E735048" w14:textId="77777777" w:rsidR="004E085A" w:rsidRPr="005B4339" w:rsidRDefault="004E085A" w:rsidP="004E085A">
      <w:pPr>
        <w:jc w:val="center"/>
        <w:rPr>
          <w:noProof/>
          <w:lang w:val="en-IE"/>
        </w:rPr>
      </w:pPr>
      <w:r w:rsidRPr="005B4339">
        <w:rPr>
          <w:noProof/>
          <w:lang w:eastAsia="en-GB"/>
        </w:rPr>
        <w:drawing>
          <wp:anchor distT="0" distB="0" distL="114300" distR="114300" simplePos="0" relativeHeight="251658250" behindDoc="0" locked="0" layoutInCell="1" allowOverlap="1" wp14:anchorId="51F24363" wp14:editId="56101E8E">
            <wp:simplePos x="0" y="0"/>
            <wp:positionH relativeFrom="column">
              <wp:posOffset>6799580</wp:posOffset>
            </wp:positionH>
            <wp:positionV relativeFrom="paragraph">
              <wp:posOffset>3618865</wp:posOffset>
            </wp:positionV>
            <wp:extent cx="996315" cy="320675"/>
            <wp:effectExtent l="0" t="0" r="0" b="3175"/>
            <wp:wrapNone/>
            <wp:docPr id="255263690" name="Picture 25526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472930"/>
                    <pic:cNvPicPr>
                      <a:picLocks noChangeAspect="1" noChangeArrowheads="1"/>
                    </pic:cNvPicPr>
                  </pic:nvPicPr>
                  <pic:blipFill>
                    <a:blip r:embed="rId146">
                      <a:extLst>
                        <a:ext uri="{28A0092B-C50C-407E-A947-70E740481C1C}">
                          <a14:useLocalDpi xmlns:a14="http://schemas.microsoft.com/office/drawing/2010/main" val="0"/>
                        </a:ext>
                      </a:extLst>
                    </a:blip>
                    <a:srcRect b="74274"/>
                    <a:stretch>
                      <a:fillRect/>
                    </a:stretch>
                  </pic:blipFill>
                  <pic:spPr bwMode="auto">
                    <a:xfrm>
                      <a:off x="0" y="0"/>
                      <a:ext cx="996315" cy="320675"/>
                    </a:xfrm>
                    <a:prstGeom prst="rect">
                      <a:avLst/>
                    </a:prstGeom>
                    <a:noFill/>
                  </pic:spPr>
                </pic:pic>
              </a:graphicData>
            </a:graphic>
            <wp14:sizeRelH relativeFrom="page">
              <wp14:pctWidth>0</wp14:pctWidth>
            </wp14:sizeRelH>
            <wp14:sizeRelV relativeFrom="page">
              <wp14:pctHeight>0</wp14:pctHeight>
            </wp14:sizeRelV>
          </wp:anchor>
        </w:drawing>
      </w:r>
      <w:r w:rsidRPr="005B4339">
        <w:rPr>
          <w:noProof/>
          <w:lang w:val="en-IE"/>
        </w:rPr>
        <w:t xml:space="preserve"> </w:t>
      </w:r>
      <w:r w:rsidRPr="005B4339">
        <w:rPr>
          <w:noProof/>
          <w:lang w:eastAsia="en-GB"/>
        </w:rPr>
        <w:drawing>
          <wp:inline distT="0" distB="0" distL="0" distR="0" wp14:anchorId="43711583" wp14:editId="645319F4">
            <wp:extent cx="4762500" cy="4467040"/>
            <wp:effectExtent l="0" t="0" r="0" b="0"/>
            <wp:docPr id="1768060913" name="Picture 176806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4729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75145" cy="4478900"/>
                    </a:xfrm>
                    <a:prstGeom prst="rect">
                      <a:avLst/>
                    </a:prstGeom>
                    <a:noFill/>
                    <a:ln>
                      <a:noFill/>
                    </a:ln>
                  </pic:spPr>
                </pic:pic>
              </a:graphicData>
            </a:graphic>
          </wp:inline>
        </w:drawing>
      </w:r>
      <w:r w:rsidRPr="005B4339">
        <w:rPr>
          <w:noProof/>
          <w:lang w:eastAsia="en-GB"/>
        </w:rPr>
        <w:drawing>
          <wp:inline distT="0" distB="0" distL="0" distR="0" wp14:anchorId="63179DE6" wp14:editId="1C116EDA">
            <wp:extent cx="581660" cy="942340"/>
            <wp:effectExtent l="0" t="0" r="8890" b="0"/>
            <wp:docPr id="1768060912" name="Picture 176806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4729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660" cy="942340"/>
                    </a:xfrm>
                    <a:prstGeom prst="rect">
                      <a:avLst/>
                    </a:prstGeom>
                    <a:noFill/>
                    <a:ln>
                      <a:noFill/>
                    </a:ln>
                  </pic:spPr>
                </pic:pic>
              </a:graphicData>
            </a:graphic>
          </wp:inline>
        </w:drawing>
      </w:r>
    </w:p>
    <w:p w14:paraId="38DBB366"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5F7E1057" w14:textId="77777777" w:rsidR="004E085A" w:rsidRPr="005B4339" w:rsidRDefault="004E085A" w:rsidP="004E085A">
      <w:pPr>
        <w:spacing w:after="0"/>
        <w:jc w:val="left"/>
        <w:rPr>
          <w:noProof/>
          <w:lang w:val="en-IE"/>
        </w:rPr>
      </w:pPr>
    </w:p>
    <w:p w14:paraId="0245D3F8" w14:textId="77777777" w:rsidR="004E085A" w:rsidRPr="005B4339" w:rsidRDefault="004E085A" w:rsidP="004E085A">
      <w:pPr>
        <w:spacing w:after="0"/>
        <w:jc w:val="left"/>
        <w:rPr>
          <w:noProof/>
          <w:lang w:val="en-IE"/>
        </w:rPr>
        <w:sectPr w:rsidR="004E085A" w:rsidRPr="005B4339">
          <w:headerReference w:type="even" r:id="rId152"/>
          <w:headerReference w:type="default" r:id="rId153"/>
          <w:footerReference w:type="even" r:id="rId154"/>
          <w:footerReference w:type="default" r:id="rId155"/>
          <w:headerReference w:type="first" r:id="rId156"/>
          <w:footerReference w:type="first" r:id="rId157"/>
          <w:pgSz w:w="16838" w:h="11906" w:orient="landscape"/>
          <w:pgMar w:top="1440" w:right="1440" w:bottom="1440" w:left="1440" w:header="708" w:footer="708" w:gutter="0"/>
          <w:cols w:space="720"/>
        </w:sectPr>
      </w:pPr>
    </w:p>
    <w:p w14:paraId="4BE175F5" w14:textId="77777777" w:rsidR="00794505" w:rsidRPr="005B4339" w:rsidRDefault="00794505" w:rsidP="004E085A">
      <w:pPr>
        <w:pStyle w:val="JRCText"/>
        <w:rPr>
          <w:rFonts w:ascii="Times New Roman" w:hAnsi="Times New Roman"/>
          <w:noProof/>
          <w:sz w:val="24"/>
          <w:szCs w:val="24"/>
          <w:lang w:val="en-IE"/>
        </w:rPr>
      </w:pPr>
    </w:p>
    <w:p w14:paraId="63ABB450" w14:textId="28C0FBEB" w:rsidR="007F5ACC" w:rsidRPr="005B4339" w:rsidRDefault="00794505" w:rsidP="003B6050">
      <w:pPr>
        <w:pStyle w:val="JRCFigurecaption"/>
        <w:rPr>
          <w:noProof/>
          <w:lang w:val="en-IE"/>
        </w:rPr>
      </w:pPr>
      <w:bookmarkStart w:id="797" w:name="_Ref133494145"/>
      <w:bookmarkStart w:id="798" w:name="_Toc125121578"/>
      <w:bookmarkStart w:id="799" w:name="_Toc139032010"/>
      <w:bookmarkStart w:id="800" w:name="_Toc122624006"/>
      <w:bookmarkStart w:id="801" w:name="_Toc122623408"/>
      <w:bookmarkStart w:id="802" w:name="_Toc133229399"/>
      <w:r w:rsidRPr="005B4339">
        <w:rPr>
          <w:noProof/>
          <w:lang w:val="en-IE"/>
        </w:rPr>
        <w:t xml:space="preserve">Figure </w:t>
      </w:r>
      <w:r w:rsidR="00393DFA">
        <w:rPr>
          <w:noProof/>
        </w:rPr>
        <w:t>74</w:t>
      </w:r>
      <w:bookmarkEnd w:id="797"/>
      <w:r w:rsidR="00F27B33" w:rsidRPr="005B4339">
        <w:rPr>
          <w:noProof/>
          <w:lang w:val="en-IE"/>
        </w:rPr>
        <w:t>:</w:t>
      </w:r>
      <w:r w:rsidRPr="005B4339">
        <w:rPr>
          <w:noProof/>
          <w:lang w:val="en-IE"/>
        </w:rPr>
        <w:t xml:space="preserve"> Potential impact on value added for most negatively affected regions (share over total value added)</w:t>
      </w:r>
      <w:bookmarkEnd w:id="798"/>
      <w:bookmarkEnd w:id="799"/>
      <w:r w:rsidRPr="005B4339">
        <w:rPr>
          <w:noProof/>
          <w:lang w:val="en-IE"/>
        </w:rPr>
        <w:t xml:space="preserve"> </w:t>
      </w:r>
      <w:bookmarkEnd w:id="800"/>
      <w:bookmarkEnd w:id="801"/>
    </w:p>
    <w:bookmarkEnd w:id="802"/>
    <w:p w14:paraId="23771FEF" w14:textId="65B6075C" w:rsidR="00794505" w:rsidRPr="005B4339" w:rsidRDefault="004928CC" w:rsidP="007F5ACC">
      <w:pPr>
        <w:pStyle w:val="JRCText"/>
        <w:rPr>
          <w:noProof/>
          <w:lang w:val="en-IE"/>
        </w:rPr>
      </w:pPr>
      <w:r w:rsidRPr="004928CC">
        <w:drawing>
          <wp:inline distT="0" distB="0" distL="0" distR="0" wp14:anchorId="748F23BC" wp14:editId="686AD68E">
            <wp:extent cx="5743575" cy="3762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3575" cy="3762375"/>
                    </a:xfrm>
                    <a:prstGeom prst="rect">
                      <a:avLst/>
                    </a:prstGeom>
                    <a:noFill/>
                    <a:ln>
                      <a:noFill/>
                    </a:ln>
                  </pic:spPr>
                </pic:pic>
              </a:graphicData>
            </a:graphic>
          </wp:inline>
        </w:drawing>
      </w:r>
    </w:p>
    <w:p w14:paraId="2C10DBD5"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1DCE4336" w14:textId="5B0AB31E" w:rsidR="00794505" w:rsidRPr="005B4339" w:rsidRDefault="00794505" w:rsidP="003B6050">
      <w:pPr>
        <w:pStyle w:val="JRCFigurecaption"/>
        <w:rPr>
          <w:noProof/>
          <w:lang w:val="en-IE"/>
        </w:rPr>
      </w:pPr>
      <w:bookmarkStart w:id="803" w:name="_Ref125108605"/>
      <w:bookmarkStart w:id="804" w:name="_Ref133493852"/>
      <w:bookmarkStart w:id="805" w:name="_Ref125020659"/>
      <w:bookmarkStart w:id="806" w:name="_Toc125121579"/>
      <w:bookmarkStart w:id="807" w:name="_Toc133229400"/>
      <w:bookmarkStart w:id="808" w:name="_Toc139032011"/>
      <w:r w:rsidRPr="005B4339">
        <w:rPr>
          <w:noProof/>
          <w:lang w:val="en-IE"/>
        </w:rPr>
        <w:t xml:space="preserve">Figure </w:t>
      </w:r>
      <w:bookmarkEnd w:id="803"/>
      <w:r w:rsidR="00393DFA">
        <w:rPr>
          <w:noProof/>
        </w:rPr>
        <w:t>75</w:t>
      </w:r>
      <w:bookmarkEnd w:id="804"/>
      <w:r w:rsidR="00F27B33" w:rsidRPr="005B4339">
        <w:rPr>
          <w:noProof/>
          <w:lang w:val="en-IE"/>
        </w:rPr>
        <w:t>:</w:t>
      </w:r>
      <w:r w:rsidRPr="005B4339">
        <w:rPr>
          <w:noProof/>
          <w:lang w:val="en-IE"/>
        </w:rPr>
        <w:t xml:space="preserve"> Potential impact on value added for most </w:t>
      </w:r>
      <w:r w:rsidR="00823483" w:rsidRPr="005B4339">
        <w:rPr>
          <w:noProof/>
          <w:lang w:val="en-IE"/>
        </w:rPr>
        <w:t>positively</w:t>
      </w:r>
      <w:r w:rsidRPr="005B4339">
        <w:rPr>
          <w:noProof/>
          <w:lang w:val="en-IE"/>
        </w:rPr>
        <w:t xml:space="preserve"> affected regions (share over total value added)</w:t>
      </w:r>
      <w:bookmarkEnd w:id="805"/>
      <w:bookmarkEnd w:id="806"/>
      <w:bookmarkEnd w:id="807"/>
      <w:bookmarkEnd w:id="808"/>
      <w:r w:rsidRPr="005B4339">
        <w:rPr>
          <w:noProof/>
          <w:lang w:val="en-IE"/>
        </w:rPr>
        <w:t xml:space="preserve"> </w:t>
      </w:r>
    </w:p>
    <w:p w14:paraId="0CF53760" w14:textId="77777777" w:rsidR="004E085A" w:rsidRPr="005B4339" w:rsidRDefault="004E085A" w:rsidP="004E085A">
      <w:pPr>
        <w:pStyle w:val="JRCText"/>
        <w:rPr>
          <w:noProof/>
          <w:lang w:val="en-IE" w:eastAsia="en-GB"/>
        </w:rPr>
      </w:pPr>
    </w:p>
    <w:p w14:paraId="365A1FAA" w14:textId="2CF9F382" w:rsidR="004E085A" w:rsidRPr="005B4339" w:rsidRDefault="004928CC" w:rsidP="004E085A">
      <w:pPr>
        <w:pStyle w:val="JRCText"/>
        <w:rPr>
          <w:rFonts w:ascii="Times New Roman" w:hAnsi="Times New Roman"/>
          <w:noProof/>
          <w:sz w:val="24"/>
          <w:szCs w:val="24"/>
          <w:lang w:val="en-IE"/>
        </w:rPr>
      </w:pPr>
      <w:r w:rsidRPr="004928CC">
        <w:lastRenderedPageBreak/>
        <w:drawing>
          <wp:inline distT="0" distB="0" distL="0" distR="0" wp14:anchorId="0AF5F7CA" wp14:editId="07463F60">
            <wp:extent cx="5743575" cy="3886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3575" cy="3886200"/>
                    </a:xfrm>
                    <a:prstGeom prst="rect">
                      <a:avLst/>
                    </a:prstGeom>
                    <a:noFill/>
                    <a:ln>
                      <a:noFill/>
                    </a:ln>
                  </pic:spPr>
                </pic:pic>
              </a:graphicData>
            </a:graphic>
          </wp:inline>
        </w:drawing>
      </w:r>
    </w:p>
    <w:p w14:paraId="40B146FB"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6BFCD9B5" w14:textId="7FC15F9F" w:rsidR="00794505" w:rsidRPr="005B4339" w:rsidRDefault="00794505">
      <w:pPr>
        <w:pStyle w:val="JRCLevel-3title"/>
        <w:numPr>
          <w:ilvl w:val="2"/>
          <w:numId w:val="161"/>
        </w:numPr>
        <w:rPr>
          <w:rFonts w:ascii="Times New Roman" w:hAnsi="Times New Roman"/>
          <w:noProof/>
          <w:sz w:val="24"/>
          <w:lang w:val="en-IE"/>
        </w:rPr>
      </w:pPr>
      <w:bookmarkStart w:id="809" w:name="_Toc122604040"/>
      <w:bookmarkStart w:id="810" w:name="_Toc122613128"/>
      <w:bookmarkStart w:id="811" w:name="_Toc125109513"/>
      <w:bookmarkStart w:id="812" w:name="_Toc1543730255"/>
      <w:bookmarkStart w:id="813" w:name="_Toc667609530"/>
      <w:bookmarkStart w:id="814" w:name="_Toc1352416672"/>
      <w:bookmarkStart w:id="815" w:name="_Toc76620629"/>
      <w:bookmarkStart w:id="816" w:name="_Toc777258565"/>
      <w:bookmarkStart w:id="817" w:name="_Toc40249313"/>
      <w:bookmarkStart w:id="818" w:name="_Toc1086266475"/>
      <w:bookmarkStart w:id="819" w:name="_Toc139032129"/>
      <w:r w:rsidRPr="005B4339">
        <w:rPr>
          <w:rFonts w:ascii="Times New Roman" w:hAnsi="Times New Roman"/>
          <w:noProof/>
          <w:sz w:val="24"/>
          <w:lang w:val="en-IE"/>
        </w:rPr>
        <w:t>Impact on SMEs</w:t>
      </w:r>
      <w:bookmarkEnd w:id="809"/>
      <w:bookmarkEnd w:id="810"/>
      <w:bookmarkEnd w:id="811"/>
      <w:bookmarkEnd w:id="812"/>
      <w:bookmarkEnd w:id="813"/>
      <w:bookmarkEnd w:id="814"/>
      <w:bookmarkEnd w:id="815"/>
      <w:bookmarkEnd w:id="816"/>
      <w:bookmarkEnd w:id="817"/>
      <w:bookmarkEnd w:id="818"/>
      <w:bookmarkEnd w:id="819"/>
    </w:p>
    <w:p w14:paraId="5E38DC61" w14:textId="6DA0322E"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Recent decades have witnessed an increasing awareness of the importance of small and medium-sized enterprises (SMEs). </w:t>
      </w:r>
      <w:r w:rsidR="00E134E4" w:rsidRPr="005B4339">
        <w:rPr>
          <w:rFonts w:ascii="Times New Roman" w:hAnsi="Times New Roman"/>
          <w:noProof/>
          <w:sz w:val="24"/>
          <w:szCs w:val="24"/>
          <w:lang w:val="en-IE"/>
        </w:rPr>
        <w:t>In fact,</w:t>
      </w:r>
      <w:r w:rsidRPr="005B4339">
        <w:rPr>
          <w:rFonts w:ascii="Times New Roman" w:hAnsi="Times New Roman"/>
          <w:noProof/>
          <w:sz w:val="24"/>
          <w:szCs w:val="24"/>
          <w:lang w:val="en-IE"/>
        </w:rPr>
        <w:t xml:space="preserve"> although some economists still claim that the role of the SMEs is underestimated (e.g</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Ipinnaiye et al 2017</w:t>
      </w:r>
      <w:r w:rsidR="00BA402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others are arguing that SMEs are already in the vanguard of the industrial policy agenda (e.g</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Rigtering et al 2014). </w:t>
      </w:r>
      <w:r w:rsidR="00611512" w:rsidRPr="005B4339">
        <w:rPr>
          <w:rFonts w:ascii="Times New Roman" w:hAnsi="Times New Roman"/>
          <w:noProof/>
          <w:sz w:val="24"/>
          <w:szCs w:val="24"/>
          <w:lang w:val="en-IE"/>
        </w:rPr>
        <w:t>According to</w:t>
      </w:r>
      <w:r w:rsidR="00E134E4" w:rsidRPr="005B4339">
        <w:rPr>
          <w:rFonts w:ascii="Times New Roman" w:hAnsi="Times New Roman"/>
          <w:noProof/>
          <w:sz w:val="24"/>
          <w:szCs w:val="24"/>
          <w:lang w:val="en-IE"/>
        </w:rPr>
        <w:t xml:space="preserve"> the World Bank</w:t>
      </w:r>
      <w:r w:rsidR="00BA402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SMEs constitute over 90% of all businesses and employ over 50% worldwide. The above shares are even higher in the case of the European Union. Following the EUROSTAT data</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in 2020</w:t>
      </w:r>
      <w:r w:rsidR="00BA402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share of SMEs in the overall number of firms included in non-financial business economy stand around 99.8%. Their share in employment was close to 65</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while the value added created by  </w:t>
      </w:r>
      <w:r w:rsidR="002E49DC" w:rsidRPr="005B4339">
        <w:rPr>
          <w:rFonts w:ascii="Times New Roman" w:hAnsi="Times New Roman"/>
          <w:noProof/>
          <w:sz w:val="24"/>
          <w:szCs w:val="24"/>
          <w:lang w:val="en-IE"/>
        </w:rPr>
        <w:t>SMEs</w:t>
      </w:r>
      <w:r w:rsidRPr="005B4339">
        <w:rPr>
          <w:rFonts w:ascii="Times New Roman" w:hAnsi="Times New Roman"/>
          <w:noProof/>
          <w:sz w:val="24"/>
          <w:szCs w:val="24"/>
          <w:lang w:val="en-IE"/>
        </w:rPr>
        <w:t xml:space="preserve"> reached over 52</w:t>
      </w:r>
      <w:r w:rsidR="00E134E4" w:rsidRPr="005B4339">
        <w:rPr>
          <w:rFonts w:ascii="Times New Roman" w:hAnsi="Times New Roman"/>
          <w:noProof/>
          <w:sz w:val="24"/>
          <w:szCs w:val="24"/>
          <w:lang w:val="en-IE"/>
        </w:rPr>
        <w:t xml:space="preserve">%. </w:t>
      </w:r>
    </w:p>
    <w:p w14:paraId="466B572B" w14:textId="61C107EF"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Traditionally, factors related to firm characteristics, internal firm strategy and external financing were considered as main drivers of the SMEs growth (e.g., </w:t>
      </w:r>
      <w:r w:rsidR="00794505" w:rsidRPr="005B4339">
        <w:rPr>
          <w:rFonts w:ascii="Times New Roman" w:hAnsi="Times New Roman"/>
          <w:noProof/>
          <w:sz w:val="24"/>
          <w:szCs w:val="24"/>
          <w:lang w:val="en-IE"/>
        </w:rPr>
        <w:t>Barba Navaretti et al 2014; Demirel and Danisman 2019; Mazzucato and Parris 2015</w:t>
      </w:r>
      <w:r w:rsidRPr="005B4339">
        <w:rPr>
          <w:rFonts w:ascii="Times New Roman" w:hAnsi="Times New Roman"/>
          <w:noProof/>
          <w:sz w:val="24"/>
          <w:szCs w:val="24"/>
          <w:lang w:val="en-IE"/>
        </w:rPr>
        <w:t xml:space="preserve">). However, recently more interest was </w:t>
      </w:r>
      <w:r w:rsidR="002E49DC" w:rsidRPr="005B4339">
        <w:rPr>
          <w:rFonts w:ascii="Times New Roman" w:hAnsi="Times New Roman"/>
          <w:noProof/>
          <w:sz w:val="24"/>
          <w:szCs w:val="24"/>
          <w:lang w:val="en-IE"/>
        </w:rPr>
        <w:t>placed</w:t>
      </w:r>
      <w:r w:rsidRPr="005B4339">
        <w:rPr>
          <w:rFonts w:ascii="Times New Roman" w:hAnsi="Times New Roman"/>
          <w:noProof/>
          <w:sz w:val="24"/>
          <w:szCs w:val="24"/>
          <w:lang w:val="en-IE"/>
        </w:rPr>
        <w:t xml:space="preserve"> on the impact of overall macroeconomic conditions. This is due to the fact that SMEs are over</w:t>
      </w:r>
      <w:r w:rsidR="002E49D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represented in several economic sectors that tend to be particularly exposed during economic crises </w:t>
      </w:r>
      <w:r w:rsidR="00794505" w:rsidRPr="005B4339">
        <w:rPr>
          <w:rFonts w:ascii="Times New Roman" w:hAnsi="Times New Roman"/>
          <w:noProof/>
          <w:sz w:val="24"/>
          <w:szCs w:val="24"/>
          <w:lang w:val="en-IE"/>
        </w:rPr>
        <w:t>(OECD 2021)</w:t>
      </w:r>
      <w:r w:rsidRPr="005B4339">
        <w:rPr>
          <w:rFonts w:ascii="Times New Roman" w:hAnsi="Times New Roman"/>
          <w:noProof/>
          <w:sz w:val="24"/>
          <w:szCs w:val="24"/>
          <w:lang w:val="en-IE"/>
        </w:rPr>
        <w:t xml:space="preserve">. Moreover, financial constraints make SMEs be more vulnerable to the evolution of </w:t>
      </w:r>
      <w:r w:rsidR="002E49DC"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macroeconomic environment (e.g., </w:t>
      </w:r>
      <w:r w:rsidR="00794505" w:rsidRPr="005B4339">
        <w:rPr>
          <w:rFonts w:ascii="Times New Roman" w:hAnsi="Times New Roman"/>
          <w:noProof/>
          <w:sz w:val="24"/>
          <w:szCs w:val="24"/>
          <w:lang w:val="en-IE"/>
        </w:rPr>
        <w:t>Christopherson 2015; Lai et al 2016)</w:t>
      </w:r>
      <w:r w:rsidRPr="005B4339">
        <w:rPr>
          <w:rFonts w:ascii="Times New Roman" w:hAnsi="Times New Roman"/>
          <w:noProof/>
          <w:sz w:val="24"/>
          <w:szCs w:val="24"/>
          <w:lang w:val="en-IE"/>
        </w:rPr>
        <w:t xml:space="preserve">. </w:t>
      </w:r>
    </w:p>
    <w:p w14:paraId="1EFBF5F9" w14:textId="4CAA0E42" w:rsidR="00794505" w:rsidRPr="005B4339" w:rsidRDefault="00E134E4"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Existing analyses indicate that macroeconomic factors influence both SMEs</w:t>
      </w:r>
      <w:r w:rsidR="002E49D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turnover and employment. In particular, </w:t>
      </w:r>
      <w:r w:rsidR="00794505" w:rsidRPr="005B4339">
        <w:rPr>
          <w:rFonts w:ascii="Times New Roman" w:hAnsi="Times New Roman"/>
          <w:noProof/>
          <w:sz w:val="24"/>
          <w:szCs w:val="24"/>
          <w:lang w:val="en-IE"/>
        </w:rPr>
        <w:t>Ipinnaiye et al. (2017)</w:t>
      </w:r>
      <w:r w:rsidRPr="005B4339">
        <w:rPr>
          <w:rFonts w:ascii="Times New Roman" w:hAnsi="Times New Roman"/>
          <w:noProof/>
          <w:sz w:val="24"/>
          <w:szCs w:val="24"/>
          <w:lang w:val="en-IE"/>
        </w:rPr>
        <w:t xml:space="preserve"> show that, in the case of </w:t>
      </w:r>
      <w:r w:rsidR="00611512" w:rsidRPr="005B4339">
        <w:rPr>
          <w:rFonts w:ascii="Times New Roman" w:hAnsi="Times New Roman"/>
          <w:noProof/>
          <w:sz w:val="24"/>
          <w:szCs w:val="24"/>
          <w:lang w:val="en-IE"/>
        </w:rPr>
        <w:t>the</w:t>
      </w:r>
      <w:r w:rsidRPr="005B4339">
        <w:rPr>
          <w:rFonts w:ascii="Times New Roman" w:hAnsi="Times New Roman"/>
          <w:noProof/>
          <w:sz w:val="24"/>
          <w:szCs w:val="24"/>
          <w:lang w:val="en-IE"/>
        </w:rPr>
        <w:t xml:space="preserve"> Irish </w:t>
      </w:r>
      <w:r w:rsidRPr="005B4339">
        <w:rPr>
          <w:rFonts w:ascii="Times New Roman" w:hAnsi="Times New Roman"/>
          <w:noProof/>
          <w:sz w:val="24"/>
          <w:szCs w:val="24"/>
          <w:lang w:val="en-IE"/>
        </w:rPr>
        <w:lastRenderedPageBreak/>
        <w:t xml:space="preserve">manufacturing sector, a 1% increase in inflation rate leads to a 2% rise in the turnover growth. Their findings are in line with earlier </w:t>
      </w:r>
      <w:r w:rsidR="002E49DC" w:rsidRPr="005B4339">
        <w:rPr>
          <w:rFonts w:ascii="Times New Roman" w:hAnsi="Times New Roman"/>
          <w:noProof/>
          <w:sz w:val="24"/>
          <w:szCs w:val="24"/>
          <w:lang w:val="en-IE"/>
        </w:rPr>
        <w:t>publications</w:t>
      </w:r>
      <w:r w:rsidRPr="005B4339">
        <w:rPr>
          <w:rFonts w:ascii="Times New Roman" w:hAnsi="Times New Roman"/>
          <w:noProof/>
          <w:sz w:val="24"/>
          <w:szCs w:val="24"/>
          <w:lang w:val="en-IE"/>
        </w:rPr>
        <w:t xml:space="preserve"> by </w:t>
      </w:r>
      <w:r w:rsidR="00794505" w:rsidRPr="005B4339">
        <w:rPr>
          <w:rFonts w:ascii="Times New Roman" w:hAnsi="Times New Roman"/>
          <w:noProof/>
          <w:sz w:val="24"/>
          <w:szCs w:val="24"/>
          <w:lang w:val="en-IE"/>
        </w:rPr>
        <w:t>Beck et al. (2005) or Mateev and Anastasov (2011)</w:t>
      </w:r>
      <w:r w:rsidRPr="005B4339">
        <w:rPr>
          <w:rFonts w:ascii="Times New Roman" w:hAnsi="Times New Roman"/>
          <w:noProof/>
          <w:sz w:val="24"/>
          <w:szCs w:val="24"/>
          <w:lang w:val="en-IE"/>
        </w:rPr>
        <w:t xml:space="preserve">. At the same time, however, an increase in inflation leads to a decrease in employment. </w:t>
      </w:r>
      <w:r w:rsidR="00794505" w:rsidRPr="005B4339">
        <w:rPr>
          <w:rFonts w:ascii="Times New Roman" w:hAnsi="Times New Roman"/>
          <w:noProof/>
          <w:sz w:val="24"/>
          <w:szCs w:val="24"/>
          <w:lang w:val="en-IE"/>
        </w:rPr>
        <w:t>Ipinnaiye et al. (2017)</w:t>
      </w:r>
      <w:r w:rsidRPr="005B4339">
        <w:rPr>
          <w:rFonts w:ascii="Times New Roman" w:hAnsi="Times New Roman"/>
          <w:noProof/>
          <w:sz w:val="24"/>
          <w:szCs w:val="24"/>
          <w:lang w:val="en-IE"/>
        </w:rPr>
        <w:t xml:space="preserve"> also report a strong positive correlation between the industry growth and both SMEs</w:t>
      </w:r>
      <w:r w:rsidR="002E49D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turnover and employment growth. In the case of the former, the elasticity is around 22%, while in the case of the latte</w:t>
      </w:r>
      <w:r w:rsidR="002E49D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r it is around 4%. Still other </w:t>
      </w:r>
      <w:r w:rsidR="002E49DC" w:rsidRPr="005B4339">
        <w:rPr>
          <w:rFonts w:ascii="Times New Roman" w:hAnsi="Times New Roman"/>
          <w:noProof/>
          <w:sz w:val="24"/>
          <w:szCs w:val="24"/>
          <w:lang w:val="en-IE"/>
        </w:rPr>
        <w:t xml:space="preserve">publications </w:t>
      </w:r>
      <w:r w:rsidRPr="005B4339">
        <w:rPr>
          <w:rFonts w:ascii="Times New Roman" w:hAnsi="Times New Roman"/>
          <w:noProof/>
          <w:sz w:val="24"/>
          <w:szCs w:val="24"/>
          <w:lang w:val="en-IE"/>
        </w:rPr>
        <w:t xml:space="preserve">show </w:t>
      </w:r>
      <w:r w:rsidR="00B148CB" w:rsidRPr="005B4339">
        <w:rPr>
          <w:rFonts w:ascii="Times New Roman" w:hAnsi="Times New Roman"/>
          <w:noProof/>
          <w:sz w:val="24"/>
          <w:szCs w:val="24"/>
          <w:lang w:val="en-IE"/>
        </w:rPr>
        <w:t>a</w:t>
      </w:r>
      <w:r w:rsidRPr="005B4339">
        <w:rPr>
          <w:rFonts w:ascii="Times New Roman" w:hAnsi="Times New Roman"/>
          <w:noProof/>
          <w:sz w:val="24"/>
          <w:szCs w:val="24"/>
          <w:lang w:val="en-IE"/>
        </w:rPr>
        <w:t xml:space="preserve"> much weaker impact of GDP growth and firms’ growth. Here the estimated elasticity oscillates between 2% and 4% (e.g., </w:t>
      </w:r>
      <w:r w:rsidR="00794505" w:rsidRPr="005B4339">
        <w:rPr>
          <w:rFonts w:ascii="Times New Roman" w:hAnsi="Times New Roman"/>
          <w:noProof/>
          <w:sz w:val="24"/>
          <w:szCs w:val="24"/>
          <w:lang w:val="en-IE"/>
        </w:rPr>
        <w:t>Beck et al 2005; Mateev and Anastasov 2011). </w:t>
      </w:r>
    </w:p>
    <w:p w14:paraId="431813C5" w14:textId="273E9144"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The results of simulations done with the MAGNET model within the Food Waste Impact Assessment project show that the most negatively affected industries would be agriculture, food manufacturing</w:t>
      </w:r>
      <w:r w:rsidR="00B148CB"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waste collection and treatment and food services. The above</w:t>
      </w:r>
      <w:r w:rsidR="00B148CB" w:rsidRPr="005B4339">
        <w:rPr>
          <w:rFonts w:ascii="Times New Roman" w:hAnsi="Times New Roman"/>
          <w:noProof/>
          <w:sz w:val="24"/>
          <w:szCs w:val="24"/>
          <w:lang w:val="en-IE"/>
        </w:rPr>
        <w:t>mentioned</w:t>
      </w:r>
      <w:r w:rsidRPr="005B4339">
        <w:rPr>
          <w:rFonts w:ascii="Times New Roman" w:hAnsi="Times New Roman"/>
          <w:noProof/>
          <w:sz w:val="24"/>
          <w:szCs w:val="24"/>
          <w:lang w:val="en-IE"/>
        </w:rPr>
        <w:t xml:space="preserve"> industries would face the highest decrease both in the value of production and employment. Still, in the case </w:t>
      </w:r>
      <w:r w:rsidR="00B148CB" w:rsidRPr="005B4339">
        <w:rPr>
          <w:rFonts w:ascii="Times New Roman" w:hAnsi="Times New Roman"/>
          <w:noProof/>
          <w:sz w:val="24"/>
          <w:szCs w:val="24"/>
          <w:lang w:val="en-IE"/>
        </w:rPr>
        <w:t>o</w:t>
      </w:r>
      <w:r w:rsidRPr="005B4339">
        <w:rPr>
          <w:rFonts w:ascii="Times New Roman" w:hAnsi="Times New Roman"/>
          <w:noProof/>
          <w:sz w:val="24"/>
          <w:szCs w:val="24"/>
          <w:lang w:val="en-IE"/>
        </w:rPr>
        <w:t xml:space="preserve">f the former, the </w:t>
      </w:r>
      <w:r w:rsidR="00611512" w:rsidRPr="005B4339">
        <w:rPr>
          <w:rFonts w:ascii="Times New Roman" w:hAnsi="Times New Roman"/>
          <w:noProof/>
          <w:sz w:val="24"/>
          <w:szCs w:val="24"/>
          <w:lang w:val="en-IE"/>
        </w:rPr>
        <w:t>highest ambition target</w:t>
      </w:r>
      <w:r w:rsidRPr="005B4339">
        <w:rPr>
          <w:rFonts w:ascii="Times New Roman" w:hAnsi="Times New Roman"/>
          <w:noProof/>
          <w:sz w:val="24"/>
          <w:szCs w:val="24"/>
          <w:lang w:val="en-IE"/>
        </w:rPr>
        <w:t xml:space="preserve"> reveals that the cumulative growth of the value of production between 2020 and 2030 would be lower by around 2 percentage points in the case of agriculture, over 3 percentage points for food manufacturing, and around 13 percentage points for waste services. In the case of employment, the total decrease for the whole EU is hard to estimate due to the peculiarity of the food service industry and the fact that the SMEs employment in food services is quite high (over 9 million in the EU27). Note that</w:t>
      </w:r>
      <w:r w:rsidR="0047791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on average</w:t>
      </w:r>
      <w:r w:rsidR="0047791A"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all the remaining industries would experience a positive impact of food waste reduction. Although the cumulative difference would be very small. For instance, it would be less than 1 percentage point in the case of the production value and less than 0.5 million in the case of employment.</w:t>
      </w:r>
    </w:p>
    <w:p w14:paraId="0DBB3CE5" w14:textId="345EF519"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growth in value of production can be considered as a proxy for the GDP growth in the aforementioned empirical papers. </w:t>
      </w:r>
      <w:r w:rsidR="00E134E4" w:rsidRPr="005B4339">
        <w:rPr>
          <w:rFonts w:ascii="Times New Roman" w:hAnsi="Times New Roman"/>
          <w:noProof/>
          <w:sz w:val="24"/>
          <w:szCs w:val="24"/>
          <w:lang w:val="en-IE"/>
        </w:rPr>
        <w:t>Therefore,</w:t>
      </w:r>
      <w:r w:rsidRPr="005B4339">
        <w:rPr>
          <w:rFonts w:ascii="Times New Roman" w:hAnsi="Times New Roman"/>
          <w:noProof/>
          <w:sz w:val="24"/>
          <w:szCs w:val="24"/>
          <w:lang w:val="en-IE"/>
        </w:rPr>
        <w:t xml:space="preserve"> taking into account the lower values of elasticities reported in the existing studies</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we could expect a moderate decrease in SMEs growth in food manufacturing (at least 7 percentage points)</w:t>
      </w:r>
      <w:r w:rsidR="00D0118C"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about 15 percentage points for food services and over 25 percentage points for waste services. </w:t>
      </w:r>
      <w:r w:rsidR="00E134E4" w:rsidRPr="005B4339">
        <w:rPr>
          <w:rFonts w:ascii="Times New Roman" w:hAnsi="Times New Roman"/>
          <w:noProof/>
          <w:sz w:val="24"/>
          <w:szCs w:val="24"/>
          <w:lang w:val="en-IE"/>
        </w:rPr>
        <w:t>Also</w:t>
      </w:r>
      <w:r w:rsidR="00D0118C"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change in prices would further negatively impact waste services (additional decrease in turnover growth by 2 percentage points). At the same time</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however</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higher inflation should increase turnover in the food service sector. </w:t>
      </w:r>
    </w:p>
    <w:p w14:paraId="631BC5E0" w14:textId="423D2E7B"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above estimates rely on the average elasticities calculated for the entire economy. </w:t>
      </w:r>
      <w:r w:rsidR="00E134E4" w:rsidRPr="005B4339">
        <w:rPr>
          <w:rFonts w:ascii="Times New Roman" w:hAnsi="Times New Roman"/>
          <w:noProof/>
          <w:sz w:val="24"/>
          <w:szCs w:val="24"/>
          <w:lang w:val="en-IE"/>
        </w:rPr>
        <w:t>Nevertheless, the relative importance of SMEs can be different in particular sectors. EUROSTAT data on non-financial business economy allows comparing the share of SMEs in food manufacturing waste services and food services.</w:t>
      </w:r>
      <w:r w:rsidR="00D52803" w:rsidRPr="005B4339">
        <w:rPr>
          <w:rFonts w:ascii="Times New Roman" w:hAnsi="Times New Roman"/>
          <w:noProof/>
          <w:sz w:val="24"/>
          <w:szCs w:val="24"/>
          <w:lang w:val="en-IE"/>
        </w:rPr>
        <w:t xml:space="preserve">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_Ref133494196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76</w:t>
      </w:r>
      <w:r w:rsidR="00A938F2" w:rsidRPr="005B4339">
        <w:rPr>
          <w:rFonts w:ascii="Times New Roman" w:hAnsi="Times New Roman"/>
          <w:noProof/>
          <w:sz w:val="24"/>
          <w:szCs w:val="24"/>
          <w:lang w:val="en-IE"/>
        </w:rPr>
        <w:fldChar w:fldCharType="end"/>
      </w:r>
      <w:r w:rsidR="00D52803" w:rsidRPr="005B4339">
        <w:rPr>
          <w:rFonts w:ascii="Times New Roman" w:hAnsi="Times New Roman"/>
          <w:noProof/>
          <w:sz w:val="24"/>
          <w:szCs w:val="24"/>
          <w:lang w:val="en-IE"/>
        </w:rPr>
        <w:t xml:space="preserve"> below </w:t>
      </w:r>
      <w:r w:rsidR="00E134E4" w:rsidRPr="005B4339">
        <w:rPr>
          <w:rFonts w:ascii="Times New Roman" w:hAnsi="Times New Roman"/>
          <w:noProof/>
          <w:sz w:val="24"/>
          <w:szCs w:val="24"/>
          <w:lang w:val="en-IE"/>
        </w:rPr>
        <w:t>depicts the share of SMEs in the employment of the above</w:t>
      </w:r>
      <w:r w:rsidR="00D0118C" w:rsidRPr="005B4339">
        <w:rPr>
          <w:rFonts w:ascii="Times New Roman" w:hAnsi="Times New Roman"/>
          <w:noProof/>
          <w:sz w:val="24"/>
          <w:szCs w:val="24"/>
          <w:lang w:val="en-IE"/>
        </w:rPr>
        <w:t>mentioned</w:t>
      </w:r>
      <w:r w:rsidR="00E134E4" w:rsidRPr="005B4339">
        <w:rPr>
          <w:rFonts w:ascii="Times New Roman" w:hAnsi="Times New Roman"/>
          <w:noProof/>
          <w:sz w:val="24"/>
          <w:szCs w:val="24"/>
          <w:lang w:val="en-IE"/>
        </w:rPr>
        <w:t xml:space="preserve"> industries in the EU27. It appears that this share is much higher than the average for the entire economy in the case of food services. As a result, we may assume that a decrease in employment caused by food waste reduction would particularly affect the SMEs in this sector. At the same time however, the employment share of SMEs is much lower for the waste services and some</w:t>
      </w:r>
      <w:r w:rsidR="00971C81" w:rsidRPr="005B4339">
        <w:rPr>
          <w:rFonts w:ascii="Times New Roman" w:hAnsi="Times New Roman"/>
          <w:noProof/>
          <w:sz w:val="24"/>
          <w:szCs w:val="24"/>
          <w:lang w:val="en-IE"/>
        </w:rPr>
        <w:t>what</w:t>
      </w:r>
      <w:r w:rsidR="00E134E4" w:rsidRPr="005B4339">
        <w:rPr>
          <w:rFonts w:ascii="Times New Roman" w:hAnsi="Times New Roman"/>
          <w:noProof/>
          <w:sz w:val="24"/>
          <w:szCs w:val="24"/>
          <w:lang w:val="en-IE"/>
        </w:rPr>
        <w:t xml:space="preserve"> lower for food manufacturing. Hence, the expected impact on the SMEs’ employment in the above industries would be rather small. In fact,</w:t>
      </w:r>
      <w:r w:rsidRPr="005B4339">
        <w:rPr>
          <w:rFonts w:ascii="Times New Roman" w:hAnsi="Times New Roman"/>
          <w:noProof/>
          <w:sz w:val="24"/>
          <w:szCs w:val="24"/>
          <w:lang w:val="en-IE"/>
        </w:rPr>
        <w:t xml:space="preserve"> if we assume a constant share of SMEs in overall employment</w:t>
      </w:r>
      <w:r w:rsidR="008456C3"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we may estimate that the food waste reduction would lower SMEs’ employment in food manufacturing by 35</w:t>
      </w:r>
      <w:r w:rsidR="00971C81" w:rsidRPr="005B4339">
        <w:rPr>
          <w:rFonts w:ascii="Times New Roman" w:hAnsi="Times New Roman"/>
          <w:noProof/>
          <w:sz w:val="24"/>
          <w:szCs w:val="24"/>
          <w:lang w:val="en-IE"/>
        </w:rPr>
        <w:t> 000</w:t>
      </w:r>
      <w:r w:rsidRPr="005B4339">
        <w:rPr>
          <w:rFonts w:ascii="Times New Roman" w:hAnsi="Times New Roman"/>
          <w:noProof/>
          <w:sz w:val="24"/>
          <w:szCs w:val="24"/>
          <w:lang w:val="en-IE"/>
        </w:rPr>
        <w:t xml:space="preserve"> thousand and in waste services by 21</w:t>
      </w:r>
      <w:r w:rsidR="00971C81" w:rsidRPr="005B4339">
        <w:rPr>
          <w:rFonts w:ascii="Times New Roman" w:hAnsi="Times New Roman"/>
          <w:noProof/>
          <w:sz w:val="24"/>
          <w:szCs w:val="24"/>
          <w:lang w:val="en-IE"/>
        </w:rPr>
        <w:t> 000</w:t>
      </w:r>
      <w:r w:rsidRPr="005B4339">
        <w:rPr>
          <w:rFonts w:ascii="Times New Roman" w:hAnsi="Times New Roman"/>
          <w:noProof/>
          <w:sz w:val="24"/>
          <w:szCs w:val="24"/>
          <w:lang w:val="en-IE"/>
        </w:rPr>
        <w:t>.</w:t>
      </w:r>
    </w:p>
    <w:p w14:paraId="3B83146B" w14:textId="0548E8B8" w:rsidR="00E134E4" w:rsidRPr="005B4339" w:rsidRDefault="00794505" w:rsidP="003B6050">
      <w:pPr>
        <w:pStyle w:val="JRCFigurecaption"/>
        <w:rPr>
          <w:noProof/>
          <w:lang w:val="en-IE"/>
        </w:rPr>
      </w:pPr>
      <w:r w:rsidRPr="005B4339">
        <w:rPr>
          <w:noProof/>
          <w:lang w:val="en-IE"/>
        </w:rPr>
        <w:t> </w:t>
      </w:r>
      <w:bookmarkStart w:id="820" w:name="_Ref125108655"/>
      <w:bookmarkStart w:id="821" w:name="_Ref133494196"/>
      <w:bookmarkStart w:id="822" w:name="_Toc133229401"/>
      <w:bookmarkStart w:id="823" w:name="_Toc139032012"/>
      <w:bookmarkStart w:id="824" w:name="_Toc122624008"/>
      <w:bookmarkStart w:id="825" w:name="_Toc125121580"/>
      <w:r w:rsidRPr="005B4339">
        <w:rPr>
          <w:noProof/>
          <w:lang w:val="en-IE"/>
        </w:rPr>
        <w:t xml:space="preserve">Figure </w:t>
      </w:r>
      <w:bookmarkEnd w:id="820"/>
      <w:r w:rsidR="00393DFA">
        <w:rPr>
          <w:noProof/>
        </w:rPr>
        <w:t>76</w:t>
      </w:r>
      <w:bookmarkEnd w:id="821"/>
      <w:r w:rsidR="00F27B33" w:rsidRPr="005B4339">
        <w:rPr>
          <w:noProof/>
          <w:lang w:val="en-IE"/>
        </w:rPr>
        <w:t>:</w:t>
      </w:r>
      <w:r w:rsidR="00E134E4" w:rsidRPr="005B4339">
        <w:rPr>
          <w:noProof/>
          <w:lang w:val="en-IE"/>
        </w:rPr>
        <w:t xml:space="preserve"> Employment by enterprise size EU27</w:t>
      </w:r>
      <w:bookmarkEnd w:id="822"/>
      <w:bookmarkEnd w:id="823"/>
    </w:p>
    <w:p w14:paraId="2EB311E2" w14:textId="77777777" w:rsidR="00E134E4" w:rsidRPr="005B4339" w:rsidRDefault="00E134E4" w:rsidP="00E134E4">
      <w:pPr>
        <w:pStyle w:val="JRCText"/>
        <w:rPr>
          <w:rFonts w:ascii="Times New Roman" w:hAnsi="Times New Roman"/>
          <w:noProof/>
          <w:sz w:val="24"/>
          <w:szCs w:val="24"/>
          <w:lang w:val="en-IE"/>
        </w:rPr>
      </w:pPr>
    </w:p>
    <w:bookmarkEnd w:id="824"/>
    <w:bookmarkEnd w:id="825"/>
    <w:p w14:paraId="26C1C9BE" w14:textId="2CC05E01"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 </w:t>
      </w:r>
    </w:p>
    <w:p w14:paraId="76819A1E" w14:textId="572B9A09" w:rsidR="00834CAA" w:rsidRPr="005B4339" w:rsidRDefault="004928CC" w:rsidP="00E134E4">
      <w:pPr>
        <w:pStyle w:val="JRCText"/>
        <w:rPr>
          <w:rFonts w:ascii="Times New Roman" w:hAnsi="Times New Roman"/>
          <w:noProof/>
          <w:sz w:val="24"/>
          <w:szCs w:val="24"/>
          <w:lang w:val="en-IE"/>
        </w:rPr>
      </w:pPr>
      <w:r w:rsidRPr="004928CC">
        <w:drawing>
          <wp:inline distT="0" distB="0" distL="0" distR="0" wp14:anchorId="49D22654" wp14:editId="003D9FE4">
            <wp:extent cx="577215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72150" cy="2371725"/>
                    </a:xfrm>
                    <a:prstGeom prst="rect">
                      <a:avLst/>
                    </a:prstGeom>
                    <a:noFill/>
                    <a:ln>
                      <a:noFill/>
                    </a:ln>
                  </pic:spPr>
                </pic:pic>
              </a:graphicData>
            </a:graphic>
          </wp:inline>
        </w:drawing>
      </w:r>
    </w:p>
    <w:p w14:paraId="7365522A" w14:textId="77777777" w:rsidR="00794505" w:rsidRPr="005B4339" w:rsidRDefault="00794505" w:rsidP="00F54798">
      <w:pPr>
        <w:pStyle w:val="JRCFiguresource"/>
        <w:rPr>
          <w:noProof/>
          <w:lang w:val="en-IE"/>
        </w:rPr>
      </w:pPr>
      <w:r w:rsidRPr="005B4339">
        <w:rPr>
          <w:noProof/>
          <w:lang w:val="en-IE"/>
        </w:rPr>
        <w:t>Source: Authors’ own elaboration from MAGNET results and Eurostat data </w:t>
      </w:r>
    </w:p>
    <w:p w14:paraId="110E14CA" w14:textId="73AE6B6F"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EUROSTAT data show also that there </w:t>
      </w:r>
      <w:r w:rsidR="00611512" w:rsidRPr="005B4339">
        <w:rPr>
          <w:rFonts w:ascii="Times New Roman" w:hAnsi="Times New Roman"/>
          <w:noProof/>
          <w:sz w:val="24"/>
          <w:szCs w:val="24"/>
          <w:lang w:val="en-IE"/>
        </w:rPr>
        <w:t>are</w:t>
      </w:r>
      <w:r w:rsidRPr="005B4339">
        <w:rPr>
          <w:rFonts w:ascii="Times New Roman" w:hAnsi="Times New Roman"/>
          <w:noProof/>
          <w:sz w:val="24"/>
          <w:szCs w:val="24"/>
          <w:lang w:val="en-IE"/>
        </w:rPr>
        <w:t xml:space="preserve"> significant differences in the share of SMEs sector among particular </w:t>
      </w:r>
      <w:r w:rsidR="00FE5620" w:rsidRPr="005B4339">
        <w:rPr>
          <w:rFonts w:ascii="Times New Roman" w:hAnsi="Times New Roman"/>
          <w:noProof/>
          <w:sz w:val="24"/>
          <w:szCs w:val="24"/>
          <w:lang w:val="en-IE"/>
        </w:rPr>
        <w:t>M</w:t>
      </w:r>
      <w:r w:rsidRPr="005B4339">
        <w:rPr>
          <w:rFonts w:ascii="Times New Roman" w:hAnsi="Times New Roman"/>
          <w:noProof/>
          <w:sz w:val="24"/>
          <w:szCs w:val="24"/>
          <w:lang w:val="en-IE"/>
        </w:rPr>
        <w:t xml:space="preserve">ember </w:t>
      </w:r>
      <w:r w:rsidR="00FE5620" w:rsidRPr="005B4339">
        <w:rPr>
          <w:rFonts w:ascii="Times New Roman" w:hAnsi="Times New Roman"/>
          <w:noProof/>
          <w:sz w:val="24"/>
          <w:szCs w:val="24"/>
          <w:lang w:val="en-IE"/>
        </w:rPr>
        <w:t>S</w:t>
      </w:r>
      <w:r w:rsidRPr="005B4339">
        <w:rPr>
          <w:rFonts w:ascii="Times New Roman" w:hAnsi="Times New Roman"/>
          <w:noProof/>
          <w:sz w:val="24"/>
          <w:szCs w:val="24"/>
          <w:lang w:val="en-IE"/>
        </w:rPr>
        <w:t xml:space="preserve">tates. </w:t>
      </w:r>
      <w:r w:rsidR="00E134E4" w:rsidRPr="005B4339">
        <w:rPr>
          <w:rFonts w:ascii="Times New Roman" w:hAnsi="Times New Roman"/>
          <w:noProof/>
          <w:sz w:val="24"/>
          <w:szCs w:val="24"/>
          <w:lang w:val="en-IE"/>
        </w:rPr>
        <w:t>For instance,</w:t>
      </w:r>
      <w:r w:rsidRPr="005B4339">
        <w:rPr>
          <w:rFonts w:ascii="Times New Roman" w:hAnsi="Times New Roman"/>
          <w:noProof/>
          <w:sz w:val="24"/>
          <w:szCs w:val="24"/>
          <w:lang w:val="en-IE"/>
        </w:rPr>
        <w:t xml:space="preserve"> employment share of SMEs is much higher in smaller member states (e.g</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Cyprus</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Estonia</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Malta</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and Latvia) than the bigger ones (e.g</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France and Germany). This can be observed </w:t>
      </w:r>
      <w:r w:rsidR="00FE5620" w:rsidRPr="005B4339">
        <w:rPr>
          <w:rFonts w:ascii="Times New Roman" w:hAnsi="Times New Roman"/>
          <w:noProof/>
          <w:sz w:val="24"/>
          <w:szCs w:val="24"/>
          <w:lang w:val="en-IE"/>
        </w:rPr>
        <w:t>i</w:t>
      </w:r>
      <w:r w:rsidRPr="005B4339">
        <w:rPr>
          <w:rFonts w:ascii="Times New Roman" w:hAnsi="Times New Roman"/>
          <w:noProof/>
          <w:sz w:val="24"/>
          <w:szCs w:val="24"/>
          <w:lang w:val="en-IE"/>
        </w:rPr>
        <w:t xml:space="preserve">n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_Ref133494348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77</w:t>
      </w:r>
      <w:r w:rsidR="00A938F2" w:rsidRPr="005B4339">
        <w:rPr>
          <w:rFonts w:ascii="Times New Roman" w:hAnsi="Times New Roman"/>
          <w:noProof/>
          <w:sz w:val="24"/>
          <w:szCs w:val="24"/>
          <w:lang w:val="en-IE"/>
        </w:rPr>
        <w:fldChar w:fldCharType="end"/>
      </w:r>
      <w:r w:rsidR="00D52803"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below. On the other hand</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these are the biggest member states that lead the SMEs employment in absolute terms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_Ref133494249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78</w:t>
      </w:r>
      <w:r w:rsidR="00A938F2" w:rsidRPr="005B4339">
        <w:rPr>
          <w:rFonts w:ascii="Times New Roman" w:hAnsi="Times New Roman"/>
          <w:noProof/>
          <w:sz w:val="24"/>
          <w:szCs w:val="24"/>
          <w:lang w:val="en-IE"/>
        </w:rPr>
        <w:fldChar w:fldCharType="end"/>
      </w:r>
      <w:r w:rsidRPr="005B4339">
        <w:rPr>
          <w:rFonts w:ascii="Times New Roman" w:hAnsi="Times New Roman"/>
          <w:noProof/>
          <w:sz w:val="24"/>
          <w:szCs w:val="24"/>
          <w:lang w:val="en-IE"/>
        </w:rPr>
        <w:t xml:space="preserve">). </w:t>
      </w:r>
      <w:r w:rsidR="00E134E4" w:rsidRPr="005B4339">
        <w:rPr>
          <w:rFonts w:ascii="Times New Roman" w:hAnsi="Times New Roman"/>
          <w:noProof/>
          <w:sz w:val="24"/>
          <w:szCs w:val="24"/>
          <w:lang w:val="en-IE"/>
        </w:rPr>
        <w:t>Consequently,</w:t>
      </w:r>
      <w:r w:rsidRPr="005B4339">
        <w:rPr>
          <w:rFonts w:ascii="Times New Roman" w:hAnsi="Times New Roman"/>
          <w:noProof/>
          <w:sz w:val="24"/>
          <w:szCs w:val="24"/>
          <w:lang w:val="en-IE"/>
        </w:rPr>
        <w:t xml:space="preserve"> we should expect </w:t>
      </w:r>
      <w:r w:rsidR="00FE5620" w:rsidRPr="005B4339">
        <w:rPr>
          <w:rFonts w:ascii="Times New Roman" w:hAnsi="Times New Roman"/>
          <w:noProof/>
          <w:sz w:val="24"/>
          <w:szCs w:val="24"/>
          <w:lang w:val="en-IE"/>
        </w:rPr>
        <w:t xml:space="preserve">a </w:t>
      </w:r>
      <w:r w:rsidRPr="005B4339">
        <w:rPr>
          <w:rFonts w:ascii="Times New Roman" w:hAnsi="Times New Roman"/>
          <w:noProof/>
          <w:sz w:val="24"/>
          <w:szCs w:val="24"/>
          <w:lang w:val="en-IE"/>
        </w:rPr>
        <w:t>certain heterogeneity in the impact of food waste reduction on SMEs in particular countries. Following the assumption on a constant share of SMEs in overall employment</w:t>
      </w:r>
      <w:r w:rsidR="00611512"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we may estimate that the highest reduction in SMEs employment of the analysed industries (without food services) would be expected in Germany (over 13 thousand)</w:t>
      </w:r>
      <w:r w:rsidR="00FE5620"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followed by Italy (almost 10 thousand) and Spain (over 6 thousand). In absolute numbers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the negative impact on SMEs employment would be hardly observed in Denmark</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Estonia</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Lithuania or Slovenia with reduction far below </w:t>
      </w:r>
      <w:r w:rsidR="00971C81" w:rsidRPr="005B4339">
        <w:rPr>
          <w:rFonts w:ascii="Times New Roman" w:hAnsi="Times New Roman"/>
          <w:noProof/>
          <w:sz w:val="24"/>
          <w:szCs w:val="24"/>
          <w:lang w:val="en-IE"/>
        </w:rPr>
        <w:t>1000</w:t>
      </w:r>
      <w:r w:rsidRPr="005B4339">
        <w:rPr>
          <w:rFonts w:ascii="Times New Roman" w:hAnsi="Times New Roman"/>
          <w:noProof/>
          <w:sz w:val="24"/>
          <w:szCs w:val="24"/>
          <w:lang w:val="en-IE"/>
        </w:rPr>
        <w:t xml:space="preserve">. </w:t>
      </w:r>
      <w:r w:rsidR="00E134E4" w:rsidRPr="005B4339">
        <w:rPr>
          <w:rFonts w:ascii="Times New Roman" w:hAnsi="Times New Roman"/>
          <w:noProof/>
          <w:sz w:val="24"/>
          <w:szCs w:val="24"/>
          <w:lang w:val="en-IE"/>
        </w:rPr>
        <w:t>Still</w:t>
      </w:r>
      <w:r w:rsidRPr="005B4339">
        <w:rPr>
          <w:rFonts w:ascii="Times New Roman" w:hAnsi="Times New Roman"/>
          <w:noProof/>
          <w:sz w:val="24"/>
          <w:szCs w:val="24"/>
          <w:lang w:val="en-IE"/>
        </w:rPr>
        <w:t xml:space="preserve"> the relative importance of the fall in employment could be even greater than elsewhere given the high share of SMEs employment in their economies (with the exception of Luxembourg). </w:t>
      </w:r>
    </w:p>
    <w:p w14:paraId="644042DA" w14:textId="77777777" w:rsidR="00E134E4" w:rsidRPr="005B4339" w:rsidRDefault="00E134E4" w:rsidP="00E134E4">
      <w:pPr>
        <w:pStyle w:val="JRCText"/>
        <w:rPr>
          <w:rFonts w:ascii="Times New Roman" w:hAnsi="Times New Roman"/>
          <w:noProof/>
          <w:sz w:val="24"/>
          <w:szCs w:val="24"/>
          <w:lang w:val="en-IE"/>
        </w:rPr>
      </w:pPr>
    </w:p>
    <w:p w14:paraId="2D85020E" w14:textId="77777777" w:rsidR="00A932CF" w:rsidRPr="005B4339" w:rsidRDefault="00A932CF" w:rsidP="003B6050">
      <w:pPr>
        <w:pStyle w:val="JRCFigurecaption"/>
        <w:rPr>
          <w:noProof/>
          <w:lang w:val="en-IE"/>
        </w:rPr>
      </w:pPr>
      <w:bookmarkStart w:id="826" w:name="_Ref125108669"/>
      <w:bookmarkStart w:id="827" w:name="_Toc122624009"/>
    </w:p>
    <w:p w14:paraId="09560B25" w14:textId="77777777" w:rsidR="00A932CF" w:rsidRPr="005B4339" w:rsidRDefault="00A932CF" w:rsidP="003B6050">
      <w:pPr>
        <w:pStyle w:val="JRCFigurecaption"/>
        <w:rPr>
          <w:noProof/>
          <w:lang w:val="en-IE"/>
        </w:rPr>
      </w:pPr>
    </w:p>
    <w:p w14:paraId="5E497A1F" w14:textId="77777777" w:rsidR="00A932CF" w:rsidRPr="005B4339" w:rsidRDefault="00A932CF" w:rsidP="003B6050">
      <w:pPr>
        <w:pStyle w:val="JRCFigurecaption"/>
        <w:rPr>
          <w:noProof/>
          <w:lang w:val="en-IE"/>
        </w:rPr>
      </w:pPr>
    </w:p>
    <w:p w14:paraId="73B7F416" w14:textId="77777777" w:rsidR="00A932CF" w:rsidRPr="005B4339" w:rsidRDefault="00A932CF" w:rsidP="003B6050">
      <w:pPr>
        <w:pStyle w:val="JRCFigurecaption"/>
        <w:rPr>
          <w:noProof/>
          <w:lang w:val="en-IE"/>
        </w:rPr>
      </w:pPr>
    </w:p>
    <w:p w14:paraId="5D968D8E" w14:textId="77777777" w:rsidR="00A932CF" w:rsidRPr="005B4339" w:rsidRDefault="00A932CF" w:rsidP="003B6050">
      <w:pPr>
        <w:pStyle w:val="JRCFigurecaption"/>
        <w:rPr>
          <w:noProof/>
          <w:lang w:val="en-IE"/>
        </w:rPr>
      </w:pPr>
    </w:p>
    <w:p w14:paraId="27F6E8C9" w14:textId="77777777" w:rsidR="00A932CF" w:rsidRPr="005B4339" w:rsidRDefault="00A932CF" w:rsidP="003B6050">
      <w:pPr>
        <w:pStyle w:val="JRCFigurecaption"/>
        <w:rPr>
          <w:noProof/>
          <w:lang w:val="en-IE"/>
        </w:rPr>
      </w:pPr>
    </w:p>
    <w:p w14:paraId="28D19DBA" w14:textId="77777777" w:rsidR="00A932CF" w:rsidRPr="005B4339" w:rsidRDefault="00A932CF" w:rsidP="003B6050">
      <w:pPr>
        <w:pStyle w:val="JRCFigurecaption"/>
        <w:rPr>
          <w:noProof/>
          <w:lang w:val="en-IE"/>
        </w:rPr>
      </w:pPr>
    </w:p>
    <w:p w14:paraId="10518B40" w14:textId="03BEBBD0" w:rsidR="00E134E4" w:rsidRPr="005B4339" w:rsidRDefault="00794505" w:rsidP="003B6050">
      <w:pPr>
        <w:pStyle w:val="JRCFigurecaption"/>
        <w:rPr>
          <w:noProof/>
          <w:lang w:val="en-IE"/>
        </w:rPr>
      </w:pPr>
      <w:bookmarkStart w:id="828" w:name="_Ref133494348"/>
      <w:bookmarkStart w:id="829" w:name="_Toc133229402"/>
      <w:bookmarkStart w:id="830" w:name="_Toc139032013"/>
      <w:r w:rsidRPr="005B4339">
        <w:rPr>
          <w:noProof/>
          <w:lang w:val="en-IE"/>
        </w:rPr>
        <w:t xml:space="preserve">Figure </w:t>
      </w:r>
      <w:r w:rsidR="00393DFA">
        <w:rPr>
          <w:noProof/>
        </w:rPr>
        <w:t>77</w:t>
      </w:r>
      <w:bookmarkEnd w:id="828"/>
      <w:r w:rsidR="00F27B33" w:rsidRPr="005B4339">
        <w:rPr>
          <w:noProof/>
          <w:lang w:val="en-IE"/>
        </w:rPr>
        <w:t>:</w:t>
      </w:r>
      <w:r w:rsidR="00E134E4" w:rsidRPr="005B4339">
        <w:rPr>
          <w:noProof/>
          <w:lang w:val="en-IE"/>
        </w:rPr>
        <w:t xml:space="preserve"> SMEs employment in food manufacturing waste and food services by member state in 2020</w:t>
      </w:r>
      <w:bookmarkEnd w:id="829"/>
      <w:bookmarkEnd w:id="830"/>
    </w:p>
    <w:bookmarkEnd w:id="826"/>
    <w:bookmarkEnd w:id="827"/>
    <w:p w14:paraId="2357D8DD" w14:textId="6AE30F59"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lastRenderedPageBreak/>
        <w:t> </w:t>
      </w:r>
    </w:p>
    <w:p w14:paraId="67C16CF7" w14:textId="55C5FEAA" w:rsidR="00834CAA" w:rsidRPr="005B4339" w:rsidRDefault="004928CC" w:rsidP="00E134E4">
      <w:pPr>
        <w:pStyle w:val="JRCText"/>
        <w:rPr>
          <w:rFonts w:ascii="Times New Roman" w:hAnsi="Times New Roman"/>
          <w:noProof/>
          <w:sz w:val="24"/>
          <w:szCs w:val="24"/>
          <w:lang w:val="en-IE"/>
        </w:rPr>
      </w:pPr>
      <w:r w:rsidRPr="004928CC">
        <w:drawing>
          <wp:inline distT="0" distB="0" distL="0" distR="0" wp14:anchorId="25637CA8" wp14:editId="1DEAB5CC">
            <wp:extent cx="5943600" cy="2353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2353945"/>
                    </a:xfrm>
                    <a:prstGeom prst="rect">
                      <a:avLst/>
                    </a:prstGeom>
                    <a:noFill/>
                    <a:ln>
                      <a:noFill/>
                    </a:ln>
                  </pic:spPr>
                </pic:pic>
              </a:graphicData>
            </a:graphic>
          </wp:inline>
        </w:drawing>
      </w:r>
    </w:p>
    <w:p w14:paraId="7C275C1D" w14:textId="77777777" w:rsidR="00794505" w:rsidRPr="005B4339" w:rsidRDefault="00794505" w:rsidP="00794505">
      <w:pPr>
        <w:pStyle w:val="JRCFiguresource"/>
        <w:rPr>
          <w:noProof/>
          <w:lang w:val="en-IE"/>
        </w:rPr>
      </w:pPr>
      <w:r w:rsidRPr="005B4339">
        <w:rPr>
          <w:noProof/>
          <w:lang w:val="en-IE"/>
        </w:rPr>
        <w:t>Source: Authors’ own elaboration from Eurostat data</w:t>
      </w:r>
    </w:p>
    <w:p w14:paraId="0D05CFD5" w14:textId="77777777" w:rsidR="00794505" w:rsidRPr="005B4339" w:rsidRDefault="00794505" w:rsidP="003B6050">
      <w:pPr>
        <w:pStyle w:val="JRCFigurecaption"/>
        <w:rPr>
          <w:noProof/>
          <w:lang w:val="en-IE" w:eastAsia="en-GB"/>
        </w:rPr>
      </w:pPr>
    </w:p>
    <w:p w14:paraId="3A55A87E" w14:textId="77777777" w:rsidR="00A932CF" w:rsidRPr="005B4339" w:rsidRDefault="00A932CF" w:rsidP="003B6050">
      <w:pPr>
        <w:pStyle w:val="JRCFigurecaption"/>
        <w:rPr>
          <w:noProof/>
          <w:lang w:val="en-IE"/>
        </w:rPr>
      </w:pPr>
      <w:bookmarkStart w:id="831" w:name="_Ref125108681"/>
      <w:bookmarkStart w:id="832" w:name="_Toc122624010"/>
    </w:p>
    <w:p w14:paraId="241E934E" w14:textId="77777777" w:rsidR="00A932CF" w:rsidRPr="005B4339" w:rsidRDefault="00A932CF" w:rsidP="003B6050">
      <w:pPr>
        <w:pStyle w:val="JRCFigurecaption"/>
        <w:rPr>
          <w:noProof/>
          <w:lang w:val="en-IE"/>
        </w:rPr>
      </w:pPr>
    </w:p>
    <w:p w14:paraId="05ABB47E" w14:textId="77777777" w:rsidR="00A932CF" w:rsidRPr="005B4339" w:rsidRDefault="00A932CF" w:rsidP="003B6050">
      <w:pPr>
        <w:pStyle w:val="JRCFigurecaption"/>
        <w:rPr>
          <w:noProof/>
          <w:lang w:val="en-IE"/>
        </w:rPr>
      </w:pPr>
    </w:p>
    <w:p w14:paraId="578EC7A6" w14:textId="77777777" w:rsidR="00A932CF" w:rsidRPr="005B4339" w:rsidRDefault="00A932CF" w:rsidP="003B6050">
      <w:pPr>
        <w:pStyle w:val="JRCFigurecaption"/>
        <w:rPr>
          <w:noProof/>
          <w:lang w:val="en-IE"/>
        </w:rPr>
      </w:pPr>
    </w:p>
    <w:p w14:paraId="06B0FE87" w14:textId="77777777" w:rsidR="00A932CF" w:rsidRPr="005B4339" w:rsidRDefault="00A932CF" w:rsidP="003B6050">
      <w:pPr>
        <w:pStyle w:val="JRCFigurecaption"/>
        <w:rPr>
          <w:noProof/>
          <w:lang w:val="en-IE"/>
        </w:rPr>
      </w:pPr>
    </w:p>
    <w:p w14:paraId="6BF549B6" w14:textId="77777777" w:rsidR="00A932CF" w:rsidRPr="005B4339" w:rsidRDefault="00A932CF" w:rsidP="003B6050">
      <w:pPr>
        <w:pStyle w:val="JRCFigurecaption"/>
        <w:rPr>
          <w:noProof/>
          <w:lang w:val="en-IE"/>
        </w:rPr>
      </w:pPr>
    </w:p>
    <w:p w14:paraId="690A9408" w14:textId="77777777" w:rsidR="00A932CF" w:rsidRPr="005B4339" w:rsidRDefault="00A932CF" w:rsidP="003B6050">
      <w:pPr>
        <w:pStyle w:val="JRCFigurecaption"/>
        <w:rPr>
          <w:noProof/>
          <w:lang w:val="en-IE"/>
        </w:rPr>
      </w:pPr>
    </w:p>
    <w:p w14:paraId="0260FCC4" w14:textId="77777777" w:rsidR="00A932CF" w:rsidRPr="005B4339" w:rsidRDefault="00A932CF" w:rsidP="003B6050">
      <w:pPr>
        <w:pStyle w:val="JRCFigurecaption"/>
        <w:rPr>
          <w:noProof/>
          <w:lang w:val="en-IE"/>
        </w:rPr>
      </w:pPr>
    </w:p>
    <w:p w14:paraId="5BB897B6" w14:textId="77777777" w:rsidR="00A932CF" w:rsidRPr="005B4339" w:rsidRDefault="00A932CF" w:rsidP="003B6050">
      <w:pPr>
        <w:pStyle w:val="JRCFigurecaption"/>
        <w:rPr>
          <w:noProof/>
          <w:lang w:val="en-IE"/>
        </w:rPr>
      </w:pPr>
    </w:p>
    <w:p w14:paraId="535B8F40" w14:textId="77777777" w:rsidR="00A932CF" w:rsidRPr="005B4339" w:rsidRDefault="00A932CF" w:rsidP="003B6050">
      <w:pPr>
        <w:pStyle w:val="JRCFigurecaption"/>
        <w:rPr>
          <w:noProof/>
          <w:lang w:val="en-IE"/>
        </w:rPr>
      </w:pPr>
    </w:p>
    <w:p w14:paraId="55EBC0DC" w14:textId="77777777" w:rsidR="00A932CF" w:rsidRPr="005B4339" w:rsidRDefault="00A932CF" w:rsidP="003B6050">
      <w:pPr>
        <w:pStyle w:val="JRCFigurecaption"/>
        <w:rPr>
          <w:noProof/>
          <w:lang w:val="en-IE"/>
        </w:rPr>
      </w:pPr>
    </w:p>
    <w:p w14:paraId="27A89B02" w14:textId="77777777" w:rsidR="00A932CF" w:rsidRPr="005B4339" w:rsidRDefault="00A932CF" w:rsidP="003B6050">
      <w:pPr>
        <w:pStyle w:val="JRCFigurecaption"/>
        <w:rPr>
          <w:noProof/>
          <w:lang w:val="en-IE"/>
        </w:rPr>
      </w:pPr>
    </w:p>
    <w:p w14:paraId="76F5F8FC" w14:textId="77777777" w:rsidR="00A932CF" w:rsidRPr="005B4339" w:rsidRDefault="00A932CF" w:rsidP="003B6050">
      <w:pPr>
        <w:pStyle w:val="JRCFigurecaption"/>
        <w:rPr>
          <w:noProof/>
          <w:lang w:val="en-IE"/>
        </w:rPr>
      </w:pPr>
    </w:p>
    <w:p w14:paraId="1BEEC682" w14:textId="77777777" w:rsidR="00A932CF" w:rsidRPr="005B4339" w:rsidRDefault="00A932CF" w:rsidP="003B6050">
      <w:pPr>
        <w:pStyle w:val="JRCFigurecaption"/>
        <w:rPr>
          <w:noProof/>
          <w:lang w:val="en-IE"/>
        </w:rPr>
      </w:pPr>
    </w:p>
    <w:p w14:paraId="53003D1E" w14:textId="77777777" w:rsidR="00A932CF" w:rsidRPr="005B4339" w:rsidRDefault="00A932CF" w:rsidP="003B6050">
      <w:pPr>
        <w:pStyle w:val="JRCFigurecaption"/>
        <w:rPr>
          <w:noProof/>
          <w:lang w:val="en-IE"/>
        </w:rPr>
      </w:pPr>
    </w:p>
    <w:p w14:paraId="31A449E5" w14:textId="77777777" w:rsidR="00A932CF" w:rsidRPr="005B4339" w:rsidRDefault="00A932CF" w:rsidP="003B6050">
      <w:pPr>
        <w:pStyle w:val="JRCFigurecaption"/>
        <w:rPr>
          <w:noProof/>
          <w:lang w:val="en-IE"/>
        </w:rPr>
      </w:pPr>
    </w:p>
    <w:p w14:paraId="3302C545" w14:textId="408102FB" w:rsidR="00794505" w:rsidRPr="005B4339" w:rsidRDefault="00794505" w:rsidP="003B6050">
      <w:pPr>
        <w:pStyle w:val="JRCFigurecaption"/>
        <w:rPr>
          <w:noProof/>
          <w:lang w:val="en-IE"/>
        </w:rPr>
      </w:pPr>
      <w:bookmarkStart w:id="833" w:name="_Ref133494249"/>
      <w:bookmarkStart w:id="834" w:name="_Toc133229403"/>
      <w:bookmarkStart w:id="835" w:name="_Toc139032014"/>
      <w:r w:rsidRPr="005B4339">
        <w:rPr>
          <w:noProof/>
          <w:lang w:val="en-IE"/>
        </w:rPr>
        <w:t xml:space="preserve">Figure </w:t>
      </w:r>
      <w:bookmarkEnd w:id="831"/>
      <w:r w:rsidR="00393DFA">
        <w:rPr>
          <w:noProof/>
        </w:rPr>
        <w:t>78</w:t>
      </w:r>
      <w:bookmarkEnd w:id="833"/>
      <w:r w:rsidR="00F27B33" w:rsidRPr="005B4339">
        <w:rPr>
          <w:noProof/>
          <w:lang w:val="en-IE"/>
        </w:rPr>
        <w:t>:</w:t>
      </w:r>
      <w:r w:rsidRPr="005B4339">
        <w:rPr>
          <w:noProof/>
          <w:lang w:val="en-IE"/>
        </w:rPr>
        <w:t xml:space="preserve"> Share of SMEs employment in </w:t>
      </w:r>
      <w:bookmarkEnd w:id="832"/>
      <w:r w:rsidRPr="005B4339">
        <w:rPr>
          <w:noProof/>
          <w:lang w:val="en-IE"/>
        </w:rPr>
        <w:t>total employment by member state</w:t>
      </w:r>
      <w:bookmarkEnd w:id="834"/>
      <w:bookmarkEnd w:id="835"/>
    </w:p>
    <w:p w14:paraId="0C56A5F6" w14:textId="23D0B202"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 </w:t>
      </w:r>
    </w:p>
    <w:p w14:paraId="43CEF975" w14:textId="22BBDB72" w:rsidR="00834CAA" w:rsidRPr="005B4339" w:rsidRDefault="004928CC" w:rsidP="00E134E4">
      <w:pPr>
        <w:pStyle w:val="JRCText"/>
        <w:rPr>
          <w:rFonts w:ascii="Times New Roman" w:hAnsi="Times New Roman"/>
          <w:noProof/>
          <w:sz w:val="24"/>
          <w:szCs w:val="24"/>
          <w:lang w:val="en-IE"/>
        </w:rPr>
      </w:pPr>
      <w:r w:rsidRPr="004928CC">
        <w:lastRenderedPageBreak/>
        <w:drawing>
          <wp:inline distT="0" distB="0" distL="0" distR="0" wp14:anchorId="37533ADA" wp14:editId="336E5EA5">
            <wp:extent cx="594360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73298330" w14:textId="77777777" w:rsidR="00794505" w:rsidRPr="005B4339" w:rsidRDefault="00794505" w:rsidP="00794505">
      <w:pPr>
        <w:pStyle w:val="JRCFiguresource"/>
        <w:rPr>
          <w:noProof/>
          <w:lang w:val="en-IE"/>
        </w:rPr>
      </w:pPr>
      <w:r w:rsidRPr="005B4339">
        <w:rPr>
          <w:noProof/>
          <w:lang w:val="en-IE"/>
        </w:rPr>
        <w:t>Source: Authors’ own elaboration from Eurostat data</w:t>
      </w:r>
    </w:p>
    <w:p w14:paraId="732C790D" w14:textId="77777777" w:rsidR="00B47282" w:rsidRPr="005B4339" w:rsidRDefault="00B47282" w:rsidP="003B6050">
      <w:pPr>
        <w:pStyle w:val="JRCFigurecaption"/>
        <w:rPr>
          <w:noProof/>
          <w:lang w:val="en-IE"/>
        </w:rPr>
      </w:pPr>
    </w:p>
    <w:p w14:paraId="74EE80A2" w14:textId="77777777" w:rsidR="00B47282" w:rsidRPr="005B4339" w:rsidRDefault="00B47282" w:rsidP="003B6050">
      <w:pPr>
        <w:pStyle w:val="JRCFigurecaption"/>
        <w:rPr>
          <w:noProof/>
          <w:lang w:val="en-IE"/>
        </w:rPr>
      </w:pPr>
    </w:p>
    <w:p w14:paraId="2DE12F2B" w14:textId="77777777" w:rsidR="00B47282" w:rsidRPr="005B4339" w:rsidRDefault="00B47282" w:rsidP="003B6050">
      <w:pPr>
        <w:pStyle w:val="JRCFigurecaption"/>
        <w:rPr>
          <w:noProof/>
          <w:lang w:val="en-IE"/>
        </w:rPr>
      </w:pPr>
    </w:p>
    <w:p w14:paraId="1AE63980" w14:textId="77777777" w:rsidR="00B47282" w:rsidRPr="005B4339" w:rsidRDefault="00B47282" w:rsidP="003B6050">
      <w:pPr>
        <w:pStyle w:val="JRCFigurecaption"/>
        <w:rPr>
          <w:noProof/>
          <w:lang w:val="en-IE"/>
        </w:rPr>
      </w:pPr>
    </w:p>
    <w:p w14:paraId="70D8CDF7" w14:textId="77777777" w:rsidR="00B47282" w:rsidRPr="005B4339" w:rsidRDefault="00B47282" w:rsidP="003B6050">
      <w:pPr>
        <w:pStyle w:val="JRCFigurecaption"/>
        <w:rPr>
          <w:noProof/>
          <w:lang w:val="en-IE"/>
        </w:rPr>
      </w:pPr>
    </w:p>
    <w:p w14:paraId="77647E09" w14:textId="77777777" w:rsidR="00B47282" w:rsidRPr="005B4339" w:rsidRDefault="00B47282" w:rsidP="003B6050">
      <w:pPr>
        <w:pStyle w:val="JRCFigurecaption"/>
        <w:rPr>
          <w:noProof/>
          <w:lang w:val="en-IE"/>
        </w:rPr>
      </w:pPr>
    </w:p>
    <w:p w14:paraId="22B63A85" w14:textId="77777777" w:rsidR="00B47282" w:rsidRPr="005B4339" w:rsidRDefault="00B47282" w:rsidP="003B6050">
      <w:pPr>
        <w:pStyle w:val="JRCFigurecaption"/>
        <w:rPr>
          <w:noProof/>
          <w:lang w:val="en-IE"/>
        </w:rPr>
      </w:pPr>
    </w:p>
    <w:p w14:paraId="22A6183A" w14:textId="77777777" w:rsidR="00B47282" w:rsidRPr="005B4339" w:rsidRDefault="00B47282" w:rsidP="003B6050">
      <w:pPr>
        <w:pStyle w:val="JRCFigurecaption"/>
        <w:rPr>
          <w:noProof/>
          <w:lang w:val="en-IE"/>
        </w:rPr>
      </w:pPr>
    </w:p>
    <w:p w14:paraId="1A9ACAD1" w14:textId="5BAF0667" w:rsidR="00794505" w:rsidRPr="005B4339" w:rsidRDefault="00794505" w:rsidP="003B6050">
      <w:pPr>
        <w:pStyle w:val="JRCFigurecaption"/>
        <w:rPr>
          <w:noProof/>
          <w:lang w:val="en-IE"/>
        </w:rPr>
      </w:pPr>
      <w:r w:rsidRPr="005B4339">
        <w:rPr>
          <w:noProof/>
          <w:lang w:val="en-IE"/>
        </w:rPr>
        <w:t> </w:t>
      </w:r>
      <w:bookmarkStart w:id="836" w:name="_Ref133494262"/>
      <w:bookmarkStart w:id="837" w:name="_Toc122624011"/>
      <w:bookmarkStart w:id="838" w:name="_Toc125121581"/>
      <w:bookmarkStart w:id="839" w:name="_Toc133229404"/>
      <w:bookmarkStart w:id="840" w:name="_Toc139032015"/>
      <w:r w:rsidRPr="005B4339">
        <w:rPr>
          <w:noProof/>
          <w:lang w:val="en-IE"/>
        </w:rPr>
        <w:t xml:space="preserve">Figure </w:t>
      </w:r>
      <w:r w:rsidR="00393DFA">
        <w:rPr>
          <w:noProof/>
        </w:rPr>
        <w:t>79</w:t>
      </w:r>
      <w:bookmarkEnd w:id="836"/>
      <w:r w:rsidR="00F27B33" w:rsidRPr="005B4339">
        <w:rPr>
          <w:noProof/>
          <w:lang w:val="en-IE"/>
        </w:rPr>
        <w:t>:</w:t>
      </w:r>
      <w:r w:rsidRPr="005B4339">
        <w:rPr>
          <w:noProof/>
          <w:lang w:val="en-IE"/>
        </w:rPr>
        <w:t xml:space="preserve"> Reduction in SMEs employment in food manufacturing and waste services by member state</w:t>
      </w:r>
      <w:bookmarkEnd w:id="837"/>
      <w:bookmarkEnd w:id="838"/>
      <w:bookmarkEnd w:id="839"/>
      <w:bookmarkEnd w:id="840"/>
    </w:p>
    <w:p w14:paraId="3F636980" w14:textId="1849C721" w:rsidR="00E134E4" w:rsidRPr="005B4339" w:rsidRDefault="00E134E4" w:rsidP="00E134E4">
      <w:pPr>
        <w:pStyle w:val="JRCText"/>
        <w:rPr>
          <w:rFonts w:ascii="Times New Roman" w:hAnsi="Times New Roman"/>
          <w:noProof/>
          <w:sz w:val="24"/>
          <w:szCs w:val="24"/>
          <w:lang w:val="en-IE"/>
        </w:rPr>
      </w:pPr>
    </w:p>
    <w:p w14:paraId="1113FFFE" w14:textId="034F1D7C" w:rsidR="00834CAA" w:rsidRPr="005B4339" w:rsidRDefault="004928CC" w:rsidP="00E134E4">
      <w:pPr>
        <w:pStyle w:val="JRCText"/>
        <w:rPr>
          <w:rFonts w:ascii="Times New Roman" w:hAnsi="Times New Roman"/>
          <w:noProof/>
          <w:sz w:val="24"/>
          <w:szCs w:val="24"/>
          <w:lang w:val="en-IE"/>
        </w:rPr>
      </w:pPr>
      <w:r w:rsidRPr="004928CC">
        <w:lastRenderedPageBreak/>
        <w:drawing>
          <wp:inline distT="0" distB="0" distL="0" distR="0" wp14:anchorId="41E5F51A" wp14:editId="6B3DD410">
            <wp:extent cx="5943600" cy="267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63D32878" w14:textId="77777777" w:rsidR="00794505" w:rsidRPr="005B4339" w:rsidRDefault="00794505" w:rsidP="00794505">
      <w:pPr>
        <w:pStyle w:val="JRCFiguresource"/>
        <w:rPr>
          <w:noProof/>
          <w:lang w:val="en-IE"/>
        </w:rPr>
      </w:pPr>
      <w:r w:rsidRPr="005B4339">
        <w:rPr>
          <w:noProof/>
          <w:lang w:val="en-IE"/>
        </w:rPr>
        <w:t>Source: Authors’ own elaboration from MAGNET results and Eurostat data</w:t>
      </w:r>
    </w:p>
    <w:p w14:paraId="36C45CAF" w14:textId="6B5EE4D7" w:rsidR="00794505" w:rsidRPr="005B4339" w:rsidRDefault="00794505">
      <w:pPr>
        <w:pStyle w:val="JRCLevel-3title"/>
        <w:numPr>
          <w:ilvl w:val="2"/>
          <w:numId w:val="161"/>
        </w:numPr>
        <w:rPr>
          <w:rFonts w:ascii="Times New Roman" w:hAnsi="Times New Roman"/>
          <w:noProof/>
          <w:sz w:val="24"/>
          <w:lang w:val="en-IE"/>
        </w:rPr>
      </w:pPr>
      <w:bookmarkStart w:id="841" w:name="_Toc121752888"/>
      <w:bookmarkStart w:id="842" w:name="_Toc121753427"/>
      <w:bookmarkStart w:id="843" w:name="_Toc121755955"/>
      <w:bookmarkStart w:id="844" w:name="_Toc121763618"/>
      <w:bookmarkStart w:id="845" w:name="_Toc121771391"/>
      <w:bookmarkStart w:id="846" w:name="_Toc122604041"/>
      <w:bookmarkStart w:id="847" w:name="_Toc122613129"/>
      <w:bookmarkStart w:id="848" w:name="_Toc125109514"/>
      <w:bookmarkStart w:id="849" w:name="_Toc391754148"/>
      <w:bookmarkStart w:id="850" w:name="_Toc2008965620"/>
      <w:bookmarkStart w:id="851" w:name="_Toc184978215"/>
      <w:bookmarkStart w:id="852" w:name="_Toc1314402926"/>
      <w:bookmarkStart w:id="853" w:name="_Toc1771741791"/>
      <w:bookmarkStart w:id="854" w:name="_Toc17309201"/>
      <w:bookmarkStart w:id="855" w:name="_Toc606503119"/>
      <w:bookmarkStart w:id="856" w:name="_Toc139032130"/>
      <w:r w:rsidRPr="005B4339">
        <w:rPr>
          <w:rFonts w:ascii="Times New Roman" w:hAnsi="Times New Roman"/>
          <w:noProof/>
          <w:sz w:val="24"/>
          <w:lang w:val="en-IE"/>
        </w:rPr>
        <w:t>Bioeconomy and innovation</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26247E4B" w14:textId="6168ECA4"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The food waste hierarchy defines options to tackle food waste inefficiencies. </w:t>
      </w:r>
      <w:r w:rsidR="00E134E4" w:rsidRPr="005B4339">
        <w:rPr>
          <w:rFonts w:ascii="Times New Roman" w:hAnsi="Times New Roman"/>
          <w:noProof/>
          <w:sz w:val="24"/>
          <w:szCs w:val="24"/>
          <w:lang w:val="en-IE"/>
        </w:rPr>
        <w:t>Prevention and re</w:t>
      </w:r>
      <w:r w:rsidR="008863DA" w:rsidRPr="005B4339">
        <w:rPr>
          <w:rFonts w:ascii="Times New Roman" w:hAnsi="Times New Roman"/>
          <w:noProof/>
          <w:sz w:val="24"/>
          <w:szCs w:val="24"/>
          <w:lang w:val="en-IE"/>
        </w:rPr>
        <w:t>distribution of surplus food</w:t>
      </w:r>
      <w:r w:rsidR="00E134E4" w:rsidRPr="005B4339">
        <w:rPr>
          <w:rFonts w:ascii="Times New Roman" w:hAnsi="Times New Roman"/>
          <w:noProof/>
          <w:sz w:val="24"/>
          <w:szCs w:val="24"/>
          <w:lang w:val="en-IE"/>
        </w:rPr>
        <w:t xml:space="preserve"> for human consumption are the most preferable options followed by the reuse in animal feed and revalorisation in added-value products keeping the high value of molecule bonds of the material. Low added-value uses such as composting and anaerobic digestion as well as incineration with energy recovery are still better options than disposal. In particular</w:t>
      </w:r>
      <w:r w:rsidR="008863DA" w:rsidRPr="005B4339">
        <w:rPr>
          <w:rFonts w:ascii="Times New Roman" w:hAnsi="Times New Roman"/>
          <w:noProof/>
          <w:sz w:val="24"/>
          <w:szCs w:val="24"/>
          <w:lang w:val="en-IE"/>
        </w:rPr>
        <w:t>,</w:t>
      </w:r>
      <w:r w:rsidR="00E134E4" w:rsidRPr="005B4339">
        <w:rPr>
          <w:rFonts w:ascii="Times New Roman" w:hAnsi="Times New Roman"/>
          <w:noProof/>
          <w:sz w:val="24"/>
          <w:szCs w:val="24"/>
          <w:lang w:val="en-IE"/>
        </w:rPr>
        <w:t xml:space="preserve"> the non-edible </w:t>
      </w:r>
      <w:r w:rsidR="008863DA" w:rsidRPr="005B4339">
        <w:rPr>
          <w:rFonts w:ascii="Times New Roman" w:hAnsi="Times New Roman"/>
          <w:noProof/>
          <w:sz w:val="24"/>
          <w:szCs w:val="24"/>
          <w:lang w:val="en-IE"/>
        </w:rPr>
        <w:t xml:space="preserve">fraction of food that </w:t>
      </w:r>
      <w:r w:rsidR="004A6B9A" w:rsidRPr="005B4339">
        <w:rPr>
          <w:rFonts w:ascii="Times New Roman" w:hAnsi="Times New Roman"/>
          <w:noProof/>
          <w:sz w:val="24"/>
          <w:szCs w:val="24"/>
          <w:lang w:val="en-IE"/>
        </w:rPr>
        <w:t>becomes waste</w:t>
      </w:r>
      <w:r w:rsidR="00E134E4" w:rsidRPr="005B4339">
        <w:rPr>
          <w:rFonts w:ascii="Times New Roman" w:hAnsi="Times New Roman"/>
          <w:noProof/>
          <w:sz w:val="24"/>
          <w:szCs w:val="24"/>
          <w:lang w:val="en-IE"/>
        </w:rPr>
        <w:t xml:space="preserve"> can and should be valorised by activities of existing and new bio-based value chains. Already anticipated by the Circular Economy Action Plan and the Bioeconomy Strategy, the latest geopolitical developments and subsequent interruptions of supply chains gave an additional impetus to launch several new initiatives of the European Commission to increase the strategic autonomy for energy (EC, 2022, e.g. </w:t>
      </w:r>
      <w:r w:rsidR="5C4FBB6F" w:rsidRPr="005B4339">
        <w:rPr>
          <w:rFonts w:ascii="Verdana" w:eastAsia="Verdana" w:hAnsi="Verdana" w:cs="Verdana"/>
          <w:noProof/>
          <w:szCs w:val="20"/>
          <w:lang w:val="en-IE"/>
        </w:rPr>
        <w:t xml:space="preserve"> </w:t>
      </w:r>
      <w:r w:rsidR="5C4FBB6F" w:rsidRPr="005B4339">
        <w:rPr>
          <w:rFonts w:ascii="Times New Roman" w:eastAsia="Times New Roman" w:hAnsi="Times New Roman"/>
          <w:noProof/>
          <w:sz w:val="24"/>
          <w:szCs w:val="24"/>
          <w:lang w:val="en-IE"/>
        </w:rPr>
        <w:t>REPower EU action plan, where the focus is on sustainably produced biogas and methane, to some extent biofuels</w:t>
      </w:r>
      <w:r w:rsidR="00E134E4" w:rsidRPr="005B4339">
        <w:rPr>
          <w:rFonts w:ascii="Times New Roman" w:eastAsia="Times New Roman" w:hAnsi="Times New Roman"/>
          <w:noProof/>
          <w:sz w:val="24"/>
          <w:szCs w:val="24"/>
          <w:lang w:val="en-IE"/>
        </w:rPr>
        <w:t>)</w:t>
      </w:r>
      <w:r w:rsidR="00E134E4" w:rsidRPr="005B4339">
        <w:rPr>
          <w:rFonts w:ascii="Times New Roman" w:hAnsi="Times New Roman"/>
          <w:noProof/>
          <w:sz w:val="24"/>
          <w:szCs w:val="24"/>
          <w:lang w:val="en-IE"/>
        </w:rPr>
        <w:t>, fertilizer (EC, 2022),</w:t>
      </w:r>
      <w:r w:rsidRPr="005B4339">
        <w:rPr>
          <w:rFonts w:ascii="Times New Roman" w:hAnsi="Times New Roman"/>
          <w:noProof/>
          <w:sz w:val="24"/>
          <w:szCs w:val="24"/>
          <w:lang w:val="en-IE"/>
        </w:rPr>
        <w:t xml:space="preserve"> and other bio-based products. </w:t>
      </w:r>
    </w:p>
    <w:p w14:paraId="610DB91E" w14:textId="67264E53"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Although the analysed scenarios in this study mainly look at the implications of food waste prevention and </w:t>
      </w:r>
      <w:r w:rsidR="00D96247" w:rsidRPr="005B4339">
        <w:rPr>
          <w:rFonts w:ascii="Times New Roman" w:hAnsi="Times New Roman"/>
          <w:noProof/>
          <w:sz w:val="24"/>
          <w:szCs w:val="24"/>
          <w:lang w:val="en-IE"/>
        </w:rPr>
        <w:t>reuse</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 principle</w:t>
      </w:r>
      <w:r w:rsidR="00250D5F"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 important part of food waste</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especially the non-edible </w:t>
      </w:r>
      <w:r w:rsidR="00250D5F" w:rsidRPr="005B4339">
        <w:rPr>
          <w:rFonts w:ascii="Times New Roman" w:hAnsi="Times New Roman"/>
          <w:noProof/>
          <w:sz w:val="24"/>
          <w:szCs w:val="24"/>
          <w:lang w:val="en-IE"/>
        </w:rPr>
        <w:t>fraction of food that is discarded</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can be valorised. The modelling results of the present assessment give some insights in line with the scenario design. </w:t>
      </w:r>
    </w:p>
    <w:p w14:paraId="6683A4BD" w14:textId="4397C18F"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The reduction of food demand frees up land</w:t>
      </w:r>
      <w:r w:rsidR="00E134E4" w:rsidRPr="005B4339">
        <w:rPr>
          <w:rFonts w:ascii="Times New Roman" w:hAnsi="Times New Roman"/>
          <w:noProof/>
          <w:sz w:val="24"/>
          <w:szCs w:val="24"/>
          <w:lang w:val="en-IE"/>
        </w:rPr>
        <w:t>, which can be used for other purposes. Due to the scenario set-up and assumed cost/benefit relations for the different commodities, the main reaction is an increased export of food products and a small growth of first</w:t>
      </w:r>
      <w:r w:rsidR="003629F3" w:rsidRPr="005B4339">
        <w:rPr>
          <w:rFonts w:ascii="Times New Roman" w:hAnsi="Times New Roman"/>
          <w:noProof/>
          <w:sz w:val="24"/>
          <w:szCs w:val="24"/>
          <w:lang w:val="en-IE"/>
        </w:rPr>
        <w:t>-</w:t>
      </w:r>
      <w:r w:rsidR="00E134E4" w:rsidRPr="005B4339">
        <w:rPr>
          <w:rFonts w:ascii="Times New Roman" w:hAnsi="Times New Roman"/>
          <w:noProof/>
          <w:sz w:val="24"/>
          <w:szCs w:val="24"/>
          <w:lang w:val="en-IE"/>
        </w:rPr>
        <w:t>generation biofuel production (less than 1% in the advanced scenario) within the existing mandate of the renewable energy directive. Concomitant</w:t>
      </w:r>
      <w:r w:rsidR="003629F3" w:rsidRPr="005B4339">
        <w:rPr>
          <w:rFonts w:ascii="Times New Roman" w:hAnsi="Times New Roman"/>
          <w:noProof/>
          <w:sz w:val="24"/>
          <w:szCs w:val="24"/>
          <w:lang w:val="en-IE"/>
        </w:rPr>
        <w:t>ly</w:t>
      </w:r>
      <w:r w:rsidR="00611512"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 smaller number of new jobs are created in the related sectors. </w:t>
      </w:r>
    </w:p>
    <w:p w14:paraId="6353D5A1" w14:textId="480F2E13"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As an outcome of the implemented policy options</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food waste availability is reduced</w:t>
      </w:r>
      <w:r w:rsidR="4762737B" w:rsidRPr="005B4339">
        <w:rPr>
          <w:rFonts w:ascii="Times New Roman" w:hAnsi="Times New Roman"/>
          <w:noProof/>
          <w:sz w:val="24"/>
          <w:szCs w:val="24"/>
          <w:lang w:val="en-IE"/>
        </w:rPr>
        <w:t xml:space="preserve">, </w:t>
      </w:r>
      <w:r w:rsidR="1A219926" w:rsidRPr="005B4339">
        <w:rPr>
          <w:rFonts w:ascii="Times New Roman" w:hAnsi="Times New Roman"/>
          <w:noProof/>
          <w:sz w:val="24"/>
          <w:szCs w:val="24"/>
          <w:lang w:val="en-IE"/>
        </w:rPr>
        <w:t>so that</w:t>
      </w:r>
      <w:r w:rsidR="00180913" w:rsidRPr="005B4339">
        <w:rPr>
          <w:rFonts w:ascii="Times New Roman" w:hAnsi="Times New Roman"/>
          <w:noProof/>
          <w:sz w:val="24"/>
          <w:szCs w:val="24"/>
          <w:lang w:val="en-IE"/>
        </w:rPr>
        <w:t xml:space="preserve"> </w:t>
      </w:r>
      <w:r w:rsidR="320AE5EE" w:rsidRPr="005B4339">
        <w:rPr>
          <w:rFonts w:ascii="Times New Roman" w:hAnsi="Times New Roman"/>
          <w:noProof/>
          <w:sz w:val="24"/>
          <w:szCs w:val="24"/>
          <w:lang w:val="en-IE"/>
        </w:rPr>
        <w:t>in th</w:t>
      </w:r>
      <w:r w:rsidR="0E7D1798" w:rsidRPr="005B4339">
        <w:rPr>
          <w:rFonts w:ascii="Times New Roman" w:hAnsi="Times New Roman"/>
          <w:noProof/>
          <w:sz w:val="24"/>
          <w:szCs w:val="24"/>
          <w:lang w:val="en-IE"/>
        </w:rPr>
        <w:t>is</w:t>
      </w:r>
      <w:r w:rsidR="320AE5EE" w:rsidRPr="005B4339">
        <w:rPr>
          <w:rFonts w:ascii="Times New Roman" w:hAnsi="Times New Roman"/>
          <w:noProof/>
          <w:sz w:val="24"/>
          <w:szCs w:val="24"/>
          <w:lang w:val="en-IE"/>
        </w:rPr>
        <w:t xml:space="preserve"> scenario</w:t>
      </w:r>
      <w:r w:rsidR="30407ABF" w:rsidRPr="005B4339">
        <w:rPr>
          <w:rFonts w:ascii="Times New Roman" w:hAnsi="Times New Roman"/>
          <w:noProof/>
          <w:sz w:val="24"/>
          <w:szCs w:val="24"/>
          <w:lang w:val="en-IE"/>
        </w:rPr>
        <w:t xml:space="preserve"> setting</w:t>
      </w:r>
      <w:r w:rsidR="0099430A" w:rsidRPr="005B4339">
        <w:rPr>
          <w:rFonts w:ascii="Times New Roman" w:hAnsi="Times New Roman"/>
          <w:noProof/>
          <w:sz w:val="24"/>
          <w:szCs w:val="24"/>
          <w:lang w:val="en-IE"/>
        </w:rPr>
        <w:t xml:space="preserve"> </w:t>
      </w:r>
      <w:r w:rsidR="2AAC1044" w:rsidRPr="005B4339">
        <w:rPr>
          <w:rFonts w:ascii="Times New Roman" w:hAnsi="Times New Roman"/>
          <w:noProof/>
          <w:sz w:val="24"/>
          <w:szCs w:val="24"/>
          <w:lang w:val="en-IE"/>
        </w:rPr>
        <w:t>n</w:t>
      </w:r>
      <w:r w:rsidR="45D1E826" w:rsidRPr="005B4339">
        <w:rPr>
          <w:rFonts w:ascii="Times New Roman" w:hAnsi="Times New Roman"/>
          <w:noProof/>
          <w:sz w:val="24"/>
          <w:szCs w:val="24"/>
          <w:lang w:val="en-IE"/>
        </w:rPr>
        <w:t>either</w:t>
      </w:r>
      <w:r w:rsidR="2AAC1044" w:rsidRPr="005B4339">
        <w:rPr>
          <w:rFonts w:ascii="Times New Roman" w:hAnsi="Times New Roman"/>
          <w:noProof/>
          <w:sz w:val="24"/>
          <w:szCs w:val="24"/>
          <w:lang w:val="en-IE"/>
        </w:rPr>
        <w:t xml:space="preserve"> additional food waste </w:t>
      </w:r>
      <w:r w:rsidR="22F39BDA" w:rsidRPr="005B4339">
        <w:rPr>
          <w:rFonts w:ascii="Times New Roman" w:hAnsi="Times New Roman"/>
          <w:noProof/>
          <w:sz w:val="24"/>
          <w:szCs w:val="24"/>
          <w:lang w:val="en-IE"/>
        </w:rPr>
        <w:t xml:space="preserve">is </w:t>
      </w:r>
      <w:r w:rsidR="2AAC1044" w:rsidRPr="005B4339">
        <w:rPr>
          <w:rFonts w:ascii="Times New Roman" w:hAnsi="Times New Roman"/>
          <w:noProof/>
          <w:sz w:val="24"/>
          <w:szCs w:val="24"/>
          <w:lang w:val="en-IE"/>
        </w:rPr>
        <w:t>provided for industrial purposes no</w:t>
      </w:r>
      <w:r w:rsidR="0A1896BD" w:rsidRPr="005B4339">
        <w:rPr>
          <w:rFonts w:ascii="Times New Roman" w:hAnsi="Times New Roman"/>
          <w:noProof/>
          <w:sz w:val="24"/>
          <w:szCs w:val="24"/>
          <w:lang w:val="en-IE"/>
        </w:rPr>
        <w:t>r</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its use promoted through </w:t>
      </w:r>
      <w:r w:rsidR="13E4C645" w:rsidRPr="005B4339">
        <w:rPr>
          <w:rFonts w:ascii="Times New Roman" w:hAnsi="Times New Roman"/>
          <w:noProof/>
          <w:sz w:val="24"/>
          <w:szCs w:val="24"/>
          <w:lang w:val="en-IE"/>
        </w:rPr>
        <w:t>specific</w:t>
      </w:r>
      <w:r w:rsidRPr="005B4339">
        <w:rPr>
          <w:rFonts w:ascii="Times New Roman" w:hAnsi="Times New Roman"/>
          <w:noProof/>
          <w:sz w:val="24"/>
          <w:szCs w:val="24"/>
          <w:lang w:val="en-IE"/>
        </w:rPr>
        <w:t xml:space="preserve"> policies (</w:t>
      </w:r>
      <w:r w:rsidR="400E5917" w:rsidRPr="005B4339">
        <w:rPr>
          <w:rFonts w:ascii="Times New Roman" w:hAnsi="Times New Roman"/>
          <w:noProof/>
          <w:sz w:val="24"/>
          <w:szCs w:val="24"/>
          <w:lang w:val="en-IE"/>
        </w:rPr>
        <w:t>such as it is</w:t>
      </w:r>
      <w:r w:rsidRPr="005B4339">
        <w:rPr>
          <w:rFonts w:ascii="Times New Roman" w:hAnsi="Times New Roman"/>
          <w:noProof/>
          <w:sz w:val="24"/>
          <w:szCs w:val="24"/>
          <w:lang w:val="en-IE"/>
        </w:rPr>
        <w:t xml:space="preserve"> the </w:t>
      </w:r>
      <w:r w:rsidR="400E5917" w:rsidRPr="005B4339">
        <w:rPr>
          <w:rFonts w:ascii="Times New Roman" w:hAnsi="Times New Roman"/>
          <w:noProof/>
          <w:sz w:val="24"/>
          <w:szCs w:val="24"/>
          <w:lang w:val="en-IE"/>
        </w:rPr>
        <w:t>case for</w:t>
      </w:r>
      <w:r w:rsidRPr="005B4339">
        <w:rPr>
          <w:rFonts w:ascii="Times New Roman" w:hAnsi="Times New Roman"/>
          <w:noProof/>
          <w:sz w:val="24"/>
          <w:szCs w:val="24"/>
          <w:lang w:val="en-IE"/>
        </w:rPr>
        <w:t xml:space="preserve"> biofuels). For this reason</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an </w:t>
      </w:r>
      <w:r w:rsidR="25245ABF" w:rsidRPr="005B4339">
        <w:rPr>
          <w:rFonts w:ascii="Times New Roman" w:hAnsi="Times New Roman"/>
          <w:noProof/>
          <w:sz w:val="24"/>
          <w:szCs w:val="24"/>
          <w:lang w:val="en-IE"/>
        </w:rPr>
        <w:lastRenderedPageBreak/>
        <w:t>additional</w:t>
      </w:r>
      <w:r w:rsidRPr="005B4339">
        <w:rPr>
          <w:rFonts w:ascii="Times New Roman" w:hAnsi="Times New Roman"/>
          <w:noProof/>
          <w:sz w:val="24"/>
          <w:szCs w:val="24"/>
          <w:lang w:val="en-IE"/>
        </w:rPr>
        <w:t xml:space="preserve"> uptake of second-generation biofuels and the bio-based industry in general</w:t>
      </w:r>
      <w:r w:rsidR="00323B6E" w:rsidRPr="005B4339">
        <w:rPr>
          <w:rFonts w:ascii="Times New Roman" w:hAnsi="Times New Roman"/>
          <w:noProof/>
          <w:sz w:val="24"/>
          <w:szCs w:val="24"/>
          <w:lang w:val="en-IE"/>
        </w:rPr>
        <w:t xml:space="preserve"> is not observed</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p>
    <w:p w14:paraId="22375BB4" w14:textId="1691341C" w:rsidR="00794505" w:rsidRPr="005B4339" w:rsidRDefault="00794505"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Other studies carried out with the same model (MAGNET) and specific bio-based activities promoting scenarios show the increased use of food waste in the second-generation processing of biomass</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creating new growth opportunities for example for bio-based chemicals (</w:t>
      </w:r>
      <w:r w:rsidR="00611512" w:rsidRPr="005B4339">
        <w:rPr>
          <w:rFonts w:ascii="Times New Roman" w:hAnsi="Times New Roman"/>
          <w:noProof/>
          <w:sz w:val="24"/>
          <w:szCs w:val="24"/>
          <w:lang w:val="en-IE"/>
        </w:rPr>
        <w:t>Philippidis et al., 201</w:t>
      </w:r>
      <w:r w:rsidR="003C66F5" w:rsidRPr="005B4339">
        <w:rPr>
          <w:rFonts w:ascii="Times New Roman" w:hAnsi="Times New Roman"/>
          <w:noProof/>
          <w:sz w:val="24"/>
          <w:szCs w:val="24"/>
          <w:lang w:val="en-IE"/>
        </w:rPr>
        <w:t>9b</w:t>
      </w:r>
      <w:r w:rsidR="00834CAA" w:rsidRPr="005B4339">
        <w:rPr>
          <w:rFonts w:ascii="Times New Roman" w:hAnsi="Times New Roman"/>
          <w:noProof/>
          <w:sz w:val="24"/>
          <w:szCs w:val="24"/>
          <w:lang w:val="en-IE"/>
        </w:rPr>
        <w:t>, Philippidis et al., 2023</w:t>
      </w:r>
      <w:r w:rsidRPr="005B4339">
        <w:rPr>
          <w:rFonts w:ascii="Times New Roman" w:hAnsi="Times New Roman"/>
          <w:noProof/>
          <w:sz w:val="24"/>
          <w:szCs w:val="24"/>
          <w:lang w:val="en-IE"/>
        </w:rPr>
        <w:t xml:space="preserve">). </w:t>
      </w:r>
    </w:p>
    <w:p w14:paraId="40C5D68B" w14:textId="320304A8"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To summarise, food waste reduction provides</w:t>
      </w:r>
      <w:r w:rsidR="00323B6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on the one hand</w:t>
      </w:r>
      <w:r w:rsidR="00323B6E"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additional land for arable production and non-food uses (if wished by </w:t>
      </w:r>
      <w:r w:rsidR="00611512" w:rsidRPr="005B4339">
        <w:rPr>
          <w:rFonts w:ascii="Times New Roman" w:hAnsi="Times New Roman"/>
          <w:noProof/>
          <w:sz w:val="24"/>
          <w:szCs w:val="24"/>
          <w:lang w:val="en-IE"/>
        </w:rPr>
        <w:t xml:space="preserve">governments and </w:t>
      </w:r>
      <w:r w:rsidRPr="005B4339">
        <w:rPr>
          <w:rFonts w:ascii="Times New Roman" w:hAnsi="Times New Roman"/>
          <w:noProof/>
          <w:sz w:val="24"/>
          <w:szCs w:val="24"/>
          <w:lang w:val="en-IE"/>
        </w:rPr>
        <w:t>by society), but reduces</w:t>
      </w:r>
      <w:r w:rsidR="004C0FD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on the other hand</w:t>
      </w:r>
      <w:r w:rsidR="004C0FD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in the applied scenario of food waste prevention</w:t>
      </w:r>
      <w:r w:rsidR="004C0FD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to some extent</w:t>
      </w:r>
      <w:r w:rsidR="004C0FDD"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availability of food waste for industrial purposes. A holistic assessment of the whole food waste system with different policy support options (also including investments in the food waste collection treatment and processing industries) could give more insights and identify a more efficient policy mix for the circular (bio-)economy. </w:t>
      </w:r>
    </w:p>
    <w:p w14:paraId="00C45749" w14:textId="74C931BA" w:rsidR="00794505" w:rsidRPr="005B4339" w:rsidRDefault="00794505">
      <w:pPr>
        <w:pStyle w:val="JRCLevel-3title"/>
        <w:numPr>
          <w:ilvl w:val="2"/>
          <w:numId w:val="161"/>
        </w:numPr>
        <w:rPr>
          <w:rFonts w:ascii="Times New Roman" w:hAnsi="Times New Roman"/>
          <w:noProof/>
          <w:sz w:val="24"/>
          <w:lang w:val="en-IE"/>
        </w:rPr>
      </w:pPr>
      <w:bookmarkStart w:id="857" w:name="_Toc122613130"/>
      <w:bookmarkStart w:id="858" w:name="_Toc125109515"/>
      <w:bookmarkStart w:id="859" w:name="_Toc2007868775"/>
      <w:bookmarkStart w:id="860" w:name="_Toc1155422004"/>
      <w:bookmarkStart w:id="861" w:name="_Toc1024684304"/>
      <w:bookmarkStart w:id="862" w:name="_Toc1783786091"/>
      <w:bookmarkStart w:id="863" w:name="_Toc956813805"/>
      <w:bookmarkStart w:id="864" w:name="_Toc538225908"/>
      <w:bookmarkStart w:id="865" w:name="_Toc813781531"/>
      <w:bookmarkStart w:id="866" w:name="_Toc139032131"/>
      <w:r w:rsidRPr="005B4339">
        <w:rPr>
          <w:rFonts w:ascii="Times New Roman" w:hAnsi="Times New Roman"/>
          <w:noProof/>
          <w:sz w:val="24"/>
          <w:lang w:val="en-IE"/>
        </w:rPr>
        <w:t>Food packaging</w:t>
      </w:r>
      <w:bookmarkEnd w:id="857"/>
      <w:bookmarkEnd w:id="858"/>
      <w:bookmarkEnd w:id="859"/>
      <w:bookmarkEnd w:id="860"/>
      <w:bookmarkEnd w:id="861"/>
      <w:bookmarkEnd w:id="862"/>
      <w:bookmarkEnd w:id="863"/>
      <w:bookmarkEnd w:id="864"/>
      <w:bookmarkEnd w:id="865"/>
      <w:bookmarkEnd w:id="866"/>
    </w:p>
    <w:p w14:paraId="07553542" w14:textId="5C8C086E"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As discussed in previous sections, food waste reductions lead to less food demand by consumers. This is also reflected in reductions </w:t>
      </w:r>
      <w:r w:rsidR="00611512" w:rsidRPr="005B4339">
        <w:rPr>
          <w:rFonts w:ascii="Times New Roman" w:hAnsi="Times New Roman"/>
          <w:noProof/>
          <w:sz w:val="24"/>
          <w:szCs w:val="24"/>
          <w:lang w:val="en-IE"/>
        </w:rPr>
        <w:t>of</w:t>
      </w:r>
      <w:r w:rsidRPr="005B4339">
        <w:rPr>
          <w:rFonts w:ascii="Times New Roman" w:hAnsi="Times New Roman"/>
          <w:noProof/>
          <w:sz w:val="24"/>
          <w:szCs w:val="24"/>
          <w:lang w:val="en-IE"/>
        </w:rPr>
        <w:t xml:space="preserve"> other waste types such as glass and paper. When less food is purchased</w:t>
      </w:r>
      <w:r w:rsidR="003D661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less food packaging waste is created. </w:t>
      </w:r>
      <w:r w:rsidR="00A938F2" w:rsidRPr="005B4339">
        <w:rPr>
          <w:rFonts w:ascii="Times New Roman" w:hAnsi="Times New Roman"/>
          <w:noProof/>
          <w:sz w:val="24"/>
          <w:szCs w:val="24"/>
          <w:lang w:val="en-IE"/>
        </w:rPr>
        <w:fldChar w:fldCharType="begin"/>
      </w:r>
      <w:r w:rsidR="00A938F2" w:rsidRPr="005B4339">
        <w:rPr>
          <w:rFonts w:ascii="Times New Roman" w:hAnsi="Times New Roman"/>
          <w:noProof/>
          <w:sz w:val="24"/>
          <w:szCs w:val="24"/>
          <w:lang w:val="en-IE"/>
        </w:rPr>
        <w:instrText xml:space="preserve"> REF _Ref133494440 \h  \* MERGEFORMAT </w:instrText>
      </w:r>
      <w:r w:rsidR="00A938F2" w:rsidRPr="005B4339">
        <w:rPr>
          <w:rFonts w:ascii="Times New Roman" w:hAnsi="Times New Roman"/>
          <w:noProof/>
          <w:sz w:val="24"/>
          <w:szCs w:val="24"/>
          <w:lang w:val="en-IE"/>
        </w:rPr>
      </w:r>
      <w:r w:rsidR="00A938F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80</w:t>
      </w:r>
      <w:r w:rsidR="00A938F2" w:rsidRPr="005B4339">
        <w:rPr>
          <w:rFonts w:ascii="Times New Roman" w:hAnsi="Times New Roman"/>
          <w:noProof/>
          <w:sz w:val="24"/>
          <w:szCs w:val="24"/>
          <w:lang w:val="en-IE"/>
        </w:rPr>
        <w:fldChar w:fldCharType="end"/>
      </w:r>
      <w:r w:rsidR="00D52803"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 xml:space="preserve">shows the reductions in household glass and paper waste from food purchases as a total of EU27. In both waste types, we observe a decrease </w:t>
      </w:r>
      <w:r w:rsidR="003D6614" w:rsidRPr="005B4339">
        <w:rPr>
          <w:rFonts w:ascii="Times New Roman" w:hAnsi="Times New Roman"/>
          <w:noProof/>
          <w:sz w:val="24"/>
          <w:szCs w:val="24"/>
          <w:lang w:val="en-IE"/>
        </w:rPr>
        <w:t xml:space="preserve">of </w:t>
      </w:r>
      <w:r w:rsidRPr="005B4339">
        <w:rPr>
          <w:rFonts w:ascii="Times New Roman" w:hAnsi="Times New Roman"/>
          <w:noProof/>
          <w:sz w:val="24"/>
          <w:szCs w:val="24"/>
          <w:lang w:val="en-IE"/>
        </w:rPr>
        <w:t xml:space="preserve">around 5% in Option 3, which corresponds to a decrease </w:t>
      </w:r>
      <w:r w:rsidR="00611512" w:rsidRPr="005B4339">
        <w:rPr>
          <w:rFonts w:ascii="Times New Roman" w:hAnsi="Times New Roman"/>
          <w:noProof/>
          <w:sz w:val="24"/>
          <w:szCs w:val="24"/>
          <w:lang w:val="en-IE"/>
        </w:rPr>
        <w:t xml:space="preserve">of </w:t>
      </w:r>
      <w:r w:rsidRPr="005B4339">
        <w:rPr>
          <w:rFonts w:ascii="Times New Roman" w:hAnsi="Times New Roman"/>
          <w:noProof/>
          <w:sz w:val="24"/>
          <w:szCs w:val="24"/>
          <w:lang w:val="en-IE"/>
        </w:rPr>
        <w:t>around 250 ktons for glass waste and over 500 ktons for paper waste. Although not depicted in the chart below as a rebound effect of less food purchases and hence less food packaging, we see a marginal increase in glass and paper waste in other sectors such as services and other manufacturing. However, this increase is approximately limited to 1% in Option 3.</w:t>
      </w:r>
    </w:p>
    <w:p w14:paraId="6AE8DF1F" w14:textId="56A51E48" w:rsidR="00E134E4" w:rsidRPr="005B4339" w:rsidRDefault="00794505" w:rsidP="003B6050">
      <w:pPr>
        <w:pStyle w:val="JRCFigurecaption"/>
        <w:rPr>
          <w:noProof/>
          <w:lang w:val="en-IE"/>
        </w:rPr>
      </w:pPr>
      <w:bookmarkStart w:id="867" w:name="_Ref122602685"/>
      <w:bookmarkStart w:id="868" w:name="_Ref133494440"/>
      <w:bookmarkStart w:id="869" w:name="_Toc133229405"/>
      <w:bookmarkStart w:id="870" w:name="_Toc139032016"/>
      <w:bookmarkStart w:id="871" w:name="_Ref122602680"/>
      <w:bookmarkStart w:id="872" w:name="_Toc122623414"/>
      <w:bookmarkStart w:id="873" w:name="_Toc125121582"/>
      <w:r w:rsidRPr="005B4339">
        <w:rPr>
          <w:noProof/>
          <w:lang w:val="en-IE"/>
        </w:rPr>
        <w:t xml:space="preserve">Figure </w:t>
      </w:r>
      <w:bookmarkEnd w:id="867"/>
      <w:r w:rsidR="00393DFA">
        <w:rPr>
          <w:noProof/>
        </w:rPr>
        <w:t>80</w:t>
      </w:r>
      <w:bookmarkEnd w:id="868"/>
      <w:r w:rsidR="00F27B33" w:rsidRPr="005B4339">
        <w:rPr>
          <w:noProof/>
          <w:lang w:val="en-IE"/>
        </w:rPr>
        <w:t>:</w:t>
      </w:r>
      <w:r w:rsidR="00E134E4" w:rsidRPr="005B4339">
        <w:rPr>
          <w:noProof/>
          <w:lang w:val="en-IE"/>
        </w:rPr>
        <w:t xml:space="preserve"> Change in household glass and paper waste (food purchases) for EU27</w:t>
      </w:r>
      <w:r w:rsidR="00393E3F" w:rsidRPr="005B4339">
        <w:rPr>
          <w:noProof/>
          <w:lang w:val="en-IE"/>
        </w:rPr>
        <w:t>,</w:t>
      </w:r>
      <w:r w:rsidR="00E134E4" w:rsidRPr="005B4339">
        <w:rPr>
          <w:noProof/>
          <w:lang w:val="en-IE"/>
        </w:rPr>
        <w:t xml:space="preserve"> </w:t>
      </w:r>
      <w:r w:rsidR="00393E3F" w:rsidRPr="005B4339">
        <w:rPr>
          <w:noProof/>
          <w:lang w:val="en-IE"/>
        </w:rPr>
        <w:t>option</w:t>
      </w:r>
      <w:r w:rsidR="00E134E4" w:rsidRPr="005B4339">
        <w:rPr>
          <w:noProof/>
          <w:lang w:val="en-IE"/>
        </w:rPr>
        <w:t>s vs baseline 2030</w:t>
      </w:r>
      <w:bookmarkEnd w:id="869"/>
      <w:bookmarkEnd w:id="870"/>
    </w:p>
    <w:bookmarkEnd w:id="871"/>
    <w:bookmarkEnd w:id="872"/>
    <w:bookmarkEnd w:id="873"/>
    <w:p w14:paraId="02C48BCF" w14:textId="558786CA"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eastAsia="en-GB"/>
        </w:rPr>
        <w:drawing>
          <wp:inline distT="0" distB="0" distL="0" distR="0" wp14:anchorId="15ABC67D" wp14:editId="1D203B7B">
            <wp:extent cx="6002707" cy="1783080"/>
            <wp:effectExtent l="0" t="0" r="0" b="7620"/>
            <wp:docPr id="1617598193" name="Picture 161759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34886" cy="1792639"/>
                    </a:xfrm>
                    <a:prstGeom prst="rect">
                      <a:avLst/>
                    </a:prstGeom>
                  </pic:spPr>
                </pic:pic>
              </a:graphicData>
            </a:graphic>
          </wp:inline>
        </w:drawing>
      </w:r>
    </w:p>
    <w:p w14:paraId="4934307B" w14:textId="77777777" w:rsidR="00794505" w:rsidRPr="005B4339" w:rsidRDefault="00794505" w:rsidP="00F54798">
      <w:pPr>
        <w:pStyle w:val="JRCFiguresource"/>
        <w:rPr>
          <w:noProof/>
          <w:lang w:val="en-IE"/>
        </w:rPr>
      </w:pPr>
      <w:r w:rsidRPr="005B4339">
        <w:rPr>
          <w:noProof/>
          <w:lang w:val="en-IE"/>
        </w:rPr>
        <w:t>Source: MAGNET simulation results</w:t>
      </w:r>
    </w:p>
    <w:p w14:paraId="7234C5EF" w14:textId="756D8855" w:rsidR="00794505" w:rsidRPr="005B4339" w:rsidRDefault="00611512" w:rsidP="00794505">
      <w:pPr>
        <w:pStyle w:val="JRCText"/>
        <w:rPr>
          <w:rFonts w:ascii="Times New Roman" w:hAnsi="Times New Roman"/>
          <w:noProof/>
          <w:sz w:val="24"/>
          <w:szCs w:val="24"/>
          <w:lang w:val="en-IE"/>
        </w:rPr>
      </w:pPr>
      <w:r w:rsidRPr="005B4339">
        <w:rPr>
          <w:rFonts w:ascii="Times New Roman" w:hAnsi="Times New Roman"/>
          <w:noProof/>
          <w:sz w:val="24"/>
          <w:szCs w:val="24"/>
          <w:lang w:val="en-IE"/>
        </w:rPr>
        <w:t>I</w:t>
      </w:r>
      <w:r w:rsidR="00794505" w:rsidRPr="005B4339">
        <w:rPr>
          <w:rFonts w:ascii="Times New Roman" w:hAnsi="Times New Roman"/>
          <w:noProof/>
          <w:sz w:val="24"/>
          <w:szCs w:val="24"/>
          <w:lang w:val="en-IE"/>
        </w:rPr>
        <w:t xml:space="preserve">t should be noted that </w:t>
      </w:r>
      <w:r w:rsidRPr="005B4339">
        <w:rPr>
          <w:rFonts w:ascii="Times New Roman" w:hAnsi="Times New Roman"/>
          <w:noProof/>
          <w:sz w:val="24"/>
          <w:szCs w:val="24"/>
          <w:lang w:val="en-IE"/>
        </w:rPr>
        <w:t xml:space="preserve">the analysis of </w:t>
      </w:r>
      <w:r w:rsidR="00794505" w:rsidRPr="005B4339">
        <w:rPr>
          <w:rFonts w:ascii="Times New Roman" w:hAnsi="Times New Roman"/>
          <w:noProof/>
          <w:sz w:val="24"/>
          <w:szCs w:val="24"/>
          <w:lang w:val="en-IE"/>
        </w:rPr>
        <w:t xml:space="preserve">potential reductions in food packaging due to food waste reduction </w:t>
      </w:r>
      <w:r w:rsidRPr="005B4339">
        <w:rPr>
          <w:rFonts w:ascii="Times New Roman" w:hAnsi="Times New Roman"/>
          <w:noProof/>
          <w:sz w:val="24"/>
          <w:szCs w:val="24"/>
          <w:lang w:val="en-IE"/>
        </w:rPr>
        <w:t>is</w:t>
      </w:r>
      <w:r w:rsidR="00794505" w:rsidRPr="005B4339">
        <w:rPr>
          <w:rFonts w:ascii="Times New Roman" w:hAnsi="Times New Roman"/>
          <w:noProof/>
          <w:sz w:val="24"/>
          <w:szCs w:val="24"/>
          <w:lang w:val="en-IE"/>
        </w:rPr>
        <w:t xml:space="preserve"> not straightforward. Food packaging plays an important role in the food value chain as it can ensure food safety</w:t>
      </w:r>
      <w:r w:rsidR="003D6614" w:rsidRPr="005B4339">
        <w:rPr>
          <w:rFonts w:ascii="Times New Roman" w:hAnsi="Times New Roman"/>
          <w:noProof/>
          <w:sz w:val="24"/>
          <w:szCs w:val="24"/>
          <w:lang w:val="en-IE"/>
        </w:rPr>
        <w:t>,</w:t>
      </w:r>
      <w:r w:rsidR="0099430A"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enables the product to be transported in good condition</w:t>
      </w:r>
      <w:r w:rsidR="0099430A" w:rsidRPr="005B4339">
        <w:rPr>
          <w:rFonts w:ascii="Times New Roman" w:hAnsi="Times New Roman"/>
          <w:noProof/>
          <w:sz w:val="24"/>
          <w:szCs w:val="24"/>
          <w:lang w:val="en-IE"/>
        </w:rPr>
        <w:t xml:space="preserve"> </w:t>
      </w:r>
      <w:r w:rsidR="00794505" w:rsidRPr="005B4339">
        <w:rPr>
          <w:rFonts w:ascii="Times New Roman" w:hAnsi="Times New Roman"/>
          <w:noProof/>
          <w:sz w:val="24"/>
          <w:szCs w:val="24"/>
          <w:lang w:val="en-IE"/>
        </w:rPr>
        <w:t>and offers convenience to the customers. In addition</w:t>
      </w:r>
      <w:r w:rsidR="00E134E4"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packaging can prolong the shelf life of fresh food and prevent the products from spoiling or losing their best shape and taste (Sasaki et al</w:t>
      </w:r>
      <w:r w:rsidR="00E134E4"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2021; White </w:t>
      </w:r>
      <w:r w:rsidR="00794505" w:rsidRPr="005B4339">
        <w:rPr>
          <w:rFonts w:ascii="Times New Roman" w:hAnsi="Times New Roman"/>
          <w:noProof/>
          <w:sz w:val="24"/>
          <w:szCs w:val="24"/>
          <w:lang w:val="en-IE"/>
        </w:rPr>
        <w:lastRenderedPageBreak/>
        <w:t>&amp; Lockyer</w:t>
      </w:r>
      <w:r w:rsidR="0099430A" w:rsidRPr="005B4339">
        <w:rPr>
          <w:rFonts w:ascii="Times New Roman" w:hAnsi="Times New Roman"/>
          <w:noProof/>
          <w:sz w:val="24"/>
          <w:szCs w:val="24"/>
          <w:lang w:val="en-IE"/>
        </w:rPr>
        <w:t xml:space="preserve"> </w:t>
      </w:r>
      <w:r w:rsidR="00E134E4" w:rsidRPr="005B4339">
        <w:rPr>
          <w:rFonts w:ascii="Times New Roman" w:hAnsi="Times New Roman"/>
          <w:noProof/>
          <w:sz w:val="24"/>
          <w:szCs w:val="24"/>
          <w:lang w:val="en-IE"/>
        </w:rPr>
        <w:t xml:space="preserve">2020). </w:t>
      </w:r>
      <w:r w:rsidR="00794505" w:rsidRPr="005B4339">
        <w:rPr>
          <w:rFonts w:ascii="Times New Roman" w:hAnsi="Times New Roman"/>
          <w:noProof/>
          <w:sz w:val="24"/>
          <w:szCs w:val="24"/>
          <w:lang w:val="en-IE"/>
        </w:rPr>
        <w:t>Hence</w:t>
      </w:r>
      <w:r w:rsidR="00E134E4" w:rsidRPr="005B4339">
        <w:rPr>
          <w:rFonts w:ascii="Times New Roman" w:hAnsi="Times New Roman"/>
          <w:noProof/>
          <w:sz w:val="24"/>
          <w:szCs w:val="24"/>
          <w:lang w:val="en-IE"/>
        </w:rPr>
        <w:t>, in order to reduce food waste</w:t>
      </w:r>
      <w:r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 xml:space="preserve"> more packaging material could be necessary for smaller portion offerings or emerging packaging technologies could be used to extend shelf</w:t>
      </w:r>
      <w:r w:rsidR="00800F6F" w:rsidRPr="005B4339">
        <w:rPr>
          <w:rFonts w:ascii="Times New Roman" w:hAnsi="Times New Roman"/>
          <w:noProof/>
          <w:sz w:val="24"/>
          <w:szCs w:val="24"/>
          <w:lang w:val="en-IE"/>
        </w:rPr>
        <w:t>-</w:t>
      </w:r>
      <w:r w:rsidR="00794505" w:rsidRPr="005B4339">
        <w:rPr>
          <w:rFonts w:ascii="Times New Roman" w:hAnsi="Times New Roman"/>
          <w:noProof/>
          <w:sz w:val="24"/>
          <w:szCs w:val="24"/>
          <w:lang w:val="en-IE"/>
        </w:rPr>
        <w:t>life of food or to improve food safety. This potential impact of food waste reduction on packaging is not considered in</w:t>
      </w:r>
      <w:r w:rsidR="00D52803" w:rsidRPr="005B4339">
        <w:rPr>
          <w:rFonts w:ascii="Times New Roman" w:hAnsi="Times New Roman"/>
          <w:noProof/>
          <w:sz w:val="24"/>
          <w:szCs w:val="24"/>
          <w:lang w:val="en-IE"/>
        </w:rPr>
        <w:t xml:space="preserve"> </w:t>
      </w:r>
      <w:r w:rsidR="00D02812" w:rsidRPr="005B4339">
        <w:rPr>
          <w:rFonts w:ascii="Times New Roman" w:hAnsi="Times New Roman"/>
          <w:noProof/>
          <w:sz w:val="24"/>
          <w:szCs w:val="24"/>
          <w:lang w:val="en-IE"/>
        </w:rPr>
        <w:fldChar w:fldCharType="begin"/>
      </w:r>
      <w:r w:rsidR="00D02812" w:rsidRPr="005B4339">
        <w:rPr>
          <w:rFonts w:ascii="Times New Roman" w:hAnsi="Times New Roman"/>
          <w:noProof/>
          <w:sz w:val="24"/>
          <w:szCs w:val="24"/>
          <w:lang w:val="en-IE"/>
        </w:rPr>
        <w:instrText xml:space="preserve"> REF _Ref133494440 \h  \* MERGEFORMAT </w:instrText>
      </w:r>
      <w:r w:rsidR="00D02812" w:rsidRPr="005B4339">
        <w:rPr>
          <w:rFonts w:ascii="Times New Roman" w:hAnsi="Times New Roman"/>
          <w:noProof/>
          <w:sz w:val="24"/>
          <w:szCs w:val="24"/>
          <w:lang w:val="en-IE"/>
        </w:rPr>
      </w:r>
      <w:r w:rsidR="00D02812" w:rsidRPr="005B4339">
        <w:rPr>
          <w:rFonts w:ascii="Times New Roman" w:hAnsi="Times New Roman"/>
          <w:noProof/>
          <w:sz w:val="24"/>
          <w:szCs w:val="24"/>
          <w:lang w:val="en-IE"/>
        </w:rPr>
        <w:fldChar w:fldCharType="separate"/>
      </w:r>
      <w:r w:rsidR="00393DFA" w:rsidRPr="00393DFA">
        <w:rPr>
          <w:rFonts w:ascii="Times New Roman" w:hAnsi="Times New Roman"/>
          <w:noProof/>
          <w:sz w:val="24"/>
          <w:szCs w:val="24"/>
          <w:lang w:val="en-IE"/>
        </w:rPr>
        <w:t xml:space="preserve">Figure </w:t>
      </w:r>
      <w:r w:rsidR="00393DFA" w:rsidRPr="00393DFA">
        <w:rPr>
          <w:noProof/>
          <w:lang w:val="en-IE"/>
        </w:rPr>
        <w:t>80</w:t>
      </w:r>
      <w:r w:rsidR="00D02812" w:rsidRPr="005B4339">
        <w:rPr>
          <w:rFonts w:ascii="Times New Roman" w:hAnsi="Times New Roman"/>
          <w:noProof/>
          <w:sz w:val="24"/>
          <w:szCs w:val="24"/>
          <w:lang w:val="en-IE"/>
        </w:rPr>
        <w:fldChar w:fldCharType="end"/>
      </w:r>
      <w:r w:rsidR="00794505" w:rsidRPr="005B4339">
        <w:rPr>
          <w:rFonts w:ascii="Times New Roman" w:hAnsi="Times New Roman"/>
          <w:noProof/>
          <w:sz w:val="24"/>
          <w:szCs w:val="24"/>
          <w:lang w:val="en-IE"/>
        </w:rPr>
        <w:t>.</w:t>
      </w:r>
    </w:p>
    <w:p w14:paraId="6D9A5E34" w14:textId="77777777" w:rsidR="28B2BC55" w:rsidRPr="005B4339" w:rsidRDefault="28B2BC55" w:rsidP="28B2BC55">
      <w:pPr>
        <w:pStyle w:val="JRCText"/>
        <w:rPr>
          <w:rFonts w:ascii="Times New Roman" w:hAnsi="Times New Roman"/>
          <w:noProof/>
          <w:sz w:val="24"/>
          <w:szCs w:val="24"/>
          <w:lang w:val="en-IE"/>
        </w:rPr>
      </w:pPr>
    </w:p>
    <w:p w14:paraId="561CDECF" w14:textId="60597DA1" w:rsidR="0B30F0AE" w:rsidRPr="005B4339" w:rsidRDefault="0B30F0AE">
      <w:pPr>
        <w:pStyle w:val="JRCLevel-2title"/>
        <w:numPr>
          <w:ilvl w:val="1"/>
          <w:numId w:val="161"/>
        </w:numPr>
        <w:rPr>
          <w:rFonts w:ascii="Times New Roman" w:hAnsi="Times New Roman"/>
          <w:noProof/>
          <w:lang w:val="en-IE"/>
        </w:rPr>
      </w:pPr>
      <w:bookmarkStart w:id="874" w:name="_Toc1114954373"/>
      <w:bookmarkStart w:id="875" w:name="_Toc304495767"/>
      <w:bookmarkStart w:id="876" w:name="_Toc903276079"/>
      <w:bookmarkStart w:id="877" w:name="_Toc1272442578"/>
      <w:bookmarkStart w:id="878" w:name="_Toc1725661494"/>
      <w:bookmarkStart w:id="879" w:name="_Toc465847013"/>
      <w:bookmarkStart w:id="880" w:name="_Toc233392506"/>
      <w:bookmarkStart w:id="881" w:name="_Toc482639667"/>
      <w:bookmarkStart w:id="882" w:name="_Toc139032132"/>
      <w:r w:rsidRPr="005B4339">
        <w:rPr>
          <w:rFonts w:ascii="Times New Roman" w:hAnsi="Times New Roman"/>
          <w:noProof/>
          <w:lang w:val="en-IE"/>
        </w:rPr>
        <w:t>Feasibility analysis</w:t>
      </w:r>
      <w:bookmarkEnd w:id="874"/>
      <w:bookmarkEnd w:id="875"/>
      <w:bookmarkEnd w:id="876"/>
      <w:bookmarkEnd w:id="877"/>
      <w:bookmarkEnd w:id="878"/>
      <w:bookmarkEnd w:id="879"/>
      <w:bookmarkEnd w:id="880"/>
      <w:bookmarkEnd w:id="881"/>
      <w:bookmarkEnd w:id="882"/>
    </w:p>
    <w:p w14:paraId="2C9C9706" w14:textId="43D0398C" w:rsidR="7075BC3D" w:rsidRPr="005B4339" w:rsidRDefault="7075BC3D"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This section discusses the feasibility of such targets from the M</w:t>
      </w:r>
      <w:r w:rsidR="001A3D7F"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perspective</w:t>
      </w:r>
      <w:r w:rsidR="0099430A" w:rsidRPr="005B4339">
        <w:rPr>
          <w:rFonts w:ascii="Times New Roman" w:hAnsi="Times New Roman"/>
          <w:noProof/>
          <w:sz w:val="24"/>
          <w:szCs w:val="24"/>
          <w:lang w:val="en-IE"/>
        </w:rPr>
        <w:t xml:space="preserve"> </w:t>
      </w:r>
      <w:r w:rsidR="00E134E4" w:rsidRPr="005B4339">
        <w:rPr>
          <w:rFonts w:ascii="Times New Roman" w:hAnsi="Times New Roman"/>
          <w:noProof/>
          <w:sz w:val="24"/>
          <w:szCs w:val="24"/>
          <w:lang w:val="en-IE"/>
        </w:rPr>
        <w:t>taking into account:</w:t>
      </w:r>
      <w:r w:rsidRPr="005B4339">
        <w:rPr>
          <w:rFonts w:ascii="Times New Roman" w:hAnsi="Times New Roman"/>
          <w:noProof/>
          <w:sz w:val="24"/>
          <w:szCs w:val="24"/>
          <w:lang w:val="en-IE"/>
        </w:rPr>
        <w:t xml:space="preserve"> </w:t>
      </w:r>
    </w:p>
    <w:p w14:paraId="0E5A8345" w14:textId="263C85A7" w:rsidR="7075BC3D" w:rsidRPr="005B4339" w:rsidRDefault="001A3D7F" w:rsidP="00CF0DFB">
      <w:pPr>
        <w:pStyle w:val="JRCText"/>
        <w:numPr>
          <w:ilvl w:val="0"/>
          <w:numId w:val="140"/>
        </w:numPr>
        <w:rPr>
          <w:rFonts w:ascii="Times New Roman" w:hAnsi="Times New Roman"/>
          <w:noProof/>
          <w:sz w:val="24"/>
          <w:szCs w:val="24"/>
          <w:lang w:val="en-IE"/>
        </w:rPr>
      </w:pPr>
      <w:r w:rsidRPr="005B4339">
        <w:rPr>
          <w:rFonts w:ascii="Times New Roman" w:hAnsi="Times New Roman"/>
          <w:noProof/>
          <w:sz w:val="24"/>
          <w:szCs w:val="24"/>
          <w:lang w:val="en-IE"/>
        </w:rPr>
        <w:t>t</w:t>
      </w:r>
      <w:r w:rsidR="7075BC3D" w:rsidRPr="005B4339">
        <w:rPr>
          <w:rFonts w:ascii="Times New Roman" w:hAnsi="Times New Roman"/>
          <w:noProof/>
          <w:sz w:val="24"/>
          <w:szCs w:val="24"/>
          <w:lang w:val="en-IE"/>
        </w:rPr>
        <w:t>he share of edible food waste (which is the fraction that is effectively possible to reduce)</w:t>
      </w:r>
      <w:r w:rsidRPr="005B4339">
        <w:rPr>
          <w:rFonts w:ascii="Times New Roman" w:hAnsi="Times New Roman"/>
          <w:noProof/>
          <w:sz w:val="24"/>
          <w:szCs w:val="24"/>
          <w:lang w:val="en-IE"/>
        </w:rPr>
        <w:t xml:space="preserve">; </w:t>
      </w:r>
      <w:r w:rsidR="7075BC3D" w:rsidRPr="005B4339">
        <w:rPr>
          <w:rFonts w:ascii="Times New Roman" w:hAnsi="Times New Roman"/>
          <w:noProof/>
          <w:sz w:val="24"/>
          <w:szCs w:val="24"/>
          <w:lang w:val="en-IE"/>
        </w:rPr>
        <w:t xml:space="preserve"> </w:t>
      </w:r>
    </w:p>
    <w:p w14:paraId="416AA97C" w14:textId="05B87B53" w:rsidR="7075BC3D" w:rsidRPr="005B4339" w:rsidRDefault="001A3D7F" w:rsidP="00CF0DFB">
      <w:pPr>
        <w:pStyle w:val="JRCText"/>
        <w:numPr>
          <w:ilvl w:val="0"/>
          <w:numId w:val="140"/>
        </w:numPr>
        <w:rPr>
          <w:rFonts w:ascii="Times New Roman" w:hAnsi="Times New Roman"/>
          <w:noProof/>
          <w:sz w:val="24"/>
          <w:szCs w:val="24"/>
          <w:lang w:val="en-IE"/>
        </w:rPr>
      </w:pPr>
      <w:r w:rsidRPr="005B4339">
        <w:rPr>
          <w:rFonts w:ascii="Times New Roman" w:hAnsi="Times New Roman"/>
          <w:noProof/>
          <w:sz w:val="24"/>
          <w:szCs w:val="24"/>
          <w:lang w:val="en-IE"/>
        </w:rPr>
        <w:t>t</w:t>
      </w:r>
      <w:r w:rsidR="7075BC3D" w:rsidRPr="005B4339">
        <w:rPr>
          <w:rFonts w:ascii="Times New Roman" w:hAnsi="Times New Roman"/>
          <w:noProof/>
          <w:sz w:val="24"/>
          <w:szCs w:val="24"/>
          <w:lang w:val="en-IE"/>
        </w:rPr>
        <w:t>he efforts made by M</w:t>
      </w:r>
      <w:r w:rsidRPr="005B4339">
        <w:rPr>
          <w:rFonts w:ascii="Times New Roman" w:hAnsi="Times New Roman"/>
          <w:noProof/>
          <w:sz w:val="24"/>
          <w:szCs w:val="24"/>
          <w:lang w:val="en-IE"/>
        </w:rPr>
        <w:t>ember States</w:t>
      </w:r>
      <w:r w:rsidR="7075BC3D" w:rsidRPr="005B4339">
        <w:rPr>
          <w:rFonts w:ascii="Times New Roman" w:hAnsi="Times New Roman"/>
          <w:noProof/>
          <w:sz w:val="24"/>
          <w:szCs w:val="24"/>
          <w:lang w:val="en-IE"/>
        </w:rPr>
        <w:t xml:space="preserve"> and other countries in the last decade and the results obtained. </w:t>
      </w:r>
    </w:p>
    <w:p w14:paraId="33F4D576" w14:textId="6090D04E"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Concerning the effective level of food waste reduction, a maximum theoretical level of food waste reduction achievable can be estimated by considering that at retail and consumption level</w:t>
      </w:r>
      <w:r w:rsidR="001A3D7F"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avoidable food waste corresponds to the edible part of food waste generated. This varies significantly across stages of the supply chain and across different products and therefore, the actual food waste reduction potential is diverse among products</w:t>
      </w:r>
      <w:r w:rsidR="001A3D7F" w:rsidRPr="005B4339">
        <w:rPr>
          <w:rFonts w:ascii="Times New Roman" w:hAnsi="Times New Roman"/>
          <w:noProof/>
          <w:sz w:val="24"/>
          <w:szCs w:val="24"/>
          <w:lang w:val="en-IE"/>
        </w:rPr>
        <w:t>,</w:t>
      </w:r>
      <w:r w:rsidR="184946F4" w:rsidRPr="005B4339">
        <w:rPr>
          <w:rFonts w:ascii="Times New Roman" w:hAnsi="Times New Roman"/>
          <w:noProof/>
          <w:sz w:val="24"/>
          <w:szCs w:val="24"/>
          <w:lang w:val="en-IE"/>
        </w:rPr>
        <w:t xml:space="preserve"> </w:t>
      </w:r>
      <w:r w:rsidR="001A3D7F" w:rsidRPr="005B4339">
        <w:rPr>
          <w:rFonts w:ascii="Times New Roman" w:hAnsi="Times New Roman"/>
          <w:noProof/>
          <w:sz w:val="24"/>
          <w:szCs w:val="24"/>
          <w:lang w:val="en-IE"/>
        </w:rPr>
        <w:t>for instance,</w:t>
      </w:r>
      <w:r w:rsidRPr="005B4339">
        <w:rPr>
          <w:rFonts w:ascii="Times New Roman" w:hAnsi="Times New Roman"/>
          <w:noProof/>
          <w:sz w:val="24"/>
          <w:szCs w:val="24"/>
          <w:lang w:val="en-IE"/>
        </w:rPr>
        <w:t xml:space="preserve"> higher in the case of meat </w:t>
      </w:r>
      <w:r w:rsidR="001A3D7F" w:rsidRPr="005B4339">
        <w:rPr>
          <w:rFonts w:ascii="Times New Roman" w:hAnsi="Times New Roman"/>
          <w:noProof/>
          <w:sz w:val="24"/>
          <w:szCs w:val="24"/>
          <w:lang w:val="en-IE"/>
        </w:rPr>
        <w:t>and</w:t>
      </w:r>
      <w:r w:rsidR="007A2A88"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lower in the case of fruits and vegetables. The FUSIONS project estimated an average edible share of food waste at retail level equal to 83%</w:t>
      </w:r>
      <w:r w:rsidRPr="005B4339">
        <w:rPr>
          <w:rFonts w:ascii="Times New Roman" w:hAnsi="Times New Roman"/>
          <w:noProof/>
          <w:sz w:val="24"/>
          <w:szCs w:val="24"/>
          <w:vertAlign w:val="superscript"/>
          <w:lang w:val="en-IE"/>
        </w:rPr>
        <w:footnoteReference w:id="157"/>
      </w:r>
      <w:r w:rsidRPr="005B4339">
        <w:rPr>
          <w:rFonts w:ascii="Times New Roman" w:hAnsi="Times New Roman"/>
          <w:noProof/>
          <w:sz w:val="24"/>
          <w:szCs w:val="24"/>
          <w:lang w:val="en-IE"/>
        </w:rPr>
        <w:t>. At household and food services levels</w:t>
      </w:r>
      <w:r w:rsidR="001A3D7F"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share of edible food waste was estimated as 70% and 66% of the food waste generated respectively</w:t>
      </w:r>
      <w:r w:rsidRPr="005B4339">
        <w:rPr>
          <w:rFonts w:ascii="Times New Roman" w:hAnsi="Times New Roman"/>
          <w:noProof/>
          <w:sz w:val="24"/>
          <w:szCs w:val="24"/>
          <w:vertAlign w:val="superscript"/>
          <w:lang w:val="en-IE"/>
        </w:rPr>
        <w:footnoteReference w:id="158"/>
      </w:r>
      <w:r w:rsidRPr="005B4339">
        <w:rPr>
          <w:rFonts w:ascii="Times New Roman" w:hAnsi="Times New Roman"/>
          <w:noProof/>
          <w:sz w:val="24"/>
          <w:szCs w:val="24"/>
          <w:lang w:val="en-IE"/>
        </w:rPr>
        <w:t>. A weighted average of these three values was calculated based on the levels of food waste generation at retail household and food services level (ESTAT 2022). As a result, the average share of edible food waste over the total food waste at retail and consumption level is equal to 71%. This could therefore be considered the maximum achievable food waste reduction at these stages.</w:t>
      </w:r>
    </w:p>
    <w:p w14:paraId="52ADDA6C" w14:textId="0E831CE3"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Concerning the feasibility of reaching the food waste reduction targets set in the three alternative policy options, an analysis was conducted on national food waste strategies and policies on food waste reduction, including their implementation, monitoring and reporting. Moreover, a search of quantitative data on food waste reductions reported by </w:t>
      </w:r>
      <w:r w:rsidR="184946F4" w:rsidRPr="005B4339">
        <w:rPr>
          <w:rFonts w:ascii="Times New Roman" w:hAnsi="Times New Roman"/>
          <w:noProof/>
          <w:sz w:val="24"/>
          <w:szCs w:val="24"/>
          <w:lang w:val="en-IE"/>
        </w:rPr>
        <w:t>M</w:t>
      </w:r>
      <w:r w:rsidR="003358C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and the United Kingdom was performed</w:t>
      </w:r>
      <w:r w:rsidRPr="005B4339">
        <w:rPr>
          <w:rStyle w:val="FootnoteReference"/>
          <w:rFonts w:ascii="Times New Roman" w:hAnsi="Times New Roman"/>
          <w:noProof/>
          <w:sz w:val="24"/>
          <w:szCs w:val="24"/>
          <w:lang w:val="en-IE"/>
        </w:rPr>
        <w:footnoteReference w:id="159"/>
      </w:r>
      <w:r w:rsidRPr="005B4339">
        <w:rPr>
          <w:rFonts w:ascii="Times New Roman" w:hAnsi="Times New Roman"/>
          <w:noProof/>
          <w:sz w:val="24"/>
          <w:szCs w:val="24"/>
          <w:lang w:val="en-IE"/>
        </w:rPr>
        <w:t xml:space="preserve">. The search of data used various sources: information shared in the EU Platform on Food Losses and Food Waste; information gathered by the survey for </w:t>
      </w:r>
      <w:r w:rsidR="184946F4" w:rsidRPr="005B4339">
        <w:rPr>
          <w:rFonts w:ascii="Times New Roman" w:hAnsi="Times New Roman"/>
          <w:noProof/>
          <w:sz w:val="24"/>
          <w:szCs w:val="24"/>
          <w:lang w:val="en-IE"/>
        </w:rPr>
        <w:t>M</w:t>
      </w:r>
      <w:r w:rsidR="003358CC"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launched as part of the stakeholder consultation (</w:t>
      </w:r>
      <w:r w:rsidR="00F248F9" w:rsidRPr="005B4339">
        <w:rPr>
          <w:rFonts w:ascii="Times New Roman" w:hAnsi="Times New Roman"/>
          <w:noProof/>
          <w:sz w:val="24"/>
          <w:szCs w:val="24"/>
          <w:lang w:val="en-IE"/>
        </w:rPr>
        <w:t xml:space="preserve">Annex </w:t>
      </w:r>
      <w:r w:rsidRPr="005B4339">
        <w:rPr>
          <w:rFonts w:ascii="Times New Roman" w:hAnsi="Times New Roman"/>
          <w:noProof/>
          <w:sz w:val="24"/>
          <w:szCs w:val="24"/>
          <w:lang w:val="en-IE"/>
        </w:rPr>
        <w:t>2).; national websites; reports from other organizations (WRAP, etc.).</w:t>
      </w:r>
    </w:p>
    <w:p w14:paraId="72A130CE" w14:textId="79AFF94C" w:rsidR="00E134E4" w:rsidRPr="005B4339" w:rsidRDefault="701E4048"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The results of the analysis show that monitoring and evaluation is not a widespread practice</w:t>
      </w:r>
      <w:r w:rsidR="7075BC3D" w:rsidRPr="005B4339">
        <w:rPr>
          <w:rFonts w:ascii="Times New Roman" w:hAnsi="Times New Roman"/>
          <w:noProof/>
          <w:sz w:val="24"/>
          <w:szCs w:val="24"/>
          <w:lang w:val="en-IE"/>
        </w:rPr>
        <w:t xml:space="preserve"> and lack quantitative indicators. The few quantitative data on food waste reduction retrieved from this analysis are shown in </w:t>
      </w:r>
      <w:r w:rsidR="002938BB" w:rsidRPr="005B4339">
        <w:rPr>
          <w:rFonts w:ascii="Times New Roman" w:hAnsi="Times New Roman"/>
          <w:noProof/>
          <w:sz w:val="24"/>
          <w:szCs w:val="24"/>
          <w:lang w:val="en-IE"/>
        </w:rPr>
        <w:t>the table below</w:t>
      </w:r>
      <w:r w:rsidR="00F518D8" w:rsidRPr="005B4339">
        <w:rPr>
          <w:rFonts w:ascii="Times New Roman" w:hAnsi="Times New Roman"/>
          <w:noProof/>
          <w:sz w:val="24"/>
          <w:szCs w:val="24"/>
          <w:lang w:val="en-IE"/>
        </w:rPr>
        <w:t>.</w:t>
      </w:r>
      <w:r w:rsidR="00E134E4" w:rsidRPr="005B4339">
        <w:rPr>
          <w:rFonts w:ascii="Times New Roman" w:hAnsi="Times New Roman"/>
          <w:noProof/>
          <w:sz w:val="24"/>
          <w:szCs w:val="24"/>
          <w:lang w:val="en-IE"/>
        </w:rPr>
        <w:t xml:space="preserve"> </w:t>
      </w:r>
    </w:p>
    <w:p w14:paraId="2CDA4B4B" w14:textId="49FE9CAF" w:rsidR="008B0D13" w:rsidRPr="005B4339" w:rsidRDefault="00F518D8" w:rsidP="00F518D8">
      <w:pPr>
        <w:pStyle w:val="Caption"/>
        <w:rPr>
          <w:noProof/>
          <w:color w:val="auto"/>
          <w:sz w:val="24"/>
          <w:szCs w:val="24"/>
          <w:lang w:val="en-IE"/>
        </w:rPr>
      </w:pPr>
      <w:bookmarkStart w:id="883" w:name="_Toc133229504"/>
      <w:bookmarkStart w:id="884" w:name="_Toc139032058"/>
      <w:r w:rsidRPr="005B4339">
        <w:rPr>
          <w:noProof/>
          <w:color w:val="auto"/>
          <w:sz w:val="24"/>
          <w:szCs w:val="24"/>
          <w:lang w:val="en-IE"/>
        </w:rPr>
        <w:t xml:space="preserve">Table </w:t>
      </w:r>
      <w:r w:rsidR="00393DFA">
        <w:rPr>
          <w:noProof/>
          <w:color w:val="auto"/>
          <w:sz w:val="24"/>
          <w:szCs w:val="24"/>
        </w:rPr>
        <w:t>42</w:t>
      </w:r>
      <w:r w:rsidRPr="005B4339">
        <w:rPr>
          <w:noProof/>
          <w:color w:val="auto"/>
          <w:sz w:val="24"/>
          <w:szCs w:val="24"/>
          <w:lang w:val="en-IE"/>
        </w:rPr>
        <w:t xml:space="preserve"> - </w:t>
      </w:r>
      <w:r w:rsidR="008B0D13" w:rsidRPr="005B4339">
        <w:rPr>
          <w:noProof/>
          <w:color w:val="auto"/>
          <w:sz w:val="24"/>
          <w:szCs w:val="24"/>
          <w:lang w:val="en-IE"/>
        </w:rPr>
        <w:t>Reported levels of food waste reduction achieved in selected countries</w:t>
      </w:r>
      <w:bookmarkEnd w:id="883"/>
      <w:bookmarkEnd w:id="884"/>
    </w:p>
    <w:tbl>
      <w:tblPr>
        <w:tblStyle w:val="TableGrid"/>
        <w:tblW w:w="0" w:type="auto"/>
        <w:tblLayout w:type="fixed"/>
        <w:tblLook w:val="04A0" w:firstRow="1" w:lastRow="0" w:firstColumn="1" w:lastColumn="0" w:noHBand="0" w:noVBand="1"/>
      </w:tblPr>
      <w:tblGrid>
        <w:gridCol w:w="1035"/>
        <w:gridCol w:w="1305"/>
        <w:gridCol w:w="1350"/>
        <w:gridCol w:w="1305"/>
        <w:gridCol w:w="1350"/>
        <w:gridCol w:w="1305"/>
        <w:gridCol w:w="1350"/>
      </w:tblGrid>
      <w:tr w:rsidR="5433F919" w:rsidRPr="005B4339" w14:paraId="5AF63F4F" w14:textId="77777777" w:rsidTr="5433F919">
        <w:trPr>
          <w:trHeight w:val="330"/>
        </w:trPr>
        <w:tc>
          <w:tcPr>
            <w:tcW w:w="1035" w:type="dxa"/>
          </w:tcPr>
          <w:p w14:paraId="4D874AD8" w14:textId="77777777" w:rsidR="5433F919" w:rsidRPr="005B4339" w:rsidRDefault="5433F919" w:rsidP="5433F919">
            <w:pPr>
              <w:pStyle w:val="JRCText"/>
              <w:rPr>
                <w:rFonts w:ascii="Times New Roman" w:hAnsi="Times New Roman"/>
                <w:noProof/>
                <w:sz w:val="24"/>
                <w:szCs w:val="24"/>
                <w:lang w:val="en-IE"/>
              </w:rPr>
            </w:pPr>
          </w:p>
        </w:tc>
        <w:tc>
          <w:tcPr>
            <w:tcW w:w="2655" w:type="dxa"/>
            <w:gridSpan w:val="2"/>
          </w:tcPr>
          <w:p w14:paraId="5A4F2F10"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Retail and distribution</w:t>
            </w:r>
          </w:p>
        </w:tc>
        <w:tc>
          <w:tcPr>
            <w:tcW w:w="2655" w:type="dxa"/>
            <w:gridSpan w:val="2"/>
          </w:tcPr>
          <w:p w14:paraId="2ACD568D"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Food services</w:t>
            </w:r>
          </w:p>
        </w:tc>
        <w:tc>
          <w:tcPr>
            <w:tcW w:w="2655" w:type="dxa"/>
            <w:gridSpan w:val="2"/>
          </w:tcPr>
          <w:p w14:paraId="227E1B9E"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Household</w:t>
            </w:r>
          </w:p>
        </w:tc>
      </w:tr>
      <w:tr w:rsidR="5433F919" w:rsidRPr="005B4339" w14:paraId="7644FECC" w14:textId="77777777" w:rsidTr="5433F919">
        <w:trPr>
          <w:trHeight w:val="330"/>
        </w:trPr>
        <w:tc>
          <w:tcPr>
            <w:tcW w:w="1035" w:type="dxa"/>
          </w:tcPr>
          <w:p w14:paraId="33E79B68"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Country</w:t>
            </w:r>
          </w:p>
          <w:p w14:paraId="5741B939" w14:textId="77777777" w:rsidR="5433F919" w:rsidRPr="005B4339" w:rsidRDefault="5433F919" w:rsidP="5433F919">
            <w:pPr>
              <w:pStyle w:val="JRCText"/>
              <w:rPr>
                <w:rFonts w:ascii="Times New Roman" w:hAnsi="Times New Roman"/>
                <w:noProof/>
                <w:sz w:val="24"/>
                <w:szCs w:val="24"/>
                <w:lang w:val="en-IE"/>
              </w:rPr>
            </w:pPr>
          </w:p>
        </w:tc>
        <w:tc>
          <w:tcPr>
            <w:tcW w:w="1305" w:type="dxa"/>
            <w:vAlign w:val="bottom"/>
          </w:tcPr>
          <w:p w14:paraId="0F6BB4C0"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FW reduction</w:t>
            </w:r>
          </w:p>
        </w:tc>
        <w:tc>
          <w:tcPr>
            <w:tcW w:w="1350" w:type="dxa"/>
            <w:vAlign w:val="bottom"/>
          </w:tcPr>
          <w:p w14:paraId="3201D296"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Reference time</w:t>
            </w:r>
          </w:p>
        </w:tc>
        <w:tc>
          <w:tcPr>
            <w:tcW w:w="1305" w:type="dxa"/>
            <w:vAlign w:val="bottom"/>
          </w:tcPr>
          <w:p w14:paraId="0AF89E1C"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FW reduction</w:t>
            </w:r>
          </w:p>
        </w:tc>
        <w:tc>
          <w:tcPr>
            <w:tcW w:w="1350" w:type="dxa"/>
            <w:vAlign w:val="bottom"/>
          </w:tcPr>
          <w:p w14:paraId="7ED654EF"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Reference time</w:t>
            </w:r>
          </w:p>
        </w:tc>
        <w:tc>
          <w:tcPr>
            <w:tcW w:w="1305" w:type="dxa"/>
            <w:vAlign w:val="bottom"/>
          </w:tcPr>
          <w:p w14:paraId="7F8560F0"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FW reduction</w:t>
            </w:r>
          </w:p>
        </w:tc>
        <w:tc>
          <w:tcPr>
            <w:tcW w:w="1350" w:type="dxa"/>
            <w:vAlign w:val="bottom"/>
          </w:tcPr>
          <w:p w14:paraId="3AE4CACD"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Reference time</w:t>
            </w:r>
          </w:p>
        </w:tc>
      </w:tr>
      <w:tr w:rsidR="5433F919" w:rsidRPr="005B4339" w14:paraId="699F66F1" w14:textId="77777777" w:rsidTr="5433F919">
        <w:trPr>
          <w:trHeight w:val="330"/>
        </w:trPr>
        <w:tc>
          <w:tcPr>
            <w:tcW w:w="1035" w:type="dxa"/>
          </w:tcPr>
          <w:p w14:paraId="4FEFE0A1"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NL</w:t>
            </w:r>
          </w:p>
        </w:tc>
        <w:tc>
          <w:tcPr>
            <w:tcW w:w="1305" w:type="dxa"/>
            <w:vAlign w:val="bottom"/>
          </w:tcPr>
          <w:p w14:paraId="40895888"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3.60%(1)</w:t>
            </w:r>
          </w:p>
        </w:tc>
        <w:tc>
          <w:tcPr>
            <w:tcW w:w="1350" w:type="dxa"/>
            <w:vAlign w:val="bottom"/>
          </w:tcPr>
          <w:p w14:paraId="70161D4A"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2018-2022</w:t>
            </w:r>
          </w:p>
        </w:tc>
        <w:tc>
          <w:tcPr>
            <w:tcW w:w="1305" w:type="dxa"/>
            <w:vAlign w:val="bottom"/>
          </w:tcPr>
          <w:p w14:paraId="1B6E8F74" w14:textId="77777777" w:rsidR="5433F919" w:rsidRPr="005B4339" w:rsidRDefault="5433F919" w:rsidP="5433F919">
            <w:pPr>
              <w:pStyle w:val="JRCText"/>
              <w:rPr>
                <w:rFonts w:ascii="Times New Roman" w:hAnsi="Times New Roman"/>
                <w:noProof/>
                <w:sz w:val="24"/>
                <w:szCs w:val="24"/>
                <w:lang w:val="en-IE"/>
              </w:rPr>
            </w:pPr>
          </w:p>
        </w:tc>
        <w:tc>
          <w:tcPr>
            <w:tcW w:w="1350" w:type="dxa"/>
            <w:vAlign w:val="bottom"/>
          </w:tcPr>
          <w:p w14:paraId="7B821A72" w14:textId="77777777" w:rsidR="5433F919" w:rsidRPr="005B4339" w:rsidRDefault="5433F919" w:rsidP="5433F919">
            <w:pPr>
              <w:pStyle w:val="JRCText"/>
              <w:rPr>
                <w:rFonts w:ascii="Times New Roman" w:hAnsi="Times New Roman"/>
                <w:noProof/>
                <w:sz w:val="24"/>
                <w:szCs w:val="24"/>
                <w:lang w:val="en-IE"/>
              </w:rPr>
            </w:pPr>
          </w:p>
        </w:tc>
        <w:tc>
          <w:tcPr>
            <w:tcW w:w="1305" w:type="dxa"/>
            <w:vAlign w:val="bottom"/>
          </w:tcPr>
          <w:p w14:paraId="493D884A"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29%(2)</w:t>
            </w:r>
          </w:p>
        </w:tc>
        <w:tc>
          <w:tcPr>
            <w:tcW w:w="1350" w:type="dxa"/>
            <w:vAlign w:val="bottom"/>
          </w:tcPr>
          <w:p w14:paraId="58A268E8"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2010-2019</w:t>
            </w:r>
          </w:p>
        </w:tc>
      </w:tr>
      <w:tr w:rsidR="5433F919" w:rsidRPr="005B4339" w14:paraId="314C5570" w14:textId="77777777" w:rsidTr="5433F919">
        <w:trPr>
          <w:trHeight w:val="330"/>
        </w:trPr>
        <w:tc>
          <w:tcPr>
            <w:tcW w:w="1035" w:type="dxa"/>
          </w:tcPr>
          <w:p w14:paraId="233D2383"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SE</w:t>
            </w:r>
          </w:p>
        </w:tc>
        <w:tc>
          <w:tcPr>
            <w:tcW w:w="1305" w:type="dxa"/>
            <w:vAlign w:val="bottom"/>
          </w:tcPr>
          <w:p w14:paraId="7B882B02" w14:textId="77777777" w:rsidR="5433F919" w:rsidRPr="005B4339" w:rsidRDefault="5433F919" w:rsidP="5433F919">
            <w:pPr>
              <w:pStyle w:val="JRCText"/>
              <w:rPr>
                <w:rFonts w:ascii="Times New Roman" w:hAnsi="Times New Roman"/>
                <w:noProof/>
                <w:sz w:val="24"/>
                <w:szCs w:val="24"/>
                <w:lang w:val="en-IE"/>
              </w:rPr>
            </w:pPr>
          </w:p>
        </w:tc>
        <w:tc>
          <w:tcPr>
            <w:tcW w:w="1350" w:type="dxa"/>
          </w:tcPr>
          <w:p w14:paraId="31E6E470" w14:textId="77777777" w:rsidR="5433F919" w:rsidRPr="005B4339" w:rsidRDefault="5433F919" w:rsidP="5433F919">
            <w:pPr>
              <w:pStyle w:val="JRCText"/>
              <w:rPr>
                <w:rFonts w:ascii="Times New Roman" w:hAnsi="Times New Roman"/>
                <w:noProof/>
                <w:sz w:val="24"/>
                <w:szCs w:val="24"/>
                <w:lang w:val="en-IE"/>
              </w:rPr>
            </w:pPr>
          </w:p>
        </w:tc>
        <w:tc>
          <w:tcPr>
            <w:tcW w:w="1305" w:type="dxa"/>
            <w:vAlign w:val="bottom"/>
          </w:tcPr>
          <w:p w14:paraId="01D66825"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3.00%(3)</w:t>
            </w:r>
          </w:p>
        </w:tc>
        <w:tc>
          <w:tcPr>
            <w:tcW w:w="1350" w:type="dxa"/>
          </w:tcPr>
          <w:p w14:paraId="1966038C"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2018-2020</w:t>
            </w:r>
          </w:p>
        </w:tc>
        <w:tc>
          <w:tcPr>
            <w:tcW w:w="1305" w:type="dxa"/>
            <w:vAlign w:val="bottom"/>
          </w:tcPr>
          <w:p w14:paraId="79A2DCDD" w14:textId="77777777" w:rsidR="5433F919" w:rsidRPr="005B4339" w:rsidRDefault="5433F919" w:rsidP="5433F919">
            <w:pPr>
              <w:pStyle w:val="JRCText"/>
              <w:rPr>
                <w:rFonts w:ascii="Times New Roman" w:hAnsi="Times New Roman"/>
                <w:noProof/>
                <w:sz w:val="24"/>
                <w:szCs w:val="24"/>
                <w:lang w:val="en-IE"/>
              </w:rPr>
            </w:pPr>
          </w:p>
        </w:tc>
        <w:tc>
          <w:tcPr>
            <w:tcW w:w="1350" w:type="dxa"/>
          </w:tcPr>
          <w:p w14:paraId="77FFF44E"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2018-2020</w:t>
            </w:r>
          </w:p>
        </w:tc>
      </w:tr>
      <w:tr w:rsidR="5433F919" w:rsidRPr="005B4339" w14:paraId="339B92D7" w14:textId="77777777" w:rsidTr="5433F919">
        <w:trPr>
          <w:trHeight w:val="330"/>
        </w:trPr>
        <w:tc>
          <w:tcPr>
            <w:tcW w:w="1035" w:type="dxa"/>
          </w:tcPr>
          <w:p w14:paraId="58768254"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UK </w:t>
            </w:r>
          </w:p>
        </w:tc>
        <w:tc>
          <w:tcPr>
            <w:tcW w:w="1305" w:type="dxa"/>
            <w:vAlign w:val="bottom"/>
          </w:tcPr>
          <w:p w14:paraId="5572A5C8"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8%(4)</w:t>
            </w:r>
          </w:p>
          <w:p w14:paraId="2A4EDE9F" w14:textId="77777777" w:rsidR="5433F919" w:rsidRPr="005B4339" w:rsidRDefault="5433F919" w:rsidP="5433F919">
            <w:pPr>
              <w:pStyle w:val="JRCText"/>
              <w:rPr>
                <w:rFonts w:ascii="Times New Roman" w:hAnsi="Times New Roman"/>
                <w:noProof/>
                <w:sz w:val="24"/>
                <w:szCs w:val="24"/>
                <w:lang w:val="en-IE"/>
              </w:rPr>
            </w:pPr>
          </w:p>
        </w:tc>
        <w:tc>
          <w:tcPr>
            <w:tcW w:w="1350" w:type="dxa"/>
            <w:vAlign w:val="bottom"/>
          </w:tcPr>
          <w:p w14:paraId="2EBF41FE"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2018-2021</w:t>
            </w:r>
          </w:p>
          <w:p w14:paraId="7A538B01" w14:textId="77777777" w:rsidR="5433F919" w:rsidRPr="005B4339" w:rsidRDefault="5433F919" w:rsidP="5433F919">
            <w:pPr>
              <w:pStyle w:val="JRCText"/>
              <w:rPr>
                <w:rFonts w:ascii="Times New Roman" w:hAnsi="Times New Roman"/>
                <w:noProof/>
                <w:sz w:val="24"/>
                <w:szCs w:val="24"/>
                <w:lang w:val="en-IE"/>
              </w:rPr>
            </w:pPr>
          </w:p>
        </w:tc>
        <w:tc>
          <w:tcPr>
            <w:tcW w:w="1305" w:type="dxa"/>
            <w:vAlign w:val="bottom"/>
          </w:tcPr>
          <w:p w14:paraId="7208AE7B"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 </w:t>
            </w:r>
          </w:p>
        </w:tc>
        <w:tc>
          <w:tcPr>
            <w:tcW w:w="1350" w:type="dxa"/>
            <w:vAlign w:val="bottom"/>
          </w:tcPr>
          <w:p w14:paraId="521A8E1B"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 </w:t>
            </w:r>
          </w:p>
        </w:tc>
        <w:tc>
          <w:tcPr>
            <w:tcW w:w="1305" w:type="dxa"/>
            <w:vAlign w:val="bottom"/>
          </w:tcPr>
          <w:p w14:paraId="5FCA9186"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 xml:space="preserve">21%(5) </w:t>
            </w:r>
          </w:p>
          <w:p w14:paraId="793DBB36" w14:textId="77777777" w:rsidR="5433F919" w:rsidRPr="005B4339" w:rsidRDefault="00546E16"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17.8</w:t>
            </w:r>
            <w:r w:rsidR="00966348" w:rsidRPr="005B4339">
              <w:rPr>
                <w:rFonts w:ascii="Times New Roman" w:hAnsi="Times New Roman"/>
                <w:noProof/>
                <w:sz w:val="24"/>
                <w:szCs w:val="24"/>
                <w:lang w:val="en-IE"/>
              </w:rPr>
              <w:t>%</w:t>
            </w:r>
            <w:r w:rsidR="00626EE1" w:rsidRPr="005B4339">
              <w:rPr>
                <w:rFonts w:ascii="Times New Roman" w:hAnsi="Times New Roman"/>
                <w:noProof/>
                <w:sz w:val="24"/>
                <w:szCs w:val="24"/>
                <w:lang w:val="en-IE"/>
              </w:rPr>
              <w:t xml:space="preserve">(6) </w:t>
            </w:r>
          </w:p>
        </w:tc>
        <w:tc>
          <w:tcPr>
            <w:tcW w:w="1350" w:type="dxa"/>
            <w:vAlign w:val="bottom"/>
          </w:tcPr>
          <w:p w14:paraId="5043F848" w14:textId="77777777" w:rsidR="5433F919" w:rsidRPr="005B4339" w:rsidRDefault="5433F919"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2007-2012</w:t>
            </w:r>
          </w:p>
          <w:p w14:paraId="5A98D120" w14:textId="77777777" w:rsidR="5433F919" w:rsidRPr="005B4339" w:rsidRDefault="00626EE1"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2007-2018</w:t>
            </w:r>
          </w:p>
        </w:tc>
      </w:tr>
    </w:tbl>
    <w:p w14:paraId="725D1041" w14:textId="77777777" w:rsidR="7075BC3D" w:rsidRPr="005B4339" w:rsidRDefault="7075BC3D" w:rsidP="5433F919">
      <w:pPr>
        <w:pStyle w:val="JRCText"/>
        <w:rPr>
          <w:rFonts w:ascii="Times New Roman" w:hAnsi="Times New Roman"/>
          <w:noProof/>
          <w:sz w:val="24"/>
          <w:szCs w:val="24"/>
          <w:lang w:val="en-IE"/>
        </w:rPr>
      </w:pPr>
      <w:r w:rsidRPr="005B4339">
        <w:rPr>
          <w:rFonts w:ascii="Times New Roman" w:hAnsi="Times New Roman"/>
          <w:noProof/>
          <w:sz w:val="24"/>
          <w:szCs w:val="24"/>
          <w:lang w:val="en-IE"/>
        </w:rPr>
        <w:t>(5) edible food waste only</w:t>
      </w:r>
    </w:p>
    <w:p w14:paraId="774578C2" w14:textId="0E53F4B8" w:rsidR="00E134E4" w:rsidRPr="005B4339" w:rsidRDefault="00E134E4" w:rsidP="00E134E4">
      <w:pPr>
        <w:pStyle w:val="JRCTablesource"/>
        <w:spacing w:before="120"/>
        <w:rPr>
          <w:rFonts w:ascii="Times New Roman" w:hAnsi="Times New Roman"/>
          <w:noProof/>
          <w:sz w:val="24"/>
          <w:szCs w:val="24"/>
          <w:lang w:val="en-IE"/>
        </w:rPr>
      </w:pPr>
      <w:r w:rsidRPr="005B4339">
        <w:rPr>
          <w:rFonts w:ascii="Times New Roman" w:hAnsi="Times New Roman"/>
          <w:noProof/>
          <w:sz w:val="24"/>
          <w:szCs w:val="24"/>
          <w:lang w:val="en-IE"/>
        </w:rPr>
        <w:t xml:space="preserve">Source: (1) (WUR, 2022), (2) (The Netherlands Nutrition Centre Foundation, 2019), (3) (Naturvårdsverket, 2022), (4) (WRAP, 2022), (5) (Champions 12.3, 2017) (6) </w:t>
      </w:r>
      <w:r w:rsidR="00392C38" w:rsidRPr="005B4339">
        <w:rPr>
          <w:rFonts w:ascii="Times New Roman" w:hAnsi="Times New Roman"/>
          <w:noProof/>
          <w:sz w:val="24"/>
          <w:szCs w:val="24"/>
          <w:lang w:val="en-IE"/>
        </w:rPr>
        <w:t>(</w:t>
      </w:r>
      <w:r w:rsidRPr="005B4339">
        <w:rPr>
          <w:rFonts w:ascii="Times New Roman" w:hAnsi="Times New Roman"/>
          <w:noProof/>
          <w:sz w:val="24"/>
          <w:szCs w:val="24"/>
          <w:lang w:val="en-IE"/>
        </w:rPr>
        <w:t>WRAP, 2020</w:t>
      </w:r>
      <w:r w:rsidR="00392C38" w:rsidRPr="005B4339">
        <w:rPr>
          <w:rFonts w:ascii="Times New Roman" w:hAnsi="Times New Roman"/>
          <w:noProof/>
          <w:sz w:val="24"/>
          <w:szCs w:val="24"/>
          <w:lang w:val="en-IE"/>
        </w:rPr>
        <w:t>)</w:t>
      </w:r>
    </w:p>
    <w:p w14:paraId="3F36A117" w14:textId="77777777" w:rsidR="5433F919" w:rsidRPr="005B4339" w:rsidRDefault="5433F919" w:rsidP="00E134E4">
      <w:pPr>
        <w:pStyle w:val="JRCText"/>
        <w:rPr>
          <w:rFonts w:ascii="Times New Roman" w:hAnsi="Times New Roman"/>
          <w:noProof/>
          <w:sz w:val="24"/>
          <w:szCs w:val="24"/>
          <w:lang w:val="en-IE"/>
        </w:rPr>
      </w:pPr>
    </w:p>
    <w:p w14:paraId="2DCEB783" w14:textId="77777777" w:rsidR="701E4048" w:rsidRPr="005B4339" w:rsidRDefault="701E4048"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The following considerations can be derived from these results:</w:t>
      </w:r>
    </w:p>
    <w:p w14:paraId="6E62F35B" w14:textId="5B6F2CA8" w:rsidR="00E134E4" w:rsidRPr="005B4339" w:rsidRDefault="00E134E4"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Values in the table refer to different reference times, which need to be taken into account when considering that M</w:t>
      </w:r>
      <w:r w:rsidR="00C056E3"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will have roughly six years to reach the food waste reduction targets by 2030, in case the legislation comes into force in 2024. </w:t>
      </w:r>
    </w:p>
    <w:p w14:paraId="651ED0EF" w14:textId="77777777" w:rsidR="00E134E4" w:rsidRPr="005B4339" w:rsidRDefault="00E134E4"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 xml:space="preserve">No countries reported food waste reduction achieved in primary production and it is therefore not possible to assess the feasibility of reaching food waste reduction targets for this stage of the supply chain based on the results reported by early achievers. </w:t>
      </w:r>
    </w:p>
    <w:p w14:paraId="6A4249CC" w14:textId="697A5428" w:rsidR="00E134E4" w:rsidRPr="005B4339" w:rsidRDefault="00E134E4"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At the processing stage the United Kingdom reported an average reduction of edible food waste equal to 1.4% (WRAP, 2022). However, this value was calculated from data reported by manufacturers referring to different baselines (varying between 2015 and 2020) and cannot therefore support any considerations as to the feasibility of reaching food waste reduction targets over six years especially as these refer to total food waste. Moreover, companies, which conducting measurement of food waste reported progress at the level of 10.8% reduction in total food waste per ton of food handled between 2018 and 2021. However, due to increased production and other factors (such as post-Brexit trade disturbances, C</w:t>
      </w:r>
      <w:r w:rsidR="0005489A" w:rsidRPr="005B4339">
        <w:rPr>
          <w:rFonts w:ascii="Times New Roman" w:hAnsi="Times New Roman"/>
          <w:noProof/>
          <w:sz w:val="24"/>
          <w:szCs w:val="24"/>
          <w:lang w:val="en-IE"/>
        </w:rPr>
        <w:t>OVID</w:t>
      </w:r>
      <w:r w:rsidRPr="005B4339">
        <w:rPr>
          <w:rFonts w:ascii="Times New Roman" w:hAnsi="Times New Roman"/>
          <w:noProof/>
          <w:sz w:val="24"/>
          <w:szCs w:val="24"/>
          <w:lang w:val="en-IE"/>
        </w:rPr>
        <w:t>-19 and post-C</w:t>
      </w:r>
      <w:r w:rsidR="0005489A" w:rsidRPr="005B4339">
        <w:rPr>
          <w:rFonts w:ascii="Times New Roman" w:hAnsi="Times New Roman"/>
          <w:noProof/>
          <w:sz w:val="24"/>
          <w:szCs w:val="24"/>
          <w:lang w:val="en-IE"/>
        </w:rPr>
        <w:t>OVID</w:t>
      </w:r>
      <w:r w:rsidRPr="005B4339">
        <w:rPr>
          <w:rFonts w:ascii="Times New Roman" w:hAnsi="Times New Roman"/>
          <w:noProof/>
          <w:sz w:val="24"/>
          <w:szCs w:val="24"/>
          <w:lang w:val="en-IE"/>
        </w:rPr>
        <w:t xml:space="preserve"> rebound, improved measurement by companies…), total food waste in processing and manufacturing has increased over this period by around 9%.</w:t>
      </w:r>
      <w:r w:rsidR="00226AE8" w:rsidRPr="005B4339">
        <w:rPr>
          <w:rStyle w:val="FootnoteReference"/>
          <w:rFonts w:ascii="Times New Roman" w:hAnsi="Times New Roman"/>
          <w:noProof/>
          <w:sz w:val="24"/>
          <w:szCs w:val="24"/>
          <w:lang w:val="en-IE"/>
        </w:rPr>
        <w:footnoteReference w:id="160"/>
      </w:r>
      <w:r w:rsidRPr="005B4339">
        <w:rPr>
          <w:rFonts w:ascii="Times New Roman" w:hAnsi="Times New Roman"/>
          <w:noProof/>
          <w:sz w:val="24"/>
          <w:szCs w:val="24"/>
          <w:lang w:val="en-IE"/>
        </w:rPr>
        <w:t xml:space="preserve"> </w:t>
      </w:r>
    </w:p>
    <w:p w14:paraId="0C16034F" w14:textId="77777777" w:rsidR="7075BC3D" w:rsidRPr="005B4339" w:rsidRDefault="7075BC3D"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At retail level</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the Netherlands reported a food waste reduction equal to 3.6% over 4 years</w:t>
      </w:r>
      <w:r w:rsidR="0099430A" w:rsidRPr="005B4339">
        <w:rPr>
          <w:rFonts w:ascii="Times New Roman" w:hAnsi="Times New Roman"/>
          <w:noProof/>
          <w:sz w:val="24"/>
          <w:szCs w:val="24"/>
          <w:lang w:val="en-IE"/>
        </w:rPr>
        <w:t xml:space="preserve"> </w:t>
      </w:r>
      <w:r w:rsidRPr="005B4339">
        <w:rPr>
          <w:rFonts w:ascii="Times New Roman" w:hAnsi="Times New Roman"/>
          <w:noProof/>
          <w:sz w:val="24"/>
          <w:szCs w:val="24"/>
          <w:lang w:val="en-IE"/>
        </w:rPr>
        <w:t>based on which the feasibility of the target proposed in Option 1 seems low. Instead</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the United Kingdom reported an 8% reduction over three years</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which could suggest that reaching the Option 1 target (15% reduction over 6 years) could be feasible</w:t>
      </w:r>
      <w:r w:rsidR="00E134E4" w:rsidRPr="005B4339">
        <w:rPr>
          <w:rFonts w:ascii="Times New Roman" w:hAnsi="Times New Roman"/>
          <w:noProof/>
          <w:sz w:val="24"/>
          <w:szCs w:val="24"/>
          <w:lang w:val="en-IE"/>
        </w:rPr>
        <w:t>.,</w:t>
      </w:r>
      <w:r w:rsidRPr="005B4339">
        <w:rPr>
          <w:rFonts w:ascii="Times New Roman" w:hAnsi="Times New Roman"/>
          <w:noProof/>
          <w:sz w:val="24"/>
          <w:szCs w:val="24"/>
          <w:lang w:val="en-IE"/>
        </w:rPr>
        <w:t xml:space="preserve"> </w:t>
      </w:r>
    </w:p>
    <w:p w14:paraId="4389AC44" w14:textId="77777777" w:rsidR="7075BC3D" w:rsidRPr="005B4339" w:rsidRDefault="7075BC3D"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At food services level</w:t>
      </w:r>
      <w:r w:rsidR="0099430A" w:rsidRPr="005B4339">
        <w:rPr>
          <w:rFonts w:ascii="Times New Roman" w:hAnsi="Times New Roman"/>
          <w:noProof/>
          <w:sz w:val="24"/>
          <w:szCs w:val="24"/>
          <w:lang w:val="en-IE"/>
        </w:rPr>
        <w:t xml:space="preserve"> </w:t>
      </w:r>
      <w:r w:rsidR="00E134E4" w:rsidRPr="005B4339">
        <w:rPr>
          <w:rFonts w:ascii="Times New Roman" w:hAnsi="Times New Roman"/>
          <w:noProof/>
          <w:sz w:val="24"/>
          <w:szCs w:val="24"/>
          <w:lang w:val="en-IE"/>
        </w:rPr>
        <w:t>the only available example is Sweden reporting a 3% reduction over two years</w:t>
      </w:r>
      <w:r w:rsidRPr="005B4339">
        <w:rPr>
          <w:rFonts w:ascii="Times New Roman" w:hAnsi="Times New Roman"/>
          <w:noProof/>
          <w:sz w:val="24"/>
          <w:szCs w:val="24"/>
          <w:lang w:val="en-IE"/>
        </w:rPr>
        <w:t xml:space="preserve"> thereby suggesting low feasibility for all targets. </w:t>
      </w:r>
    </w:p>
    <w:p w14:paraId="13A279E2" w14:textId="77777777" w:rsidR="00E134E4" w:rsidRPr="005B4339" w:rsidRDefault="00E134E4" w:rsidP="001B7A27">
      <w:pPr>
        <w:pStyle w:val="JRCText"/>
        <w:numPr>
          <w:ilvl w:val="0"/>
          <w:numId w:val="142"/>
        </w:numPr>
        <w:rPr>
          <w:rFonts w:ascii="Times New Roman" w:hAnsi="Times New Roman"/>
          <w:noProof/>
          <w:sz w:val="24"/>
          <w:szCs w:val="24"/>
          <w:lang w:val="en-IE"/>
        </w:rPr>
      </w:pPr>
      <w:r w:rsidRPr="005B4339">
        <w:rPr>
          <w:rFonts w:ascii="Times New Roman" w:hAnsi="Times New Roman"/>
          <w:noProof/>
          <w:sz w:val="24"/>
          <w:szCs w:val="24"/>
          <w:lang w:val="en-IE"/>
        </w:rPr>
        <w:t>Finally, at household level, roughly similar reductions have been reported by the Netherlands (29% reduction over 9 years) and the United Kingdom (21% reduction of edible food waste over 5 years and almost 18% reduction of total household food waste over 11 years), based on which the Option 1 target can be considered feasible.</w:t>
      </w:r>
    </w:p>
    <w:p w14:paraId="5B2A8A06" w14:textId="195226C9" w:rsidR="00E134E4" w:rsidRPr="005B4339" w:rsidRDefault="00E134E4" w:rsidP="00E134E4">
      <w:pPr>
        <w:pStyle w:val="JRCText"/>
        <w:rPr>
          <w:rFonts w:ascii="Times New Roman" w:hAnsi="Times New Roman"/>
          <w:noProof/>
          <w:sz w:val="24"/>
          <w:szCs w:val="24"/>
          <w:lang w:val="en-IE"/>
        </w:rPr>
      </w:pPr>
      <w:r w:rsidRPr="005B4339">
        <w:rPr>
          <w:rFonts w:ascii="Times New Roman" w:hAnsi="Times New Roman"/>
          <w:noProof/>
          <w:sz w:val="24"/>
          <w:szCs w:val="24"/>
          <w:lang w:val="en-IE"/>
        </w:rPr>
        <w:t>When making such considerations on feasibility, it is important to consider that, as presented in Section 3, M</w:t>
      </w:r>
      <w:r w:rsidR="00EE6622" w:rsidRPr="005B4339">
        <w:rPr>
          <w:rFonts w:ascii="Times New Roman" w:hAnsi="Times New Roman"/>
          <w:noProof/>
          <w:sz w:val="24"/>
          <w:szCs w:val="24"/>
          <w:lang w:val="en-IE"/>
        </w:rPr>
        <w:t>ember States</w:t>
      </w:r>
      <w:r w:rsidRPr="005B4339">
        <w:rPr>
          <w:rFonts w:ascii="Times New Roman" w:hAnsi="Times New Roman"/>
          <w:noProof/>
          <w:sz w:val="24"/>
          <w:szCs w:val="24"/>
          <w:lang w:val="en-IE"/>
        </w:rPr>
        <w:t xml:space="preserve"> are at different levels in their implementation of food waste prevention initiatives and therefore assuming that all could replicate results achieved by these two countries would be rather optimistic. Moreover, while the first reductions might be achieved with a lower effort, it might be more difficult and costly to achieve further improvements. Finally, we can observe that results achieved so far are the outcome of voluntary efforts taken by individual countries and that binding food waste reduction targets might be needed in order to achieve more significant results., Experience gained by front-runners, knowledge gained regarding the efficiency of food waste prevention initiatives and continued sharing of best practice through the EU Platform on Food Losses and Food Waste could accelerate such progress.</w:t>
      </w:r>
    </w:p>
    <w:p w14:paraId="09FDE77E" w14:textId="062E4FC7" w:rsidR="00E134E4" w:rsidRPr="005B4339" w:rsidRDefault="00D86691">
      <w:pPr>
        <w:spacing w:after="200" w:line="276" w:lineRule="auto"/>
        <w:jc w:val="left"/>
        <w:rPr>
          <w:rFonts w:eastAsia="Calibri"/>
          <w:noProof/>
          <w:lang w:val="en-IE"/>
        </w:rPr>
      </w:pPr>
      <w:r w:rsidRPr="005B4339">
        <w:rPr>
          <w:noProof/>
          <w:lang w:val="en-IE"/>
        </w:rPr>
        <w:br w:type="page"/>
      </w:r>
    </w:p>
    <w:p w14:paraId="62EBB1EF" w14:textId="74C931BA" w:rsidR="007F7014" w:rsidRPr="005B4339" w:rsidRDefault="007F7014" w:rsidP="004A0ACC">
      <w:pPr>
        <w:pStyle w:val="AnnexTitle"/>
        <w:rPr>
          <w:noProof/>
          <w:lang w:val="en-IE"/>
        </w:rPr>
      </w:pPr>
      <w:bookmarkStart w:id="885" w:name="_Ref121761529"/>
      <w:bookmarkStart w:id="886" w:name="_Toc124777333"/>
      <w:bookmarkStart w:id="887" w:name="_Toc132761290"/>
      <w:bookmarkStart w:id="888" w:name="_Toc1190907032"/>
      <w:bookmarkStart w:id="889" w:name="_Toc2076728353"/>
      <w:bookmarkStart w:id="890" w:name="_Toc563697812"/>
      <w:bookmarkStart w:id="891" w:name="_Toc1327645642"/>
      <w:bookmarkStart w:id="892" w:name="_Toc601256935"/>
      <w:bookmarkStart w:id="893" w:name="_Toc1021981948"/>
      <w:bookmarkStart w:id="894" w:name="_Toc485758475"/>
      <w:bookmarkStart w:id="895" w:name="_Toc139032133"/>
      <w:bookmarkEnd w:id="285"/>
      <w:bookmarkEnd w:id="286"/>
      <w:bookmarkEnd w:id="287"/>
      <w:bookmarkEnd w:id="288"/>
      <w:bookmarkEnd w:id="289"/>
      <w:bookmarkEnd w:id="885"/>
      <w:r w:rsidRPr="005B4339">
        <w:rPr>
          <w:noProof/>
          <w:lang w:val="en-IE"/>
        </w:rPr>
        <w:t>Annex 1</w:t>
      </w:r>
      <w:r w:rsidR="00B33EC1" w:rsidRPr="005B4339">
        <w:rPr>
          <w:noProof/>
          <w:lang w:val="en-IE"/>
        </w:rPr>
        <w:t>2</w:t>
      </w:r>
      <w:r w:rsidRPr="005B4339">
        <w:rPr>
          <w:noProof/>
          <w:lang w:val="en-IE"/>
        </w:rPr>
        <w:t>: How do the option</w:t>
      </w:r>
      <w:r w:rsidR="00E0403C" w:rsidRPr="005B4339">
        <w:rPr>
          <w:noProof/>
          <w:lang w:val="en-IE"/>
        </w:rPr>
        <w:t>s compare</w:t>
      </w:r>
      <w:bookmarkEnd w:id="886"/>
      <w:bookmarkEnd w:id="887"/>
      <w:bookmarkEnd w:id="888"/>
      <w:bookmarkEnd w:id="889"/>
      <w:bookmarkEnd w:id="890"/>
      <w:bookmarkEnd w:id="891"/>
      <w:bookmarkEnd w:id="892"/>
      <w:bookmarkEnd w:id="893"/>
      <w:bookmarkEnd w:id="894"/>
      <w:bookmarkEnd w:id="895"/>
    </w:p>
    <w:p w14:paraId="7F362E51" w14:textId="497216A3" w:rsidR="007F7014" w:rsidRPr="005B4339" w:rsidRDefault="00371712" w:rsidP="007F7014">
      <w:pPr>
        <w:rPr>
          <w:noProof/>
          <w:lang w:val="en-IE"/>
        </w:rPr>
      </w:pPr>
      <w:r w:rsidRPr="005B4339">
        <w:rPr>
          <w:noProof/>
          <w:lang w:val="en-IE"/>
        </w:rPr>
        <w:t xml:space="preserve">The measures were assessed individually as detailed in Annex 11. </w:t>
      </w:r>
      <w:r w:rsidR="00663121" w:rsidRPr="005B4339">
        <w:rPr>
          <w:noProof/>
          <w:lang w:val="en-IE"/>
        </w:rPr>
        <w:t xml:space="preserve">This section sets out the overall </w:t>
      </w:r>
      <w:r w:rsidRPr="005B4339">
        <w:rPr>
          <w:noProof/>
          <w:lang w:val="en-IE"/>
        </w:rPr>
        <w:t xml:space="preserve">assessment of each option and then draws </w:t>
      </w:r>
      <w:r w:rsidR="00663121" w:rsidRPr="005B4339">
        <w:rPr>
          <w:noProof/>
          <w:lang w:val="en-IE"/>
        </w:rPr>
        <w:t>conclusion in terms of how the policy options compare</w:t>
      </w:r>
      <w:r w:rsidR="0099430A" w:rsidRPr="005B4339">
        <w:rPr>
          <w:noProof/>
          <w:lang w:val="en-IE"/>
        </w:rPr>
        <w:t xml:space="preserve"> </w:t>
      </w:r>
      <w:r w:rsidR="00663121" w:rsidRPr="005B4339">
        <w:rPr>
          <w:noProof/>
          <w:lang w:val="en-IE"/>
        </w:rPr>
        <w:t xml:space="preserve">based on the likely impacts of the measures they contained. </w:t>
      </w:r>
      <w:r w:rsidR="00495CDC" w:rsidRPr="005B4339">
        <w:rPr>
          <w:noProof/>
          <w:lang w:val="en-IE"/>
        </w:rPr>
        <w:t>This comparison is based on how the options contribute to the two main objectives</w:t>
      </w:r>
      <w:r w:rsidR="0099430A" w:rsidRPr="005B4339">
        <w:rPr>
          <w:noProof/>
          <w:lang w:val="en-IE"/>
        </w:rPr>
        <w:t xml:space="preserve"> </w:t>
      </w:r>
      <w:r w:rsidR="00495CDC" w:rsidRPr="005B4339">
        <w:rPr>
          <w:noProof/>
          <w:lang w:val="en-IE"/>
        </w:rPr>
        <w:t>on the balance of economic</w:t>
      </w:r>
      <w:r w:rsidR="004B3BB3" w:rsidRPr="005B4339">
        <w:rPr>
          <w:noProof/>
          <w:lang w:val="en-IE"/>
        </w:rPr>
        <w:t>,</w:t>
      </w:r>
      <w:r w:rsidR="00495CDC" w:rsidRPr="005B4339">
        <w:rPr>
          <w:noProof/>
          <w:lang w:val="en-IE"/>
        </w:rPr>
        <w:t xml:space="preserve"> environmental and social impacts and on the total costs and benefits where these could be calculated.</w:t>
      </w:r>
      <w:r w:rsidR="00016BB8" w:rsidRPr="005B4339">
        <w:rPr>
          <w:noProof/>
          <w:lang w:val="en-IE"/>
        </w:rPr>
        <w:t xml:space="preserve"> </w:t>
      </w:r>
      <w:r w:rsidR="00663121" w:rsidRPr="005B4339">
        <w:rPr>
          <w:noProof/>
          <w:lang w:val="en-IE"/>
        </w:rPr>
        <w:t>The ‘One-in One-Out’ considerations are also explained.</w:t>
      </w:r>
      <w:r w:rsidR="00F426AA" w:rsidRPr="005B4339">
        <w:rPr>
          <w:noProof/>
          <w:lang w:val="en-IE"/>
        </w:rPr>
        <w:t xml:space="preserve"> </w:t>
      </w:r>
    </w:p>
    <w:p w14:paraId="7C2F6C07" w14:textId="582B4FB3" w:rsidR="00E57A77" w:rsidRPr="005B4339" w:rsidRDefault="009967AE" w:rsidP="009967AE">
      <w:pPr>
        <w:pStyle w:val="Heading2"/>
        <w:rPr>
          <w:noProof/>
          <w:lang w:val="en-IE"/>
        </w:rPr>
      </w:pPr>
      <w:bookmarkStart w:id="896" w:name="_Toc124777334"/>
      <w:bookmarkStart w:id="897" w:name="_Toc1576140789"/>
      <w:bookmarkStart w:id="898" w:name="_Toc1044341622"/>
      <w:bookmarkStart w:id="899" w:name="_Toc2092969257"/>
      <w:bookmarkStart w:id="900" w:name="_Toc848818796"/>
      <w:bookmarkStart w:id="901" w:name="_Toc1551930706"/>
      <w:bookmarkStart w:id="902" w:name="_Toc1618482544"/>
      <w:bookmarkStart w:id="903" w:name="_Toc1029403435"/>
      <w:bookmarkStart w:id="904" w:name="_Toc139032134"/>
      <w:r w:rsidRPr="009967AE">
        <w:t>1-</w:t>
      </w:r>
      <w:r w:rsidRPr="009967AE">
        <w:tab/>
      </w:r>
      <w:r w:rsidR="00E57A77" w:rsidRPr="005B4339">
        <w:rPr>
          <w:noProof/>
          <w:lang w:val="en-IE"/>
        </w:rPr>
        <w:t>Textiles</w:t>
      </w:r>
      <w:bookmarkEnd w:id="896"/>
      <w:bookmarkEnd w:id="897"/>
      <w:bookmarkEnd w:id="898"/>
      <w:bookmarkEnd w:id="899"/>
      <w:bookmarkEnd w:id="900"/>
      <w:bookmarkEnd w:id="901"/>
      <w:bookmarkEnd w:id="902"/>
      <w:bookmarkEnd w:id="903"/>
      <w:bookmarkEnd w:id="904"/>
      <w:r w:rsidR="00E57A77" w:rsidRPr="005B4339">
        <w:rPr>
          <w:noProof/>
          <w:lang w:val="en-IE"/>
        </w:rPr>
        <w:t xml:space="preserve"> </w:t>
      </w:r>
    </w:p>
    <w:p w14:paraId="27FB018A" w14:textId="35DBCFA2" w:rsidR="005339CF" w:rsidRPr="005B4339" w:rsidRDefault="005339CF" w:rsidP="001C06B7">
      <w:pPr>
        <w:spacing w:after="120"/>
        <w:rPr>
          <w:noProof/>
          <w:lang w:val="en-IE"/>
        </w:rPr>
      </w:pPr>
      <w:r w:rsidRPr="005B4339">
        <w:rPr>
          <w:noProof/>
          <w:lang w:val="en-IE"/>
        </w:rPr>
        <w:t>By way of reminder</w:t>
      </w:r>
      <w:r w:rsidR="0099430A" w:rsidRPr="005B4339">
        <w:rPr>
          <w:noProof/>
          <w:lang w:val="en-IE"/>
        </w:rPr>
        <w:t xml:space="preserve"> </w:t>
      </w:r>
      <w:r w:rsidRPr="005B4339">
        <w:rPr>
          <w:noProof/>
          <w:lang w:val="en-IE"/>
        </w:rPr>
        <w:t>the</w:t>
      </w:r>
      <w:r w:rsidR="007D069E" w:rsidRPr="005B4339">
        <w:rPr>
          <w:noProof/>
          <w:lang w:val="en-IE"/>
        </w:rPr>
        <w:t xml:space="preserve"> objectives for the </w:t>
      </w:r>
      <w:r w:rsidRPr="005B4339">
        <w:rPr>
          <w:noProof/>
          <w:lang w:val="en-IE"/>
        </w:rPr>
        <w:t xml:space="preserve">proposed </w:t>
      </w:r>
      <w:r w:rsidR="007D069E" w:rsidRPr="005B4339">
        <w:rPr>
          <w:noProof/>
          <w:lang w:val="en-IE"/>
        </w:rPr>
        <w:t xml:space="preserve">textiles </w:t>
      </w:r>
      <w:r w:rsidRPr="005B4339">
        <w:rPr>
          <w:noProof/>
          <w:lang w:val="en-IE"/>
        </w:rPr>
        <w:t>intervention are to</w:t>
      </w:r>
      <w:r w:rsidR="001C06B7" w:rsidRPr="005B4339">
        <w:rPr>
          <w:noProof/>
          <w:lang w:val="en-IE"/>
        </w:rPr>
        <w:t>:</w:t>
      </w:r>
    </w:p>
    <w:p w14:paraId="5DFC9286" w14:textId="16A9C697" w:rsidR="005339CF" w:rsidRPr="005B4339" w:rsidRDefault="007D069E" w:rsidP="00CF0DFB">
      <w:pPr>
        <w:pStyle w:val="ListParagraph"/>
        <w:numPr>
          <w:ilvl w:val="0"/>
          <w:numId w:val="59"/>
        </w:numPr>
        <w:spacing w:after="0"/>
        <w:rPr>
          <w:noProof/>
          <w:lang w:val="en-IE"/>
        </w:rPr>
      </w:pPr>
      <w:r w:rsidRPr="005B4339">
        <w:rPr>
          <w:noProof/>
          <w:lang w:val="en-IE"/>
        </w:rPr>
        <w:t>reduce textile waste generation</w:t>
      </w:r>
      <w:r w:rsidR="0099430A" w:rsidRPr="005B4339">
        <w:rPr>
          <w:noProof/>
          <w:lang w:val="en-IE"/>
        </w:rPr>
        <w:t xml:space="preserve"> </w:t>
      </w:r>
    </w:p>
    <w:p w14:paraId="216E53DD" w14:textId="77777777" w:rsidR="005339CF" w:rsidRPr="005B4339" w:rsidRDefault="007D069E" w:rsidP="00CF0DFB">
      <w:pPr>
        <w:pStyle w:val="ListParagraph"/>
        <w:numPr>
          <w:ilvl w:val="0"/>
          <w:numId w:val="59"/>
        </w:numPr>
        <w:rPr>
          <w:noProof/>
          <w:lang w:val="en-IE"/>
        </w:rPr>
      </w:pPr>
      <w:r w:rsidRPr="005B4339">
        <w:rPr>
          <w:noProof/>
          <w:lang w:val="en-IE"/>
        </w:rPr>
        <w:t>to make sure that the textile waste that is generated is treated as high up the waste hierarchy as possible</w:t>
      </w:r>
    </w:p>
    <w:p w14:paraId="7263B955" w14:textId="77777777" w:rsidR="00E92A0E" w:rsidRPr="005B4339" w:rsidRDefault="00336878"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b/>
          <w:noProof/>
          <w:sz w:val="24"/>
          <w:szCs w:val="24"/>
          <w:lang w:val="en-IE"/>
        </w:rPr>
        <w:t>Option 1 measures</w:t>
      </w:r>
      <w:r w:rsidRPr="005B4339">
        <w:rPr>
          <w:rFonts w:ascii="Times New Roman" w:hAnsi="Times New Roman" w:cs="Times New Roman"/>
          <w:noProof/>
          <w:sz w:val="24"/>
          <w:szCs w:val="24"/>
          <w:lang w:val="en-IE"/>
        </w:rPr>
        <w:t xml:space="preserve"> would</w:t>
      </w:r>
      <w:r w:rsidR="00972481" w:rsidRPr="005B4339">
        <w:rPr>
          <w:rFonts w:ascii="Times New Roman" w:hAnsi="Times New Roman" w:cs="Times New Roman"/>
          <w:noProof/>
          <w:sz w:val="24"/>
          <w:szCs w:val="24"/>
          <w:lang w:val="en-IE"/>
        </w:rPr>
        <w:t xml:space="preserve"> contribute to</w:t>
      </w:r>
      <w:r w:rsidRPr="005B4339">
        <w:rPr>
          <w:rFonts w:ascii="Times New Roman" w:hAnsi="Times New Roman" w:cs="Times New Roman"/>
          <w:noProof/>
          <w:sz w:val="24"/>
          <w:szCs w:val="24"/>
          <w:lang w:val="en-IE"/>
        </w:rPr>
        <w:t xml:space="preserve"> </w:t>
      </w:r>
      <w:r w:rsidR="00972481" w:rsidRPr="005B4339">
        <w:rPr>
          <w:rFonts w:ascii="Times New Roman" w:hAnsi="Times New Roman" w:cs="Times New Roman"/>
          <w:noProof/>
          <w:sz w:val="24"/>
          <w:szCs w:val="24"/>
          <w:lang w:val="en-IE"/>
        </w:rPr>
        <w:t>both intended</w:t>
      </w:r>
      <w:r w:rsidRPr="005B4339">
        <w:rPr>
          <w:rFonts w:ascii="Times New Roman" w:hAnsi="Times New Roman" w:cs="Times New Roman"/>
          <w:noProof/>
          <w:sz w:val="24"/>
          <w:szCs w:val="24"/>
          <w:lang w:val="en-IE"/>
        </w:rPr>
        <w:t xml:space="preserve"> objectives. </w:t>
      </w:r>
    </w:p>
    <w:p w14:paraId="6686645E" w14:textId="7C5BFD73" w:rsidR="00E92A0E" w:rsidRPr="005B4339" w:rsidRDefault="00E92A0E"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Clarifying definitions (measure 1.1) is necessary to ensure the consistency with which Member States would comply with the separate collection obligation coming into force in 2025 and to facilitate movements of waste to enhance </w:t>
      </w:r>
      <w:r w:rsidR="00D96247" w:rsidRPr="005B4339">
        <w:rPr>
          <w:rFonts w:ascii="Times New Roman" w:hAnsi="Times New Roman" w:cs="Times New Roman"/>
          <w:noProof/>
          <w:sz w:val="24"/>
          <w:szCs w:val="24"/>
          <w:lang w:val="en-IE"/>
        </w:rPr>
        <w:t>reuse</w:t>
      </w:r>
      <w:r w:rsidRPr="005B4339">
        <w:rPr>
          <w:rFonts w:ascii="Times New Roman" w:hAnsi="Times New Roman" w:cs="Times New Roman"/>
          <w:noProof/>
          <w:sz w:val="24"/>
          <w:szCs w:val="24"/>
          <w:lang w:val="en-IE"/>
        </w:rPr>
        <w:t xml:space="preserve"> and recycling markets. </w:t>
      </w:r>
      <w:r w:rsidR="00A2739C" w:rsidRPr="005B4339">
        <w:rPr>
          <w:rFonts w:ascii="Times New Roman" w:hAnsi="Times New Roman" w:cs="Times New Roman"/>
          <w:noProof/>
          <w:sz w:val="24"/>
          <w:szCs w:val="24"/>
          <w:lang w:val="en-IE"/>
        </w:rPr>
        <w:t>As described in Annex 11</w:t>
      </w:r>
      <w:r w:rsidR="0099430A" w:rsidRPr="005B4339">
        <w:rPr>
          <w:rFonts w:ascii="Times New Roman" w:hAnsi="Times New Roman" w:cs="Times New Roman"/>
          <w:noProof/>
          <w:sz w:val="24"/>
          <w:szCs w:val="24"/>
          <w:lang w:val="en-IE"/>
        </w:rPr>
        <w:t xml:space="preserve"> </w:t>
      </w:r>
      <w:r w:rsidR="00A2739C" w:rsidRPr="005B4339">
        <w:rPr>
          <w:rFonts w:ascii="Times New Roman" w:hAnsi="Times New Roman" w:cs="Times New Roman"/>
          <w:noProof/>
          <w:sz w:val="24"/>
          <w:szCs w:val="24"/>
          <w:lang w:val="en-IE"/>
        </w:rPr>
        <w:t xml:space="preserve"> a</w:t>
      </w:r>
      <w:r w:rsidRPr="005B4339">
        <w:rPr>
          <w:rFonts w:ascii="Times New Roman" w:hAnsi="Times New Roman" w:cs="Times New Roman"/>
          <w:noProof/>
          <w:sz w:val="24"/>
          <w:szCs w:val="24"/>
          <w:lang w:val="en-IE"/>
        </w:rPr>
        <w:t xml:space="preserve">lternative </w:t>
      </w:r>
      <w:r w:rsidR="00A2739C" w:rsidRPr="005B4339">
        <w:rPr>
          <w:rFonts w:ascii="Times New Roman" w:hAnsi="Times New Roman" w:cs="Times New Roman"/>
          <w:noProof/>
          <w:sz w:val="24"/>
          <w:szCs w:val="24"/>
          <w:lang w:val="en-IE"/>
        </w:rPr>
        <w:t xml:space="preserve">3 </w:t>
      </w:r>
      <w:r w:rsidR="006615F4" w:rsidRPr="005B4339">
        <w:rPr>
          <w:rFonts w:ascii="Times New Roman" w:hAnsi="Times New Roman" w:cs="Times New Roman"/>
          <w:noProof/>
          <w:sz w:val="24"/>
          <w:szCs w:val="24"/>
          <w:lang w:val="en-IE"/>
        </w:rPr>
        <w:t>that takes a definition in keeping with the textile labelling Regulation</w:t>
      </w:r>
      <w:r w:rsidR="00BC4098" w:rsidRPr="005B4339">
        <w:rPr>
          <w:rFonts w:ascii="Times New Roman" w:hAnsi="Times New Roman" w:cs="Times New Roman"/>
          <w:noProof/>
          <w:sz w:val="24"/>
          <w:szCs w:val="24"/>
          <w:lang w:val="en-IE"/>
        </w:rPr>
        <w:t xml:space="preserve"> as a broad family of items that may be considered as textiles</w:t>
      </w:r>
      <w:r w:rsidR="0099430A" w:rsidRPr="005B4339">
        <w:rPr>
          <w:rFonts w:ascii="Times New Roman" w:hAnsi="Times New Roman" w:cs="Times New Roman"/>
          <w:noProof/>
          <w:sz w:val="24"/>
          <w:szCs w:val="24"/>
          <w:lang w:val="en-IE"/>
        </w:rPr>
        <w:t xml:space="preserve"> </w:t>
      </w:r>
      <w:r w:rsidR="00BC4098" w:rsidRPr="005B4339">
        <w:rPr>
          <w:rFonts w:ascii="Times New Roman" w:hAnsi="Times New Roman" w:cs="Times New Roman"/>
          <w:noProof/>
          <w:sz w:val="24"/>
          <w:szCs w:val="24"/>
          <w:lang w:val="en-IE"/>
        </w:rPr>
        <w:t xml:space="preserve"> but then specifically targets measures at a more defined list of textiles using the coding applicable under the Combined Nomenclature listing</w:t>
      </w:r>
      <w:r w:rsidR="00280479" w:rsidRPr="005B4339">
        <w:rPr>
          <w:rFonts w:ascii="Times New Roman" w:hAnsi="Times New Roman" w:cs="Times New Roman"/>
          <w:noProof/>
          <w:sz w:val="24"/>
          <w:szCs w:val="24"/>
          <w:lang w:val="en-IE"/>
        </w:rPr>
        <w:t xml:space="preserve"> </w:t>
      </w:r>
      <w:r w:rsidR="00A2739C" w:rsidRPr="005B4339">
        <w:rPr>
          <w:rFonts w:ascii="Times New Roman" w:hAnsi="Times New Roman" w:cs="Times New Roman"/>
          <w:noProof/>
          <w:sz w:val="24"/>
          <w:szCs w:val="24"/>
          <w:lang w:val="en-IE"/>
        </w:rPr>
        <w:t>is considered the best alternative to define ‘textiles’</w:t>
      </w:r>
      <w:r w:rsidR="00280479" w:rsidRPr="005B4339">
        <w:rPr>
          <w:rFonts w:ascii="Times New Roman" w:hAnsi="Times New Roman" w:cs="Times New Roman"/>
          <w:noProof/>
          <w:sz w:val="24"/>
          <w:szCs w:val="24"/>
          <w:lang w:val="en-IE"/>
        </w:rPr>
        <w:t xml:space="preserve"> and alternative 1 of defining all separately collected textiles as waste is considered the most appropriate to clarify waste versus non-waste textiles. </w:t>
      </w:r>
    </w:p>
    <w:p w14:paraId="26702599" w14:textId="5AEF8AF0" w:rsidR="00336878" w:rsidRPr="005B4339" w:rsidRDefault="001547D8" w:rsidP="00D10F63">
      <w:pPr>
        <w:pStyle w:val="WDBody"/>
        <w:spacing w:after="120"/>
        <w:jc w:val="both"/>
        <w:rPr>
          <w:rFonts w:ascii="Times New Roman" w:hAnsi="Times New Roman" w:cs="Times New Roman"/>
          <w:b/>
          <w:noProof/>
          <w:sz w:val="24"/>
          <w:szCs w:val="24"/>
          <w:lang w:val="en-IE"/>
        </w:rPr>
      </w:pPr>
      <w:r w:rsidRPr="005B4339">
        <w:rPr>
          <w:rFonts w:ascii="Times New Roman" w:hAnsi="Times New Roman" w:cs="Times New Roman"/>
          <w:noProof/>
          <w:sz w:val="24"/>
          <w:szCs w:val="24"/>
          <w:lang w:val="en-IE"/>
        </w:rPr>
        <w:t>For</w:t>
      </w:r>
      <w:r w:rsidR="00336878" w:rsidRPr="005B4339">
        <w:rPr>
          <w:rFonts w:ascii="Times New Roman" w:hAnsi="Times New Roman" w:cs="Times New Roman"/>
          <w:noProof/>
          <w:sz w:val="24"/>
          <w:szCs w:val="24"/>
          <w:lang w:val="en-IE"/>
        </w:rPr>
        <w:t xml:space="preserve"> all </w:t>
      </w:r>
      <w:r w:rsidRPr="005B4339">
        <w:rPr>
          <w:rFonts w:ascii="Times New Roman" w:hAnsi="Times New Roman" w:cs="Times New Roman"/>
          <w:noProof/>
          <w:sz w:val="24"/>
          <w:szCs w:val="24"/>
          <w:lang w:val="en-IE"/>
        </w:rPr>
        <w:t xml:space="preserve">measures under Option 1 </w:t>
      </w:r>
      <w:r w:rsidR="00336878" w:rsidRPr="005B4339">
        <w:rPr>
          <w:rFonts w:ascii="Times New Roman" w:hAnsi="Times New Roman" w:cs="Times New Roman"/>
          <w:noProof/>
          <w:sz w:val="24"/>
          <w:szCs w:val="24"/>
          <w:lang w:val="en-IE"/>
        </w:rPr>
        <w:t>the economic</w:t>
      </w:r>
      <w:r w:rsidR="211EC6D6" w:rsidRPr="005B4339">
        <w:rPr>
          <w:rFonts w:ascii="Times New Roman" w:hAnsi="Times New Roman" w:cs="Times New Roman"/>
          <w:noProof/>
          <w:sz w:val="24"/>
          <w:szCs w:val="24"/>
          <w:lang w:val="en-IE"/>
        </w:rPr>
        <w:t>,</w:t>
      </w:r>
      <w:r w:rsidR="00336878" w:rsidRPr="005B4339">
        <w:rPr>
          <w:rFonts w:ascii="Times New Roman" w:hAnsi="Times New Roman" w:cs="Times New Roman"/>
          <w:noProof/>
          <w:sz w:val="24"/>
          <w:szCs w:val="24"/>
          <w:lang w:val="en-IE"/>
        </w:rPr>
        <w:t xml:space="preserve"> social and environmental impacts would generally be positive. However</w:t>
      </w:r>
      <w:r w:rsidR="23847599" w:rsidRPr="005B4339">
        <w:rPr>
          <w:rFonts w:ascii="Times New Roman" w:hAnsi="Times New Roman" w:cs="Times New Roman"/>
          <w:noProof/>
          <w:sz w:val="24"/>
          <w:szCs w:val="24"/>
          <w:lang w:val="en-IE"/>
        </w:rPr>
        <w:t>,</w:t>
      </w:r>
      <w:r w:rsidR="00336878" w:rsidRPr="005B4339">
        <w:rPr>
          <w:rFonts w:ascii="Times New Roman" w:hAnsi="Times New Roman" w:cs="Times New Roman"/>
          <w:noProof/>
          <w:sz w:val="24"/>
          <w:szCs w:val="24"/>
          <w:lang w:val="en-IE"/>
        </w:rPr>
        <w:t xml:space="preserve"> </w:t>
      </w:r>
      <w:r w:rsidR="00280479" w:rsidRPr="005B4339">
        <w:rPr>
          <w:rFonts w:ascii="Times New Roman" w:hAnsi="Times New Roman" w:cs="Times New Roman"/>
          <w:noProof/>
          <w:sz w:val="24"/>
          <w:szCs w:val="24"/>
          <w:lang w:val="en-IE"/>
        </w:rPr>
        <w:t>all</w:t>
      </w:r>
      <w:r w:rsidR="00336878" w:rsidRPr="005B4339">
        <w:rPr>
          <w:rFonts w:ascii="Times New Roman" w:hAnsi="Times New Roman" w:cs="Times New Roman"/>
          <w:noProof/>
          <w:sz w:val="24"/>
          <w:szCs w:val="24"/>
          <w:lang w:val="en-IE"/>
        </w:rPr>
        <w:t xml:space="preserve"> measures under Option 1 </w:t>
      </w:r>
      <w:r w:rsidR="00280479" w:rsidRPr="005B4339">
        <w:rPr>
          <w:rFonts w:ascii="Times New Roman" w:hAnsi="Times New Roman" w:cs="Times New Roman"/>
          <w:noProof/>
          <w:sz w:val="24"/>
          <w:szCs w:val="24"/>
          <w:lang w:val="en-IE"/>
        </w:rPr>
        <w:t xml:space="preserve">except for clarifying definitions (measure 1.1) </w:t>
      </w:r>
      <w:r w:rsidR="00336878" w:rsidRPr="005B4339">
        <w:rPr>
          <w:rFonts w:ascii="Times New Roman" w:hAnsi="Times New Roman" w:cs="Times New Roman"/>
          <w:noProof/>
          <w:sz w:val="24"/>
          <w:szCs w:val="24"/>
          <w:lang w:val="en-IE"/>
        </w:rPr>
        <w:t xml:space="preserve">are likely to </w:t>
      </w:r>
      <w:r w:rsidR="00491302" w:rsidRPr="005B4339">
        <w:rPr>
          <w:rFonts w:ascii="Times New Roman" w:hAnsi="Times New Roman" w:cs="Times New Roman"/>
          <w:noProof/>
          <w:sz w:val="24"/>
          <w:szCs w:val="24"/>
          <w:lang w:val="en-IE"/>
        </w:rPr>
        <w:t xml:space="preserve">address the objectives to a </w:t>
      </w:r>
      <w:r w:rsidR="00336878" w:rsidRPr="005B4339">
        <w:rPr>
          <w:rFonts w:ascii="Times New Roman" w:hAnsi="Times New Roman" w:cs="Times New Roman"/>
          <w:noProof/>
          <w:sz w:val="24"/>
          <w:szCs w:val="24"/>
          <w:lang w:val="en-IE"/>
        </w:rPr>
        <w:t>limited extent.</w:t>
      </w:r>
      <w:r w:rsidR="00626EB3" w:rsidRPr="005B4339">
        <w:rPr>
          <w:rFonts w:ascii="Times New Roman" w:hAnsi="Times New Roman" w:cs="Times New Roman"/>
          <w:noProof/>
          <w:sz w:val="24"/>
          <w:szCs w:val="24"/>
          <w:lang w:val="en-IE"/>
        </w:rPr>
        <w:t xml:space="preserve"> Option 1 is also coherent with existing and planned EU policy initiatives.</w:t>
      </w:r>
    </w:p>
    <w:p w14:paraId="2FF69871" w14:textId="006AB947" w:rsidR="00954494" w:rsidRPr="005B4339" w:rsidRDefault="00954494" w:rsidP="00954494">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costs of measures under Option 1 are generally limited to administrative costs</w:t>
      </w:r>
      <w:r w:rsidR="38D7BA24"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including the administrative costs of developing guidance estimated as 135 000 euro per piece as well as staff </w:t>
      </w:r>
      <w:r w:rsidR="00FC6CC8" w:rsidRPr="005B4339">
        <w:rPr>
          <w:rFonts w:ascii="Times New Roman" w:hAnsi="Times New Roman" w:cs="Times New Roman"/>
          <w:noProof/>
          <w:sz w:val="24"/>
          <w:szCs w:val="24"/>
          <w:lang w:val="en-IE"/>
        </w:rPr>
        <w:t>resourcing from</w:t>
      </w:r>
      <w:r w:rsidR="00FD3FFC"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the European Commission. However</w:t>
      </w:r>
      <w:r w:rsidR="45C3883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Measure 1.1 is likely to result in a reduction of administrative burden for Member States, producers and the waste management sector due to the common terminology for textiles and textile wastes in the context of the WFD across the entire EU. It is difficult to ascertain the full reduction in administrative burden that would take place but an estimation of 250 000 euro per year has been included based on the estimated amount of time currently spent in relation to collection of data and reporting on an unspecified list of textiles at present. Additionally</w:t>
      </w:r>
      <w:r w:rsidR="47112D9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were waste status for separately collected textiles to only apply after sorting the administrative costs of obtaining and maintaining the relevant waste management authorisations for collectors would be lowered by approximately 200 euro per year per entity based on the average EU permitting costs. Beyond this</w:t>
      </w:r>
      <w:r w:rsidR="50AF9704"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benefits arise from increased support to Member States and stakeholders involved in textiles waste management via guidance dialogue and the sharing of best practice as well as harmonising end-of-waste provisions at the Member State level by adopting an EU-wide set of criteria that can be applied. This should</w:t>
      </w:r>
      <w:r w:rsidR="7E862814"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in turn</w:t>
      </w:r>
      <w:r w:rsidR="3672F2EE"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provide an incentive to invest in and improve textile waste management infrastructure across the EU and mitigate some of the negative impacts of the way in which textile waste is managed at present.</w:t>
      </w:r>
    </w:p>
    <w:p w14:paraId="04D17F51" w14:textId="4F9AD45D" w:rsidR="002F0307" w:rsidRPr="005B4339" w:rsidRDefault="00336878" w:rsidP="00D10F63">
      <w:pPr>
        <w:pStyle w:val="WDBody"/>
        <w:spacing w:after="120"/>
        <w:jc w:val="both"/>
        <w:rPr>
          <w:noProof/>
          <w:sz w:val="24"/>
          <w:szCs w:val="24"/>
          <w:lang w:val="en-IE" w:eastAsia="en-IE"/>
        </w:rPr>
      </w:pPr>
      <w:r w:rsidRPr="005B4339">
        <w:rPr>
          <w:rFonts w:ascii="Times New Roman" w:hAnsi="Times New Roman" w:cs="Times New Roman"/>
          <w:b/>
          <w:noProof/>
          <w:sz w:val="24"/>
          <w:szCs w:val="24"/>
          <w:lang w:val="en-IE"/>
        </w:rPr>
        <w:t xml:space="preserve">Option 2 measures </w:t>
      </w:r>
      <w:r w:rsidRPr="005B4339">
        <w:rPr>
          <w:rFonts w:ascii="Times New Roman" w:hAnsi="Times New Roman" w:cs="Times New Roman"/>
          <w:noProof/>
          <w:sz w:val="24"/>
          <w:szCs w:val="24"/>
          <w:lang w:val="en-IE"/>
        </w:rPr>
        <w:t>would be</w:t>
      </w:r>
      <w:r w:rsidRPr="005B4339">
        <w:rPr>
          <w:rFonts w:ascii="Times New Roman" w:hAnsi="Times New Roman" w:cs="Times New Roman"/>
          <w:b/>
          <w:noProof/>
          <w:sz w:val="24"/>
          <w:szCs w:val="24"/>
          <w:lang w:val="en-IE"/>
        </w:rPr>
        <w:t xml:space="preserve"> </w:t>
      </w:r>
      <w:r w:rsidRPr="005B4339">
        <w:rPr>
          <w:rFonts w:ascii="Times New Roman" w:hAnsi="Times New Roman" w:cs="Times New Roman"/>
          <w:noProof/>
          <w:sz w:val="24"/>
          <w:szCs w:val="24"/>
          <w:lang w:val="en-IE"/>
        </w:rPr>
        <w:t xml:space="preserve">more effective that Option 1 measures in </w:t>
      </w:r>
      <w:r w:rsidR="006E681A" w:rsidRPr="005B4339">
        <w:rPr>
          <w:rFonts w:ascii="Times New Roman" w:hAnsi="Times New Roman" w:cs="Times New Roman"/>
          <w:noProof/>
          <w:sz w:val="24"/>
          <w:szCs w:val="24"/>
          <w:lang w:val="en-IE"/>
        </w:rPr>
        <w:t>achieving both intended objectives</w:t>
      </w:r>
      <w:r w:rsidRPr="005B4339">
        <w:rPr>
          <w:rFonts w:ascii="Times New Roman" w:hAnsi="Times New Roman" w:cs="Times New Roman"/>
          <w:noProof/>
          <w:sz w:val="24"/>
          <w:szCs w:val="24"/>
          <w:lang w:val="en-IE"/>
        </w:rPr>
        <w:t>. Option 2 measures carry higher economic costs than Option 1</w:t>
      </w:r>
      <w:r w:rsidR="6007952B"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t>
      </w:r>
      <w:r w:rsidR="006E681A" w:rsidRPr="005B4339">
        <w:rPr>
          <w:rFonts w:ascii="Times New Roman" w:hAnsi="Times New Roman" w:cs="Times New Roman"/>
          <w:noProof/>
          <w:sz w:val="24"/>
          <w:szCs w:val="24"/>
          <w:lang w:val="en-IE"/>
        </w:rPr>
        <w:t xml:space="preserve">while they </w:t>
      </w:r>
      <w:r w:rsidR="00D0101B" w:rsidRPr="005B4339">
        <w:rPr>
          <w:rFonts w:ascii="Times New Roman" w:hAnsi="Times New Roman" w:cs="Times New Roman"/>
          <w:noProof/>
          <w:sz w:val="24"/>
          <w:szCs w:val="24"/>
          <w:lang w:val="en-IE"/>
        </w:rPr>
        <w:t xml:space="preserve">generate </w:t>
      </w:r>
      <w:r w:rsidRPr="005B4339">
        <w:rPr>
          <w:rFonts w:ascii="Times New Roman" w:hAnsi="Times New Roman" w:cs="Times New Roman"/>
          <w:noProof/>
          <w:sz w:val="24"/>
          <w:szCs w:val="24"/>
          <w:lang w:val="en-IE"/>
        </w:rPr>
        <w:t>far higher economic</w:t>
      </w:r>
      <w:r w:rsidR="02E006CB"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social and environmental benefits. </w:t>
      </w:r>
      <w:r w:rsidR="5CC50550" w:rsidRPr="005B4339">
        <w:rPr>
          <w:rFonts w:ascii="Times New Roman" w:hAnsi="Times New Roman" w:cs="Times New Roman"/>
          <w:noProof/>
          <w:sz w:val="24"/>
          <w:szCs w:val="24"/>
          <w:lang w:val="en-IE"/>
        </w:rPr>
        <w:t>Measure 2.</w:t>
      </w:r>
      <w:r w:rsidR="00B554A2" w:rsidRPr="005B4339">
        <w:rPr>
          <w:rFonts w:ascii="Times New Roman" w:hAnsi="Times New Roman" w:cs="Times New Roman"/>
          <w:noProof/>
          <w:sz w:val="24"/>
          <w:szCs w:val="24"/>
          <w:lang w:val="en-IE"/>
        </w:rPr>
        <w:t>9</w:t>
      </w:r>
      <w:r w:rsidR="5CC50550" w:rsidRPr="005B4339">
        <w:rPr>
          <w:rFonts w:ascii="Times New Roman" w:hAnsi="Times New Roman" w:cs="Times New Roman"/>
          <w:noProof/>
          <w:sz w:val="24"/>
          <w:szCs w:val="24"/>
          <w:lang w:val="en-IE"/>
        </w:rPr>
        <w:t xml:space="preserve"> specifically ensures coherence with the EU Strategy for Sustainable and Circular Textiles</w:t>
      </w:r>
      <w:r w:rsidR="00067F6E" w:rsidRPr="005B4339">
        <w:rPr>
          <w:rFonts w:ascii="Times New Roman" w:hAnsi="Times New Roman" w:cs="Times New Roman"/>
          <w:noProof/>
          <w:sz w:val="24"/>
          <w:szCs w:val="24"/>
          <w:vertAlign w:val="superscript"/>
          <w:lang w:val="en-IE"/>
        </w:rPr>
        <w:footnoteReference w:id="161"/>
      </w:r>
      <w:r w:rsidR="5CC50550" w:rsidRPr="005B4339">
        <w:rPr>
          <w:rFonts w:ascii="Times New Roman" w:hAnsi="Times New Roman" w:cs="Times New Roman"/>
          <w:noProof/>
          <w:sz w:val="24"/>
          <w:szCs w:val="24"/>
          <w:lang w:val="en-IE"/>
        </w:rPr>
        <w:t xml:space="preserve"> that called for the introduction of harmonised measures for Extended Producer Responsibility for textiles.</w:t>
      </w:r>
      <w:r w:rsidR="5CC50550" w:rsidRPr="005B4339">
        <w:rPr>
          <w:noProof/>
          <w:lang w:val="en-IE" w:eastAsia="en-IE"/>
        </w:rPr>
        <w:t xml:space="preserve"> </w:t>
      </w:r>
    </w:p>
    <w:p w14:paraId="11C37F53" w14:textId="33A25B32" w:rsidR="002F0307" w:rsidRPr="005B4339" w:rsidRDefault="00E571FB"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Measure 2.</w:t>
      </w:r>
      <w:r w:rsidR="4C0DDB5E" w:rsidRPr="005B4339">
        <w:rPr>
          <w:rFonts w:ascii="Times New Roman" w:hAnsi="Times New Roman" w:cs="Times New Roman"/>
          <w:noProof/>
          <w:sz w:val="24"/>
          <w:szCs w:val="24"/>
          <w:lang w:val="en-IE"/>
        </w:rPr>
        <w:t>5</w:t>
      </w:r>
      <w:r w:rsidRPr="005B4339">
        <w:rPr>
          <w:rFonts w:ascii="Times New Roman" w:hAnsi="Times New Roman" w:cs="Times New Roman"/>
          <w:noProof/>
          <w:sz w:val="24"/>
          <w:szCs w:val="24"/>
          <w:lang w:val="en-IE"/>
        </w:rPr>
        <w:t xml:space="preserve"> would lead to additional costs for sorting</w:t>
      </w:r>
      <w:r w:rsidR="000D09EF" w:rsidRPr="005B4339">
        <w:rPr>
          <w:rFonts w:ascii="Times New Roman" w:hAnsi="Times New Roman" w:cs="Times New Roman"/>
          <w:noProof/>
          <w:sz w:val="24"/>
          <w:szCs w:val="24"/>
          <w:lang w:val="en-IE"/>
        </w:rPr>
        <w:t xml:space="preserve"> and subsequent treatment</w:t>
      </w:r>
      <w:r w:rsidRPr="005B4339">
        <w:rPr>
          <w:rFonts w:ascii="Times New Roman" w:hAnsi="Times New Roman" w:cs="Times New Roman"/>
          <w:noProof/>
          <w:sz w:val="24"/>
          <w:szCs w:val="24"/>
          <w:lang w:val="en-IE"/>
        </w:rPr>
        <w:t xml:space="preserve"> of approximately </w:t>
      </w:r>
      <w:r w:rsidR="007E1DAA" w:rsidRPr="005B4339">
        <w:rPr>
          <w:rFonts w:ascii="Times New Roman" w:hAnsi="Times New Roman" w:cs="Times New Roman"/>
          <w:noProof/>
          <w:sz w:val="24"/>
          <w:szCs w:val="24"/>
          <w:lang w:val="en-IE"/>
        </w:rPr>
        <w:t xml:space="preserve">913 </w:t>
      </w:r>
      <w:r w:rsidR="000D09EF" w:rsidRPr="005B4339">
        <w:rPr>
          <w:rFonts w:ascii="Times New Roman" w:hAnsi="Times New Roman" w:cs="Times New Roman"/>
          <w:noProof/>
          <w:sz w:val="24"/>
          <w:szCs w:val="24"/>
          <w:lang w:val="en-IE"/>
        </w:rPr>
        <w:t xml:space="preserve">million </w:t>
      </w:r>
      <w:r w:rsidR="00223CD3" w:rsidRPr="005B4339">
        <w:rPr>
          <w:rFonts w:ascii="Times New Roman" w:hAnsi="Times New Roman" w:cs="Times New Roman"/>
          <w:noProof/>
          <w:sz w:val="24"/>
          <w:szCs w:val="24"/>
          <w:lang w:val="en-IE"/>
        </w:rPr>
        <w:t xml:space="preserve">euro </w:t>
      </w:r>
      <w:r w:rsidR="000D09EF" w:rsidRPr="005B4339">
        <w:rPr>
          <w:rFonts w:ascii="Times New Roman" w:hAnsi="Times New Roman" w:cs="Times New Roman"/>
          <w:noProof/>
          <w:sz w:val="24"/>
          <w:szCs w:val="24"/>
          <w:lang w:val="en-IE"/>
        </w:rPr>
        <w:t xml:space="preserve">per </w:t>
      </w:r>
      <w:r w:rsidR="00223CD3" w:rsidRPr="005B4339">
        <w:rPr>
          <w:rFonts w:ascii="Times New Roman" w:hAnsi="Times New Roman" w:cs="Times New Roman"/>
          <w:noProof/>
          <w:sz w:val="24"/>
          <w:szCs w:val="24"/>
          <w:lang w:val="en-IE"/>
        </w:rPr>
        <w:t>year</w:t>
      </w:r>
      <w:r w:rsidR="2EAD2791" w:rsidRPr="005B4339">
        <w:rPr>
          <w:rFonts w:ascii="Times New Roman" w:hAnsi="Times New Roman" w:cs="Times New Roman"/>
          <w:noProof/>
          <w:sz w:val="24"/>
          <w:szCs w:val="24"/>
          <w:lang w:val="en-IE"/>
        </w:rPr>
        <w:t>,</w:t>
      </w:r>
      <w:r w:rsidR="000E2F73" w:rsidRPr="005B4339">
        <w:rPr>
          <w:rFonts w:ascii="Times New Roman" w:hAnsi="Times New Roman" w:cs="Times New Roman"/>
          <w:noProof/>
          <w:sz w:val="24"/>
          <w:szCs w:val="24"/>
          <w:lang w:val="en-IE"/>
        </w:rPr>
        <w:t xml:space="preserve"> whilst recovering value via textiles for reuse of </w:t>
      </w:r>
      <w:r w:rsidR="007E1DAA" w:rsidRPr="005B4339">
        <w:rPr>
          <w:rFonts w:ascii="Times New Roman" w:hAnsi="Times New Roman" w:cs="Times New Roman"/>
          <w:noProof/>
          <w:sz w:val="24"/>
          <w:szCs w:val="24"/>
          <w:lang w:val="en-IE"/>
        </w:rPr>
        <w:t xml:space="preserve">534 </w:t>
      </w:r>
      <w:r w:rsidR="000E2F73" w:rsidRPr="005B4339">
        <w:rPr>
          <w:rFonts w:ascii="Times New Roman" w:hAnsi="Times New Roman" w:cs="Times New Roman"/>
          <w:noProof/>
          <w:sz w:val="24"/>
          <w:szCs w:val="24"/>
          <w:lang w:val="en-IE"/>
        </w:rPr>
        <w:t xml:space="preserve">million </w:t>
      </w:r>
      <w:r w:rsidR="00223CD3" w:rsidRPr="005B4339">
        <w:rPr>
          <w:rFonts w:ascii="Times New Roman" w:hAnsi="Times New Roman" w:cs="Times New Roman"/>
          <w:noProof/>
          <w:sz w:val="24"/>
          <w:szCs w:val="24"/>
          <w:lang w:val="en-IE"/>
        </w:rPr>
        <w:t xml:space="preserve">euro </w:t>
      </w:r>
      <w:r w:rsidR="000E2F73" w:rsidRPr="005B4339">
        <w:rPr>
          <w:rFonts w:ascii="Times New Roman" w:hAnsi="Times New Roman" w:cs="Times New Roman"/>
          <w:noProof/>
          <w:sz w:val="24"/>
          <w:szCs w:val="24"/>
          <w:lang w:val="en-IE"/>
        </w:rPr>
        <w:t xml:space="preserve">per </w:t>
      </w:r>
      <w:r w:rsidR="00223CD3" w:rsidRPr="005B4339">
        <w:rPr>
          <w:rFonts w:ascii="Times New Roman" w:hAnsi="Times New Roman" w:cs="Times New Roman"/>
          <w:noProof/>
          <w:sz w:val="24"/>
          <w:szCs w:val="24"/>
          <w:lang w:val="en-IE"/>
        </w:rPr>
        <w:t xml:space="preserve">year </w:t>
      </w:r>
      <w:r w:rsidR="000E2F73" w:rsidRPr="005B4339">
        <w:rPr>
          <w:rFonts w:ascii="Times New Roman" w:hAnsi="Times New Roman" w:cs="Times New Roman"/>
          <w:noProof/>
          <w:sz w:val="24"/>
          <w:szCs w:val="24"/>
          <w:lang w:val="en-IE"/>
        </w:rPr>
        <w:t xml:space="preserve">and recycling of </w:t>
      </w:r>
      <w:r w:rsidR="00A6798E" w:rsidRPr="005B4339">
        <w:rPr>
          <w:rFonts w:ascii="Times New Roman" w:hAnsi="Times New Roman" w:cs="Times New Roman"/>
          <w:noProof/>
          <w:sz w:val="24"/>
          <w:szCs w:val="24"/>
          <w:lang w:val="en-IE"/>
        </w:rPr>
        <w:t>117</w:t>
      </w:r>
      <w:r w:rsidR="007E1DAA" w:rsidRPr="005B4339">
        <w:rPr>
          <w:rFonts w:ascii="Times New Roman" w:hAnsi="Times New Roman" w:cs="Times New Roman"/>
          <w:noProof/>
          <w:sz w:val="24"/>
          <w:szCs w:val="24"/>
          <w:lang w:val="en-IE"/>
        </w:rPr>
        <w:t xml:space="preserve"> </w:t>
      </w:r>
      <w:r w:rsidR="000E2F73" w:rsidRPr="005B4339">
        <w:rPr>
          <w:rFonts w:ascii="Times New Roman" w:hAnsi="Times New Roman" w:cs="Times New Roman"/>
          <w:noProof/>
          <w:sz w:val="24"/>
          <w:szCs w:val="24"/>
          <w:lang w:val="en-IE"/>
        </w:rPr>
        <w:t xml:space="preserve">million per </w:t>
      </w:r>
      <w:r w:rsidR="00223CD3" w:rsidRPr="005B4339">
        <w:rPr>
          <w:rFonts w:ascii="Times New Roman" w:hAnsi="Times New Roman" w:cs="Times New Roman"/>
          <w:noProof/>
          <w:sz w:val="24"/>
          <w:szCs w:val="24"/>
          <w:lang w:val="en-IE"/>
        </w:rPr>
        <w:t>year</w:t>
      </w:r>
      <w:r w:rsidR="000E2F73" w:rsidRPr="005B4339">
        <w:rPr>
          <w:rFonts w:ascii="Times New Roman" w:hAnsi="Times New Roman" w:cs="Times New Roman"/>
          <w:noProof/>
          <w:sz w:val="24"/>
          <w:szCs w:val="24"/>
          <w:lang w:val="en-IE"/>
        </w:rPr>
        <w:t>. Mitigating GHG emissions as a result of this measure wo</w:t>
      </w:r>
      <w:r w:rsidR="002F0307" w:rsidRPr="005B4339">
        <w:rPr>
          <w:rFonts w:ascii="Times New Roman" w:hAnsi="Times New Roman" w:cs="Times New Roman"/>
          <w:noProof/>
          <w:sz w:val="24"/>
          <w:szCs w:val="24"/>
          <w:lang w:val="en-IE"/>
        </w:rPr>
        <w:t>u</w:t>
      </w:r>
      <w:r w:rsidR="000E2F73" w:rsidRPr="005B4339">
        <w:rPr>
          <w:rFonts w:ascii="Times New Roman" w:hAnsi="Times New Roman" w:cs="Times New Roman"/>
          <w:noProof/>
          <w:sz w:val="24"/>
          <w:szCs w:val="24"/>
          <w:lang w:val="en-IE"/>
        </w:rPr>
        <w:t xml:space="preserve">ld also result in a reduction of GHG emission equivalent to 16 million </w:t>
      </w:r>
      <w:r w:rsidR="00390382" w:rsidRPr="005B4339">
        <w:rPr>
          <w:rFonts w:ascii="Times New Roman" w:hAnsi="Times New Roman" w:cs="Times New Roman"/>
          <w:noProof/>
          <w:sz w:val="24"/>
          <w:szCs w:val="24"/>
          <w:lang w:val="en-IE"/>
        </w:rPr>
        <w:t xml:space="preserve">euro </w:t>
      </w:r>
      <w:r w:rsidR="000E2F73" w:rsidRPr="005B4339">
        <w:rPr>
          <w:rFonts w:ascii="Times New Roman" w:hAnsi="Times New Roman" w:cs="Times New Roman"/>
          <w:noProof/>
          <w:sz w:val="24"/>
          <w:szCs w:val="24"/>
          <w:lang w:val="en-IE"/>
        </w:rPr>
        <w:t xml:space="preserve">per </w:t>
      </w:r>
      <w:r w:rsidR="00D00D1B" w:rsidRPr="005B4339">
        <w:rPr>
          <w:rFonts w:ascii="Times New Roman" w:hAnsi="Times New Roman" w:cs="Times New Roman"/>
          <w:noProof/>
          <w:sz w:val="24"/>
          <w:szCs w:val="24"/>
          <w:lang w:val="en-IE"/>
        </w:rPr>
        <w:t>year</w:t>
      </w:r>
      <w:r w:rsidR="000E2F73" w:rsidRPr="005B4339">
        <w:rPr>
          <w:rFonts w:ascii="Times New Roman" w:hAnsi="Times New Roman" w:cs="Times New Roman"/>
          <w:noProof/>
          <w:sz w:val="24"/>
          <w:szCs w:val="24"/>
          <w:lang w:val="en-IE"/>
        </w:rPr>
        <w:t xml:space="preserve"> whils</w:t>
      </w:r>
      <w:r w:rsidR="002F0307" w:rsidRPr="005B4339">
        <w:rPr>
          <w:rFonts w:ascii="Times New Roman" w:hAnsi="Times New Roman" w:cs="Times New Roman"/>
          <w:noProof/>
          <w:sz w:val="24"/>
          <w:szCs w:val="24"/>
          <w:lang w:val="en-IE"/>
        </w:rPr>
        <w:t>t</w:t>
      </w:r>
      <w:r w:rsidR="000E2F73" w:rsidRPr="005B4339">
        <w:rPr>
          <w:rFonts w:ascii="Times New Roman" w:hAnsi="Times New Roman" w:cs="Times New Roman"/>
          <w:noProof/>
          <w:sz w:val="24"/>
          <w:szCs w:val="24"/>
          <w:lang w:val="en-IE"/>
        </w:rPr>
        <w:t xml:space="preserve"> creating an additional </w:t>
      </w:r>
      <w:r w:rsidR="003A4101" w:rsidRPr="005B4339">
        <w:rPr>
          <w:rFonts w:ascii="Times New Roman" w:hAnsi="Times New Roman" w:cs="Times New Roman"/>
          <w:noProof/>
          <w:sz w:val="24"/>
          <w:szCs w:val="24"/>
          <w:lang w:val="en-IE"/>
        </w:rPr>
        <w:t>8 740</w:t>
      </w:r>
      <w:r w:rsidR="000E2F73" w:rsidRPr="005B4339">
        <w:rPr>
          <w:rFonts w:ascii="Times New Roman" w:hAnsi="Times New Roman" w:cs="Times New Roman"/>
          <w:noProof/>
          <w:sz w:val="24"/>
          <w:szCs w:val="24"/>
          <w:lang w:val="en-IE"/>
        </w:rPr>
        <w:t xml:space="preserve"> jobs.</w:t>
      </w:r>
      <w:r w:rsidRPr="005B4339">
        <w:rPr>
          <w:rFonts w:ascii="Times New Roman" w:hAnsi="Times New Roman" w:cs="Times New Roman"/>
          <w:noProof/>
          <w:sz w:val="24"/>
          <w:szCs w:val="24"/>
          <w:lang w:val="en-IE"/>
        </w:rPr>
        <w:t xml:space="preserve"> </w:t>
      </w:r>
      <w:r w:rsidR="002F0307" w:rsidRPr="005B4339">
        <w:rPr>
          <w:rFonts w:ascii="Times New Roman" w:hAnsi="Times New Roman" w:cs="Times New Roman"/>
          <w:noProof/>
          <w:sz w:val="24"/>
          <w:szCs w:val="24"/>
          <w:lang w:val="en-IE"/>
        </w:rPr>
        <w:t>Better sorting would also feed into the better application of end-of-waste criteria foreseen under Option 1</w:t>
      </w:r>
      <w:r w:rsidR="00AB1EDD" w:rsidRPr="005B4339">
        <w:rPr>
          <w:rFonts w:ascii="Times New Roman" w:hAnsi="Times New Roman" w:cs="Times New Roman"/>
          <w:noProof/>
          <w:sz w:val="24"/>
          <w:szCs w:val="24"/>
          <w:lang w:val="en-IE"/>
        </w:rPr>
        <w:t xml:space="preserve"> as a result of more textiles being made available for reuse and recycling within the EU than the baseline.</w:t>
      </w:r>
    </w:p>
    <w:p w14:paraId="2EDFB3DB" w14:textId="5D1CA653" w:rsidR="002F0307" w:rsidRPr="005B4339" w:rsidRDefault="002F0307"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Measure 2.</w:t>
      </w:r>
      <w:r w:rsidR="4FD80C86" w:rsidRPr="005B4339">
        <w:rPr>
          <w:rFonts w:ascii="Times New Roman" w:hAnsi="Times New Roman" w:cs="Times New Roman"/>
          <w:noProof/>
          <w:sz w:val="24"/>
          <w:szCs w:val="24"/>
          <w:lang w:val="en-IE"/>
        </w:rPr>
        <w:t>8</w:t>
      </w:r>
      <w:r w:rsidRPr="005B4339">
        <w:rPr>
          <w:rFonts w:ascii="Times New Roman" w:hAnsi="Times New Roman" w:cs="Times New Roman"/>
          <w:noProof/>
          <w:sz w:val="24"/>
          <w:szCs w:val="24"/>
          <w:lang w:val="en-IE"/>
        </w:rPr>
        <w:t xml:space="preserve"> wo</w:t>
      </w:r>
      <w:r w:rsidR="007167F6" w:rsidRPr="005B4339">
        <w:rPr>
          <w:rFonts w:ascii="Times New Roman" w:hAnsi="Times New Roman" w:cs="Times New Roman"/>
          <w:noProof/>
          <w:sz w:val="24"/>
          <w:szCs w:val="24"/>
          <w:lang w:val="en-IE"/>
        </w:rPr>
        <w:t>u</w:t>
      </w:r>
      <w:r w:rsidRPr="005B4339">
        <w:rPr>
          <w:rFonts w:ascii="Times New Roman" w:hAnsi="Times New Roman" w:cs="Times New Roman"/>
          <w:noProof/>
          <w:sz w:val="24"/>
          <w:szCs w:val="24"/>
          <w:lang w:val="en-IE"/>
        </w:rPr>
        <w:t xml:space="preserve">ld result in small additional costs for Member States (approximately 4 000 </w:t>
      </w:r>
      <w:r w:rsidR="00654D7B" w:rsidRPr="005B4339">
        <w:rPr>
          <w:rFonts w:ascii="Times New Roman" w:hAnsi="Times New Roman" w:cs="Times New Roman"/>
          <w:noProof/>
          <w:sz w:val="24"/>
          <w:szCs w:val="24"/>
          <w:lang w:val="en-IE"/>
        </w:rPr>
        <w:t xml:space="preserve">euro </w:t>
      </w:r>
      <w:r w:rsidRPr="005B4339">
        <w:rPr>
          <w:rFonts w:ascii="Times New Roman" w:hAnsi="Times New Roman" w:cs="Times New Roman"/>
          <w:noProof/>
          <w:sz w:val="24"/>
          <w:szCs w:val="24"/>
          <w:lang w:val="en-IE"/>
        </w:rPr>
        <w:t xml:space="preserve">per Member State) and small additional costs for operators of 78 </w:t>
      </w:r>
      <w:r w:rsidR="00654D7B" w:rsidRPr="005B4339">
        <w:rPr>
          <w:rFonts w:ascii="Times New Roman" w:hAnsi="Times New Roman" w:cs="Times New Roman"/>
          <w:noProof/>
          <w:sz w:val="24"/>
          <w:szCs w:val="24"/>
          <w:lang w:val="en-IE"/>
        </w:rPr>
        <w:t xml:space="preserve">euro </w:t>
      </w:r>
      <w:r w:rsidRPr="005B4339">
        <w:rPr>
          <w:rFonts w:ascii="Times New Roman" w:hAnsi="Times New Roman" w:cs="Times New Roman"/>
          <w:noProof/>
          <w:sz w:val="24"/>
          <w:szCs w:val="24"/>
          <w:lang w:val="en-IE"/>
        </w:rPr>
        <w:t xml:space="preserve">per </w:t>
      </w:r>
      <w:r w:rsidR="00654D7B" w:rsidRPr="005B4339">
        <w:rPr>
          <w:rFonts w:ascii="Times New Roman" w:hAnsi="Times New Roman" w:cs="Times New Roman"/>
          <w:noProof/>
          <w:sz w:val="24"/>
          <w:szCs w:val="24"/>
          <w:lang w:val="en-IE"/>
        </w:rPr>
        <w:t>year</w:t>
      </w:r>
      <w:r w:rsidRPr="005B4339">
        <w:rPr>
          <w:rFonts w:ascii="Times New Roman" w:hAnsi="Times New Roman" w:cs="Times New Roman"/>
          <w:noProof/>
          <w:sz w:val="24"/>
          <w:szCs w:val="24"/>
          <w:lang w:val="en-IE"/>
        </w:rPr>
        <w:t xml:space="preserve"> per entity. However</w:t>
      </w:r>
      <w:r w:rsidR="0335DB90"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 </w:t>
      </w:r>
      <w:r w:rsidR="5434428C" w:rsidRPr="005B4339">
        <w:rPr>
          <w:rFonts w:ascii="Times New Roman" w:hAnsi="Times New Roman" w:cs="Times New Roman"/>
          <w:noProof/>
          <w:sz w:val="24"/>
          <w:szCs w:val="24"/>
          <w:lang w:val="en-IE"/>
        </w:rPr>
        <w:t>legal</w:t>
      </w:r>
      <w:r w:rsidR="2BE3835A" w:rsidRPr="005B4339">
        <w:rPr>
          <w:rFonts w:ascii="Times New Roman" w:hAnsi="Times New Roman" w:cs="Times New Roman"/>
          <w:noProof/>
          <w:sz w:val="24"/>
          <w:szCs w:val="24"/>
          <w:lang w:val="en-IE"/>
        </w:rPr>
        <w:t xml:space="preserve"> </w:t>
      </w:r>
      <w:r w:rsidR="5DDC82B9" w:rsidRPr="005B4339">
        <w:rPr>
          <w:rFonts w:ascii="Times New Roman" w:hAnsi="Times New Roman" w:cs="Times New Roman"/>
          <w:noProof/>
          <w:sz w:val="24"/>
          <w:szCs w:val="24"/>
          <w:lang w:val="en-IE"/>
        </w:rPr>
        <w:t>certainty for shipments</w:t>
      </w:r>
      <w:r w:rsidRPr="005B4339">
        <w:rPr>
          <w:rFonts w:ascii="Times New Roman" w:hAnsi="Times New Roman" w:cs="Times New Roman"/>
          <w:noProof/>
          <w:sz w:val="24"/>
          <w:szCs w:val="24"/>
          <w:lang w:val="en-IE"/>
        </w:rPr>
        <w:t xml:space="preserve"> of</w:t>
      </w:r>
      <w:r w:rsidR="00AB1EDD" w:rsidRPr="005B4339">
        <w:rPr>
          <w:rFonts w:ascii="Times New Roman" w:hAnsi="Times New Roman" w:cs="Times New Roman"/>
          <w:noProof/>
          <w:sz w:val="24"/>
          <w:szCs w:val="24"/>
          <w:lang w:val="en-IE"/>
        </w:rPr>
        <w:t xml:space="preserve"> textiles would be much improved</w:t>
      </w:r>
      <w:r w:rsidR="028839D1" w:rsidRPr="005B4339">
        <w:rPr>
          <w:rFonts w:ascii="Times New Roman" w:hAnsi="Times New Roman" w:cs="Times New Roman"/>
          <w:noProof/>
          <w:sz w:val="24"/>
          <w:szCs w:val="24"/>
          <w:lang w:val="en-IE"/>
        </w:rPr>
        <w:t>,</w:t>
      </w:r>
      <w:r w:rsidR="00AB1EDD" w:rsidRPr="005B4339">
        <w:rPr>
          <w:rFonts w:ascii="Times New Roman" w:hAnsi="Times New Roman" w:cs="Times New Roman"/>
          <w:noProof/>
          <w:sz w:val="24"/>
          <w:szCs w:val="24"/>
          <w:lang w:val="en-IE"/>
        </w:rPr>
        <w:t xml:space="preserve"> addressing the problem of textiles exported to third countries as reusable actually comprising wastes that are only suitable for disposal</w:t>
      </w:r>
      <w:r w:rsidR="00406AA2" w:rsidRPr="005B4339">
        <w:rPr>
          <w:rFonts w:ascii="Times New Roman" w:hAnsi="Times New Roman" w:cs="Times New Roman"/>
          <w:noProof/>
          <w:sz w:val="24"/>
          <w:szCs w:val="24"/>
          <w:lang w:val="en-IE"/>
        </w:rPr>
        <w:t>.</w:t>
      </w:r>
      <w:r w:rsidR="2A75B527" w:rsidRPr="005B4339">
        <w:rPr>
          <w:rFonts w:ascii="Times New Roman" w:hAnsi="Times New Roman" w:cs="Times New Roman"/>
          <w:noProof/>
          <w:sz w:val="24"/>
          <w:szCs w:val="24"/>
          <w:lang w:val="en-IE"/>
        </w:rPr>
        <w:t xml:space="preserve"> This would also facilitate the enforcement of waste rules by the competent authorities.</w:t>
      </w:r>
    </w:p>
    <w:p w14:paraId="39D75FA7" w14:textId="0F548A6F" w:rsidR="00231EAE" w:rsidRPr="005B4339" w:rsidRDefault="00336878"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As noted in the list of problem drivers</w:t>
      </w:r>
      <w:r w:rsidR="083929B5"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shortcomings in collection</w:t>
      </w:r>
      <w:r w:rsidR="42F7B969"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sorting</w:t>
      </w:r>
      <w:r w:rsidR="762FB84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t>
      </w:r>
      <w:r w:rsidR="00D96247" w:rsidRPr="005B4339">
        <w:rPr>
          <w:rFonts w:ascii="Times New Roman" w:hAnsi="Times New Roman" w:cs="Times New Roman"/>
          <w:noProof/>
          <w:sz w:val="24"/>
          <w:szCs w:val="24"/>
          <w:lang w:val="en-IE"/>
        </w:rPr>
        <w:t>reuse</w:t>
      </w:r>
      <w:r w:rsidRPr="005B4339">
        <w:rPr>
          <w:rFonts w:ascii="Times New Roman" w:hAnsi="Times New Roman" w:cs="Times New Roman"/>
          <w:noProof/>
          <w:sz w:val="24"/>
          <w:szCs w:val="24"/>
          <w:lang w:val="en-IE"/>
        </w:rPr>
        <w:t xml:space="preserve"> and repair and recycling infrastructure of textiles </w:t>
      </w:r>
      <w:r w:rsidR="003D45A4" w:rsidRPr="005B4339">
        <w:rPr>
          <w:rFonts w:ascii="Times New Roman" w:hAnsi="Times New Roman" w:cs="Times New Roman"/>
          <w:noProof/>
          <w:sz w:val="24"/>
          <w:szCs w:val="24"/>
          <w:lang w:val="en-IE"/>
        </w:rPr>
        <w:t>are</w:t>
      </w:r>
      <w:r w:rsidRPr="005B4339">
        <w:rPr>
          <w:rFonts w:ascii="Times New Roman" w:hAnsi="Times New Roman" w:cs="Times New Roman"/>
          <w:noProof/>
          <w:sz w:val="24"/>
          <w:szCs w:val="24"/>
          <w:lang w:val="en-IE"/>
        </w:rPr>
        <w:t xml:space="preserve"> predominant across much of the EU. </w:t>
      </w:r>
      <w:r w:rsidR="00F402A1" w:rsidRPr="005B4339">
        <w:rPr>
          <w:rFonts w:ascii="Times New Roman" w:hAnsi="Times New Roman" w:cs="Times New Roman"/>
          <w:noProof/>
          <w:sz w:val="24"/>
          <w:szCs w:val="24"/>
          <w:lang w:val="en-IE"/>
        </w:rPr>
        <w:t>Measure 2.</w:t>
      </w:r>
      <w:r w:rsidR="470BC2BB" w:rsidRPr="005B4339">
        <w:rPr>
          <w:rFonts w:ascii="Times New Roman" w:hAnsi="Times New Roman" w:cs="Times New Roman"/>
          <w:noProof/>
          <w:sz w:val="24"/>
          <w:szCs w:val="24"/>
          <w:lang w:val="en-IE"/>
        </w:rPr>
        <w:t>9</w:t>
      </w:r>
      <w:r w:rsidR="00F402A1" w:rsidRPr="005B4339">
        <w:rPr>
          <w:rFonts w:ascii="Times New Roman" w:hAnsi="Times New Roman" w:cs="Times New Roman"/>
          <w:noProof/>
          <w:sz w:val="24"/>
          <w:szCs w:val="24"/>
          <w:lang w:val="en-IE"/>
        </w:rPr>
        <w:t xml:space="preserve"> addresses the</w:t>
      </w:r>
      <w:r w:rsidR="00683A82" w:rsidRPr="005B4339">
        <w:rPr>
          <w:rFonts w:ascii="Times New Roman" w:hAnsi="Times New Roman" w:cs="Times New Roman"/>
          <w:noProof/>
          <w:sz w:val="24"/>
          <w:szCs w:val="24"/>
          <w:lang w:val="en-IE"/>
        </w:rPr>
        <w:t>se</w:t>
      </w:r>
      <w:r w:rsidR="00F402A1" w:rsidRPr="005B4339">
        <w:rPr>
          <w:rFonts w:ascii="Times New Roman" w:hAnsi="Times New Roman" w:cs="Times New Roman"/>
          <w:noProof/>
          <w:sz w:val="24"/>
          <w:szCs w:val="24"/>
          <w:lang w:val="en-IE"/>
        </w:rPr>
        <w:t xml:space="preserve"> by requiring producers to take into account the costs of management of textiles over their entire lifetime</w:t>
      </w:r>
      <w:r w:rsidR="196CD240" w:rsidRPr="005B4339">
        <w:rPr>
          <w:rFonts w:ascii="Times New Roman" w:hAnsi="Times New Roman" w:cs="Times New Roman"/>
          <w:noProof/>
          <w:sz w:val="24"/>
          <w:szCs w:val="24"/>
          <w:lang w:val="en-IE"/>
        </w:rPr>
        <w:t>,</w:t>
      </w:r>
      <w:r w:rsidR="00F402A1" w:rsidRPr="005B4339">
        <w:rPr>
          <w:rFonts w:ascii="Times New Roman" w:hAnsi="Times New Roman" w:cs="Times New Roman"/>
          <w:noProof/>
          <w:sz w:val="24"/>
          <w:szCs w:val="24"/>
          <w:lang w:val="en-IE"/>
        </w:rPr>
        <w:t xml:space="preserve"> including at the point of discard. </w:t>
      </w:r>
      <w:r w:rsidRPr="005B4339">
        <w:rPr>
          <w:rFonts w:ascii="Times New Roman" w:hAnsi="Times New Roman" w:cs="Times New Roman"/>
          <w:noProof/>
          <w:sz w:val="24"/>
          <w:szCs w:val="24"/>
          <w:lang w:val="en-IE"/>
        </w:rPr>
        <w:t>Th</w:t>
      </w:r>
      <w:r w:rsidR="00F402A1" w:rsidRPr="005B4339">
        <w:rPr>
          <w:rFonts w:ascii="Times New Roman" w:hAnsi="Times New Roman" w:cs="Times New Roman"/>
          <w:noProof/>
          <w:sz w:val="24"/>
          <w:szCs w:val="24"/>
          <w:lang w:val="en-IE"/>
        </w:rPr>
        <w:t xml:space="preserve">e infrastructure </w:t>
      </w:r>
      <w:r w:rsidR="00683A82" w:rsidRPr="005B4339">
        <w:rPr>
          <w:rFonts w:ascii="Times New Roman" w:hAnsi="Times New Roman" w:cs="Times New Roman"/>
          <w:noProof/>
          <w:sz w:val="24"/>
          <w:szCs w:val="24"/>
          <w:lang w:val="en-IE"/>
        </w:rPr>
        <w:t xml:space="preserve">shortcomings </w:t>
      </w:r>
      <w:r w:rsidRPr="005B4339">
        <w:rPr>
          <w:rFonts w:ascii="Times New Roman" w:hAnsi="Times New Roman" w:cs="Times New Roman"/>
          <w:noProof/>
          <w:sz w:val="24"/>
          <w:szCs w:val="24"/>
          <w:lang w:val="en-IE"/>
        </w:rPr>
        <w:t xml:space="preserve">cause problems not only within the EU but also in third countries to which EU textiles are exported with somewhat questionable </w:t>
      </w:r>
      <w:r w:rsidR="0014738B" w:rsidRPr="005B4339">
        <w:rPr>
          <w:rFonts w:ascii="Times New Roman" w:hAnsi="Times New Roman" w:cs="Times New Roman"/>
          <w:noProof/>
          <w:sz w:val="24"/>
          <w:szCs w:val="24"/>
          <w:lang w:val="en-IE"/>
        </w:rPr>
        <w:t>reusable</w:t>
      </w:r>
      <w:r w:rsidRPr="005B4339">
        <w:rPr>
          <w:rFonts w:ascii="Times New Roman" w:hAnsi="Times New Roman" w:cs="Times New Roman"/>
          <w:noProof/>
          <w:sz w:val="24"/>
          <w:szCs w:val="24"/>
          <w:lang w:val="en-IE"/>
        </w:rPr>
        <w:t xml:space="preserve"> status. </w:t>
      </w:r>
      <w:r w:rsidR="002A5465" w:rsidRPr="005B4339">
        <w:rPr>
          <w:rFonts w:ascii="Times New Roman" w:hAnsi="Times New Roman" w:cs="Times New Roman"/>
          <w:noProof/>
          <w:sz w:val="24"/>
          <w:szCs w:val="24"/>
          <w:lang w:val="en-IE"/>
        </w:rPr>
        <w:t>EPR</w:t>
      </w:r>
      <w:r w:rsidR="00231EAE" w:rsidRPr="005B4339">
        <w:rPr>
          <w:rFonts w:ascii="Times New Roman" w:hAnsi="Times New Roman" w:cs="Times New Roman"/>
          <w:noProof/>
          <w:sz w:val="24"/>
          <w:szCs w:val="24"/>
          <w:lang w:val="en-IE"/>
        </w:rPr>
        <w:t xml:space="preserve"> fees to meet the full management costs of textile wastes within the EU would result in costs in the order of 2.28 billion </w:t>
      </w:r>
      <w:r w:rsidR="002A5465" w:rsidRPr="005B4339">
        <w:rPr>
          <w:rFonts w:ascii="Times New Roman" w:hAnsi="Times New Roman" w:cs="Times New Roman"/>
          <w:noProof/>
          <w:sz w:val="24"/>
          <w:szCs w:val="24"/>
          <w:lang w:val="en-IE"/>
        </w:rPr>
        <w:t xml:space="preserve">euro </w:t>
      </w:r>
      <w:r w:rsidR="00231EAE" w:rsidRPr="005B4339">
        <w:rPr>
          <w:rFonts w:ascii="Times New Roman" w:hAnsi="Times New Roman" w:cs="Times New Roman"/>
          <w:noProof/>
          <w:sz w:val="24"/>
          <w:szCs w:val="24"/>
          <w:lang w:val="en-IE"/>
        </w:rPr>
        <w:t xml:space="preserve">per </w:t>
      </w:r>
      <w:r w:rsidR="002A5465" w:rsidRPr="005B4339">
        <w:rPr>
          <w:rFonts w:ascii="Times New Roman" w:hAnsi="Times New Roman" w:cs="Times New Roman"/>
          <w:noProof/>
          <w:sz w:val="24"/>
          <w:szCs w:val="24"/>
          <w:lang w:val="en-IE"/>
        </w:rPr>
        <w:t xml:space="preserve">year </w:t>
      </w:r>
      <w:r w:rsidR="00231EAE" w:rsidRPr="005B4339">
        <w:rPr>
          <w:rFonts w:ascii="Times New Roman" w:hAnsi="Times New Roman" w:cs="Times New Roman"/>
          <w:noProof/>
          <w:sz w:val="24"/>
          <w:szCs w:val="24"/>
          <w:lang w:val="en-IE"/>
        </w:rPr>
        <w:t>by 2035</w:t>
      </w:r>
      <w:r w:rsidR="7DD15725" w:rsidRPr="005B4339">
        <w:rPr>
          <w:rFonts w:ascii="Times New Roman" w:hAnsi="Times New Roman" w:cs="Times New Roman"/>
          <w:noProof/>
          <w:sz w:val="24"/>
          <w:szCs w:val="24"/>
          <w:lang w:val="en-IE"/>
        </w:rPr>
        <w:t xml:space="preserve"> from</w:t>
      </w:r>
      <w:r w:rsidR="00231EAE" w:rsidRPr="005B4339">
        <w:rPr>
          <w:rFonts w:ascii="Times New Roman" w:hAnsi="Times New Roman" w:cs="Times New Roman"/>
          <w:noProof/>
          <w:sz w:val="24"/>
          <w:szCs w:val="24"/>
          <w:lang w:val="en-IE"/>
        </w:rPr>
        <w:t xml:space="preserve"> the </w:t>
      </w:r>
      <w:r w:rsidR="7DD15725" w:rsidRPr="005B4339">
        <w:rPr>
          <w:rFonts w:ascii="Times New Roman" w:hAnsi="Times New Roman" w:cs="Times New Roman"/>
          <w:noProof/>
          <w:sz w:val="24"/>
          <w:szCs w:val="24"/>
          <w:lang w:val="en-IE"/>
        </w:rPr>
        <w:t>disparate systems currently and likely to be employed by Member States to producers under EPR. These costs may fall 100% on consumers or 100% on producers (or a mix of both) under</w:t>
      </w:r>
      <w:r w:rsidR="00231EAE" w:rsidRPr="005B4339">
        <w:rPr>
          <w:rFonts w:ascii="Times New Roman" w:hAnsi="Times New Roman" w:cs="Times New Roman"/>
          <w:noProof/>
          <w:sz w:val="24"/>
          <w:szCs w:val="24"/>
          <w:lang w:val="en-IE"/>
        </w:rPr>
        <w:t xml:space="preserve"> the </w:t>
      </w:r>
      <w:r w:rsidR="7DD15725" w:rsidRPr="005B4339">
        <w:rPr>
          <w:rFonts w:ascii="Times New Roman" w:hAnsi="Times New Roman" w:cs="Times New Roman"/>
          <w:noProof/>
          <w:sz w:val="24"/>
          <w:szCs w:val="24"/>
          <w:lang w:val="en-IE"/>
        </w:rPr>
        <w:t>EPR approach whereby producers may choose to add the costs of EPR compliance to the costs of goods sold to consumers or not. The maximum price increase that might be expected under this scenario for consumers is 0.6% for the average</w:t>
      </w:r>
      <w:r w:rsidR="00231EAE" w:rsidRPr="005B4339">
        <w:rPr>
          <w:rFonts w:ascii="Times New Roman" w:hAnsi="Times New Roman" w:cs="Times New Roman"/>
          <w:noProof/>
          <w:sz w:val="24"/>
          <w:szCs w:val="24"/>
          <w:lang w:val="en-IE"/>
        </w:rPr>
        <w:t xml:space="preserve"> textile </w:t>
      </w:r>
      <w:r w:rsidR="7DD15725" w:rsidRPr="005B4339">
        <w:rPr>
          <w:rFonts w:ascii="Times New Roman" w:hAnsi="Times New Roman" w:cs="Times New Roman"/>
          <w:noProof/>
          <w:sz w:val="24"/>
          <w:szCs w:val="24"/>
          <w:lang w:val="en-IE"/>
        </w:rPr>
        <w:t>product.</w:t>
      </w:r>
      <w:r w:rsidR="00231EAE" w:rsidRPr="005B4339">
        <w:rPr>
          <w:rFonts w:ascii="Times New Roman" w:hAnsi="Times New Roman" w:cs="Times New Roman"/>
          <w:noProof/>
          <w:sz w:val="24"/>
          <w:szCs w:val="24"/>
          <w:lang w:val="en-IE"/>
        </w:rPr>
        <w:t xml:space="preserve"> </w:t>
      </w:r>
      <w:r w:rsidR="002A5465" w:rsidRPr="005B4339">
        <w:rPr>
          <w:rFonts w:ascii="Times New Roman" w:hAnsi="Times New Roman" w:cs="Times New Roman"/>
          <w:noProof/>
          <w:sz w:val="24"/>
          <w:szCs w:val="24"/>
          <w:lang w:val="en-IE"/>
        </w:rPr>
        <w:t xml:space="preserve">The </w:t>
      </w:r>
      <w:r w:rsidR="00231EAE" w:rsidRPr="005B4339">
        <w:rPr>
          <w:rFonts w:ascii="Times New Roman" w:hAnsi="Times New Roman" w:cs="Times New Roman"/>
          <w:noProof/>
          <w:sz w:val="24"/>
          <w:szCs w:val="24"/>
          <w:lang w:val="en-IE"/>
        </w:rPr>
        <w:t xml:space="preserve">McKinsey </w:t>
      </w:r>
      <w:r w:rsidR="002A5465" w:rsidRPr="005B4339">
        <w:rPr>
          <w:rFonts w:ascii="Times New Roman" w:hAnsi="Times New Roman" w:cs="Times New Roman"/>
          <w:noProof/>
          <w:sz w:val="24"/>
          <w:szCs w:val="24"/>
          <w:lang w:val="en-IE"/>
        </w:rPr>
        <w:t>&amp; Company report</w:t>
      </w:r>
      <w:r w:rsidR="002A5465" w:rsidRPr="005B4339">
        <w:rPr>
          <w:rStyle w:val="FootnoteReference"/>
          <w:rFonts w:ascii="Times New Roman" w:hAnsi="Times New Roman" w:cs="Times New Roman"/>
          <w:noProof/>
          <w:sz w:val="24"/>
          <w:szCs w:val="24"/>
          <w:lang w:val="en-IE"/>
        </w:rPr>
        <w:footnoteReference w:id="162"/>
      </w:r>
      <w:r w:rsidR="0099430A" w:rsidRPr="005B4339">
        <w:rPr>
          <w:rFonts w:ascii="Times New Roman" w:hAnsi="Times New Roman" w:cs="Times New Roman"/>
          <w:noProof/>
          <w:sz w:val="24"/>
          <w:szCs w:val="24"/>
          <w:lang w:val="en-IE"/>
        </w:rPr>
        <w:t xml:space="preserve"> </w:t>
      </w:r>
      <w:r w:rsidR="00557C14" w:rsidRPr="005B4339">
        <w:rPr>
          <w:rFonts w:ascii="Times New Roman" w:hAnsi="Times New Roman" w:cs="Times New Roman"/>
          <w:noProof/>
          <w:sz w:val="24"/>
          <w:szCs w:val="24"/>
          <w:lang w:val="en-IE"/>
        </w:rPr>
        <w:t xml:space="preserve"> expects </w:t>
      </w:r>
      <w:r w:rsidR="00231EAE" w:rsidRPr="005B4339">
        <w:rPr>
          <w:rFonts w:ascii="Times New Roman" w:hAnsi="Times New Roman" w:cs="Times New Roman"/>
          <w:noProof/>
          <w:sz w:val="24"/>
          <w:szCs w:val="24"/>
          <w:lang w:val="en-IE"/>
        </w:rPr>
        <w:t xml:space="preserve">that with the correct investment in capital (estimated at between 6 billion and 7 billion for the recycling sector to 2030) annual </w:t>
      </w:r>
      <w:r w:rsidR="006C6565" w:rsidRPr="005B4339">
        <w:rPr>
          <w:rFonts w:ascii="Times New Roman" w:hAnsi="Times New Roman" w:cs="Times New Roman"/>
          <w:noProof/>
          <w:sz w:val="24"/>
          <w:szCs w:val="24"/>
          <w:lang w:val="en-IE"/>
        </w:rPr>
        <w:t>overall</w:t>
      </w:r>
      <w:r w:rsidR="00231EAE" w:rsidRPr="005B4339">
        <w:rPr>
          <w:rFonts w:ascii="Times New Roman" w:hAnsi="Times New Roman" w:cs="Times New Roman"/>
          <w:noProof/>
          <w:sz w:val="24"/>
          <w:szCs w:val="24"/>
          <w:lang w:val="en-IE"/>
        </w:rPr>
        <w:t xml:space="preserve"> returns for the EU 27</w:t>
      </w:r>
      <w:r w:rsidR="00B0109F" w:rsidRPr="005B4339">
        <w:rPr>
          <w:rStyle w:val="FootnoteReference"/>
          <w:rFonts w:ascii="Times New Roman" w:hAnsi="Times New Roman" w:cs="Times New Roman"/>
          <w:noProof/>
          <w:sz w:val="24"/>
          <w:szCs w:val="24"/>
          <w:lang w:val="en-IE"/>
        </w:rPr>
        <w:footnoteReference w:id="163"/>
      </w:r>
      <w:r w:rsidR="00231EAE" w:rsidRPr="005B4339">
        <w:rPr>
          <w:rFonts w:ascii="Times New Roman" w:hAnsi="Times New Roman" w:cs="Times New Roman"/>
          <w:noProof/>
          <w:sz w:val="24"/>
          <w:szCs w:val="24"/>
          <w:lang w:val="en-IE"/>
        </w:rPr>
        <w:t xml:space="preserve"> would be in the order to 3.5 billion to 4.5 billion </w:t>
      </w:r>
      <w:r w:rsidR="00B0109F" w:rsidRPr="005B4339">
        <w:rPr>
          <w:rFonts w:ascii="Times New Roman" w:hAnsi="Times New Roman" w:cs="Times New Roman"/>
          <w:noProof/>
          <w:sz w:val="24"/>
          <w:szCs w:val="24"/>
          <w:lang w:val="en-IE"/>
        </w:rPr>
        <w:t xml:space="preserve">euro </w:t>
      </w:r>
      <w:r w:rsidR="00231EAE" w:rsidRPr="005B4339">
        <w:rPr>
          <w:rFonts w:ascii="Times New Roman" w:hAnsi="Times New Roman" w:cs="Times New Roman"/>
          <w:noProof/>
          <w:sz w:val="24"/>
          <w:szCs w:val="24"/>
          <w:lang w:val="en-IE"/>
        </w:rPr>
        <w:t>by 2030. Whilst these estimates appear optimistic given the current levels of recycling</w:t>
      </w:r>
      <w:r w:rsidR="1F73ACE4" w:rsidRPr="005B4339">
        <w:rPr>
          <w:rFonts w:ascii="Times New Roman" w:hAnsi="Times New Roman" w:cs="Times New Roman"/>
          <w:noProof/>
          <w:sz w:val="24"/>
          <w:szCs w:val="24"/>
          <w:lang w:val="en-IE"/>
        </w:rPr>
        <w:t>,</w:t>
      </w:r>
      <w:r w:rsidR="00231EAE" w:rsidRPr="005B4339">
        <w:rPr>
          <w:rFonts w:ascii="Times New Roman" w:hAnsi="Times New Roman" w:cs="Times New Roman"/>
          <w:noProof/>
          <w:sz w:val="24"/>
          <w:szCs w:val="24"/>
          <w:lang w:val="en-IE"/>
        </w:rPr>
        <w:t xml:space="preserve"> they </w:t>
      </w:r>
      <w:r w:rsidR="00C3485D" w:rsidRPr="005B4339">
        <w:rPr>
          <w:rFonts w:ascii="Times New Roman" w:hAnsi="Times New Roman" w:cs="Times New Roman"/>
          <w:noProof/>
          <w:sz w:val="24"/>
          <w:szCs w:val="24"/>
          <w:lang w:val="en-IE"/>
        </w:rPr>
        <w:t xml:space="preserve">do </w:t>
      </w:r>
      <w:r w:rsidR="00231EAE" w:rsidRPr="005B4339">
        <w:rPr>
          <w:rFonts w:ascii="Times New Roman" w:hAnsi="Times New Roman" w:cs="Times New Roman"/>
          <w:noProof/>
          <w:sz w:val="24"/>
          <w:szCs w:val="24"/>
          <w:lang w:val="en-IE"/>
        </w:rPr>
        <w:t xml:space="preserve">signal that costs </w:t>
      </w:r>
      <w:r w:rsidR="00C3485D" w:rsidRPr="005B4339">
        <w:rPr>
          <w:rFonts w:ascii="Times New Roman" w:hAnsi="Times New Roman" w:cs="Times New Roman"/>
          <w:noProof/>
          <w:sz w:val="24"/>
          <w:szCs w:val="24"/>
          <w:lang w:val="en-IE"/>
        </w:rPr>
        <w:t xml:space="preserve">of </w:t>
      </w:r>
      <w:r w:rsidR="7449605E" w:rsidRPr="005B4339">
        <w:rPr>
          <w:rFonts w:ascii="Times New Roman" w:hAnsi="Times New Roman" w:cs="Times New Roman"/>
          <w:noProof/>
          <w:sz w:val="24"/>
          <w:szCs w:val="24"/>
          <w:lang w:val="en-IE"/>
        </w:rPr>
        <w:t>an</w:t>
      </w:r>
      <w:r w:rsidR="00C3485D" w:rsidRPr="005B4339">
        <w:rPr>
          <w:rFonts w:ascii="Times New Roman" w:hAnsi="Times New Roman" w:cs="Times New Roman"/>
          <w:noProof/>
          <w:sz w:val="24"/>
          <w:szCs w:val="24"/>
          <w:lang w:val="en-IE"/>
        </w:rPr>
        <w:t xml:space="preserve"> EPR scheme </w:t>
      </w:r>
      <w:r w:rsidR="00231EAE" w:rsidRPr="005B4339">
        <w:rPr>
          <w:rFonts w:ascii="Times New Roman" w:hAnsi="Times New Roman" w:cs="Times New Roman"/>
          <w:noProof/>
          <w:sz w:val="24"/>
          <w:szCs w:val="24"/>
          <w:lang w:val="en-IE"/>
        </w:rPr>
        <w:t>are likely to be outweighed by the benefits.</w:t>
      </w:r>
      <w:r w:rsidR="00FE0BF7" w:rsidRPr="005B4339">
        <w:rPr>
          <w:rFonts w:ascii="Times New Roman" w:hAnsi="Times New Roman" w:cs="Times New Roman"/>
          <w:noProof/>
          <w:sz w:val="24"/>
          <w:szCs w:val="24"/>
          <w:lang w:val="en-IE"/>
        </w:rPr>
        <w:t xml:space="preserve"> The application of Measure 2.</w:t>
      </w:r>
      <w:r w:rsidR="5E143D42" w:rsidRPr="005B4339">
        <w:rPr>
          <w:rFonts w:ascii="Times New Roman" w:hAnsi="Times New Roman" w:cs="Times New Roman"/>
          <w:noProof/>
          <w:sz w:val="24"/>
          <w:szCs w:val="24"/>
          <w:lang w:val="en-IE"/>
        </w:rPr>
        <w:t>9</w:t>
      </w:r>
      <w:r w:rsidR="00FE0BF7" w:rsidRPr="005B4339">
        <w:rPr>
          <w:rFonts w:ascii="Times New Roman" w:hAnsi="Times New Roman" w:cs="Times New Roman"/>
          <w:noProof/>
          <w:sz w:val="24"/>
          <w:szCs w:val="24"/>
          <w:lang w:val="en-IE"/>
        </w:rPr>
        <w:t xml:space="preserve"> would effectively address the costs and benefits foreseen for Measure 2.</w:t>
      </w:r>
      <w:r w:rsidR="3CCDF22A" w:rsidRPr="005B4339">
        <w:rPr>
          <w:rFonts w:ascii="Times New Roman" w:hAnsi="Times New Roman" w:cs="Times New Roman"/>
          <w:noProof/>
          <w:sz w:val="24"/>
          <w:szCs w:val="24"/>
          <w:lang w:val="en-IE"/>
        </w:rPr>
        <w:t>5</w:t>
      </w:r>
      <w:r w:rsidR="6135F4D6" w:rsidRPr="005B4339">
        <w:rPr>
          <w:rFonts w:ascii="Times New Roman" w:hAnsi="Times New Roman" w:cs="Times New Roman"/>
          <w:noProof/>
          <w:sz w:val="24"/>
          <w:szCs w:val="24"/>
          <w:lang w:val="en-IE"/>
        </w:rPr>
        <w:t>,</w:t>
      </w:r>
      <w:r w:rsidR="00FE0BF7" w:rsidRPr="005B4339">
        <w:rPr>
          <w:rFonts w:ascii="Times New Roman" w:hAnsi="Times New Roman" w:cs="Times New Roman"/>
          <w:noProof/>
          <w:sz w:val="24"/>
          <w:szCs w:val="24"/>
          <w:lang w:val="en-IE"/>
        </w:rPr>
        <w:t xml:space="preserve"> as well as contributing to the objectives of Measure 2.</w:t>
      </w:r>
      <w:r w:rsidR="34A0F02C" w:rsidRPr="005B4339">
        <w:rPr>
          <w:rFonts w:ascii="Times New Roman" w:hAnsi="Times New Roman" w:cs="Times New Roman"/>
          <w:noProof/>
          <w:sz w:val="24"/>
          <w:szCs w:val="24"/>
          <w:lang w:val="en-IE"/>
        </w:rPr>
        <w:t>8</w:t>
      </w:r>
      <w:r w:rsidR="00FE0BF7" w:rsidRPr="005B4339">
        <w:rPr>
          <w:rFonts w:ascii="Times New Roman" w:hAnsi="Times New Roman" w:cs="Times New Roman"/>
          <w:noProof/>
          <w:sz w:val="24"/>
          <w:szCs w:val="24"/>
          <w:lang w:val="en-IE"/>
        </w:rPr>
        <w:t>.</w:t>
      </w:r>
    </w:p>
    <w:p w14:paraId="60012271" w14:textId="703DF02E" w:rsidR="004C49B3" w:rsidRPr="005B4339" w:rsidRDefault="004C49B3" w:rsidP="004C49B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Measure 2.1</w:t>
      </w:r>
      <w:r w:rsidR="714664BE" w:rsidRPr="005B4339">
        <w:rPr>
          <w:rFonts w:ascii="Times New Roman" w:hAnsi="Times New Roman" w:cs="Times New Roman"/>
          <w:noProof/>
          <w:sz w:val="24"/>
          <w:szCs w:val="24"/>
          <w:lang w:val="en-IE"/>
        </w:rPr>
        <w:t>4</w:t>
      </w:r>
      <w:r w:rsidRPr="005B4339">
        <w:rPr>
          <w:rFonts w:ascii="Times New Roman" w:hAnsi="Times New Roman" w:cs="Times New Roman"/>
          <w:noProof/>
          <w:sz w:val="24"/>
          <w:szCs w:val="24"/>
          <w:lang w:val="en-IE"/>
        </w:rPr>
        <w:t xml:space="preserve"> </w:t>
      </w:r>
      <w:r w:rsidR="002E32E4" w:rsidRPr="005B4339">
        <w:rPr>
          <w:rFonts w:ascii="Times New Roman" w:hAnsi="Times New Roman" w:cs="Times New Roman"/>
          <w:noProof/>
          <w:sz w:val="24"/>
          <w:szCs w:val="24"/>
          <w:lang w:val="en-IE"/>
        </w:rPr>
        <w:t xml:space="preserve">on reporting would generally see </w:t>
      </w:r>
      <w:r w:rsidR="00E733C7" w:rsidRPr="005B4339">
        <w:rPr>
          <w:rFonts w:ascii="Times New Roman" w:hAnsi="Times New Roman" w:cs="Times New Roman"/>
          <w:noProof/>
          <w:sz w:val="24"/>
          <w:szCs w:val="24"/>
          <w:lang w:val="en-IE"/>
        </w:rPr>
        <w:t>an increase in reporting for approximately 1 400 waste management operators with a total cost of additional reporting of approximately €750 000 for the EU overall. At the same time significant improvements in understanding the volumes of textile wastes generated</w:t>
      </w:r>
      <w:r w:rsidR="7EBE0088" w:rsidRPr="005B4339">
        <w:rPr>
          <w:rFonts w:ascii="Times New Roman" w:hAnsi="Times New Roman" w:cs="Times New Roman"/>
          <w:noProof/>
          <w:sz w:val="24"/>
          <w:szCs w:val="24"/>
          <w:lang w:val="en-IE"/>
        </w:rPr>
        <w:t>,</w:t>
      </w:r>
      <w:r w:rsidR="00E733C7" w:rsidRPr="005B4339">
        <w:rPr>
          <w:rFonts w:ascii="Times New Roman" w:hAnsi="Times New Roman" w:cs="Times New Roman"/>
          <w:noProof/>
          <w:sz w:val="24"/>
          <w:szCs w:val="24"/>
          <w:lang w:val="en-IE"/>
        </w:rPr>
        <w:t xml:space="preserve"> collected</w:t>
      </w:r>
      <w:r w:rsidR="7A942A28" w:rsidRPr="005B4339">
        <w:rPr>
          <w:rFonts w:ascii="Times New Roman" w:hAnsi="Times New Roman" w:cs="Times New Roman"/>
          <w:noProof/>
          <w:sz w:val="24"/>
          <w:szCs w:val="24"/>
          <w:lang w:val="en-IE"/>
        </w:rPr>
        <w:t>,</w:t>
      </w:r>
      <w:r w:rsidR="00E733C7" w:rsidRPr="005B4339">
        <w:rPr>
          <w:rFonts w:ascii="Times New Roman" w:hAnsi="Times New Roman" w:cs="Times New Roman"/>
          <w:noProof/>
          <w:sz w:val="24"/>
          <w:szCs w:val="24"/>
          <w:lang w:val="en-IE"/>
        </w:rPr>
        <w:t xml:space="preserve"> sorted and subsequ</w:t>
      </w:r>
      <w:r w:rsidR="00F22168" w:rsidRPr="005B4339">
        <w:rPr>
          <w:rFonts w:ascii="Times New Roman" w:hAnsi="Times New Roman" w:cs="Times New Roman"/>
          <w:noProof/>
          <w:sz w:val="24"/>
          <w:szCs w:val="24"/>
          <w:lang w:val="en-IE"/>
        </w:rPr>
        <w:t>ently treated would result as a result of the changes to existing reporting obligations and the small number of additional reporting obligations added.</w:t>
      </w:r>
    </w:p>
    <w:p w14:paraId="5EBA9B81" w14:textId="3AE52ED4" w:rsidR="00977318" w:rsidRPr="005B4339" w:rsidRDefault="00977318" w:rsidP="004C49B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Option 2 is coherent with existing and planned EU policy initiatives whilst, as noted above, actively contributing to the EU Strategy for Sustainable and Circular Textiles.</w:t>
      </w:r>
    </w:p>
    <w:p w14:paraId="57D9BD60" w14:textId="15E06CB5" w:rsidR="00336878" w:rsidRPr="005B4339" w:rsidRDefault="00336878"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b/>
          <w:noProof/>
          <w:sz w:val="24"/>
          <w:szCs w:val="24"/>
          <w:lang w:val="en-IE"/>
        </w:rPr>
        <w:t>Option 3 measures</w:t>
      </w:r>
      <w:r w:rsidRPr="005B4339">
        <w:rPr>
          <w:rFonts w:ascii="Times New Roman" w:hAnsi="Times New Roman" w:cs="Times New Roman"/>
          <w:noProof/>
          <w:sz w:val="24"/>
          <w:szCs w:val="24"/>
          <w:lang w:val="en-IE"/>
        </w:rPr>
        <w:t xml:space="preserve"> </w:t>
      </w:r>
      <w:r w:rsidR="00AC3E14" w:rsidRPr="005B4339">
        <w:rPr>
          <w:rFonts w:ascii="Times New Roman" w:hAnsi="Times New Roman" w:cs="Times New Roman"/>
          <w:noProof/>
          <w:sz w:val="24"/>
          <w:szCs w:val="24"/>
          <w:lang w:val="en-IE"/>
        </w:rPr>
        <w:t>set EU targets for the management of textiles. This top-down approach offers the greatest flexibility to Member States on how to achieve those targets.</w:t>
      </w:r>
      <w:r w:rsidRPr="005B4339">
        <w:rPr>
          <w:rFonts w:ascii="Times New Roman" w:hAnsi="Times New Roman" w:cs="Times New Roman"/>
          <w:noProof/>
          <w:sz w:val="24"/>
          <w:szCs w:val="24"/>
          <w:lang w:val="en-IE"/>
        </w:rPr>
        <w:t xml:space="preserve"> However</w:t>
      </w:r>
      <w:r w:rsidR="0049304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all the targets that could be applied are dependent upon good quality data to define the starting point for Member States in terms of their current textile waste generation</w:t>
      </w:r>
      <w:r w:rsidR="00FE3236" w:rsidRPr="005B4339">
        <w:rPr>
          <w:rFonts w:ascii="Times New Roman" w:hAnsi="Times New Roman" w:cs="Times New Roman"/>
          <w:noProof/>
          <w:sz w:val="24"/>
          <w:szCs w:val="24"/>
          <w:lang w:val="en-IE"/>
        </w:rPr>
        <w:t xml:space="preserve"> volumes</w:t>
      </w:r>
      <w:r w:rsidR="00D5765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their sorting capacities</w:t>
      </w:r>
      <w:r w:rsidR="00D57657"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their </w:t>
      </w:r>
      <w:r w:rsidR="00FE3236" w:rsidRPr="005B4339">
        <w:rPr>
          <w:rFonts w:ascii="Times New Roman" w:hAnsi="Times New Roman" w:cs="Times New Roman"/>
          <w:noProof/>
          <w:sz w:val="24"/>
          <w:szCs w:val="24"/>
          <w:lang w:val="en-IE"/>
        </w:rPr>
        <w:t>collection</w:t>
      </w:r>
      <w:r w:rsidR="00D57657" w:rsidRPr="005B4339">
        <w:rPr>
          <w:rFonts w:ascii="Times New Roman" w:hAnsi="Times New Roman" w:cs="Times New Roman"/>
          <w:noProof/>
          <w:sz w:val="24"/>
          <w:szCs w:val="24"/>
          <w:lang w:val="en-IE"/>
        </w:rPr>
        <w:t>,</w:t>
      </w:r>
      <w:r w:rsidR="00FE3236" w:rsidRPr="005B4339">
        <w:rPr>
          <w:rFonts w:ascii="Times New Roman" w:hAnsi="Times New Roman" w:cs="Times New Roman"/>
          <w:noProof/>
          <w:sz w:val="24"/>
          <w:szCs w:val="24"/>
          <w:lang w:val="en-IE"/>
        </w:rPr>
        <w:t xml:space="preserve"> </w:t>
      </w:r>
      <w:r w:rsidR="00D96247" w:rsidRPr="005B4339">
        <w:rPr>
          <w:rFonts w:ascii="Times New Roman" w:hAnsi="Times New Roman" w:cs="Times New Roman"/>
          <w:noProof/>
          <w:sz w:val="24"/>
          <w:szCs w:val="24"/>
          <w:lang w:val="en-IE"/>
        </w:rPr>
        <w:t>reuse</w:t>
      </w:r>
      <w:r w:rsidR="00D57657" w:rsidRPr="005B4339">
        <w:rPr>
          <w:rFonts w:ascii="Times New Roman" w:hAnsi="Times New Roman" w:cs="Times New Roman"/>
          <w:noProof/>
          <w:sz w:val="24"/>
          <w:szCs w:val="24"/>
          <w:lang w:val="en-IE"/>
        </w:rPr>
        <w:t>,</w:t>
      </w:r>
      <w:r w:rsidR="00FE3236" w:rsidRPr="005B4339">
        <w:rPr>
          <w:rFonts w:ascii="Times New Roman" w:hAnsi="Times New Roman" w:cs="Times New Roman"/>
          <w:noProof/>
          <w:sz w:val="24"/>
          <w:szCs w:val="24"/>
          <w:lang w:val="en-IE"/>
        </w:rPr>
        <w:t xml:space="preserve"> preparation for </w:t>
      </w:r>
      <w:r w:rsidR="00D96247" w:rsidRPr="005B4339">
        <w:rPr>
          <w:rFonts w:ascii="Times New Roman" w:hAnsi="Times New Roman" w:cs="Times New Roman"/>
          <w:noProof/>
          <w:sz w:val="24"/>
          <w:szCs w:val="24"/>
          <w:lang w:val="en-IE"/>
        </w:rPr>
        <w:t>reuse</w:t>
      </w:r>
      <w:r w:rsidR="00FE3236" w:rsidRPr="005B4339">
        <w:rPr>
          <w:rFonts w:ascii="Times New Roman" w:hAnsi="Times New Roman" w:cs="Times New Roman"/>
          <w:noProof/>
          <w:sz w:val="24"/>
          <w:szCs w:val="24"/>
          <w:lang w:val="en-IE"/>
        </w:rPr>
        <w:t xml:space="preserve"> and recycling </w:t>
      </w:r>
      <w:r w:rsidRPr="005B4339">
        <w:rPr>
          <w:rFonts w:ascii="Times New Roman" w:hAnsi="Times New Roman" w:cs="Times New Roman"/>
          <w:noProof/>
          <w:sz w:val="24"/>
          <w:szCs w:val="24"/>
          <w:lang w:val="en-IE"/>
        </w:rPr>
        <w:t>rates</w:t>
      </w:r>
      <w:r w:rsidR="00FE3236"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As outlined </w:t>
      </w:r>
      <w:r w:rsidR="00FE3236" w:rsidRPr="005B4339">
        <w:rPr>
          <w:rFonts w:ascii="Times New Roman" w:hAnsi="Times New Roman" w:cs="Times New Roman"/>
          <w:noProof/>
          <w:sz w:val="24"/>
          <w:szCs w:val="24"/>
          <w:lang w:val="en-IE"/>
        </w:rPr>
        <w:t>in Annex 7</w:t>
      </w:r>
      <w:r w:rsidR="00493047" w:rsidRPr="005B4339">
        <w:rPr>
          <w:rFonts w:ascii="Times New Roman" w:hAnsi="Times New Roman" w:cs="Times New Roman"/>
          <w:noProof/>
          <w:sz w:val="24"/>
          <w:szCs w:val="24"/>
          <w:lang w:val="en-IE"/>
        </w:rPr>
        <w:t>,</w:t>
      </w:r>
      <w:r w:rsidR="000853A1"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there is a lack of common understanding of textiles in the context of the WFD </w:t>
      </w:r>
      <w:r w:rsidR="000853A1" w:rsidRPr="005B4339">
        <w:rPr>
          <w:rFonts w:ascii="Times New Roman" w:hAnsi="Times New Roman" w:cs="Times New Roman"/>
          <w:noProof/>
          <w:sz w:val="24"/>
          <w:szCs w:val="24"/>
          <w:lang w:val="en-IE"/>
        </w:rPr>
        <w:t xml:space="preserve">and there are other data </w:t>
      </w:r>
      <w:r w:rsidR="00755184" w:rsidRPr="005B4339">
        <w:rPr>
          <w:rFonts w:ascii="Times New Roman" w:hAnsi="Times New Roman" w:cs="Times New Roman"/>
          <w:noProof/>
          <w:sz w:val="24"/>
          <w:szCs w:val="24"/>
          <w:lang w:val="en-IE"/>
        </w:rPr>
        <w:t xml:space="preserve">and information </w:t>
      </w:r>
      <w:r w:rsidR="000853A1" w:rsidRPr="005B4339">
        <w:rPr>
          <w:rFonts w:ascii="Times New Roman" w:hAnsi="Times New Roman" w:cs="Times New Roman"/>
          <w:noProof/>
          <w:sz w:val="24"/>
          <w:szCs w:val="24"/>
          <w:lang w:val="en-IE"/>
        </w:rPr>
        <w:t>gaps</w:t>
      </w:r>
      <w:r w:rsidR="00755184" w:rsidRPr="005B4339">
        <w:rPr>
          <w:rFonts w:ascii="Times New Roman" w:hAnsi="Times New Roman" w:cs="Times New Roman"/>
          <w:noProof/>
          <w:sz w:val="24"/>
          <w:szCs w:val="24"/>
          <w:lang w:val="en-IE"/>
        </w:rPr>
        <w:t xml:space="preserve">. </w:t>
      </w:r>
      <w:r w:rsidRPr="005B4339">
        <w:rPr>
          <w:rFonts w:ascii="Times New Roman" w:hAnsi="Times New Roman" w:cs="Times New Roman"/>
          <w:noProof/>
          <w:sz w:val="24"/>
          <w:szCs w:val="24"/>
          <w:lang w:val="en-IE"/>
        </w:rPr>
        <w:t xml:space="preserve">This </w:t>
      </w:r>
      <w:r w:rsidR="00755184" w:rsidRPr="005B4339">
        <w:rPr>
          <w:rFonts w:ascii="Times New Roman" w:hAnsi="Times New Roman" w:cs="Times New Roman"/>
          <w:noProof/>
          <w:sz w:val="24"/>
          <w:szCs w:val="24"/>
          <w:lang w:val="en-IE"/>
        </w:rPr>
        <w:t xml:space="preserve">means that option 3 carries the </w:t>
      </w:r>
      <w:r w:rsidRPr="005B4339">
        <w:rPr>
          <w:rFonts w:ascii="Times New Roman" w:hAnsi="Times New Roman" w:cs="Times New Roman"/>
          <w:noProof/>
          <w:sz w:val="24"/>
          <w:szCs w:val="24"/>
          <w:lang w:val="en-IE"/>
        </w:rPr>
        <w:t xml:space="preserve">significant risk of setting targets </w:t>
      </w:r>
      <w:r w:rsidR="00755184" w:rsidRPr="005B4339">
        <w:rPr>
          <w:rFonts w:ascii="Times New Roman" w:hAnsi="Times New Roman" w:cs="Times New Roman"/>
          <w:noProof/>
          <w:sz w:val="24"/>
          <w:szCs w:val="24"/>
          <w:lang w:val="en-IE"/>
        </w:rPr>
        <w:t xml:space="preserve">based </w:t>
      </w:r>
      <w:r w:rsidRPr="005B4339">
        <w:rPr>
          <w:rFonts w:ascii="Times New Roman" w:hAnsi="Times New Roman" w:cs="Times New Roman"/>
          <w:noProof/>
          <w:sz w:val="24"/>
          <w:szCs w:val="24"/>
          <w:lang w:val="en-IE"/>
        </w:rPr>
        <w:t>on incomplete data</w:t>
      </w:r>
      <w:r w:rsidR="00755184" w:rsidRPr="005B4339">
        <w:rPr>
          <w:rFonts w:ascii="Times New Roman" w:hAnsi="Times New Roman" w:cs="Times New Roman"/>
          <w:noProof/>
          <w:sz w:val="24"/>
          <w:szCs w:val="24"/>
          <w:lang w:val="en-IE"/>
        </w:rPr>
        <w:t>. Hence</w:t>
      </w:r>
      <w:r w:rsidR="3EE5642A" w:rsidRPr="005B4339">
        <w:rPr>
          <w:rFonts w:ascii="Times New Roman" w:hAnsi="Times New Roman" w:cs="Times New Roman"/>
          <w:noProof/>
          <w:sz w:val="24"/>
          <w:szCs w:val="24"/>
          <w:lang w:val="en-IE"/>
        </w:rPr>
        <w:t>,</w:t>
      </w:r>
      <w:r w:rsidR="00755184" w:rsidRPr="005B4339">
        <w:rPr>
          <w:rFonts w:ascii="Times New Roman" w:hAnsi="Times New Roman" w:cs="Times New Roman"/>
          <w:noProof/>
          <w:sz w:val="24"/>
          <w:szCs w:val="24"/>
          <w:lang w:val="en-IE"/>
        </w:rPr>
        <w:t xml:space="preserve"> it is not possible</w:t>
      </w:r>
      <w:r w:rsidRPr="005B4339">
        <w:rPr>
          <w:rFonts w:ascii="Times New Roman" w:hAnsi="Times New Roman" w:cs="Times New Roman"/>
          <w:noProof/>
          <w:sz w:val="24"/>
          <w:szCs w:val="24"/>
          <w:lang w:val="en-IE"/>
        </w:rPr>
        <w:t xml:space="preserve"> </w:t>
      </w:r>
      <w:r w:rsidR="00755184" w:rsidRPr="005B4339">
        <w:rPr>
          <w:rFonts w:ascii="Times New Roman" w:hAnsi="Times New Roman" w:cs="Times New Roman"/>
          <w:noProof/>
          <w:sz w:val="24"/>
          <w:szCs w:val="24"/>
          <w:lang w:val="en-IE"/>
        </w:rPr>
        <w:t xml:space="preserve">to set targets that are </w:t>
      </w:r>
      <w:r w:rsidRPr="005B4339">
        <w:rPr>
          <w:rFonts w:ascii="Times New Roman" w:hAnsi="Times New Roman" w:cs="Times New Roman"/>
          <w:noProof/>
          <w:sz w:val="24"/>
          <w:szCs w:val="24"/>
          <w:lang w:val="en-IE"/>
        </w:rPr>
        <w:t>ambitio</w:t>
      </w:r>
      <w:r w:rsidR="001649F9" w:rsidRPr="005B4339">
        <w:rPr>
          <w:rFonts w:ascii="Times New Roman" w:hAnsi="Times New Roman" w:cs="Times New Roman"/>
          <w:noProof/>
          <w:sz w:val="24"/>
          <w:szCs w:val="24"/>
          <w:lang w:val="en-IE"/>
        </w:rPr>
        <w:t xml:space="preserve">us but </w:t>
      </w:r>
      <w:r w:rsidRPr="005B4339">
        <w:rPr>
          <w:rFonts w:ascii="Times New Roman" w:hAnsi="Times New Roman" w:cs="Times New Roman"/>
          <w:noProof/>
          <w:sz w:val="24"/>
          <w:szCs w:val="24"/>
          <w:lang w:val="en-IE"/>
        </w:rPr>
        <w:t>achievable</w:t>
      </w:r>
      <w:r w:rsidR="001727F6" w:rsidRPr="005B4339">
        <w:rPr>
          <w:rFonts w:ascii="Times New Roman" w:hAnsi="Times New Roman" w:cs="Times New Roman"/>
          <w:noProof/>
          <w:sz w:val="24"/>
          <w:szCs w:val="24"/>
          <w:lang w:val="en-IE"/>
        </w:rPr>
        <w:t xml:space="preserve"> except </w:t>
      </w:r>
      <w:r w:rsidRPr="005B4339">
        <w:rPr>
          <w:rFonts w:ascii="Times New Roman" w:hAnsi="Times New Roman" w:cs="Times New Roman"/>
          <w:noProof/>
          <w:sz w:val="24"/>
          <w:szCs w:val="24"/>
          <w:lang w:val="en-IE"/>
        </w:rPr>
        <w:t xml:space="preserve">for </w:t>
      </w:r>
      <w:r w:rsidR="00A5527A" w:rsidRPr="005B4339">
        <w:rPr>
          <w:rFonts w:ascii="Times New Roman" w:hAnsi="Times New Roman" w:cs="Times New Roman"/>
          <w:noProof/>
          <w:sz w:val="24"/>
          <w:szCs w:val="24"/>
          <w:lang w:val="en-IE"/>
        </w:rPr>
        <w:t xml:space="preserve">a </w:t>
      </w:r>
      <w:r w:rsidRPr="005B4339">
        <w:rPr>
          <w:rFonts w:ascii="Times New Roman" w:hAnsi="Times New Roman" w:cs="Times New Roman"/>
          <w:noProof/>
          <w:sz w:val="24"/>
          <w:szCs w:val="24"/>
          <w:lang w:val="en-IE"/>
        </w:rPr>
        <w:t xml:space="preserve">separate collection </w:t>
      </w:r>
      <w:r w:rsidR="00A5527A" w:rsidRPr="005B4339">
        <w:rPr>
          <w:rFonts w:ascii="Times New Roman" w:hAnsi="Times New Roman" w:cs="Times New Roman"/>
          <w:noProof/>
          <w:sz w:val="24"/>
          <w:szCs w:val="24"/>
          <w:lang w:val="en-IE"/>
        </w:rPr>
        <w:t xml:space="preserve">target. </w:t>
      </w:r>
      <w:r w:rsidR="007D3826" w:rsidRPr="005B4339">
        <w:rPr>
          <w:rFonts w:ascii="Times New Roman" w:hAnsi="Times New Roman" w:cs="Times New Roman"/>
          <w:noProof/>
          <w:sz w:val="24"/>
          <w:szCs w:val="24"/>
          <w:lang w:val="en-IE"/>
        </w:rPr>
        <w:t xml:space="preserve">The existing </w:t>
      </w:r>
      <w:r w:rsidRPr="005B4339">
        <w:rPr>
          <w:rFonts w:ascii="Times New Roman" w:hAnsi="Times New Roman" w:cs="Times New Roman"/>
          <w:noProof/>
          <w:sz w:val="24"/>
          <w:szCs w:val="24"/>
          <w:lang w:val="en-IE"/>
        </w:rPr>
        <w:t>obligations under Article 11(1) would render such a target more feasible</w:t>
      </w:r>
      <w:r w:rsidR="007D3826" w:rsidRPr="005B4339">
        <w:rPr>
          <w:rFonts w:ascii="Times New Roman" w:hAnsi="Times New Roman" w:cs="Times New Roman"/>
          <w:noProof/>
          <w:sz w:val="24"/>
          <w:szCs w:val="24"/>
          <w:lang w:val="en-IE"/>
        </w:rPr>
        <w:t xml:space="preserve"> to achieve. It </w:t>
      </w:r>
      <w:r w:rsidRPr="005B4339">
        <w:rPr>
          <w:rFonts w:ascii="Times New Roman" w:hAnsi="Times New Roman" w:cs="Times New Roman"/>
          <w:noProof/>
          <w:sz w:val="24"/>
          <w:szCs w:val="24"/>
          <w:lang w:val="en-IE"/>
        </w:rPr>
        <w:t xml:space="preserve">is considered </w:t>
      </w:r>
      <w:r w:rsidR="007D3826" w:rsidRPr="005B4339">
        <w:rPr>
          <w:rFonts w:ascii="Times New Roman" w:hAnsi="Times New Roman" w:cs="Times New Roman"/>
          <w:noProof/>
          <w:sz w:val="24"/>
          <w:szCs w:val="24"/>
          <w:lang w:val="en-IE"/>
        </w:rPr>
        <w:t xml:space="preserve">premature to </w:t>
      </w:r>
      <w:r w:rsidRPr="005B4339">
        <w:rPr>
          <w:rFonts w:ascii="Times New Roman" w:hAnsi="Times New Roman" w:cs="Times New Roman"/>
          <w:noProof/>
          <w:sz w:val="24"/>
          <w:szCs w:val="24"/>
          <w:lang w:val="en-IE"/>
        </w:rPr>
        <w:t>set the other targets assessed.</w:t>
      </w:r>
    </w:p>
    <w:p w14:paraId="269CFB63" w14:textId="2AA2CAB3" w:rsidR="00EC1F5D" w:rsidRPr="005B4339" w:rsidRDefault="00EC1F5D"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measures under Option 3</w:t>
      </w:r>
      <w:r w:rsidR="6D28FCB1"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could the targets be set</w:t>
      </w:r>
      <w:r w:rsidR="418CA310"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would likely be cost effective as flexibility would be left to Member States to achieve the</w:t>
      </w:r>
      <w:r w:rsidR="00975876" w:rsidRPr="005B4339">
        <w:rPr>
          <w:rFonts w:ascii="Times New Roman" w:hAnsi="Times New Roman" w:cs="Times New Roman"/>
          <w:noProof/>
          <w:sz w:val="24"/>
          <w:szCs w:val="24"/>
          <w:lang w:val="en-IE"/>
        </w:rPr>
        <w:t>m</w:t>
      </w:r>
      <w:r w:rsidRPr="005B4339">
        <w:rPr>
          <w:rFonts w:ascii="Times New Roman" w:hAnsi="Times New Roman" w:cs="Times New Roman"/>
          <w:noProof/>
          <w:sz w:val="24"/>
          <w:szCs w:val="24"/>
          <w:lang w:val="en-IE"/>
        </w:rPr>
        <w:t>. However</w:t>
      </w:r>
      <w:r w:rsidR="0C7A97BA"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as noted earlier</w:t>
      </w:r>
      <w:r w:rsidR="3A7301B6"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except in the case of Measure 3.6 it is considered that</w:t>
      </w:r>
      <w:r w:rsidR="00975876" w:rsidRPr="005B4339">
        <w:rPr>
          <w:rFonts w:ascii="Times New Roman" w:hAnsi="Times New Roman" w:cs="Times New Roman"/>
          <w:noProof/>
          <w:sz w:val="24"/>
          <w:szCs w:val="24"/>
          <w:lang w:val="en-IE"/>
        </w:rPr>
        <w:t xml:space="preserve"> the current data is</w:t>
      </w:r>
      <w:r w:rsidRPr="005B4339">
        <w:rPr>
          <w:rFonts w:ascii="Times New Roman" w:hAnsi="Times New Roman" w:cs="Times New Roman"/>
          <w:noProof/>
          <w:sz w:val="24"/>
          <w:szCs w:val="24"/>
          <w:lang w:val="en-IE"/>
        </w:rPr>
        <w:t xml:space="preserve"> insufficient to set such targets with the risk of inappropriate targets being set</w:t>
      </w:r>
      <w:r w:rsidR="00B603E1" w:rsidRPr="005B4339">
        <w:rPr>
          <w:rFonts w:ascii="Times New Roman" w:hAnsi="Times New Roman" w:cs="Times New Roman"/>
          <w:noProof/>
          <w:sz w:val="24"/>
          <w:szCs w:val="24"/>
          <w:lang w:val="en-IE"/>
        </w:rPr>
        <w:t>. In turn</w:t>
      </w:r>
      <w:r w:rsidR="5E45BD6B" w:rsidRPr="005B4339">
        <w:rPr>
          <w:rFonts w:ascii="Times New Roman" w:hAnsi="Times New Roman" w:cs="Times New Roman"/>
          <w:noProof/>
          <w:sz w:val="24"/>
          <w:szCs w:val="24"/>
          <w:lang w:val="en-IE"/>
        </w:rPr>
        <w:t>,</w:t>
      </w:r>
      <w:r w:rsidR="00B603E1" w:rsidRPr="005B4339">
        <w:rPr>
          <w:rFonts w:ascii="Times New Roman" w:hAnsi="Times New Roman" w:cs="Times New Roman"/>
          <w:noProof/>
          <w:sz w:val="24"/>
          <w:szCs w:val="24"/>
          <w:lang w:val="en-IE"/>
        </w:rPr>
        <w:t xml:space="preserve"> inappropriate </w:t>
      </w:r>
      <w:r w:rsidRPr="005B4339">
        <w:rPr>
          <w:rFonts w:ascii="Times New Roman" w:hAnsi="Times New Roman" w:cs="Times New Roman"/>
          <w:noProof/>
          <w:sz w:val="24"/>
          <w:szCs w:val="24"/>
          <w:lang w:val="en-IE"/>
        </w:rPr>
        <w:t xml:space="preserve">investments </w:t>
      </w:r>
      <w:r w:rsidR="00B603E1" w:rsidRPr="005B4339">
        <w:rPr>
          <w:rFonts w:ascii="Times New Roman" w:hAnsi="Times New Roman" w:cs="Times New Roman"/>
          <w:noProof/>
          <w:sz w:val="24"/>
          <w:szCs w:val="24"/>
          <w:lang w:val="en-IE"/>
        </w:rPr>
        <w:t>could be</w:t>
      </w:r>
      <w:r w:rsidRPr="005B4339">
        <w:rPr>
          <w:rFonts w:ascii="Times New Roman" w:hAnsi="Times New Roman" w:cs="Times New Roman"/>
          <w:noProof/>
          <w:sz w:val="24"/>
          <w:szCs w:val="24"/>
          <w:lang w:val="en-IE"/>
        </w:rPr>
        <w:t xml:space="preserve"> made with resulting benefits also being limited in impact.</w:t>
      </w:r>
      <w:r w:rsidR="00F22168" w:rsidRPr="005B4339">
        <w:rPr>
          <w:rFonts w:ascii="Times New Roman" w:hAnsi="Times New Roman" w:cs="Times New Roman"/>
          <w:noProof/>
          <w:sz w:val="24"/>
          <w:szCs w:val="24"/>
          <w:lang w:val="en-IE"/>
        </w:rPr>
        <w:t xml:space="preserve"> </w:t>
      </w:r>
      <w:r w:rsidR="008B6C63" w:rsidRPr="005B4339">
        <w:rPr>
          <w:rFonts w:ascii="Times New Roman" w:hAnsi="Times New Roman" w:cs="Times New Roman"/>
          <w:noProof/>
          <w:sz w:val="24"/>
          <w:szCs w:val="24"/>
          <w:lang w:val="en-IE"/>
        </w:rPr>
        <w:t>Measure 3.6</w:t>
      </w:r>
      <w:r w:rsidR="1E333880" w:rsidRPr="005B4339">
        <w:rPr>
          <w:rFonts w:ascii="Times New Roman" w:hAnsi="Times New Roman" w:cs="Times New Roman"/>
          <w:noProof/>
          <w:sz w:val="24"/>
          <w:szCs w:val="24"/>
          <w:lang w:val="en-IE"/>
        </w:rPr>
        <w:t>,</w:t>
      </w:r>
      <w:r w:rsidR="008B6C63" w:rsidRPr="005B4339">
        <w:rPr>
          <w:rFonts w:ascii="Times New Roman" w:hAnsi="Times New Roman" w:cs="Times New Roman"/>
          <w:noProof/>
          <w:sz w:val="24"/>
          <w:szCs w:val="24"/>
          <w:lang w:val="en-IE"/>
        </w:rPr>
        <w:t xml:space="preserve"> which is the only target that could possibly be set on the basis of the information currently available</w:t>
      </w:r>
      <w:r w:rsidR="00C069F8" w:rsidRPr="005B4339">
        <w:rPr>
          <w:rFonts w:ascii="Times New Roman" w:hAnsi="Times New Roman" w:cs="Times New Roman"/>
          <w:noProof/>
          <w:sz w:val="24"/>
          <w:szCs w:val="24"/>
          <w:lang w:val="en-IE"/>
        </w:rPr>
        <w:t xml:space="preserve"> – even if the studies show large heterogeneity of their predicted rates –</w:t>
      </w:r>
      <w:r w:rsidR="008B6C63" w:rsidRPr="005B4339">
        <w:rPr>
          <w:rFonts w:ascii="Times New Roman" w:hAnsi="Times New Roman" w:cs="Times New Roman"/>
          <w:noProof/>
          <w:sz w:val="24"/>
          <w:szCs w:val="24"/>
          <w:lang w:val="en-IE"/>
        </w:rPr>
        <w:t xml:space="preserve"> would result in extra costs for a number of Member States with collection</w:t>
      </w:r>
      <w:r w:rsidR="00977318" w:rsidRPr="005B4339">
        <w:rPr>
          <w:rFonts w:ascii="Times New Roman" w:hAnsi="Times New Roman" w:cs="Times New Roman"/>
          <w:noProof/>
          <w:sz w:val="24"/>
          <w:szCs w:val="24"/>
          <w:lang w:val="en-IE"/>
        </w:rPr>
        <w:t>,</w:t>
      </w:r>
      <w:r w:rsidR="00FF68C7" w:rsidRPr="005B4339">
        <w:rPr>
          <w:rFonts w:ascii="Times New Roman" w:hAnsi="Times New Roman" w:cs="Times New Roman"/>
          <w:noProof/>
          <w:sz w:val="24"/>
          <w:szCs w:val="24"/>
          <w:lang w:val="en-IE"/>
        </w:rPr>
        <w:t xml:space="preserve"> sorting and treatment costs </w:t>
      </w:r>
      <w:r w:rsidR="008B6C63" w:rsidRPr="005B4339">
        <w:rPr>
          <w:rFonts w:ascii="Times New Roman" w:hAnsi="Times New Roman" w:cs="Times New Roman"/>
          <w:noProof/>
          <w:sz w:val="24"/>
          <w:szCs w:val="24"/>
          <w:lang w:val="en-IE"/>
        </w:rPr>
        <w:t xml:space="preserve">totalling </w:t>
      </w:r>
      <w:r w:rsidR="00977318" w:rsidRPr="005B4339">
        <w:rPr>
          <w:rFonts w:ascii="Times New Roman" w:hAnsi="Times New Roman" w:cs="Times New Roman"/>
          <w:noProof/>
          <w:sz w:val="24"/>
          <w:szCs w:val="24"/>
          <w:lang w:val="en-IE"/>
        </w:rPr>
        <w:t>39.5</w:t>
      </w:r>
      <w:r w:rsidR="00FF68C7" w:rsidRPr="005B4339">
        <w:rPr>
          <w:rFonts w:ascii="Times New Roman" w:hAnsi="Times New Roman" w:cs="Times New Roman"/>
          <w:noProof/>
          <w:sz w:val="24"/>
          <w:szCs w:val="24"/>
          <w:lang w:val="en-IE"/>
        </w:rPr>
        <w:t xml:space="preserve"> million </w:t>
      </w:r>
      <w:r w:rsidR="00B0109F" w:rsidRPr="005B4339">
        <w:rPr>
          <w:rFonts w:ascii="Times New Roman" w:hAnsi="Times New Roman" w:cs="Times New Roman"/>
          <w:noProof/>
          <w:sz w:val="24"/>
          <w:szCs w:val="24"/>
          <w:lang w:val="en-IE"/>
        </w:rPr>
        <w:t xml:space="preserve">euro </w:t>
      </w:r>
      <w:r w:rsidR="00FF68C7" w:rsidRPr="005B4339">
        <w:rPr>
          <w:rFonts w:ascii="Times New Roman" w:hAnsi="Times New Roman" w:cs="Times New Roman"/>
          <w:noProof/>
          <w:sz w:val="24"/>
          <w:szCs w:val="24"/>
          <w:lang w:val="en-IE"/>
        </w:rPr>
        <w:t xml:space="preserve">per </w:t>
      </w:r>
      <w:r w:rsidR="2C8DF834" w:rsidRPr="005B4339">
        <w:rPr>
          <w:rFonts w:ascii="Times New Roman" w:hAnsi="Times New Roman" w:cs="Times New Roman"/>
          <w:noProof/>
          <w:sz w:val="24"/>
          <w:szCs w:val="24"/>
          <w:lang w:val="en-IE"/>
        </w:rPr>
        <w:t>year</w:t>
      </w:r>
      <w:r w:rsidR="783B906F" w:rsidRPr="005B4339">
        <w:rPr>
          <w:rFonts w:ascii="Times New Roman" w:hAnsi="Times New Roman" w:cs="Times New Roman"/>
          <w:noProof/>
          <w:sz w:val="24"/>
          <w:szCs w:val="24"/>
          <w:lang w:val="en-IE"/>
        </w:rPr>
        <w:t>.</w:t>
      </w:r>
      <w:r w:rsidR="00FF68C7" w:rsidRPr="005B4339">
        <w:rPr>
          <w:rFonts w:ascii="Times New Roman" w:hAnsi="Times New Roman" w:cs="Times New Roman"/>
          <w:noProof/>
          <w:sz w:val="24"/>
          <w:szCs w:val="24"/>
          <w:lang w:val="en-IE"/>
        </w:rPr>
        <w:t xml:space="preserve"> At the same time approximately </w:t>
      </w:r>
      <w:r w:rsidR="00AA5646" w:rsidRPr="005B4339">
        <w:rPr>
          <w:rFonts w:ascii="Times New Roman" w:hAnsi="Times New Roman" w:cs="Times New Roman"/>
          <w:noProof/>
          <w:sz w:val="24"/>
          <w:szCs w:val="24"/>
          <w:lang w:val="en-IE"/>
        </w:rPr>
        <w:t>23</w:t>
      </w:r>
      <w:r w:rsidR="00FF68C7" w:rsidRPr="005B4339">
        <w:rPr>
          <w:rFonts w:ascii="Times New Roman" w:hAnsi="Times New Roman" w:cs="Times New Roman"/>
          <w:noProof/>
          <w:sz w:val="24"/>
          <w:szCs w:val="24"/>
          <w:lang w:val="en-IE"/>
        </w:rPr>
        <w:t xml:space="preserve"> million </w:t>
      </w:r>
      <w:r w:rsidR="00B0109F" w:rsidRPr="005B4339">
        <w:rPr>
          <w:rFonts w:ascii="Times New Roman" w:hAnsi="Times New Roman" w:cs="Times New Roman"/>
          <w:noProof/>
          <w:sz w:val="24"/>
          <w:szCs w:val="24"/>
          <w:lang w:val="en-IE"/>
        </w:rPr>
        <w:t>euro</w:t>
      </w:r>
      <w:r w:rsidR="00BF4B99" w:rsidRPr="005B4339">
        <w:rPr>
          <w:rFonts w:ascii="Times New Roman" w:hAnsi="Times New Roman" w:cs="Times New Roman"/>
          <w:noProof/>
          <w:sz w:val="24"/>
          <w:szCs w:val="24"/>
          <w:lang w:val="en-IE"/>
        </w:rPr>
        <w:t xml:space="preserve"> </w:t>
      </w:r>
      <w:r w:rsidR="00FF68C7" w:rsidRPr="005B4339">
        <w:rPr>
          <w:rFonts w:ascii="Times New Roman" w:hAnsi="Times New Roman" w:cs="Times New Roman"/>
          <w:noProof/>
          <w:sz w:val="24"/>
          <w:szCs w:val="24"/>
          <w:lang w:val="en-IE"/>
        </w:rPr>
        <w:t xml:space="preserve">of reusable textiles would be available to be placed on the market and </w:t>
      </w:r>
      <w:r w:rsidR="00AA5646" w:rsidRPr="005B4339">
        <w:rPr>
          <w:rFonts w:ascii="Times New Roman" w:hAnsi="Times New Roman" w:cs="Times New Roman"/>
          <w:noProof/>
          <w:sz w:val="24"/>
          <w:szCs w:val="24"/>
          <w:lang w:val="en-IE"/>
        </w:rPr>
        <w:t>5</w:t>
      </w:r>
      <w:r w:rsidR="00FF68C7" w:rsidRPr="005B4339">
        <w:rPr>
          <w:rFonts w:ascii="Times New Roman" w:hAnsi="Times New Roman" w:cs="Times New Roman"/>
          <w:noProof/>
          <w:sz w:val="24"/>
          <w:szCs w:val="24"/>
          <w:lang w:val="en-IE"/>
        </w:rPr>
        <w:t xml:space="preserve"> million </w:t>
      </w:r>
      <w:r w:rsidR="00493047" w:rsidRPr="005B4339">
        <w:rPr>
          <w:rFonts w:ascii="Times New Roman" w:hAnsi="Times New Roman" w:cs="Times New Roman"/>
          <w:noProof/>
          <w:sz w:val="24"/>
          <w:szCs w:val="24"/>
          <w:lang w:val="en-IE"/>
        </w:rPr>
        <w:t xml:space="preserve">euro </w:t>
      </w:r>
      <w:r w:rsidR="00FF68C7" w:rsidRPr="005B4339">
        <w:rPr>
          <w:rFonts w:ascii="Times New Roman" w:hAnsi="Times New Roman" w:cs="Times New Roman"/>
          <w:noProof/>
          <w:sz w:val="24"/>
          <w:szCs w:val="24"/>
          <w:lang w:val="en-IE"/>
        </w:rPr>
        <w:t>of textiles suitable for recycling would be captured. Additional reductions in GHG emissions and increases in employment would also be expected.</w:t>
      </w:r>
      <w:r w:rsidR="004668E6" w:rsidRPr="005B4339">
        <w:rPr>
          <w:rFonts w:ascii="Times New Roman" w:hAnsi="Times New Roman" w:cs="Times New Roman"/>
          <w:noProof/>
          <w:sz w:val="24"/>
          <w:szCs w:val="24"/>
          <w:lang w:val="en-IE"/>
        </w:rPr>
        <w:t xml:space="preserve"> Option 3 is coherent with existing and planned EU policy initiatives.</w:t>
      </w:r>
    </w:p>
    <w:p w14:paraId="5742F081" w14:textId="6A33CAF8" w:rsidR="00336878" w:rsidRPr="005B4339" w:rsidRDefault="00336878" w:rsidP="00D10F63">
      <w:pPr>
        <w:pStyle w:val="WDBody"/>
        <w:spacing w:after="120"/>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 xml:space="preserve">Significant and direct environmental impacts from the policy options – more so for Options 2 and 3 </w:t>
      </w:r>
      <w:r w:rsidR="00690AA5"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especially on water</w:t>
      </w:r>
      <w:r w:rsidR="17860FDC" w:rsidRPr="005B4339">
        <w:rPr>
          <w:rFonts w:ascii="Times New Roman" w:hAnsi="Times New Roman" w:cs="Times New Roman"/>
          <w:noProof/>
          <w:sz w:val="24"/>
          <w:szCs w:val="24"/>
          <w:lang w:val="en-IE"/>
        </w:rPr>
        <w:t>,</w:t>
      </w:r>
      <w:r w:rsidRPr="005B4339">
        <w:rPr>
          <w:rFonts w:ascii="Times New Roman" w:hAnsi="Times New Roman" w:cs="Times New Roman"/>
          <w:noProof/>
          <w:sz w:val="24"/>
          <w:szCs w:val="24"/>
          <w:lang w:val="en-IE"/>
        </w:rPr>
        <w:t xml:space="preserve"> soil and air quality are likely to have substantial and positive indirect effects on human health and public health and social care systems across the EU</w:t>
      </w:r>
      <w:r w:rsidR="00690AA5" w:rsidRPr="005B4339">
        <w:rPr>
          <w:rFonts w:ascii="Times New Roman" w:hAnsi="Times New Roman" w:cs="Times New Roman"/>
          <w:noProof/>
          <w:sz w:val="24"/>
          <w:szCs w:val="24"/>
          <w:lang w:val="en-IE"/>
        </w:rPr>
        <w:t xml:space="preserve"> as well as </w:t>
      </w:r>
      <w:r w:rsidRPr="005B4339">
        <w:rPr>
          <w:rFonts w:ascii="Times New Roman" w:hAnsi="Times New Roman" w:cs="Times New Roman"/>
          <w:noProof/>
          <w:sz w:val="24"/>
          <w:szCs w:val="24"/>
          <w:lang w:val="en-IE"/>
        </w:rPr>
        <w:t xml:space="preserve">in </w:t>
      </w:r>
      <w:r w:rsidR="00180C68" w:rsidRPr="005B4339">
        <w:rPr>
          <w:rFonts w:ascii="Times New Roman" w:hAnsi="Times New Roman" w:cs="Times New Roman"/>
          <w:noProof/>
          <w:sz w:val="24"/>
          <w:szCs w:val="24"/>
          <w:lang w:val="en-IE"/>
        </w:rPr>
        <w:t xml:space="preserve">third countries when textiles or textiles wastes are </w:t>
      </w:r>
      <w:r w:rsidRPr="005B4339">
        <w:rPr>
          <w:rFonts w:ascii="Times New Roman" w:hAnsi="Times New Roman" w:cs="Times New Roman"/>
          <w:noProof/>
          <w:sz w:val="24"/>
          <w:szCs w:val="24"/>
          <w:lang w:val="en-IE"/>
        </w:rPr>
        <w:t xml:space="preserve">exported </w:t>
      </w:r>
      <w:r w:rsidR="00180C68" w:rsidRPr="005B4339">
        <w:rPr>
          <w:rFonts w:ascii="Times New Roman" w:hAnsi="Times New Roman" w:cs="Times New Roman"/>
          <w:noProof/>
          <w:sz w:val="24"/>
          <w:szCs w:val="24"/>
          <w:lang w:val="en-IE"/>
        </w:rPr>
        <w:t xml:space="preserve">from the </w:t>
      </w:r>
      <w:r w:rsidRPr="005B4339">
        <w:rPr>
          <w:rFonts w:ascii="Times New Roman" w:hAnsi="Times New Roman" w:cs="Times New Roman"/>
          <w:noProof/>
          <w:sz w:val="24"/>
          <w:szCs w:val="24"/>
          <w:lang w:val="en-IE"/>
        </w:rPr>
        <w:t>EU. This would result in significant indirect positive social impacts</w:t>
      </w:r>
      <w:r w:rsidR="00977FFB" w:rsidRPr="005B4339">
        <w:rPr>
          <w:rFonts w:ascii="Times New Roman" w:hAnsi="Times New Roman" w:cs="Times New Roman"/>
          <w:noProof/>
          <w:sz w:val="24"/>
          <w:szCs w:val="24"/>
          <w:lang w:val="en-IE"/>
        </w:rPr>
        <w:t xml:space="preserve"> that </w:t>
      </w:r>
      <w:r w:rsidRPr="005B4339">
        <w:rPr>
          <w:rFonts w:ascii="Times New Roman" w:hAnsi="Times New Roman" w:cs="Times New Roman"/>
          <w:noProof/>
          <w:sz w:val="24"/>
          <w:szCs w:val="24"/>
          <w:lang w:val="en-IE"/>
        </w:rPr>
        <w:t>would also benefit the economy by improving labour productivity and other economic factors. These indirect social and economic impacts have been broadly captured as part of the qualitative assessment of environmental impacts.</w:t>
      </w:r>
    </w:p>
    <w:p w14:paraId="00175670" w14:textId="77777777" w:rsidR="00F53794" w:rsidRPr="005B4339" w:rsidRDefault="00F53794" w:rsidP="00EC4226">
      <w:pPr>
        <w:pStyle w:val="WDBody"/>
        <w:jc w:val="both"/>
        <w:rPr>
          <w:noProof/>
          <w:lang w:val="en-IE"/>
        </w:rPr>
        <w:sectPr w:rsidR="00F53794" w:rsidRPr="005B4339">
          <w:headerReference w:type="even" r:id="rId165"/>
          <w:headerReference w:type="default" r:id="rId166"/>
          <w:footerReference w:type="even" r:id="rId167"/>
          <w:footerReference w:type="default" r:id="rId168"/>
          <w:headerReference w:type="first" r:id="rId169"/>
          <w:footerReference w:type="first" r:id="rId170"/>
          <w:pgSz w:w="12240" w:h="15840"/>
          <w:pgMar w:top="1440" w:right="1440" w:bottom="1440" w:left="1440" w:header="601" w:footer="1077" w:gutter="0"/>
          <w:cols w:space="720"/>
        </w:sectPr>
      </w:pPr>
    </w:p>
    <w:p w14:paraId="2F62CEA9" w14:textId="38E4F1D2" w:rsidR="006F1679" w:rsidRPr="005B4339" w:rsidRDefault="00D7056D" w:rsidP="006F1679">
      <w:pPr>
        <w:pStyle w:val="Caption"/>
        <w:rPr>
          <w:noProof/>
          <w:color w:val="auto"/>
          <w:sz w:val="24"/>
          <w:szCs w:val="24"/>
          <w:lang w:val="en-IE"/>
        </w:rPr>
      </w:pPr>
      <w:bookmarkStart w:id="905" w:name="_Toc133229505"/>
      <w:bookmarkStart w:id="906" w:name="_Toc139032059"/>
      <w:r w:rsidRPr="005B4339">
        <w:rPr>
          <w:noProof/>
          <w:color w:val="auto"/>
          <w:sz w:val="24"/>
          <w:szCs w:val="24"/>
          <w:lang w:val="en-IE"/>
        </w:rPr>
        <w:t xml:space="preserve">Table </w:t>
      </w:r>
      <w:r w:rsidR="00393DFA">
        <w:rPr>
          <w:noProof/>
          <w:color w:val="auto"/>
          <w:sz w:val="24"/>
          <w:szCs w:val="24"/>
        </w:rPr>
        <w:t>43</w:t>
      </w:r>
      <w:r w:rsidR="006F1679" w:rsidRPr="005B4339">
        <w:rPr>
          <w:noProof/>
          <w:color w:val="auto"/>
          <w:sz w:val="24"/>
          <w:szCs w:val="24"/>
          <w:lang w:val="en-IE"/>
        </w:rPr>
        <w:t xml:space="preserve"> - Balance of costs and benefits for the three options and measures considered in this assessment</w:t>
      </w:r>
      <w:bookmarkEnd w:id="905"/>
      <w:bookmarkEnd w:id="906"/>
    </w:p>
    <w:tbl>
      <w:tblPr>
        <w:tblStyle w:val="TableGrid"/>
        <w:tblW w:w="0" w:type="auto"/>
        <w:tblLook w:val="04A0" w:firstRow="1" w:lastRow="0" w:firstColumn="1" w:lastColumn="0" w:noHBand="0" w:noVBand="1"/>
      </w:tblPr>
      <w:tblGrid>
        <w:gridCol w:w="2472"/>
        <w:gridCol w:w="5657"/>
        <w:gridCol w:w="5047"/>
      </w:tblGrid>
      <w:tr w:rsidR="00805200" w:rsidRPr="005B4339" w14:paraId="606C3EF9" w14:textId="77777777" w:rsidTr="007D1E20">
        <w:trPr>
          <w:trHeight w:val="386"/>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99ED49D" w14:textId="77777777" w:rsidR="00805200" w:rsidRPr="005B4339" w:rsidRDefault="00805200">
            <w:pPr>
              <w:spacing w:after="160" w:line="240" w:lineRule="atLeast"/>
              <w:jc w:val="left"/>
              <w:rPr>
                <w:rFonts w:eastAsiaTheme="minorHAnsi"/>
                <w:b/>
                <w:noProof/>
                <w:color w:val="000000"/>
                <w:lang w:val="en-IE"/>
              </w:rPr>
            </w:pPr>
            <w:r w:rsidRPr="005B4339">
              <w:rPr>
                <w:rFonts w:eastAsiaTheme="minorHAnsi"/>
                <w:b/>
                <w:noProof/>
                <w:color w:val="000000"/>
                <w:lang w:val="en-IE"/>
              </w:rPr>
              <w:t>Policy option and measure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1D4F6E51" w14:textId="77777777" w:rsidR="00805200" w:rsidRPr="005B4339" w:rsidRDefault="00805200">
            <w:pPr>
              <w:spacing w:after="160" w:line="240" w:lineRule="atLeast"/>
              <w:jc w:val="center"/>
              <w:rPr>
                <w:rFonts w:eastAsiaTheme="minorHAnsi"/>
                <w:b/>
                <w:noProof/>
                <w:color w:val="000000"/>
                <w:lang w:val="en-IE"/>
              </w:rPr>
            </w:pPr>
            <w:r w:rsidRPr="005B4339">
              <w:rPr>
                <w:rFonts w:eastAsiaTheme="minorHAnsi"/>
                <w:b/>
                <w:noProof/>
                <w:color w:val="000000"/>
                <w:lang w:val="en-IE"/>
              </w:rPr>
              <w:t>Description of impact</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0B47E6C1" w14:textId="77777777" w:rsidR="00805200" w:rsidRPr="005B4339" w:rsidRDefault="00805200">
            <w:pPr>
              <w:spacing w:after="160" w:line="240" w:lineRule="atLeast"/>
              <w:jc w:val="center"/>
              <w:rPr>
                <w:rFonts w:eastAsiaTheme="minorHAnsi"/>
                <w:b/>
                <w:noProof/>
                <w:color w:val="000000"/>
                <w:lang w:val="en-IE"/>
              </w:rPr>
            </w:pPr>
            <w:r w:rsidRPr="005B4339">
              <w:rPr>
                <w:rFonts w:eastAsiaTheme="minorHAnsi"/>
                <w:b/>
                <w:noProof/>
                <w:color w:val="000000"/>
                <w:lang w:val="en-IE"/>
              </w:rPr>
              <w:t>Overall balance with best alternative</w:t>
            </w:r>
          </w:p>
        </w:tc>
      </w:tr>
      <w:tr w:rsidR="00805200" w:rsidRPr="005B4339" w14:paraId="506C64E4" w14:textId="77777777" w:rsidTr="007D1E20">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3B8AD86" w14:textId="77777777" w:rsidR="00805200" w:rsidRPr="005B4339" w:rsidRDefault="00805200">
            <w:pPr>
              <w:spacing w:after="160" w:line="240" w:lineRule="atLeast"/>
              <w:jc w:val="left"/>
              <w:rPr>
                <w:rFonts w:eastAsiaTheme="minorHAnsi"/>
                <w:b/>
                <w:noProof/>
                <w:color w:val="000000"/>
                <w:lang w:val="en-IE"/>
              </w:rPr>
            </w:pPr>
            <w:r w:rsidRPr="005B4339">
              <w:rPr>
                <w:rFonts w:eastAsiaTheme="minorHAnsi"/>
                <w:b/>
                <w:noProof/>
                <w:color w:val="000000"/>
                <w:lang w:val="en-IE"/>
              </w:rPr>
              <w:t xml:space="preserve">Option 1 – </w:t>
            </w:r>
            <w:r w:rsidRPr="005B4339">
              <w:rPr>
                <w:b/>
                <w:noProof/>
                <w:lang w:val="en-IE"/>
              </w:rPr>
              <w:t>Supporting MS in implementing and enforcing current provisions</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EE5CA11" w14:textId="77777777"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1.1</w:t>
            </w:r>
          </w:p>
          <w:p w14:paraId="6085C697"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07207596" w14:textId="5C3ECDFB" w:rsidR="00805200" w:rsidRPr="005B4339" w:rsidRDefault="00805200">
            <w:pPr>
              <w:spacing w:after="0"/>
              <w:jc w:val="left"/>
              <w:rPr>
                <w:b/>
                <w:noProof/>
                <w:color w:val="000000" w:themeColor="text1"/>
                <w:lang w:val="en-IE"/>
              </w:rPr>
            </w:pPr>
            <w:r w:rsidRPr="005B4339">
              <w:rPr>
                <w:noProof/>
                <w:color w:val="000000" w:themeColor="text1"/>
                <w:lang w:val="en-IE"/>
              </w:rPr>
              <w:t>M</w:t>
            </w:r>
            <w:r w:rsidRPr="005B4339">
              <w:rPr>
                <w:noProof/>
                <w:lang w:val="en-IE"/>
              </w:rPr>
              <w:t xml:space="preserve">easure </w:t>
            </w:r>
            <w:r w:rsidRPr="005B4339">
              <w:rPr>
                <w:noProof/>
                <w:color w:val="000000" w:themeColor="text1"/>
                <w:lang w:val="en-IE"/>
              </w:rPr>
              <w:t>1.1 sub-option 1 alternative 1 adds collection costs 660 million euro per year.  These costs would fall on producers or consumers or a mix of the two depend</w:t>
            </w:r>
            <w:r w:rsidR="00D2599C" w:rsidRPr="005B4339">
              <w:rPr>
                <w:noProof/>
                <w:color w:val="000000" w:themeColor="text1"/>
                <w:lang w:val="en-IE"/>
              </w:rPr>
              <w:t>ing</w:t>
            </w:r>
            <w:r w:rsidRPr="005B4339">
              <w:rPr>
                <w:noProof/>
                <w:color w:val="000000" w:themeColor="text1"/>
                <w:lang w:val="en-IE"/>
              </w:rPr>
              <w:t xml:space="preserve"> on the approach employed at the Member State level to recover the costs of waste management.</w:t>
            </w:r>
          </w:p>
          <w:p w14:paraId="034BB019" w14:textId="77777777" w:rsidR="00805200" w:rsidRPr="005B4339" w:rsidRDefault="00805200">
            <w:pPr>
              <w:spacing w:after="0"/>
              <w:jc w:val="left"/>
              <w:rPr>
                <w:b/>
                <w:noProof/>
                <w:color w:val="000000" w:themeColor="text1"/>
                <w:lang w:val="en-IE"/>
              </w:rPr>
            </w:pPr>
          </w:p>
          <w:p w14:paraId="09AF4FD4" w14:textId="77777777" w:rsidR="00805200" w:rsidRPr="005B4339" w:rsidRDefault="00805200">
            <w:pPr>
              <w:spacing w:after="0"/>
              <w:jc w:val="left"/>
              <w:rPr>
                <w:noProof/>
                <w:color w:val="000000"/>
                <w:lang w:val="en-IE"/>
              </w:rPr>
            </w:pPr>
            <w:r w:rsidRPr="005B4339">
              <w:rPr>
                <w:b/>
                <w:noProof/>
                <w:color w:val="000000" w:themeColor="text1"/>
                <w:lang w:val="en-IE"/>
              </w:rPr>
              <w:t>Economic benefits</w:t>
            </w:r>
            <w:r w:rsidRPr="005B4339">
              <w:rPr>
                <w:noProof/>
                <w:color w:val="000000" w:themeColor="text1"/>
                <w:lang w:val="en-IE"/>
              </w:rPr>
              <w:t xml:space="preserve">: </w:t>
            </w:r>
          </w:p>
          <w:p w14:paraId="259639F5" w14:textId="77777777" w:rsidR="00805200" w:rsidRPr="005B4339" w:rsidRDefault="00805200">
            <w:pPr>
              <w:spacing w:after="120"/>
              <w:jc w:val="left"/>
              <w:rPr>
                <w:noProof/>
                <w:lang w:val="en-IE"/>
              </w:rPr>
            </w:pPr>
            <w:r w:rsidRPr="005B4339">
              <w:rPr>
                <w:noProof/>
                <w:color w:val="000000" w:themeColor="text1"/>
                <w:lang w:val="en-IE"/>
              </w:rPr>
              <w:t xml:space="preserve">Reduced administrative </w:t>
            </w:r>
            <w:r w:rsidRPr="005B4339">
              <w:rPr>
                <w:noProof/>
                <w:lang w:val="en-IE"/>
              </w:rPr>
              <w:t>burden 250 000 euro per year for businesses.</w:t>
            </w:r>
          </w:p>
          <w:p w14:paraId="0F3A307B" w14:textId="77777777" w:rsidR="00805200" w:rsidRPr="005B4339" w:rsidRDefault="00805200">
            <w:pPr>
              <w:spacing w:after="120"/>
              <w:jc w:val="left"/>
              <w:rPr>
                <w:noProof/>
                <w:color w:val="000000"/>
                <w:lang w:val="en-IE"/>
              </w:rPr>
            </w:pPr>
            <w:r w:rsidRPr="005B4339">
              <w:rPr>
                <w:noProof/>
                <w:color w:val="000000" w:themeColor="text1"/>
                <w:lang w:val="en-IE"/>
              </w:rPr>
              <w:t xml:space="preserve">Sub-option 2, alternative 2 offers an admin cost reduction of 200 euro per year as waste permit is not needed. </w:t>
            </w:r>
          </w:p>
          <w:p w14:paraId="4662AA06" w14:textId="77777777" w:rsidR="00805200" w:rsidRPr="005B4339" w:rsidRDefault="00805200">
            <w:pPr>
              <w:spacing w:after="160" w:line="240" w:lineRule="atLeast"/>
              <w:jc w:val="left"/>
              <w:rPr>
                <w:noProof/>
                <w:color w:val="000000"/>
                <w:lang w:val="en-IE"/>
              </w:rPr>
            </w:pPr>
            <w:r w:rsidRPr="005B4339">
              <w:rPr>
                <w:b/>
                <w:noProof/>
                <w:color w:val="000000" w:themeColor="text1"/>
                <w:lang w:val="en-IE"/>
              </w:rPr>
              <w:t>Environmental benefits</w:t>
            </w:r>
            <w:r w:rsidRPr="005B4339">
              <w:rPr>
                <w:noProof/>
                <w:color w:val="000000" w:themeColor="text1"/>
                <w:lang w:val="en-IE"/>
              </w:rPr>
              <w:t xml:space="preserve">: Better focussed action on the key textile waste streams is likely to reduce the environmental impacts of those streams </w:t>
            </w:r>
          </w:p>
          <w:p w14:paraId="52218760" w14:textId="77777777" w:rsidR="00805200" w:rsidRPr="005B4339" w:rsidRDefault="00805200">
            <w:pPr>
              <w:spacing w:after="0"/>
              <w:jc w:val="left"/>
              <w:rPr>
                <w:noProof/>
                <w:color w:val="000000"/>
                <w:lang w:val="en-IE"/>
              </w:rPr>
            </w:pPr>
            <w:r w:rsidRPr="005B4339">
              <w:rPr>
                <w:b/>
                <w:noProof/>
                <w:color w:val="000000" w:themeColor="text1"/>
                <w:lang w:val="en-IE"/>
              </w:rPr>
              <w:t>Social benefits</w:t>
            </w:r>
            <w:r w:rsidRPr="005B4339">
              <w:rPr>
                <w:noProof/>
                <w:color w:val="000000" w:themeColor="text1"/>
                <w:lang w:val="en-IE"/>
              </w:rPr>
              <w:t xml:space="preserve">: </w:t>
            </w:r>
          </w:p>
          <w:p w14:paraId="6B535247" w14:textId="77777777" w:rsidR="00805200" w:rsidRPr="005B4339" w:rsidRDefault="00805200">
            <w:pPr>
              <w:spacing w:after="120"/>
              <w:jc w:val="left"/>
              <w:rPr>
                <w:rFonts w:eastAsiaTheme="minorHAnsi"/>
                <w:noProof/>
                <w:lang w:val="en-IE" w:eastAsia="en-IE"/>
              </w:rPr>
            </w:pPr>
            <w:r w:rsidRPr="005B4339">
              <w:rPr>
                <w:noProof/>
                <w:color w:val="000000"/>
                <w:lang w:val="en-IE"/>
              </w:rPr>
              <w:t>Potential increases in employment in the reuse and recycling sector for the targeted textiles as a result of the measures foreseen.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8856EA" w14:textId="77777777" w:rsidR="00805200" w:rsidRPr="005B4339" w:rsidRDefault="00805200">
            <w:pPr>
              <w:spacing w:after="160" w:line="240" w:lineRule="atLeast"/>
              <w:jc w:val="center"/>
              <w:rPr>
                <w:noProof/>
                <w:color w:val="000000"/>
                <w:lang w:val="en-IE"/>
              </w:rPr>
            </w:pPr>
            <w:r w:rsidRPr="005B4339">
              <w:rPr>
                <w:b/>
                <w:noProof/>
                <w:color w:val="000000"/>
                <w:lang w:val="en-IE"/>
              </w:rPr>
              <w:t>Costs</w:t>
            </w:r>
            <w:r w:rsidRPr="005B4339">
              <w:rPr>
                <w:noProof/>
                <w:color w:val="000000"/>
                <w:lang w:val="en-IE"/>
              </w:rPr>
              <w:t>: 135 000 per guidance + COM staff</w:t>
            </w:r>
          </w:p>
          <w:p w14:paraId="677B4937" w14:textId="77777777" w:rsidR="00805200" w:rsidRPr="005B4339" w:rsidRDefault="00805200">
            <w:pPr>
              <w:spacing w:after="160" w:line="240" w:lineRule="atLeast"/>
              <w:jc w:val="center"/>
              <w:rPr>
                <w:noProof/>
                <w:lang w:val="en-IE"/>
              </w:rPr>
            </w:pPr>
            <w:r w:rsidRPr="005B4339">
              <w:rPr>
                <w:b/>
                <w:noProof/>
                <w:color w:val="000000"/>
                <w:lang w:val="en-IE"/>
              </w:rPr>
              <w:t>Benefits</w:t>
            </w:r>
            <w:r w:rsidRPr="005B4339">
              <w:rPr>
                <w:noProof/>
                <w:color w:val="000000"/>
                <w:lang w:val="en-IE"/>
              </w:rPr>
              <w:t xml:space="preserve">: 250 000 euro per year </w:t>
            </w:r>
          </w:p>
          <w:p w14:paraId="7FB4A6B5" w14:textId="77777777" w:rsidR="00805200" w:rsidRPr="005B4339" w:rsidRDefault="00805200">
            <w:pPr>
              <w:spacing w:after="160" w:line="240" w:lineRule="atLeast"/>
              <w:jc w:val="center"/>
              <w:rPr>
                <w:rFonts w:eastAsiaTheme="minorHAnsi"/>
                <w:noProof/>
                <w:color w:val="000000"/>
                <w:lang w:val="en-IE" w:eastAsia="en-US"/>
              </w:rPr>
            </w:pPr>
            <w:r w:rsidRPr="005B4339">
              <w:rPr>
                <w:rFonts w:eastAsiaTheme="minorHAnsi"/>
                <w:b/>
                <w:noProof/>
                <w:color w:val="000000"/>
                <w:lang w:val="en-IE"/>
              </w:rPr>
              <w:t>Overall effectiveness, efficiency and coherence</w:t>
            </w:r>
            <w:r w:rsidRPr="005B4339">
              <w:rPr>
                <w:rFonts w:eastAsiaTheme="minorHAnsi"/>
                <w:noProof/>
                <w:color w:val="000000"/>
                <w:lang w:val="en-IE"/>
              </w:rPr>
              <w:t>: positive but limited except for measure 1.1</w:t>
            </w:r>
          </w:p>
        </w:tc>
      </w:tr>
      <w:tr w:rsidR="00805200" w:rsidRPr="005B4339" w14:paraId="28DDDC4B" w14:textId="77777777" w:rsidTr="007D1E20">
        <w:tc>
          <w:tcPr>
            <w:tcW w:w="0" w:type="auto"/>
            <w:vMerge/>
            <w:vAlign w:val="center"/>
            <w:hideMark/>
          </w:tcPr>
          <w:p w14:paraId="69675179" w14:textId="77777777" w:rsidR="00805200" w:rsidRPr="005B4339" w:rsidRDefault="00805200">
            <w:pPr>
              <w:spacing w:after="0"/>
              <w:jc w:val="left"/>
              <w:rPr>
                <w:rFonts w:eastAsiaTheme="minorHAnsi"/>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AD7635" w14:textId="77777777"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1.2</w:t>
            </w:r>
          </w:p>
          <w:p w14:paraId="089CB4A3"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7ECA7B79" w14:textId="77777777" w:rsidR="00805200" w:rsidRPr="005B4339" w:rsidRDefault="00805200">
            <w:pPr>
              <w:spacing w:after="160" w:line="240" w:lineRule="atLeast"/>
              <w:jc w:val="left"/>
              <w:rPr>
                <w:noProof/>
                <w:color w:val="000000"/>
                <w:lang w:val="en-IE"/>
              </w:rPr>
            </w:pPr>
            <w:r w:rsidRPr="005B4339">
              <w:rPr>
                <w:noProof/>
                <w:color w:val="000000" w:themeColor="text1"/>
                <w:lang w:val="en-IE"/>
              </w:rPr>
              <w:t>No specific economic costs have been identified.</w:t>
            </w:r>
          </w:p>
          <w:p w14:paraId="38EFBBE1" w14:textId="77777777" w:rsidR="00805200" w:rsidRPr="005B4339" w:rsidRDefault="00805200">
            <w:pPr>
              <w:spacing w:after="0"/>
              <w:jc w:val="left"/>
              <w:rPr>
                <w:noProof/>
                <w:color w:val="000000"/>
                <w:lang w:val="en-IE"/>
              </w:rPr>
            </w:pPr>
            <w:r w:rsidRPr="005B4339">
              <w:rPr>
                <w:b/>
                <w:noProof/>
                <w:color w:val="000000" w:themeColor="text1"/>
                <w:lang w:val="en-IE"/>
              </w:rPr>
              <w:t>Economic benefits</w:t>
            </w:r>
            <w:r w:rsidRPr="005B4339">
              <w:rPr>
                <w:noProof/>
                <w:color w:val="000000" w:themeColor="text1"/>
                <w:lang w:val="en-IE"/>
              </w:rPr>
              <w:t xml:space="preserve">: </w:t>
            </w:r>
          </w:p>
          <w:p w14:paraId="6007885E" w14:textId="77777777" w:rsidR="00805200" w:rsidRPr="005B4339" w:rsidRDefault="00805200">
            <w:pPr>
              <w:spacing w:after="120"/>
              <w:jc w:val="left"/>
              <w:rPr>
                <w:noProof/>
                <w:color w:val="000000"/>
                <w:lang w:val="en-IE"/>
              </w:rPr>
            </w:pPr>
            <w:r w:rsidRPr="005B4339">
              <w:rPr>
                <w:noProof/>
                <w:color w:val="000000" w:themeColor="text1"/>
                <w:lang w:val="en-IE"/>
              </w:rPr>
              <w:t>Better targeted practices and policy measures in relation to waste prevention in Member States to the advantage of business and EU citizens.</w:t>
            </w:r>
          </w:p>
          <w:p w14:paraId="1C0771FD" w14:textId="77777777" w:rsidR="00805200" w:rsidRPr="005B4339" w:rsidRDefault="00805200">
            <w:pPr>
              <w:spacing w:after="160" w:line="240" w:lineRule="atLeast"/>
              <w:jc w:val="left"/>
              <w:rPr>
                <w:noProof/>
                <w:color w:val="000000"/>
                <w:lang w:val="en-IE"/>
              </w:rPr>
            </w:pPr>
            <w:r w:rsidRPr="005B4339">
              <w:rPr>
                <w:b/>
                <w:noProof/>
                <w:color w:val="000000" w:themeColor="text1"/>
                <w:lang w:val="en-IE"/>
              </w:rPr>
              <w:t>Environmental benefits:</w:t>
            </w:r>
            <w:r w:rsidRPr="005B4339">
              <w:rPr>
                <w:noProof/>
                <w:color w:val="000000" w:themeColor="text1"/>
                <w:lang w:val="en-IE"/>
              </w:rPr>
              <w:t xml:space="preserve"> Reductions in waste as a result of greater data on and support for waste prevention, as well as greater reuse and recycling.</w:t>
            </w:r>
          </w:p>
          <w:p w14:paraId="64ACC9B4" w14:textId="77777777" w:rsidR="00805200" w:rsidRPr="005B4339" w:rsidRDefault="00805200">
            <w:pPr>
              <w:spacing w:after="0"/>
              <w:jc w:val="left"/>
              <w:rPr>
                <w:noProof/>
                <w:color w:val="000000"/>
                <w:lang w:val="en-IE"/>
              </w:rPr>
            </w:pPr>
            <w:r w:rsidRPr="005B4339">
              <w:rPr>
                <w:b/>
                <w:noProof/>
                <w:color w:val="000000" w:themeColor="text1"/>
                <w:lang w:val="en-IE"/>
              </w:rPr>
              <w:t>Social benefits</w:t>
            </w:r>
            <w:r w:rsidRPr="005B4339">
              <w:rPr>
                <w:noProof/>
                <w:color w:val="000000" w:themeColor="text1"/>
                <w:lang w:val="en-IE"/>
              </w:rPr>
              <w:t xml:space="preserve">: </w:t>
            </w:r>
          </w:p>
          <w:p w14:paraId="53C2F394" w14:textId="77777777" w:rsidR="00805200" w:rsidRPr="005B4339" w:rsidRDefault="00805200">
            <w:pPr>
              <w:spacing w:after="0" w:line="240" w:lineRule="atLeast"/>
              <w:jc w:val="left"/>
              <w:rPr>
                <w:b/>
                <w:noProof/>
                <w:color w:val="000000" w:themeColor="text1"/>
                <w:lang w:val="en-IE"/>
              </w:rPr>
            </w:pPr>
            <w:r w:rsidRPr="005B4339">
              <w:rPr>
                <w:noProof/>
                <w:color w:val="000000"/>
                <w:lang w:val="en-IE"/>
              </w:rPr>
              <w:t>Potential increases in employment in the reuse and recycling sector as a result of better targeted waste prevention measures</w:t>
            </w:r>
          </w:p>
        </w:tc>
        <w:tc>
          <w:tcPr>
            <w:tcW w:w="0" w:type="auto"/>
            <w:vMerge/>
            <w:vAlign w:val="center"/>
            <w:hideMark/>
          </w:tcPr>
          <w:p w14:paraId="790751E6" w14:textId="77777777" w:rsidR="00805200" w:rsidRPr="005B4339" w:rsidRDefault="00805200">
            <w:pPr>
              <w:spacing w:after="0"/>
              <w:jc w:val="left"/>
              <w:rPr>
                <w:rFonts w:eastAsiaTheme="minorHAnsi"/>
                <w:noProof/>
                <w:color w:val="000000"/>
                <w:lang w:val="en-IE" w:eastAsia="en-US"/>
              </w:rPr>
            </w:pPr>
          </w:p>
        </w:tc>
      </w:tr>
      <w:tr w:rsidR="00805200" w:rsidRPr="005B4339" w14:paraId="5CA53E74" w14:textId="77777777" w:rsidTr="007D1E20">
        <w:tc>
          <w:tcPr>
            <w:tcW w:w="0" w:type="auto"/>
            <w:vMerge/>
            <w:vAlign w:val="center"/>
            <w:hideMark/>
          </w:tcPr>
          <w:p w14:paraId="6258E6E9" w14:textId="77777777" w:rsidR="00805200" w:rsidRPr="005B4339" w:rsidRDefault="00805200">
            <w:pPr>
              <w:spacing w:after="0"/>
              <w:jc w:val="left"/>
              <w:rPr>
                <w:rFonts w:eastAsiaTheme="minorHAnsi"/>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79F654B" w14:textId="77777777"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1.3</w:t>
            </w:r>
          </w:p>
          <w:p w14:paraId="08FDB043"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075FAECB" w14:textId="77777777" w:rsidR="00805200" w:rsidRPr="005B4339" w:rsidRDefault="00805200">
            <w:pPr>
              <w:spacing w:after="160" w:line="240" w:lineRule="atLeast"/>
              <w:jc w:val="left"/>
              <w:rPr>
                <w:noProof/>
                <w:color w:val="000000" w:themeColor="text1"/>
                <w:lang w:val="en-IE"/>
              </w:rPr>
            </w:pPr>
            <w:r w:rsidRPr="005B4339">
              <w:rPr>
                <w:noProof/>
                <w:color w:val="000000" w:themeColor="text1"/>
                <w:lang w:val="en-IE"/>
              </w:rPr>
              <w:t xml:space="preserve">135 000 euro per piece of guidance developed + COM staff. </w:t>
            </w:r>
          </w:p>
          <w:p w14:paraId="7CC15AEA" w14:textId="77777777" w:rsidR="00805200" w:rsidRPr="005B4339" w:rsidRDefault="00805200">
            <w:pPr>
              <w:spacing w:after="160" w:line="240" w:lineRule="atLeast"/>
              <w:jc w:val="left"/>
              <w:rPr>
                <w:noProof/>
                <w:color w:val="000000"/>
                <w:lang w:val="en-IE"/>
              </w:rPr>
            </w:pPr>
            <w:r w:rsidRPr="005B4339">
              <w:rPr>
                <w:noProof/>
                <w:color w:val="000000" w:themeColor="text1"/>
                <w:lang w:val="en-IE"/>
              </w:rPr>
              <w:t>Additional costs of application of the measure are dependent upon the actions put into place by Member States as a result of the sharing of best practice.  In this respect the greatest costs of application would fall on Member States that currently have low levels of collection of textile wastes.</w:t>
            </w:r>
          </w:p>
          <w:p w14:paraId="20C9B38D" w14:textId="77777777" w:rsidR="00805200" w:rsidRPr="005B4339" w:rsidRDefault="00805200">
            <w:pPr>
              <w:spacing w:after="0"/>
              <w:jc w:val="left"/>
              <w:rPr>
                <w:noProof/>
                <w:color w:val="000000"/>
                <w:lang w:val="en-IE"/>
              </w:rPr>
            </w:pPr>
            <w:r w:rsidRPr="005B4339">
              <w:rPr>
                <w:b/>
                <w:noProof/>
                <w:color w:val="000000" w:themeColor="text1"/>
                <w:lang w:val="en-IE"/>
              </w:rPr>
              <w:t>Economic benefits</w:t>
            </w:r>
            <w:r w:rsidRPr="005B4339">
              <w:rPr>
                <w:noProof/>
                <w:color w:val="000000" w:themeColor="text1"/>
                <w:lang w:val="en-IE"/>
              </w:rPr>
              <w:t xml:space="preserve">: </w:t>
            </w:r>
          </w:p>
          <w:p w14:paraId="74F9FB77" w14:textId="77777777" w:rsidR="00805200" w:rsidRPr="005B4339" w:rsidRDefault="00805200">
            <w:pPr>
              <w:spacing w:after="120"/>
              <w:jc w:val="left"/>
              <w:rPr>
                <w:noProof/>
                <w:color w:val="000000"/>
                <w:lang w:val="en-IE"/>
              </w:rPr>
            </w:pPr>
            <w:r w:rsidRPr="005B4339">
              <w:rPr>
                <w:noProof/>
                <w:color w:val="000000" w:themeColor="text1"/>
                <w:lang w:val="en-IE"/>
              </w:rPr>
              <w:t>Positive impacts for textile management stakeholders through the sharing of good practice.</w:t>
            </w:r>
          </w:p>
          <w:p w14:paraId="3530FCDE" w14:textId="77777777" w:rsidR="00805200" w:rsidRPr="005B4339" w:rsidRDefault="00805200">
            <w:pPr>
              <w:spacing w:after="160" w:line="240" w:lineRule="atLeast"/>
              <w:jc w:val="left"/>
              <w:rPr>
                <w:noProof/>
                <w:color w:val="000000"/>
                <w:lang w:val="en-IE"/>
              </w:rPr>
            </w:pPr>
            <w:r w:rsidRPr="005B4339">
              <w:rPr>
                <w:b/>
                <w:noProof/>
                <w:color w:val="000000" w:themeColor="text1"/>
                <w:lang w:val="en-IE"/>
              </w:rPr>
              <w:t>Environmental benefits:</w:t>
            </w:r>
            <w:r w:rsidRPr="005B4339">
              <w:rPr>
                <w:noProof/>
                <w:color w:val="000000" w:themeColor="text1"/>
                <w:lang w:val="en-IE"/>
              </w:rPr>
              <w:t xml:space="preserve"> Reductions in waste as a result of greater data on and support for waste prevention, as well as greater reuse and recycling.</w:t>
            </w:r>
          </w:p>
          <w:p w14:paraId="33619535" w14:textId="77777777" w:rsidR="00805200" w:rsidRPr="005B4339" w:rsidRDefault="00805200">
            <w:pPr>
              <w:spacing w:after="0"/>
              <w:jc w:val="left"/>
              <w:rPr>
                <w:noProof/>
                <w:color w:val="000000"/>
                <w:lang w:val="en-IE"/>
              </w:rPr>
            </w:pPr>
            <w:r w:rsidRPr="005B4339">
              <w:rPr>
                <w:b/>
                <w:noProof/>
                <w:color w:val="000000" w:themeColor="text1"/>
                <w:lang w:val="en-IE"/>
              </w:rPr>
              <w:t>Social benefits</w:t>
            </w:r>
            <w:r w:rsidRPr="005B4339">
              <w:rPr>
                <w:noProof/>
                <w:color w:val="000000" w:themeColor="text1"/>
                <w:lang w:val="en-IE"/>
              </w:rPr>
              <w:t xml:space="preserve">: </w:t>
            </w:r>
          </w:p>
          <w:p w14:paraId="41A5F3D0" w14:textId="77777777" w:rsidR="00805200" w:rsidRPr="005B4339" w:rsidRDefault="00805200">
            <w:pPr>
              <w:spacing w:after="0" w:line="240" w:lineRule="atLeast"/>
              <w:jc w:val="left"/>
              <w:rPr>
                <w:b/>
                <w:noProof/>
                <w:color w:val="000000" w:themeColor="text1"/>
                <w:lang w:val="en-IE"/>
              </w:rPr>
            </w:pPr>
            <w:r w:rsidRPr="005B4339">
              <w:rPr>
                <w:noProof/>
                <w:color w:val="000000"/>
                <w:lang w:val="en-IE"/>
              </w:rPr>
              <w:t>Potential increases in employment in the reuse and recycling sector as a result of better guidance and stakeholder sharing of experience..</w:t>
            </w:r>
          </w:p>
        </w:tc>
        <w:tc>
          <w:tcPr>
            <w:tcW w:w="0" w:type="auto"/>
            <w:vMerge/>
            <w:vAlign w:val="center"/>
            <w:hideMark/>
          </w:tcPr>
          <w:p w14:paraId="16873913" w14:textId="77777777" w:rsidR="00805200" w:rsidRPr="005B4339" w:rsidRDefault="00805200">
            <w:pPr>
              <w:spacing w:after="0"/>
              <w:jc w:val="left"/>
              <w:rPr>
                <w:rFonts w:eastAsiaTheme="minorHAnsi"/>
                <w:noProof/>
                <w:color w:val="000000"/>
                <w:lang w:val="en-IE" w:eastAsia="en-US"/>
              </w:rPr>
            </w:pPr>
          </w:p>
        </w:tc>
      </w:tr>
      <w:tr w:rsidR="00805200" w:rsidRPr="005B4339" w14:paraId="0535842F" w14:textId="77777777" w:rsidTr="007D1E20">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62C482F" w14:textId="77777777" w:rsidR="00805200" w:rsidRPr="005B4339" w:rsidRDefault="5AF57D5F" w:rsidP="44CEB3C3">
            <w:pPr>
              <w:spacing w:after="160" w:line="240" w:lineRule="atLeast"/>
              <w:jc w:val="left"/>
              <w:rPr>
                <w:rFonts w:eastAsiaTheme="minorEastAsia"/>
                <w:b/>
                <w:noProof/>
                <w:color w:val="000000" w:themeColor="text1"/>
                <w:lang w:val="en-IE" w:eastAsia="en-US"/>
              </w:rPr>
            </w:pPr>
            <w:r w:rsidRPr="005B4339">
              <w:rPr>
                <w:rFonts w:eastAsiaTheme="minorEastAsia"/>
                <w:b/>
                <w:noProof/>
                <w:color w:val="000000" w:themeColor="text1"/>
                <w:lang w:val="en-IE"/>
              </w:rPr>
              <w:t xml:space="preserve">Option 2 - </w:t>
            </w:r>
            <w:r w:rsidRPr="005B4339">
              <w:rPr>
                <w:b/>
                <w:noProof/>
                <w:lang w:val="en-IE"/>
              </w:rPr>
              <w:t>Additional regulatory requirements</w:t>
            </w:r>
          </w:p>
          <w:p w14:paraId="14FD5995" w14:textId="6CBB1494" w:rsidR="00805200" w:rsidRPr="005B4339" w:rsidRDefault="00805200">
            <w:pPr>
              <w:spacing w:after="160" w:line="240" w:lineRule="atLeast"/>
              <w:jc w:val="left"/>
              <w:rPr>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6626765" w14:textId="7151E32B"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2.</w:t>
            </w:r>
            <w:r w:rsidR="30FD53A0" w:rsidRPr="005B4339">
              <w:rPr>
                <w:b/>
                <w:noProof/>
                <w:color w:val="000000" w:themeColor="text1"/>
                <w:lang w:val="en-IE"/>
              </w:rPr>
              <w:t>5</w:t>
            </w:r>
          </w:p>
          <w:p w14:paraId="1825655C"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6DAE41D3" w14:textId="542F0A64" w:rsidR="00805200" w:rsidRPr="005B4339" w:rsidRDefault="00805200">
            <w:pPr>
              <w:spacing w:after="120" w:line="240" w:lineRule="atLeast"/>
              <w:jc w:val="left"/>
              <w:rPr>
                <w:noProof/>
                <w:color w:val="000000" w:themeColor="text1"/>
                <w:lang w:val="en-IE"/>
              </w:rPr>
            </w:pPr>
            <w:r w:rsidRPr="005B4339">
              <w:rPr>
                <w:noProof/>
                <w:color w:val="000000" w:themeColor="text1"/>
                <w:lang w:val="en-IE"/>
              </w:rPr>
              <w:t>913 million euro per year for sorting obligations.  These costs would fall on producers or consumers or a mix of the two depend</w:t>
            </w:r>
            <w:r w:rsidR="00A85FB2" w:rsidRPr="005B4339">
              <w:rPr>
                <w:noProof/>
                <w:color w:val="000000" w:themeColor="text1"/>
                <w:lang w:val="en-IE"/>
              </w:rPr>
              <w:t>ing</w:t>
            </w:r>
            <w:r w:rsidRPr="005B4339">
              <w:rPr>
                <w:noProof/>
                <w:color w:val="000000" w:themeColor="text1"/>
                <w:lang w:val="en-IE"/>
              </w:rPr>
              <w:t xml:space="preserve"> on the approach employed at the Member State level to recover the costs of waste management.</w:t>
            </w:r>
          </w:p>
          <w:p w14:paraId="51203FD3" w14:textId="02C8651E" w:rsidR="00805200" w:rsidRPr="005B4339" w:rsidRDefault="004928CC">
            <w:pPr>
              <w:spacing w:after="160" w:line="240" w:lineRule="atLeast"/>
              <w:jc w:val="left"/>
              <w:rPr>
                <w:noProof/>
                <w:lang w:val="en-IE"/>
              </w:rPr>
            </w:pPr>
            <w:hyperlink r:id="rId171" w:history="1">
              <w:r w:rsidR="00805200" w:rsidRPr="005B4339">
                <w:rPr>
                  <w:rStyle w:val="Hyperlink"/>
                  <w:noProof/>
                  <w:lang w:val="en-IE"/>
                </w:rPr>
                <w:t>Landfill</w:t>
              </w:r>
            </w:hyperlink>
            <w:r w:rsidR="00805200" w:rsidRPr="005B4339">
              <w:rPr>
                <w:noProof/>
                <w:lang w:val="en-IE"/>
              </w:rPr>
              <w:t xml:space="preserve"> tax loss of 26.5 million euro for Member States due to textiles diverted from landfills but tax gain on the sale of secondary materials</w:t>
            </w:r>
          </w:p>
          <w:p w14:paraId="5D3D6B60"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184D2708" w14:textId="77777777" w:rsidR="00805200" w:rsidRPr="005B4339" w:rsidRDefault="00805200">
            <w:pPr>
              <w:spacing w:after="160" w:line="240" w:lineRule="atLeast"/>
              <w:rPr>
                <w:noProof/>
                <w:lang w:val="en-IE"/>
              </w:rPr>
            </w:pPr>
            <w:r w:rsidRPr="005B4339">
              <w:rPr>
                <w:noProof/>
                <w:lang w:val="en-IE"/>
              </w:rPr>
              <w:t>534 million per year of reuse value and 117 million euro per year of recycling value from additional sorting</w:t>
            </w:r>
          </w:p>
          <w:p w14:paraId="62DF199F" w14:textId="77777777" w:rsidR="00805200" w:rsidRPr="005B4339" w:rsidRDefault="00805200">
            <w:pPr>
              <w:spacing w:after="160" w:line="240" w:lineRule="atLeast"/>
              <w:rPr>
                <w:noProof/>
                <w:color w:val="000000"/>
                <w:lang w:val="en-IE"/>
              </w:rPr>
            </w:pPr>
            <w:r w:rsidRPr="005B4339">
              <w:rPr>
                <w:b/>
                <w:noProof/>
                <w:color w:val="000000"/>
                <w:lang w:val="en-IE"/>
              </w:rPr>
              <w:t>Env benefits</w:t>
            </w:r>
            <w:r w:rsidRPr="005B4339">
              <w:rPr>
                <w:noProof/>
                <w:color w:val="000000"/>
                <w:lang w:val="en-IE"/>
              </w:rPr>
              <w:t>: 16 million euro from GHG emission reduction as well as reduction in release of pollutants to air, water and land that would otherwise result from poor waste management.  Replacement of virgin fibres with recycled fibres of between 118 000 and 295 000 tonnes.</w:t>
            </w:r>
          </w:p>
          <w:p w14:paraId="23E6E00D" w14:textId="77777777" w:rsidR="00805200" w:rsidRPr="005B4339" w:rsidRDefault="00805200">
            <w:pPr>
              <w:spacing w:after="0" w:line="240" w:lineRule="atLeast"/>
              <w:jc w:val="left"/>
              <w:rPr>
                <w:noProof/>
                <w:color w:val="000000"/>
                <w:lang w:val="en-IE"/>
              </w:rPr>
            </w:pPr>
            <w:r w:rsidRPr="005B4339">
              <w:rPr>
                <w:b/>
                <w:noProof/>
                <w:color w:val="000000"/>
                <w:lang w:val="en-IE"/>
              </w:rPr>
              <w:t>Social benefits</w:t>
            </w:r>
            <w:r w:rsidRPr="005B4339">
              <w:rPr>
                <w:noProof/>
                <w:color w:val="000000"/>
                <w:lang w:val="en-IE"/>
              </w:rPr>
              <w:t xml:space="preserve">: 8 740 jobs created and social impacts of EU waste in third countries mitigated as well as the social costs of fibre production.  </w:t>
            </w:r>
          </w:p>
          <w:p w14:paraId="6B2E0CCA" w14:textId="77777777" w:rsidR="00805200" w:rsidRPr="005B4339" w:rsidRDefault="00805200">
            <w:pPr>
              <w:spacing w:after="0" w:line="240" w:lineRule="atLeast"/>
              <w:jc w:val="left"/>
              <w:rPr>
                <w:noProof/>
                <w:color w:val="000000"/>
                <w:lang w:val="en-IE"/>
              </w:rPr>
            </w:pPr>
          </w:p>
          <w:p w14:paraId="60AD98D1" w14:textId="77777777" w:rsidR="00805200" w:rsidRPr="005B4339" w:rsidRDefault="00805200">
            <w:pPr>
              <w:spacing w:after="0" w:line="240" w:lineRule="atLeast"/>
              <w:jc w:val="left"/>
              <w:rPr>
                <w:b/>
                <w:noProof/>
                <w:color w:val="000000" w:themeColor="text1"/>
                <w:lang w:val="en-IE"/>
              </w:rPr>
            </w:pPr>
            <w:r w:rsidRPr="005B4339">
              <w:rPr>
                <w:b/>
                <w:noProof/>
                <w:color w:val="000000"/>
                <w:lang w:val="en-IE"/>
              </w:rPr>
              <w:t>Social costs:</w:t>
            </w:r>
            <w:r w:rsidRPr="005B4339">
              <w:rPr>
                <w:noProof/>
                <w:color w:val="000000"/>
                <w:lang w:val="en-IE"/>
              </w:rPr>
              <w:t xml:space="preserve"> Negative impact on the sorting industry in third countries receiving unsorted / poorly sorted EU textiles at present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8710D9D" w14:textId="42470BDF" w:rsidR="007D1E20" w:rsidRPr="005B4339" w:rsidRDefault="007D1E20" w:rsidP="007D1E20">
            <w:pPr>
              <w:spacing w:after="120" w:line="240" w:lineRule="atLeast"/>
              <w:jc w:val="center"/>
              <w:rPr>
                <w:noProof/>
                <w:color w:val="000000"/>
                <w:lang w:val="en-IE"/>
              </w:rPr>
            </w:pPr>
            <w:r w:rsidRPr="005B4339">
              <w:rPr>
                <w:b/>
                <w:noProof/>
                <w:color w:val="000000"/>
                <w:lang w:val="en-IE"/>
              </w:rPr>
              <w:t>Costs</w:t>
            </w:r>
            <w:r w:rsidRPr="005B4339">
              <w:rPr>
                <w:noProof/>
                <w:color w:val="000000"/>
                <w:lang w:val="en-IE"/>
              </w:rPr>
              <w:t>: 9</w:t>
            </w:r>
            <w:r w:rsidR="001C5126" w:rsidRPr="005B4339">
              <w:rPr>
                <w:noProof/>
                <w:color w:val="000000"/>
                <w:lang w:val="en-IE"/>
              </w:rPr>
              <w:t>63</w:t>
            </w:r>
            <w:r w:rsidRPr="005B4339">
              <w:rPr>
                <w:noProof/>
                <w:color w:val="000000"/>
                <w:lang w:val="en-IE"/>
              </w:rPr>
              <w:t xml:space="preserve"> million euro costs</w:t>
            </w:r>
          </w:p>
          <w:p w14:paraId="44240E2F" w14:textId="0E3ED546" w:rsidR="007D1E20" w:rsidRPr="005B4339" w:rsidRDefault="007D1E20" w:rsidP="007D1E20">
            <w:pPr>
              <w:spacing w:after="160" w:line="240" w:lineRule="atLeast"/>
              <w:jc w:val="center"/>
              <w:rPr>
                <w:noProof/>
                <w:color w:val="000000"/>
                <w:lang w:val="en-IE"/>
              </w:rPr>
            </w:pPr>
            <w:r w:rsidRPr="005B4339">
              <w:rPr>
                <w:b/>
                <w:noProof/>
                <w:color w:val="000000"/>
                <w:lang w:val="en-IE"/>
              </w:rPr>
              <w:t>Benefits</w:t>
            </w:r>
            <w:r w:rsidRPr="005B4339">
              <w:rPr>
                <w:noProof/>
                <w:color w:val="000000"/>
                <w:lang w:val="en-IE"/>
              </w:rPr>
              <w:t xml:space="preserve">: Direct benefits of 651 million euros of reusable and recyclable materials as well as support to 3.5-4.5 billion euro annual </w:t>
            </w:r>
            <w:r w:rsidR="004C4D4E" w:rsidRPr="005B4339">
              <w:rPr>
                <w:noProof/>
                <w:color w:val="000000"/>
                <w:lang w:val="en-IE"/>
              </w:rPr>
              <w:t>overall</w:t>
            </w:r>
            <w:r w:rsidRPr="005B4339">
              <w:rPr>
                <w:noProof/>
                <w:color w:val="000000"/>
                <w:lang w:val="en-IE"/>
              </w:rPr>
              <w:t xml:space="preserve"> returns from EPR investments.</w:t>
            </w:r>
          </w:p>
          <w:p w14:paraId="36410C39" w14:textId="77777777" w:rsidR="007D1E20" w:rsidRPr="005B4339" w:rsidRDefault="007D1E20" w:rsidP="007D1E20">
            <w:pPr>
              <w:spacing w:after="160" w:line="240" w:lineRule="atLeast"/>
              <w:jc w:val="center"/>
              <w:rPr>
                <w:noProof/>
                <w:color w:val="000000"/>
                <w:lang w:val="en-IE"/>
              </w:rPr>
            </w:pPr>
            <w:r w:rsidRPr="005B4339">
              <w:rPr>
                <w:b/>
                <w:noProof/>
                <w:color w:val="000000"/>
                <w:lang w:val="en-IE"/>
              </w:rPr>
              <w:t>Env benefits</w:t>
            </w:r>
            <w:r w:rsidRPr="005B4339">
              <w:rPr>
                <w:noProof/>
                <w:color w:val="000000"/>
                <w:lang w:val="en-IE"/>
              </w:rPr>
              <w:t>: 16 million euros in GHG emissions averted alongside the wider air quality, water and soil pollution mitigated via current disposal practices in the EU and third countries.  Land use savings in relation to virgin fibre displaced by recycled fibres as well as water savings.</w:t>
            </w:r>
          </w:p>
          <w:p w14:paraId="787EB6CD" w14:textId="77777777" w:rsidR="007D1E20" w:rsidRPr="005B4339" w:rsidRDefault="007D1E20" w:rsidP="007D1E20">
            <w:pPr>
              <w:spacing w:after="160" w:line="240" w:lineRule="atLeast"/>
              <w:jc w:val="center"/>
              <w:rPr>
                <w:noProof/>
                <w:color w:val="000000"/>
                <w:lang w:val="en-IE"/>
              </w:rPr>
            </w:pPr>
            <w:r w:rsidRPr="005B4339">
              <w:rPr>
                <w:b/>
                <w:noProof/>
                <w:color w:val="000000"/>
                <w:lang w:val="en-IE"/>
              </w:rPr>
              <w:t>Social benefits</w:t>
            </w:r>
            <w:r w:rsidRPr="005B4339">
              <w:rPr>
                <w:noProof/>
                <w:color w:val="000000"/>
                <w:lang w:val="en-IE"/>
              </w:rPr>
              <w:t>: 8 740 jobs created. Reduced social costs for producers of virgin fibres in third countries.  Higher quality reusable textiles received in third countries.</w:t>
            </w:r>
          </w:p>
          <w:p w14:paraId="3037DD58" w14:textId="77777777" w:rsidR="007D1E20" w:rsidRPr="005B4339" w:rsidRDefault="007D1E20" w:rsidP="007D1E20">
            <w:pPr>
              <w:spacing w:after="160" w:line="240" w:lineRule="atLeast"/>
              <w:jc w:val="center"/>
              <w:rPr>
                <w:noProof/>
                <w:lang w:val="en-IE"/>
              </w:rPr>
            </w:pPr>
            <w:r w:rsidRPr="005B4339">
              <w:rPr>
                <w:b/>
                <w:noProof/>
                <w:lang w:val="en-IE"/>
              </w:rPr>
              <w:t>Social costs:</w:t>
            </w:r>
            <w:r w:rsidRPr="005B4339">
              <w:rPr>
                <w:noProof/>
                <w:lang w:val="en-IE"/>
              </w:rPr>
              <w:t xml:space="preserve">  Potential job losses in the sorting sector in third countries as a result of increased sorting in the EU.</w:t>
            </w:r>
          </w:p>
          <w:p w14:paraId="287AB658" w14:textId="6A335102" w:rsidR="0D7A4BB0" w:rsidRPr="005B4339" w:rsidRDefault="007D1E20" w:rsidP="0D7A4BB0">
            <w:pPr>
              <w:jc w:val="center"/>
              <w:rPr>
                <w:b/>
                <w:noProof/>
                <w:color w:val="000000" w:themeColor="text1"/>
                <w:lang w:val="en-IE"/>
              </w:rPr>
            </w:pPr>
            <w:r w:rsidRPr="005B4339">
              <w:rPr>
                <w:b/>
                <w:noProof/>
                <w:color w:val="000000"/>
                <w:lang w:val="en-IE"/>
              </w:rPr>
              <w:t>Overall effectiveness , efficiency and coherence</w:t>
            </w:r>
            <w:r w:rsidRPr="005B4339">
              <w:rPr>
                <w:noProof/>
                <w:color w:val="000000"/>
                <w:lang w:val="en-IE"/>
              </w:rPr>
              <w:t>: positive</w:t>
            </w:r>
          </w:p>
        </w:tc>
      </w:tr>
      <w:tr w:rsidR="00805200" w:rsidRPr="005B4339" w14:paraId="2F954D8D" w14:textId="77777777" w:rsidTr="007D1E20">
        <w:tc>
          <w:tcPr>
            <w:tcW w:w="0" w:type="auto"/>
            <w:vMerge/>
            <w:tcBorders>
              <w:left w:val="single" w:sz="4" w:space="0" w:color="auto"/>
              <w:right w:val="single" w:sz="4" w:space="0" w:color="auto"/>
            </w:tcBorders>
            <w:shd w:val="clear" w:color="auto" w:fill="95B3D7" w:themeFill="accent1" w:themeFillTint="99"/>
            <w:vAlign w:val="center"/>
          </w:tcPr>
          <w:p w14:paraId="711CBFBC" w14:textId="77777777" w:rsidR="00805200" w:rsidRPr="005B4339" w:rsidRDefault="00805200">
            <w:pPr>
              <w:spacing w:after="160" w:line="240" w:lineRule="atLeast"/>
              <w:jc w:val="left"/>
              <w:rPr>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F48621" w14:textId="7DCEC1EE"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2.</w:t>
            </w:r>
            <w:r w:rsidR="0FDCA6C1" w:rsidRPr="005B4339">
              <w:rPr>
                <w:b/>
                <w:noProof/>
                <w:color w:val="000000" w:themeColor="text1"/>
                <w:lang w:val="en-IE"/>
              </w:rPr>
              <w:t>6</w:t>
            </w:r>
          </w:p>
          <w:p w14:paraId="1DCAA37D"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01EEC3DC" w14:textId="77777777" w:rsidR="00805200" w:rsidRPr="005B4339" w:rsidRDefault="00805200">
            <w:pPr>
              <w:spacing w:after="160" w:line="240" w:lineRule="atLeast"/>
              <w:jc w:val="left"/>
              <w:rPr>
                <w:noProof/>
                <w:lang w:val="en-IE"/>
              </w:rPr>
            </w:pPr>
            <w:r w:rsidRPr="005B4339">
              <w:rPr>
                <w:noProof/>
                <w:color w:val="000000" w:themeColor="text1"/>
                <w:lang w:val="en-IE"/>
              </w:rPr>
              <w:t xml:space="preserve">0.5 FTE within the Commission to adopt the necessary implementing act.  </w:t>
            </w:r>
          </w:p>
          <w:p w14:paraId="3FDC9368"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0C0FD760" w14:textId="77777777" w:rsidR="00805200" w:rsidRPr="005B4339" w:rsidRDefault="00805200">
            <w:pPr>
              <w:spacing w:after="120"/>
              <w:rPr>
                <w:noProof/>
                <w:lang w:val="en-IE"/>
              </w:rPr>
            </w:pPr>
            <w:r w:rsidRPr="005B4339">
              <w:rPr>
                <w:noProof/>
                <w:lang w:val="en-IE"/>
              </w:rPr>
              <w:t>Minimising divergence of approaches to end-of-waste criteria .</w:t>
            </w:r>
            <w:r w:rsidRPr="005B4339">
              <w:rPr>
                <w:noProof/>
                <w:color w:val="000000" w:themeColor="text1"/>
                <w:lang w:val="en-IE"/>
              </w:rPr>
              <w:t xml:space="preserve"> Potential savings in the costs of managing textile wastes that reach end-of-waste status for businesses managing such materials.</w:t>
            </w:r>
          </w:p>
          <w:p w14:paraId="56C63924" w14:textId="77777777" w:rsidR="00805200" w:rsidRPr="005B4339" w:rsidRDefault="00805200">
            <w:pPr>
              <w:spacing w:after="120"/>
              <w:rPr>
                <w:noProof/>
                <w:lang w:val="en-IE"/>
              </w:rPr>
            </w:pPr>
            <w:r w:rsidRPr="005B4339">
              <w:rPr>
                <w:noProof/>
                <w:lang w:val="en-IE"/>
              </w:rPr>
              <w:t>Ensuring sufficiently consistent feedstock from the sorting processes as input to textile recycling.</w:t>
            </w:r>
          </w:p>
          <w:p w14:paraId="0D8B0DEC" w14:textId="77777777" w:rsidR="00805200" w:rsidRPr="005B4339" w:rsidRDefault="00805200">
            <w:pPr>
              <w:spacing w:after="160" w:line="240" w:lineRule="atLeast"/>
              <w:rPr>
                <w:noProof/>
                <w:color w:val="000000"/>
                <w:lang w:val="en-IE"/>
              </w:rPr>
            </w:pPr>
            <w:r w:rsidRPr="005B4339">
              <w:rPr>
                <w:b/>
                <w:noProof/>
                <w:color w:val="000000"/>
                <w:lang w:val="en-IE"/>
              </w:rPr>
              <w:t>Env benefits</w:t>
            </w:r>
            <w:r w:rsidRPr="005B4339">
              <w:rPr>
                <w:noProof/>
                <w:color w:val="000000"/>
                <w:lang w:val="en-IE"/>
              </w:rPr>
              <w:t>: Managing textile wastes within the EU in comparison to third countries would result in CO2 eq savings of approximately 81 000 – 225 000 tonnes per year and externality savings of between 13.5 million and 37.7 million euro per year using the 10% waste value and between 54 million euro and 150.8 million euro per year using a 40% waste value.</w:t>
            </w:r>
          </w:p>
          <w:p w14:paraId="2AA1C32B" w14:textId="77777777" w:rsidR="00805200" w:rsidRPr="005B4339" w:rsidRDefault="00805200">
            <w:pPr>
              <w:spacing w:after="0" w:line="240" w:lineRule="atLeast"/>
              <w:jc w:val="left"/>
              <w:rPr>
                <w:b/>
                <w:noProof/>
                <w:color w:val="000000" w:themeColor="text1"/>
                <w:lang w:val="en-IE"/>
              </w:rPr>
            </w:pPr>
            <w:r w:rsidRPr="005B4339">
              <w:rPr>
                <w:b/>
                <w:noProof/>
                <w:color w:val="000000"/>
                <w:lang w:val="en-IE"/>
              </w:rPr>
              <w:t>Social benefits</w:t>
            </w:r>
            <w:r w:rsidRPr="005B4339">
              <w:rPr>
                <w:noProof/>
                <w:color w:val="000000"/>
                <w:lang w:val="en-IE"/>
              </w:rPr>
              <w:t>: Negative impacts of EU waste exported to third countries mitigate including prevention of open dumping and open burning.</w:t>
            </w:r>
          </w:p>
        </w:tc>
        <w:tc>
          <w:tcPr>
            <w:tcW w:w="0" w:type="auto"/>
            <w:vMerge/>
            <w:vAlign w:val="center"/>
            <w:hideMark/>
          </w:tcPr>
          <w:p w14:paraId="1AC91773" w14:textId="77777777" w:rsidR="00805200" w:rsidRPr="005B4339" w:rsidRDefault="00805200">
            <w:pPr>
              <w:spacing w:after="0"/>
              <w:jc w:val="left"/>
              <w:rPr>
                <w:rFonts w:eastAsiaTheme="minorHAnsi"/>
                <w:noProof/>
                <w:color w:val="000000"/>
                <w:lang w:val="en-IE" w:eastAsia="en-US"/>
              </w:rPr>
            </w:pPr>
          </w:p>
        </w:tc>
      </w:tr>
      <w:tr w:rsidR="00805200" w:rsidRPr="005B4339" w14:paraId="64120EF8" w14:textId="77777777" w:rsidTr="007D1E20">
        <w:tc>
          <w:tcPr>
            <w:tcW w:w="0" w:type="auto"/>
            <w:vMerge/>
            <w:tcBorders>
              <w:left w:val="single" w:sz="4" w:space="0" w:color="auto"/>
              <w:right w:val="single" w:sz="4" w:space="0" w:color="auto"/>
            </w:tcBorders>
            <w:shd w:val="clear" w:color="auto" w:fill="95B3D7" w:themeFill="accent1" w:themeFillTint="99"/>
            <w:vAlign w:val="center"/>
          </w:tcPr>
          <w:p w14:paraId="0DCCEB99" w14:textId="77777777" w:rsidR="00805200" w:rsidRPr="005B4339" w:rsidRDefault="00805200">
            <w:pPr>
              <w:spacing w:after="160" w:line="240" w:lineRule="atLeast"/>
              <w:jc w:val="left"/>
              <w:rPr>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9770A1A" w14:textId="5C2626A4"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2.</w:t>
            </w:r>
            <w:r w:rsidR="535EF9FE" w:rsidRPr="005B4339">
              <w:rPr>
                <w:b/>
                <w:noProof/>
                <w:color w:val="000000" w:themeColor="text1"/>
                <w:lang w:val="en-IE"/>
              </w:rPr>
              <w:t>8</w:t>
            </w:r>
          </w:p>
          <w:p w14:paraId="36CB3FCB"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2E5B1900" w14:textId="77777777" w:rsidR="00805200" w:rsidRPr="005B4339" w:rsidRDefault="00805200">
            <w:pPr>
              <w:spacing w:after="120" w:line="240" w:lineRule="atLeast"/>
              <w:jc w:val="left"/>
              <w:rPr>
                <w:noProof/>
                <w:color w:val="000000"/>
                <w:lang w:val="en-IE"/>
              </w:rPr>
            </w:pPr>
            <w:r w:rsidRPr="005B4339">
              <w:rPr>
                <w:noProof/>
                <w:color w:val="000000"/>
                <w:lang w:val="en-IE"/>
              </w:rPr>
              <w:t xml:space="preserve">208 euro per competent authority and 78 euro per exporter annualised per inspection </w:t>
            </w:r>
          </w:p>
          <w:p w14:paraId="77DAEF10"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25121F64" w14:textId="77777777" w:rsidR="00805200" w:rsidRPr="005B4339" w:rsidRDefault="00805200">
            <w:pPr>
              <w:spacing w:after="160" w:line="240" w:lineRule="atLeast"/>
              <w:rPr>
                <w:noProof/>
                <w:lang w:val="en-IE"/>
              </w:rPr>
            </w:pPr>
            <w:r w:rsidRPr="005B4339">
              <w:rPr>
                <w:noProof/>
                <w:lang w:val="en-IE"/>
              </w:rPr>
              <w:t xml:space="preserve">Reduced textile waste management costs to the reuse operators within or outside the EU on account of reduced share of potential waste fractions in the bales of sorted textiles for reuse imported from the EU. </w:t>
            </w:r>
          </w:p>
          <w:p w14:paraId="434B0C6E" w14:textId="77777777" w:rsidR="00805200" w:rsidRPr="005B4339" w:rsidRDefault="00805200">
            <w:pPr>
              <w:spacing w:after="160" w:line="240" w:lineRule="atLeast"/>
              <w:rPr>
                <w:noProof/>
                <w:color w:val="000000"/>
                <w:lang w:val="en-IE"/>
              </w:rPr>
            </w:pPr>
            <w:r w:rsidRPr="005B4339">
              <w:rPr>
                <w:b/>
                <w:noProof/>
                <w:color w:val="000000"/>
                <w:lang w:val="en-IE"/>
              </w:rPr>
              <w:t>Env benefits</w:t>
            </w:r>
            <w:r w:rsidRPr="005B4339">
              <w:rPr>
                <w:noProof/>
                <w:color w:val="000000"/>
                <w:lang w:val="en-IE"/>
              </w:rPr>
              <w:t>: 16 million euro from GHG emission reduction as well as reduction in release of pollutants to air, water and land that would otherwise result from poor waste management.</w:t>
            </w:r>
          </w:p>
          <w:p w14:paraId="3128AE48" w14:textId="77777777" w:rsidR="00805200" w:rsidRPr="005B4339" w:rsidRDefault="00805200">
            <w:pPr>
              <w:spacing w:after="0" w:line="240" w:lineRule="atLeast"/>
              <w:jc w:val="left"/>
              <w:rPr>
                <w:b/>
                <w:noProof/>
                <w:color w:val="000000" w:themeColor="text1"/>
                <w:lang w:val="en-IE"/>
              </w:rPr>
            </w:pPr>
            <w:r w:rsidRPr="005B4339">
              <w:rPr>
                <w:b/>
                <w:noProof/>
                <w:color w:val="000000"/>
                <w:lang w:val="en-IE"/>
              </w:rPr>
              <w:t>Social benefits</w:t>
            </w:r>
            <w:r w:rsidRPr="005B4339">
              <w:rPr>
                <w:noProof/>
                <w:color w:val="000000"/>
                <w:lang w:val="en-IE"/>
              </w:rPr>
              <w:t>: 8 740 jobs created and social impacts of EU waste in third countries mitigated.</w:t>
            </w:r>
          </w:p>
        </w:tc>
        <w:tc>
          <w:tcPr>
            <w:tcW w:w="0" w:type="auto"/>
            <w:vMerge/>
            <w:vAlign w:val="center"/>
            <w:hideMark/>
          </w:tcPr>
          <w:p w14:paraId="00B2BD3A" w14:textId="77777777" w:rsidR="00805200" w:rsidRPr="005B4339" w:rsidRDefault="00805200">
            <w:pPr>
              <w:spacing w:after="0"/>
              <w:jc w:val="left"/>
              <w:rPr>
                <w:rFonts w:eastAsiaTheme="minorHAnsi"/>
                <w:noProof/>
                <w:color w:val="000000"/>
                <w:lang w:val="en-IE" w:eastAsia="en-US"/>
              </w:rPr>
            </w:pPr>
          </w:p>
        </w:tc>
      </w:tr>
      <w:tr w:rsidR="00805200" w:rsidRPr="005B4339" w14:paraId="1FAAE807" w14:textId="77777777" w:rsidTr="007D1E20">
        <w:tc>
          <w:tcPr>
            <w:tcW w:w="0" w:type="auto"/>
            <w:vMerge/>
            <w:tcBorders>
              <w:left w:val="single" w:sz="4" w:space="0" w:color="auto"/>
              <w:right w:val="single" w:sz="4" w:space="0" w:color="auto"/>
            </w:tcBorders>
            <w:shd w:val="clear" w:color="auto" w:fill="95B3D7" w:themeFill="accent1" w:themeFillTint="99"/>
            <w:vAlign w:val="center"/>
          </w:tcPr>
          <w:p w14:paraId="23D52314" w14:textId="77777777" w:rsidR="00805200" w:rsidRPr="005B4339" w:rsidRDefault="00805200">
            <w:pPr>
              <w:spacing w:after="160" w:line="240" w:lineRule="atLeast"/>
              <w:jc w:val="left"/>
              <w:rPr>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2AF732F" w14:textId="1E036FAB"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2.</w:t>
            </w:r>
            <w:r w:rsidR="649CF28A" w:rsidRPr="005B4339">
              <w:rPr>
                <w:b/>
                <w:noProof/>
                <w:color w:val="000000" w:themeColor="text1"/>
                <w:lang w:val="en-IE"/>
              </w:rPr>
              <w:t>9</w:t>
            </w:r>
          </w:p>
          <w:p w14:paraId="5FE29F66"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1409F748" w14:textId="77777777" w:rsidR="00805200" w:rsidRPr="005B4339" w:rsidRDefault="00805200">
            <w:pPr>
              <w:spacing w:after="120" w:line="240" w:lineRule="atLeast"/>
              <w:jc w:val="left"/>
              <w:rPr>
                <w:noProof/>
                <w:color w:val="000000" w:themeColor="text1"/>
                <w:lang w:val="en-IE"/>
              </w:rPr>
            </w:pPr>
            <w:r w:rsidRPr="005B4339">
              <w:rPr>
                <w:noProof/>
                <w:color w:val="000000" w:themeColor="text1"/>
                <w:lang w:val="en-IE"/>
              </w:rPr>
              <w:t>Shift of economic costs from the current disparate systems employed by the majority of Member States for the management of textile wastes to producers under extended producer responsibility. These costs that would be applicable under the baseline anyway would fall on producers or consumers or a mix of the two dependent on the approach employed at the Member State level to recover the costs of waste management.</w:t>
            </w:r>
          </w:p>
          <w:p w14:paraId="5D6035DC" w14:textId="77777777" w:rsidR="00805200" w:rsidRPr="005B4339" w:rsidRDefault="00805200">
            <w:pPr>
              <w:spacing w:after="120" w:line="240" w:lineRule="atLeast"/>
              <w:jc w:val="left"/>
              <w:rPr>
                <w:noProof/>
                <w:color w:val="000000" w:themeColor="text1"/>
                <w:lang w:val="en-IE"/>
              </w:rPr>
            </w:pPr>
            <w:r w:rsidRPr="005B4339">
              <w:rPr>
                <w:noProof/>
                <w:color w:val="000000" w:themeColor="text1"/>
                <w:lang w:val="en-IE"/>
              </w:rPr>
              <w:t xml:space="preserve">Register development costs of 2-12.3 million euro across all Member States and maintenance costs of </w:t>
            </w:r>
            <w:r w:rsidRPr="005B4339">
              <w:rPr>
                <w:noProof/>
                <w:lang w:val="en-IE"/>
              </w:rPr>
              <w:t>11 200 and 69 000 euro per Member State per year</w:t>
            </w:r>
            <w:r w:rsidRPr="005B4339">
              <w:rPr>
                <w:noProof/>
                <w:color w:val="000000" w:themeColor="text1"/>
                <w:lang w:val="en-IE"/>
              </w:rPr>
              <w:t>.</w:t>
            </w:r>
          </w:p>
          <w:p w14:paraId="4EFF154F" w14:textId="083A938E" w:rsidR="00805200" w:rsidRPr="005B4339" w:rsidRDefault="00216062">
            <w:pPr>
              <w:spacing w:after="120" w:line="240" w:lineRule="atLeast"/>
              <w:jc w:val="left"/>
              <w:rPr>
                <w:noProof/>
                <w:color w:val="000000"/>
                <w:lang w:val="en-IE"/>
              </w:rPr>
            </w:pPr>
            <w:r w:rsidRPr="005B4339">
              <w:rPr>
                <w:noProof/>
                <w:color w:val="000000"/>
                <w:lang w:val="en-IE"/>
              </w:rPr>
              <w:t>7</w:t>
            </w:r>
            <w:r w:rsidR="00805200" w:rsidRPr="005B4339">
              <w:rPr>
                <w:noProof/>
                <w:color w:val="000000"/>
                <w:lang w:val="en-IE"/>
              </w:rPr>
              <w:t>.</w:t>
            </w:r>
            <w:r w:rsidRPr="005B4339">
              <w:rPr>
                <w:noProof/>
                <w:color w:val="000000"/>
                <w:lang w:val="en-IE"/>
              </w:rPr>
              <w:t>79</w:t>
            </w:r>
            <w:r w:rsidR="00805200" w:rsidRPr="005B4339">
              <w:rPr>
                <w:noProof/>
                <w:color w:val="000000"/>
                <w:lang w:val="en-IE"/>
              </w:rPr>
              <w:t xml:space="preserve"> euro million per year for producers to report for the purpose of EPR</w:t>
            </w:r>
          </w:p>
          <w:p w14:paraId="2AE1501E" w14:textId="64F11D2E" w:rsidR="00805200" w:rsidRPr="005B4339" w:rsidRDefault="00216062">
            <w:pPr>
              <w:spacing w:after="160" w:line="240" w:lineRule="atLeast"/>
              <w:jc w:val="left"/>
              <w:rPr>
                <w:noProof/>
                <w:color w:val="000000"/>
                <w:lang w:val="en-IE"/>
              </w:rPr>
            </w:pPr>
            <w:r w:rsidRPr="005B4339">
              <w:rPr>
                <w:noProof/>
                <w:color w:val="000000"/>
                <w:lang w:val="en-IE"/>
              </w:rPr>
              <w:t>4</w:t>
            </w:r>
            <w:r w:rsidR="00805200" w:rsidRPr="005B4339">
              <w:rPr>
                <w:noProof/>
                <w:color w:val="000000"/>
                <w:lang w:val="en-IE"/>
              </w:rPr>
              <w:t>.</w:t>
            </w:r>
            <w:r w:rsidRPr="005B4339">
              <w:rPr>
                <w:noProof/>
                <w:color w:val="000000"/>
                <w:lang w:val="en-IE"/>
              </w:rPr>
              <w:t>0</w:t>
            </w:r>
            <w:r w:rsidR="00805200" w:rsidRPr="005B4339">
              <w:rPr>
                <w:noProof/>
                <w:color w:val="000000"/>
                <w:lang w:val="en-IE"/>
              </w:rPr>
              <w:t>4 euro million costs of operating PRO registers and inspections</w:t>
            </w:r>
          </w:p>
          <w:p w14:paraId="20CB4F44"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32AC984E" w14:textId="77777777" w:rsidR="00805200" w:rsidRPr="005B4339" w:rsidRDefault="00805200">
            <w:pPr>
              <w:spacing w:after="160" w:line="240" w:lineRule="atLeast"/>
              <w:rPr>
                <w:noProof/>
                <w:lang w:val="en-IE"/>
              </w:rPr>
            </w:pPr>
            <w:r w:rsidRPr="005B4339">
              <w:rPr>
                <w:noProof/>
                <w:lang w:val="en-IE"/>
              </w:rPr>
              <w:t>Support to 1.1 billion euro of reusable textiles would be available to the market as well as 188 million euro of textiles for feeding into closed loop recycling and 49 million of textiles for open loop recycling operators.</w:t>
            </w:r>
          </w:p>
          <w:p w14:paraId="225BAF72" w14:textId="4BE446A1" w:rsidR="00805200" w:rsidRPr="005B4339" w:rsidRDefault="00805200">
            <w:pPr>
              <w:spacing w:after="160" w:line="240" w:lineRule="atLeast"/>
              <w:jc w:val="left"/>
              <w:rPr>
                <w:noProof/>
                <w:color w:val="000000"/>
                <w:lang w:val="en-IE"/>
              </w:rPr>
            </w:pPr>
            <w:r w:rsidRPr="005B4339">
              <w:rPr>
                <w:noProof/>
                <w:color w:val="000000"/>
                <w:lang w:val="en-IE"/>
              </w:rPr>
              <w:t xml:space="preserve">Support to 3.5-4.5 billion euro annual </w:t>
            </w:r>
            <w:r w:rsidR="004C4D4E" w:rsidRPr="005B4339">
              <w:rPr>
                <w:noProof/>
                <w:color w:val="000000"/>
                <w:lang w:val="en-IE"/>
              </w:rPr>
              <w:t>overall</w:t>
            </w:r>
            <w:r w:rsidRPr="005B4339">
              <w:rPr>
                <w:noProof/>
                <w:color w:val="000000"/>
                <w:lang w:val="en-IE"/>
              </w:rPr>
              <w:t xml:space="preserve"> returns on recycling investment (including the costs and benefits indicated for the other measures) and 1.1 billion euro annual recovery of reusable textiles</w:t>
            </w:r>
          </w:p>
          <w:p w14:paraId="32666A5A" w14:textId="77777777" w:rsidR="00805200" w:rsidRPr="005B4339" w:rsidRDefault="00805200">
            <w:pPr>
              <w:spacing w:after="160" w:line="240" w:lineRule="atLeast"/>
              <w:jc w:val="left"/>
              <w:rPr>
                <w:noProof/>
                <w:color w:val="000000"/>
                <w:lang w:val="en-IE"/>
              </w:rPr>
            </w:pPr>
            <w:r w:rsidRPr="005B4339">
              <w:rPr>
                <w:noProof/>
                <w:color w:val="000000"/>
                <w:lang w:val="en-IE"/>
              </w:rPr>
              <w:t>Tackling potential divergence in Member State national EPR schemes and the resulting level playing field challenges that would result.</w:t>
            </w:r>
          </w:p>
          <w:p w14:paraId="1E0AD28B" w14:textId="77777777" w:rsidR="00805200" w:rsidRPr="005B4339" w:rsidRDefault="00805200">
            <w:pPr>
              <w:spacing w:after="160" w:line="240" w:lineRule="atLeast"/>
              <w:rPr>
                <w:noProof/>
                <w:color w:val="000000"/>
                <w:lang w:val="en-IE"/>
              </w:rPr>
            </w:pPr>
            <w:r w:rsidRPr="005B4339">
              <w:rPr>
                <w:b/>
                <w:noProof/>
                <w:color w:val="000000"/>
                <w:lang w:val="en-IE"/>
              </w:rPr>
              <w:t>Env benefits</w:t>
            </w:r>
            <w:r w:rsidRPr="005B4339">
              <w:rPr>
                <w:noProof/>
                <w:color w:val="000000"/>
                <w:lang w:val="en-IE"/>
              </w:rPr>
              <w:t>: Application of the polluter pays principle supporting a reduction in textile waste sent for disposal of 670 000 tonnes per annum and the resulting environmental impacts of that disposal.</w:t>
            </w:r>
          </w:p>
          <w:p w14:paraId="203BDBCA" w14:textId="77777777" w:rsidR="00805200" w:rsidRPr="005B4339" w:rsidRDefault="00805200">
            <w:pPr>
              <w:spacing w:after="160" w:line="240" w:lineRule="atLeast"/>
              <w:rPr>
                <w:noProof/>
                <w:color w:val="000000"/>
                <w:lang w:val="en-IE"/>
              </w:rPr>
            </w:pPr>
            <w:r w:rsidRPr="005B4339">
              <w:rPr>
                <w:noProof/>
                <w:color w:val="000000"/>
                <w:lang w:val="en-IE"/>
              </w:rPr>
              <w:t>Support for the displacement of virgin fibres with greater recycled fibres through support to the textile recycling sector and resulting land use and water use savings.</w:t>
            </w:r>
          </w:p>
          <w:p w14:paraId="336B9E30" w14:textId="77777777" w:rsidR="00805200" w:rsidRPr="005B4339" w:rsidRDefault="00805200">
            <w:pPr>
              <w:spacing w:after="0" w:line="240" w:lineRule="atLeast"/>
              <w:jc w:val="left"/>
              <w:rPr>
                <w:b/>
                <w:noProof/>
                <w:color w:val="000000" w:themeColor="text1"/>
                <w:lang w:val="en-IE"/>
              </w:rPr>
            </w:pPr>
            <w:r w:rsidRPr="005B4339">
              <w:rPr>
                <w:b/>
                <w:noProof/>
                <w:color w:val="000000"/>
                <w:lang w:val="en-IE"/>
              </w:rPr>
              <w:t>Social benefits</w:t>
            </w:r>
            <w:r w:rsidRPr="005B4339">
              <w:rPr>
                <w:noProof/>
                <w:color w:val="000000"/>
                <w:lang w:val="en-IE"/>
              </w:rPr>
              <w:t>: Support for 5 500 jobs created and social impacts of EU waste in third countries mitigated.</w:t>
            </w:r>
          </w:p>
        </w:tc>
        <w:tc>
          <w:tcPr>
            <w:tcW w:w="0" w:type="auto"/>
            <w:vMerge/>
            <w:vAlign w:val="center"/>
            <w:hideMark/>
          </w:tcPr>
          <w:p w14:paraId="42A06E0E" w14:textId="77777777" w:rsidR="00805200" w:rsidRPr="005B4339" w:rsidRDefault="00805200">
            <w:pPr>
              <w:spacing w:after="0"/>
              <w:jc w:val="left"/>
              <w:rPr>
                <w:rFonts w:eastAsiaTheme="minorHAnsi"/>
                <w:noProof/>
                <w:color w:val="000000"/>
                <w:lang w:val="en-IE" w:eastAsia="en-US"/>
              </w:rPr>
            </w:pPr>
          </w:p>
        </w:tc>
      </w:tr>
      <w:tr w:rsidR="00805200" w:rsidRPr="005B4339" w14:paraId="41354BE5" w14:textId="77777777" w:rsidTr="007D1E20">
        <w:tc>
          <w:tcPr>
            <w:tcW w:w="0" w:type="auto"/>
            <w:vMerge/>
            <w:tcBorders>
              <w:left w:val="single" w:sz="4" w:space="0" w:color="auto"/>
              <w:bottom w:val="single" w:sz="4" w:space="0" w:color="auto"/>
              <w:right w:val="single" w:sz="4" w:space="0" w:color="auto"/>
            </w:tcBorders>
            <w:shd w:val="clear" w:color="auto" w:fill="95B3D7" w:themeFill="accent1" w:themeFillTint="99"/>
            <w:vAlign w:val="center"/>
          </w:tcPr>
          <w:p w14:paraId="7A941F51" w14:textId="77777777" w:rsidR="00805200" w:rsidRPr="005B4339" w:rsidRDefault="00805200">
            <w:pPr>
              <w:spacing w:after="160" w:line="240" w:lineRule="atLeast"/>
              <w:jc w:val="left"/>
              <w:rPr>
                <w:b/>
                <w:noProof/>
                <w:color w:val="000000"/>
                <w:lang w:val="en-IE"/>
              </w:rPr>
            </w:pP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827145" w14:textId="1228331C" w:rsidR="00805200" w:rsidRPr="005B4339" w:rsidRDefault="00805200">
            <w:pPr>
              <w:spacing w:after="0" w:line="240" w:lineRule="atLeast"/>
              <w:jc w:val="left"/>
              <w:rPr>
                <w:b/>
                <w:noProof/>
                <w:color w:val="000000" w:themeColor="text1"/>
                <w:lang w:val="en-IE"/>
              </w:rPr>
            </w:pPr>
            <w:r w:rsidRPr="005B4339">
              <w:rPr>
                <w:b/>
                <w:noProof/>
                <w:color w:val="000000" w:themeColor="text1"/>
                <w:lang w:val="en-IE"/>
              </w:rPr>
              <w:t>Measure 2.</w:t>
            </w:r>
            <w:r w:rsidR="0968F00D" w:rsidRPr="005B4339">
              <w:rPr>
                <w:b/>
                <w:noProof/>
                <w:color w:val="000000" w:themeColor="text1"/>
                <w:lang w:val="en-IE"/>
              </w:rPr>
              <w:t>1</w:t>
            </w:r>
            <w:r w:rsidR="67696901" w:rsidRPr="005B4339">
              <w:rPr>
                <w:b/>
                <w:noProof/>
                <w:color w:val="000000" w:themeColor="text1"/>
                <w:lang w:val="en-IE"/>
              </w:rPr>
              <w:t>4</w:t>
            </w:r>
          </w:p>
          <w:p w14:paraId="6A402DDE" w14:textId="77777777" w:rsidR="00805200" w:rsidRPr="005B4339" w:rsidRDefault="00805200">
            <w:pPr>
              <w:spacing w:after="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3B2C9AA1" w14:textId="77777777" w:rsidR="00805200" w:rsidRPr="005B4339" w:rsidRDefault="00805200">
            <w:pPr>
              <w:spacing w:after="160" w:line="240" w:lineRule="atLeast"/>
              <w:jc w:val="left"/>
              <w:rPr>
                <w:noProof/>
                <w:color w:val="000000"/>
                <w:lang w:val="en-IE"/>
              </w:rPr>
            </w:pPr>
            <w:r w:rsidRPr="005B4339">
              <w:rPr>
                <w:noProof/>
                <w:color w:val="000000"/>
                <w:lang w:val="en-IE"/>
              </w:rPr>
              <w:t xml:space="preserve">750 000 euro per year for EU enterprises to comply with EU reporting obligations </w:t>
            </w:r>
          </w:p>
          <w:p w14:paraId="3934EB6E"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3E38A5BD" w14:textId="77777777" w:rsidR="00805200" w:rsidRPr="005B4339" w:rsidRDefault="00805200">
            <w:pPr>
              <w:spacing w:after="160" w:line="240" w:lineRule="atLeast"/>
              <w:rPr>
                <w:noProof/>
                <w:lang w:val="en-IE"/>
              </w:rPr>
            </w:pPr>
            <w:r w:rsidRPr="005B4339">
              <w:rPr>
                <w:noProof/>
                <w:lang w:val="en-IE"/>
              </w:rPr>
              <w:t xml:space="preserve">Better understanding of textile management within the EU in particular for pre-consumer, post-commercial and post-industrial wastes </w:t>
            </w:r>
          </w:p>
          <w:p w14:paraId="1E3B2824" w14:textId="77777777" w:rsidR="00805200" w:rsidRPr="005B4339" w:rsidRDefault="00805200">
            <w:pPr>
              <w:spacing w:after="160" w:line="240" w:lineRule="atLeast"/>
              <w:rPr>
                <w:noProof/>
                <w:color w:val="000000"/>
                <w:lang w:val="en-IE"/>
              </w:rPr>
            </w:pPr>
            <w:r w:rsidRPr="005B4339">
              <w:rPr>
                <w:b/>
                <w:noProof/>
                <w:color w:val="000000"/>
                <w:lang w:val="en-IE"/>
              </w:rPr>
              <w:t>Env benefits</w:t>
            </w:r>
            <w:r w:rsidRPr="005B4339">
              <w:rPr>
                <w:noProof/>
                <w:color w:val="000000"/>
                <w:lang w:val="en-IE"/>
              </w:rPr>
              <w:t>: Improved knowledge of the textile waste problem allowing better targeted measures to address the environmental impacts of those wastes</w:t>
            </w:r>
          </w:p>
          <w:p w14:paraId="5E7FB6CE" w14:textId="77777777" w:rsidR="00805200" w:rsidRPr="005B4339" w:rsidRDefault="00805200">
            <w:pPr>
              <w:spacing w:after="0" w:line="240" w:lineRule="atLeast"/>
              <w:jc w:val="left"/>
              <w:rPr>
                <w:b/>
                <w:noProof/>
                <w:color w:val="000000" w:themeColor="text1"/>
                <w:lang w:val="en-IE"/>
              </w:rPr>
            </w:pPr>
            <w:r w:rsidRPr="005B4339">
              <w:rPr>
                <w:b/>
                <w:noProof/>
                <w:color w:val="000000"/>
                <w:lang w:val="en-IE"/>
              </w:rPr>
              <w:t>Social benefits</w:t>
            </w:r>
            <w:r w:rsidRPr="005B4339">
              <w:rPr>
                <w:noProof/>
                <w:color w:val="000000"/>
                <w:lang w:val="en-IE"/>
              </w:rPr>
              <w:t>: No specific benefits identified.</w:t>
            </w:r>
          </w:p>
        </w:tc>
        <w:tc>
          <w:tcPr>
            <w:tcW w:w="0" w:type="auto"/>
            <w:vMerge/>
            <w:vAlign w:val="center"/>
            <w:hideMark/>
          </w:tcPr>
          <w:p w14:paraId="6494F2D9" w14:textId="77777777" w:rsidR="00805200" w:rsidRPr="005B4339" w:rsidRDefault="00805200">
            <w:pPr>
              <w:spacing w:after="0"/>
              <w:jc w:val="left"/>
              <w:rPr>
                <w:rFonts w:eastAsiaTheme="minorHAnsi"/>
                <w:noProof/>
                <w:color w:val="000000"/>
                <w:lang w:val="en-IE" w:eastAsia="en-US"/>
              </w:rPr>
            </w:pPr>
          </w:p>
        </w:tc>
      </w:tr>
      <w:tr w:rsidR="00805200" w:rsidRPr="005B4339" w14:paraId="0BC661C9" w14:textId="77777777" w:rsidTr="007D1E20">
        <w:trPr>
          <w:trHeight w:val="537"/>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AD5A99" w14:textId="77777777" w:rsidR="00805200" w:rsidRPr="005B4339" w:rsidRDefault="00805200">
            <w:pPr>
              <w:spacing w:after="160" w:line="240" w:lineRule="atLeast"/>
              <w:jc w:val="left"/>
              <w:rPr>
                <w:rFonts w:eastAsiaTheme="minorHAnsi"/>
                <w:b/>
                <w:noProof/>
                <w:color w:val="000000"/>
                <w:lang w:val="en-IE" w:eastAsia="en-US"/>
              </w:rPr>
            </w:pPr>
            <w:r w:rsidRPr="005B4339">
              <w:rPr>
                <w:rFonts w:eastAsiaTheme="minorHAnsi"/>
                <w:b/>
                <w:noProof/>
                <w:color w:val="000000"/>
                <w:lang w:val="en-IE"/>
              </w:rPr>
              <w:t xml:space="preserve">Option 3 – </w:t>
            </w:r>
            <w:r w:rsidRPr="005B4339">
              <w:rPr>
                <w:b/>
                <w:noProof/>
                <w:lang w:val="en-IE"/>
              </w:rPr>
              <w:t>Targets (assessed for separate collection target)</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796137" w14:textId="77777777" w:rsidR="00805200" w:rsidRPr="005B4339" w:rsidRDefault="00805200">
            <w:pPr>
              <w:spacing w:after="0" w:line="240" w:lineRule="atLeast"/>
              <w:jc w:val="left"/>
              <w:rPr>
                <w:noProof/>
                <w:color w:val="000000"/>
                <w:lang w:val="en-IE"/>
              </w:rPr>
            </w:pPr>
            <w:r w:rsidRPr="005B4339">
              <w:rPr>
                <w:b/>
                <w:noProof/>
                <w:color w:val="000000"/>
                <w:lang w:val="en-IE"/>
              </w:rPr>
              <w:t>Economic costs</w:t>
            </w:r>
            <w:r w:rsidRPr="005B4339">
              <w:rPr>
                <w:noProof/>
                <w:color w:val="000000"/>
                <w:lang w:val="en-IE"/>
              </w:rPr>
              <w:t xml:space="preserve">: </w:t>
            </w:r>
          </w:p>
          <w:p w14:paraId="40937FAE" w14:textId="77777777" w:rsidR="00805200" w:rsidRPr="005B4339" w:rsidRDefault="00805200">
            <w:pPr>
              <w:spacing w:after="160" w:line="240" w:lineRule="atLeast"/>
              <w:jc w:val="left"/>
              <w:rPr>
                <w:noProof/>
                <w:lang w:val="en-IE"/>
              </w:rPr>
            </w:pPr>
            <w:r w:rsidRPr="005B4339">
              <w:rPr>
                <w:noProof/>
                <w:color w:val="000000" w:themeColor="text1"/>
                <w:lang w:val="en-IE"/>
              </w:rPr>
              <w:t>39.2 million euro per year for additional textile collection, sorting and treatment</w:t>
            </w:r>
            <w:r w:rsidRPr="005B4339">
              <w:rPr>
                <w:noProof/>
                <w:lang w:val="en-IE"/>
              </w:rPr>
              <w:t xml:space="preserve"> in Member States that are unlikely to meet a 50% collection target by 2035.  </w:t>
            </w:r>
            <w:r w:rsidRPr="005B4339">
              <w:rPr>
                <w:noProof/>
                <w:color w:val="000000" w:themeColor="text1"/>
                <w:lang w:val="en-IE"/>
              </w:rPr>
              <w:t>These costs would fall on producers or consumers or a mix of the two dependent on the approach employed at the Member State level to recover the costs of waste management.</w:t>
            </w:r>
          </w:p>
          <w:p w14:paraId="7596040F" w14:textId="77777777" w:rsidR="00805200" w:rsidRPr="005B4339" w:rsidRDefault="00805200">
            <w:pPr>
              <w:spacing w:after="160" w:line="240" w:lineRule="atLeast"/>
              <w:jc w:val="left"/>
              <w:rPr>
                <w:noProof/>
                <w:lang w:val="en-IE"/>
              </w:rPr>
            </w:pPr>
            <w:r w:rsidRPr="005B4339">
              <w:rPr>
                <w:noProof/>
                <w:lang w:val="en-IE"/>
              </w:rPr>
              <w:t>Lack of robust data makes target setting for textile waste management premature for most targets</w:t>
            </w:r>
          </w:p>
          <w:p w14:paraId="1726A917" w14:textId="77777777" w:rsidR="00805200" w:rsidRPr="005B4339" w:rsidRDefault="00805200">
            <w:pPr>
              <w:spacing w:after="0" w:line="240" w:lineRule="atLeast"/>
              <w:rPr>
                <w:noProof/>
                <w:color w:val="000000"/>
                <w:lang w:val="en-IE"/>
              </w:rPr>
            </w:pPr>
            <w:r w:rsidRPr="005B4339">
              <w:rPr>
                <w:b/>
                <w:noProof/>
                <w:color w:val="000000"/>
                <w:lang w:val="en-IE"/>
              </w:rPr>
              <w:t>Economic benefits</w:t>
            </w:r>
            <w:r w:rsidRPr="005B4339">
              <w:rPr>
                <w:noProof/>
                <w:color w:val="000000"/>
                <w:lang w:val="en-IE"/>
              </w:rPr>
              <w:t xml:space="preserve">: </w:t>
            </w:r>
          </w:p>
          <w:p w14:paraId="413191BA" w14:textId="77777777" w:rsidR="00805200" w:rsidRPr="005B4339" w:rsidRDefault="00805200">
            <w:pPr>
              <w:spacing w:after="160" w:line="240" w:lineRule="atLeast"/>
              <w:rPr>
                <w:noProof/>
                <w:color w:val="000000"/>
                <w:lang w:val="en-IE"/>
              </w:rPr>
            </w:pPr>
            <w:r w:rsidRPr="005B4339">
              <w:rPr>
                <w:noProof/>
                <w:color w:val="000000"/>
                <w:lang w:val="en-IE"/>
              </w:rPr>
              <w:t>23 million euro per year of reuse value and 5 million euro per year of recycling value for the reuse and recycling sectors.</w:t>
            </w:r>
          </w:p>
          <w:p w14:paraId="25B05328" w14:textId="77777777" w:rsidR="00805200" w:rsidRPr="005B4339" w:rsidRDefault="00805200">
            <w:pPr>
              <w:spacing w:after="0" w:line="240" w:lineRule="atLeast"/>
              <w:rPr>
                <w:noProof/>
                <w:color w:val="000000"/>
                <w:lang w:val="en-IE"/>
              </w:rPr>
            </w:pPr>
            <w:r w:rsidRPr="005B4339">
              <w:rPr>
                <w:b/>
                <w:noProof/>
                <w:color w:val="000000"/>
                <w:lang w:val="en-IE"/>
              </w:rPr>
              <w:t>Env benefits</w:t>
            </w:r>
            <w:r w:rsidRPr="005B4339">
              <w:rPr>
                <w:noProof/>
                <w:color w:val="000000"/>
                <w:lang w:val="en-IE"/>
              </w:rPr>
              <w:t>:</w:t>
            </w:r>
          </w:p>
          <w:p w14:paraId="7872DD0D" w14:textId="77777777" w:rsidR="00805200" w:rsidRPr="005B4339" w:rsidRDefault="00805200">
            <w:pPr>
              <w:spacing w:after="160" w:line="240" w:lineRule="atLeast"/>
              <w:rPr>
                <w:rFonts w:eastAsiaTheme="minorHAnsi"/>
                <w:noProof/>
                <w:color w:val="000000"/>
                <w:lang w:val="en-IE" w:eastAsia="en-US"/>
              </w:rPr>
            </w:pPr>
            <w:r w:rsidRPr="005B4339">
              <w:rPr>
                <w:noProof/>
                <w:color w:val="000000"/>
                <w:lang w:val="en-IE"/>
              </w:rPr>
              <w:t>Additional GHG emission reduction</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972C6A" w14:textId="0E8D6AB2" w:rsidR="00805200" w:rsidRPr="005B4339" w:rsidRDefault="00805200">
            <w:pPr>
              <w:spacing w:after="160" w:line="240" w:lineRule="atLeast"/>
              <w:jc w:val="center"/>
              <w:rPr>
                <w:b/>
                <w:noProof/>
                <w:color w:val="000000"/>
                <w:lang w:val="en-IE"/>
              </w:rPr>
            </w:pPr>
            <w:r w:rsidRPr="005B4339">
              <w:rPr>
                <w:b/>
                <w:noProof/>
                <w:color w:val="000000"/>
                <w:lang w:val="en-IE"/>
              </w:rPr>
              <w:t>Economic costs</w:t>
            </w:r>
          </w:p>
          <w:p w14:paraId="3BC7A6CB" w14:textId="39541134" w:rsidR="004F1129" w:rsidRPr="005B4339" w:rsidRDefault="004F1129">
            <w:pPr>
              <w:spacing w:after="160" w:line="240" w:lineRule="atLeast"/>
              <w:jc w:val="center"/>
              <w:rPr>
                <w:noProof/>
                <w:color w:val="000000"/>
                <w:lang w:val="en-IE"/>
              </w:rPr>
            </w:pPr>
            <w:r w:rsidRPr="005B4339">
              <w:rPr>
                <w:noProof/>
                <w:color w:val="000000"/>
                <w:lang w:val="en-IE"/>
              </w:rPr>
              <w:t>€39 million per year (covered by the EPR measure 2.9)</w:t>
            </w:r>
          </w:p>
          <w:p w14:paraId="31135AC0" w14:textId="38049279" w:rsidR="00EF69FB" w:rsidRPr="005B4339" w:rsidRDefault="00EF69FB">
            <w:pPr>
              <w:spacing w:after="160" w:line="240" w:lineRule="atLeast"/>
              <w:jc w:val="center"/>
              <w:rPr>
                <w:b/>
                <w:noProof/>
                <w:color w:val="000000"/>
                <w:lang w:val="en-IE"/>
              </w:rPr>
            </w:pPr>
            <w:r w:rsidRPr="005B4339">
              <w:rPr>
                <w:b/>
                <w:bCs/>
                <w:noProof/>
                <w:color w:val="000000"/>
                <w:lang w:val="en-IE"/>
              </w:rPr>
              <w:t>Economic benefits</w:t>
            </w:r>
          </w:p>
          <w:p w14:paraId="678FBF8A" w14:textId="081F18B0" w:rsidR="00805200" w:rsidRPr="005B4339" w:rsidRDefault="00805200">
            <w:pPr>
              <w:spacing w:after="160" w:line="240" w:lineRule="atLeast"/>
              <w:jc w:val="center"/>
              <w:rPr>
                <w:noProof/>
                <w:color w:val="000000"/>
                <w:lang w:val="en-IE"/>
              </w:rPr>
            </w:pPr>
            <w:r w:rsidRPr="005B4339">
              <w:rPr>
                <w:noProof/>
                <w:color w:val="000000" w:themeColor="text1"/>
                <w:lang w:val="en-IE"/>
              </w:rPr>
              <w:t>2</w:t>
            </w:r>
            <w:r w:rsidR="006A5ACF" w:rsidRPr="005B4339">
              <w:rPr>
                <w:noProof/>
                <w:color w:val="000000" w:themeColor="text1"/>
                <w:lang w:val="en-IE"/>
              </w:rPr>
              <w:t>8</w:t>
            </w:r>
            <w:r w:rsidRPr="005B4339">
              <w:rPr>
                <w:noProof/>
                <w:color w:val="000000" w:themeColor="text1"/>
                <w:lang w:val="en-IE"/>
              </w:rPr>
              <w:t xml:space="preserve"> million euro per year </w:t>
            </w:r>
          </w:p>
          <w:p w14:paraId="10B3F398" w14:textId="77777777" w:rsidR="00805200" w:rsidRPr="005B4339" w:rsidRDefault="00805200">
            <w:pPr>
              <w:spacing w:after="160" w:line="240" w:lineRule="atLeast"/>
              <w:jc w:val="center"/>
              <w:rPr>
                <w:noProof/>
                <w:color w:val="000000"/>
                <w:lang w:val="en-IE"/>
              </w:rPr>
            </w:pPr>
            <w:r w:rsidRPr="005B4339">
              <w:rPr>
                <w:b/>
                <w:noProof/>
                <w:color w:val="000000"/>
                <w:lang w:val="en-IE"/>
              </w:rPr>
              <w:t>Env benefits</w:t>
            </w:r>
            <w:r w:rsidRPr="005B4339">
              <w:rPr>
                <w:noProof/>
                <w:color w:val="000000"/>
                <w:lang w:val="en-IE"/>
              </w:rPr>
              <w:t>:</w:t>
            </w:r>
          </w:p>
          <w:p w14:paraId="6294B541" w14:textId="77777777" w:rsidR="00805200" w:rsidRPr="005B4339" w:rsidRDefault="00805200">
            <w:pPr>
              <w:spacing w:after="160" w:line="240" w:lineRule="atLeast"/>
              <w:jc w:val="center"/>
              <w:rPr>
                <w:noProof/>
                <w:color w:val="000000"/>
                <w:lang w:val="en-IE"/>
              </w:rPr>
            </w:pPr>
            <w:r w:rsidRPr="005B4339">
              <w:rPr>
                <w:noProof/>
                <w:color w:val="000000"/>
                <w:lang w:val="en-IE"/>
              </w:rPr>
              <w:t>Additional GHG emission reduction</w:t>
            </w:r>
          </w:p>
          <w:p w14:paraId="7DFA70CD" w14:textId="06611996" w:rsidR="00805200" w:rsidRPr="005B4339" w:rsidRDefault="00805200">
            <w:pPr>
              <w:spacing w:after="160" w:line="240" w:lineRule="atLeast"/>
              <w:jc w:val="center"/>
              <w:rPr>
                <w:rFonts w:eastAsiaTheme="minorHAnsi"/>
                <w:noProof/>
                <w:color w:val="000000"/>
                <w:lang w:val="en-IE" w:eastAsia="en-US"/>
              </w:rPr>
            </w:pPr>
            <w:r w:rsidRPr="005B4339">
              <w:rPr>
                <w:rFonts w:eastAsiaTheme="minorHAnsi"/>
                <w:b/>
                <w:noProof/>
                <w:color w:val="000000"/>
                <w:lang w:val="en-IE"/>
              </w:rPr>
              <w:t>Overall effectiveness, efficiency and coherence</w:t>
            </w:r>
            <w:r w:rsidRPr="005B4339">
              <w:rPr>
                <w:rFonts w:eastAsiaTheme="minorHAnsi"/>
                <w:noProof/>
                <w:color w:val="000000"/>
                <w:lang w:val="en-IE"/>
              </w:rPr>
              <w:t xml:space="preserve">: Effective if the targets are met. Ensures flexibility of implementation in Member States. </w:t>
            </w:r>
          </w:p>
        </w:tc>
      </w:tr>
    </w:tbl>
    <w:p w14:paraId="606A0428" w14:textId="77777777" w:rsidR="007823A2" w:rsidRPr="005B4339" w:rsidRDefault="007823A2" w:rsidP="007823A2">
      <w:pPr>
        <w:rPr>
          <w:noProof/>
          <w:lang w:val="en-IE"/>
        </w:rPr>
      </w:pPr>
    </w:p>
    <w:p w14:paraId="74E372DB" w14:textId="77777777" w:rsidR="00F53794" w:rsidRPr="005B4339" w:rsidRDefault="00F53794" w:rsidP="00112880">
      <w:pPr>
        <w:rPr>
          <w:noProof/>
          <w:lang w:val="en-IE"/>
        </w:rPr>
        <w:sectPr w:rsidR="00F53794" w:rsidRPr="005B4339" w:rsidSect="005667C4">
          <w:headerReference w:type="even" r:id="rId172"/>
          <w:headerReference w:type="default" r:id="rId173"/>
          <w:footerReference w:type="even" r:id="rId174"/>
          <w:footerReference w:type="default" r:id="rId175"/>
          <w:headerReference w:type="first" r:id="rId176"/>
          <w:footerReference w:type="first" r:id="rId177"/>
          <w:pgSz w:w="15840" w:h="12240" w:orient="landscape"/>
          <w:pgMar w:top="1440" w:right="1440" w:bottom="1440" w:left="1440" w:header="601" w:footer="1077" w:gutter="0"/>
          <w:cols w:space="720"/>
          <w:docGrid w:linePitch="326"/>
        </w:sectPr>
      </w:pPr>
    </w:p>
    <w:p w14:paraId="024AB9B9" w14:textId="52CE8759" w:rsidR="00793FFE" w:rsidRPr="005B4339" w:rsidRDefault="009967AE" w:rsidP="009967AE">
      <w:pPr>
        <w:pStyle w:val="Heading2"/>
        <w:rPr>
          <w:noProof/>
          <w:lang w:val="en-IE"/>
        </w:rPr>
      </w:pPr>
      <w:bookmarkStart w:id="907" w:name="_Toc124777335"/>
      <w:bookmarkStart w:id="908" w:name="_Toc1483813598"/>
      <w:bookmarkStart w:id="909" w:name="_Toc1915337761"/>
      <w:bookmarkStart w:id="910" w:name="_Toc1619841181"/>
      <w:bookmarkStart w:id="911" w:name="_Toc217049685"/>
      <w:bookmarkStart w:id="912" w:name="_Toc295653489"/>
      <w:bookmarkStart w:id="913" w:name="_Toc278700186"/>
      <w:bookmarkStart w:id="914" w:name="_Toc1980066242"/>
      <w:bookmarkStart w:id="915" w:name="_Toc139032135"/>
      <w:r w:rsidRPr="009967AE">
        <w:t>2-</w:t>
      </w:r>
      <w:r w:rsidRPr="009967AE">
        <w:tab/>
      </w:r>
      <w:r w:rsidR="00793FFE" w:rsidRPr="005B4339">
        <w:rPr>
          <w:noProof/>
          <w:lang w:val="en-IE"/>
        </w:rPr>
        <w:t>Food Waste</w:t>
      </w:r>
      <w:bookmarkEnd w:id="907"/>
      <w:bookmarkEnd w:id="908"/>
      <w:bookmarkEnd w:id="909"/>
      <w:bookmarkEnd w:id="910"/>
      <w:bookmarkEnd w:id="911"/>
      <w:bookmarkEnd w:id="912"/>
      <w:bookmarkEnd w:id="913"/>
      <w:bookmarkEnd w:id="914"/>
      <w:bookmarkEnd w:id="915"/>
    </w:p>
    <w:p w14:paraId="4C27E526" w14:textId="5FB9AC82" w:rsidR="002157D5" w:rsidRPr="005B4339" w:rsidRDefault="002157D5" w:rsidP="002157D5">
      <w:pPr>
        <w:rPr>
          <w:noProof/>
          <w:lang w:val="en-IE"/>
        </w:rPr>
      </w:pPr>
      <w:r w:rsidRPr="005B4339">
        <w:rPr>
          <w:noProof/>
          <w:lang w:val="en-IE"/>
        </w:rPr>
        <w:t>As comparison of the options result directly from Annex 11 and was summarised in the main text of Staff Working Document</w:t>
      </w:r>
      <w:r w:rsidR="00EE6622" w:rsidRPr="005B4339">
        <w:rPr>
          <w:noProof/>
          <w:lang w:val="en-IE"/>
        </w:rPr>
        <w:t>,</w:t>
      </w:r>
      <w:r w:rsidRPr="005B4339">
        <w:rPr>
          <w:noProof/>
          <w:lang w:val="en-IE"/>
        </w:rPr>
        <w:t xml:space="preserve"> no additional information</w:t>
      </w:r>
      <w:r w:rsidRPr="005B4339">
        <w:rPr>
          <w:rFonts w:eastAsia="Times New Roman"/>
          <w:noProof/>
          <w:lang w:val="en-IE"/>
        </w:rPr>
        <w:t xml:space="preserve"> on the comparison of the options is provided here.</w:t>
      </w:r>
    </w:p>
    <w:p w14:paraId="71C7350A" w14:textId="77777777" w:rsidR="00793FFE" w:rsidRPr="005B4339" w:rsidRDefault="00793FFE" w:rsidP="00E57A77">
      <w:pPr>
        <w:rPr>
          <w:noProof/>
          <w:lang w:val="en-IE"/>
        </w:rPr>
      </w:pPr>
    </w:p>
    <w:p w14:paraId="587288DB" w14:textId="7FE15F71" w:rsidR="001B6459" w:rsidRPr="005B4339" w:rsidRDefault="001B6459" w:rsidP="001B1E6E">
      <w:pPr>
        <w:spacing w:after="200"/>
        <w:jc w:val="left"/>
        <w:rPr>
          <w:noProof/>
          <w:lang w:val="en-IE"/>
        </w:rPr>
      </w:pPr>
      <w:r w:rsidRPr="005B4339">
        <w:rPr>
          <w:noProof/>
          <w:lang w:val="en-IE"/>
        </w:rPr>
        <w:br w:type="page"/>
      </w:r>
    </w:p>
    <w:p w14:paraId="0AAEB1E2" w14:textId="74C931BA" w:rsidR="00B33EC1" w:rsidRPr="005B4339" w:rsidRDefault="00B33EC1" w:rsidP="004A0ACC">
      <w:pPr>
        <w:pStyle w:val="AnnexTitle"/>
        <w:rPr>
          <w:noProof/>
          <w:lang w:val="en-IE"/>
        </w:rPr>
      </w:pPr>
      <w:bookmarkStart w:id="916" w:name="_Toc124777336"/>
      <w:bookmarkStart w:id="917" w:name="_Toc132761291"/>
      <w:bookmarkStart w:id="918" w:name="_Toc1936754341"/>
      <w:bookmarkStart w:id="919" w:name="_Toc1713311994"/>
      <w:bookmarkStart w:id="920" w:name="_Toc1966999072"/>
      <w:bookmarkStart w:id="921" w:name="_Toc119947763"/>
      <w:bookmarkStart w:id="922" w:name="_Toc1903808984"/>
      <w:bookmarkStart w:id="923" w:name="_Toc1030711827"/>
      <w:bookmarkStart w:id="924" w:name="_Toc1340948949"/>
      <w:bookmarkStart w:id="925" w:name="_Toc139032136"/>
      <w:bookmarkStart w:id="926" w:name="_Toc114581884"/>
      <w:bookmarkStart w:id="927" w:name="_Toc120782635"/>
      <w:r w:rsidRPr="005B4339">
        <w:rPr>
          <w:noProof/>
          <w:lang w:val="en-IE"/>
        </w:rPr>
        <w:t>Annex 13: Preferred option</w:t>
      </w:r>
      <w:bookmarkEnd w:id="916"/>
      <w:bookmarkEnd w:id="917"/>
      <w:bookmarkEnd w:id="918"/>
      <w:bookmarkEnd w:id="919"/>
      <w:bookmarkEnd w:id="920"/>
      <w:bookmarkEnd w:id="921"/>
      <w:bookmarkEnd w:id="922"/>
      <w:bookmarkEnd w:id="923"/>
      <w:bookmarkEnd w:id="924"/>
      <w:bookmarkEnd w:id="925"/>
    </w:p>
    <w:p w14:paraId="0C549B9D" w14:textId="5025BCF3" w:rsidR="00EE05DB" w:rsidRPr="005B4339" w:rsidRDefault="009967AE" w:rsidP="009967AE">
      <w:pPr>
        <w:pStyle w:val="Heading2"/>
        <w:rPr>
          <w:noProof/>
          <w:lang w:val="en-IE"/>
        </w:rPr>
      </w:pPr>
      <w:bookmarkStart w:id="928" w:name="_Toc1495154648"/>
      <w:bookmarkStart w:id="929" w:name="_Toc1534341771"/>
      <w:bookmarkStart w:id="930" w:name="_Toc630897252"/>
      <w:bookmarkStart w:id="931" w:name="_Toc1506970787"/>
      <w:bookmarkStart w:id="932" w:name="_Toc1689924673"/>
      <w:bookmarkStart w:id="933" w:name="_Toc2073229815"/>
      <w:bookmarkStart w:id="934" w:name="_Toc867098929"/>
      <w:bookmarkStart w:id="935" w:name="_Toc1185917829"/>
      <w:bookmarkStart w:id="936" w:name="_Toc139032137"/>
      <w:r w:rsidRPr="009967AE">
        <w:t>1-</w:t>
      </w:r>
      <w:r w:rsidRPr="009967AE">
        <w:tab/>
      </w:r>
      <w:r w:rsidR="00EE05DB" w:rsidRPr="005B4339">
        <w:rPr>
          <w:noProof/>
          <w:lang w:val="en-IE"/>
        </w:rPr>
        <w:t>Textiles</w:t>
      </w:r>
      <w:bookmarkEnd w:id="928"/>
      <w:bookmarkEnd w:id="929"/>
      <w:bookmarkEnd w:id="930"/>
      <w:bookmarkEnd w:id="931"/>
      <w:bookmarkEnd w:id="932"/>
      <w:bookmarkEnd w:id="933"/>
      <w:bookmarkEnd w:id="934"/>
      <w:bookmarkEnd w:id="935"/>
      <w:bookmarkEnd w:id="936"/>
      <w:r w:rsidR="00EE05DB" w:rsidRPr="005B4339">
        <w:rPr>
          <w:noProof/>
          <w:lang w:val="en-IE"/>
        </w:rPr>
        <w:t xml:space="preserve"> </w:t>
      </w:r>
    </w:p>
    <w:p w14:paraId="1E9EF35A" w14:textId="475534AC" w:rsidR="000873A5" w:rsidRPr="005B4339" w:rsidRDefault="000873A5" w:rsidP="002844B8">
      <w:pPr>
        <w:pStyle w:val="WDBody"/>
        <w:jc w:val="both"/>
        <w:rPr>
          <w:rFonts w:ascii="Times New Roman" w:hAnsi="Times New Roman" w:cs="Times New Roman"/>
          <w:noProof/>
          <w:sz w:val="24"/>
          <w:szCs w:val="24"/>
          <w:lang w:val="en-IE"/>
        </w:rPr>
      </w:pPr>
      <w:r w:rsidRPr="005B4339">
        <w:rPr>
          <w:rFonts w:ascii="Times New Roman" w:hAnsi="Times New Roman" w:cs="Times New Roman"/>
          <w:noProof/>
          <w:sz w:val="24"/>
          <w:szCs w:val="24"/>
          <w:lang w:val="en-IE"/>
        </w:rPr>
        <w:t>The preferred option would be to combine the green-rated policy measures</w:t>
      </w:r>
      <w:r w:rsidR="00352197" w:rsidRPr="005B4339">
        <w:rPr>
          <w:rFonts w:ascii="Times New Roman" w:hAnsi="Times New Roman" w:cs="Times New Roman"/>
          <w:noProof/>
          <w:sz w:val="24"/>
          <w:szCs w:val="24"/>
          <w:lang w:val="en-IE"/>
        </w:rPr>
        <w:t xml:space="preserve"> illustrated in</w:t>
      </w:r>
      <w:r w:rsidR="00013366" w:rsidRPr="005B4339">
        <w:rPr>
          <w:rFonts w:ascii="Times New Roman" w:hAnsi="Times New Roman" w:cs="Times New Roman"/>
          <w:noProof/>
          <w:sz w:val="24"/>
          <w:szCs w:val="24"/>
          <w:lang w:val="en-IE"/>
        </w:rPr>
        <w:t xml:space="preserve"> the</w:t>
      </w:r>
      <w:r w:rsidR="008B2EFE" w:rsidRPr="005B4339">
        <w:rPr>
          <w:rFonts w:ascii="Times New Roman" w:hAnsi="Times New Roman" w:cs="Times New Roman"/>
          <w:noProof/>
          <w:sz w:val="24"/>
          <w:szCs w:val="24"/>
          <w:lang w:val="en-IE"/>
        </w:rPr>
        <w:t xml:space="preserve"> Table </w:t>
      </w:r>
      <w:r w:rsidR="007165D3" w:rsidRPr="005B4339">
        <w:rPr>
          <w:rFonts w:ascii="Times New Roman" w:hAnsi="Times New Roman" w:cs="Times New Roman"/>
          <w:noProof/>
          <w:sz w:val="24"/>
          <w:szCs w:val="24"/>
          <w:lang w:val="en-IE"/>
        </w:rPr>
        <w:t>below</w:t>
      </w:r>
      <w:r w:rsidR="00013366" w:rsidRPr="005B4339">
        <w:rPr>
          <w:rFonts w:ascii="Times New Roman" w:hAnsi="Times New Roman" w:cs="Times New Roman"/>
          <w:noProof/>
          <w:sz w:val="24"/>
          <w:szCs w:val="24"/>
          <w:lang w:val="en-IE"/>
        </w:rPr>
        <w:t>.</w:t>
      </w:r>
      <w:r w:rsidR="00684F77" w:rsidRPr="005B4339">
        <w:rPr>
          <w:rFonts w:ascii="Times New Roman" w:hAnsi="Times New Roman" w:cs="Times New Roman"/>
          <w:noProof/>
          <w:sz w:val="24"/>
          <w:szCs w:val="24"/>
          <w:lang w:val="en-IE"/>
        </w:rPr>
        <w:t xml:space="preserve"> </w:t>
      </w:r>
      <w:r w:rsidR="00013366" w:rsidRPr="005B4339">
        <w:rPr>
          <w:rFonts w:ascii="Times New Roman" w:hAnsi="Times New Roman" w:cs="Times New Roman"/>
          <w:noProof/>
          <w:sz w:val="24"/>
          <w:szCs w:val="24"/>
          <w:lang w:val="en-IE"/>
        </w:rPr>
        <w:t>These measures compose a ‘preferred’ policy package for the revision of the WFD. The implementation of such measures would likely generate significant and positive impacts that significantly outweigh the costs involved in their application. The preferred policy package would involve the measures listed in the table</w:t>
      </w:r>
      <w:r w:rsidR="00940D0D" w:rsidRPr="005B4339">
        <w:rPr>
          <w:rFonts w:ascii="Times New Roman" w:hAnsi="Times New Roman" w:cs="Times New Roman"/>
          <w:noProof/>
          <w:sz w:val="24"/>
          <w:szCs w:val="24"/>
          <w:lang w:val="en-IE"/>
        </w:rPr>
        <w:t>, aiming to address the two specific objectives:</w:t>
      </w:r>
    </w:p>
    <w:p w14:paraId="0BB0EC84" w14:textId="4EE8188E" w:rsidR="006304CB" w:rsidRPr="005B4339" w:rsidRDefault="006304CB" w:rsidP="00CF0DFB">
      <w:pPr>
        <w:pStyle w:val="ListParagraph"/>
        <w:numPr>
          <w:ilvl w:val="0"/>
          <w:numId w:val="59"/>
        </w:numPr>
        <w:spacing w:after="0"/>
        <w:rPr>
          <w:noProof/>
          <w:lang w:val="en-IE"/>
        </w:rPr>
      </w:pPr>
      <w:r w:rsidRPr="005B4339">
        <w:rPr>
          <w:noProof/>
          <w:lang w:val="en-IE"/>
        </w:rPr>
        <w:t>reduce textile waste generation</w:t>
      </w:r>
      <w:r w:rsidR="26D121A8" w:rsidRPr="005B4339">
        <w:rPr>
          <w:noProof/>
          <w:lang w:val="en-IE"/>
        </w:rPr>
        <w:t>,</w:t>
      </w:r>
      <w:r w:rsidRPr="005B4339">
        <w:rPr>
          <w:noProof/>
          <w:lang w:val="en-IE"/>
        </w:rPr>
        <w:t xml:space="preserve"> and </w:t>
      </w:r>
    </w:p>
    <w:p w14:paraId="1D6E2CCB" w14:textId="31678838" w:rsidR="006304CB" w:rsidRPr="005B4339" w:rsidRDefault="00CC3F56" w:rsidP="00CF0DFB">
      <w:pPr>
        <w:pStyle w:val="ListParagraph"/>
        <w:numPr>
          <w:ilvl w:val="0"/>
          <w:numId w:val="59"/>
        </w:numPr>
        <w:rPr>
          <w:noProof/>
          <w:lang w:val="en-IE"/>
        </w:rPr>
      </w:pPr>
      <w:r w:rsidRPr="005B4339">
        <w:rPr>
          <w:noProof/>
          <w:lang w:val="en-IE"/>
        </w:rPr>
        <w:t xml:space="preserve">increase the recycling of textile waste and reduce </w:t>
      </w:r>
      <w:r w:rsidR="0032204D" w:rsidRPr="005B4339">
        <w:rPr>
          <w:noProof/>
          <w:lang w:val="en-IE"/>
        </w:rPr>
        <w:t>the amount of residual textile waste.</w:t>
      </w:r>
    </w:p>
    <w:p w14:paraId="0C68A85A" w14:textId="0FB23EE7" w:rsidR="008831EA" w:rsidRPr="005B4339" w:rsidRDefault="008831EA" w:rsidP="008831EA">
      <w:pPr>
        <w:pStyle w:val="Caption"/>
        <w:rPr>
          <w:noProof/>
          <w:color w:val="auto"/>
          <w:sz w:val="24"/>
          <w:szCs w:val="24"/>
          <w:lang w:val="en-IE"/>
        </w:rPr>
      </w:pPr>
      <w:bookmarkStart w:id="937" w:name="_Toc133229506"/>
      <w:bookmarkStart w:id="938" w:name="_Toc139032060"/>
      <w:r w:rsidRPr="005B4339">
        <w:rPr>
          <w:noProof/>
          <w:color w:val="auto"/>
          <w:sz w:val="24"/>
          <w:szCs w:val="24"/>
          <w:lang w:val="en-IE"/>
        </w:rPr>
        <w:t xml:space="preserve">Table </w:t>
      </w:r>
      <w:r w:rsidR="00393DFA">
        <w:rPr>
          <w:noProof/>
          <w:color w:val="auto"/>
          <w:sz w:val="24"/>
          <w:szCs w:val="24"/>
        </w:rPr>
        <w:t>44</w:t>
      </w:r>
      <w:r w:rsidRPr="005B4339">
        <w:rPr>
          <w:noProof/>
          <w:color w:val="auto"/>
          <w:sz w:val="24"/>
          <w:szCs w:val="24"/>
          <w:lang w:val="en-IE"/>
        </w:rPr>
        <w:t xml:space="preserve"> – Impacts of textile policy measures</w:t>
      </w:r>
      <w:r w:rsidR="6A0CD9F7" w:rsidRPr="005B4339">
        <w:rPr>
          <w:noProof/>
          <w:color w:val="auto"/>
          <w:sz w:val="24"/>
          <w:szCs w:val="24"/>
          <w:lang w:val="en-IE"/>
        </w:rPr>
        <w:t xml:space="preserve"> in the preferred option</w:t>
      </w:r>
      <w:bookmarkEnd w:id="937"/>
      <w:bookmarkEnd w:id="938"/>
    </w:p>
    <w:tbl>
      <w:tblPr>
        <w:tblStyle w:val="TableGrid"/>
        <w:tblW w:w="9346" w:type="dxa"/>
        <w:tblLayout w:type="fixed"/>
        <w:tblLook w:val="04A0" w:firstRow="1" w:lastRow="0" w:firstColumn="1" w:lastColumn="0" w:noHBand="0" w:noVBand="1"/>
      </w:tblPr>
      <w:tblGrid>
        <w:gridCol w:w="3109"/>
        <w:gridCol w:w="6237"/>
      </w:tblGrid>
      <w:tr w:rsidR="000873A5" w:rsidRPr="005B4339" w14:paraId="1888D6ED" w14:textId="150D432E"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EEECE1" w:themeFill="background2"/>
          </w:tcPr>
          <w:p w14:paraId="0846A086" w14:textId="591D2F76" w:rsidR="000873A5" w:rsidRPr="005B4339" w:rsidRDefault="000873A5" w:rsidP="000150A4">
            <w:pPr>
              <w:rPr>
                <w:noProof/>
                <w:lang w:val="en-IE"/>
              </w:rPr>
            </w:pPr>
            <w:r w:rsidRPr="005B4339">
              <w:rPr>
                <w:b/>
                <w:noProof/>
                <w:color w:val="000000" w:themeColor="text1"/>
                <w:sz w:val="22"/>
                <w:lang w:val="en-IE"/>
              </w:rPr>
              <w:t>Policy measure</w:t>
            </w:r>
          </w:p>
        </w:tc>
        <w:tc>
          <w:tcPr>
            <w:tcW w:w="6237" w:type="dxa"/>
            <w:tcBorders>
              <w:top w:val="single" w:sz="8" w:space="0" w:color="auto"/>
              <w:left w:val="single" w:sz="8" w:space="0" w:color="auto"/>
              <w:bottom w:val="single" w:sz="8" w:space="0" w:color="auto"/>
              <w:right w:val="single" w:sz="8" w:space="0" w:color="auto"/>
            </w:tcBorders>
            <w:shd w:val="clear" w:color="auto" w:fill="EEECE1" w:themeFill="background2"/>
          </w:tcPr>
          <w:p w14:paraId="0D30E701" w14:textId="0FFC3BB1" w:rsidR="006304CB" w:rsidRPr="005B4339" w:rsidRDefault="00057B73" w:rsidP="000150A4">
            <w:pPr>
              <w:rPr>
                <w:b/>
                <w:noProof/>
                <w:color w:val="000000" w:themeColor="text1"/>
                <w:sz w:val="22"/>
                <w:lang w:val="en-IE"/>
              </w:rPr>
            </w:pPr>
            <w:r w:rsidRPr="005B4339">
              <w:rPr>
                <w:b/>
                <w:noProof/>
                <w:color w:val="000000" w:themeColor="text1"/>
                <w:sz w:val="22"/>
                <w:lang w:val="en-IE"/>
              </w:rPr>
              <w:t xml:space="preserve">Impact of the </w:t>
            </w:r>
            <w:r w:rsidR="006304CB" w:rsidRPr="005B4339">
              <w:rPr>
                <w:b/>
                <w:noProof/>
                <w:color w:val="000000" w:themeColor="text1"/>
                <w:sz w:val="22"/>
                <w:lang w:val="en-IE"/>
              </w:rPr>
              <w:t>measure</w:t>
            </w:r>
          </w:p>
        </w:tc>
      </w:tr>
      <w:tr w:rsidR="000873A5" w:rsidRPr="005B4339" w14:paraId="0A781015" w14:textId="44DA6B09"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28BA3460" w14:textId="3B77ABD7" w:rsidR="000873A5" w:rsidRPr="005B4339" w:rsidRDefault="000873A5" w:rsidP="002E425D">
            <w:pPr>
              <w:spacing w:after="120"/>
              <w:rPr>
                <w:b/>
                <w:noProof/>
                <w:color w:val="000000" w:themeColor="text1"/>
                <w:sz w:val="22"/>
                <w:szCs w:val="22"/>
                <w:lang w:val="en-IE"/>
              </w:rPr>
            </w:pPr>
            <w:r w:rsidRPr="005B4339">
              <w:rPr>
                <w:b/>
                <w:noProof/>
                <w:color w:val="000000" w:themeColor="text1"/>
                <w:sz w:val="22"/>
                <w:szCs w:val="22"/>
                <w:lang w:val="en-IE"/>
              </w:rPr>
              <w:t>Measure 2.</w:t>
            </w:r>
            <w:r w:rsidR="59521BB1" w:rsidRPr="005B4339">
              <w:rPr>
                <w:b/>
                <w:noProof/>
                <w:color w:val="000000" w:themeColor="text1"/>
                <w:sz w:val="22"/>
                <w:szCs w:val="22"/>
                <w:lang w:val="en-IE"/>
              </w:rPr>
              <w:t>5</w:t>
            </w:r>
            <w:r w:rsidRPr="005B4339">
              <w:rPr>
                <w:b/>
                <w:noProof/>
                <w:color w:val="000000" w:themeColor="text1"/>
                <w:sz w:val="22"/>
                <w:szCs w:val="22"/>
                <w:lang w:val="en-IE"/>
              </w:rPr>
              <w:t xml:space="preserve"> – Setting sorting obligations for separately collected textiles and textiles waste</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47956234" w14:textId="16BC1888" w:rsidR="00517154" w:rsidRPr="005B4339" w:rsidRDefault="00517154" w:rsidP="002E425D">
            <w:pPr>
              <w:spacing w:after="120"/>
              <w:rPr>
                <w:noProof/>
                <w:color w:val="000000" w:themeColor="text1"/>
                <w:sz w:val="22"/>
                <w:szCs w:val="22"/>
                <w:lang w:val="en-IE"/>
              </w:rPr>
            </w:pPr>
            <w:r w:rsidRPr="005B4339">
              <w:rPr>
                <w:noProof/>
                <w:color w:val="000000" w:themeColor="text1"/>
                <w:sz w:val="22"/>
                <w:szCs w:val="22"/>
                <w:lang w:val="en-IE"/>
              </w:rPr>
              <w:t xml:space="preserve">As well as ensuring that once collected </w:t>
            </w:r>
            <w:r w:rsidR="00DE5BEE" w:rsidRPr="005B4339">
              <w:rPr>
                <w:noProof/>
                <w:color w:val="000000" w:themeColor="text1"/>
                <w:sz w:val="22"/>
                <w:szCs w:val="22"/>
                <w:lang w:val="en-IE"/>
              </w:rPr>
              <w:t xml:space="preserve">within the EU that </w:t>
            </w:r>
            <w:r w:rsidRPr="005B4339">
              <w:rPr>
                <w:noProof/>
                <w:color w:val="000000" w:themeColor="text1"/>
                <w:sz w:val="22"/>
                <w:szCs w:val="22"/>
                <w:lang w:val="en-IE"/>
              </w:rPr>
              <w:t>textiles are sorted with the waste hierarchy in mind</w:t>
            </w:r>
            <w:r w:rsidR="0CA907A7" w:rsidRPr="005B4339">
              <w:rPr>
                <w:noProof/>
                <w:color w:val="000000" w:themeColor="text1"/>
                <w:sz w:val="22"/>
                <w:szCs w:val="22"/>
                <w:lang w:val="en-IE"/>
              </w:rPr>
              <w:t>,</w:t>
            </w:r>
            <w:r w:rsidR="00412FFF" w:rsidRPr="005B4339">
              <w:rPr>
                <w:noProof/>
                <w:color w:val="000000" w:themeColor="text1"/>
                <w:sz w:val="22"/>
                <w:szCs w:val="22"/>
                <w:lang w:val="en-IE"/>
              </w:rPr>
              <w:t xml:space="preserve"> </w:t>
            </w:r>
            <w:r w:rsidR="00EA64FF" w:rsidRPr="005B4339">
              <w:rPr>
                <w:noProof/>
                <w:color w:val="000000" w:themeColor="text1"/>
                <w:sz w:val="22"/>
                <w:szCs w:val="22"/>
                <w:lang w:val="en-IE"/>
              </w:rPr>
              <w:t>better</w:t>
            </w:r>
            <w:r w:rsidR="00DE5BEE" w:rsidRPr="005B4339">
              <w:rPr>
                <w:noProof/>
                <w:color w:val="000000" w:themeColor="text1"/>
                <w:sz w:val="22"/>
                <w:szCs w:val="22"/>
                <w:lang w:val="en-IE"/>
              </w:rPr>
              <w:t xml:space="preserve"> sorting in the EU looks to limit the possibility of textile wastes being mixed with reusable textiles and exported to third countries where they place an economic</w:t>
            </w:r>
            <w:r w:rsidR="02E92C82" w:rsidRPr="005B4339">
              <w:rPr>
                <w:noProof/>
                <w:color w:val="000000" w:themeColor="text1"/>
                <w:sz w:val="22"/>
                <w:szCs w:val="22"/>
                <w:lang w:val="en-IE"/>
              </w:rPr>
              <w:t>,</w:t>
            </w:r>
            <w:r w:rsidR="00DE5BEE" w:rsidRPr="005B4339">
              <w:rPr>
                <w:noProof/>
                <w:color w:val="000000" w:themeColor="text1"/>
                <w:sz w:val="22"/>
                <w:szCs w:val="22"/>
                <w:lang w:val="en-IE"/>
              </w:rPr>
              <w:t xml:space="preserve"> environmental and social burden on the countries of </w:t>
            </w:r>
            <w:r w:rsidR="453D9DCA" w:rsidRPr="005B4339">
              <w:rPr>
                <w:noProof/>
                <w:color w:val="000000" w:themeColor="text1"/>
                <w:sz w:val="22"/>
                <w:szCs w:val="22"/>
                <w:lang w:val="en-IE"/>
              </w:rPr>
              <w:t>destination</w:t>
            </w:r>
            <w:r w:rsidR="00DE5BEE" w:rsidRPr="005B4339">
              <w:rPr>
                <w:noProof/>
                <w:color w:val="000000" w:themeColor="text1"/>
                <w:sz w:val="22"/>
                <w:szCs w:val="22"/>
                <w:lang w:val="en-IE"/>
              </w:rPr>
              <w:t>.</w:t>
            </w:r>
          </w:p>
        </w:tc>
      </w:tr>
      <w:tr w:rsidR="00DD5FA2" w:rsidRPr="005B4339" w14:paraId="54F3AD4A" w14:textId="64D8BF08"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45AB3A98" w14:textId="076D2223" w:rsidR="00DD5FA2" w:rsidRPr="005B4339" w:rsidRDefault="00DD5FA2" w:rsidP="002E425D">
            <w:pPr>
              <w:spacing w:after="120"/>
              <w:rPr>
                <w:b/>
                <w:noProof/>
                <w:sz w:val="22"/>
                <w:szCs w:val="22"/>
                <w:lang w:val="en-IE"/>
              </w:rPr>
            </w:pPr>
            <w:r w:rsidRPr="005B4339">
              <w:rPr>
                <w:b/>
                <w:noProof/>
                <w:sz w:val="22"/>
                <w:szCs w:val="22"/>
                <w:lang w:val="en-IE"/>
              </w:rPr>
              <w:t>Measure 2.</w:t>
            </w:r>
            <w:r w:rsidR="060FA40F" w:rsidRPr="005B4339">
              <w:rPr>
                <w:b/>
                <w:noProof/>
                <w:sz w:val="22"/>
                <w:szCs w:val="22"/>
                <w:lang w:val="en-IE"/>
              </w:rPr>
              <w:t>6</w:t>
            </w:r>
            <w:r w:rsidRPr="005B4339">
              <w:rPr>
                <w:b/>
                <w:noProof/>
                <w:sz w:val="22"/>
                <w:szCs w:val="22"/>
                <w:lang w:val="en-IE"/>
              </w:rPr>
              <w:t xml:space="preserve"> – Adopt</w:t>
            </w:r>
            <w:r w:rsidR="00A01ECD" w:rsidRPr="005B4339">
              <w:rPr>
                <w:b/>
                <w:noProof/>
                <w:sz w:val="22"/>
                <w:szCs w:val="22"/>
                <w:lang w:val="en-IE"/>
              </w:rPr>
              <w:t>ing</w:t>
            </w:r>
            <w:r w:rsidRPr="005B4339">
              <w:rPr>
                <w:b/>
                <w:noProof/>
                <w:sz w:val="22"/>
                <w:szCs w:val="22"/>
                <w:lang w:val="en-IE"/>
              </w:rPr>
              <w:t xml:space="preserve"> end of waste criteria</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4BF17D08" w14:textId="7518F5FC" w:rsidR="00DE5BEE" w:rsidRPr="005B4339" w:rsidRDefault="00DE5BEE" w:rsidP="002E425D">
            <w:pPr>
              <w:spacing w:after="120"/>
              <w:rPr>
                <w:noProof/>
                <w:color w:val="000000" w:themeColor="text1"/>
                <w:sz w:val="22"/>
                <w:szCs w:val="22"/>
                <w:lang w:val="en-IE"/>
              </w:rPr>
            </w:pPr>
            <w:r w:rsidRPr="005B4339">
              <w:rPr>
                <w:noProof/>
                <w:color w:val="000000" w:themeColor="text1"/>
                <w:sz w:val="22"/>
                <w:szCs w:val="22"/>
                <w:lang w:val="en-IE"/>
              </w:rPr>
              <w:t xml:space="preserve">Ensuring a coordinated approach to determining when textile waste is no longer a waste looks to </w:t>
            </w:r>
            <w:r w:rsidR="008B498F" w:rsidRPr="005B4339">
              <w:rPr>
                <w:noProof/>
                <w:color w:val="000000" w:themeColor="text1"/>
                <w:sz w:val="22"/>
                <w:szCs w:val="22"/>
                <w:lang w:val="en-IE"/>
              </w:rPr>
              <w:t xml:space="preserve">limit distortions in the EU market in relation to reuse and recycling whilst facilitating easier movement of materials when they no longer pose an environmental threat and can be safely </w:t>
            </w:r>
            <w:r w:rsidR="0CF59322" w:rsidRPr="005B4339">
              <w:rPr>
                <w:noProof/>
                <w:color w:val="000000" w:themeColor="text1"/>
                <w:sz w:val="22"/>
                <w:szCs w:val="22"/>
                <w:lang w:val="en-IE"/>
              </w:rPr>
              <w:t>used</w:t>
            </w:r>
            <w:r w:rsidR="008B498F" w:rsidRPr="005B4339">
              <w:rPr>
                <w:noProof/>
                <w:color w:val="000000" w:themeColor="text1"/>
                <w:sz w:val="22"/>
                <w:szCs w:val="22"/>
                <w:lang w:val="en-IE"/>
              </w:rPr>
              <w:t xml:space="preserve">.  </w:t>
            </w:r>
            <w:r w:rsidRPr="005B4339">
              <w:rPr>
                <w:noProof/>
                <w:color w:val="000000" w:themeColor="text1"/>
                <w:sz w:val="22"/>
                <w:szCs w:val="22"/>
                <w:lang w:val="en-IE"/>
              </w:rPr>
              <w:t xml:space="preserve"> </w:t>
            </w:r>
          </w:p>
        </w:tc>
      </w:tr>
      <w:tr w:rsidR="105D5085" w:rsidRPr="005B4339" w14:paraId="4BD2C58E" w14:textId="5B8A4C78"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5ADF017A" w14:textId="15B50780" w:rsidR="105D5085" w:rsidRPr="005B4339" w:rsidRDefault="00284546" w:rsidP="002E425D">
            <w:pPr>
              <w:spacing w:after="120"/>
              <w:rPr>
                <w:b/>
                <w:noProof/>
                <w:color w:val="000000" w:themeColor="text1"/>
                <w:sz w:val="22"/>
                <w:szCs w:val="22"/>
                <w:lang w:val="en-IE"/>
              </w:rPr>
            </w:pPr>
            <w:r w:rsidRPr="005B4339">
              <w:rPr>
                <w:b/>
                <w:noProof/>
                <w:color w:val="000000" w:themeColor="text1"/>
                <w:sz w:val="22"/>
                <w:szCs w:val="22"/>
                <w:lang w:val="en-IE"/>
              </w:rPr>
              <w:t xml:space="preserve">Measure </w:t>
            </w:r>
            <w:r w:rsidR="3A71DE36" w:rsidRPr="005B4339">
              <w:rPr>
                <w:b/>
                <w:noProof/>
                <w:color w:val="000000" w:themeColor="text1"/>
                <w:sz w:val="22"/>
                <w:szCs w:val="22"/>
                <w:lang w:val="en-IE"/>
              </w:rPr>
              <w:t>2.</w:t>
            </w:r>
            <w:r w:rsidR="2033E4A4" w:rsidRPr="005B4339">
              <w:rPr>
                <w:b/>
                <w:noProof/>
                <w:color w:val="000000" w:themeColor="text1"/>
                <w:sz w:val="22"/>
                <w:szCs w:val="22"/>
                <w:lang w:val="en-IE"/>
              </w:rPr>
              <w:t>8</w:t>
            </w:r>
            <w:r w:rsidRPr="005B4339">
              <w:rPr>
                <w:b/>
                <w:noProof/>
                <w:color w:val="000000" w:themeColor="text1"/>
                <w:sz w:val="22"/>
                <w:szCs w:val="22"/>
                <w:lang w:val="en-IE"/>
              </w:rPr>
              <w:t xml:space="preserve"> – Setting </w:t>
            </w:r>
            <w:r w:rsidR="00BF11EA" w:rsidRPr="005B4339">
              <w:rPr>
                <w:b/>
                <w:noProof/>
                <w:sz w:val="22"/>
                <w:szCs w:val="22"/>
                <w:lang w:val="en-IE"/>
              </w:rPr>
              <w:t>requirements</w:t>
            </w:r>
            <w:r w:rsidR="00BF11EA" w:rsidRPr="005B4339">
              <w:rPr>
                <w:b/>
                <w:noProof/>
                <w:color w:val="000000" w:themeColor="text1"/>
                <w:sz w:val="22"/>
                <w:szCs w:val="22"/>
                <w:lang w:val="en-IE"/>
              </w:rPr>
              <w:t xml:space="preserve"> </w:t>
            </w:r>
            <w:r w:rsidR="00BF11EA" w:rsidRPr="005B4339">
              <w:rPr>
                <w:b/>
                <w:noProof/>
                <w:sz w:val="22"/>
                <w:szCs w:val="22"/>
                <w:lang w:val="en-IE"/>
              </w:rPr>
              <w:t xml:space="preserve">for </w:t>
            </w:r>
            <w:r w:rsidR="425FA7E6" w:rsidRPr="005B4339">
              <w:rPr>
                <w:b/>
                <w:noProof/>
                <w:color w:val="000000" w:themeColor="text1"/>
                <w:sz w:val="22"/>
                <w:szCs w:val="22"/>
                <w:lang w:val="en-IE"/>
              </w:rPr>
              <w:t>shipment</w:t>
            </w:r>
            <w:r w:rsidR="00BF11EA" w:rsidRPr="005B4339">
              <w:rPr>
                <w:b/>
                <w:noProof/>
                <w:sz w:val="22"/>
                <w:szCs w:val="22"/>
                <w:lang w:val="en-IE"/>
              </w:rPr>
              <w:t>s of textiles</w:t>
            </w:r>
            <w:r w:rsidRPr="005B4339">
              <w:rPr>
                <w:b/>
                <w:noProof/>
                <w:color w:val="000000" w:themeColor="text1"/>
                <w:sz w:val="22"/>
                <w:szCs w:val="22"/>
                <w:lang w:val="en-IE"/>
              </w:rPr>
              <w:t xml:space="preserve"> </w:t>
            </w:r>
            <w:r w:rsidR="00A01ECD" w:rsidRPr="005B4339">
              <w:rPr>
                <w:b/>
                <w:noProof/>
                <w:color w:val="000000" w:themeColor="text1"/>
                <w:sz w:val="22"/>
                <w:szCs w:val="22"/>
                <w:lang w:val="en-IE"/>
              </w:rPr>
              <w:t>for reuse</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6EB3FDE5" w14:textId="63CFCB27" w:rsidR="00D64DC0" w:rsidRPr="005B4339" w:rsidRDefault="00D64DC0" w:rsidP="002E425D">
            <w:pPr>
              <w:spacing w:after="120"/>
              <w:rPr>
                <w:noProof/>
                <w:color w:val="000000" w:themeColor="text1"/>
                <w:sz w:val="22"/>
                <w:szCs w:val="22"/>
                <w:lang w:val="en-IE"/>
              </w:rPr>
            </w:pPr>
            <w:r w:rsidRPr="005B4339">
              <w:rPr>
                <w:noProof/>
                <w:color w:val="000000" w:themeColor="text1"/>
                <w:sz w:val="22"/>
                <w:szCs w:val="22"/>
                <w:lang w:val="en-IE"/>
              </w:rPr>
              <w:t>In coordination with Measure 2.</w:t>
            </w:r>
            <w:r w:rsidR="288F2C9D" w:rsidRPr="005B4339">
              <w:rPr>
                <w:noProof/>
                <w:color w:val="000000" w:themeColor="text1"/>
                <w:sz w:val="22"/>
                <w:szCs w:val="22"/>
                <w:lang w:val="en-IE"/>
              </w:rPr>
              <w:t>5</w:t>
            </w:r>
            <w:r w:rsidR="0CC640B1" w:rsidRPr="005B4339">
              <w:rPr>
                <w:noProof/>
                <w:color w:val="000000" w:themeColor="text1"/>
                <w:sz w:val="22"/>
                <w:szCs w:val="22"/>
                <w:lang w:val="en-IE"/>
              </w:rPr>
              <w:t>,</w:t>
            </w:r>
            <w:r w:rsidRPr="005B4339">
              <w:rPr>
                <w:noProof/>
                <w:color w:val="000000" w:themeColor="text1"/>
                <w:sz w:val="22"/>
                <w:szCs w:val="22"/>
                <w:lang w:val="en-IE"/>
              </w:rPr>
              <w:t xml:space="preserve"> ensuring that exports of reusable textiles are actually reused at the point of destination and do not contain textile wastes looks to address the economic</w:t>
            </w:r>
            <w:r w:rsidR="77A8961F" w:rsidRPr="005B4339">
              <w:rPr>
                <w:noProof/>
                <w:color w:val="000000" w:themeColor="text1"/>
                <w:sz w:val="22"/>
                <w:szCs w:val="22"/>
                <w:lang w:val="en-IE"/>
              </w:rPr>
              <w:t>,</w:t>
            </w:r>
            <w:r w:rsidRPr="005B4339">
              <w:rPr>
                <w:noProof/>
                <w:color w:val="000000" w:themeColor="text1"/>
                <w:sz w:val="22"/>
                <w:szCs w:val="22"/>
                <w:lang w:val="en-IE"/>
              </w:rPr>
              <w:t xml:space="preserve"> environmental and social burdens that are currently related to the export of EU waste textiles to third countries.</w:t>
            </w:r>
          </w:p>
        </w:tc>
      </w:tr>
      <w:tr w:rsidR="000873A5" w:rsidRPr="005B4339" w14:paraId="18C683D5" w14:textId="42A6AFA2"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3B0DBADD" w14:textId="74E0D8EE" w:rsidR="000873A5" w:rsidRPr="005B4339" w:rsidRDefault="000873A5" w:rsidP="002E425D">
            <w:pPr>
              <w:spacing w:after="120"/>
              <w:rPr>
                <w:b/>
                <w:noProof/>
                <w:color w:val="000000" w:themeColor="text1"/>
                <w:sz w:val="22"/>
                <w:szCs w:val="22"/>
                <w:lang w:val="en-IE"/>
              </w:rPr>
            </w:pPr>
            <w:r w:rsidRPr="005B4339">
              <w:rPr>
                <w:b/>
                <w:noProof/>
                <w:color w:val="000000" w:themeColor="text1"/>
                <w:sz w:val="22"/>
                <w:szCs w:val="22"/>
                <w:lang w:val="en-IE"/>
              </w:rPr>
              <w:t>Measure 2.</w:t>
            </w:r>
            <w:r w:rsidR="546504D6" w:rsidRPr="005B4339">
              <w:rPr>
                <w:b/>
                <w:noProof/>
                <w:color w:val="000000" w:themeColor="text1"/>
                <w:sz w:val="22"/>
                <w:szCs w:val="22"/>
                <w:lang w:val="en-IE"/>
              </w:rPr>
              <w:t>9</w:t>
            </w:r>
            <w:r w:rsidRPr="005B4339">
              <w:rPr>
                <w:b/>
                <w:noProof/>
                <w:color w:val="000000" w:themeColor="text1"/>
                <w:sz w:val="22"/>
                <w:szCs w:val="22"/>
                <w:lang w:val="en-IE"/>
              </w:rPr>
              <w:t xml:space="preserve"> – Mandating the use of EPR</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416815E3" w14:textId="2F9CDFA4" w:rsidR="00D64DC0" w:rsidRPr="005B4339" w:rsidRDefault="00D64DC0" w:rsidP="002E425D">
            <w:pPr>
              <w:spacing w:after="120"/>
              <w:rPr>
                <w:noProof/>
                <w:color w:val="000000" w:themeColor="text1"/>
                <w:sz w:val="22"/>
                <w:szCs w:val="22"/>
                <w:lang w:val="en-IE"/>
              </w:rPr>
            </w:pPr>
            <w:r w:rsidRPr="005B4339">
              <w:rPr>
                <w:noProof/>
                <w:color w:val="000000" w:themeColor="text1"/>
                <w:sz w:val="22"/>
                <w:szCs w:val="22"/>
                <w:lang w:val="en-IE"/>
              </w:rPr>
              <w:t>The effective management of textile wastes is dependent on an informed public</w:t>
            </w:r>
            <w:r w:rsidR="706C4A97" w:rsidRPr="005B4339">
              <w:rPr>
                <w:noProof/>
                <w:color w:val="000000" w:themeColor="text1"/>
                <w:sz w:val="22"/>
                <w:szCs w:val="22"/>
                <w:lang w:val="en-IE"/>
              </w:rPr>
              <w:t>,</w:t>
            </w:r>
            <w:r w:rsidRPr="005B4339">
              <w:rPr>
                <w:noProof/>
                <w:color w:val="000000" w:themeColor="text1"/>
                <w:sz w:val="22"/>
                <w:szCs w:val="22"/>
                <w:lang w:val="en-IE"/>
              </w:rPr>
              <w:t xml:space="preserve"> sufficient waste management infrastructure and </w:t>
            </w:r>
            <w:r w:rsidR="00382765" w:rsidRPr="005B4339">
              <w:rPr>
                <w:noProof/>
                <w:color w:val="000000" w:themeColor="text1"/>
                <w:sz w:val="22"/>
                <w:szCs w:val="22"/>
                <w:lang w:val="en-IE"/>
              </w:rPr>
              <w:t>research and development to support innovation</w:t>
            </w:r>
            <w:r w:rsidR="77B723B5" w:rsidRPr="005B4339">
              <w:rPr>
                <w:noProof/>
                <w:color w:val="000000" w:themeColor="text1"/>
                <w:sz w:val="22"/>
                <w:szCs w:val="22"/>
                <w:lang w:val="en-IE"/>
              </w:rPr>
              <w:t>.</w:t>
            </w:r>
            <w:r w:rsidR="00305F1F" w:rsidRPr="005B4339">
              <w:rPr>
                <w:noProof/>
                <w:color w:val="000000" w:themeColor="text1"/>
                <w:sz w:val="22"/>
                <w:szCs w:val="22"/>
                <w:lang w:val="en-IE"/>
              </w:rPr>
              <w:t xml:space="preserve"> EPR effectively ensures that </w:t>
            </w:r>
            <w:r w:rsidR="2DADB114" w:rsidRPr="005B4339">
              <w:rPr>
                <w:noProof/>
                <w:color w:val="000000" w:themeColor="text1"/>
                <w:sz w:val="22"/>
                <w:szCs w:val="22"/>
                <w:lang w:val="en-IE"/>
              </w:rPr>
              <w:t>the</w:t>
            </w:r>
            <w:r w:rsidR="06EF2186" w:rsidRPr="005B4339">
              <w:rPr>
                <w:noProof/>
                <w:color w:val="000000" w:themeColor="text1"/>
                <w:sz w:val="22"/>
                <w:szCs w:val="22"/>
                <w:lang w:val="en-IE"/>
              </w:rPr>
              <w:t xml:space="preserve"> </w:t>
            </w:r>
            <w:r w:rsidR="2DADB114" w:rsidRPr="005B4339">
              <w:rPr>
                <w:noProof/>
                <w:color w:val="000000" w:themeColor="text1"/>
                <w:sz w:val="22"/>
                <w:szCs w:val="22"/>
                <w:lang w:val="en-IE"/>
              </w:rPr>
              <w:t xml:space="preserve">required </w:t>
            </w:r>
            <w:r w:rsidR="06EF2186" w:rsidRPr="005B4339">
              <w:rPr>
                <w:noProof/>
                <w:color w:val="000000" w:themeColor="text1"/>
                <w:sz w:val="22"/>
                <w:szCs w:val="22"/>
                <w:lang w:val="en-IE"/>
              </w:rPr>
              <w:t xml:space="preserve">funding is put in place to </w:t>
            </w:r>
            <w:r w:rsidR="62BDFAA9" w:rsidRPr="005B4339">
              <w:rPr>
                <w:noProof/>
                <w:color w:val="000000" w:themeColor="text1"/>
                <w:sz w:val="22"/>
                <w:szCs w:val="22"/>
                <w:lang w:val="en-IE"/>
              </w:rPr>
              <w:t>finance these actions and producer is incentivised to adapt product design to facilitate waste management in line with the waste hierarchy.</w:t>
            </w:r>
          </w:p>
        </w:tc>
      </w:tr>
      <w:tr w:rsidR="000873A5" w:rsidRPr="005B4339" w14:paraId="5C75E12F" w14:textId="4D66F2BD"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12BC4A2A" w14:textId="4CE98251" w:rsidR="000873A5" w:rsidRPr="005B4339" w:rsidRDefault="000873A5" w:rsidP="002E425D">
            <w:pPr>
              <w:spacing w:after="120"/>
              <w:rPr>
                <w:b/>
                <w:noProof/>
                <w:color w:val="000000" w:themeColor="text1"/>
                <w:sz w:val="22"/>
                <w:szCs w:val="22"/>
                <w:lang w:val="en-IE"/>
              </w:rPr>
            </w:pPr>
            <w:r w:rsidRPr="005B4339">
              <w:rPr>
                <w:b/>
                <w:noProof/>
                <w:color w:val="000000" w:themeColor="text1"/>
                <w:sz w:val="22"/>
                <w:szCs w:val="22"/>
                <w:lang w:val="en-IE"/>
              </w:rPr>
              <w:t>Measure 2.1</w:t>
            </w:r>
            <w:r w:rsidR="253521BC" w:rsidRPr="005B4339">
              <w:rPr>
                <w:b/>
                <w:noProof/>
                <w:color w:val="000000" w:themeColor="text1"/>
                <w:sz w:val="22"/>
                <w:szCs w:val="22"/>
                <w:lang w:val="en-IE"/>
              </w:rPr>
              <w:t>4</w:t>
            </w:r>
            <w:r w:rsidRPr="005B4339">
              <w:rPr>
                <w:b/>
                <w:noProof/>
                <w:color w:val="000000" w:themeColor="text1"/>
                <w:sz w:val="22"/>
                <w:szCs w:val="22"/>
                <w:lang w:val="en-IE"/>
              </w:rPr>
              <w:t xml:space="preserve"> – Setting reporting obligations for textiles</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1ADB054E" w14:textId="0ABDFB70" w:rsidR="003E3346" w:rsidRPr="005B4339" w:rsidRDefault="003E3346" w:rsidP="002E425D">
            <w:pPr>
              <w:spacing w:after="120"/>
              <w:rPr>
                <w:noProof/>
                <w:color w:val="000000" w:themeColor="text1"/>
                <w:sz w:val="22"/>
                <w:szCs w:val="22"/>
                <w:lang w:val="en-IE"/>
              </w:rPr>
            </w:pPr>
            <w:r w:rsidRPr="005B4339">
              <w:rPr>
                <w:noProof/>
                <w:color w:val="000000" w:themeColor="text1"/>
                <w:sz w:val="22"/>
                <w:szCs w:val="22"/>
                <w:lang w:val="en-IE"/>
              </w:rPr>
              <w:t>Information on the generation of textile wastes</w:t>
            </w:r>
            <w:r w:rsidR="4B506A24" w:rsidRPr="005B4339">
              <w:rPr>
                <w:noProof/>
                <w:color w:val="000000" w:themeColor="text1"/>
                <w:sz w:val="22"/>
                <w:szCs w:val="22"/>
                <w:lang w:val="en-IE"/>
              </w:rPr>
              <w:t>,</w:t>
            </w:r>
            <w:r w:rsidRPr="005B4339">
              <w:rPr>
                <w:noProof/>
                <w:color w:val="000000" w:themeColor="text1"/>
                <w:sz w:val="22"/>
                <w:szCs w:val="22"/>
                <w:lang w:val="en-IE"/>
              </w:rPr>
              <w:t xml:space="preserve"> their collection</w:t>
            </w:r>
            <w:r w:rsidR="6A827263" w:rsidRPr="005B4339">
              <w:rPr>
                <w:noProof/>
                <w:color w:val="000000" w:themeColor="text1"/>
                <w:sz w:val="22"/>
                <w:szCs w:val="22"/>
                <w:lang w:val="en-IE"/>
              </w:rPr>
              <w:t>,</w:t>
            </w:r>
            <w:r w:rsidRPr="005B4339">
              <w:rPr>
                <w:noProof/>
                <w:color w:val="000000" w:themeColor="text1"/>
                <w:sz w:val="22"/>
                <w:szCs w:val="22"/>
                <w:lang w:val="en-IE"/>
              </w:rPr>
              <w:t xml:space="preserve"> sorting and treatment is exceedingly limited. This prevents </w:t>
            </w:r>
            <w:r w:rsidR="00495F37" w:rsidRPr="005B4339">
              <w:rPr>
                <w:noProof/>
                <w:color w:val="000000" w:themeColor="text1"/>
                <w:sz w:val="22"/>
                <w:szCs w:val="22"/>
                <w:lang w:val="en-IE"/>
              </w:rPr>
              <w:t>the development of well</w:t>
            </w:r>
            <w:r w:rsidR="2C1C21C6" w:rsidRPr="005B4339">
              <w:rPr>
                <w:noProof/>
                <w:color w:val="000000" w:themeColor="text1"/>
                <w:sz w:val="22"/>
                <w:szCs w:val="22"/>
                <w:lang w:val="en-IE"/>
              </w:rPr>
              <w:t>-</w:t>
            </w:r>
            <w:r w:rsidR="00495F37" w:rsidRPr="005B4339">
              <w:rPr>
                <w:noProof/>
                <w:color w:val="000000" w:themeColor="text1"/>
                <w:sz w:val="22"/>
                <w:szCs w:val="22"/>
                <w:lang w:val="en-IE"/>
              </w:rPr>
              <w:t xml:space="preserve">informed waste management infrastructure and future policy making.  </w:t>
            </w:r>
            <w:r w:rsidR="0046783A" w:rsidRPr="005B4339">
              <w:rPr>
                <w:noProof/>
                <w:color w:val="000000" w:themeColor="text1"/>
                <w:sz w:val="22"/>
                <w:szCs w:val="22"/>
                <w:lang w:val="en-IE"/>
              </w:rPr>
              <w:t>Adjusting present reporting obligations</w:t>
            </w:r>
            <w:r w:rsidR="0099430A" w:rsidRPr="005B4339">
              <w:rPr>
                <w:noProof/>
                <w:color w:val="000000" w:themeColor="text1"/>
                <w:sz w:val="22"/>
                <w:szCs w:val="22"/>
                <w:lang w:val="en-IE"/>
              </w:rPr>
              <w:t xml:space="preserve"> </w:t>
            </w:r>
            <w:r w:rsidR="0046783A" w:rsidRPr="005B4339">
              <w:rPr>
                <w:noProof/>
                <w:color w:val="000000" w:themeColor="text1"/>
                <w:sz w:val="22"/>
                <w:szCs w:val="22"/>
                <w:lang w:val="en-IE"/>
              </w:rPr>
              <w:t xml:space="preserve">as well as </w:t>
            </w:r>
            <w:r w:rsidR="50857E84" w:rsidRPr="005B4339">
              <w:rPr>
                <w:noProof/>
                <w:color w:val="000000" w:themeColor="text1"/>
                <w:sz w:val="22"/>
                <w:szCs w:val="22"/>
                <w:lang w:val="en-IE"/>
              </w:rPr>
              <w:t>adding</w:t>
            </w:r>
            <w:r w:rsidR="0046783A" w:rsidRPr="005B4339">
              <w:rPr>
                <w:noProof/>
                <w:color w:val="000000" w:themeColor="text1"/>
                <w:sz w:val="22"/>
                <w:szCs w:val="22"/>
                <w:lang w:val="en-IE"/>
              </w:rPr>
              <w:t xml:space="preserve"> additional reporting obligations would address this information shortcoming allowing better targeted and informed action in the future.</w:t>
            </w:r>
          </w:p>
        </w:tc>
      </w:tr>
      <w:tr w:rsidR="00AC7866" w:rsidRPr="005B4339" w14:paraId="3018858E" w14:textId="2B745832" w:rsidTr="76A194E8">
        <w:trPr>
          <w:trHeight w:val="300"/>
        </w:trPr>
        <w:tc>
          <w:tcPr>
            <w:tcW w:w="3109"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0A81C969" w14:textId="6CE1F87E" w:rsidR="00AC7866" w:rsidRPr="005B4339" w:rsidRDefault="00AC7866" w:rsidP="002E425D">
            <w:pPr>
              <w:spacing w:after="120"/>
              <w:rPr>
                <w:b/>
                <w:noProof/>
                <w:color w:val="000000" w:themeColor="text1"/>
                <w:sz w:val="22"/>
                <w:szCs w:val="22"/>
                <w:lang w:val="en-IE"/>
              </w:rPr>
            </w:pPr>
            <w:r w:rsidRPr="005B4339">
              <w:rPr>
                <w:b/>
                <w:noProof/>
                <w:color w:val="000000" w:themeColor="text1"/>
                <w:sz w:val="22"/>
                <w:szCs w:val="22"/>
                <w:lang w:val="en-IE"/>
              </w:rPr>
              <w:t>Measure 3.6 – Setting a separate collection target</w:t>
            </w:r>
            <w:r w:rsidR="005B2FB2" w:rsidRPr="005B4339">
              <w:rPr>
                <w:b/>
                <w:noProof/>
                <w:color w:val="000000" w:themeColor="text1"/>
                <w:sz w:val="22"/>
                <w:szCs w:val="22"/>
                <w:lang w:val="en-IE"/>
              </w:rPr>
              <w:t xml:space="preserve"> for textile waste</w:t>
            </w:r>
          </w:p>
        </w:tc>
        <w:tc>
          <w:tcPr>
            <w:tcW w:w="6237"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14:paraId="008A98CF" w14:textId="46EFD5BF" w:rsidR="001448A8" w:rsidRPr="005B4339" w:rsidRDefault="001448A8" w:rsidP="002E425D">
            <w:pPr>
              <w:spacing w:after="120"/>
              <w:rPr>
                <w:noProof/>
                <w:color w:val="000000" w:themeColor="text1"/>
                <w:sz w:val="22"/>
                <w:szCs w:val="22"/>
                <w:lang w:val="en-IE"/>
              </w:rPr>
            </w:pPr>
            <w:r w:rsidRPr="005B4339">
              <w:rPr>
                <w:noProof/>
                <w:color w:val="000000" w:themeColor="text1"/>
                <w:sz w:val="22"/>
                <w:szCs w:val="22"/>
                <w:lang w:val="en-IE"/>
              </w:rPr>
              <w:t xml:space="preserve">Setting a separate collection target </w:t>
            </w:r>
            <w:r w:rsidR="00373EBC" w:rsidRPr="005B4339">
              <w:rPr>
                <w:noProof/>
                <w:color w:val="000000" w:themeColor="text1"/>
                <w:sz w:val="22"/>
                <w:szCs w:val="22"/>
                <w:lang w:val="en-IE"/>
              </w:rPr>
              <w:t xml:space="preserve">could additionally be considered. It may </w:t>
            </w:r>
            <w:r w:rsidRPr="005B4339">
              <w:rPr>
                <w:noProof/>
                <w:color w:val="000000" w:themeColor="text1"/>
                <w:sz w:val="22"/>
                <w:szCs w:val="22"/>
                <w:lang w:val="en-IE"/>
              </w:rPr>
              <w:t xml:space="preserve">addsclarity to the obligation under Article 11(1) of the WFD whilst ensuring that Member States achieve at least a 50% collection rate for textiles thereby increasing the volumes of textiles available for reuse and recycling whilst reducing the volumes of textiles </w:t>
            </w:r>
            <w:r w:rsidR="00A025A9" w:rsidRPr="005B4339">
              <w:rPr>
                <w:noProof/>
                <w:color w:val="000000" w:themeColor="text1"/>
                <w:sz w:val="22"/>
                <w:szCs w:val="22"/>
                <w:lang w:val="en-IE"/>
              </w:rPr>
              <w:t xml:space="preserve">currently discarded in residual waste. </w:t>
            </w:r>
            <w:r w:rsidR="00373EBC" w:rsidRPr="005B4339">
              <w:rPr>
                <w:noProof/>
                <w:color w:val="000000" w:themeColor="text1"/>
                <w:sz w:val="22"/>
                <w:szCs w:val="22"/>
                <w:lang w:val="en-IE"/>
              </w:rPr>
              <w:t xml:space="preserve">At the same time, it imposes administrative burden, setting the exact rate might be challenging given </w:t>
            </w:r>
            <w:r w:rsidR="00E96CB0" w:rsidRPr="005B4339">
              <w:rPr>
                <w:noProof/>
                <w:color w:val="000000" w:themeColor="text1"/>
                <w:sz w:val="22"/>
                <w:szCs w:val="22"/>
                <w:lang w:val="en-IE"/>
              </w:rPr>
              <w:t>the large heterogeneity of predicted rates across different studies and the existing 2025 separate collection obligation may have a similar effect on the rate.</w:t>
            </w:r>
          </w:p>
        </w:tc>
      </w:tr>
    </w:tbl>
    <w:p w14:paraId="7A335709" w14:textId="7236B8EC" w:rsidR="000873A5" w:rsidRPr="005B4339" w:rsidRDefault="000873A5" w:rsidP="00E85BD0">
      <w:pPr>
        <w:spacing w:after="0" w:line="276" w:lineRule="auto"/>
        <w:jc w:val="left"/>
        <w:rPr>
          <w:noProof/>
          <w:lang w:val="en-IE"/>
        </w:rPr>
      </w:pPr>
    </w:p>
    <w:p w14:paraId="0AB76BF6" w14:textId="4646A140" w:rsidR="00284546" w:rsidRPr="005B4339" w:rsidRDefault="00590D04" w:rsidP="00B33EC1">
      <w:pPr>
        <w:spacing w:after="200" w:line="276" w:lineRule="auto"/>
        <w:jc w:val="left"/>
        <w:rPr>
          <w:noProof/>
          <w:lang w:val="en-IE"/>
        </w:rPr>
      </w:pPr>
      <w:r w:rsidRPr="005B4339">
        <w:rPr>
          <w:noProof/>
          <w:lang w:val="en-IE"/>
        </w:rPr>
        <w:t>The implementation of such measures would likely generate significant and positive impacts that significantly outweigh the costs involved in their application. This would include:</w:t>
      </w:r>
    </w:p>
    <w:p w14:paraId="125CD3E8" w14:textId="03DA8478" w:rsidR="00A17313" w:rsidRPr="005B4339" w:rsidRDefault="00A17313" w:rsidP="00CF0DFB">
      <w:pPr>
        <w:pStyle w:val="ListParagraph"/>
        <w:numPr>
          <w:ilvl w:val="0"/>
          <w:numId w:val="138"/>
        </w:numPr>
        <w:spacing w:after="200" w:line="276" w:lineRule="auto"/>
        <w:rPr>
          <w:noProof/>
          <w:lang w:val="en-IE"/>
        </w:rPr>
      </w:pPr>
      <w:r w:rsidRPr="005B4339">
        <w:rPr>
          <w:noProof/>
          <w:lang w:val="en-IE"/>
        </w:rPr>
        <w:t>Economically ensuring the that costs of managing textile wastes fall on the producers of those wastes (</w:t>
      </w:r>
      <w:r w:rsidR="006D3A64" w:rsidRPr="005B4339">
        <w:rPr>
          <w:noProof/>
          <w:lang w:val="en-IE"/>
        </w:rPr>
        <w:t>with</w:t>
      </w:r>
      <w:r w:rsidRPr="005B4339">
        <w:rPr>
          <w:noProof/>
          <w:lang w:val="en-IE"/>
        </w:rPr>
        <w:t xml:space="preserve"> a </w:t>
      </w:r>
      <w:r w:rsidR="006D3A64" w:rsidRPr="005B4339">
        <w:rPr>
          <w:noProof/>
          <w:lang w:val="en-IE"/>
        </w:rPr>
        <w:t xml:space="preserve">shift in </w:t>
      </w:r>
      <w:r w:rsidRPr="005B4339">
        <w:rPr>
          <w:noProof/>
          <w:lang w:val="en-IE"/>
        </w:rPr>
        <w:t xml:space="preserve">cost </w:t>
      </w:r>
      <w:r w:rsidR="006D3A64" w:rsidRPr="005B4339">
        <w:rPr>
          <w:noProof/>
          <w:lang w:val="en-IE"/>
        </w:rPr>
        <w:t xml:space="preserve">under the baseline from the disparate systems likely to  be used to producers under EPR </w:t>
      </w:r>
      <w:r w:rsidRPr="005B4339">
        <w:rPr>
          <w:noProof/>
          <w:lang w:val="en-IE"/>
        </w:rPr>
        <w:t>of approximately 2.2</w:t>
      </w:r>
      <w:r w:rsidR="002D442B" w:rsidRPr="005B4339">
        <w:rPr>
          <w:noProof/>
          <w:lang w:val="en-IE"/>
        </w:rPr>
        <w:t>8</w:t>
      </w:r>
      <w:r w:rsidRPr="005B4339">
        <w:rPr>
          <w:noProof/>
          <w:lang w:val="en-IE"/>
        </w:rPr>
        <w:t xml:space="preserve"> billion </w:t>
      </w:r>
      <w:r w:rsidR="00615E58" w:rsidRPr="005B4339">
        <w:rPr>
          <w:noProof/>
          <w:lang w:val="en-IE"/>
        </w:rPr>
        <w:t xml:space="preserve">euro </w:t>
      </w:r>
      <w:r w:rsidRPr="005B4339">
        <w:rPr>
          <w:noProof/>
          <w:lang w:val="en-IE"/>
        </w:rPr>
        <w:t>(Measure 2.</w:t>
      </w:r>
      <w:r w:rsidR="5237978D" w:rsidRPr="005B4339">
        <w:rPr>
          <w:noProof/>
          <w:lang w:val="en-IE"/>
        </w:rPr>
        <w:t>9</w:t>
      </w:r>
      <w:r w:rsidRPr="005B4339">
        <w:rPr>
          <w:noProof/>
          <w:lang w:val="en-IE"/>
        </w:rPr>
        <w:t>)</w:t>
      </w:r>
      <w:r w:rsidR="009E30D9" w:rsidRPr="005B4339">
        <w:rPr>
          <w:noProof/>
          <w:lang w:val="en-IE"/>
        </w:rPr>
        <w:t>)</w:t>
      </w:r>
      <w:r w:rsidRPr="005B4339">
        <w:rPr>
          <w:noProof/>
          <w:lang w:val="en-IE"/>
        </w:rPr>
        <w:t xml:space="preserve"> whilst ensuring better recovery of the values of the wastes generated</w:t>
      </w:r>
      <w:r w:rsidR="00CF73A1" w:rsidRPr="005B4339">
        <w:rPr>
          <w:noProof/>
          <w:lang w:val="en-IE"/>
        </w:rPr>
        <w:t xml:space="preserve"> in terms of textile reuse and recycling of textiles</w:t>
      </w:r>
      <w:r w:rsidR="0099430A" w:rsidRPr="005B4339">
        <w:rPr>
          <w:noProof/>
          <w:lang w:val="en-IE"/>
        </w:rPr>
        <w:t xml:space="preserve"> </w:t>
      </w:r>
      <w:r w:rsidR="00CF73A1" w:rsidRPr="005B4339">
        <w:rPr>
          <w:noProof/>
          <w:lang w:val="en-IE"/>
        </w:rPr>
        <w:t>including support to the development of closed loop recycling in the EU (Measures 2.</w:t>
      </w:r>
      <w:r w:rsidR="200A4E1D" w:rsidRPr="005B4339">
        <w:rPr>
          <w:noProof/>
          <w:lang w:val="en-IE"/>
        </w:rPr>
        <w:t>5</w:t>
      </w:r>
      <w:r w:rsidR="0CC04165" w:rsidRPr="005B4339">
        <w:rPr>
          <w:noProof/>
          <w:lang w:val="en-IE"/>
        </w:rPr>
        <w:t>,</w:t>
      </w:r>
      <w:r w:rsidR="00CF73A1" w:rsidRPr="005B4339">
        <w:rPr>
          <w:noProof/>
          <w:lang w:val="en-IE"/>
        </w:rPr>
        <w:t xml:space="preserve"> </w:t>
      </w:r>
      <w:r w:rsidR="004C1FAD" w:rsidRPr="005B4339">
        <w:rPr>
          <w:noProof/>
          <w:lang w:val="en-IE"/>
        </w:rPr>
        <w:t>2.</w:t>
      </w:r>
      <w:r w:rsidR="00CF73A1" w:rsidRPr="005B4339">
        <w:rPr>
          <w:noProof/>
          <w:lang w:val="en-IE"/>
        </w:rPr>
        <w:t>6</w:t>
      </w:r>
      <w:r w:rsidR="0CC04165" w:rsidRPr="005B4339">
        <w:rPr>
          <w:noProof/>
          <w:lang w:val="en-IE"/>
        </w:rPr>
        <w:t>,</w:t>
      </w:r>
      <w:r w:rsidR="00CF73A1" w:rsidRPr="005B4339">
        <w:rPr>
          <w:noProof/>
          <w:lang w:val="en-IE"/>
        </w:rPr>
        <w:t xml:space="preserve"> </w:t>
      </w:r>
      <w:r w:rsidR="004C1FAD" w:rsidRPr="005B4339">
        <w:rPr>
          <w:noProof/>
          <w:lang w:val="en-IE"/>
        </w:rPr>
        <w:t>2.</w:t>
      </w:r>
      <w:r w:rsidR="70775058" w:rsidRPr="005B4339">
        <w:rPr>
          <w:noProof/>
          <w:lang w:val="en-IE"/>
        </w:rPr>
        <w:t>8</w:t>
      </w:r>
      <w:r w:rsidR="1B14C498" w:rsidRPr="005B4339">
        <w:rPr>
          <w:noProof/>
          <w:lang w:val="en-IE"/>
        </w:rPr>
        <w:t>,</w:t>
      </w:r>
      <w:r w:rsidR="004C1FAD" w:rsidRPr="005B4339">
        <w:rPr>
          <w:noProof/>
          <w:lang w:val="en-IE"/>
        </w:rPr>
        <w:t xml:space="preserve"> 2.</w:t>
      </w:r>
      <w:r w:rsidR="57AC53BD" w:rsidRPr="005B4339">
        <w:rPr>
          <w:noProof/>
          <w:lang w:val="en-IE"/>
        </w:rPr>
        <w:t>9</w:t>
      </w:r>
      <w:r w:rsidR="00CF73A1" w:rsidRPr="005B4339">
        <w:rPr>
          <w:noProof/>
          <w:lang w:val="en-IE"/>
        </w:rPr>
        <w:t xml:space="preserve"> and 3.6)</w:t>
      </w:r>
      <w:r w:rsidR="0035262D" w:rsidRPr="005B4339">
        <w:rPr>
          <w:noProof/>
          <w:lang w:val="en-IE"/>
        </w:rPr>
        <w:t xml:space="preserve"> to the extent that such recovery of value may recover 75% of the costs concerned (Measure 2.</w:t>
      </w:r>
      <w:r w:rsidR="09FE2A2D" w:rsidRPr="005B4339">
        <w:rPr>
          <w:noProof/>
          <w:lang w:val="en-IE"/>
        </w:rPr>
        <w:t>5</w:t>
      </w:r>
      <w:r w:rsidR="0035262D" w:rsidRPr="005B4339">
        <w:rPr>
          <w:noProof/>
          <w:lang w:val="en-IE"/>
        </w:rPr>
        <w:t>)</w:t>
      </w:r>
      <w:r w:rsidR="00CF73A1" w:rsidRPr="005B4339">
        <w:rPr>
          <w:noProof/>
          <w:lang w:val="en-IE"/>
        </w:rPr>
        <w:t xml:space="preserve">. </w:t>
      </w:r>
      <w:r w:rsidR="60EE5432" w:rsidRPr="005B4339">
        <w:rPr>
          <w:noProof/>
          <w:lang w:val="en-IE"/>
        </w:rPr>
        <w:t>P</w:t>
      </w:r>
      <w:r w:rsidR="6BE78EF0" w:rsidRPr="005B4339">
        <w:rPr>
          <w:noProof/>
          <w:lang w:val="en-IE"/>
        </w:rPr>
        <w:t>ossible</w:t>
      </w:r>
      <w:r w:rsidR="00AC7866" w:rsidRPr="005B4339">
        <w:rPr>
          <w:noProof/>
          <w:lang w:val="en-IE"/>
        </w:rPr>
        <w:t xml:space="preserve"> economic impacts on third countries </w:t>
      </w:r>
      <w:r w:rsidR="00615E58" w:rsidRPr="005B4339">
        <w:rPr>
          <w:noProof/>
          <w:lang w:val="en-IE"/>
        </w:rPr>
        <w:t>are detailed</w:t>
      </w:r>
      <w:r w:rsidR="00AC7866" w:rsidRPr="005B4339">
        <w:rPr>
          <w:noProof/>
          <w:lang w:val="en-IE"/>
        </w:rPr>
        <w:t xml:space="preserve"> (e.g.</w:t>
      </w:r>
      <w:r w:rsidR="00D25DFC" w:rsidRPr="005B4339">
        <w:rPr>
          <w:noProof/>
          <w:lang w:val="en-IE"/>
        </w:rPr>
        <w:t>,</w:t>
      </w:r>
      <w:r w:rsidR="00AC7866" w:rsidRPr="005B4339">
        <w:rPr>
          <w:noProof/>
          <w:lang w:val="en-IE"/>
        </w:rPr>
        <w:t xml:space="preserve"> for textiles producers in third countries) in the dedicated section/chapter.</w:t>
      </w:r>
    </w:p>
    <w:p w14:paraId="527ECCCD" w14:textId="7772A6AB" w:rsidR="0035262D" w:rsidRPr="005B4339" w:rsidRDefault="0035262D" w:rsidP="00CF0DFB">
      <w:pPr>
        <w:pStyle w:val="ListParagraph"/>
        <w:numPr>
          <w:ilvl w:val="0"/>
          <w:numId w:val="138"/>
        </w:numPr>
        <w:spacing w:after="200" w:line="276" w:lineRule="auto"/>
        <w:rPr>
          <w:noProof/>
          <w:lang w:val="en-IE"/>
        </w:rPr>
      </w:pPr>
      <w:r w:rsidRPr="005B4339">
        <w:rPr>
          <w:noProof/>
          <w:lang w:val="en-IE"/>
        </w:rPr>
        <w:t>Environmentally reducing the negative impacts of textile waste disposal by greater reuse and recovery w</w:t>
      </w:r>
      <w:r w:rsidR="009E30D9" w:rsidRPr="005B4339">
        <w:rPr>
          <w:noProof/>
          <w:lang w:val="en-IE"/>
        </w:rPr>
        <w:t>ithin the EU</w:t>
      </w:r>
      <w:r w:rsidR="00253AA7" w:rsidRPr="005B4339">
        <w:rPr>
          <w:noProof/>
          <w:lang w:val="en-IE"/>
        </w:rPr>
        <w:t xml:space="preserve"> (Measures </w:t>
      </w:r>
      <w:r w:rsidR="00A6034C" w:rsidRPr="005B4339">
        <w:rPr>
          <w:noProof/>
          <w:lang w:val="en-IE"/>
        </w:rPr>
        <w:t>2.</w:t>
      </w:r>
      <w:r w:rsidR="1D784873" w:rsidRPr="005B4339">
        <w:rPr>
          <w:noProof/>
          <w:lang w:val="en-IE"/>
        </w:rPr>
        <w:t>5</w:t>
      </w:r>
      <w:r w:rsidR="4BCD7838" w:rsidRPr="005B4339">
        <w:rPr>
          <w:noProof/>
          <w:lang w:val="en-IE"/>
        </w:rPr>
        <w:t>,</w:t>
      </w:r>
      <w:r w:rsidR="00253AA7" w:rsidRPr="005B4339">
        <w:rPr>
          <w:noProof/>
          <w:lang w:val="en-IE"/>
        </w:rPr>
        <w:t xml:space="preserve"> 2.</w:t>
      </w:r>
      <w:r w:rsidR="000E0B9C" w:rsidRPr="005B4339">
        <w:rPr>
          <w:noProof/>
          <w:lang w:val="en-IE"/>
        </w:rPr>
        <w:t>6</w:t>
      </w:r>
      <w:r w:rsidR="3DA47AE9" w:rsidRPr="005B4339">
        <w:rPr>
          <w:noProof/>
          <w:lang w:val="en-IE"/>
        </w:rPr>
        <w:t>,</w:t>
      </w:r>
      <w:r w:rsidR="00253AA7" w:rsidRPr="005B4339">
        <w:rPr>
          <w:noProof/>
          <w:lang w:val="en-IE"/>
        </w:rPr>
        <w:t xml:space="preserve"> </w:t>
      </w:r>
      <w:r w:rsidR="00A6034C" w:rsidRPr="005B4339">
        <w:rPr>
          <w:noProof/>
          <w:lang w:val="en-IE"/>
        </w:rPr>
        <w:t>2.</w:t>
      </w:r>
      <w:r w:rsidR="001922EA" w:rsidRPr="005B4339">
        <w:rPr>
          <w:noProof/>
          <w:lang w:val="en-IE"/>
        </w:rPr>
        <w:t>9</w:t>
      </w:r>
      <w:r w:rsidR="00253AA7" w:rsidRPr="005B4339">
        <w:rPr>
          <w:noProof/>
          <w:lang w:val="en-IE"/>
        </w:rPr>
        <w:t xml:space="preserve"> and 3.6) </w:t>
      </w:r>
      <w:r w:rsidR="009E30D9" w:rsidRPr="005B4339">
        <w:rPr>
          <w:noProof/>
          <w:lang w:val="en-IE"/>
        </w:rPr>
        <w:t>whilst better addressing the impacts of used textiles and textile wastes exported from the EU in third countries (</w:t>
      </w:r>
      <w:r w:rsidR="00253AA7" w:rsidRPr="005B4339">
        <w:rPr>
          <w:noProof/>
          <w:lang w:val="en-IE"/>
        </w:rPr>
        <w:t>Measure 2.</w:t>
      </w:r>
      <w:r w:rsidR="7A9A8F8A" w:rsidRPr="005B4339">
        <w:rPr>
          <w:noProof/>
          <w:lang w:val="en-IE"/>
        </w:rPr>
        <w:t>5</w:t>
      </w:r>
      <w:r w:rsidR="29453E9C" w:rsidRPr="005B4339">
        <w:rPr>
          <w:noProof/>
          <w:lang w:val="en-IE"/>
        </w:rPr>
        <w:t>,</w:t>
      </w:r>
      <w:r w:rsidR="00253AA7" w:rsidRPr="005B4339">
        <w:rPr>
          <w:noProof/>
          <w:lang w:val="en-IE"/>
        </w:rPr>
        <w:t xml:space="preserve"> 2.</w:t>
      </w:r>
      <w:r w:rsidR="3FB6A79E" w:rsidRPr="005B4339">
        <w:rPr>
          <w:noProof/>
          <w:lang w:val="en-IE"/>
        </w:rPr>
        <w:t>6</w:t>
      </w:r>
      <w:r w:rsidR="00253AA7" w:rsidRPr="005B4339">
        <w:rPr>
          <w:noProof/>
          <w:lang w:val="en-IE"/>
        </w:rPr>
        <w:t xml:space="preserve"> and 2.</w:t>
      </w:r>
      <w:r w:rsidR="38911504" w:rsidRPr="005B4339">
        <w:rPr>
          <w:noProof/>
          <w:lang w:val="en-IE"/>
        </w:rPr>
        <w:t>8</w:t>
      </w:r>
      <w:r w:rsidR="00253AA7" w:rsidRPr="005B4339">
        <w:rPr>
          <w:noProof/>
          <w:lang w:val="en-IE"/>
        </w:rPr>
        <w:t>)</w:t>
      </w:r>
      <w:r w:rsidR="001E6703" w:rsidRPr="005B4339">
        <w:rPr>
          <w:noProof/>
          <w:lang w:val="en-IE"/>
        </w:rPr>
        <w:t xml:space="preserve"> including reducing GHG emissions</w:t>
      </w:r>
      <w:r w:rsidR="009E30D9" w:rsidRPr="005B4339">
        <w:rPr>
          <w:noProof/>
          <w:lang w:val="en-IE"/>
        </w:rPr>
        <w:t>.</w:t>
      </w:r>
    </w:p>
    <w:p w14:paraId="2668EA7B" w14:textId="14CA547D" w:rsidR="009E30D9" w:rsidRPr="005B4339" w:rsidRDefault="009E30D9" w:rsidP="00CF0DFB">
      <w:pPr>
        <w:pStyle w:val="ListParagraph"/>
        <w:numPr>
          <w:ilvl w:val="0"/>
          <w:numId w:val="138"/>
        </w:numPr>
        <w:spacing w:after="200" w:line="276" w:lineRule="auto"/>
        <w:rPr>
          <w:noProof/>
          <w:lang w:val="en-IE"/>
        </w:rPr>
      </w:pPr>
      <w:r w:rsidRPr="005B4339">
        <w:rPr>
          <w:noProof/>
          <w:lang w:val="en-IE"/>
        </w:rPr>
        <w:t>Socially mitigating the social impacts of poor textile waste management both within the EU</w:t>
      </w:r>
      <w:r w:rsidR="00253AA7" w:rsidRPr="005B4339">
        <w:rPr>
          <w:noProof/>
          <w:lang w:val="en-IE"/>
        </w:rPr>
        <w:t xml:space="preserve"> (Measures 2</w:t>
      </w:r>
      <w:r w:rsidR="00F75441" w:rsidRPr="005B4339">
        <w:rPr>
          <w:noProof/>
          <w:lang w:val="en-IE"/>
        </w:rPr>
        <w:t>.</w:t>
      </w:r>
      <w:r w:rsidR="6384C8FE" w:rsidRPr="005B4339">
        <w:rPr>
          <w:noProof/>
          <w:lang w:val="en-IE"/>
        </w:rPr>
        <w:t>5</w:t>
      </w:r>
      <w:r w:rsidR="011868CE" w:rsidRPr="005B4339">
        <w:rPr>
          <w:noProof/>
          <w:lang w:val="en-IE"/>
        </w:rPr>
        <w:t>,</w:t>
      </w:r>
      <w:r w:rsidR="00253AA7" w:rsidRPr="005B4339">
        <w:rPr>
          <w:noProof/>
          <w:lang w:val="en-IE"/>
        </w:rPr>
        <w:t xml:space="preserve"> 2.</w:t>
      </w:r>
      <w:r w:rsidR="00F75441" w:rsidRPr="005B4339">
        <w:rPr>
          <w:noProof/>
          <w:lang w:val="en-IE"/>
        </w:rPr>
        <w:t>6</w:t>
      </w:r>
      <w:r w:rsidR="6B5CA327" w:rsidRPr="005B4339">
        <w:rPr>
          <w:noProof/>
          <w:lang w:val="en-IE"/>
        </w:rPr>
        <w:t>,</w:t>
      </w:r>
      <w:r w:rsidR="0099430A" w:rsidRPr="005B4339">
        <w:rPr>
          <w:noProof/>
          <w:lang w:val="en-IE"/>
        </w:rPr>
        <w:t xml:space="preserve"> </w:t>
      </w:r>
      <w:r w:rsidR="00F75441" w:rsidRPr="005B4339">
        <w:rPr>
          <w:noProof/>
          <w:lang w:val="en-IE"/>
        </w:rPr>
        <w:t>2.</w:t>
      </w:r>
      <w:r w:rsidR="6540B4E2" w:rsidRPr="005B4339">
        <w:rPr>
          <w:noProof/>
          <w:lang w:val="en-IE"/>
        </w:rPr>
        <w:t>9</w:t>
      </w:r>
      <w:r w:rsidR="00253AA7" w:rsidRPr="005B4339">
        <w:rPr>
          <w:noProof/>
          <w:lang w:val="en-IE"/>
        </w:rPr>
        <w:t xml:space="preserve"> and 3.6) </w:t>
      </w:r>
      <w:r w:rsidRPr="005B4339">
        <w:rPr>
          <w:noProof/>
          <w:lang w:val="en-IE"/>
        </w:rPr>
        <w:t>and in third countries</w:t>
      </w:r>
      <w:r w:rsidR="00253AA7" w:rsidRPr="005B4339">
        <w:rPr>
          <w:noProof/>
          <w:lang w:val="en-IE"/>
        </w:rPr>
        <w:t xml:space="preserve"> (Measure </w:t>
      </w:r>
      <w:r w:rsidR="00F75441" w:rsidRPr="005B4339">
        <w:rPr>
          <w:noProof/>
          <w:lang w:val="en-IE"/>
        </w:rPr>
        <w:t>2.</w:t>
      </w:r>
      <w:r w:rsidR="719A8A4E" w:rsidRPr="005B4339">
        <w:rPr>
          <w:noProof/>
          <w:lang w:val="en-IE"/>
        </w:rPr>
        <w:t>5</w:t>
      </w:r>
      <w:r w:rsidR="00615E58" w:rsidRPr="005B4339">
        <w:rPr>
          <w:noProof/>
          <w:lang w:val="en-IE"/>
        </w:rPr>
        <w:t>,</w:t>
      </w:r>
      <w:r w:rsidR="00F75441" w:rsidRPr="005B4339">
        <w:rPr>
          <w:noProof/>
          <w:lang w:val="en-IE"/>
        </w:rPr>
        <w:t xml:space="preserve"> 2.</w:t>
      </w:r>
      <w:r w:rsidR="14C117A4" w:rsidRPr="005B4339">
        <w:rPr>
          <w:noProof/>
          <w:lang w:val="en-IE"/>
        </w:rPr>
        <w:t>6</w:t>
      </w:r>
      <w:r w:rsidR="00F75441" w:rsidRPr="005B4339">
        <w:rPr>
          <w:noProof/>
          <w:lang w:val="en-IE"/>
        </w:rPr>
        <w:t xml:space="preserve"> and 2.</w:t>
      </w:r>
      <w:r w:rsidR="7D290E76" w:rsidRPr="005B4339">
        <w:rPr>
          <w:noProof/>
          <w:lang w:val="en-IE"/>
        </w:rPr>
        <w:t>8</w:t>
      </w:r>
      <w:r w:rsidR="00253AA7" w:rsidRPr="005B4339">
        <w:rPr>
          <w:noProof/>
          <w:lang w:val="en-IE"/>
        </w:rPr>
        <w:t xml:space="preserve">) </w:t>
      </w:r>
      <w:r w:rsidRPr="005B4339">
        <w:rPr>
          <w:noProof/>
          <w:lang w:val="en-IE"/>
        </w:rPr>
        <w:t xml:space="preserve">whilst increasing employment in the waste management sector </w:t>
      </w:r>
      <w:r w:rsidR="00253AA7" w:rsidRPr="005B4339">
        <w:rPr>
          <w:noProof/>
          <w:lang w:val="en-IE"/>
        </w:rPr>
        <w:t xml:space="preserve">including textile recycling (Measures </w:t>
      </w:r>
      <w:r w:rsidR="008C1243" w:rsidRPr="005B4339">
        <w:rPr>
          <w:noProof/>
          <w:lang w:val="en-IE"/>
        </w:rPr>
        <w:t>2.</w:t>
      </w:r>
      <w:r w:rsidR="05046868" w:rsidRPr="005B4339">
        <w:rPr>
          <w:noProof/>
          <w:lang w:val="en-IE"/>
        </w:rPr>
        <w:t>5</w:t>
      </w:r>
      <w:r w:rsidR="236EC2B4" w:rsidRPr="005B4339">
        <w:rPr>
          <w:noProof/>
          <w:lang w:val="en-IE"/>
        </w:rPr>
        <w:t>,</w:t>
      </w:r>
      <w:r w:rsidR="00253AA7" w:rsidRPr="005B4339">
        <w:rPr>
          <w:noProof/>
          <w:lang w:val="en-IE"/>
        </w:rPr>
        <w:t xml:space="preserve"> </w:t>
      </w:r>
      <w:r w:rsidR="008C1243" w:rsidRPr="005B4339">
        <w:rPr>
          <w:noProof/>
          <w:lang w:val="en-IE"/>
        </w:rPr>
        <w:t>2.6</w:t>
      </w:r>
      <w:r w:rsidR="5D0F3625" w:rsidRPr="005B4339">
        <w:rPr>
          <w:noProof/>
          <w:lang w:val="en-IE"/>
        </w:rPr>
        <w:t>,</w:t>
      </w:r>
      <w:r w:rsidR="008C1243" w:rsidRPr="005B4339">
        <w:rPr>
          <w:noProof/>
          <w:lang w:val="en-IE"/>
        </w:rPr>
        <w:t xml:space="preserve"> 2.</w:t>
      </w:r>
      <w:r w:rsidR="75BBC292" w:rsidRPr="005B4339">
        <w:rPr>
          <w:noProof/>
          <w:lang w:val="en-IE"/>
        </w:rPr>
        <w:t>9</w:t>
      </w:r>
      <w:r w:rsidR="008C1243" w:rsidRPr="005B4339">
        <w:rPr>
          <w:noProof/>
          <w:lang w:val="en-IE"/>
        </w:rPr>
        <w:t xml:space="preserve"> and 3.6</w:t>
      </w:r>
      <w:r w:rsidR="00253AA7" w:rsidRPr="005B4339">
        <w:rPr>
          <w:noProof/>
          <w:lang w:val="en-IE"/>
        </w:rPr>
        <w:t xml:space="preserve">) </w:t>
      </w:r>
      <w:r w:rsidRPr="005B4339">
        <w:rPr>
          <w:noProof/>
          <w:lang w:val="en-IE"/>
        </w:rPr>
        <w:t>and providing support to social enterprises and the role they play</w:t>
      </w:r>
      <w:r w:rsidR="00253AA7" w:rsidRPr="005B4339">
        <w:rPr>
          <w:noProof/>
          <w:lang w:val="en-IE"/>
        </w:rPr>
        <w:t xml:space="preserve"> in managing used textiles (Measure</w:t>
      </w:r>
      <w:r w:rsidR="0009536A" w:rsidRPr="005B4339">
        <w:rPr>
          <w:noProof/>
          <w:lang w:val="en-IE"/>
        </w:rPr>
        <w:t xml:space="preserve"> 2.</w:t>
      </w:r>
      <w:r w:rsidR="2AE2C516" w:rsidRPr="005B4339">
        <w:rPr>
          <w:noProof/>
          <w:lang w:val="en-IE"/>
        </w:rPr>
        <w:t>9</w:t>
      </w:r>
      <w:r w:rsidR="0009536A" w:rsidRPr="005B4339">
        <w:rPr>
          <w:noProof/>
          <w:lang w:val="en-IE"/>
        </w:rPr>
        <w:t>).</w:t>
      </w:r>
    </w:p>
    <w:p w14:paraId="1D56B1BE" w14:textId="58BB1FE0" w:rsidR="007B0E11" w:rsidRPr="005B4339" w:rsidRDefault="0009536A" w:rsidP="00CF0DFB">
      <w:pPr>
        <w:pStyle w:val="ListParagraph"/>
        <w:numPr>
          <w:ilvl w:val="0"/>
          <w:numId w:val="138"/>
        </w:numPr>
        <w:spacing w:after="200" w:line="276" w:lineRule="auto"/>
        <w:rPr>
          <w:noProof/>
          <w:lang w:val="en-IE"/>
        </w:rPr>
      </w:pPr>
      <w:r w:rsidRPr="005B4339">
        <w:rPr>
          <w:noProof/>
          <w:lang w:val="en-IE"/>
        </w:rPr>
        <w:t>Administratively giving m</w:t>
      </w:r>
      <w:r w:rsidR="007B0E11" w:rsidRPr="005B4339">
        <w:rPr>
          <w:noProof/>
          <w:lang w:val="en-IE"/>
        </w:rPr>
        <w:t xml:space="preserve">uch greater clarity in relation to the scope of textiles subject to the provisions of the WFD (Measure </w:t>
      </w:r>
      <w:r w:rsidR="009E400C" w:rsidRPr="005B4339">
        <w:rPr>
          <w:noProof/>
          <w:lang w:val="en-IE"/>
        </w:rPr>
        <w:t>2.</w:t>
      </w:r>
      <w:r w:rsidR="1669017A" w:rsidRPr="005B4339">
        <w:rPr>
          <w:noProof/>
          <w:lang w:val="en-IE"/>
        </w:rPr>
        <w:t>9</w:t>
      </w:r>
      <w:r w:rsidR="007B0E11" w:rsidRPr="005B4339">
        <w:rPr>
          <w:noProof/>
          <w:lang w:val="en-IE"/>
        </w:rPr>
        <w:t xml:space="preserve">) as well as greater information on the flows of those textiles and on the results of efforts by Member States to address used textiles and textile wastes (Measure </w:t>
      </w:r>
      <w:r w:rsidR="009E400C" w:rsidRPr="005B4339">
        <w:rPr>
          <w:noProof/>
          <w:lang w:val="en-IE"/>
        </w:rPr>
        <w:t>2.</w:t>
      </w:r>
      <w:r w:rsidR="007B0E11" w:rsidRPr="005B4339">
        <w:rPr>
          <w:noProof/>
          <w:lang w:val="en-IE"/>
        </w:rPr>
        <w:t>1</w:t>
      </w:r>
      <w:r w:rsidR="78634C38" w:rsidRPr="005B4339">
        <w:rPr>
          <w:noProof/>
          <w:lang w:val="en-IE"/>
        </w:rPr>
        <w:t>4</w:t>
      </w:r>
      <w:r w:rsidR="007B0E11" w:rsidRPr="005B4339">
        <w:rPr>
          <w:noProof/>
          <w:lang w:val="en-IE"/>
        </w:rPr>
        <w:t>).</w:t>
      </w:r>
      <w:r w:rsidRPr="005B4339">
        <w:rPr>
          <w:noProof/>
          <w:lang w:val="en-IE"/>
        </w:rPr>
        <w:t xml:space="preserve"> Reducing administrative burdens in relation to unclear reporting (Measures </w:t>
      </w:r>
      <w:r w:rsidR="009E400C" w:rsidRPr="005B4339">
        <w:rPr>
          <w:noProof/>
          <w:lang w:val="en-IE"/>
        </w:rPr>
        <w:t>2.</w:t>
      </w:r>
      <w:r w:rsidR="14CD6FCC" w:rsidRPr="005B4339">
        <w:rPr>
          <w:noProof/>
          <w:lang w:val="en-IE"/>
        </w:rPr>
        <w:t>9</w:t>
      </w:r>
      <w:r w:rsidR="0099430A" w:rsidRPr="005B4339">
        <w:rPr>
          <w:noProof/>
          <w:lang w:val="en-IE"/>
        </w:rPr>
        <w:t xml:space="preserve"> </w:t>
      </w:r>
      <w:r w:rsidRPr="005B4339">
        <w:rPr>
          <w:noProof/>
          <w:lang w:val="en-IE"/>
        </w:rPr>
        <w:t>and 2.1</w:t>
      </w:r>
      <w:r w:rsidR="1FD8DD25" w:rsidRPr="005B4339">
        <w:rPr>
          <w:noProof/>
          <w:lang w:val="en-IE"/>
        </w:rPr>
        <w:t>4</w:t>
      </w:r>
      <w:r w:rsidRPr="005B4339">
        <w:rPr>
          <w:noProof/>
          <w:lang w:val="en-IE"/>
        </w:rPr>
        <w:t xml:space="preserve">) and </w:t>
      </w:r>
      <w:r w:rsidR="008D0A9A" w:rsidRPr="005B4339">
        <w:rPr>
          <w:noProof/>
          <w:lang w:val="en-IE"/>
        </w:rPr>
        <w:t>adding reporting obligations</w:t>
      </w:r>
      <w:r w:rsidRPr="005B4339">
        <w:rPr>
          <w:noProof/>
          <w:lang w:val="en-IE"/>
        </w:rPr>
        <w:t xml:space="preserve"> only where they are most relevant (Measures </w:t>
      </w:r>
      <w:r w:rsidR="009E400C" w:rsidRPr="005B4339">
        <w:rPr>
          <w:noProof/>
          <w:lang w:val="en-IE"/>
        </w:rPr>
        <w:t>2.</w:t>
      </w:r>
      <w:r w:rsidR="0E223A66" w:rsidRPr="005B4339">
        <w:rPr>
          <w:noProof/>
          <w:lang w:val="en-IE"/>
        </w:rPr>
        <w:t>9</w:t>
      </w:r>
      <w:r w:rsidR="00CD04EB" w:rsidRPr="005B4339">
        <w:rPr>
          <w:noProof/>
          <w:lang w:val="en-IE"/>
        </w:rPr>
        <w:t xml:space="preserve"> and 2.1</w:t>
      </w:r>
      <w:r w:rsidR="16A79AFC" w:rsidRPr="005B4339">
        <w:rPr>
          <w:noProof/>
          <w:lang w:val="en-IE"/>
        </w:rPr>
        <w:t>4</w:t>
      </w:r>
      <w:r w:rsidR="00CD04EB" w:rsidRPr="005B4339">
        <w:rPr>
          <w:noProof/>
          <w:lang w:val="en-IE"/>
        </w:rPr>
        <w:t>).</w:t>
      </w:r>
    </w:p>
    <w:p w14:paraId="61F8D405" w14:textId="5F3787A0" w:rsidR="008D0A9A" w:rsidRPr="005B4339" w:rsidRDefault="008D0A9A" w:rsidP="00CF0DFB">
      <w:pPr>
        <w:pStyle w:val="ListParagraph"/>
        <w:numPr>
          <w:ilvl w:val="0"/>
          <w:numId w:val="138"/>
        </w:numPr>
        <w:spacing w:line="276" w:lineRule="auto"/>
        <w:rPr>
          <w:noProof/>
          <w:lang w:val="en-IE"/>
        </w:rPr>
      </w:pPr>
      <w:r w:rsidRPr="005B4339">
        <w:rPr>
          <w:noProof/>
          <w:lang w:val="en-IE"/>
        </w:rPr>
        <w:t>Specifically in relation to SMEs</w:t>
      </w:r>
      <w:r w:rsidR="0099430A" w:rsidRPr="005B4339">
        <w:rPr>
          <w:noProof/>
          <w:lang w:val="en-IE"/>
        </w:rPr>
        <w:t xml:space="preserve"> </w:t>
      </w:r>
      <w:r w:rsidRPr="005B4339">
        <w:rPr>
          <w:noProof/>
          <w:lang w:val="en-IE"/>
        </w:rPr>
        <w:t>the textiles sector is dominated by SMEs</w:t>
      </w:r>
      <w:r w:rsidR="002C5466" w:rsidRPr="005B4339">
        <w:rPr>
          <w:noProof/>
          <w:lang w:val="en-IE"/>
        </w:rPr>
        <w:t xml:space="preserve"> and</w:t>
      </w:r>
      <w:r w:rsidRPr="005B4339">
        <w:rPr>
          <w:noProof/>
          <w:lang w:val="en-IE"/>
        </w:rPr>
        <w:t xml:space="preserve"> micro-enterprises compris</w:t>
      </w:r>
      <w:r w:rsidR="002C5466" w:rsidRPr="005B4339">
        <w:rPr>
          <w:noProof/>
          <w:lang w:val="en-IE"/>
        </w:rPr>
        <w:t>e</w:t>
      </w:r>
      <w:r w:rsidRPr="005B4339">
        <w:rPr>
          <w:noProof/>
          <w:lang w:val="en-IE"/>
        </w:rPr>
        <w:t xml:space="preserve"> over 86% of the sector. The chosen measures have been specifically tailored to minimise the financial and administrative burden that would fall on micro-enterprises</w:t>
      </w:r>
      <w:r w:rsidR="0099430A" w:rsidRPr="005B4339">
        <w:rPr>
          <w:noProof/>
          <w:lang w:val="en-IE"/>
        </w:rPr>
        <w:t xml:space="preserve"> </w:t>
      </w:r>
      <w:r w:rsidRPr="005B4339">
        <w:rPr>
          <w:noProof/>
          <w:lang w:val="en-IE"/>
        </w:rPr>
        <w:t>most notably by excluding them as producers for the purpose of EPR. At the same time</w:t>
      </w:r>
      <w:r w:rsidR="002C5466" w:rsidRPr="005B4339">
        <w:rPr>
          <w:noProof/>
          <w:lang w:val="en-IE"/>
        </w:rPr>
        <w:t>,</w:t>
      </w:r>
      <w:r w:rsidRPr="005B4339">
        <w:rPr>
          <w:noProof/>
          <w:lang w:val="en-IE"/>
        </w:rPr>
        <w:t xml:space="preserve"> the support to reuse and recycling will assist SMEs in these fields in comparison to the status quo by ensuring better funding is available and a more stable feedstock of reusable textiles and recyclable textiles are available on the market.</w:t>
      </w:r>
    </w:p>
    <w:p w14:paraId="705AE734" w14:textId="312A2B69" w:rsidR="002C1304" w:rsidRPr="005B4339" w:rsidRDefault="002C1304" w:rsidP="002C1304">
      <w:pPr>
        <w:pStyle w:val="Caption"/>
        <w:rPr>
          <w:noProof/>
          <w:color w:val="auto"/>
          <w:sz w:val="24"/>
          <w:szCs w:val="24"/>
          <w:lang w:val="en-IE"/>
        </w:rPr>
      </w:pPr>
      <w:bookmarkStart w:id="939" w:name="_Toc133229507"/>
      <w:bookmarkStart w:id="940" w:name="_Toc139032061"/>
      <w:r w:rsidRPr="005B4339">
        <w:rPr>
          <w:noProof/>
          <w:color w:val="auto"/>
          <w:sz w:val="24"/>
          <w:szCs w:val="24"/>
          <w:lang w:val="en-IE"/>
        </w:rPr>
        <w:t xml:space="preserve">Table </w:t>
      </w:r>
      <w:r w:rsidR="00393DFA">
        <w:rPr>
          <w:noProof/>
          <w:color w:val="auto"/>
          <w:sz w:val="24"/>
          <w:szCs w:val="24"/>
        </w:rPr>
        <w:t>45</w:t>
      </w:r>
      <w:r w:rsidRPr="005B4339">
        <w:rPr>
          <w:noProof/>
          <w:color w:val="auto"/>
          <w:sz w:val="24"/>
          <w:szCs w:val="24"/>
          <w:lang w:val="en-IE"/>
        </w:rPr>
        <w:t xml:space="preserve"> – Impacts of textiles prefer</w:t>
      </w:r>
      <w:r w:rsidR="00013366" w:rsidRPr="005B4339">
        <w:rPr>
          <w:noProof/>
          <w:color w:val="auto"/>
          <w:sz w:val="24"/>
          <w:szCs w:val="24"/>
          <w:lang w:val="en-IE"/>
        </w:rPr>
        <w:t>red</w:t>
      </w:r>
      <w:r w:rsidRPr="005B4339">
        <w:rPr>
          <w:noProof/>
          <w:color w:val="auto"/>
          <w:sz w:val="24"/>
          <w:szCs w:val="24"/>
          <w:lang w:val="en-IE"/>
        </w:rPr>
        <w:t xml:space="preserve"> option</w:t>
      </w:r>
      <w:bookmarkEnd w:id="939"/>
      <w:bookmarkEnd w:id="940"/>
    </w:p>
    <w:tbl>
      <w:tblPr>
        <w:tblStyle w:val="TableGrid"/>
        <w:tblW w:w="9209" w:type="dxa"/>
        <w:tblLook w:val="04A0" w:firstRow="1" w:lastRow="0" w:firstColumn="1" w:lastColumn="0" w:noHBand="0" w:noVBand="1"/>
      </w:tblPr>
      <w:tblGrid>
        <w:gridCol w:w="2405"/>
        <w:gridCol w:w="3827"/>
        <w:gridCol w:w="2977"/>
      </w:tblGrid>
      <w:tr w:rsidR="00E40CA0" w:rsidRPr="005B4339" w14:paraId="0734F1A7" w14:textId="77777777">
        <w:trPr>
          <w:trHeight w:val="386"/>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D75DF2" w14:textId="77777777" w:rsidR="00E40CA0" w:rsidRPr="005B4339" w:rsidRDefault="00E40CA0">
            <w:pPr>
              <w:spacing w:after="160" w:line="240" w:lineRule="atLeast"/>
              <w:jc w:val="left"/>
              <w:rPr>
                <w:rFonts w:eastAsiaTheme="minorHAnsi"/>
                <w:b/>
                <w:noProof/>
                <w:color w:val="000000"/>
                <w:lang w:val="en-IE" w:eastAsia="en-US"/>
              </w:rPr>
            </w:pPr>
            <w:r w:rsidRPr="005B4339">
              <w:rPr>
                <w:rFonts w:eastAsiaTheme="minorHAnsi"/>
                <w:b/>
                <w:noProof/>
                <w:color w:val="000000"/>
                <w:lang w:val="en-IE" w:eastAsia="en-US"/>
              </w:rPr>
              <w:t>Preferred option</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3BD4C5" w14:textId="77777777" w:rsidR="00E40CA0" w:rsidRPr="005B4339" w:rsidRDefault="00E40CA0">
            <w:pPr>
              <w:spacing w:after="160" w:line="240" w:lineRule="atLeast"/>
              <w:jc w:val="center"/>
              <w:rPr>
                <w:rFonts w:eastAsiaTheme="minorHAnsi"/>
                <w:b/>
                <w:noProof/>
                <w:color w:val="000000"/>
                <w:lang w:val="en-IE" w:eastAsia="en-US"/>
              </w:rPr>
            </w:pPr>
            <w:r w:rsidRPr="005B4339">
              <w:rPr>
                <w:rFonts w:eastAsiaTheme="minorHAnsi"/>
                <w:b/>
                <w:noProof/>
                <w:color w:val="000000"/>
                <w:lang w:val="en-IE" w:eastAsia="en-US"/>
              </w:rPr>
              <w:t>Description of impact</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5E6AD2" w14:textId="77777777" w:rsidR="00E40CA0" w:rsidRPr="005B4339" w:rsidRDefault="00E40CA0">
            <w:pPr>
              <w:spacing w:after="160" w:line="240" w:lineRule="atLeast"/>
              <w:jc w:val="center"/>
              <w:rPr>
                <w:rFonts w:eastAsiaTheme="minorHAnsi"/>
                <w:b/>
                <w:noProof/>
                <w:color w:val="000000"/>
                <w:lang w:val="en-IE" w:eastAsia="en-US"/>
              </w:rPr>
            </w:pPr>
            <w:r w:rsidRPr="005B4339">
              <w:rPr>
                <w:rFonts w:eastAsiaTheme="minorHAnsi"/>
                <w:b/>
                <w:noProof/>
                <w:color w:val="000000"/>
                <w:lang w:val="en-IE" w:eastAsia="en-US"/>
              </w:rPr>
              <w:t>Overall balance</w:t>
            </w:r>
          </w:p>
        </w:tc>
      </w:tr>
      <w:tr w:rsidR="00E40CA0" w:rsidRPr="005B4339" w14:paraId="0A77DBBC" w14:textId="77777777">
        <w:tc>
          <w:tcPr>
            <w:tcW w:w="240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52754C9" w14:textId="77777777" w:rsidR="00E40CA0" w:rsidRPr="005B4339" w:rsidRDefault="00E40CA0">
            <w:pPr>
              <w:spacing w:after="160" w:line="240" w:lineRule="atLeast"/>
              <w:jc w:val="left"/>
              <w:rPr>
                <w:rFonts w:eastAsiaTheme="minorHAnsi"/>
                <w:b/>
                <w:noProof/>
                <w:color w:val="000000"/>
                <w:lang w:val="en-IE" w:eastAsia="en-US"/>
              </w:rPr>
            </w:pPr>
            <w:r w:rsidRPr="005B4339">
              <w:rPr>
                <w:rFonts w:eastAsiaTheme="minorHAnsi"/>
                <w:b/>
                <w:noProof/>
                <w:color w:val="000000"/>
                <w:lang w:val="en-IE" w:eastAsia="en-US"/>
              </w:rPr>
              <w:t xml:space="preserve">Option 2 - </w:t>
            </w:r>
            <w:r w:rsidRPr="005B4339">
              <w:rPr>
                <w:b/>
                <w:noProof/>
                <w:lang w:val="en-IE"/>
              </w:rPr>
              <w:t>Additional regulatory requirements + 3.6 target</w:t>
            </w:r>
          </w:p>
        </w:tc>
        <w:tc>
          <w:tcPr>
            <w:tcW w:w="38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CB99CC" w14:textId="77777777" w:rsidR="00E40CA0" w:rsidRPr="005B4339" w:rsidRDefault="00E40CA0">
            <w:pPr>
              <w:spacing w:after="160" w:line="240" w:lineRule="atLeast"/>
              <w:jc w:val="left"/>
              <w:rPr>
                <w:noProof/>
                <w:color w:val="000000" w:themeColor="text1"/>
                <w:lang w:val="en-IE"/>
              </w:rPr>
            </w:pPr>
            <w:r w:rsidRPr="005B4339">
              <w:rPr>
                <w:b/>
                <w:noProof/>
                <w:color w:val="000000" w:themeColor="text1"/>
                <w:lang w:val="en-IE"/>
              </w:rPr>
              <w:t>Economic costs</w:t>
            </w:r>
            <w:r w:rsidRPr="005B4339">
              <w:rPr>
                <w:noProof/>
                <w:color w:val="000000" w:themeColor="text1"/>
                <w:lang w:val="en-IE"/>
              </w:rPr>
              <w:t xml:space="preserve">: </w:t>
            </w:r>
          </w:p>
          <w:p w14:paraId="30D7E1DB" w14:textId="77777777" w:rsidR="00E40CA0" w:rsidRPr="005B4339" w:rsidRDefault="00E40CA0">
            <w:pPr>
              <w:spacing w:after="160" w:line="240" w:lineRule="atLeast"/>
              <w:jc w:val="left"/>
              <w:rPr>
                <w:noProof/>
                <w:color w:val="000000" w:themeColor="text1"/>
                <w:lang w:val="en-IE"/>
              </w:rPr>
            </w:pPr>
            <w:r w:rsidRPr="005B4339">
              <w:rPr>
                <w:noProof/>
                <w:color w:val="000000" w:themeColor="text1"/>
                <w:lang w:val="en-IE"/>
              </w:rPr>
              <w:t>913 million euro per year for sorting obligations</w:t>
            </w:r>
          </w:p>
          <w:p w14:paraId="6500519E" w14:textId="77777777" w:rsidR="00D53E0A" w:rsidRPr="005B4339" w:rsidRDefault="00D53E0A" w:rsidP="00D53E0A">
            <w:pPr>
              <w:spacing w:after="160" w:line="240" w:lineRule="atLeast"/>
              <w:jc w:val="left"/>
              <w:rPr>
                <w:noProof/>
                <w:color w:val="000000" w:themeColor="text1"/>
                <w:lang w:val="en-IE"/>
              </w:rPr>
            </w:pPr>
            <w:r w:rsidRPr="005B4339">
              <w:rPr>
                <w:noProof/>
                <w:color w:val="000000" w:themeColor="text1"/>
                <w:lang w:val="en-IE"/>
              </w:rPr>
              <w:t>Register development costs of 2-12.3 million euro across all Member States and maintenance costs of 11 200 and 69 000 euro per Member State per year.</w:t>
            </w:r>
          </w:p>
          <w:p w14:paraId="58480A0A" w14:textId="4FF08621" w:rsidR="00D53E0A" w:rsidRPr="005B4339" w:rsidRDefault="000D2DC4" w:rsidP="00D53E0A">
            <w:pPr>
              <w:spacing w:after="160" w:line="240" w:lineRule="atLeast"/>
              <w:jc w:val="left"/>
              <w:rPr>
                <w:noProof/>
                <w:color w:val="000000" w:themeColor="text1"/>
                <w:lang w:val="en-IE"/>
              </w:rPr>
            </w:pPr>
            <w:r w:rsidRPr="005B4339">
              <w:rPr>
                <w:noProof/>
                <w:color w:val="000000" w:themeColor="text1"/>
                <w:lang w:val="en-IE"/>
              </w:rPr>
              <w:t>7</w:t>
            </w:r>
            <w:r w:rsidR="00D53E0A" w:rsidRPr="005B4339">
              <w:rPr>
                <w:noProof/>
                <w:color w:val="000000" w:themeColor="text1"/>
                <w:lang w:val="en-IE"/>
              </w:rPr>
              <w:t>.</w:t>
            </w:r>
            <w:r w:rsidRPr="005B4339">
              <w:rPr>
                <w:noProof/>
                <w:color w:val="000000" w:themeColor="text1"/>
                <w:lang w:val="en-IE"/>
              </w:rPr>
              <w:t>79</w:t>
            </w:r>
            <w:r w:rsidR="00D53E0A" w:rsidRPr="005B4339">
              <w:rPr>
                <w:noProof/>
                <w:color w:val="000000" w:themeColor="text1"/>
                <w:lang w:val="en-IE"/>
              </w:rPr>
              <w:t xml:space="preserve"> euro million per year for producers to report for the purpose of EPR</w:t>
            </w:r>
          </w:p>
          <w:p w14:paraId="5EB61432" w14:textId="59567422" w:rsidR="00D53E0A" w:rsidRPr="005B4339" w:rsidRDefault="000D2DC4" w:rsidP="00D53E0A">
            <w:pPr>
              <w:spacing w:after="160" w:line="240" w:lineRule="atLeast"/>
              <w:jc w:val="left"/>
              <w:rPr>
                <w:noProof/>
                <w:color w:val="000000" w:themeColor="text1"/>
                <w:lang w:val="en-IE"/>
              </w:rPr>
            </w:pPr>
            <w:r w:rsidRPr="005B4339">
              <w:rPr>
                <w:noProof/>
                <w:color w:val="000000" w:themeColor="text1"/>
                <w:lang w:val="en-IE"/>
              </w:rPr>
              <w:t>4.0</w:t>
            </w:r>
            <w:r w:rsidR="00D53E0A" w:rsidRPr="005B4339">
              <w:rPr>
                <w:noProof/>
                <w:color w:val="000000" w:themeColor="text1"/>
                <w:lang w:val="en-IE"/>
              </w:rPr>
              <w:t>4 euro million costs of operating PRO registers and inspections</w:t>
            </w:r>
          </w:p>
          <w:p w14:paraId="0A31B7F4" w14:textId="77777777" w:rsidR="00E40CA0" w:rsidRPr="005B4339" w:rsidRDefault="00D53E0A">
            <w:pPr>
              <w:spacing w:after="160" w:line="240" w:lineRule="atLeast"/>
              <w:jc w:val="left"/>
              <w:rPr>
                <w:noProof/>
                <w:lang w:val="en-IE"/>
              </w:rPr>
            </w:pPr>
            <w:r w:rsidRPr="005B4339">
              <w:rPr>
                <w:noProof/>
                <w:color w:val="000000" w:themeColor="text1"/>
                <w:lang w:val="en-IE"/>
              </w:rPr>
              <w:t>39.2</w:t>
            </w:r>
            <w:r w:rsidR="00E40CA0" w:rsidRPr="005B4339">
              <w:rPr>
                <w:noProof/>
                <w:color w:val="000000" w:themeColor="text1"/>
                <w:lang w:val="en-IE"/>
              </w:rPr>
              <w:t xml:space="preserve"> million euro per year for additional textile collection, sorting and treatment</w:t>
            </w:r>
            <w:r w:rsidR="00E40CA0" w:rsidRPr="005B4339">
              <w:rPr>
                <w:noProof/>
                <w:lang w:val="en-IE"/>
              </w:rPr>
              <w:t xml:space="preserve"> in Member States that are unlikely to meet a 50% collection target by 2035</w:t>
            </w:r>
          </w:p>
          <w:p w14:paraId="306AD3CC" w14:textId="77777777" w:rsidR="00E40CA0" w:rsidRPr="005B4339" w:rsidRDefault="00E40CA0">
            <w:pPr>
              <w:spacing w:after="160" w:line="240" w:lineRule="atLeast"/>
              <w:jc w:val="left"/>
              <w:rPr>
                <w:noProof/>
                <w:color w:val="000000"/>
                <w:lang w:val="en-IE"/>
              </w:rPr>
            </w:pPr>
            <w:r w:rsidRPr="005B4339">
              <w:rPr>
                <w:noProof/>
                <w:color w:val="000000"/>
                <w:lang w:val="en-IE"/>
              </w:rPr>
              <w:t xml:space="preserve">208 euro per competent authority and 78 euro per exporter annualised per inspection </w:t>
            </w:r>
          </w:p>
          <w:p w14:paraId="0D4C0FE1" w14:textId="77777777" w:rsidR="00E40CA0" w:rsidRPr="005B4339" w:rsidRDefault="00E40CA0">
            <w:pPr>
              <w:spacing w:after="160" w:line="240" w:lineRule="atLeast"/>
              <w:jc w:val="left"/>
              <w:rPr>
                <w:noProof/>
                <w:color w:val="000000" w:themeColor="text1"/>
                <w:lang w:val="en-IE"/>
              </w:rPr>
            </w:pPr>
            <w:r w:rsidRPr="005B4339">
              <w:rPr>
                <w:noProof/>
                <w:color w:val="000000" w:themeColor="text1"/>
                <w:lang w:val="en-IE"/>
              </w:rPr>
              <w:t xml:space="preserve">750 000 euro per year for EU enterprises to comply with EU reporting obligations </w:t>
            </w:r>
          </w:p>
          <w:p w14:paraId="3A09EB41" w14:textId="39D039C8" w:rsidR="00E40CA0" w:rsidRPr="005B4339" w:rsidRDefault="00E40CA0">
            <w:pPr>
              <w:spacing w:after="160" w:line="240" w:lineRule="atLeast"/>
              <w:jc w:val="left"/>
              <w:rPr>
                <w:noProof/>
                <w:lang w:val="en-IE"/>
              </w:rPr>
            </w:pPr>
            <w:r w:rsidRPr="005B4339">
              <w:rPr>
                <w:noProof/>
                <w:color w:val="000000" w:themeColor="text1"/>
                <w:lang w:val="en-IE"/>
              </w:rPr>
              <w:t>Landfill tax</w:t>
            </w:r>
            <w:r w:rsidRPr="005B4339">
              <w:rPr>
                <w:noProof/>
                <w:lang w:val="en-IE"/>
              </w:rPr>
              <w:t xml:space="preserve"> loss for Member States due to textiles diverted from landfills</w:t>
            </w:r>
          </w:p>
          <w:p w14:paraId="2992DF27" w14:textId="77777777" w:rsidR="00E40CA0" w:rsidRPr="005B4339" w:rsidRDefault="00E40CA0">
            <w:pPr>
              <w:spacing w:after="160" w:line="240" w:lineRule="atLeast"/>
              <w:rPr>
                <w:noProof/>
                <w:color w:val="000000"/>
                <w:lang w:val="en-IE"/>
              </w:rPr>
            </w:pPr>
            <w:r w:rsidRPr="005B4339">
              <w:rPr>
                <w:b/>
                <w:noProof/>
                <w:color w:val="000000"/>
                <w:lang w:val="en-IE"/>
              </w:rPr>
              <w:t>Economic benefits of additional sorting</w:t>
            </w:r>
            <w:r w:rsidRPr="005B4339">
              <w:rPr>
                <w:noProof/>
                <w:color w:val="000000"/>
                <w:lang w:val="en-IE"/>
              </w:rPr>
              <w:t>: 534 million per year of reuse value and 94 million euro per year of recycling value</w:t>
            </w:r>
          </w:p>
          <w:p w14:paraId="02879A09" w14:textId="77777777" w:rsidR="00D53E0A" w:rsidRPr="005B4339" w:rsidRDefault="00D53E0A" w:rsidP="00D53E0A">
            <w:pPr>
              <w:spacing w:after="160" w:line="240" w:lineRule="atLeast"/>
              <w:rPr>
                <w:noProof/>
                <w:color w:val="000000"/>
                <w:lang w:val="en-IE"/>
              </w:rPr>
            </w:pPr>
            <w:r w:rsidRPr="005B4339">
              <w:rPr>
                <w:b/>
                <w:noProof/>
                <w:color w:val="000000"/>
                <w:lang w:val="en-IE"/>
              </w:rPr>
              <w:t>Economic benefits of additional collection</w:t>
            </w:r>
            <w:r w:rsidRPr="005B4339">
              <w:rPr>
                <w:noProof/>
                <w:color w:val="000000"/>
                <w:lang w:val="en-IE"/>
              </w:rPr>
              <w:t>: 28 million euro per year of combined reuse and recycling value</w:t>
            </w:r>
          </w:p>
          <w:p w14:paraId="272D0DF5" w14:textId="59DDA710" w:rsidR="00E40CA0" w:rsidRPr="005B4339" w:rsidRDefault="00E40CA0">
            <w:pPr>
              <w:spacing w:after="160" w:line="240" w:lineRule="atLeast"/>
              <w:jc w:val="left"/>
              <w:rPr>
                <w:noProof/>
                <w:color w:val="000000"/>
                <w:lang w:val="en-IE"/>
              </w:rPr>
            </w:pPr>
            <w:r w:rsidRPr="005B4339">
              <w:rPr>
                <w:b/>
                <w:noProof/>
                <w:color w:val="000000" w:themeColor="text1"/>
                <w:lang w:val="en-IE"/>
              </w:rPr>
              <w:t>Supported (indirect) Economic benefits of EPR</w:t>
            </w:r>
            <w:r w:rsidRPr="005B4339">
              <w:rPr>
                <w:noProof/>
                <w:color w:val="000000" w:themeColor="text1"/>
                <w:lang w:val="en-IE"/>
              </w:rPr>
              <w:t xml:space="preserve">: 3.5-4.5 billion euro annual </w:t>
            </w:r>
            <w:r w:rsidR="004C4D4E" w:rsidRPr="005B4339">
              <w:rPr>
                <w:noProof/>
                <w:color w:val="000000" w:themeColor="text1"/>
                <w:lang w:val="en-IE"/>
              </w:rPr>
              <w:t>overall</w:t>
            </w:r>
            <w:r w:rsidRPr="005B4339">
              <w:rPr>
                <w:noProof/>
                <w:color w:val="000000" w:themeColor="text1"/>
                <w:lang w:val="en-IE"/>
              </w:rPr>
              <w:t xml:space="preserve"> returns on recycling investment (including the benefits indicated for the other measures)</w:t>
            </w:r>
          </w:p>
          <w:p w14:paraId="067D3CD0" w14:textId="77777777" w:rsidR="00E40CA0" w:rsidRPr="005B4339" w:rsidRDefault="00E40CA0">
            <w:pPr>
              <w:spacing w:after="160" w:line="240" w:lineRule="atLeast"/>
              <w:rPr>
                <w:noProof/>
                <w:color w:val="000000"/>
                <w:lang w:val="en-IE"/>
              </w:rPr>
            </w:pPr>
            <w:r w:rsidRPr="005B4339">
              <w:rPr>
                <w:b/>
                <w:noProof/>
                <w:color w:val="000000"/>
                <w:lang w:val="en-IE"/>
              </w:rPr>
              <w:t>Env benefits</w:t>
            </w:r>
            <w:r w:rsidRPr="005B4339">
              <w:rPr>
                <w:noProof/>
                <w:color w:val="000000"/>
                <w:lang w:val="en-IE"/>
              </w:rPr>
              <w:t>: 16 million euro from GHG emission reduction as well as reduction in release of pollutants to air, water and land that would otherwise result from poor waste management.</w:t>
            </w:r>
          </w:p>
          <w:p w14:paraId="1C97D884" w14:textId="0D92A2A6" w:rsidR="00E40CA0" w:rsidRPr="005B4339" w:rsidRDefault="00E40CA0">
            <w:pPr>
              <w:spacing w:after="160" w:line="240" w:lineRule="atLeast"/>
              <w:rPr>
                <w:rFonts w:eastAsiaTheme="minorHAnsi"/>
                <w:noProof/>
                <w:color w:val="000000"/>
                <w:lang w:val="en-IE" w:eastAsia="en-US"/>
              </w:rPr>
            </w:pPr>
            <w:r w:rsidRPr="005B4339">
              <w:rPr>
                <w:b/>
                <w:noProof/>
                <w:color w:val="000000"/>
                <w:lang w:val="en-IE"/>
              </w:rPr>
              <w:t>Social benefits</w:t>
            </w:r>
            <w:r w:rsidRPr="005B4339">
              <w:rPr>
                <w:noProof/>
                <w:color w:val="000000"/>
                <w:lang w:val="en-IE"/>
              </w:rPr>
              <w:t xml:space="preserve">: 8 740 jobs created and social impacts of EU waste in third countries mitigated. </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D767ECA" w14:textId="77777777" w:rsidR="00E40CA0" w:rsidRPr="005B4339" w:rsidRDefault="00E40CA0">
            <w:pPr>
              <w:spacing w:after="0" w:line="240" w:lineRule="atLeast"/>
              <w:jc w:val="center"/>
              <w:rPr>
                <w:noProof/>
                <w:color w:val="000000"/>
                <w:lang w:val="en-IE"/>
              </w:rPr>
            </w:pPr>
            <w:r w:rsidRPr="005B4339">
              <w:rPr>
                <w:b/>
                <w:noProof/>
                <w:color w:val="000000"/>
                <w:lang w:val="en-IE"/>
              </w:rPr>
              <w:t>Costs</w:t>
            </w:r>
            <w:r w:rsidRPr="005B4339">
              <w:rPr>
                <w:noProof/>
                <w:color w:val="000000"/>
                <w:lang w:val="en-IE"/>
              </w:rPr>
              <w:t xml:space="preserve">: </w:t>
            </w:r>
          </w:p>
          <w:p w14:paraId="55EAE5F8" w14:textId="64B21584" w:rsidR="00D53E0A" w:rsidRPr="005B4339" w:rsidRDefault="00D53E0A" w:rsidP="00D53E0A">
            <w:pPr>
              <w:spacing w:after="160" w:line="240" w:lineRule="atLeast"/>
              <w:jc w:val="center"/>
              <w:rPr>
                <w:noProof/>
                <w:color w:val="000000"/>
                <w:lang w:val="en-IE"/>
              </w:rPr>
            </w:pPr>
            <w:r w:rsidRPr="005B4339">
              <w:rPr>
                <w:noProof/>
                <w:color w:val="000000" w:themeColor="text1"/>
                <w:lang w:val="en-IE"/>
              </w:rPr>
              <w:t>97</w:t>
            </w:r>
            <w:r w:rsidR="000D2DC4" w:rsidRPr="005B4339">
              <w:rPr>
                <w:noProof/>
                <w:color w:val="000000" w:themeColor="text1"/>
                <w:lang w:val="en-IE"/>
              </w:rPr>
              <w:t>5</w:t>
            </w:r>
            <w:r w:rsidRPr="005B4339">
              <w:rPr>
                <w:noProof/>
                <w:color w:val="000000" w:themeColor="text1"/>
                <w:lang w:val="en-IE"/>
              </w:rPr>
              <w:t xml:space="preserve"> million euros costs.  These costs may fall 100% on consumers or 100% on producers (or a mix of both) under the EPR approach whereby producers may choose to add the costs of EPR compliance to the costs of goods sold to consumers or not. </w:t>
            </w:r>
          </w:p>
          <w:p w14:paraId="2F854C16" w14:textId="77777777" w:rsidR="00E40CA0" w:rsidRPr="005B4339" w:rsidRDefault="00E40CA0">
            <w:pPr>
              <w:spacing w:after="0" w:line="240" w:lineRule="atLeast"/>
              <w:jc w:val="center"/>
              <w:rPr>
                <w:noProof/>
                <w:color w:val="000000"/>
                <w:lang w:val="en-IE"/>
              </w:rPr>
            </w:pPr>
            <w:r w:rsidRPr="005B4339">
              <w:rPr>
                <w:b/>
                <w:noProof/>
                <w:color w:val="000000" w:themeColor="text1"/>
                <w:lang w:val="en-IE"/>
              </w:rPr>
              <w:t>Benefits</w:t>
            </w:r>
            <w:r w:rsidRPr="005B4339">
              <w:rPr>
                <w:noProof/>
                <w:color w:val="000000" w:themeColor="text1"/>
                <w:lang w:val="en-IE"/>
              </w:rPr>
              <w:t xml:space="preserve">: </w:t>
            </w:r>
          </w:p>
          <w:p w14:paraId="27C4BE89" w14:textId="6B9CA9C8" w:rsidR="00D53E0A" w:rsidRPr="005B4339" w:rsidRDefault="00D53E0A" w:rsidP="00D53E0A">
            <w:pPr>
              <w:spacing w:after="160" w:line="240" w:lineRule="atLeast"/>
              <w:jc w:val="center"/>
              <w:rPr>
                <w:noProof/>
                <w:color w:val="000000" w:themeColor="text1"/>
                <w:lang w:val="en-IE"/>
              </w:rPr>
            </w:pPr>
            <w:r w:rsidRPr="005B4339">
              <w:rPr>
                <w:noProof/>
                <w:color w:val="000000"/>
                <w:lang w:val="en-IE"/>
              </w:rPr>
              <w:t xml:space="preserve">Direct benefits of 656 million euros of reusable and recyclable textiles for the EU reuse and recycling market as well as support to 3.5-4.5 billion euro annual </w:t>
            </w:r>
            <w:r w:rsidR="004C4D4E" w:rsidRPr="005B4339">
              <w:rPr>
                <w:noProof/>
                <w:color w:val="000000"/>
                <w:lang w:val="en-IE"/>
              </w:rPr>
              <w:t>overall</w:t>
            </w:r>
            <w:r w:rsidRPr="005B4339">
              <w:rPr>
                <w:noProof/>
                <w:color w:val="000000"/>
                <w:lang w:val="en-IE"/>
              </w:rPr>
              <w:t xml:space="preserve"> returns from EPR investments.</w:t>
            </w:r>
          </w:p>
          <w:p w14:paraId="41CE5FBE" w14:textId="77777777" w:rsidR="00E40CA0" w:rsidRPr="005B4339" w:rsidRDefault="00E40CA0">
            <w:pPr>
              <w:spacing w:after="160" w:line="240" w:lineRule="atLeast"/>
              <w:jc w:val="center"/>
              <w:rPr>
                <w:noProof/>
                <w:color w:val="000000"/>
                <w:lang w:val="en-IE"/>
              </w:rPr>
            </w:pPr>
            <w:r w:rsidRPr="005B4339">
              <w:rPr>
                <w:noProof/>
                <w:color w:val="000000" w:themeColor="text1"/>
                <w:lang w:val="en-IE"/>
              </w:rPr>
              <w:t>Additional GHG emission reduction equal to 16 million euro per year</w:t>
            </w:r>
          </w:p>
          <w:p w14:paraId="253BCAED" w14:textId="77777777" w:rsidR="00E40CA0" w:rsidRPr="005B4339" w:rsidRDefault="00E40CA0">
            <w:pPr>
              <w:spacing w:after="160" w:line="240" w:lineRule="atLeast"/>
              <w:jc w:val="center"/>
              <w:rPr>
                <w:noProof/>
                <w:lang w:val="en-IE"/>
              </w:rPr>
            </w:pPr>
            <w:r w:rsidRPr="005B4339">
              <w:rPr>
                <w:noProof/>
                <w:color w:val="000000"/>
                <w:lang w:val="en-IE"/>
              </w:rPr>
              <w:t>8 740 jobs created</w:t>
            </w:r>
          </w:p>
          <w:p w14:paraId="404AA3BA" w14:textId="01E4A3D8" w:rsidR="00E40CA0" w:rsidRPr="005B4339" w:rsidRDefault="00E40CA0">
            <w:pPr>
              <w:spacing w:after="160" w:line="240" w:lineRule="atLeast"/>
              <w:jc w:val="center"/>
              <w:rPr>
                <w:rFonts w:eastAsiaTheme="minorHAnsi"/>
                <w:noProof/>
                <w:color w:val="000000"/>
                <w:lang w:val="en-IE" w:eastAsia="en-US"/>
              </w:rPr>
            </w:pPr>
            <w:r w:rsidRPr="005B4339">
              <w:rPr>
                <w:rFonts w:eastAsiaTheme="minorHAnsi"/>
                <w:b/>
                <w:noProof/>
                <w:color w:val="000000"/>
                <w:lang w:val="en-IE" w:eastAsia="en-US"/>
              </w:rPr>
              <w:t>Overall effectiveness and efficiency</w:t>
            </w:r>
            <w:r w:rsidRPr="005B4339">
              <w:rPr>
                <w:rFonts w:eastAsiaTheme="minorHAnsi"/>
                <w:noProof/>
                <w:color w:val="000000"/>
                <w:lang w:val="en-IE" w:eastAsia="en-US"/>
              </w:rPr>
              <w:t>: positive</w:t>
            </w:r>
          </w:p>
        </w:tc>
      </w:tr>
    </w:tbl>
    <w:p w14:paraId="5D43CA4E" w14:textId="77777777" w:rsidR="0092145E" w:rsidRPr="005B4339" w:rsidRDefault="0092145E" w:rsidP="004C41A1">
      <w:pPr>
        <w:spacing w:after="200" w:line="276" w:lineRule="auto"/>
        <w:jc w:val="left"/>
        <w:rPr>
          <w:noProof/>
          <w:lang w:val="en-IE"/>
        </w:rPr>
      </w:pPr>
    </w:p>
    <w:p w14:paraId="6F5EE0ED" w14:textId="74C931BA" w:rsidR="00CD2D18" w:rsidRPr="005B4339" w:rsidRDefault="00870D3F" w:rsidP="00E93A3E">
      <w:pPr>
        <w:pStyle w:val="Heading2"/>
        <w:ind w:left="480" w:firstLine="0"/>
        <w:rPr>
          <w:noProof/>
          <w:lang w:val="en-IE"/>
        </w:rPr>
      </w:pPr>
      <w:bookmarkStart w:id="941" w:name="_Toc786291578"/>
      <w:bookmarkStart w:id="942" w:name="_Toc397234502"/>
      <w:bookmarkStart w:id="943" w:name="_Toc1175085393"/>
      <w:bookmarkStart w:id="944" w:name="_Toc63883436"/>
      <w:bookmarkStart w:id="945" w:name="_Toc934069160"/>
      <w:bookmarkStart w:id="946" w:name="_Toc684698667"/>
      <w:bookmarkStart w:id="947" w:name="_Toc937335412"/>
      <w:bookmarkStart w:id="948" w:name="_Toc837632974"/>
      <w:bookmarkStart w:id="949" w:name="_Toc139032138"/>
      <w:r w:rsidRPr="005B4339">
        <w:rPr>
          <w:noProof/>
          <w:lang w:val="en-IE"/>
        </w:rPr>
        <w:t>I</w:t>
      </w:r>
      <w:r w:rsidR="00CD2D18" w:rsidRPr="005B4339">
        <w:rPr>
          <w:noProof/>
          <w:lang w:val="en-IE"/>
        </w:rPr>
        <w:t>mpacts on competitiveness</w:t>
      </w:r>
      <w:bookmarkEnd w:id="941"/>
      <w:bookmarkEnd w:id="942"/>
      <w:bookmarkEnd w:id="943"/>
      <w:bookmarkEnd w:id="944"/>
      <w:bookmarkEnd w:id="945"/>
      <w:bookmarkEnd w:id="946"/>
      <w:bookmarkEnd w:id="947"/>
      <w:bookmarkEnd w:id="948"/>
      <w:bookmarkEnd w:id="949"/>
    </w:p>
    <w:p w14:paraId="3B4CAB38" w14:textId="770AABBC" w:rsidR="00870D3F" w:rsidRPr="005B4339" w:rsidRDefault="0082768B" w:rsidP="0082768B">
      <w:pPr>
        <w:pStyle w:val="Caption"/>
        <w:rPr>
          <w:noProof/>
          <w:color w:val="auto"/>
          <w:sz w:val="24"/>
          <w:szCs w:val="24"/>
          <w:lang w:val="en-IE"/>
        </w:rPr>
      </w:pPr>
      <w:bookmarkStart w:id="950" w:name="_Toc133229508"/>
      <w:bookmarkStart w:id="951" w:name="_Toc139032062"/>
      <w:r w:rsidRPr="005B4339">
        <w:rPr>
          <w:noProof/>
          <w:color w:val="auto"/>
          <w:sz w:val="24"/>
          <w:szCs w:val="24"/>
          <w:lang w:val="en-IE"/>
        </w:rPr>
        <w:t xml:space="preserve">Table </w:t>
      </w:r>
      <w:r w:rsidR="00393DFA">
        <w:rPr>
          <w:noProof/>
          <w:color w:val="auto"/>
          <w:sz w:val="24"/>
          <w:szCs w:val="24"/>
        </w:rPr>
        <w:t>46</w:t>
      </w:r>
      <w:r w:rsidRPr="005B4339">
        <w:rPr>
          <w:noProof/>
          <w:color w:val="auto"/>
          <w:sz w:val="24"/>
          <w:szCs w:val="24"/>
          <w:lang w:val="en-IE"/>
        </w:rPr>
        <w:t xml:space="preserve"> – Impacts on competitiveness</w:t>
      </w:r>
      <w:bookmarkEnd w:id="950"/>
      <w:bookmarkEnd w:id="951"/>
    </w:p>
    <w:tbl>
      <w:tblPr>
        <w:tblStyle w:val="TableGrid"/>
        <w:tblW w:w="0" w:type="auto"/>
        <w:tblLook w:val="04A0" w:firstRow="1" w:lastRow="0" w:firstColumn="1" w:lastColumn="0" w:noHBand="0" w:noVBand="1"/>
      </w:tblPr>
      <w:tblGrid>
        <w:gridCol w:w="3005"/>
        <w:gridCol w:w="3005"/>
        <w:gridCol w:w="3006"/>
      </w:tblGrid>
      <w:tr w:rsidR="0077418F" w:rsidRPr="005B4339" w14:paraId="3249EEAA" w14:textId="77777777">
        <w:tc>
          <w:tcPr>
            <w:tcW w:w="3005" w:type="dxa"/>
            <w:tcBorders>
              <w:top w:val="single" w:sz="4" w:space="0" w:color="auto"/>
              <w:left w:val="single" w:sz="4" w:space="0" w:color="auto"/>
              <w:bottom w:val="single" w:sz="4" w:space="0" w:color="auto"/>
              <w:right w:val="single" w:sz="4" w:space="0" w:color="auto"/>
            </w:tcBorders>
            <w:hideMark/>
          </w:tcPr>
          <w:p w14:paraId="7D4DA5E6" w14:textId="77777777" w:rsidR="0077418F" w:rsidRPr="005B4339" w:rsidRDefault="0077418F">
            <w:pPr>
              <w:spacing w:after="0"/>
              <w:rPr>
                <w:b/>
                <w:noProof/>
                <w:lang w:val="en-IE"/>
              </w:rPr>
            </w:pPr>
            <w:r w:rsidRPr="005B4339">
              <w:rPr>
                <w:b/>
                <w:noProof/>
                <w:lang w:val="en-IE"/>
              </w:rPr>
              <w:t>Dimensions of competitiveness</w:t>
            </w:r>
          </w:p>
        </w:tc>
        <w:tc>
          <w:tcPr>
            <w:tcW w:w="3005" w:type="dxa"/>
            <w:tcBorders>
              <w:top w:val="single" w:sz="4" w:space="0" w:color="auto"/>
              <w:left w:val="single" w:sz="4" w:space="0" w:color="auto"/>
              <w:bottom w:val="single" w:sz="4" w:space="0" w:color="auto"/>
              <w:right w:val="single" w:sz="4" w:space="0" w:color="auto"/>
            </w:tcBorders>
            <w:hideMark/>
          </w:tcPr>
          <w:p w14:paraId="26E26DB4" w14:textId="77777777" w:rsidR="0077418F" w:rsidRPr="005B4339" w:rsidRDefault="0077418F">
            <w:pPr>
              <w:spacing w:after="0"/>
              <w:rPr>
                <w:b/>
                <w:noProof/>
                <w:lang w:val="en-IE"/>
              </w:rPr>
            </w:pPr>
            <w:r w:rsidRPr="005B4339">
              <w:rPr>
                <w:b/>
                <w:noProof/>
                <w:lang w:val="en-IE"/>
              </w:rPr>
              <w:t>Impact of the initiative</w:t>
            </w:r>
          </w:p>
          <w:p w14:paraId="579763B0" w14:textId="77777777" w:rsidR="0077418F" w:rsidRPr="005B4339" w:rsidRDefault="0077418F">
            <w:pPr>
              <w:spacing w:after="0"/>
              <w:rPr>
                <w:b/>
                <w:noProof/>
                <w:lang w:val="en-IE"/>
              </w:rPr>
            </w:pPr>
            <w:r w:rsidRPr="005B4339">
              <w:rPr>
                <w:b/>
                <w:noProof/>
                <w:lang w:val="en-IE"/>
              </w:rPr>
              <w:t>(++ / + / 0 / - / -- / n.a.)</w:t>
            </w:r>
          </w:p>
        </w:tc>
        <w:tc>
          <w:tcPr>
            <w:tcW w:w="3006" w:type="dxa"/>
            <w:tcBorders>
              <w:top w:val="single" w:sz="4" w:space="0" w:color="auto"/>
              <w:left w:val="single" w:sz="4" w:space="0" w:color="auto"/>
              <w:bottom w:val="single" w:sz="4" w:space="0" w:color="auto"/>
              <w:right w:val="single" w:sz="4" w:space="0" w:color="auto"/>
            </w:tcBorders>
            <w:hideMark/>
          </w:tcPr>
          <w:p w14:paraId="65D833D9" w14:textId="77777777" w:rsidR="0077418F" w:rsidRPr="005B4339" w:rsidRDefault="0077418F">
            <w:pPr>
              <w:spacing w:after="0"/>
              <w:rPr>
                <w:b/>
                <w:noProof/>
                <w:lang w:val="en-IE"/>
              </w:rPr>
            </w:pPr>
            <w:r w:rsidRPr="005B4339">
              <w:rPr>
                <w:b/>
                <w:noProof/>
                <w:lang w:val="en-IE"/>
              </w:rPr>
              <w:t>References to sub-sections of the main report or annexes</w:t>
            </w:r>
          </w:p>
        </w:tc>
      </w:tr>
      <w:tr w:rsidR="0077418F" w:rsidRPr="005B4339" w14:paraId="30F5F867" w14:textId="77777777">
        <w:tc>
          <w:tcPr>
            <w:tcW w:w="3005" w:type="dxa"/>
            <w:tcBorders>
              <w:top w:val="single" w:sz="4" w:space="0" w:color="auto"/>
              <w:left w:val="single" w:sz="4" w:space="0" w:color="auto"/>
              <w:bottom w:val="single" w:sz="4" w:space="0" w:color="auto"/>
              <w:right w:val="single" w:sz="4" w:space="0" w:color="auto"/>
            </w:tcBorders>
            <w:hideMark/>
          </w:tcPr>
          <w:p w14:paraId="5955B9A3" w14:textId="77777777" w:rsidR="0077418F" w:rsidRPr="005B4339" w:rsidRDefault="0077418F">
            <w:pPr>
              <w:spacing w:after="0"/>
              <w:rPr>
                <w:noProof/>
                <w:lang w:val="en-IE"/>
              </w:rPr>
            </w:pPr>
            <w:r w:rsidRPr="005B4339">
              <w:rPr>
                <w:noProof/>
                <w:lang w:val="en-IE"/>
              </w:rPr>
              <w:t>Cost and price competitiveness</w:t>
            </w:r>
          </w:p>
        </w:tc>
        <w:tc>
          <w:tcPr>
            <w:tcW w:w="3005" w:type="dxa"/>
            <w:tcBorders>
              <w:top w:val="single" w:sz="4" w:space="0" w:color="auto"/>
              <w:left w:val="single" w:sz="4" w:space="0" w:color="auto"/>
              <w:bottom w:val="single" w:sz="4" w:space="0" w:color="auto"/>
              <w:right w:val="single" w:sz="4" w:space="0" w:color="auto"/>
            </w:tcBorders>
            <w:hideMark/>
          </w:tcPr>
          <w:p w14:paraId="48BF7FCD" w14:textId="77777777" w:rsidR="0077418F" w:rsidRPr="005B4339" w:rsidRDefault="0077418F">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hideMark/>
          </w:tcPr>
          <w:p w14:paraId="7596B04A" w14:textId="77777777" w:rsidR="0077418F" w:rsidRPr="005B4339" w:rsidRDefault="0077418F">
            <w:pPr>
              <w:spacing w:after="0"/>
              <w:jc w:val="center"/>
              <w:rPr>
                <w:noProof/>
                <w:lang w:val="en-IE"/>
              </w:rPr>
            </w:pPr>
            <w:r w:rsidRPr="005B4339">
              <w:rPr>
                <w:noProof/>
                <w:lang w:val="en-IE"/>
              </w:rPr>
              <w:t>Annex 11</w:t>
            </w:r>
          </w:p>
        </w:tc>
      </w:tr>
      <w:tr w:rsidR="0077418F" w:rsidRPr="005B4339" w14:paraId="03F15D8B" w14:textId="77777777">
        <w:tc>
          <w:tcPr>
            <w:tcW w:w="3005" w:type="dxa"/>
            <w:tcBorders>
              <w:top w:val="single" w:sz="4" w:space="0" w:color="auto"/>
              <w:left w:val="single" w:sz="4" w:space="0" w:color="auto"/>
              <w:bottom w:val="single" w:sz="4" w:space="0" w:color="auto"/>
              <w:right w:val="single" w:sz="4" w:space="0" w:color="auto"/>
            </w:tcBorders>
          </w:tcPr>
          <w:p w14:paraId="67474216" w14:textId="77777777" w:rsidR="0077418F" w:rsidRPr="005B4339" w:rsidRDefault="0077418F">
            <w:pPr>
              <w:spacing w:after="0"/>
              <w:rPr>
                <w:noProof/>
                <w:lang w:val="en-IE"/>
              </w:rPr>
            </w:pPr>
            <w:r w:rsidRPr="005B4339">
              <w:rPr>
                <w:noProof/>
                <w:lang w:val="en-IE"/>
              </w:rPr>
              <w:t>Dynamic competitiveness</w:t>
            </w:r>
          </w:p>
        </w:tc>
        <w:tc>
          <w:tcPr>
            <w:tcW w:w="3005" w:type="dxa"/>
            <w:tcBorders>
              <w:top w:val="single" w:sz="4" w:space="0" w:color="auto"/>
              <w:left w:val="single" w:sz="4" w:space="0" w:color="auto"/>
              <w:bottom w:val="single" w:sz="4" w:space="0" w:color="auto"/>
              <w:right w:val="single" w:sz="4" w:space="0" w:color="auto"/>
            </w:tcBorders>
          </w:tcPr>
          <w:p w14:paraId="33BF2873" w14:textId="77777777" w:rsidR="0077418F" w:rsidRPr="005B4339" w:rsidDel="000D0E6B" w:rsidRDefault="0077418F">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tcPr>
          <w:p w14:paraId="477F912E" w14:textId="77777777" w:rsidR="0077418F" w:rsidRPr="005B4339" w:rsidRDefault="0077418F">
            <w:pPr>
              <w:spacing w:after="0"/>
              <w:jc w:val="center"/>
              <w:rPr>
                <w:noProof/>
                <w:lang w:val="en-IE"/>
              </w:rPr>
            </w:pPr>
            <w:r w:rsidRPr="005B4339">
              <w:rPr>
                <w:noProof/>
                <w:lang w:val="en-IE"/>
              </w:rPr>
              <w:t>Annex 11</w:t>
            </w:r>
          </w:p>
        </w:tc>
      </w:tr>
      <w:tr w:rsidR="0077418F" w:rsidRPr="005B4339" w14:paraId="46C783E8" w14:textId="77777777">
        <w:tc>
          <w:tcPr>
            <w:tcW w:w="3005" w:type="dxa"/>
            <w:tcBorders>
              <w:top w:val="single" w:sz="4" w:space="0" w:color="auto"/>
              <w:left w:val="single" w:sz="4" w:space="0" w:color="auto"/>
              <w:bottom w:val="single" w:sz="4" w:space="0" w:color="auto"/>
              <w:right w:val="single" w:sz="4" w:space="0" w:color="auto"/>
            </w:tcBorders>
            <w:hideMark/>
          </w:tcPr>
          <w:p w14:paraId="52FB3309" w14:textId="77777777" w:rsidR="0077418F" w:rsidRPr="005B4339" w:rsidRDefault="0077418F">
            <w:pPr>
              <w:spacing w:after="0"/>
              <w:rPr>
                <w:noProof/>
                <w:lang w:val="en-IE"/>
              </w:rPr>
            </w:pPr>
            <w:r w:rsidRPr="005B4339">
              <w:rPr>
                <w:noProof/>
                <w:lang w:val="en-IE"/>
              </w:rPr>
              <w:t>International competitiveness</w:t>
            </w:r>
          </w:p>
        </w:tc>
        <w:tc>
          <w:tcPr>
            <w:tcW w:w="3005" w:type="dxa"/>
            <w:tcBorders>
              <w:top w:val="single" w:sz="4" w:space="0" w:color="auto"/>
              <w:left w:val="single" w:sz="4" w:space="0" w:color="auto"/>
              <w:bottom w:val="single" w:sz="4" w:space="0" w:color="auto"/>
              <w:right w:val="single" w:sz="4" w:space="0" w:color="auto"/>
            </w:tcBorders>
            <w:hideMark/>
          </w:tcPr>
          <w:p w14:paraId="09E1BC23" w14:textId="77777777" w:rsidR="0077418F" w:rsidRPr="005B4339" w:rsidRDefault="0077418F">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hideMark/>
          </w:tcPr>
          <w:p w14:paraId="33FB325A" w14:textId="77777777" w:rsidR="0077418F" w:rsidRPr="005B4339" w:rsidRDefault="0077418F">
            <w:pPr>
              <w:spacing w:after="0"/>
              <w:jc w:val="center"/>
              <w:rPr>
                <w:noProof/>
                <w:lang w:val="en-IE"/>
              </w:rPr>
            </w:pPr>
            <w:r w:rsidRPr="005B4339">
              <w:rPr>
                <w:noProof/>
                <w:lang w:val="en-IE"/>
              </w:rPr>
              <w:t>Annex 11</w:t>
            </w:r>
          </w:p>
        </w:tc>
      </w:tr>
      <w:tr w:rsidR="0077418F" w:rsidRPr="005B4339" w14:paraId="05D6F8E5" w14:textId="77777777">
        <w:tc>
          <w:tcPr>
            <w:tcW w:w="3005" w:type="dxa"/>
            <w:tcBorders>
              <w:top w:val="single" w:sz="4" w:space="0" w:color="auto"/>
              <w:left w:val="single" w:sz="4" w:space="0" w:color="auto"/>
              <w:bottom w:val="single" w:sz="4" w:space="0" w:color="auto"/>
              <w:right w:val="single" w:sz="4" w:space="0" w:color="auto"/>
            </w:tcBorders>
          </w:tcPr>
          <w:p w14:paraId="6F1C339F" w14:textId="77777777" w:rsidR="0077418F" w:rsidRPr="005B4339" w:rsidRDefault="0077418F">
            <w:pPr>
              <w:spacing w:after="0"/>
              <w:rPr>
                <w:noProof/>
                <w:lang w:val="en-IE"/>
              </w:rPr>
            </w:pPr>
            <w:r w:rsidRPr="005B4339">
              <w:rPr>
                <w:noProof/>
                <w:lang w:val="en-IE"/>
              </w:rPr>
              <w:t>Strategic competitiveness</w:t>
            </w:r>
          </w:p>
        </w:tc>
        <w:tc>
          <w:tcPr>
            <w:tcW w:w="3005" w:type="dxa"/>
            <w:tcBorders>
              <w:top w:val="single" w:sz="4" w:space="0" w:color="auto"/>
              <w:left w:val="single" w:sz="4" w:space="0" w:color="auto"/>
              <w:bottom w:val="single" w:sz="4" w:space="0" w:color="auto"/>
              <w:right w:val="single" w:sz="4" w:space="0" w:color="auto"/>
            </w:tcBorders>
          </w:tcPr>
          <w:p w14:paraId="27F53A86" w14:textId="77777777" w:rsidR="0077418F" w:rsidRPr="005B4339" w:rsidDel="0036375C" w:rsidRDefault="0077418F">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tcPr>
          <w:p w14:paraId="05D2DF8E" w14:textId="77777777" w:rsidR="0077418F" w:rsidRPr="005B4339" w:rsidRDefault="0077418F">
            <w:pPr>
              <w:spacing w:after="0"/>
              <w:jc w:val="center"/>
              <w:rPr>
                <w:noProof/>
                <w:lang w:val="en-IE"/>
              </w:rPr>
            </w:pPr>
            <w:r w:rsidRPr="005B4339">
              <w:rPr>
                <w:noProof/>
                <w:lang w:val="en-IE"/>
              </w:rPr>
              <w:t>Annex 11</w:t>
            </w:r>
          </w:p>
        </w:tc>
      </w:tr>
      <w:tr w:rsidR="0077418F" w:rsidRPr="005B4339" w14:paraId="65B81D4C" w14:textId="77777777">
        <w:tc>
          <w:tcPr>
            <w:tcW w:w="3005" w:type="dxa"/>
            <w:tcBorders>
              <w:top w:val="single" w:sz="4" w:space="0" w:color="auto"/>
              <w:left w:val="single" w:sz="4" w:space="0" w:color="auto"/>
              <w:bottom w:val="single" w:sz="4" w:space="0" w:color="auto"/>
              <w:right w:val="single" w:sz="4" w:space="0" w:color="auto"/>
            </w:tcBorders>
            <w:hideMark/>
          </w:tcPr>
          <w:p w14:paraId="23172669" w14:textId="77777777" w:rsidR="0077418F" w:rsidRPr="005B4339" w:rsidRDefault="0077418F">
            <w:pPr>
              <w:spacing w:after="0"/>
              <w:rPr>
                <w:noProof/>
                <w:lang w:val="en-IE"/>
              </w:rPr>
            </w:pPr>
            <w:r w:rsidRPr="005B4339">
              <w:rPr>
                <w:noProof/>
                <w:lang w:val="en-IE"/>
              </w:rPr>
              <w:t>SME competitiveness</w:t>
            </w:r>
          </w:p>
        </w:tc>
        <w:tc>
          <w:tcPr>
            <w:tcW w:w="3005" w:type="dxa"/>
            <w:tcBorders>
              <w:top w:val="single" w:sz="4" w:space="0" w:color="auto"/>
              <w:left w:val="single" w:sz="4" w:space="0" w:color="auto"/>
              <w:bottom w:val="single" w:sz="4" w:space="0" w:color="auto"/>
              <w:right w:val="single" w:sz="4" w:space="0" w:color="auto"/>
            </w:tcBorders>
            <w:hideMark/>
          </w:tcPr>
          <w:p w14:paraId="4A294CFB" w14:textId="77777777" w:rsidR="0077418F" w:rsidRPr="005B4339" w:rsidRDefault="0077418F">
            <w:pPr>
              <w:spacing w:after="0"/>
              <w:jc w:val="center"/>
              <w:rPr>
                <w:noProof/>
                <w:lang w:val="en-IE"/>
              </w:rPr>
            </w:pPr>
            <w:r w:rsidRPr="005B4339">
              <w:rPr>
                <w:noProof/>
                <w:lang w:val="en-IE"/>
              </w:rPr>
              <w:t>0</w:t>
            </w:r>
          </w:p>
        </w:tc>
        <w:tc>
          <w:tcPr>
            <w:tcW w:w="3006" w:type="dxa"/>
            <w:tcBorders>
              <w:top w:val="single" w:sz="4" w:space="0" w:color="auto"/>
              <w:left w:val="single" w:sz="4" w:space="0" w:color="auto"/>
              <w:bottom w:val="single" w:sz="4" w:space="0" w:color="auto"/>
              <w:right w:val="single" w:sz="4" w:space="0" w:color="auto"/>
            </w:tcBorders>
            <w:hideMark/>
          </w:tcPr>
          <w:p w14:paraId="2D7B13EC" w14:textId="77777777" w:rsidR="0077418F" w:rsidRPr="005B4339" w:rsidRDefault="0077418F">
            <w:pPr>
              <w:spacing w:after="0"/>
              <w:jc w:val="center"/>
              <w:rPr>
                <w:noProof/>
                <w:lang w:val="en-IE"/>
              </w:rPr>
            </w:pPr>
            <w:r w:rsidRPr="005B4339">
              <w:rPr>
                <w:noProof/>
                <w:lang w:val="en-IE"/>
              </w:rPr>
              <w:t>Annex 11</w:t>
            </w:r>
          </w:p>
        </w:tc>
      </w:tr>
    </w:tbl>
    <w:p w14:paraId="6E843991" w14:textId="74EBB84E" w:rsidR="00CD2D18" w:rsidRPr="005B4339" w:rsidRDefault="00CD2D18" w:rsidP="00E93A3E">
      <w:pPr>
        <w:spacing w:after="120"/>
        <w:rPr>
          <w:rFonts w:asciiTheme="minorHAnsi" w:hAnsiTheme="minorHAnsi" w:cstheme="minorBidi"/>
          <w:noProof/>
          <w:sz w:val="22"/>
          <w:szCs w:val="22"/>
          <w:lang w:val="en-IE"/>
        </w:rPr>
      </w:pPr>
    </w:p>
    <w:p w14:paraId="070EF65B" w14:textId="586B2BB0" w:rsidR="00CD2D18" w:rsidRPr="005B4339" w:rsidRDefault="00CD2D18" w:rsidP="00CD2D18">
      <w:pPr>
        <w:rPr>
          <w:b/>
          <w:noProof/>
          <w:lang w:val="en-IE"/>
        </w:rPr>
      </w:pPr>
      <w:r w:rsidRPr="005B4339">
        <w:rPr>
          <w:b/>
          <w:noProof/>
          <w:lang w:val="en-IE"/>
        </w:rPr>
        <w:t xml:space="preserve">Costs and </w:t>
      </w:r>
      <w:r w:rsidR="000131EB" w:rsidRPr="005B4339">
        <w:rPr>
          <w:b/>
          <w:noProof/>
          <w:lang w:val="en-IE"/>
        </w:rPr>
        <w:t>price</w:t>
      </w:r>
      <w:r w:rsidRPr="005B4339">
        <w:rPr>
          <w:b/>
          <w:noProof/>
          <w:lang w:val="en-IE"/>
        </w:rPr>
        <w:t xml:space="preserve"> competitiveness</w:t>
      </w:r>
      <w:r w:rsidRPr="005B4339">
        <w:rPr>
          <w:noProof/>
          <w:lang w:val="en-IE"/>
        </w:rPr>
        <w:t xml:space="preserve"> – The initiative will result in the application of fees to certain categories of textiles goods placed on the market</w:t>
      </w:r>
      <w:r w:rsidR="426D6BCA" w:rsidRPr="005B4339">
        <w:rPr>
          <w:noProof/>
          <w:lang w:val="en-IE"/>
        </w:rPr>
        <w:t>,</w:t>
      </w:r>
      <w:r w:rsidRPr="005B4339">
        <w:rPr>
          <w:noProof/>
          <w:lang w:val="en-IE"/>
        </w:rPr>
        <w:t xml:space="preserve"> namely clothing and household textiles via extended producer responsibility. The fees are targeted at addressing the costs of managing textiles at their point of discard and will be set by Member States and monitored at the EU level. Micro-enterprises are exempted from these provisions. Compliance costs will be minimised through the use of Producer Responsibility Organisations that will coordinate compliance on behalf of producers. The provisions would apply to goods placed on the market that are manufactured within the EU as well as those imported and placed on the market from third countries. The fees are expected to account for less than a 3.5% increase in the total costs </w:t>
      </w:r>
      <w:r w:rsidR="30B0D58C" w:rsidRPr="005B4339">
        <w:rPr>
          <w:noProof/>
          <w:lang w:val="en-IE"/>
        </w:rPr>
        <w:t>of textile products</w:t>
      </w:r>
      <w:r w:rsidRPr="005B4339">
        <w:rPr>
          <w:noProof/>
          <w:lang w:val="en-IE"/>
        </w:rPr>
        <w:t xml:space="preserve"> whilst at the same time raising 2.3 billion </w:t>
      </w:r>
      <w:r w:rsidR="00A71728" w:rsidRPr="005B4339">
        <w:rPr>
          <w:noProof/>
          <w:lang w:val="en-IE"/>
        </w:rPr>
        <w:t xml:space="preserve">euro </w:t>
      </w:r>
      <w:r w:rsidRPr="005B4339">
        <w:rPr>
          <w:noProof/>
          <w:lang w:val="en-IE"/>
        </w:rPr>
        <w:t>to fund collection</w:t>
      </w:r>
      <w:r w:rsidR="7106A3EA" w:rsidRPr="005B4339">
        <w:rPr>
          <w:noProof/>
          <w:lang w:val="en-IE"/>
        </w:rPr>
        <w:t>,</w:t>
      </w:r>
      <w:r w:rsidRPr="005B4339">
        <w:rPr>
          <w:noProof/>
          <w:lang w:val="en-IE"/>
        </w:rPr>
        <w:t xml:space="preserve"> sorting</w:t>
      </w:r>
      <w:r w:rsidR="754B3BFF" w:rsidRPr="005B4339">
        <w:rPr>
          <w:noProof/>
          <w:lang w:val="en-IE"/>
        </w:rPr>
        <w:t>,</w:t>
      </w:r>
      <w:r w:rsidR="00013366" w:rsidRPr="005B4339">
        <w:rPr>
          <w:noProof/>
          <w:lang w:val="en-IE"/>
        </w:rPr>
        <w:t xml:space="preserve"> reuse and recycling.</w:t>
      </w:r>
      <w:r w:rsidRPr="005B4339">
        <w:rPr>
          <w:noProof/>
          <w:lang w:val="en-IE"/>
        </w:rPr>
        <w:t xml:space="preserve"> The mandatory involvement of all relevant stakeholders in the development and implementation of EPR schemes looks to address potential for anti-competitive behaviour in their operation.</w:t>
      </w:r>
      <w:r w:rsidR="00757303" w:rsidRPr="005B4339">
        <w:rPr>
          <w:noProof/>
          <w:lang w:val="en-IE"/>
        </w:rPr>
        <w:t xml:space="preserve"> </w:t>
      </w:r>
      <w:r w:rsidR="0063797B" w:rsidRPr="005B4339">
        <w:rPr>
          <w:noProof/>
          <w:lang w:val="en-IE"/>
        </w:rPr>
        <w:t>Impacts of price competitiveness are generally linked to the level of action taken by Member States to date to address textile wastes, with those Member States generally lagging behind facing the greatest price competitiveness impacts.</w:t>
      </w:r>
    </w:p>
    <w:p w14:paraId="55CDC7CD" w14:textId="7B722867" w:rsidR="00CD2D18" w:rsidRPr="005B4339" w:rsidRDefault="00E43910" w:rsidP="00CD2D18">
      <w:pPr>
        <w:rPr>
          <w:noProof/>
          <w:lang w:val="en-IE"/>
        </w:rPr>
      </w:pPr>
      <w:r w:rsidRPr="005B4339">
        <w:rPr>
          <w:b/>
          <w:noProof/>
          <w:lang w:val="en-IE"/>
        </w:rPr>
        <w:t>Dynamic competitiveness</w:t>
      </w:r>
      <w:r w:rsidRPr="005B4339">
        <w:rPr>
          <w:noProof/>
          <w:lang w:val="en-IE"/>
        </w:rPr>
        <w:t xml:space="preserve"> – The initiative generally improves dynamic competitiveness in the EU, in particular through increased research and innovation in the reuse, repair and recycling sectors directly supported by a clear funding mechanism under EPR.</w:t>
      </w:r>
      <w:r w:rsidR="00CD2D18" w:rsidRPr="005B4339">
        <w:rPr>
          <w:noProof/>
          <w:lang w:val="en-IE"/>
        </w:rPr>
        <w:t xml:space="preserve"> The initiative will simplify movements of textiles for reuse and recycling by adopting end-of-waste cri</w:t>
      </w:r>
      <w:r w:rsidR="002E5C12" w:rsidRPr="005B4339">
        <w:rPr>
          <w:noProof/>
          <w:lang w:val="en-IE"/>
        </w:rPr>
        <w:t>teria applicable across the EU.</w:t>
      </w:r>
      <w:r w:rsidR="00CD2D18" w:rsidRPr="005B4339">
        <w:rPr>
          <w:noProof/>
          <w:lang w:val="en-IE"/>
        </w:rPr>
        <w:t xml:space="preserve"> The fees raised through extended producer responsibility will feed into textile waste management including </w:t>
      </w:r>
      <w:r w:rsidR="763D275E" w:rsidRPr="005B4339">
        <w:rPr>
          <w:noProof/>
          <w:lang w:val="en-IE"/>
        </w:rPr>
        <w:t xml:space="preserve">sorting and </w:t>
      </w:r>
      <w:r w:rsidR="00CD2D18" w:rsidRPr="005B4339">
        <w:rPr>
          <w:noProof/>
          <w:lang w:val="en-IE"/>
        </w:rPr>
        <w:t>recycling infrastructure increasing the speed of innovation in this important sector whilst providing information to the public on textile waste prevention at the Member State level.</w:t>
      </w:r>
    </w:p>
    <w:p w14:paraId="5276E421" w14:textId="77777777" w:rsidR="00CD2D18" w:rsidRPr="005B4339" w:rsidRDefault="00CD2D18" w:rsidP="00CD2D18">
      <w:pPr>
        <w:rPr>
          <w:noProof/>
          <w:lang w:val="en-IE"/>
        </w:rPr>
      </w:pPr>
      <w:r w:rsidRPr="005B4339">
        <w:rPr>
          <w:b/>
          <w:noProof/>
          <w:lang w:val="en-IE"/>
        </w:rPr>
        <w:t>International competitiveness</w:t>
      </w:r>
      <w:r w:rsidRPr="005B4339">
        <w:rPr>
          <w:noProof/>
          <w:lang w:val="en-IE"/>
        </w:rPr>
        <w:t xml:space="preserve"> – No significant impacts on international competitiveness have been identified as the most significant costs apply to both goods manufactured within the EU as well as those imported into the EU.  Manufacturers of textiles in the EU would not be subject to the proposed EPR fees for their goods placed on the market outside of the EU.</w:t>
      </w:r>
    </w:p>
    <w:p w14:paraId="361AABF7" w14:textId="77777777" w:rsidR="00E43910" w:rsidRPr="005B4339" w:rsidRDefault="00E43910" w:rsidP="00E43910">
      <w:pPr>
        <w:rPr>
          <w:noProof/>
          <w:lang w:val="en-IE"/>
        </w:rPr>
      </w:pPr>
      <w:r w:rsidRPr="005B4339">
        <w:rPr>
          <w:b/>
          <w:noProof/>
          <w:lang w:val="en-IE"/>
        </w:rPr>
        <w:t>Strategic competitiveness</w:t>
      </w:r>
      <w:r w:rsidRPr="005B4339">
        <w:rPr>
          <w:noProof/>
          <w:lang w:val="en-IE"/>
        </w:rPr>
        <w:t xml:space="preserve"> – The initiative would directly support strategic competitiveness, reducing reliance on imports of textiles and textile products into the EU through increased reuse and recycling, directly replacing virgin fibres with their recycled equivalent.</w:t>
      </w:r>
    </w:p>
    <w:p w14:paraId="23683ACC" w14:textId="1C5ECC75" w:rsidR="00CD2D18" w:rsidRPr="005B4339" w:rsidRDefault="00CD2D18" w:rsidP="00CD2D18">
      <w:pPr>
        <w:rPr>
          <w:noProof/>
          <w:lang w:val="en-IE"/>
        </w:rPr>
      </w:pPr>
      <w:r w:rsidRPr="005B4339">
        <w:rPr>
          <w:b/>
          <w:noProof/>
          <w:lang w:val="en-IE"/>
        </w:rPr>
        <w:t xml:space="preserve">SME competitiveness – </w:t>
      </w:r>
      <w:r w:rsidRPr="005B4339">
        <w:rPr>
          <w:noProof/>
          <w:lang w:val="en-IE"/>
        </w:rPr>
        <w:t>The textiles industry is dominated by SMEs. The most costly aspect of the initiative – the application of EPR – would not include the majority of SMEs as micro-enterprises that comprise approximately 86% of the sector are proposed to be excluded.  The greatest knock-on consequences of their exclusion would be an increase in costs in enterprises with greater than 50 employees by approximately 11% in comparison to a situation whereby micro-enterprises would be included.  These costs are not expected to impact on competitiveness given their relatively low level.</w:t>
      </w:r>
    </w:p>
    <w:p w14:paraId="7A06B2E6" w14:textId="22B68473" w:rsidR="00FF5ABA" w:rsidRPr="005B4339" w:rsidRDefault="00FF5ABA" w:rsidP="00FF5ABA">
      <w:pPr>
        <w:pStyle w:val="Heading2"/>
        <w:ind w:left="480" w:firstLine="0"/>
        <w:rPr>
          <w:noProof/>
          <w:lang w:val="en-IE"/>
        </w:rPr>
      </w:pPr>
      <w:bookmarkStart w:id="952" w:name="_Toc1752342504"/>
      <w:bookmarkStart w:id="953" w:name="_Toc1032354977"/>
      <w:bookmarkStart w:id="954" w:name="_Toc219852707"/>
      <w:bookmarkStart w:id="955" w:name="_Toc2004734070"/>
      <w:bookmarkStart w:id="956" w:name="_Toc2108422017"/>
      <w:bookmarkStart w:id="957" w:name="_Toc1882340268"/>
      <w:bookmarkStart w:id="958" w:name="_Toc279660176"/>
      <w:bookmarkStart w:id="959" w:name="_Toc435297636"/>
      <w:bookmarkStart w:id="960" w:name="_Toc139032139"/>
      <w:r w:rsidRPr="005B4339">
        <w:rPr>
          <w:noProof/>
          <w:lang w:val="en-IE"/>
        </w:rPr>
        <w:t xml:space="preserve">Impacts on </w:t>
      </w:r>
      <w:r w:rsidR="0027156D" w:rsidRPr="005B4339">
        <w:rPr>
          <w:noProof/>
          <w:lang w:val="en-IE"/>
        </w:rPr>
        <w:t>third countries</w:t>
      </w:r>
      <w:bookmarkEnd w:id="952"/>
      <w:bookmarkEnd w:id="953"/>
      <w:bookmarkEnd w:id="954"/>
      <w:bookmarkEnd w:id="955"/>
      <w:bookmarkEnd w:id="956"/>
      <w:bookmarkEnd w:id="957"/>
      <w:bookmarkEnd w:id="958"/>
      <w:bookmarkEnd w:id="959"/>
      <w:bookmarkEnd w:id="960"/>
    </w:p>
    <w:p w14:paraId="5427C8E6" w14:textId="50FBEBEA" w:rsidR="00D35E57" w:rsidRPr="005B4339" w:rsidRDefault="00751E2B" w:rsidP="009A24E4">
      <w:pPr>
        <w:spacing w:after="120"/>
        <w:rPr>
          <w:noProof/>
          <w:lang w:val="en-IE"/>
        </w:rPr>
      </w:pPr>
      <w:r w:rsidRPr="005B4339">
        <w:rPr>
          <w:noProof/>
          <w:lang w:val="en-IE"/>
        </w:rPr>
        <w:t>The Measure on setting sorting obligations</w:t>
      </w:r>
      <w:r w:rsidR="00163621" w:rsidRPr="005B4339">
        <w:rPr>
          <w:noProof/>
          <w:lang w:val="en-IE"/>
        </w:rPr>
        <w:t xml:space="preserve"> </w:t>
      </w:r>
      <w:r w:rsidRPr="005B4339">
        <w:rPr>
          <w:noProof/>
          <w:lang w:val="en-IE"/>
        </w:rPr>
        <w:t>(</w:t>
      </w:r>
      <w:r w:rsidR="00163621" w:rsidRPr="005B4339">
        <w:rPr>
          <w:noProof/>
          <w:lang w:val="en-IE"/>
        </w:rPr>
        <w:t>2.</w:t>
      </w:r>
      <w:r w:rsidR="6A11C685" w:rsidRPr="005B4339">
        <w:rPr>
          <w:noProof/>
          <w:lang w:val="en-IE"/>
        </w:rPr>
        <w:t>5</w:t>
      </w:r>
      <w:r w:rsidRPr="005B4339">
        <w:rPr>
          <w:noProof/>
          <w:lang w:val="en-IE"/>
        </w:rPr>
        <w:t>)</w:t>
      </w:r>
      <w:r w:rsidR="0099430A" w:rsidRPr="005B4339">
        <w:rPr>
          <w:noProof/>
          <w:lang w:val="en-IE"/>
        </w:rPr>
        <w:t xml:space="preserve"> </w:t>
      </w:r>
      <w:r w:rsidRPr="005B4339">
        <w:rPr>
          <w:noProof/>
          <w:lang w:val="en-IE"/>
        </w:rPr>
        <w:t>adopting end of waste criteria (</w:t>
      </w:r>
      <w:r w:rsidR="00163621" w:rsidRPr="005B4339">
        <w:rPr>
          <w:noProof/>
          <w:lang w:val="en-IE"/>
        </w:rPr>
        <w:t>2.</w:t>
      </w:r>
      <w:r w:rsidR="19C8884C" w:rsidRPr="005B4339">
        <w:rPr>
          <w:noProof/>
          <w:lang w:val="en-IE"/>
        </w:rPr>
        <w:t>6</w:t>
      </w:r>
      <w:r w:rsidRPr="005B4339">
        <w:rPr>
          <w:noProof/>
          <w:lang w:val="en-IE"/>
        </w:rPr>
        <w:t>) and setting requirements for shipments of textiles (2.</w:t>
      </w:r>
      <w:r w:rsidR="5A6B7094" w:rsidRPr="005B4339">
        <w:rPr>
          <w:noProof/>
          <w:lang w:val="en-IE"/>
        </w:rPr>
        <w:t>8</w:t>
      </w:r>
      <w:r w:rsidRPr="005B4339">
        <w:rPr>
          <w:noProof/>
          <w:lang w:val="en-IE"/>
        </w:rPr>
        <w:t xml:space="preserve">) are linked. Their aim it to ensure that </w:t>
      </w:r>
      <w:r w:rsidR="00B374A5" w:rsidRPr="005B4339">
        <w:rPr>
          <w:noProof/>
          <w:lang w:val="en-IE"/>
        </w:rPr>
        <w:t xml:space="preserve">the </w:t>
      </w:r>
      <w:r w:rsidR="009A24E4" w:rsidRPr="005B4339">
        <w:rPr>
          <w:noProof/>
          <w:lang w:val="en-IE"/>
        </w:rPr>
        <w:t xml:space="preserve">impacts </w:t>
      </w:r>
      <w:r w:rsidR="003151E5" w:rsidRPr="005B4339">
        <w:rPr>
          <w:noProof/>
          <w:lang w:val="en-IE"/>
        </w:rPr>
        <w:t>arising</w:t>
      </w:r>
      <w:r w:rsidR="00B374A5" w:rsidRPr="005B4339">
        <w:rPr>
          <w:noProof/>
          <w:lang w:val="en-IE"/>
        </w:rPr>
        <w:t xml:space="preserve"> from illegal shipments</w:t>
      </w:r>
      <w:r w:rsidR="01CD72BD" w:rsidRPr="005B4339">
        <w:rPr>
          <w:noProof/>
          <w:lang w:val="en-IE"/>
        </w:rPr>
        <w:t>, whereby used textiles exported as used contain textile waste fractions (textiles not fit for re-use in the receiving market)</w:t>
      </w:r>
      <w:r w:rsidR="00B374A5" w:rsidRPr="005B4339">
        <w:rPr>
          <w:noProof/>
          <w:lang w:val="en-IE"/>
        </w:rPr>
        <w:t xml:space="preserve"> are reduced. </w:t>
      </w:r>
      <w:r w:rsidR="00472081" w:rsidRPr="005B4339">
        <w:rPr>
          <w:noProof/>
          <w:lang w:val="en-IE"/>
        </w:rPr>
        <w:t xml:space="preserve">Measure 2.8 sets minimum requirements for distinguishing shipments of re-usable textiles from shipments of waste textiles.  </w:t>
      </w:r>
      <w:r w:rsidR="009A24E4" w:rsidRPr="005B4339">
        <w:rPr>
          <w:noProof/>
          <w:lang w:val="en-IE"/>
        </w:rPr>
        <w:t>Measure 2.</w:t>
      </w:r>
      <w:r w:rsidR="281371C2" w:rsidRPr="005B4339">
        <w:rPr>
          <w:noProof/>
          <w:lang w:val="en-IE"/>
        </w:rPr>
        <w:t>8</w:t>
      </w:r>
      <w:r w:rsidR="009A24E4" w:rsidRPr="005B4339">
        <w:rPr>
          <w:noProof/>
          <w:lang w:val="en-IE"/>
        </w:rPr>
        <w:t xml:space="preserve"> does not restrict exports</w:t>
      </w:r>
      <w:r w:rsidR="10877A47" w:rsidRPr="005B4339">
        <w:rPr>
          <w:noProof/>
          <w:lang w:val="en-IE"/>
        </w:rPr>
        <w:t>;</w:t>
      </w:r>
      <w:r w:rsidR="0099430A" w:rsidRPr="005B4339">
        <w:rPr>
          <w:noProof/>
          <w:lang w:val="en-IE"/>
        </w:rPr>
        <w:t xml:space="preserve"> </w:t>
      </w:r>
      <w:r w:rsidR="009A24E4" w:rsidRPr="005B4339">
        <w:rPr>
          <w:noProof/>
          <w:lang w:val="en-IE"/>
        </w:rPr>
        <w:t xml:space="preserve">it </w:t>
      </w:r>
      <w:r w:rsidR="003151E5" w:rsidRPr="005B4339">
        <w:rPr>
          <w:noProof/>
          <w:lang w:val="en-IE"/>
        </w:rPr>
        <w:t xml:space="preserve">aims to </w:t>
      </w:r>
      <w:r w:rsidR="009A24E4" w:rsidRPr="005B4339">
        <w:rPr>
          <w:noProof/>
          <w:lang w:val="en-IE"/>
        </w:rPr>
        <w:t>ensure that t</w:t>
      </w:r>
      <w:r w:rsidR="00B374A5" w:rsidRPr="005B4339">
        <w:rPr>
          <w:noProof/>
          <w:lang w:val="en-IE"/>
        </w:rPr>
        <w:t xml:space="preserve">extiles exported for </w:t>
      </w:r>
      <w:r w:rsidR="00D96247" w:rsidRPr="005B4339">
        <w:rPr>
          <w:noProof/>
          <w:lang w:val="en-IE"/>
        </w:rPr>
        <w:t>reuse</w:t>
      </w:r>
      <w:r w:rsidR="00B374A5" w:rsidRPr="005B4339">
        <w:rPr>
          <w:noProof/>
          <w:lang w:val="en-IE"/>
        </w:rPr>
        <w:t xml:space="preserve"> purposes have </w:t>
      </w:r>
      <w:r w:rsidR="009A24E4" w:rsidRPr="005B4339">
        <w:rPr>
          <w:noProof/>
          <w:lang w:val="en-IE"/>
        </w:rPr>
        <w:t>u</w:t>
      </w:r>
      <w:r w:rsidR="00B374A5" w:rsidRPr="005B4339">
        <w:rPr>
          <w:noProof/>
          <w:lang w:val="en-IE"/>
        </w:rPr>
        <w:t>nde</w:t>
      </w:r>
      <w:r w:rsidR="009A24E4" w:rsidRPr="005B4339">
        <w:rPr>
          <w:noProof/>
          <w:lang w:val="en-IE"/>
        </w:rPr>
        <w:t>r</w:t>
      </w:r>
      <w:r w:rsidR="00B374A5" w:rsidRPr="005B4339">
        <w:rPr>
          <w:noProof/>
          <w:lang w:val="en-IE"/>
        </w:rPr>
        <w:t xml:space="preserve">gone sorting operations to ensure that they are </w:t>
      </w:r>
      <w:r w:rsidR="0014738B" w:rsidRPr="005B4339">
        <w:rPr>
          <w:noProof/>
          <w:lang w:val="en-IE"/>
        </w:rPr>
        <w:t>reusable</w:t>
      </w:r>
      <w:r w:rsidR="00B374A5" w:rsidRPr="005B4339">
        <w:rPr>
          <w:noProof/>
          <w:lang w:val="en-IE"/>
        </w:rPr>
        <w:t xml:space="preserve">. </w:t>
      </w:r>
      <w:r w:rsidR="002662B4" w:rsidRPr="005B4339">
        <w:rPr>
          <w:noProof/>
          <w:lang w:val="en-IE"/>
        </w:rPr>
        <w:t>With respect to unsorted textiles which are shipped as waste, sorting can take place outside</w:t>
      </w:r>
      <w:r w:rsidR="00B374A5" w:rsidRPr="005B4339">
        <w:rPr>
          <w:noProof/>
          <w:lang w:val="en-IE"/>
        </w:rPr>
        <w:t xml:space="preserve"> the EU </w:t>
      </w:r>
      <w:r w:rsidR="002662B4" w:rsidRPr="005B4339">
        <w:rPr>
          <w:noProof/>
          <w:lang w:val="en-IE"/>
        </w:rPr>
        <w:t>in accordance with the WSR if the provisions of the WSR are respected.</w:t>
      </w:r>
      <w:r w:rsidR="00B374A5" w:rsidRPr="005B4339">
        <w:rPr>
          <w:noProof/>
          <w:lang w:val="en-IE"/>
        </w:rPr>
        <w:t xml:space="preserve"> </w:t>
      </w:r>
      <w:r w:rsidR="200BA202" w:rsidRPr="005B4339">
        <w:rPr>
          <w:noProof/>
          <w:lang w:val="en-IE"/>
        </w:rPr>
        <w:t>M</w:t>
      </w:r>
      <w:r w:rsidR="2EAD367C" w:rsidRPr="005B4339">
        <w:rPr>
          <w:noProof/>
          <w:lang w:val="en-IE"/>
        </w:rPr>
        <w:t>easure 1.1</w:t>
      </w:r>
      <w:r w:rsidR="27F0A471" w:rsidRPr="005B4339">
        <w:rPr>
          <w:noProof/>
          <w:lang w:val="en-IE"/>
        </w:rPr>
        <w:t>.2</w:t>
      </w:r>
      <w:r w:rsidR="2EAD367C" w:rsidRPr="005B4339">
        <w:rPr>
          <w:noProof/>
          <w:lang w:val="en-IE"/>
        </w:rPr>
        <w:t xml:space="preserve">.1 </w:t>
      </w:r>
      <w:r w:rsidR="2F79B85E" w:rsidRPr="005B4339">
        <w:rPr>
          <w:noProof/>
          <w:lang w:val="en-IE"/>
        </w:rPr>
        <w:t>as taken up in</w:t>
      </w:r>
      <w:r w:rsidR="00E63850" w:rsidRPr="005B4339">
        <w:rPr>
          <w:noProof/>
          <w:lang w:val="en-IE"/>
        </w:rPr>
        <w:t xml:space="preserve"> measure </w:t>
      </w:r>
      <w:r w:rsidR="65CA2612" w:rsidRPr="005B4339">
        <w:rPr>
          <w:noProof/>
          <w:lang w:val="en-IE"/>
        </w:rPr>
        <w:t>2</w:t>
      </w:r>
      <w:r w:rsidR="00E63850" w:rsidRPr="005B4339">
        <w:rPr>
          <w:noProof/>
          <w:lang w:val="en-IE"/>
        </w:rPr>
        <w:t>.</w:t>
      </w:r>
      <w:r w:rsidR="3BB9098F" w:rsidRPr="005B4339">
        <w:rPr>
          <w:noProof/>
          <w:lang w:val="en-IE"/>
        </w:rPr>
        <w:t>5</w:t>
      </w:r>
      <w:r w:rsidR="2F79B85E" w:rsidRPr="005B4339">
        <w:rPr>
          <w:noProof/>
          <w:lang w:val="en-IE"/>
        </w:rPr>
        <w:t>. mandate that</w:t>
      </w:r>
      <w:r w:rsidR="00E63850" w:rsidRPr="005B4339">
        <w:rPr>
          <w:noProof/>
          <w:lang w:val="en-IE"/>
        </w:rPr>
        <w:t xml:space="preserve"> when used textiles are collected they are </w:t>
      </w:r>
      <w:r w:rsidR="6AD4732F" w:rsidRPr="005B4339">
        <w:rPr>
          <w:noProof/>
          <w:lang w:val="en-IE"/>
        </w:rPr>
        <w:t xml:space="preserve">to be regarded as </w:t>
      </w:r>
      <w:r w:rsidR="2EAD367C" w:rsidRPr="005B4339">
        <w:rPr>
          <w:noProof/>
          <w:lang w:val="en-IE"/>
        </w:rPr>
        <w:t>waste</w:t>
      </w:r>
      <w:r w:rsidR="344D2981" w:rsidRPr="005B4339">
        <w:rPr>
          <w:noProof/>
          <w:lang w:val="en-IE"/>
        </w:rPr>
        <w:t xml:space="preserve"> until they have undergone sorting </w:t>
      </w:r>
      <w:r w:rsidR="7A42898B" w:rsidRPr="005B4339">
        <w:rPr>
          <w:noProof/>
          <w:lang w:val="en-IE"/>
        </w:rPr>
        <w:t>or</w:t>
      </w:r>
      <w:r w:rsidR="344D2981" w:rsidRPr="005B4339">
        <w:rPr>
          <w:noProof/>
          <w:lang w:val="en-IE"/>
        </w:rPr>
        <w:t xml:space="preserve"> other recovery operations leading to an end of waste status</w:t>
      </w:r>
      <w:r w:rsidR="2EAD367C" w:rsidRPr="005B4339">
        <w:rPr>
          <w:noProof/>
          <w:lang w:val="en-IE"/>
        </w:rPr>
        <w:t>.</w:t>
      </w:r>
      <w:r w:rsidR="00E63850" w:rsidRPr="005B4339">
        <w:rPr>
          <w:noProof/>
          <w:lang w:val="en-IE"/>
        </w:rPr>
        <w:t xml:space="preserve"> </w:t>
      </w:r>
      <w:r w:rsidR="00397E9C" w:rsidRPr="005B4339">
        <w:rPr>
          <w:noProof/>
          <w:lang w:val="en-IE"/>
        </w:rPr>
        <w:t>Measure 2.</w:t>
      </w:r>
      <w:r w:rsidR="763FF4B4" w:rsidRPr="005B4339">
        <w:rPr>
          <w:noProof/>
          <w:lang w:val="en-IE"/>
        </w:rPr>
        <w:t>5</w:t>
      </w:r>
      <w:r w:rsidR="00397E9C" w:rsidRPr="005B4339">
        <w:rPr>
          <w:noProof/>
          <w:lang w:val="en-IE"/>
        </w:rPr>
        <w:t xml:space="preserve"> </w:t>
      </w:r>
      <w:r w:rsidR="36910750" w:rsidRPr="005B4339">
        <w:rPr>
          <w:noProof/>
          <w:lang w:val="en-IE"/>
        </w:rPr>
        <w:t>and 2.</w:t>
      </w:r>
      <w:r w:rsidR="2B44E758" w:rsidRPr="005B4339">
        <w:rPr>
          <w:noProof/>
          <w:lang w:val="en-IE"/>
        </w:rPr>
        <w:t>6</w:t>
      </w:r>
      <w:r w:rsidR="00397E9C" w:rsidRPr="005B4339">
        <w:rPr>
          <w:noProof/>
          <w:lang w:val="en-IE"/>
        </w:rPr>
        <w:t xml:space="preserve"> sets sorting obligations to separate the fraction for </w:t>
      </w:r>
      <w:r w:rsidR="00D96247" w:rsidRPr="005B4339">
        <w:rPr>
          <w:noProof/>
          <w:lang w:val="en-IE"/>
        </w:rPr>
        <w:t>reuse</w:t>
      </w:r>
      <w:r w:rsidR="0099430A" w:rsidRPr="005B4339">
        <w:rPr>
          <w:noProof/>
          <w:lang w:val="en-IE"/>
        </w:rPr>
        <w:t xml:space="preserve"> </w:t>
      </w:r>
      <w:r w:rsidR="00397E9C" w:rsidRPr="005B4339">
        <w:rPr>
          <w:noProof/>
          <w:lang w:val="en-IE"/>
        </w:rPr>
        <w:t>that can then exit the waste status</w:t>
      </w:r>
      <w:r w:rsidR="005E693C" w:rsidRPr="005B4339">
        <w:rPr>
          <w:noProof/>
          <w:lang w:val="en-IE"/>
        </w:rPr>
        <w:t>.</w:t>
      </w:r>
      <w:r w:rsidR="00397E9C" w:rsidRPr="005B4339">
        <w:rPr>
          <w:noProof/>
          <w:lang w:val="en-IE"/>
        </w:rPr>
        <w:t xml:space="preserve"> </w:t>
      </w:r>
      <w:r w:rsidR="0027156D" w:rsidRPr="005B4339">
        <w:rPr>
          <w:noProof/>
          <w:lang w:val="en-IE"/>
        </w:rPr>
        <w:t>The sorting obligation will set a number of criteria</w:t>
      </w:r>
      <w:r w:rsidR="00D0260E" w:rsidRPr="005B4339">
        <w:rPr>
          <w:noProof/>
          <w:lang w:val="en-IE"/>
        </w:rPr>
        <w:t xml:space="preserve"> </w:t>
      </w:r>
      <w:r w:rsidR="0027156D" w:rsidRPr="005B4339">
        <w:rPr>
          <w:noProof/>
          <w:lang w:val="en-IE"/>
        </w:rPr>
        <w:t xml:space="preserve">to ensure that the textiles that are exported are </w:t>
      </w:r>
      <w:r w:rsidR="0014738B" w:rsidRPr="005B4339">
        <w:rPr>
          <w:noProof/>
          <w:lang w:val="en-IE"/>
        </w:rPr>
        <w:t>reusable</w:t>
      </w:r>
      <w:r w:rsidR="0027156D" w:rsidRPr="005B4339">
        <w:rPr>
          <w:noProof/>
          <w:lang w:val="en-IE"/>
        </w:rPr>
        <w:t xml:space="preserve"> as much as possible. </w:t>
      </w:r>
      <w:r w:rsidR="00B374A5" w:rsidRPr="005B4339">
        <w:rPr>
          <w:noProof/>
          <w:lang w:val="en-IE"/>
        </w:rPr>
        <w:t xml:space="preserve">Textiles that would remain unsorted can still be exported but would have to be exported as waste </w:t>
      </w:r>
      <w:r w:rsidR="3BACD7A6" w:rsidRPr="005B4339">
        <w:rPr>
          <w:noProof/>
          <w:lang w:val="en-IE"/>
        </w:rPr>
        <w:t xml:space="preserve">in accordance with </w:t>
      </w:r>
      <w:r w:rsidR="00B374A5" w:rsidRPr="005B4339">
        <w:rPr>
          <w:noProof/>
          <w:lang w:val="en-IE"/>
        </w:rPr>
        <w:t xml:space="preserve">the requirements of the </w:t>
      </w:r>
      <w:r w:rsidR="609B154E" w:rsidRPr="005B4339">
        <w:rPr>
          <w:noProof/>
          <w:lang w:val="en-IE"/>
        </w:rPr>
        <w:t>W</w:t>
      </w:r>
      <w:r w:rsidR="5962AD63" w:rsidRPr="005B4339">
        <w:rPr>
          <w:noProof/>
          <w:lang w:val="en-IE"/>
        </w:rPr>
        <w:t xml:space="preserve">aste </w:t>
      </w:r>
      <w:r w:rsidR="609B154E" w:rsidRPr="005B4339">
        <w:rPr>
          <w:noProof/>
          <w:lang w:val="en-IE"/>
        </w:rPr>
        <w:t>S</w:t>
      </w:r>
      <w:r w:rsidR="04C348E5" w:rsidRPr="005B4339">
        <w:rPr>
          <w:noProof/>
          <w:lang w:val="en-IE"/>
        </w:rPr>
        <w:t xml:space="preserve">hipment </w:t>
      </w:r>
      <w:r w:rsidR="609B154E" w:rsidRPr="005B4339">
        <w:rPr>
          <w:noProof/>
          <w:lang w:val="en-IE"/>
        </w:rPr>
        <w:t>R</w:t>
      </w:r>
      <w:r w:rsidR="3EC1A3C4" w:rsidRPr="005B4339">
        <w:rPr>
          <w:noProof/>
          <w:lang w:val="en-IE"/>
        </w:rPr>
        <w:t xml:space="preserve">egulation (which include </w:t>
      </w:r>
      <w:r w:rsidR="701D0E36" w:rsidRPr="005B4339">
        <w:rPr>
          <w:noProof/>
          <w:lang w:val="en-IE"/>
        </w:rPr>
        <w:t xml:space="preserve">different </w:t>
      </w:r>
      <w:r w:rsidR="00B374A5" w:rsidRPr="005B4339">
        <w:rPr>
          <w:noProof/>
          <w:lang w:val="en-IE"/>
        </w:rPr>
        <w:t xml:space="preserve">requirements </w:t>
      </w:r>
      <w:r w:rsidR="701D0E36" w:rsidRPr="005B4339">
        <w:rPr>
          <w:noProof/>
          <w:lang w:val="en-IE"/>
        </w:rPr>
        <w:t>for</w:t>
      </w:r>
      <w:r w:rsidR="00B374A5" w:rsidRPr="005B4339">
        <w:rPr>
          <w:noProof/>
          <w:lang w:val="en-IE"/>
        </w:rPr>
        <w:t xml:space="preserve"> textile </w:t>
      </w:r>
      <w:r w:rsidR="003151E5" w:rsidRPr="005B4339">
        <w:rPr>
          <w:noProof/>
          <w:lang w:val="en-IE"/>
        </w:rPr>
        <w:t>waste</w:t>
      </w:r>
      <w:r w:rsidR="00B374A5" w:rsidRPr="005B4339">
        <w:rPr>
          <w:noProof/>
          <w:lang w:val="en-IE"/>
        </w:rPr>
        <w:t xml:space="preserve"> exported to OECD or non-OECD countries</w:t>
      </w:r>
      <w:r w:rsidR="701D0E36" w:rsidRPr="005B4339">
        <w:rPr>
          <w:noProof/>
          <w:lang w:val="en-IE"/>
        </w:rPr>
        <w:t xml:space="preserve"> and textile waste exported for recovery or disposal) </w:t>
      </w:r>
      <w:r w:rsidR="3EC1A3C4" w:rsidRPr="005B4339">
        <w:rPr>
          <w:noProof/>
          <w:lang w:val="en-IE"/>
        </w:rPr>
        <w:t>which ensures that waste is exported to countries that may ensure sound management of waste</w:t>
      </w:r>
      <w:r w:rsidR="609B154E" w:rsidRPr="005B4339">
        <w:rPr>
          <w:noProof/>
          <w:lang w:val="en-IE"/>
        </w:rPr>
        <w:t>.</w:t>
      </w:r>
    </w:p>
    <w:p w14:paraId="356801D8" w14:textId="5426C052" w:rsidR="003371E1" w:rsidRPr="005B4339" w:rsidRDefault="0027156D" w:rsidP="00D35E57">
      <w:pPr>
        <w:spacing w:after="120"/>
        <w:rPr>
          <w:noProof/>
          <w:lang w:val="en-IE"/>
        </w:rPr>
      </w:pPr>
      <w:r w:rsidRPr="005B4339">
        <w:rPr>
          <w:noProof/>
          <w:lang w:val="en-IE"/>
        </w:rPr>
        <w:t>The</w:t>
      </w:r>
      <w:r w:rsidR="00D35E57" w:rsidRPr="005B4339">
        <w:rPr>
          <w:noProof/>
          <w:lang w:val="en-IE"/>
        </w:rPr>
        <w:t xml:space="preserve"> preferred option </w:t>
      </w:r>
      <w:r w:rsidRPr="005B4339">
        <w:rPr>
          <w:noProof/>
          <w:lang w:val="en-IE"/>
        </w:rPr>
        <w:t>ensure</w:t>
      </w:r>
      <w:r w:rsidR="00D35E57" w:rsidRPr="005B4339">
        <w:rPr>
          <w:noProof/>
          <w:lang w:val="en-IE"/>
        </w:rPr>
        <w:t>s</w:t>
      </w:r>
      <w:r w:rsidRPr="005B4339">
        <w:rPr>
          <w:noProof/>
          <w:lang w:val="en-IE"/>
        </w:rPr>
        <w:t xml:space="preserve"> that textile</w:t>
      </w:r>
      <w:r w:rsidR="00205E58" w:rsidRPr="005B4339">
        <w:rPr>
          <w:noProof/>
          <w:lang w:val="en-IE"/>
        </w:rPr>
        <w:t xml:space="preserve">s are exported according to their verified status, </w:t>
      </w:r>
      <w:r w:rsidR="0014738B" w:rsidRPr="005B4339">
        <w:rPr>
          <w:noProof/>
          <w:lang w:val="en-IE"/>
        </w:rPr>
        <w:t>reusable</w:t>
      </w:r>
      <w:r w:rsidR="00205E58" w:rsidRPr="005B4339">
        <w:rPr>
          <w:noProof/>
          <w:lang w:val="en-IE"/>
        </w:rPr>
        <w:t xml:space="preserve"> versus waste</w:t>
      </w:r>
      <w:r w:rsidRPr="005B4339">
        <w:rPr>
          <w:noProof/>
          <w:lang w:val="en-IE"/>
        </w:rPr>
        <w:t xml:space="preserve"> without imposing any trade restrictions.</w:t>
      </w:r>
      <w:r w:rsidR="00D35E57" w:rsidRPr="005B4339">
        <w:rPr>
          <w:noProof/>
          <w:lang w:val="en-IE"/>
        </w:rPr>
        <w:t xml:space="preserve"> </w:t>
      </w:r>
      <w:r w:rsidR="00456464" w:rsidRPr="005B4339">
        <w:rPr>
          <w:noProof/>
          <w:lang w:val="en-IE"/>
        </w:rPr>
        <w:t xml:space="preserve">The measures is therefore the least trade restrictive necessary to achieve the environmental objectives of the measure. </w:t>
      </w:r>
      <w:r w:rsidR="00791049" w:rsidRPr="005B4339">
        <w:rPr>
          <w:noProof/>
          <w:lang w:val="en-IE"/>
        </w:rPr>
        <w:t>In 2021, t</w:t>
      </w:r>
      <w:r w:rsidR="00D35E57" w:rsidRPr="005B4339">
        <w:rPr>
          <w:noProof/>
          <w:lang w:val="en-IE"/>
        </w:rPr>
        <w:t xml:space="preserve">he countries importing most of the textiles exported from the EU </w:t>
      </w:r>
      <w:r w:rsidR="00791049" w:rsidRPr="005B4339">
        <w:rPr>
          <w:noProof/>
          <w:lang w:val="en-IE"/>
        </w:rPr>
        <w:t>were</w:t>
      </w:r>
      <w:r w:rsidR="00D35E57" w:rsidRPr="005B4339">
        <w:rPr>
          <w:noProof/>
          <w:lang w:val="en-IE"/>
        </w:rPr>
        <w:t xml:space="preserve"> Pakistan, </w:t>
      </w:r>
      <w:r w:rsidR="00791049" w:rsidRPr="005B4339">
        <w:rPr>
          <w:noProof/>
          <w:lang w:val="en-IE"/>
        </w:rPr>
        <w:t xml:space="preserve">the United Arab Emirates, </w:t>
      </w:r>
      <w:r w:rsidR="00D35E57" w:rsidRPr="005B4339">
        <w:rPr>
          <w:noProof/>
          <w:lang w:val="en-IE"/>
        </w:rPr>
        <w:t xml:space="preserve">Tunisia, </w:t>
      </w:r>
      <w:r w:rsidR="00791049" w:rsidRPr="005B4339">
        <w:rPr>
          <w:noProof/>
          <w:lang w:val="en-IE"/>
        </w:rPr>
        <w:t>Cameroon, Turkey and Togo. These countries may import these textiles and then dispatch them to other countries in the region, there is no information in that respect.</w:t>
      </w:r>
      <w:r w:rsidR="00C81E51" w:rsidRPr="005B4339">
        <w:rPr>
          <w:noProof/>
          <w:lang w:val="en-IE"/>
        </w:rPr>
        <w:t xml:space="preserve"> Of these only Turkey is an OECD member country.</w:t>
      </w:r>
      <w:r w:rsidR="00E953B8" w:rsidRPr="005B4339">
        <w:rPr>
          <w:noProof/>
          <w:lang w:val="en-IE"/>
        </w:rPr>
        <w:t xml:space="preserve"> </w:t>
      </w:r>
      <w:r w:rsidR="009E1990" w:rsidRPr="005B4339">
        <w:rPr>
          <w:noProof/>
          <w:lang w:val="en-IE"/>
        </w:rPr>
        <w:t>To export to n</w:t>
      </w:r>
      <w:r w:rsidR="00E953B8" w:rsidRPr="005B4339">
        <w:rPr>
          <w:noProof/>
          <w:lang w:val="en-IE"/>
        </w:rPr>
        <w:t>on</w:t>
      </w:r>
      <w:r w:rsidR="006D5947" w:rsidRPr="005B4339">
        <w:rPr>
          <w:noProof/>
          <w:lang w:val="en-IE"/>
        </w:rPr>
        <w:t>-</w:t>
      </w:r>
      <w:r w:rsidR="00E953B8" w:rsidRPr="005B4339">
        <w:rPr>
          <w:noProof/>
          <w:lang w:val="en-IE"/>
        </w:rPr>
        <w:t>OECD</w:t>
      </w:r>
      <w:r w:rsidR="009E1990" w:rsidRPr="005B4339">
        <w:rPr>
          <w:noProof/>
          <w:lang w:val="en-IE"/>
        </w:rPr>
        <w:t xml:space="preserve">, traders will have to either export the textiles as </w:t>
      </w:r>
      <w:r w:rsidR="0014738B" w:rsidRPr="005B4339">
        <w:rPr>
          <w:noProof/>
          <w:lang w:val="en-IE"/>
        </w:rPr>
        <w:t>reusable</w:t>
      </w:r>
      <w:r w:rsidR="009E1990" w:rsidRPr="005B4339">
        <w:rPr>
          <w:noProof/>
          <w:lang w:val="en-IE"/>
        </w:rPr>
        <w:t xml:space="preserve"> (and hence having </w:t>
      </w:r>
      <w:r w:rsidR="006D5947" w:rsidRPr="005B4339">
        <w:rPr>
          <w:noProof/>
          <w:lang w:val="en-IE"/>
        </w:rPr>
        <w:t>undergone prior sorting according to measure</w:t>
      </w:r>
      <w:r w:rsidR="003371E1" w:rsidRPr="005B4339">
        <w:rPr>
          <w:noProof/>
          <w:lang w:val="en-IE"/>
        </w:rPr>
        <w:t xml:space="preserve"> 2.</w:t>
      </w:r>
      <w:r w:rsidR="14D0C9F3" w:rsidRPr="005B4339">
        <w:rPr>
          <w:noProof/>
          <w:lang w:val="en-IE"/>
        </w:rPr>
        <w:t>5</w:t>
      </w:r>
      <w:r w:rsidR="009E1990" w:rsidRPr="005B4339">
        <w:rPr>
          <w:noProof/>
          <w:lang w:val="en-IE"/>
        </w:rPr>
        <w:t>) or</w:t>
      </w:r>
      <w:r w:rsidR="00E953B8" w:rsidRPr="005B4339">
        <w:rPr>
          <w:noProof/>
          <w:lang w:val="en-IE"/>
        </w:rPr>
        <w:t xml:space="preserve"> </w:t>
      </w:r>
      <w:r w:rsidR="003371E1" w:rsidRPr="005B4339">
        <w:rPr>
          <w:noProof/>
          <w:lang w:val="en-IE"/>
        </w:rPr>
        <w:t xml:space="preserve">as waste. </w:t>
      </w:r>
    </w:p>
    <w:p w14:paraId="375198C7" w14:textId="68BD1F24" w:rsidR="00205E58" w:rsidRPr="005B4339" w:rsidRDefault="00205E58" w:rsidP="00D35E57">
      <w:pPr>
        <w:spacing w:after="120"/>
        <w:rPr>
          <w:noProof/>
          <w:lang w:val="en-IE"/>
        </w:rPr>
      </w:pPr>
      <w:r w:rsidRPr="005B4339">
        <w:rPr>
          <w:noProof/>
          <w:lang w:val="en-IE"/>
        </w:rPr>
        <w:t xml:space="preserve">In the case of </w:t>
      </w:r>
      <w:r w:rsidR="0014738B" w:rsidRPr="005B4339">
        <w:rPr>
          <w:noProof/>
          <w:lang w:val="en-IE"/>
        </w:rPr>
        <w:t>reusable</w:t>
      </w:r>
      <w:r w:rsidRPr="005B4339">
        <w:rPr>
          <w:noProof/>
          <w:lang w:val="en-IE"/>
        </w:rPr>
        <w:t xml:space="preserve"> textiles, </w:t>
      </w:r>
      <w:r w:rsidR="00EB6644" w:rsidRPr="005B4339">
        <w:rPr>
          <w:noProof/>
          <w:lang w:val="en-IE"/>
        </w:rPr>
        <w:t xml:space="preserve">there may be an impact on importers who may </w:t>
      </w:r>
      <w:r w:rsidR="006B149D" w:rsidRPr="005B4339">
        <w:rPr>
          <w:noProof/>
          <w:lang w:val="en-IE"/>
        </w:rPr>
        <w:t xml:space="preserve">receive less volumes of textiles as they have been better sorted and potentially </w:t>
      </w:r>
      <w:r w:rsidR="00D96247" w:rsidRPr="005B4339">
        <w:rPr>
          <w:noProof/>
          <w:lang w:val="en-IE"/>
        </w:rPr>
        <w:t>reuse</w:t>
      </w:r>
      <w:r w:rsidR="006B149D" w:rsidRPr="005B4339">
        <w:rPr>
          <w:noProof/>
          <w:lang w:val="en-IE"/>
        </w:rPr>
        <w:t xml:space="preserve"> more in the EU. However, they would also get lower shares of waste in the imported bales, reducing the preparation for </w:t>
      </w:r>
      <w:r w:rsidR="00D96247" w:rsidRPr="005B4339">
        <w:rPr>
          <w:noProof/>
          <w:lang w:val="en-IE"/>
        </w:rPr>
        <w:t>reuse</w:t>
      </w:r>
      <w:r w:rsidR="006B149D" w:rsidRPr="005B4339">
        <w:rPr>
          <w:noProof/>
          <w:lang w:val="en-IE"/>
        </w:rPr>
        <w:t xml:space="preserve"> and waste management costs</w:t>
      </w:r>
      <w:r w:rsidR="00B5509D" w:rsidRPr="005B4339">
        <w:rPr>
          <w:noProof/>
          <w:lang w:val="en-IE"/>
        </w:rPr>
        <w:t xml:space="preserve"> and reducing the </w:t>
      </w:r>
      <w:r w:rsidR="005F6777" w:rsidRPr="005B4339">
        <w:rPr>
          <w:noProof/>
          <w:lang w:val="en-IE"/>
        </w:rPr>
        <w:t>administrative</w:t>
      </w:r>
      <w:r w:rsidR="00B5509D" w:rsidRPr="005B4339">
        <w:rPr>
          <w:noProof/>
          <w:lang w:val="en-IE"/>
        </w:rPr>
        <w:t xml:space="preserve"> burden on </w:t>
      </w:r>
      <w:r w:rsidR="002F360A" w:rsidRPr="005B4339">
        <w:rPr>
          <w:noProof/>
          <w:lang w:val="en-IE"/>
        </w:rPr>
        <w:t>the enforcement of illegal shipments</w:t>
      </w:r>
      <w:r w:rsidR="006B149D" w:rsidRPr="005B4339">
        <w:rPr>
          <w:noProof/>
          <w:lang w:val="en-IE"/>
        </w:rPr>
        <w:t xml:space="preserve">. In addition, received less waste will have a positive environmental impact by reducing the textiles that end up burned or dumped </w:t>
      </w:r>
      <w:r w:rsidR="00786741" w:rsidRPr="005B4339">
        <w:rPr>
          <w:noProof/>
          <w:lang w:val="en-IE"/>
        </w:rPr>
        <w:t>where there is</w:t>
      </w:r>
      <w:r w:rsidR="00177C6E" w:rsidRPr="005B4339">
        <w:rPr>
          <w:noProof/>
          <w:lang w:val="en-IE"/>
        </w:rPr>
        <w:t xml:space="preserve"> a lack of </w:t>
      </w:r>
      <w:r w:rsidR="00F453A5" w:rsidRPr="005B4339">
        <w:rPr>
          <w:noProof/>
          <w:lang w:val="en-IE"/>
        </w:rPr>
        <w:t>appropriate waste management infrastructure</w:t>
      </w:r>
      <w:r w:rsidR="00EB6644" w:rsidRPr="005B4339">
        <w:rPr>
          <w:noProof/>
          <w:lang w:val="en-IE"/>
        </w:rPr>
        <w:t>.</w:t>
      </w:r>
      <w:r w:rsidR="00AE2D5F" w:rsidRPr="005B4339">
        <w:rPr>
          <w:noProof/>
          <w:lang w:val="en-IE"/>
        </w:rPr>
        <w:t xml:space="preserve"> Measure </w:t>
      </w:r>
      <w:r w:rsidR="00677A80" w:rsidRPr="005B4339">
        <w:rPr>
          <w:noProof/>
          <w:lang w:val="en-IE"/>
        </w:rPr>
        <w:t>2.</w:t>
      </w:r>
      <w:r w:rsidR="50442F22" w:rsidRPr="005B4339">
        <w:rPr>
          <w:noProof/>
          <w:lang w:val="en-IE"/>
        </w:rPr>
        <w:t>5</w:t>
      </w:r>
      <w:r w:rsidR="00677A80" w:rsidRPr="005B4339">
        <w:rPr>
          <w:noProof/>
          <w:lang w:val="en-IE"/>
        </w:rPr>
        <w:t xml:space="preserve"> on setting sorting requirements also requires sorte</w:t>
      </w:r>
      <w:r w:rsidR="006A3A2D" w:rsidRPr="005B4339">
        <w:rPr>
          <w:noProof/>
          <w:lang w:val="en-IE"/>
        </w:rPr>
        <w:t>r</w:t>
      </w:r>
      <w:r w:rsidR="00677A80" w:rsidRPr="005B4339">
        <w:rPr>
          <w:noProof/>
          <w:lang w:val="en-IE"/>
        </w:rPr>
        <w:t xml:space="preserve">s to collect information on the fate of the textiles exported for </w:t>
      </w:r>
      <w:r w:rsidR="00D96247" w:rsidRPr="005B4339">
        <w:rPr>
          <w:noProof/>
          <w:lang w:val="en-IE"/>
        </w:rPr>
        <w:t>reuse</w:t>
      </w:r>
      <w:r w:rsidR="00677A80" w:rsidRPr="005B4339">
        <w:rPr>
          <w:noProof/>
          <w:lang w:val="en-IE"/>
        </w:rPr>
        <w:t>.</w:t>
      </w:r>
      <w:r w:rsidR="007272B4" w:rsidRPr="005B4339">
        <w:rPr>
          <w:rFonts w:eastAsia="Times New Roman"/>
          <w:noProof/>
          <w:lang w:val="en-IE"/>
        </w:rPr>
        <w:t xml:space="preserve"> Local </w:t>
      </w:r>
      <w:r w:rsidR="00D96247" w:rsidRPr="005B4339">
        <w:rPr>
          <w:rFonts w:eastAsia="Times New Roman"/>
          <w:noProof/>
          <w:lang w:val="en-IE"/>
        </w:rPr>
        <w:t>reuse</w:t>
      </w:r>
      <w:r w:rsidR="007272B4" w:rsidRPr="005B4339">
        <w:rPr>
          <w:rFonts w:eastAsia="Times New Roman"/>
          <w:noProof/>
          <w:lang w:val="en-IE"/>
        </w:rPr>
        <w:t xml:space="preserve"> actors and NGOs are the best placed actors to </w:t>
      </w:r>
      <w:r w:rsidR="00B87234" w:rsidRPr="005B4339">
        <w:rPr>
          <w:rFonts w:eastAsia="Times New Roman"/>
          <w:noProof/>
          <w:lang w:val="en-IE"/>
        </w:rPr>
        <w:t xml:space="preserve">assist the sorting operators in data collection in third countries to </w:t>
      </w:r>
      <w:r w:rsidR="007272B4" w:rsidRPr="005B4339">
        <w:rPr>
          <w:rFonts w:eastAsia="Times New Roman"/>
          <w:noProof/>
          <w:lang w:val="en-IE"/>
        </w:rPr>
        <w:t xml:space="preserve">provide </w:t>
      </w:r>
      <w:r w:rsidR="00B87234" w:rsidRPr="005B4339">
        <w:rPr>
          <w:rFonts w:eastAsia="Times New Roman"/>
          <w:noProof/>
          <w:lang w:val="en-IE"/>
        </w:rPr>
        <w:t xml:space="preserve">the required </w:t>
      </w:r>
      <w:r w:rsidR="007272B4" w:rsidRPr="005B4339">
        <w:rPr>
          <w:rFonts w:eastAsia="Times New Roman"/>
          <w:noProof/>
          <w:lang w:val="en-IE"/>
        </w:rPr>
        <w:t>information</w:t>
      </w:r>
      <w:r w:rsidR="00B87234" w:rsidRPr="005B4339">
        <w:rPr>
          <w:rFonts w:eastAsia="Times New Roman"/>
          <w:noProof/>
          <w:lang w:val="en-IE"/>
        </w:rPr>
        <w:t>.</w:t>
      </w:r>
      <w:r w:rsidR="006A3A2D" w:rsidRPr="005B4339">
        <w:rPr>
          <w:rFonts w:eastAsia="Times New Roman"/>
          <w:noProof/>
          <w:lang w:val="en-IE"/>
        </w:rPr>
        <w:t xml:space="preserve"> This will create new </w:t>
      </w:r>
      <w:r w:rsidR="00056313" w:rsidRPr="005B4339">
        <w:rPr>
          <w:rFonts w:eastAsia="Times New Roman"/>
          <w:noProof/>
          <w:lang w:val="en-IE"/>
        </w:rPr>
        <w:t xml:space="preserve">business opportunities for </w:t>
      </w:r>
      <w:r w:rsidR="006A3A2D" w:rsidRPr="005B4339">
        <w:rPr>
          <w:rFonts w:eastAsia="Times New Roman"/>
          <w:noProof/>
          <w:lang w:val="en-IE"/>
        </w:rPr>
        <w:t xml:space="preserve">local third country textile </w:t>
      </w:r>
      <w:r w:rsidR="00D96247" w:rsidRPr="005B4339">
        <w:rPr>
          <w:rFonts w:eastAsia="Times New Roman"/>
          <w:noProof/>
          <w:lang w:val="en-IE"/>
        </w:rPr>
        <w:t>reuse</w:t>
      </w:r>
      <w:r w:rsidR="006A3A2D" w:rsidRPr="005B4339">
        <w:rPr>
          <w:rFonts w:eastAsia="Times New Roman"/>
          <w:noProof/>
          <w:lang w:val="en-IE"/>
        </w:rPr>
        <w:t xml:space="preserve"> actors.</w:t>
      </w:r>
    </w:p>
    <w:p w14:paraId="341EC0B2" w14:textId="3564E4E1" w:rsidR="009A24E4" w:rsidRPr="005B4339" w:rsidRDefault="003371E1" w:rsidP="00D35E57">
      <w:pPr>
        <w:spacing w:after="120"/>
        <w:rPr>
          <w:noProof/>
          <w:lang w:val="en-IE"/>
        </w:rPr>
      </w:pPr>
      <w:r w:rsidRPr="005B4339">
        <w:rPr>
          <w:noProof/>
          <w:lang w:val="en-IE"/>
        </w:rPr>
        <w:t>In the case</w:t>
      </w:r>
      <w:r w:rsidR="00F453A5" w:rsidRPr="005B4339">
        <w:rPr>
          <w:noProof/>
          <w:lang w:val="en-IE"/>
        </w:rPr>
        <w:t xml:space="preserve"> of textile waste</w:t>
      </w:r>
      <w:r w:rsidRPr="005B4339">
        <w:rPr>
          <w:noProof/>
          <w:lang w:val="en-IE"/>
        </w:rPr>
        <w:t xml:space="preserve">, according to the proposal for a WSR, export to non-OECD </w:t>
      </w:r>
      <w:r w:rsidR="00E953B8" w:rsidRPr="005B4339">
        <w:rPr>
          <w:noProof/>
          <w:lang w:val="en-IE"/>
        </w:rPr>
        <w:t xml:space="preserve">member countries </w:t>
      </w:r>
      <w:r w:rsidRPr="005B4339">
        <w:rPr>
          <w:noProof/>
          <w:lang w:val="en-IE"/>
        </w:rPr>
        <w:t>will only be possible if the third country demonstrates its ability to treat waste in an environmentally sound manner.</w:t>
      </w:r>
      <w:r w:rsidR="00F453A5" w:rsidRPr="005B4339">
        <w:rPr>
          <w:noProof/>
          <w:lang w:val="en-IE"/>
        </w:rPr>
        <w:t xml:space="preserve"> This will reduce the amount of textile waste exported to </w:t>
      </w:r>
      <w:r w:rsidR="002D1122" w:rsidRPr="005B4339">
        <w:rPr>
          <w:noProof/>
          <w:lang w:val="en-IE"/>
        </w:rPr>
        <w:t>where it can be managed in an environmentally sound manner</w:t>
      </w:r>
      <w:r w:rsidR="00E67CBD" w:rsidRPr="005B4339">
        <w:rPr>
          <w:noProof/>
          <w:lang w:val="en-IE"/>
        </w:rPr>
        <w:t>.</w:t>
      </w:r>
      <w:r w:rsidR="00F453A5" w:rsidRPr="005B4339">
        <w:rPr>
          <w:noProof/>
          <w:lang w:val="en-IE"/>
        </w:rPr>
        <w:t xml:space="preserve"> </w:t>
      </w:r>
    </w:p>
    <w:p w14:paraId="23855BBE" w14:textId="0D59903C" w:rsidR="006A368C" w:rsidRPr="005B4339" w:rsidRDefault="00E6674F" w:rsidP="00E6674F">
      <w:pPr>
        <w:spacing w:after="120"/>
        <w:rPr>
          <w:rFonts w:eastAsia="Times New Roman"/>
          <w:noProof/>
          <w:lang w:val="en-IE"/>
        </w:rPr>
      </w:pPr>
      <w:r w:rsidRPr="005B4339">
        <w:rPr>
          <w:noProof/>
          <w:lang w:val="en-IE"/>
        </w:rPr>
        <w:t>There is also an impact on companies importing new textiles in the EU as they will be subject to the EPR rules (measure 2.</w:t>
      </w:r>
      <w:r w:rsidR="5AD0FF7A" w:rsidRPr="005B4339">
        <w:rPr>
          <w:noProof/>
          <w:lang w:val="en-IE"/>
        </w:rPr>
        <w:t>9</w:t>
      </w:r>
      <w:r w:rsidRPr="005B4339">
        <w:rPr>
          <w:noProof/>
          <w:lang w:val="en-IE"/>
        </w:rPr>
        <w:t>)</w:t>
      </w:r>
      <w:r w:rsidR="0D574370" w:rsidRPr="005B4339">
        <w:rPr>
          <w:noProof/>
          <w:lang w:val="en-IE"/>
        </w:rPr>
        <w:t xml:space="preserve"> as are the producers in the EU</w:t>
      </w:r>
      <w:r w:rsidR="23C38061" w:rsidRPr="005B4339">
        <w:rPr>
          <w:noProof/>
          <w:lang w:val="en-IE"/>
        </w:rPr>
        <w:t xml:space="preserve"> (to the extent that they are not exempt as micro-enterprises)</w:t>
      </w:r>
      <w:r w:rsidRPr="005B4339">
        <w:rPr>
          <w:noProof/>
          <w:lang w:val="en-IE"/>
        </w:rPr>
        <w:t>.</w:t>
      </w:r>
      <w:r w:rsidR="4A998427" w:rsidRPr="005B4339">
        <w:rPr>
          <w:noProof/>
          <w:lang w:val="en-IE"/>
        </w:rPr>
        <w:t xml:space="preserve"> </w:t>
      </w:r>
      <w:r w:rsidR="4A998427" w:rsidRPr="005B4339">
        <w:rPr>
          <w:rFonts w:eastAsia="Times New Roman"/>
          <w:noProof/>
          <w:lang w:val="en-IE"/>
        </w:rPr>
        <w:t xml:space="preserve">This mainly concerns producers in China which represents over one third of </w:t>
      </w:r>
      <w:r w:rsidR="749F3B29" w:rsidRPr="005B4339">
        <w:rPr>
          <w:rFonts w:eastAsia="Times New Roman"/>
          <w:noProof/>
          <w:lang w:val="en-IE"/>
        </w:rPr>
        <w:t>finished textiles and clothing imports to the EU markets (includes fashion and clothing, furnishing and home, and industrial and technical). EU is the second largest producer of textiles consumed in the EU and following that there are a number of other Asian countries.</w:t>
      </w:r>
      <w:r w:rsidRPr="005B4339">
        <w:rPr>
          <w:rFonts w:eastAsia="Times New Roman"/>
          <w:noProof/>
          <w:lang w:val="en-IE"/>
        </w:rPr>
        <w:t xml:space="preserve"> </w:t>
      </w:r>
      <w:r w:rsidR="00CE61F0" w:rsidRPr="005B4339">
        <w:rPr>
          <w:rFonts w:eastAsia="Times New Roman"/>
          <w:noProof/>
          <w:lang w:val="en-IE"/>
        </w:rPr>
        <w:t xml:space="preserve"> </w:t>
      </w:r>
    </w:p>
    <w:p w14:paraId="73EFFD7D" w14:textId="632CFE54" w:rsidR="006A368C" w:rsidRPr="005B4339" w:rsidRDefault="009967AE" w:rsidP="009967AE">
      <w:pPr>
        <w:pStyle w:val="Heading2"/>
        <w:rPr>
          <w:noProof/>
          <w:lang w:val="en-IE"/>
        </w:rPr>
      </w:pPr>
      <w:bookmarkStart w:id="961" w:name="_Toc1909036362"/>
      <w:bookmarkStart w:id="962" w:name="_Toc1657650451"/>
      <w:bookmarkStart w:id="963" w:name="_Toc2132547782"/>
      <w:bookmarkStart w:id="964" w:name="_Toc173409291"/>
      <w:bookmarkStart w:id="965" w:name="_Toc1062202184"/>
      <w:bookmarkStart w:id="966" w:name="_Toc1399689129"/>
      <w:bookmarkStart w:id="967" w:name="_Toc1382069431"/>
      <w:bookmarkStart w:id="968" w:name="_Toc786198349"/>
      <w:bookmarkStart w:id="969" w:name="_Toc139032140"/>
      <w:r w:rsidRPr="009967AE">
        <w:t>2-</w:t>
      </w:r>
      <w:r w:rsidRPr="009967AE">
        <w:tab/>
      </w:r>
      <w:r w:rsidR="006A368C" w:rsidRPr="005B4339">
        <w:rPr>
          <w:noProof/>
          <w:lang w:val="en-IE"/>
        </w:rPr>
        <w:t>Food Waste</w:t>
      </w:r>
      <w:bookmarkEnd w:id="961"/>
      <w:bookmarkEnd w:id="962"/>
      <w:bookmarkEnd w:id="963"/>
      <w:bookmarkEnd w:id="964"/>
      <w:bookmarkEnd w:id="965"/>
      <w:bookmarkEnd w:id="966"/>
      <w:bookmarkEnd w:id="967"/>
      <w:bookmarkEnd w:id="968"/>
      <w:bookmarkEnd w:id="969"/>
    </w:p>
    <w:p w14:paraId="5D45A873" w14:textId="30070053" w:rsidR="00E21C6C" w:rsidRPr="005B4339" w:rsidRDefault="006A368C" w:rsidP="00BA3ECF">
      <w:pPr>
        <w:spacing w:after="200" w:line="276" w:lineRule="auto"/>
        <w:rPr>
          <w:noProof/>
          <w:lang w:val="en-IE"/>
        </w:rPr>
      </w:pPr>
      <w:r w:rsidRPr="005B4339">
        <w:rPr>
          <w:noProof/>
          <w:lang w:val="en-IE"/>
        </w:rPr>
        <w:t>The preferred option for the food waste part would be the option 2</w:t>
      </w:r>
      <w:r w:rsidR="00BA3ECF" w:rsidRPr="005B4339">
        <w:rPr>
          <w:noProof/>
          <w:lang w:val="en-IE"/>
        </w:rPr>
        <w:t xml:space="preserve"> which </w:t>
      </w:r>
      <w:r w:rsidR="00E21C6C" w:rsidRPr="005B4339">
        <w:rPr>
          <w:noProof/>
          <w:lang w:val="en-IE"/>
        </w:rPr>
        <w:t xml:space="preserve">considers </w:t>
      </w:r>
      <w:r w:rsidR="0083343D" w:rsidRPr="005B4339">
        <w:rPr>
          <w:noProof/>
          <w:lang w:val="en-IE"/>
        </w:rPr>
        <w:t xml:space="preserve">the </w:t>
      </w:r>
      <w:r w:rsidR="00E21C6C" w:rsidRPr="005B4339">
        <w:rPr>
          <w:noProof/>
          <w:lang w:val="en-IE"/>
        </w:rPr>
        <w:t>following combinations of targets per sector of the food chain:</w:t>
      </w:r>
    </w:p>
    <w:p w14:paraId="759383B2" w14:textId="00784C13" w:rsidR="00E21C6C" w:rsidRPr="005B4339" w:rsidRDefault="00E21C6C" w:rsidP="00CF0DFB">
      <w:pPr>
        <w:pStyle w:val="ListParagraph"/>
        <w:numPr>
          <w:ilvl w:val="0"/>
          <w:numId w:val="132"/>
        </w:numPr>
        <w:spacing w:before="120" w:after="120"/>
        <w:rPr>
          <w:noProof/>
          <w:lang w:val="en-IE"/>
        </w:rPr>
      </w:pPr>
      <w:r w:rsidRPr="005B4339">
        <w:rPr>
          <w:noProof/>
          <w:lang w:val="en-IE"/>
        </w:rPr>
        <w:t xml:space="preserve">Target for primary production – 0%, </w:t>
      </w:r>
    </w:p>
    <w:p w14:paraId="373045AA" w14:textId="6BDC84D3" w:rsidR="00E21C6C" w:rsidRPr="005B4339" w:rsidRDefault="00E21C6C" w:rsidP="00CF0DFB">
      <w:pPr>
        <w:pStyle w:val="ListParagraph"/>
        <w:numPr>
          <w:ilvl w:val="0"/>
          <w:numId w:val="132"/>
        </w:numPr>
        <w:spacing w:before="120" w:after="120"/>
        <w:rPr>
          <w:noProof/>
          <w:lang w:val="en-IE"/>
        </w:rPr>
      </w:pPr>
      <w:r w:rsidRPr="005B4339">
        <w:rPr>
          <w:noProof/>
          <w:lang w:val="en-IE"/>
        </w:rPr>
        <w:t xml:space="preserve">Target for processing and manufacturing – 10%, </w:t>
      </w:r>
    </w:p>
    <w:p w14:paraId="51ED6A4A" w14:textId="0161BCD6" w:rsidR="00E21C6C" w:rsidRPr="005B4339" w:rsidRDefault="00E21C6C" w:rsidP="00CF0DFB">
      <w:pPr>
        <w:pStyle w:val="ListParagraph"/>
        <w:numPr>
          <w:ilvl w:val="0"/>
          <w:numId w:val="132"/>
        </w:numPr>
        <w:spacing w:before="120" w:after="120"/>
        <w:rPr>
          <w:noProof/>
          <w:lang w:val="en-IE"/>
        </w:rPr>
      </w:pPr>
      <w:r w:rsidRPr="005B4339">
        <w:rPr>
          <w:noProof/>
          <w:lang w:val="en-IE"/>
        </w:rPr>
        <w:t>Target for retail and consumption stages – 30%</w:t>
      </w:r>
    </w:p>
    <w:p w14:paraId="6AEAEBEA" w14:textId="514CC449" w:rsidR="00B33EC1" w:rsidRPr="005B4339" w:rsidRDefault="00E21C6C" w:rsidP="00BA3ECF">
      <w:pPr>
        <w:spacing w:after="200" w:line="276" w:lineRule="auto"/>
        <w:rPr>
          <w:noProof/>
          <w:lang w:val="en-IE"/>
        </w:rPr>
      </w:pPr>
      <w:r w:rsidRPr="005B4339">
        <w:rPr>
          <w:noProof/>
          <w:lang w:val="en-IE"/>
        </w:rPr>
        <w:t xml:space="preserve">It is expected that this option </w:t>
      </w:r>
      <w:r w:rsidR="00BA3ECF" w:rsidRPr="005B4339">
        <w:rPr>
          <w:noProof/>
          <w:lang w:val="en-IE"/>
        </w:rPr>
        <w:t xml:space="preserve">will be efficient in providing a strong policy impulse for Member States to take action to reduce food waste at national level, while being proportionate and politically feasible. </w:t>
      </w:r>
    </w:p>
    <w:p w14:paraId="53021F74" w14:textId="6C3F6E59" w:rsidR="00BA3ECF" w:rsidRPr="005B4339" w:rsidRDefault="00BA3ECF" w:rsidP="00BA3ECF">
      <w:pPr>
        <w:spacing w:after="200" w:line="276" w:lineRule="auto"/>
        <w:rPr>
          <w:noProof/>
          <w:lang w:val="en-IE"/>
        </w:rPr>
      </w:pPr>
      <w:r w:rsidRPr="005B4339">
        <w:rPr>
          <w:noProof/>
          <w:lang w:val="en-IE"/>
        </w:rPr>
        <w:t>The main environmental, economic and social impacts from this option are summarized in the table</w:t>
      </w:r>
      <w:r w:rsidR="00E21C6C" w:rsidRPr="005B4339">
        <w:rPr>
          <w:noProof/>
          <w:lang w:val="en-IE"/>
        </w:rPr>
        <w:t>s</w:t>
      </w:r>
      <w:r w:rsidRPr="005B4339">
        <w:rPr>
          <w:noProof/>
          <w:lang w:val="en-IE"/>
        </w:rPr>
        <w:t xml:space="preserve"> below:</w:t>
      </w:r>
    </w:p>
    <w:p w14:paraId="4CF58556" w14:textId="7E56CC0B" w:rsidR="00272939" w:rsidRPr="005B4339" w:rsidDel="008621C3" w:rsidRDefault="008D0349" w:rsidP="008D0349">
      <w:pPr>
        <w:pStyle w:val="Caption"/>
        <w:rPr>
          <w:b/>
          <w:noProof/>
          <w:color w:val="auto"/>
          <w:sz w:val="24"/>
          <w:szCs w:val="24"/>
          <w:lang w:val="en-IE"/>
        </w:rPr>
      </w:pPr>
      <w:bookmarkStart w:id="970" w:name="_Toc133229509"/>
      <w:bookmarkStart w:id="971" w:name="_Toc139032063"/>
      <w:r w:rsidRPr="005B4339">
        <w:rPr>
          <w:noProof/>
          <w:color w:val="auto"/>
          <w:sz w:val="24"/>
          <w:szCs w:val="24"/>
          <w:lang w:val="en-IE"/>
        </w:rPr>
        <w:t xml:space="preserve">Table </w:t>
      </w:r>
      <w:r w:rsidR="00393DFA">
        <w:rPr>
          <w:noProof/>
          <w:color w:val="auto"/>
          <w:sz w:val="24"/>
          <w:szCs w:val="24"/>
        </w:rPr>
        <w:t>47</w:t>
      </w:r>
      <w:r w:rsidRPr="005B4339">
        <w:rPr>
          <w:noProof/>
          <w:color w:val="auto"/>
          <w:sz w:val="24"/>
          <w:szCs w:val="24"/>
          <w:lang w:val="en-IE"/>
        </w:rPr>
        <w:t xml:space="preserve"> – Main food environmental impacts</w:t>
      </w:r>
      <w:bookmarkEnd w:id="970"/>
      <w:bookmarkEnd w:id="971"/>
    </w:p>
    <w:tbl>
      <w:tblPr>
        <w:tblStyle w:val="Tableausimple11"/>
        <w:tblW w:w="9493" w:type="dxa"/>
        <w:tblLayout w:type="fixed"/>
        <w:tblLook w:val="04A0" w:firstRow="1" w:lastRow="0" w:firstColumn="1" w:lastColumn="0" w:noHBand="0" w:noVBand="1"/>
      </w:tblPr>
      <w:tblGrid>
        <w:gridCol w:w="5524"/>
        <w:gridCol w:w="3969"/>
      </w:tblGrid>
      <w:tr w:rsidR="00E21C6C" w:rsidRPr="005B4339" w14:paraId="2CF1523F" w14:textId="77777777" w:rsidTr="00643DE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24" w:type="dxa"/>
          </w:tcPr>
          <w:p w14:paraId="020915CE" w14:textId="57340A21" w:rsidR="00E21C6C" w:rsidRPr="005B4339" w:rsidRDefault="00E21C6C">
            <w:pPr>
              <w:spacing w:after="0"/>
              <w:jc w:val="left"/>
              <w:rPr>
                <w:noProof/>
                <w:sz w:val="22"/>
                <w:szCs w:val="22"/>
                <w:lang w:val="en-IE"/>
              </w:rPr>
            </w:pPr>
            <w:r w:rsidRPr="005B4339">
              <w:rPr>
                <w:noProof/>
                <w:sz w:val="22"/>
                <w:szCs w:val="22"/>
                <w:lang w:val="en-IE"/>
              </w:rPr>
              <w:t>Impacts</w:t>
            </w:r>
          </w:p>
        </w:tc>
        <w:tc>
          <w:tcPr>
            <w:tcW w:w="3969" w:type="dxa"/>
          </w:tcPr>
          <w:p w14:paraId="6755B71A" w14:textId="2B4B152F" w:rsidR="00E21C6C" w:rsidRPr="005B4339" w:rsidRDefault="00E21C6C">
            <w:pPr>
              <w:spacing w:after="0"/>
              <w:jc w:val="center"/>
              <w:cnfStyle w:val="100000000000" w:firstRow="1" w:lastRow="0" w:firstColumn="0" w:lastColumn="0" w:oddVBand="0" w:evenVBand="0" w:oddHBand="0" w:evenHBand="0" w:firstRowFirstColumn="0" w:firstRowLastColumn="0" w:lastRowFirstColumn="0" w:lastRowLastColumn="0"/>
              <w:rPr>
                <w:noProof/>
                <w:sz w:val="22"/>
                <w:szCs w:val="22"/>
                <w:lang w:val="en-IE"/>
              </w:rPr>
            </w:pPr>
            <w:r w:rsidRPr="005B4339">
              <w:rPr>
                <w:noProof/>
                <w:sz w:val="22"/>
                <w:szCs w:val="22"/>
                <w:lang w:val="en-IE"/>
              </w:rPr>
              <w:t xml:space="preserve">Option 2 </w:t>
            </w:r>
          </w:p>
        </w:tc>
      </w:tr>
      <w:tr w:rsidR="00E21C6C" w:rsidRPr="005B4339" w14:paraId="231B2713" w14:textId="77777777" w:rsidTr="00643DE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24" w:type="dxa"/>
            <w:hideMark/>
          </w:tcPr>
          <w:p w14:paraId="40ECF674" w14:textId="28B883CD" w:rsidR="00E21C6C" w:rsidRPr="005B4339" w:rsidRDefault="00E21C6C">
            <w:pPr>
              <w:spacing w:after="0"/>
              <w:jc w:val="left"/>
              <w:rPr>
                <w:b w:val="0"/>
                <w:noProof/>
                <w:sz w:val="22"/>
                <w:szCs w:val="22"/>
                <w:lang w:val="en-IE"/>
              </w:rPr>
            </w:pPr>
            <w:r w:rsidRPr="005B4339">
              <w:rPr>
                <w:noProof/>
                <w:color w:val="000000"/>
                <w:lang w:val="en-IE"/>
              </w:rPr>
              <w:t>Reduction of GHG emissions</w:t>
            </w:r>
            <w:r w:rsidR="006D0899" w:rsidRPr="005B4339">
              <w:rPr>
                <w:noProof/>
                <w:color w:val="000000"/>
                <w:lang w:val="en-IE"/>
              </w:rPr>
              <w:t xml:space="preserve"> (MAGNET model)</w:t>
            </w:r>
            <w:r w:rsidRPr="005B4339">
              <w:rPr>
                <w:rStyle w:val="FootnoteReference"/>
                <w:noProof/>
                <w:color w:val="000000"/>
                <w:lang w:val="en-IE"/>
              </w:rPr>
              <w:footnoteReference w:id="164"/>
            </w:r>
            <w:r w:rsidRPr="005B4339">
              <w:rPr>
                <w:b w:val="0"/>
                <w:noProof/>
                <w:color w:val="000000"/>
                <w:lang w:val="en-IE"/>
              </w:rPr>
              <w:t xml:space="preserve"> [Million tCO2eq]</w:t>
            </w:r>
          </w:p>
        </w:tc>
        <w:tc>
          <w:tcPr>
            <w:tcW w:w="3969" w:type="dxa"/>
            <w:vAlign w:val="center"/>
          </w:tcPr>
          <w:p w14:paraId="69EE0915" w14:textId="529663E3" w:rsidR="00E21C6C" w:rsidRPr="005B4339" w:rsidRDefault="001D47F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noProof/>
                <w:sz w:val="22"/>
                <w:szCs w:val="22"/>
                <w:lang w:val="en-IE"/>
              </w:rPr>
            </w:pPr>
            <w:r w:rsidRPr="005B4339">
              <w:rPr>
                <w:noProof/>
                <w:color w:val="000000"/>
                <w:lang w:val="en-IE"/>
              </w:rPr>
              <w:t>3.9</w:t>
            </w:r>
            <w:r w:rsidR="00643DEB" w:rsidRPr="005B4339">
              <w:rPr>
                <w:noProof/>
                <w:color w:val="000000"/>
                <w:lang w:val="en-IE"/>
              </w:rPr>
              <w:t xml:space="preserve"> in the EU (and 12.6 out of EU)</w:t>
            </w:r>
          </w:p>
        </w:tc>
      </w:tr>
      <w:tr w:rsidR="00E21C6C" w:rsidRPr="005B4339" w14:paraId="52691902" w14:textId="77777777" w:rsidTr="00643DEB">
        <w:trPr>
          <w:trHeight w:val="567"/>
        </w:trPr>
        <w:tc>
          <w:tcPr>
            <w:cnfStyle w:val="001000000000" w:firstRow="0" w:lastRow="0" w:firstColumn="1" w:lastColumn="0" w:oddVBand="0" w:evenVBand="0" w:oddHBand="0" w:evenHBand="0" w:firstRowFirstColumn="0" w:firstRowLastColumn="0" w:lastRowFirstColumn="0" w:lastRowLastColumn="0"/>
            <w:tcW w:w="5524" w:type="dxa"/>
            <w:hideMark/>
          </w:tcPr>
          <w:p w14:paraId="63B6CFF4" w14:textId="07968FDD" w:rsidR="00E21C6C" w:rsidRPr="005B4339" w:rsidRDefault="00DA2659">
            <w:pPr>
              <w:spacing w:after="0"/>
              <w:jc w:val="left"/>
              <w:rPr>
                <w:b w:val="0"/>
                <w:noProof/>
                <w:sz w:val="22"/>
                <w:szCs w:val="22"/>
                <w:lang w:val="en-IE"/>
              </w:rPr>
            </w:pPr>
            <w:r w:rsidRPr="005B4339">
              <w:rPr>
                <w:noProof/>
                <w:lang w:val="en-IE"/>
              </w:rPr>
              <w:t xml:space="preserve">Reduction of </w:t>
            </w:r>
            <w:r w:rsidR="00E21C6C" w:rsidRPr="005B4339">
              <w:rPr>
                <w:noProof/>
                <w:lang w:val="en-IE"/>
              </w:rPr>
              <w:t>GHG emissions</w:t>
            </w:r>
            <w:r w:rsidR="006D0899" w:rsidRPr="005B4339">
              <w:rPr>
                <w:noProof/>
                <w:lang w:val="en-IE"/>
              </w:rPr>
              <w:t xml:space="preserve"> (Environmental footprint)</w:t>
            </w:r>
            <w:r w:rsidR="006D0899" w:rsidRPr="005B4339">
              <w:rPr>
                <w:rStyle w:val="FootnoteReference"/>
                <w:noProof/>
                <w:lang w:val="en-IE"/>
              </w:rPr>
              <w:footnoteReference w:id="165"/>
            </w:r>
            <w:r w:rsidR="006D0899" w:rsidRPr="005B4339">
              <w:rPr>
                <w:b w:val="0"/>
                <w:noProof/>
                <w:lang w:val="en-IE"/>
              </w:rPr>
              <w:t xml:space="preserve"> </w:t>
            </w:r>
            <w:r w:rsidR="00E21C6C" w:rsidRPr="005B4339">
              <w:rPr>
                <w:b w:val="0"/>
                <w:noProof/>
                <w:lang w:val="en-IE"/>
              </w:rPr>
              <w:t>[Million tCO2eq]</w:t>
            </w:r>
          </w:p>
        </w:tc>
        <w:tc>
          <w:tcPr>
            <w:tcW w:w="3969" w:type="dxa"/>
            <w:vAlign w:val="center"/>
            <w:hideMark/>
          </w:tcPr>
          <w:p w14:paraId="0643D12D" w14:textId="2485F48E" w:rsidR="00E21C6C" w:rsidRPr="005B4339" w:rsidRDefault="00920CF1">
            <w:pPr>
              <w:spacing w:after="0"/>
              <w:jc w:val="center"/>
              <w:cnfStyle w:val="000000000000" w:firstRow="0" w:lastRow="0" w:firstColumn="0" w:lastColumn="0" w:oddVBand="0" w:evenVBand="0" w:oddHBand="0" w:evenHBand="0" w:firstRowFirstColumn="0" w:firstRowLastColumn="0" w:lastRowFirstColumn="0" w:lastRowLastColumn="0"/>
              <w:rPr>
                <w:noProof/>
                <w:sz w:val="22"/>
                <w:szCs w:val="22"/>
                <w:lang w:val="en-IE"/>
              </w:rPr>
            </w:pPr>
            <w:r w:rsidRPr="005B4339">
              <w:rPr>
                <w:noProof/>
                <w:lang w:val="en-IE"/>
              </w:rPr>
              <w:t>62</w:t>
            </w:r>
          </w:p>
        </w:tc>
      </w:tr>
      <w:tr w:rsidR="00E21C6C" w:rsidRPr="005B4339" w14:paraId="48BA8D3B" w14:textId="77777777" w:rsidTr="00643DE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24" w:type="dxa"/>
            <w:hideMark/>
          </w:tcPr>
          <w:p w14:paraId="24F14396" w14:textId="04B9B25D" w:rsidR="00E21C6C" w:rsidRPr="005B4339" w:rsidRDefault="00DA2659">
            <w:pPr>
              <w:spacing w:after="0"/>
              <w:jc w:val="left"/>
              <w:rPr>
                <w:b w:val="0"/>
                <w:noProof/>
                <w:sz w:val="22"/>
                <w:szCs w:val="22"/>
                <w:lang w:val="en-IE"/>
              </w:rPr>
            </w:pPr>
            <w:r w:rsidRPr="005B4339">
              <w:rPr>
                <w:noProof/>
                <w:color w:val="000000"/>
                <w:lang w:val="en-IE"/>
              </w:rPr>
              <w:t>Reduced impact on land</w:t>
            </w:r>
            <w:r w:rsidR="00E21C6C" w:rsidRPr="005B4339">
              <w:rPr>
                <w:noProof/>
                <w:color w:val="000000"/>
                <w:lang w:val="en-IE"/>
              </w:rPr>
              <w:t xml:space="preserve"> use</w:t>
            </w:r>
            <w:r w:rsidR="00E21C6C" w:rsidRPr="005B4339">
              <w:rPr>
                <w:b w:val="0"/>
                <w:noProof/>
                <w:color w:val="000000"/>
                <w:lang w:val="en-IE"/>
              </w:rPr>
              <w:t xml:space="preserve"> [Trillion Pt]</w:t>
            </w:r>
            <w:r w:rsidR="00E21C6C" w:rsidRPr="005B4339">
              <w:rPr>
                <w:rStyle w:val="FootnoteReference"/>
                <w:b w:val="0"/>
                <w:noProof/>
                <w:color w:val="000000"/>
                <w:lang w:val="en-IE"/>
              </w:rPr>
              <w:footnoteReference w:id="166"/>
            </w:r>
          </w:p>
        </w:tc>
        <w:tc>
          <w:tcPr>
            <w:tcW w:w="3969" w:type="dxa"/>
            <w:vAlign w:val="center"/>
            <w:hideMark/>
          </w:tcPr>
          <w:p w14:paraId="4DD3A106" w14:textId="3B00847B" w:rsidR="00E21C6C" w:rsidRPr="005B4339" w:rsidRDefault="001D47F7">
            <w:pPr>
              <w:spacing w:after="0"/>
              <w:jc w:val="center"/>
              <w:cnfStyle w:val="000000100000" w:firstRow="0" w:lastRow="0" w:firstColumn="0" w:lastColumn="0" w:oddVBand="0" w:evenVBand="0" w:oddHBand="1" w:evenHBand="0" w:firstRowFirstColumn="0" w:firstRowLastColumn="0" w:lastRowFirstColumn="0" w:lastRowLastColumn="0"/>
              <w:rPr>
                <w:noProof/>
                <w:sz w:val="22"/>
                <w:szCs w:val="22"/>
                <w:lang w:val="en-IE"/>
              </w:rPr>
            </w:pPr>
            <w:r w:rsidRPr="005B4339">
              <w:rPr>
                <w:noProof/>
                <w:sz w:val="22"/>
                <w:szCs w:val="22"/>
                <w:lang w:val="en-IE"/>
              </w:rPr>
              <w:t>2.2</w:t>
            </w:r>
          </w:p>
        </w:tc>
      </w:tr>
      <w:tr w:rsidR="00E21C6C" w:rsidRPr="005B4339" w14:paraId="73DF223C" w14:textId="77777777" w:rsidTr="00643DEB">
        <w:trPr>
          <w:trHeight w:val="567"/>
        </w:trPr>
        <w:tc>
          <w:tcPr>
            <w:cnfStyle w:val="001000000000" w:firstRow="0" w:lastRow="0" w:firstColumn="1" w:lastColumn="0" w:oddVBand="0" w:evenVBand="0" w:oddHBand="0" w:evenHBand="0" w:firstRowFirstColumn="0" w:firstRowLastColumn="0" w:lastRowFirstColumn="0" w:lastRowLastColumn="0"/>
            <w:tcW w:w="5524" w:type="dxa"/>
            <w:hideMark/>
          </w:tcPr>
          <w:p w14:paraId="37C8FA02" w14:textId="1F9B5F42" w:rsidR="00E21C6C" w:rsidRPr="005B4339" w:rsidRDefault="00DA2659">
            <w:pPr>
              <w:spacing w:after="0"/>
              <w:jc w:val="left"/>
              <w:rPr>
                <w:b w:val="0"/>
                <w:noProof/>
                <w:sz w:val="22"/>
                <w:szCs w:val="22"/>
                <w:lang w:val="en-IE"/>
              </w:rPr>
            </w:pPr>
            <w:r w:rsidRPr="005B4339">
              <w:rPr>
                <w:noProof/>
                <w:lang w:val="en-IE"/>
              </w:rPr>
              <w:t>Reduction in marine</w:t>
            </w:r>
            <w:r w:rsidR="00E21C6C" w:rsidRPr="005B4339">
              <w:rPr>
                <w:noProof/>
                <w:lang w:val="en-IE"/>
              </w:rPr>
              <w:t xml:space="preserve"> eutrophication</w:t>
            </w:r>
            <w:r w:rsidR="00E21C6C" w:rsidRPr="005B4339">
              <w:rPr>
                <w:b w:val="0"/>
                <w:noProof/>
                <w:lang w:val="en-IE"/>
              </w:rPr>
              <w:t> [Million kg N eq.]</w:t>
            </w:r>
          </w:p>
        </w:tc>
        <w:tc>
          <w:tcPr>
            <w:tcW w:w="3969" w:type="dxa"/>
            <w:vAlign w:val="center"/>
            <w:hideMark/>
          </w:tcPr>
          <w:p w14:paraId="158708E0" w14:textId="57DD44F3" w:rsidR="00E21C6C" w:rsidRPr="005B4339" w:rsidRDefault="001D47F7">
            <w:pPr>
              <w:spacing w:after="0"/>
              <w:jc w:val="center"/>
              <w:cnfStyle w:val="000000000000" w:firstRow="0" w:lastRow="0" w:firstColumn="0" w:lastColumn="0" w:oddVBand="0" w:evenVBand="0" w:oddHBand="0" w:evenHBand="0" w:firstRowFirstColumn="0" w:firstRowLastColumn="0" w:lastRowFirstColumn="0" w:lastRowLastColumn="0"/>
              <w:rPr>
                <w:noProof/>
                <w:sz w:val="22"/>
                <w:szCs w:val="22"/>
                <w:lang w:val="en-IE"/>
              </w:rPr>
            </w:pPr>
            <w:r w:rsidRPr="005B4339">
              <w:rPr>
                <w:noProof/>
                <w:lang w:val="en-IE"/>
              </w:rPr>
              <w:t>532</w:t>
            </w:r>
          </w:p>
        </w:tc>
      </w:tr>
      <w:tr w:rsidR="00E21C6C" w:rsidRPr="005B4339" w14:paraId="2ACC90AD" w14:textId="77777777" w:rsidTr="00643DE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24" w:type="dxa"/>
            <w:hideMark/>
          </w:tcPr>
          <w:p w14:paraId="52314976" w14:textId="341CE2F8" w:rsidR="00E21C6C" w:rsidRPr="005B4339" w:rsidRDefault="00DA2659">
            <w:pPr>
              <w:spacing w:after="0"/>
              <w:jc w:val="left"/>
              <w:rPr>
                <w:b w:val="0"/>
                <w:noProof/>
                <w:sz w:val="22"/>
                <w:szCs w:val="22"/>
                <w:lang w:val="en-IE"/>
              </w:rPr>
            </w:pPr>
            <w:r w:rsidRPr="005B4339">
              <w:rPr>
                <w:noProof/>
                <w:color w:val="000000"/>
                <w:lang w:val="en-IE"/>
              </w:rPr>
              <w:t xml:space="preserve">Reduction in water </w:t>
            </w:r>
            <w:r w:rsidR="00E21C6C" w:rsidRPr="005B4339">
              <w:rPr>
                <w:noProof/>
                <w:color w:val="000000"/>
                <w:lang w:val="en-IE"/>
              </w:rPr>
              <w:t>scarcity</w:t>
            </w:r>
            <w:r w:rsidR="00E21C6C" w:rsidRPr="005B4339">
              <w:rPr>
                <w:b w:val="0"/>
                <w:noProof/>
                <w:color w:val="000000"/>
                <w:lang w:val="en-IE"/>
              </w:rPr>
              <w:t> [Billion m3 water eq.]</w:t>
            </w:r>
          </w:p>
        </w:tc>
        <w:tc>
          <w:tcPr>
            <w:tcW w:w="3969" w:type="dxa"/>
            <w:vAlign w:val="center"/>
            <w:hideMark/>
          </w:tcPr>
          <w:p w14:paraId="633145F4" w14:textId="7FB31484" w:rsidR="00E21C6C" w:rsidRPr="005B4339" w:rsidRDefault="001D47F7">
            <w:pPr>
              <w:spacing w:after="0"/>
              <w:jc w:val="center"/>
              <w:cnfStyle w:val="000000100000" w:firstRow="0" w:lastRow="0" w:firstColumn="0" w:lastColumn="0" w:oddVBand="0" w:evenVBand="0" w:oddHBand="1" w:evenHBand="0" w:firstRowFirstColumn="0" w:firstRowLastColumn="0" w:lastRowFirstColumn="0" w:lastRowLastColumn="0"/>
              <w:rPr>
                <w:noProof/>
                <w:sz w:val="22"/>
                <w:szCs w:val="22"/>
                <w:lang w:val="en-IE"/>
              </w:rPr>
            </w:pPr>
            <w:r w:rsidRPr="005B4339">
              <w:rPr>
                <w:noProof/>
                <w:color w:val="000000"/>
                <w:lang w:val="en-IE"/>
              </w:rPr>
              <w:t>80</w:t>
            </w:r>
          </w:p>
        </w:tc>
      </w:tr>
    </w:tbl>
    <w:p w14:paraId="621C0024" w14:textId="77777777" w:rsidR="00626E6A" w:rsidRPr="005B4339" w:rsidRDefault="00626E6A" w:rsidP="00A1504A">
      <w:pPr>
        <w:keepNext/>
        <w:spacing w:after="120"/>
        <w:rPr>
          <w:rFonts w:eastAsia="Calibri"/>
          <w:b/>
          <w:noProof/>
          <w:sz w:val="22"/>
          <w:szCs w:val="22"/>
          <w:lang w:val="en-IE"/>
        </w:rPr>
      </w:pPr>
    </w:p>
    <w:p w14:paraId="5DE48746" w14:textId="1853DEB0" w:rsidR="00A1504A" w:rsidRPr="005B4339" w:rsidDel="008621C3" w:rsidRDefault="00DE2E4C" w:rsidP="00DE2E4C">
      <w:pPr>
        <w:pStyle w:val="Caption"/>
        <w:rPr>
          <w:noProof/>
          <w:color w:val="auto"/>
          <w:sz w:val="24"/>
          <w:szCs w:val="24"/>
          <w:lang w:val="en-IE"/>
        </w:rPr>
      </w:pPr>
      <w:bookmarkStart w:id="972" w:name="_Toc133229510"/>
      <w:bookmarkStart w:id="973" w:name="_Toc139032064"/>
      <w:r w:rsidRPr="005B4339">
        <w:rPr>
          <w:noProof/>
          <w:color w:val="auto"/>
          <w:sz w:val="24"/>
          <w:szCs w:val="24"/>
          <w:lang w:val="en-IE"/>
        </w:rPr>
        <w:t xml:space="preserve">Table </w:t>
      </w:r>
      <w:r w:rsidR="00393DFA">
        <w:rPr>
          <w:noProof/>
          <w:color w:val="auto"/>
          <w:sz w:val="24"/>
          <w:szCs w:val="24"/>
        </w:rPr>
        <w:t>48</w:t>
      </w:r>
      <w:r w:rsidRPr="005B4339">
        <w:rPr>
          <w:noProof/>
          <w:color w:val="auto"/>
          <w:sz w:val="24"/>
          <w:szCs w:val="24"/>
          <w:lang w:val="en-IE"/>
        </w:rPr>
        <w:t xml:space="preserve"> - </w:t>
      </w:r>
      <w:r w:rsidR="00A1504A" w:rsidRPr="005B4339">
        <w:rPr>
          <w:rFonts w:eastAsia="Calibri"/>
          <w:noProof/>
          <w:color w:val="auto"/>
          <w:sz w:val="24"/>
          <w:szCs w:val="24"/>
          <w:lang w:val="en-IE"/>
        </w:rPr>
        <w:t xml:space="preserve">Main </w:t>
      </w:r>
      <w:r w:rsidRPr="005B4339">
        <w:rPr>
          <w:rFonts w:eastAsia="Calibri"/>
          <w:noProof/>
          <w:color w:val="auto"/>
          <w:sz w:val="24"/>
          <w:szCs w:val="24"/>
          <w:lang w:val="en-IE"/>
        </w:rPr>
        <w:t xml:space="preserve">food </w:t>
      </w:r>
      <w:r w:rsidR="00A1504A" w:rsidRPr="005B4339">
        <w:rPr>
          <w:rFonts w:eastAsia="Calibri"/>
          <w:noProof/>
          <w:color w:val="auto"/>
          <w:sz w:val="24"/>
          <w:szCs w:val="24"/>
          <w:lang w:val="en-IE"/>
        </w:rPr>
        <w:t>economic impacts</w:t>
      </w:r>
      <w:bookmarkEnd w:id="972"/>
      <w:bookmarkEnd w:id="973"/>
      <w:r w:rsidR="00A1504A" w:rsidRPr="005B4339">
        <w:rPr>
          <w:rFonts w:eastAsia="Calibri"/>
          <w:noProof/>
          <w:color w:val="auto"/>
          <w:sz w:val="24"/>
          <w:szCs w:val="24"/>
          <w:lang w:val="en-IE"/>
        </w:rPr>
        <w:t xml:space="preserve"> </w:t>
      </w:r>
    </w:p>
    <w:tbl>
      <w:tblPr>
        <w:tblStyle w:val="Tableausimple11"/>
        <w:tblW w:w="8359" w:type="dxa"/>
        <w:tblLayout w:type="fixed"/>
        <w:tblLook w:val="04A0" w:firstRow="1" w:lastRow="0" w:firstColumn="1" w:lastColumn="0" w:noHBand="0" w:noVBand="1"/>
      </w:tblPr>
      <w:tblGrid>
        <w:gridCol w:w="5524"/>
        <w:gridCol w:w="2835"/>
      </w:tblGrid>
      <w:tr w:rsidR="00626E6A" w:rsidRPr="005B4339" w14:paraId="1A2ECE76" w14:textId="77777777" w:rsidTr="3A623CE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tcPr>
          <w:p w14:paraId="23267AB3" w14:textId="77777777" w:rsidR="00626E6A" w:rsidRPr="005B4339" w:rsidRDefault="00626E6A">
            <w:pPr>
              <w:spacing w:after="60"/>
              <w:jc w:val="left"/>
              <w:textAlignment w:val="baseline"/>
              <w:rPr>
                <w:rFonts w:eastAsia="Times New Roman"/>
                <w:b w:val="0"/>
                <w:noProof/>
                <w:color w:val="000000" w:themeColor="text1"/>
                <w:sz w:val="22"/>
                <w:szCs w:val="22"/>
                <w:lang w:val="en-IE" w:eastAsia="en-IE"/>
              </w:rPr>
            </w:pPr>
            <w:r w:rsidRPr="005B4339">
              <w:rPr>
                <w:rFonts w:eastAsia="Times New Roman"/>
                <w:noProof/>
                <w:color w:val="000000" w:themeColor="text1"/>
                <w:sz w:val="22"/>
                <w:szCs w:val="22"/>
                <w:lang w:val="en-IE" w:eastAsia="en-IE"/>
              </w:rPr>
              <w:t>Impacts </w:t>
            </w:r>
          </w:p>
        </w:tc>
        <w:tc>
          <w:tcPr>
            <w:tcW w:w="2835" w:type="dxa"/>
          </w:tcPr>
          <w:p w14:paraId="70C0310C" w14:textId="77777777" w:rsidR="00626E6A" w:rsidRPr="005B4339" w:rsidRDefault="00626E6A">
            <w:pPr>
              <w:spacing w:after="60"/>
              <w:jc w:val="center"/>
              <w:textAlignment w:val="baseline"/>
              <w:cnfStyle w:val="100000000000" w:firstRow="1" w:lastRow="0" w:firstColumn="0" w:lastColumn="0" w:oddVBand="0" w:evenVBand="0" w:oddHBand="0" w:evenHBand="0" w:firstRowFirstColumn="0" w:firstRowLastColumn="0" w:lastRowFirstColumn="0" w:lastRowLastColumn="0"/>
              <w:rPr>
                <w:rFonts w:eastAsia="Arial"/>
                <w:noProof/>
                <w:color w:val="000000" w:themeColor="text1"/>
                <w:sz w:val="22"/>
                <w:szCs w:val="22"/>
                <w:lang w:val="en-IE"/>
              </w:rPr>
            </w:pPr>
            <w:r w:rsidRPr="005B4339">
              <w:rPr>
                <w:rFonts w:eastAsia="Times New Roman"/>
                <w:noProof/>
                <w:color w:val="000000" w:themeColor="text1"/>
                <w:sz w:val="22"/>
                <w:szCs w:val="22"/>
                <w:lang w:val="en-IE" w:eastAsia="en-IE"/>
              </w:rPr>
              <w:t>Option 2</w:t>
            </w:r>
          </w:p>
        </w:tc>
      </w:tr>
      <w:tr w:rsidR="00626E6A" w:rsidRPr="005B4339" w14:paraId="166683C8" w14:textId="77777777" w:rsidTr="3A623C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tcPr>
          <w:p w14:paraId="10B34336"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Demand for food</w:t>
            </w:r>
          </w:p>
        </w:tc>
        <w:tc>
          <w:tcPr>
            <w:tcW w:w="2835" w:type="dxa"/>
          </w:tcPr>
          <w:p w14:paraId="1C7382B9" w14:textId="77777777" w:rsidR="00626E6A" w:rsidRPr="005B4339" w:rsidRDefault="00626E6A">
            <w:pPr>
              <w:spacing w:after="60"/>
              <w:jc w:val="center"/>
              <w:cnfStyle w:val="000000100000" w:firstRow="0" w:lastRow="0" w:firstColumn="0" w:lastColumn="0" w:oddVBand="0" w:evenVBand="0" w:oddHBand="1" w:evenHBand="0" w:firstRowFirstColumn="0" w:firstRowLastColumn="0" w:lastRowFirstColumn="0" w:lastRowLastColumn="0"/>
              <w:rPr>
                <w:rFonts w:eastAsia="Arial"/>
                <w:noProof/>
                <w:color w:val="000000" w:themeColor="text1"/>
                <w:sz w:val="22"/>
                <w:szCs w:val="22"/>
                <w:lang w:val="en-IE"/>
              </w:rPr>
            </w:pPr>
            <w:r w:rsidRPr="005B4339">
              <w:rPr>
                <w:rFonts w:eastAsia="Arial"/>
                <w:noProof/>
                <w:color w:val="000000" w:themeColor="text1"/>
                <w:sz w:val="22"/>
                <w:szCs w:val="22"/>
                <w:lang w:val="en-IE"/>
              </w:rPr>
              <w:t>-4.2%</w:t>
            </w:r>
          </w:p>
        </w:tc>
      </w:tr>
      <w:tr w:rsidR="00626E6A" w:rsidRPr="005B4339" w14:paraId="2B629C67" w14:textId="77777777" w:rsidTr="3A623CED">
        <w:trPr>
          <w:trHeight w:val="510"/>
        </w:trPr>
        <w:tc>
          <w:tcPr>
            <w:cnfStyle w:val="001000000000" w:firstRow="0" w:lastRow="0" w:firstColumn="1" w:lastColumn="0" w:oddVBand="0" w:evenVBand="0" w:oddHBand="0" w:evenHBand="0" w:firstRowFirstColumn="0" w:firstRowLastColumn="0" w:lastRowFirstColumn="0" w:lastRowLastColumn="0"/>
            <w:tcW w:w="5524" w:type="dxa"/>
          </w:tcPr>
          <w:p w14:paraId="75DA4920"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Change in the value of agri-food production</w:t>
            </w:r>
          </w:p>
        </w:tc>
        <w:tc>
          <w:tcPr>
            <w:tcW w:w="2835" w:type="dxa"/>
          </w:tcPr>
          <w:p w14:paraId="1CC7EB3B" w14:textId="77777777" w:rsidR="00626E6A" w:rsidRPr="005B4339" w:rsidRDefault="00626E6A">
            <w:pPr>
              <w:spacing w:after="6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-1.8% </w:t>
            </w:r>
          </w:p>
        </w:tc>
      </w:tr>
      <w:tr w:rsidR="00626E6A" w:rsidRPr="005B4339" w14:paraId="60560336" w14:textId="77777777" w:rsidTr="3A623C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24" w:type="dxa"/>
          </w:tcPr>
          <w:p w14:paraId="0116F1AA"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Change in market prices</w:t>
            </w:r>
          </w:p>
        </w:tc>
        <w:tc>
          <w:tcPr>
            <w:tcW w:w="2835" w:type="dxa"/>
          </w:tcPr>
          <w:p w14:paraId="7D8F8214" w14:textId="37E47FB5" w:rsidR="00626E6A" w:rsidRPr="005B4339" w:rsidRDefault="00626E6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-0.1%</w:t>
            </w:r>
          </w:p>
          <w:p w14:paraId="057E38DF" w14:textId="57E67019" w:rsidR="00626E6A" w:rsidRPr="005B4339" w:rsidRDefault="00626E6A">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to -2.</w:t>
            </w:r>
            <w:r w:rsidR="002E1B37" w:rsidRPr="005B4339">
              <w:rPr>
                <w:rFonts w:eastAsia="Times New Roman"/>
                <w:noProof/>
                <w:color w:val="000000" w:themeColor="text1"/>
                <w:sz w:val="22"/>
                <w:szCs w:val="22"/>
                <w:lang w:val="en-IE" w:eastAsia="en-IE"/>
              </w:rPr>
              <w:t>6</w:t>
            </w:r>
            <w:r w:rsidRPr="005B4339">
              <w:rPr>
                <w:rFonts w:eastAsia="Times New Roman"/>
                <w:noProof/>
                <w:color w:val="000000" w:themeColor="text1"/>
                <w:sz w:val="22"/>
                <w:szCs w:val="22"/>
                <w:lang w:val="en-IE" w:eastAsia="en-IE"/>
              </w:rPr>
              <w:t>%</w:t>
            </w:r>
          </w:p>
        </w:tc>
      </w:tr>
      <w:tr w:rsidR="00626E6A" w:rsidRPr="005B4339" w14:paraId="380883D6" w14:textId="77777777" w:rsidTr="3A623CED">
        <w:trPr>
          <w:trHeight w:val="945"/>
        </w:trPr>
        <w:tc>
          <w:tcPr>
            <w:cnfStyle w:val="001000000000" w:firstRow="0" w:lastRow="0" w:firstColumn="1" w:lastColumn="0" w:oddVBand="0" w:evenVBand="0" w:oddHBand="0" w:evenHBand="0" w:firstRowFirstColumn="0" w:firstRowLastColumn="0" w:lastRowFirstColumn="0" w:lastRowLastColumn="0"/>
            <w:tcW w:w="5524" w:type="dxa"/>
          </w:tcPr>
          <w:p w14:paraId="5EC616EA"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Trade Balance (TB) per sector</w:t>
            </w:r>
            <w:r w:rsidRPr="005B4339">
              <w:rPr>
                <w:rStyle w:val="FootnoteReference"/>
                <w:rFonts w:eastAsia="Times New Roman"/>
                <w:noProof/>
                <w:color w:val="000000" w:themeColor="text1"/>
                <w:sz w:val="22"/>
                <w:szCs w:val="22"/>
                <w:lang w:val="en-IE" w:eastAsia="en-IE"/>
              </w:rPr>
              <w:footnoteReference w:id="167"/>
            </w:r>
          </w:p>
        </w:tc>
        <w:tc>
          <w:tcPr>
            <w:tcW w:w="2835" w:type="dxa"/>
          </w:tcPr>
          <w:p w14:paraId="460F69F6" w14:textId="77777777" w:rsidR="00626E6A" w:rsidRPr="005B4339" w:rsidRDefault="00626E6A">
            <w:pPr>
              <w:spacing w:after="60"/>
              <w:jc w:val="center"/>
              <w:cnfStyle w:val="000000000000" w:firstRow="0" w:lastRow="0" w:firstColumn="0" w:lastColumn="0" w:oddVBand="0" w:evenVBand="0" w:oddHBand="0" w:evenHBand="0" w:firstRowFirstColumn="0" w:firstRowLastColumn="0" w:lastRowFirstColumn="0" w:lastRowLastColumn="0"/>
              <w:rPr>
                <w:rFonts w:eastAsia="Arial Nova"/>
                <w:noProof/>
                <w:color w:val="000000" w:themeColor="text1"/>
                <w:sz w:val="22"/>
                <w:szCs w:val="22"/>
                <w:lang w:val="en-IE"/>
              </w:rPr>
            </w:pPr>
            <w:r w:rsidRPr="005B4339">
              <w:rPr>
                <w:rFonts w:eastAsia="Arial Nova"/>
                <w:noProof/>
                <w:color w:val="000000" w:themeColor="text1"/>
                <w:sz w:val="22"/>
                <w:szCs w:val="22"/>
                <w:lang w:val="en-IE"/>
              </w:rPr>
              <w:t xml:space="preserve">AGRI TB: </w:t>
            </w:r>
          </w:p>
          <w:p w14:paraId="5860E6D8" w14:textId="77777777" w:rsidR="00626E6A" w:rsidRPr="005B4339" w:rsidRDefault="00626E6A">
            <w:pPr>
              <w:spacing w:after="60"/>
              <w:jc w:val="center"/>
              <w:cnfStyle w:val="000000000000" w:firstRow="0" w:lastRow="0" w:firstColumn="0" w:lastColumn="0" w:oddVBand="0" w:evenVBand="0" w:oddHBand="0" w:evenHBand="0" w:firstRowFirstColumn="0" w:firstRowLastColumn="0" w:lastRowFirstColumn="0" w:lastRowLastColumn="0"/>
              <w:rPr>
                <w:rFonts w:eastAsia="Arial Nova"/>
                <w:noProof/>
                <w:color w:val="000000" w:themeColor="text1"/>
                <w:sz w:val="22"/>
                <w:szCs w:val="22"/>
                <w:lang w:val="en-IE"/>
              </w:rPr>
            </w:pPr>
            <w:r w:rsidRPr="005B4339">
              <w:rPr>
                <w:rFonts w:eastAsia="Arial Nova"/>
                <w:noProof/>
                <w:color w:val="000000" w:themeColor="text1"/>
                <w:sz w:val="22"/>
                <w:szCs w:val="22"/>
                <w:lang w:val="en-IE"/>
              </w:rPr>
              <w:t>2 691 mln EUR</w:t>
            </w:r>
          </w:p>
          <w:p w14:paraId="1884DC90" w14:textId="77777777" w:rsidR="00626E6A" w:rsidRPr="005B4339" w:rsidRDefault="00626E6A">
            <w:pPr>
              <w:spacing w:after="60"/>
              <w:jc w:val="center"/>
              <w:cnfStyle w:val="000000000000" w:firstRow="0" w:lastRow="0" w:firstColumn="0" w:lastColumn="0" w:oddVBand="0" w:evenVBand="0" w:oddHBand="0" w:evenHBand="0" w:firstRowFirstColumn="0" w:firstRowLastColumn="0" w:lastRowFirstColumn="0" w:lastRowLastColumn="0"/>
              <w:rPr>
                <w:rFonts w:eastAsia="Arial Nova"/>
                <w:noProof/>
                <w:color w:val="000000" w:themeColor="text1"/>
                <w:sz w:val="22"/>
                <w:szCs w:val="22"/>
                <w:lang w:val="en-IE"/>
              </w:rPr>
            </w:pPr>
            <w:r w:rsidRPr="005B4339">
              <w:rPr>
                <w:rFonts w:eastAsia="Arial Nova"/>
                <w:noProof/>
                <w:color w:val="000000" w:themeColor="text1"/>
                <w:sz w:val="22"/>
                <w:szCs w:val="22"/>
                <w:lang w:val="en-IE"/>
              </w:rPr>
              <w:t>FOOD</w:t>
            </w:r>
            <w:r w:rsidRPr="005B4339">
              <w:rPr>
                <w:rFonts w:eastAsia="Arial Nova"/>
                <w:noProof/>
                <w:color w:val="000000" w:themeColor="text1"/>
                <w:sz w:val="22"/>
                <w:szCs w:val="22"/>
                <w:shd w:val="clear" w:color="auto" w:fill="E6E6E6"/>
                <w:lang w:val="en-IE"/>
              </w:rPr>
              <w:t xml:space="preserve"> TB: </w:t>
            </w:r>
          </w:p>
          <w:p w14:paraId="3C0E4FF6" w14:textId="77777777" w:rsidR="00626E6A" w:rsidRPr="005B4339" w:rsidRDefault="00626E6A">
            <w:pPr>
              <w:spacing w:after="60"/>
              <w:jc w:val="center"/>
              <w:cnfStyle w:val="000000000000" w:firstRow="0" w:lastRow="0" w:firstColumn="0" w:lastColumn="0" w:oddVBand="0" w:evenVBand="0" w:oddHBand="0" w:evenHBand="0" w:firstRowFirstColumn="0" w:firstRowLastColumn="0" w:lastRowFirstColumn="0" w:lastRowLastColumn="0"/>
              <w:rPr>
                <w:rFonts w:eastAsia="Arial Nova"/>
                <w:noProof/>
                <w:color w:val="000000" w:themeColor="text1"/>
                <w:sz w:val="22"/>
                <w:szCs w:val="22"/>
                <w:lang w:val="en-IE"/>
              </w:rPr>
            </w:pPr>
            <w:r w:rsidRPr="005B4339">
              <w:rPr>
                <w:rFonts w:eastAsia="Arial Nova"/>
                <w:noProof/>
                <w:color w:val="000000" w:themeColor="text1"/>
                <w:sz w:val="22"/>
                <w:szCs w:val="22"/>
                <w:lang w:val="en-IE"/>
              </w:rPr>
              <w:t>2 217 mln EUR</w:t>
            </w:r>
          </w:p>
        </w:tc>
      </w:tr>
      <w:tr w:rsidR="00626E6A" w:rsidRPr="005B4339" w14:paraId="3C0ADC95" w14:textId="77777777" w:rsidTr="3A623C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tcPr>
          <w:p w14:paraId="39B6710C"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Farm income</w:t>
            </w:r>
          </w:p>
        </w:tc>
        <w:tc>
          <w:tcPr>
            <w:tcW w:w="2835" w:type="dxa"/>
          </w:tcPr>
          <w:p w14:paraId="25CFE111" w14:textId="77777777" w:rsidR="00626E6A" w:rsidRPr="005B4339" w:rsidRDefault="00626E6A">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-4.2 bn EUR</w:t>
            </w:r>
          </w:p>
        </w:tc>
      </w:tr>
      <w:tr w:rsidR="00626E6A" w:rsidRPr="005B4339" w14:paraId="3A92F9CE" w14:textId="77777777" w:rsidTr="3A623CED">
        <w:trPr>
          <w:trHeight w:val="945"/>
        </w:trPr>
        <w:tc>
          <w:tcPr>
            <w:cnfStyle w:val="001000000000" w:firstRow="0" w:lastRow="0" w:firstColumn="1" w:lastColumn="0" w:oddVBand="0" w:evenVBand="0" w:oddHBand="0" w:evenHBand="0" w:firstRowFirstColumn="0" w:firstRowLastColumn="0" w:lastRowFirstColumn="0" w:lastRowLastColumn="0"/>
            <w:tcW w:w="5524" w:type="dxa"/>
            <w:hideMark/>
          </w:tcPr>
          <w:p w14:paraId="07BD0870" w14:textId="3DA485CA" w:rsidR="00626E6A" w:rsidRPr="005B4339" w:rsidRDefault="00626E6A">
            <w:pPr>
              <w:spacing w:after="60"/>
              <w:jc w:val="left"/>
              <w:textAlignment w:val="baseline"/>
              <w:rPr>
                <w:rFonts w:eastAsia="Times New Roman"/>
                <w:noProof/>
                <w:color w:val="000000" w:themeColor="text1"/>
                <w:sz w:val="22"/>
                <w:szCs w:val="22"/>
                <w:lang w:val="en-IE" w:eastAsia="en-IE"/>
              </w:rPr>
            </w:pPr>
            <w:r w:rsidRPr="005B4339">
              <w:rPr>
                <w:rFonts w:eastAsia="Times New Roman"/>
                <w:noProof/>
                <w:color w:val="000000" w:themeColor="text1"/>
                <w:sz w:val="22"/>
                <w:szCs w:val="22"/>
                <w:lang w:val="en-IE" w:eastAsia="en-IE"/>
              </w:rPr>
              <w:t xml:space="preserve">Estimated </w:t>
            </w:r>
            <w:r w:rsidR="000F3AC4" w:rsidRPr="005B4339">
              <w:rPr>
                <w:rFonts w:eastAsia="Times New Roman"/>
                <w:noProof/>
                <w:color w:val="000000" w:themeColor="text1"/>
                <w:sz w:val="22"/>
                <w:szCs w:val="22"/>
                <w:lang w:val="en-IE" w:eastAsia="en-IE"/>
              </w:rPr>
              <w:t>adjustment</w:t>
            </w:r>
            <w:r w:rsidRPr="005B4339">
              <w:rPr>
                <w:rFonts w:eastAsia="Times New Roman"/>
                <w:noProof/>
                <w:color w:val="000000" w:themeColor="text1"/>
                <w:sz w:val="22"/>
                <w:szCs w:val="22"/>
                <w:lang w:val="en-IE" w:eastAsia="en-IE"/>
              </w:rPr>
              <w:t xml:space="preserve"> costs</w:t>
            </w:r>
            <w:r w:rsidRPr="005B4339">
              <w:rPr>
                <w:rStyle w:val="FootnoteReference"/>
                <w:rFonts w:eastAsia="Times New Roman"/>
                <w:noProof/>
                <w:color w:val="000000" w:themeColor="text1"/>
                <w:sz w:val="22"/>
                <w:szCs w:val="22"/>
                <w:lang w:val="en-IE" w:eastAsia="en-IE"/>
              </w:rPr>
              <w:footnoteReference w:id="168"/>
            </w:r>
            <w:r w:rsidRPr="005B4339" w:rsidDel="006D604C">
              <w:rPr>
                <w:rFonts w:eastAsia="Times New Roman"/>
                <w:noProof/>
                <w:color w:val="000000" w:themeColor="text1"/>
                <w:sz w:val="22"/>
                <w:szCs w:val="22"/>
                <w:lang w:val="en-IE" w:eastAsia="en-IE"/>
              </w:rPr>
              <w:t> </w:t>
            </w:r>
            <w:r w:rsidRPr="005B4339">
              <w:rPr>
                <w:rFonts w:eastAsia="Times New Roman"/>
                <w:noProof/>
                <w:color w:val="000000" w:themeColor="text1"/>
                <w:sz w:val="22"/>
                <w:szCs w:val="22"/>
                <w:lang w:val="en-IE" w:eastAsia="en-IE"/>
              </w:rPr>
              <w:t> </w:t>
            </w:r>
          </w:p>
          <w:p w14:paraId="79F96F06" w14:textId="77777777" w:rsidR="00626E6A" w:rsidRPr="005B4339" w:rsidRDefault="00626E6A">
            <w:pPr>
              <w:spacing w:after="60"/>
              <w:jc w:val="left"/>
              <w:textAlignment w:val="baseline"/>
              <w:rPr>
                <w:rFonts w:eastAsia="Times New Roman"/>
                <w:noProof/>
                <w:color w:val="000000" w:themeColor="text1"/>
                <w:sz w:val="22"/>
                <w:szCs w:val="22"/>
                <w:lang w:val="en-IE" w:eastAsia="en-IE"/>
              </w:rPr>
            </w:pPr>
          </w:p>
        </w:tc>
        <w:tc>
          <w:tcPr>
            <w:tcW w:w="2835" w:type="dxa"/>
            <w:hideMark/>
          </w:tcPr>
          <w:p w14:paraId="20D72791" w14:textId="77777777" w:rsidR="00626E6A" w:rsidRPr="005B4339" w:rsidRDefault="00626E6A">
            <w:pPr>
              <w:spacing w:after="6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b/>
                <w:noProof/>
                <w:color w:val="000000" w:themeColor="text1"/>
                <w:sz w:val="22"/>
                <w:szCs w:val="22"/>
                <w:lang w:val="en-IE" w:eastAsia="en-IE"/>
              </w:rPr>
              <w:t> Household:  </w:t>
            </w:r>
          </w:p>
          <w:p w14:paraId="7915AE0E" w14:textId="581100D3" w:rsidR="00626E6A" w:rsidRPr="005B4339" w:rsidRDefault="001A1A58">
            <w:pPr>
              <w:spacing w:after="6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20</w:t>
            </w:r>
            <w:r w:rsidR="00626E6A" w:rsidRPr="005B4339">
              <w:rPr>
                <w:rFonts w:eastAsia="Times New Roman"/>
                <w:noProof/>
                <w:color w:val="000000" w:themeColor="text1"/>
                <w:sz w:val="22"/>
                <w:szCs w:val="22"/>
                <w:lang w:val="en-IE" w:eastAsia="en-IE"/>
              </w:rPr>
              <w:t xml:space="preserve"> EUR/ton to </w:t>
            </w:r>
            <w:r w:rsidRPr="005B4339">
              <w:rPr>
                <w:rFonts w:eastAsia="Times New Roman"/>
                <w:noProof/>
                <w:color w:val="000000" w:themeColor="text1"/>
                <w:sz w:val="22"/>
                <w:szCs w:val="22"/>
                <w:lang w:val="en-IE" w:eastAsia="en-IE"/>
              </w:rPr>
              <w:t>158</w:t>
            </w:r>
            <w:r w:rsidR="00626E6A" w:rsidRPr="005B4339">
              <w:rPr>
                <w:rFonts w:eastAsia="Times New Roman"/>
                <w:noProof/>
                <w:color w:val="000000" w:themeColor="text1"/>
                <w:sz w:val="22"/>
                <w:szCs w:val="22"/>
                <w:lang w:val="en-IE" w:eastAsia="en-IE"/>
              </w:rPr>
              <w:t xml:space="preserve"> EUR/ton</w:t>
            </w:r>
          </w:p>
        </w:tc>
      </w:tr>
      <w:tr w:rsidR="00626E6A" w:rsidRPr="005B4339" w14:paraId="2F71E5EB" w14:textId="77777777" w:rsidTr="3A623CED">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524" w:type="dxa"/>
            <w:hideMark/>
          </w:tcPr>
          <w:p w14:paraId="33862A61" w14:textId="77777777" w:rsidR="00626E6A" w:rsidRPr="005B4339" w:rsidRDefault="00626E6A">
            <w:pPr>
              <w:spacing w:after="60"/>
              <w:jc w:val="left"/>
              <w:rPr>
                <w:rFonts w:eastAsia="Times New Roman"/>
                <w:b w:val="0"/>
                <w:noProof/>
                <w:color w:val="000000" w:themeColor="text1"/>
                <w:sz w:val="22"/>
                <w:szCs w:val="22"/>
                <w:lang w:val="en-IE" w:eastAsia="en-IE"/>
              </w:rPr>
            </w:pPr>
          </w:p>
        </w:tc>
        <w:tc>
          <w:tcPr>
            <w:tcW w:w="2835" w:type="dxa"/>
            <w:hideMark/>
          </w:tcPr>
          <w:p w14:paraId="285A0759" w14:textId="77777777" w:rsidR="00626E6A" w:rsidRPr="005B4339" w:rsidRDefault="00626E6A">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fr-BE" w:eastAsia="en-IE"/>
              </w:rPr>
            </w:pPr>
            <w:r w:rsidRPr="005B4339">
              <w:rPr>
                <w:rFonts w:eastAsia="Times New Roman"/>
                <w:b/>
                <w:noProof/>
                <w:color w:val="000000" w:themeColor="text1"/>
                <w:sz w:val="22"/>
                <w:szCs w:val="22"/>
                <w:lang w:val="fr-BE" w:eastAsia="en-IE"/>
              </w:rPr>
              <w:t xml:space="preserve">PROC: </w:t>
            </w:r>
          </w:p>
          <w:p w14:paraId="20D896FC" w14:textId="0631107C" w:rsidR="00626E6A" w:rsidRPr="005B4339" w:rsidRDefault="00EA1011">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fr-BE" w:eastAsia="en-IE"/>
              </w:rPr>
            </w:pPr>
            <w:r w:rsidRPr="005B4339">
              <w:rPr>
                <w:rFonts w:eastAsia="Times New Roman"/>
                <w:noProof/>
                <w:color w:val="000000" w:themeColor="text1"/>
                <w:sz w:val="22"/>
                <w:szCs w:val="22"/>
                <w:lang w:val="fr-BE" w:eastAsia="en-IE"/>
              </w:rPr>
              <w:t>13</w:t>
            </w:r>
            <w:r w:rsidR="00626E6A" w:rsidRPr="005B4339">
              <w:rPr>
                <w:rFonts w:eastAsia="Times New Roman"/>
                <w:noProof/>
                <w:color w:val="000000" w:themeColor="text1"/>
                <w:sz w:val="22"/>
                <w:szCs w:val="22"/>
                <w:lang w:val="fr-BE" w:eastAsia="en-IE"/>
              </w:rPr>
              <w:t xml:space="preserve"> EUR/ton to </w:t>
            </w:r>
            <w:r w:rsidRPr="005B4339">
              <w:rPr>
                <w:rFonts w:eastAsia="Times New Roman"/>
                <w:noProof/>
                <w:color w:val="000000" w:themeColor="text1"/>
                <w:sz w:val="22"/>
                <w:szCs w:val="22"/>
                <w:lang w:val="fr-BE" w:eastAsia="en-IE"/>
              </w:rPr>
              <w:t>29</w:t>
            </w:r>
            <w:r w:rsidR="00626E6A" w:rsidRPr="005B4339">
              <w:rPr>
                <w:rFonts w:eastAsia="Times New Roman"/>
                <w:noProof/>
                <w:color w:val="000000" w:themeColor="text1"/>
                <w:sz w:val="22"/>
                <w:szCs w:val="22"/>
                <w:lang w:val="fr-BE" w:eastAsia="en-IE"/>
              </w:rPr>
              <w:t xml:space="preserve"> EUR/ton   </w:t>
            </w:r>
          </w:p>
          <w:p w14:paraId="3024F71F" w14:textId="77777777" w:rsidR="00626E6A" w:rsidRPr="005B4339" w:rsidRDefault="00626E6A">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sz w:val="22"/>
                <w:szCs w:val="22"/>
                <w:lang w:val="fr-BE" w:eastAsia="en-IE"/>
              </w:rPr>
            </w:pPr>
            <w:r w:rsidRPr="005B4339">
              <w:rPr>
                <w:rFonts w:eastAsia="Times New Roman"/>
                <w:b/>
                <w:noProof/>
                <w:color w:val="000000" w:themeColor="text1"/>
                <w:sz w:val="22"/>
                <w:szCs w:val="22"/>
                <w:lang w:val="fr-BE" w:eastAsia="en-IE"/>
              </w:rPr>
              <w:t>RETAIL</w:t>
            </w:r>
            <w:r w:rsidRPr="005B4339">
              <w:rPr>
                <w:rFonts w:eastAsia="Times New Roman"/>
                <w:noProof/>
                <w:color w:val="000000" w:themeColor="text1"/>
                <w:sz w:val="22"/>
                <w:szCs w:val="22"/>
                <w:lang w:val="fr-BE" w:eastAsia="en-IE"/>
              </w:rPr>
              <w:t xml:space="preserve">: </w:t>
            </w:r>
          </w:p>
          <w:p w14:paraId="1529353C" w14:textId="1EB2E245" w:rsidR="00626E6A" w:rsidRPr="005B4339" w:rsidRDefault="00EA1011">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fr-BE" w:eastAsia="en-IE"/>
              </w:rPr>
            </w:pPr>
            <w:r w:rsidRPr="005B4339">
              <w:rPr>
                <w:rFonts w:eastAsia="Times New Roman"/>
                <w:noProof/>
                <w:color w:val="000000" w:themeColor="text1"/>
                <w:sz w:val="22"/>
                <w:szCs w:val="22"/>
                <w:lang w:val="fr-BE" w:eastAsia="en-IE"/>
              </w:rPr>
              <w:t>25</w:t>
            </w:r>
            <w:r w:rsidR="00626E6A" w:rsidRPr="005B4339">
              <w:rPr>
                <w:rFonts w:eastAsia="Times New Roman"/>
                <w:noProof/>
                <w:color w:val="000000" w:themeColor="text1"/>
                <w:sz w:val="22"/>
                <w:szCs w:val="22"/>
                <w:lang w:val="fr-BE" w:eastAsia="en-IE"/>
              </w:rPr>
              <w:t xml:space="preserve"> EUR/ton to </w:t>
            </w:r>
            <w:r w:rsidRPr="005B4339">
              <w:rPr>
                <w:rFonts w:eastAsia="Times New Roman"/>
                <w:noProof/>
                <w:color w:val="000000" w:themeColor="text1"/>
                <w:sz w:val="22"/>
                <w:szCs w:val="22"/>
                <w:lang w:val="fr-BE" w:eastAsia="en-IE"/>
              </w:rPr>
              <w:t>123</w:t>
            </w:r>
            <w:r w:rsidR="00626E6A" w:rsidRPr="005B4339">
              <w:rPr>
                <w:rFonts w:eastAsia="Times New Roman"/>
                <w:noProof/>
                <w:color w:val="000000" w:themeColor="text1"/>
                <w:sz w:val="22"/>
                <w:szCs w:val="22"/>
                <w:lang w:val="fr-BE" w:eastAsia="en-IE"/>
              </w:rPr>
              <w:t xml:space="preserve"> EUR/ton  </w:t>
            </w:r>
          </w:p>
          <w:p w14:paraId="68EBF185" w14:textId="77777777" w:rsidR="00626E6A" w:rsidRPr="005B4339" w:rsidRDefault="00626E6A">
            <w:pPr>
              <w:spacing w:after="6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b/>
                <w:noProof/>
                <w:color w:val="000000" w:themeColor="text1"/>
                <w:sz w:val="22"/>
                <w:szCs w:val="22"/>
                <w:lang w:val="en-IE" w:eastAsia="en-IE"/>
              </w:rPr>
              <w:t>  </w:t>
            </w:r>
          </w:p>
        </w:tc>
      </w:tr>
    </w:tbl>
    <w:p w14:paraId="2605DA1C" w14:textId="77777777" w:rsidR="00626E6A" w:rsidRPr="005B4339" w:rsidRDefault="00626E6A" w:rsidP="00EC285C">
      <w:pPr>
        <w:pStyle w:val="Text2"/>
        <w:ind w:left="0"/>
        <w:rPr>
          <w:rFonts w:eastAsia="Calibri"/>
          <w:b/>
          <w:noProof/>
          <w:sz w:val="22"/>
          <w:szCs w:val="22"/>
          <w:lang w:val="en-IE"/>
        </w:rPr>
      </w:pPr>
    </w:p>
    <w:p w14:paraId="19B1A637" w14:textId="6F18E410" w:rsidR="00EC285C" w:rsidRPr="005B4339" w:rsidDel="008621C3" w:rsidRDefault="00915B68" w:rsidP="00915B68">
      <w:pPr>
        <w:pStyle w:val="Caption"/>
        <w:rPr>
          <w:noProof/>
          <w:color w:val="auto"/>
          <w:sz w:val="24"/>
          <w:szCs w:val="24"/>
          <w:lang w:val="en-IE"/>
        </w:rPr>
      </w:pPr>
      <w:bookmarkStart w:id="974" w:name="_Toc133229511"/>
      <w:bookmarkStart w:id="975" w:name="_Toc139032065"/>
      <w:r w:rsidRPr="005B4339">
        <w:rPr>
          <w:noProof/>
          <w:color w:val="auto"/>
          <w:sz w:val="24"/>
          <w:szCs w:val="24"/>
          <w:lang w:val="en-IE"/>
        </w:rPr>
        <w:t xml:space="preserve">Table </w:t>
      </w:r>
      <w:r w:rsidR="00393DFA">
        <w:rPr>
          <w:noProof/>
          <w:color w:val="auto"/>
          <w:sz w:val="24"/>
          <w:szCs w:val="24"/>
        </w:rPr>
        <w:t>49</w:t>
      </w:r>
      <w:r w:rsidRPr="005B4339">
        <w:rPr>
          <w:noProof/>
          <w:color w:val="auto"/>
          <w:sz w:val="24"/>
          <w:szCs w:val="24"/>
          <w:lang w:val="en-IE"/>
        </w:rPr>
        <w:t xml:space="preserve"> - </w:t>
      </w:r>
      <w:r w:rsidR="00626E6A" w:rsidRPr="005B4339">
        <w:rPr>
          <w:rFonts w:eastAsia="Calibri"/>
          <w:noProof/>
          <w:color w:val="auto"/>
          <w:sz w:val="24"/>
          <w:szCs w:val="24"/>
          <w:lang w:val="en-IE"/>
        </w:rPr>
        <w:t>Main</w:t>
      </w:r>
      <w:r w:rsidR="00EC285C" w:rsidRPr="005B4339">
        <w:rPr>
          <w:rFonts w:eastAsia="Calibri"/>
          <w:noProof/>
          <w:color w:val="auto"/>
          <w:sz w:val="24"/>
          <w:szCs w:val="24"/>
          <w:lang w:val="en-IE"/>
        </w:rPr>
        <w:t xml:space="preserve"> </w:t>
      </w:r>
      <w:r w:rsidRPr="005B4339">
        <w:rPr>
          <w:rFonts w:eastAsia="Calibri"/>
          <w:noProof/>
          <w:color w:val="auto"/>
          <w:sz w:val="24"/>
          <w:szCs w:val="24"/>
          <w:lang w:val="en-IE"/>
        </w:rPr>
        <w:t xml:space="preserve">food </w:t>
      </w:r>
      <w:r w:rsidR="00626E6A" w:rsidRPr="005B4339">
        <w:rPr>
          <w:rFonts w:eastAsia="Calibri"/>
          <w:noProof/>
          <w:color w:val="auto"/>
          <w:sz w:val="24"/>
          <w:szCs w:val="24"/>
          <w:lang w:val="en-IE"/>
        </w:rPr>
        <w:t>s</w:t>
      </w:r>
      <w:r w:rsidR="00EC285C" w:rsidRPr="005B4339">
        <w:rPr>
          <w:rFonts w:eastAsia="Calibri"/>
          <w:noProof/>
          <w:color w:val="auto"/>
          <w:sz w:val="24"/>
          <w:szCs w:val="24"/>
          <w:lang w:val="en-IE"/>
        </w:rPr>
        <w:t>ocial impacts</w:t>
      </w:r>
      <w:bookmarkEnd w:id="974"/>
      <w:bookmarkEnd w:id="975"/>
      <w:r w:rsidR="00EC285C" w:rsidRPr="005B4339">
        <w:rPr>
          <w:rFonts w:eastAsia="Calibri"/>
          <w:noProof/>
          <w:color w:val="auto"/>
          <w:sz w:val="24"/>
          <w:szCs w:val="24"/>
          <w:lang w:val="en-IE"/>
        </w:rPr>
        <w:t xml:space="preserve"> </w:t>
      </w:r>
    </w:p>
    <w:tbl>
      <w:tblPr>
        <w:tblStyle w:val="Tableausimple11"/>
        <w:tblW w:w="8500" w:type="dxa"/>
        <w:tblLook w:val="04A0" w:firstRow="1" w:lastRow="0" w:firstColumn="1" w:lastColumn="0" w:noHBand="0" w:noVBand="1"/>
      </w:tblPr>
      <w:tblGrid>
        <w:gridCol w:w="5524"/>
        <w:gridCol w:w="2976"/>
      </w:tblGrid>
      <w:tr w:rsidR="00626E6A" w:rsidRPr="005B4339" w14:paraId="32542E99" w14:textId="77777777" w:rsidTr="3A623CE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tcPr>
          <w:p w14:paraId="4F424B5F" w14:textId="77777777" w:rsidR="00626E6A" w:rsidRPr="005B4339" w:rsidRDefault="00626E6A">
            <w:pPr>
              <w:spacing w:after="0"/>
              <w:jc w:val="left"/>
              <w:textAlignment w:val="baseline"/>
              <w:rPr>
                <w:rFonts w:eastAsia="Times New Roman"/>
                <w:b w:val="0"/>
                <w:noProof/>
                <w:color w:val="000000" w:themeColor="text1"/>
                <w:sz w:val="22"/>
                <w:szCs w:val="22"/>
                <w:lang w:val="en-IE" w:eastAsia="en-IE"/>
              </w:rPr>
            </w:pPr>
            <w:r w:rsidRPr="005B4339">
              <w:rPr>
                <w:rFonts w:eastAsia="Times New Roman"/>
                <w:noProof/>
                <w:color w:val="000000" w:themeColor="text1"/>
                <w:sz w:val="22"/>
                <w:szCs w:val="22"/>
                <w:lang w:val="en-IE" w:eastAsia="en-IE"/>
              </w:rPr>
              <w:t>Impacts </w:t>
            </w:r>
          </w:p>
        </w:tc>
        <w:tc>
          <w:tcPr>
            <w:tcW w:w="2976" w:type="dxa"/>
          </w:tcPr>
          <w:p w14:paraId="79E0B11F" w14:textId="77777777" w:rsidR="00626E6A" w:rsidRPr="005B4339" w:rsidRDefault="00626E6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w:noProof/>
                <w:color w:val="000000" w:themeColor="text1"/>
                <w:sz w:val="22"/>
                <w:szCs w:val="22"/>
                <w:lang w:val="en-IE"/>
              </w:rPr>
            </w:pPr>
            <w:r w:rsidRPr="005B4339">
              <w:rPr>
                <w:rFonts w:eastAsia="Times New Roman"/>
                <w:noProof/>
                <w:color w:val="000000" w:themeColor="text1"/>
                <w:sz w:val="22"/>
                <w:szCs w:val="22"/>
                <w:lang w:val="en-IE" w:eastAsia="en-IE"/>
              </w:rPr>
              <w:t>Option 2</w:t>
            </w:r>
          </w:p>
        </w:tc>
      </w:tr>
      <w:tr w:rsidR="00626E6A" w:rsidRPr="005B4339" w14:paraId="490B0ECB" w14:textId="77777777" w:rsidTr="3A623C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628C62F8" w14:textId="77777777" w:rsidR="00626E6A" w:rsidRPr="005B4339" w:rsidRDefault="00626E6A">
            <w:pPr>
              <w:spacing w:after="0"/>
              <w:textAlignment w:val="baseline"/>
              <w:rPr>
                <w:rFonts w:eastAsia="Times New Roman"/>
                <w:b w:val="0"/>
                <w:noProof/>
                <w:color w:val="000000" w:themeColor="text1"/>
                <w:sz w:val="22"/>
                <w:szCs w:val="22"/>
                <w:lang w:val="en-IE" w:eastAsia="en-IE"/>
              </w:rPr>
            </w:pPr>
            <w:r w:rsidRPr="005B4339">
              <w:rPr>
                <w:rFonts w:eastAsia="Times New Roman"/>
                <w:noProof/>
                <w:color w:val="000000" w:themeColor="text1"/>
                <w:sz w:val="22"/>
                <w:szCs w:val="22"/>
                <w:lang w:val="en-IE" w:eastAsia="en-IE"/>
              </w:rPr>
              <w:t>Change in jobs in agri-food sectors</w:t>
            </w:r>
            <w:r w:rsidRPr="005B4339">
              <w:rPr>
                <w:rStyle w:val="FootnoteReference"/>
                <w:rFonts w:eastAsia="Times New Roman"/>
                <w:noProof/>
                <w:color w:val="000000" w:themeColor="text1"/>
                <w:sz w:val="22"/>
                <w:szCs w:val="22"/>
                <w:lang w:val="en-IE" w:eastAsia="en-IE"/>
              </w:rPr>
              <w:footnoteReference w:id="169"/>
            </w:r>
            <w:r w:rsidRPr="005B4339">
              <w:rPr>
                <w:rFonts w:eastAsia="Times New Roman"/>
                <w:noProof/>
                <w:color w:val="000000" w:themeColor="text1"/>
                <w:sz w:val="22"/>
                <w:szCs w:val="22"/>
                <w:lang w:val="en-IE" w:eastAsia="en-IE"/>
              </w:rPr>
              <w:t>   </w:t>
            </w:r>
          </w:p>
        </w:tc>
        <w:tc>
          <w:tcPr>
            <w:tcW w:w="2976" w:type="dxa"/>
            <w:hideMark/>
          </w:tcPr>
          <w:p w14:paraId="1BED2005" w14:textId="77777777" w:rsidR="00626E6A" w:rsidRPr="005B4339" w:rsidRDefault="00626E6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- 135 000, </w:t>
            </w:r>
          </w:p>
          <w:p w14:paraId="72F21157" w14:textId="77777777" w:rsidR="00626E6A" w:rsidRPr="005B4339" w:rsidRDefault="00626E6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 -1.3% </w:t>
            </w:r>
          </w:p>
        </w:tc>
      </w:tr>
      <w:tr w:rsidR="00626E6A" w:rsidRPr="005B4339" w14:paraId="75B909BF" w14:textId="77777777" w:rsidTr="3A623CED">
        <w:trPr>
          <w:trHeight w:val="51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48435C7C" w14:textId="76FD2B2D" w:rsidR="00626E6A" w:rsidRPr="005B4339" w:rsidRDefault="00626E6A">
            <w:pPr>
              <w:spacing w:after="0"/>
              <w:jc w:val="left"/>
              <w:textAlignment w:val="baseline"/>
              <w:rPr>
                <w:rFonts w:eastAsia="Times New Roman"/>
                <w:b w:val="0"/>
                <w:noProof/>
                <w:color w:val="000000" w:themeColor="text1"/>
                <w:sz w:val="22"/>
                <w:szCs w:val="22"/>
                <w:lang w:val="en-IE" w:eastAsia="en-IE"/>
              </w:rPr>
            </w:pPr>
            <w:r w:rsidRPr="005B4339">
              <w:rPr>
                <w:rFonts w:eastAsia="Times New Roman"/>
                <w:noProof/>
                <w:color w:val="000000" w:themeColor="text1"/>
                <w:sz w:val="22"/>
                <w:szCs w:val="22"/>
                <w:lang w:val="en-IE" w:eastAsia="en-IE"/>
              </w:rPr>
              <w:t xml:space="preserve">Average share of food expenditure (agri-food and food services) </w:t>
            </w:r>
            <w:r w:rsidRPr="005B4339">
              <w:rPr>
                <w:b w:val="0"/>
                <w:noProof/>
                <w:sz w:val="22"/>
                <w:szCs w:val="22"/>
                <w:lang w:val="en-IE"/>
              </w:rPr>
              <w:t>[% of total household expenditure]</w:t>
            </w:r>
            <w:r w:rsidRPr="005B4339">
              <w:rPr>
                <w:noProof/>
                <w:sz w:val="22"/>
                <w:szCs w:val="22"/>
                <w:lang w:val="en-IE"/>
              </w:rPr>
              <w:t>  </w:t>
            </w:r>
          </w:p>
        </w:tc>
        <w:tc>
          <w:tcPr>
            <w:tcW w:w="2976" w:type="dxa"/>
            <w:hideMark/>
          </w:tcPr>
          <w:p w14:paraId="0B40F7F7" w14:textId="77777777" w:rsidR="00626E6A" w:rsidRPr="005B4339" w:rsidRDefault="00626E6A">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17.0%  </w:t>
            </w:r>
          </w:p>
        </w:tc>
      </w:tr>
      <w:tr w:rsidR="00626E6A" w:rsidRPr="005B4339" w14:paraId="0E997936" w14:textId="77777777" w:rsidTr="3A623CE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56B7DBBF" w14:textId="77777777" w:rsidR="00626E6A" w:rsidRPr="005B4339" w:rsidRDefault="00626E6A">
            <w:pPr>
              <w:spacing w:after="0"/>
              <w:jc w:val="left"/>
              <w:textAlignment w:val="baseline"/>
              <w:rPr>
                <w:rFonts w:eastAsia="Times New Roman"/>
                <w:b w:val="0"/>
                <w:noProof/>
                <w:color w:val="000000" w:themeColor="text1"/>
                <w:sz w:val="22"/>
                <w:szCs w:val="22"/>
                <w:lang w:val="en-IE" w:eastAsia="en-IE"/>
              </w:rPr>
            </w:pPr>
            <w:r w:rsidRPr="005B4339">
              <w:rPr>
                <w:rFonts w:eastAsia="Times New Roman"/>
                <w:noProof/>
                <w:color w:val="000000" w:themeColor="text1"/>
                <w:sz w:val="22"/>
                <w:szCs w:val="22"/>
                <w:lang w:val="en-IE" w:eastAsia="en-IE"/>
              </w:rPr>
              <w:t xml:space="preserve">Savings in food expenditure per household (of four persons) </w:t>
            </w:r>
            <w:r w:rsidRPr="005B4339">
              <w:rPr>
                <w:b w:val="0"/>
                <w:noProof/>
                <w:sz w:val="22"/>
                <w:szCs w:val="22"/>
                <w:lang w:val="en-IE"/>
              </w:rPr>
              <w:t>[EUR per year]</w:t>
            </w:r>
          </w:p>
        </w:tc>
        <w:tc>
          <w:tcPr>
            <w:tcW w:w="2976" w:type="dxa"/>
            <w:hideMark/>
          </w:tcPr>
          <w:p w14:paraId="17E91C84" w14:textId="77777777" w:rsidR="00626E6A" w:rsidRPr="005B4339" w:rsidRDefault="00626E6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2"/>
                <w:szCs w:val="22"/>
                <w:lang w:val="en-IE" w:eastAsia="en-IE"/>
              </w:rPr>
            </w:pPr>
            <w:r w:rsidRPr="005B4339">
              <w:rPr>
                <w:rFonts w:eastAsia="Times New Roman"/>
                <w:noProof/>
                <w:color w:val="000000" w:themeColor="text1"/>
                <w:sz w:val="22"/>
                <w:szCs w:val="22"/>
                <w:lang w:val="en-IE" w:eastAsia="en-IE"/>
              </w:rPr>
              <w:t>439 </w:t>
            </w:r>
          </w:p>
        </w:tc>
      </w:tr>
    </w:tbl>
    <w:p w14:paraId="30CBBBAC" w14:textId="77777777" w:rsidR="00EC285C" w:rsidRPr="005B4339" w:rsidRDefault="00EC285C" w:rsidP="00EC285C">
      <w:pPr>
        <w:textAlignment w:val="baseline"/>
        <w:rPr>
          <w:rFonts w:eastAsia="Times New Roman"/>
          <w:noProof/>
          <w:color w:val="000000" w:themeColor="text1"/>
          <w:u w:val="single"/>
          <w:lang w:val="en-IE" w:eastAsia="en-IE"/>
        </w:rPr>
      </w:pPr>
    </w:p>
    <w:p w14:paraId="1CC96231" w14:textId="22B68473" w:rsidR="00F461F3" w:rsidRPr="005B4339" w:rsidRDefault="00F461F3" w:rsidP="00F461F3">
      <w:pPr>
        <w:pStyle w:val="Heading2"/>
        <w:ind w:left="480" w:firstLine="0"/>
        <w:rPr>
          <w:noProof/>
          <w:lang w:val="en-IE"/>
        </w:rPr>
      </w:pPr>
      <w:bookmarkStart w:id="976" w:name="_Toc898688080"/>
      <w:bookmarkStart w:id="977" w:name="_Toc293631942"/>
      <w:bookmarkStart w:id="978" w:name="_Toc942613718"/>
      <w:bookmarkStart w:id="979" w:name="_Toc8774388"/>
      <w:bookmarkStart w:id="980" w:name="_Toc1911762165"/>
      <w:bookmarkStart w:id="981" w:name="_Toc1056111804"/>
      <w:bookmarkStart w:id="982" w:name="_Toc728939841"/>
      <w:bookmarkStart w:id="983" w:name="_Toc8331947"/>
      <w:bookmarkStart w:id="984" w:name="_Toc139032141"/>
      <w:r w:rsidRPr="005B4339">
        <w:rPr>
          <w:noProof/>
          <w:lang w:val="en-IE"/>
        </w:rPr>
        <w:t>Impacts on competitiveness</w:t>
      </w:r>
      <w:bookmarkEnd w:id="976"/>
      <w:bookmarkEnd w:id="977"/>
      <w:bookmarkEnd w:id="978"/>
      <w:bookmarkEnd w:id="979"/>
      <w:bookmarkEnd w:id="980"/>
      <w:bookmarkEnd w:id="981"/>
      <w:bookmarkEnd w:id="982"/>
      <w:bookmarkEnd w:id="983"/>
      <w:bookmarkEnd w:id="984"/>
    </w:p>
    <w:p w14:paraId="74C8A739" w14:textId="6AD194DD" w:rsidR="00F461F3" w:rsidRPr="005B4339" w:rsidRDefault="00AC2FFC" w:rsidP="00AC2FFC">
      <w:pPr>
        <w:pStyle w:val="Caption"/>
        <w:rPr>
          <w:noProof/>
          <w:color w:val="auto"/>
          <w:sz w:val="24"/>
          <w:szCs w:val="24"/>
          <w:lang w:val="en-IE"/>
        </w:rPr>
      </w:pPr>
      <w:bookmarkStart w:id="985" w:name="_Toc133229512"/>
      <w:bookmarkStart w:id="986" w:name="_Toc139032066"/>
      <w:r w:rsidRPr="005B4339">
        <w:rPr>
          <w:noProof/>
          <w:color w:val="auto"/>
          <w:sz w:val="24"/>
          <w:szCs w:val="24"/>
          <w:lang w:val="en-IE"/>
        </w:rPr>
        <w:t xml:space="preserve">Table </w:t>
      </w:r>
      <w:r w:rsidR="00393DFA">
        <w:rPr>
          <w:noProof/>
          <w:color w:val="auto"/>
          <w:sz w:val="24"/>
          <w:szCs w:val="24"/>
        </w:rPr>
        <w:t>50</w:t>
      </w:r>
      <w:r w:rsidRPr="005B4339">
        <w:rPr>
          <w:noProof/>
          <w:color w:val="auto"/>
          <w:sz w:val="24"/>
          <w:szCs w:val="24"/>
          <w:lang w:val="en-IE"/>
        </w:rPr>
        <w:t xml:space="preserve"> - </w:t>
      </w:r>
      <w:r w:rsidR="00F461F3" w:rsidRPr="005B4339">
        <w:rPr>
          <w:noProof/>
          <w:color w:val="auto"/>
          <w:sz w:val="24"/>
          <w:szCs w:val="24"/>
          <w:lang w:val="en-IE"/>
        </w:rPr>
        <w:t>Overview of impacts on competitiveness</w:t>
      </w:r>
      <w:bookmarkEnd w:id="985"/>
      <w:bookmarkEnd w:id="986"/>
    </w:p>
    <w:tbl>
      <w:tblPr>
        <w:tblStyle w:val="TableGrid"/>
        <w:tblW w:w="0" w:type="auto"/>
        <w:tblLook w:val="04A0" w:firstRow="1" w:lastRow="0" w:firstColumn="1" w:lastColumn="0" w:noHBand="0" w:noVBand="1"/>
      </w:tblPr>
      <w:tblGrid>
        <w:gridCol w:w="3005"/>
        <w:gridCol w:w="3005"/>
        <w:gridCol w:w="3006"/>
      </w:tblGrid>
      <w:tr w:rsidR="00F461F3" w:rsidRPr="005B4339" w14:paraId="0C21E74E" w14:textId="77777777">
        <w:tc>
          <w:tcPr>
            <w:tcW w:w="3005" w:type="dxa"/>
            <w:tcBorders>
              <w:top w:val="single" w:sz="4" w:space="0" w:color="auto"/>
              <w:left w:val="single" w:sz="4" w:space="0" w:color="auto"/>
              <w:bottom w:val="single" w:sz="4" w:space="0" w:color="auto"/>
              <w:right w:val="single" w:sz="4" w:space="0" w:color="auto"/>
            </w:tcBorders>
            <w:hideMark/>
          </w:tcPr>
          <w:p w14:paraId="50C4231A" w14:textId="77777777" w:rsidR="00F461F3" w:rsidRPr="005B4339" w:rsidRDefault="00F461F3">
            <w:pPr>
              <w:spacing w:after="0"/>
              <w:rPr>
                <w:b/>
                <w:noProof/>
                <w:lang w:val="en-IE"/>
              </w:rPr>
            </w:pPr>
            <w:r w:rsidRPr="005B4339">
              <w:rPr>
                <w:b/>
                <w:noProof/>
                <w:lang w:val="en-IE"/>
              </w:rPr>
              <w:t>Dimensions of competitiveness</w:t>
            </w:r>
          </w:p>
        </w:tc>
        <w:tc>
          <w:tcPr>
            <w:tcW w:w="3005" w:type="dxa"/>
            <w:tcBorders>
              <w:top w:val="single" w:sz="4" w:space="0" w:color="auto"/>
              <w:left w:val="single" w:sz="4" w:space="0" w:color="auto"/>
              <w:bottom w:val="single" w:sz="4" w:space="0" w:color="auto"/>
              <w:right w:val="single" w:sz="4" w:space="0" w:color="auto"/>
            </w:tcBorders>
            <w:hideMark/>
          </w:tcPr>
          <w:p w14:paraId="0F837DC8" w14:textId="77777777" w:rsidR="00F461F3" w:rsidRPr="005B4339" w:rsidRDefault="00F461F3">
            <w:pPr>
              <w:spacing w:after="0"/>
              <w:rPr>
                <w:b/>
                <w:noProof/>
                <w:lang w:val="en-IE"/>
              </w:rPr>
            </w:pPr>
            <w:r w:rsidRPr="005B4339">
              <w:rPr>
                <w:b/>
                <w:noProof/>
                <w:lang w:val="en-IE"/>
              </w:rPr>
              <w:t>Impact of the initiative</w:t>
            </w:r>
          </w:p>
          <w:p w14:paraId="427D1342" w14:textId="77777777" w:rsidR="00F461F3" w:rsidRPr="005B4339" w:rsidRDefault="00F461F3">
            <w:pPr>
              <w:spacing w:after="0"/>
              <w:rPr>
                <w:b/>
                <w:noProof/>
                <w:lang w:val="en-IE"/>
              </w:rPr>
            </w:pPr>
            <w:r w:rsidRPr="005B4339">
              <w:rPr>
                <w:b/>
                <w:noProof/>
                <w:lang w:val="en-IE"/>
              </w:rPr>
              <w:t>(++ / + / 0 / - / -- / n.a.)</w:t>
            </w:r>
          </w:p>
        </w:tc>
        <w:tc>
          <w:tcPr>
            <w:tcW w:w="3006" w:type="dxa"/>
            <w:tcBorders>
              <w:top w:val="single" w:sz="4" w:space="0" w:color="auto"/>
              <w:left w:val="single" w:sz="4" w:space="0" w:color="auto"/>
              <w:bottom w:val="single" w:sz="4" w:space="0" w:color="auto"/>
              <w:right w:val="single" w:sz="4" w:space="0" w:color="auto"/>
            </w:tcBorders>
            <w:hideMark/>
          </w:tcPr>
          <w:p w14:paraId="5358AE41" w14:textId="77777777" w:rsidR="00F461F3" w:rsidRPr="005B4339" w:rsidRDefault="00F461F3">
            <w:pPr>
              <w:spacing w:after="0"/>
              <w:rPr>
                <w:b/>
                <w:noProof/>
                <w:lang w:val="en-IE"/>
              </w:rPr>
            </w:pPr>
            <w:r w:rsidRPr="005B4339">
              <w:rPr>
                <w:b/>
                <w:noProof/>
                <w:lang w:val="en-IE"/>
              </w:rPr>
              <w:t>References to sub-sections of the main report or annexes</w:t>
            </w:r>
          </w:p>
        </w:tc>
      </w:tr>
      <w:tr w:rsidR="00F461F3" w:rsidRPr="005B4339" w14:paraId="58D8F4C7" w14:textId="77777777">
        <w:tc>
          <w:tcPr>
            <w:tcW w:w="3005" w:type="dxa"/>
            <w:tcBorders>
              <w:top w:val="single" w:sz="4" w:space="0" w:color="auto"/>
              <w:left w:val="single" w:sz="4" w:space="0" w:color="auto"/>
              <w:bottom w:val="single" w:sz="4" w:space="0" w:color="auto"/>
              <w:right w:val="single" w:sz="4" w:space="0" w:color="auto"/>
            </w:tcBorders>
            <w:hideMark/>
          </w:tcPr>
          <w:p w14:paraId="0BB36033" w14:textId="77777777" w:rsidR="00F461F3" w:rsidRPr="005B4339" w:rsidRDefault="00F461F3">
            <w:pPr>
              <w:spacing w:after="0"/>
              <w:rPr>
                <w:noProof/>
                <w:lang w:val="en-IE"/>
              </w:rPr>
            </w:pPr>
            <w:r w:rsidRPr="005B4339">
              <w:rPr>
                <w:noProof/>
                <w:lang w:val="en-IE"/>
              </w:rPr>
              <w:t>Cost and price competitiveness</w:t>
            </w:r>
          </w:p>
        </w:tc>
        <w:tc>
          <w:tcPr>
            <w:tcW w:w="3005" w:type="dxa"/>
            <w:tcBorders>
              <w:top w:val="single" w:sz="4" w:space="0" w:color="auto"/>
              <w:left w:val="single" w:sz="4" w:space="0" w:color="auto"/>
              <w:bottom w:val="single" w:sz="4" w:space="0" w:color="auto"/>
              <w:right w:val="single" w:sz="4" w:space="0" w:color="auto"/>
            </w:tcBorders>
            <w:hideMark/>
          </w:tcPr>
          <w:p w14:paraId="7B7E353A" w14:textId="746CD14E" w:rsidR="00F461F3" w:rsidRPr="005B4339" w:rsidRDefault="00595F94">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hideMark/>
          </w:tcPr>
          <w:p w14:paraId="33CCF4D2" w14:textId="7029FBEB" w:rsidR="00F461F3" w:rsidRPr="005B4339" w:rsidRDefault="00F461F3">
            <w:pPr>
              <w:spacing w:after="0"/>
              <w:jc w:val="center"/>
              <w:rPr>
                <w:noProof/>
                <w:lang w:val="en-IE"/>
              </w:rPr>
            </w:pPr>
            <w:r w:rsidRPr="005B4339">
              <w:rPr>
                <w:noProof/>
                <w:lang w:val="en-IE"/>
              </w:rPr>
              <w:t>Annex 11</w:t>
            </w:r>
            <w:r w:rsidR="00595F94" w:rsidRPr="005B4339">
              <w:rPr>
                <w:noProof/>
                <w:lang w:val="en-IE"/>
              </w:rPr>
              <w:t>, Annex 15</w:t>
            </w:r>
          </w:p>
        </w:tc>
      </w:tr>
      <w:tr w:rsidR="00F461F3" w:rsidRPr="005B4339" w14:paraId="69CD61FF" w14:textId="77777777">
        <w:tc>
          <w:tcPr>
            <w:tcW w:w="3005" w:type="dxa"/>
            <w:tcBorders>
              <w:top w:val="single" w:sz="4" w:space="0" w:color="auto"/>
              <w:left w:val="single" w:sz="4" w:space="0" w:color="auto"/>
              <w:bottom w:val="single" w:sz="4" w:space="0" w:color="auto"/>
              <w:right w:val="single" w:sz="4" w:space="0" w:color="auto"/>
            </w:tcBorders>
            <w:hideMark/>
          </w:tcPr>
          <w:p w14:paraId="163363FE" w14:textId="77777777" w:rsidR="00F461F3" w:rsidRPr="005B4339" w:rsidRDefault="00F461F3">
            <w:pPr>
              <w:spacing w:after="0"/>
              <w:rPr>
                <w:noProof/>
                <w:lang w:val="en-IE"/>
              </w:rPr>
            </w:pPr>
            <w:r w:rsidRPr="005B4339">
              <w:rPr>
                <w:noProof/>
                <w:lang w:val="en-IE"/>
              </w:rPr>
              <w:t>Capacity to innovate</w:t>
            </w:r>
          </w:p>
        </w:tc>
        <w:tc>
          <w:tcPr>
            <w:tcW w:w="3005" w:type="dxa"/>
            <w:tcBorders>
              <w:top w:val="single" w:sz="4" w:space="0" w:color="auto"/>
              <w:left w:val="single" w:sz="4" w:space="0" w:color="auto"/>
              <w:bottom w:val="single" w:sz="4" w:space="0" w:color="auto"/>
              <w:right w:val="single" w:sz="4" w:space="0" w:color="auto"/>
            </w:tcBorders>
            <w:hideMark/>
          </w:tcPr>
          <w:p w14:paraId="4C8FB7C0" w14:textId="324FC0C9" w:rsidR="00F461F3" w:rsidRPr="005B4339" w:rsidRDefault="00F461F3">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hideMark/>
          </w:tcPr>
          <w:p w14:paraId="40892E98" w14:textId="77777777" w:rsidR="00F461F3" w:rsidRPr="005B4339" w:rsidRDefault="00F461F3">
            <w:pPr>
              <w:spacing w:after="0"/>
              <w:jc w:val="center"/>
              <w:rPr>
                <w:noProof/>
                <w:lang w:val="en-IE"/>
              </w:rPr>
            </w:pPr>
            <w:r w:rsidRPr="005B4339">
              <w:rPr>
                <w:noProof/>
                <w:lang w:val="en-IE"/>
              </w:rPr>
              <w:t>Annex 11</w:t>
            </w:r>
          </w:p>
        </w:tc>
      </w:tr>
      <w:tr w:rsidR="00F461F3" w:rsidRPr="005B4339" w14:paraId="381A3ED1" w14:textId="77777777">
        <w:tc>
          <w:tcPr>
            <w:tcW w:w="3005" w:type="dxa"/>
            <w:tcBorders>
              <w:top w:val="single" w:sz="4" w:space="0" w:color="auto"/>
              <w:left w:val="single" w:sz="4" w:space="0" w:color="auto"/>
              <w:bottom w:val="single" w:sz="4" w:space="0" w:color="auto"/>
              <w:right w:val="single" w:sz="4" w:space="0" w:color="auto"/>
            </w:tcBorders>
            <w:hideMark/>
          </w:tcPr>
          <w:p w14:paraId="0735593E" w14:textId="77777777" w:rsidR="00F461F3" w:rsidRPr="005B4339" w:rsidRDefault="00F461F3">
            <w:pPr>
              <w:spacing w:after="0"/>
              <w:rPr>
                <w:noProof/>
                <w:lang w:val="en-IE"/>
              </w:rPr>
            </w:pPr>
            <w:r w:rsidRPr="005B4339">
              <w:rPr>
                <w:noProof/>
                <w:lang w:val="en-IE"/>
              </w:rPr>
              <w:t>International competitiveness</w:t>
            </w:r>
          </w:p>
        </w:tc>
        <w:tc>
          <w:tcPr>
            <w:tcW w:w="3005" w:type="dxa"/>
            <w:tcBorders>
              <w:top w:val="single" w:sz="4" w:space="0" w:color="auto"/>
              <w:left w:val="single" w:sz="4" w:space="0" w:color="auto"/>
              <w:bottom w:val="single" w:sz="4" w:space="0" w:color="auto"/>
              <w:right w:val="single" w:sz="4" w:space="0" w:color="auto"/>
            </w:tcBorders>
            <w:hideMark/>
          </w:tcPr>
          <w:p w14:paraId="24AD5EB1" w14:textId="78B60718" w:rsidR="00F461F3" w:rsidRPr="005B4339" w:rsidRDefault="00FB00B2">
            <w:pPr>
              <w:spacing w:after="0"/>
              <w:jc w:val="center"/>
              <w:rPr>
                <w:noProof/>
                <w:lang w:val="en-IE"/>
              </w:rPr>
            </w:pPr>
            <w:r w:rsidRPr="005B4339">
              <w:rPr>
                <w:noProof/>
                <w:lang w:val="en-IE"/>
              </w:rPr>
              <w:t>+</w:t>
            </w:r>
          </w:p>
        </w:tc>
        <w:tc>
          <w:tcPr>
            <w:tcW w:w="3006" w:type="dxa"/>
            <w:tcBorders>
              <w:top w:val="single" w:sz="4" w:space="0" w:color="auto"/>
              <w:left w:val="single" w:sz="4" w:space="0" w:color="auto"/>
              <w:bottom w:val="single" w:sz="4" w:space="0" w:color="auto"/>
              <w:right w:val="single" w:sz="4" w:space="0" w:color="auto"/>
            </w:tcBorders>
            <w:hideMark/>
          </w:tcPr>
          <w:p w14:paraId="2A166480" w14:textId="77777777" w:rsidR="00F461F3" w:rsidRPr="005B4339" w:rsidRDefault="00F461F3">
            <w:pPr>
              <w:spacing w:after="0"/>
              <w:jc w:val="center"/>
              <w:rPr>
                <w:noProof/>
                <w:lang w:val="en-IE"/>
              </w:rPr>
            </w:pPr>
            <w:r w:rsidRPr="005B4339">
              <w:rPr>
                <w:noProof/>
                <w:lang w:val="en-IE"/>
              </w:rPr>
              <w:t>Annex 11</w:t>
            </w:r>
          </w:p>
        </w:tc>
      </w:tr>
      <w:tr w:rsidR="00F461F3" w:rsidRPr="005B4339" w14:paraId="33D53B58" w14:textId="77777777">
        <w:tc>
          <w:tcPr>
            <w:tcW w:w="3005" w:type="dxa"/>
            <w:tcBorders>
              <w:top w:val="single" w:sz="4" w:space="0" w:color="auto"/>
              <w:left w:val="single" w:sz="4" w:space="0" w:color="auto"/>
              <w:bottom w:val="single" w:sz="4" w:space="0" w:color="auto"/>
              <w:right w:val="single" w:sz="4" w:space="0" w:color="auto"/>
            </w:tcBorders>
            <w:hideMark/>
          </w:tcPr>
          <w:p w14:paraId="61E8BA3B" w14:textId="77777777" w:rsidR="00F461F3" w:rsidRPr="005B4339" w:rsidRDefault="00F461F3">
            <w:pPr>
              <w:spacing w:after="0"/>
              <w:rPr>
                <w:noProof/>
                <w:lang w:val="en-IE"/>
              </w:rPr>
            </w:pPr>
            <w:r w:rsidRPr="005B4339">
              <w:rPr>
                <w:noProof/>
                <w:lang w:val="en-IE"/>
              </w:rPr>
              <w:t>SME competitiveness</w:t>
            </w:r>
          </w:p>
        </w:tc>
        <w:tc>
          <w:tcPr>
            <w:tcW w:w="3005" w:type="dxa"/>
            <w:tcBorders>
              <w:top w:val="single" w:sz="4" w:space="0" w:color="auto"/>
              <w:left w:val="single" w:sz="4" w:space="0" w:color="auto"/>
              <w:bottom w:val="single" w:sz="4" w:space="0" w:color="auto"/>
              <w:right w:val="single" w:sz="4" w:space="0" w:color="auto"/>
            </w:tcBorders>
            <w:hideMark/>
          </w:tcPr>
          <w:p w14:paraId="383D4F43" w14:textId="77777777" w:rsidR="00F461F3" w:rsidRPr="005B4339" w:rsidRDefault="00F461F3">
            <w:pPr>
              <w:spacing w:after="0"/>
              <w:jc w:val="center"/>
              <w:rPr>
                <w:noProof/>
                <w:lang w:val="en-IE"/>
              </w:rPr>
            </w:pPr>
            <w:r w:rsidRPr="005B4339">
              <w:rPr>
                <w:noProof/>
                <w:lang w:val="en-IE"/>
              </w:rPr>
              <w:t>0</w:t>
            </w:r>
          </w:p>
        </w:tc>
        <w:tc>
          <w:tcPr>
            <w:tcW w:w="3006" w:type="dxa"/>
            <w:tcBorders>
              <w:top w:val="single" w:sz="4" w:space="0" w:color="auto"/>
              <w:left w:val="single" w:sz="4" w:space="0" w:color="auto"/>
              <w:bottom w:val="single" w:sz="4" w:space="0" w:color="auto"/>
              <w:right w:val="single" w:sz="4" w:space="0" w:color="auto"/>
            </w:tcBorders>
            <w:hideMark/>
          </w:tcPr>
          <w:p w14:paraId="23169169" w14:textId="549C4105" w:rsidR="00F461F3" w:rsidRPr="005B4339" w:rsidRDefault="00F461F3">
            <w:pPr>
              <w:spacing w:after="0"/>
              <w:jc w:val="center"/>
              <w:rPr>
                <w:noProof/>
                <w:lang w:val="en-IE"/>
              </w:rPr>
            </w:pPr>
            <w:r w:rsidRPr="005B4339">
              <w:rPr>
                <w:noProof/>
                <w:lang w:val="en-IE"/>
              </w:rPr>
              <w:t>Annex 11</w:t>
            </w:r>
            <w:r w:rsidR="00502D97" w:rsidRPr="005B4339">
              <w:rPr>
                <w:noProof/>
                <w:lang w:val="en-IE"/>
              </w:rPr>
              <w:t>, Annex 15</w:t>
            </w:r>
          </w:p>
        </w:tc>
      </w:tr>
    </w:tbl>
    <w:p w14:paraId="16525C6A" w14:textId="77777777" w:rsidR="00F461F3" w:rsidRPr="005B4339" w:rsidRDefault="00F461F3" w:rsidP="00F461F3">
      <w:pPr>
        <w:spacing w:after="120"/>
        <w:rPr>
          <w:rFonts w:asciiTheme="minorHAnsi" w:hAnsiTheme="minorHAnsi" w:cstheme="minorBidi"/>
          <w:noProof/>
          <w:sz w:val="22"/>
          <w:szCs w:val="22"/>
          <w:lang w:val="en-IE"/>
        </w:rPr>
      </w:pPr>
    </w:p>
    <w:p w14:paraId="6DCE90D3" w14:textId="2BBB2C49" w:rsidR="00556ED3" w:rsidRPr="005B4339" w:rsidRDefault="00F461F3" w:rsidP="00F461F3">
      <w:pPr>
        <w:rPr>
          <w:noProof/>
          <w:lang w:val="en-IE"/>
        </w:rPr>
      </w:pPr>
      <w:r w:rsidRPr="005B4339">
        <w:rPr>
          <w:b/>
          <w:noProof/>
          <w:lang w:val="en-IE"/>
        </w:rPr>
        <w:t>Costs and competitiveness</w:t>
      </w:r>
      <w:r w:rsidRPr="005B4339">
        <w:rPr>
          <w:noProof/>
          <w:lang w:val="en-IE"/>
        </w:rPr>
        <w:t xml:space="preserve"> – The initiative </w:t>
      </w:r>
      <w:r w:rsidR="00AC7738" w:rsidRPr="005B4339">
        <w:rPr>
          <w:noProof/>
          <w:lang w:val="en-IE"/>
        </w:rPr>
        <w:t>is expected to result with national action</w:t>
      </w:r>
      <w:r w:rsidR="00EE63BD" w:rsidRPr="005B4339">
        <w:rPr>
          <w:noProof/>
          <w:lang w:val="en-IE"/>
        </w:rPr>
        <w:t>s</w:t>
      </w:r>
      <w:r w:rsidR="00AC7738" w:rsidRPr="005B4339">
        <w:rPr>
          <w:noProof/>
          <w:lang w:val="en-IE"/>
        </w:rPr>
        <w:t xml:space="preserve"> to support food waste prevention</w:t>
      </w:r>
      <w:r w:rsidR="00EE63BD" w:rsidRPr="005B4339">
        <w:rPr>
          <w:noProof/>
          <w:lang w:val="en-IE"/>
        </w:rPr>
        <w:t>.</w:t>
      </w:r>
      <w:r w:rsidR="00AC7738" w:rsidRPr="005B4339">
        <w:rPr>
          <w:noProof/>
          <w:lang w:val="en-IE"/>
        </w:rPr>
        <w:t xml:space="preserve"> </w:t>
      </w:r>
      <w:r w:rsidR="001038D6" w:rsidRPr="005B4339">
        <w:rPr>
          <w:noProof/>
          <w:lang w:val="en-IE"/>
        </w:rPr>
        <w:t>It is expected that</w:t>
      </w:r>
      <w:r w:rsidR="00904E74" w:rsidRPr="005B4339">
        <w:rPr>
          <w:noProof/>
          <w:lang w:val="en-IE"/>
        </w:rPr>
        <w:t xml:space="preserve"> </w:t>
      </w:r>
      <w:r w:rsidR="001038D6" w:rsidRPr="005B4339">
        <w:rPr>
          <w:noProof/>
          <w:lang w:val="en-IE"/>
        </w:rPr>
        <w:t xml:space="preserve">food business operators which will optimize their business process will </w:t>
      </w:r>
      <w:r w:rsidR="004F3007" w:rsidRPr="005B4339">
        <w:rPr>
          <w:noProof/>
          <w:lang w:val="en-IE"/>
        </w:rPr>
        <w:t>become more competitive. However</w:t>
      </w:r>
      <w:r w:rsidR="00EC5ADD" w:rsidRPr="005B4339">
        <w:rPr>
          <w:noProof/>
          <w:lang w:val="en-IE"/>
        </w:rPr>
        <w:t>,</w:t>
      </w:r>
      <w:r w:rsidR="004F3007" w:rsidRPr="005B4339">
        <w:rPr>
          <w:noProof/>
          <w:lang w:val="en-IE"/>
        </w:rPr>
        <w:t xml:space="preserve"> this IA is not able to quantify that process. </w:t>
      </w:r>
      <w:r w:rsidR="002E53EA" w:rsidRPr="005B4339">
        <w:rPr>
          <w:noProof/>
          <w:lang w:val="en-IE"/>
        </w:rPr>
        <w:t xml:space="preserve">Based on exchanges with </w:t>
      </w:r>
      <w:r w:rsidR="00337722" w:rsidRPr="005B4339">
        <w:rPr>
          <w:noProof/>
          <w:lang w:val="en-IE"/>
        </w:rPr>
        <w:t xml:space="preserve">stakeholders </w:t>
      </w:r>
      <w:r w:rsidR="004F6AB4" w:rsidRPr="005B4339">
        <w:rPr>
          <w:noProof/>
          <w:lang w:val="en-IE"/>
        </w:rPr>
        <w:t>it</w:t>
      </w:r>
      <w:r w:rsidR="00EC5ADD" w:rsidRPr="005B4339">
        <w:rPr>
          <w:noProof/>
          <w:lang w:val="en-IE"/>
        </w:rPr>
        <w:t xml:space="preserve"> expected that </w:t>
      </w:r>
      <w:r w:rsidR="002E53EA" w:rsidRPr="005B4339">
        <w:rPr>
          <w:noProof/>
          <w:lang w:val="en-IE"/>
        </w:rPr>
        <w:t xml:space="preserve">the costs for </w:t>
      </w:r>
      <w:r w:rsidR="004F6AB4" w:rsidRPr="005B4339">
        <w:rPr>
          <w:noProof/>
          <w:lang w:val="en-IE"/>
        </w:rPr>
        <w:t xml:space="preserve">adapting the operation will be quickly offset by savings from reduction </w:t>
      </w:r>
      <w:r w:rsidR="00556ED3" w:rsidRPr="005B4339">
        <w:rPr>
          <w:noProof/>
          <w:lang w:val="en-IE"/>
        </w:rPr>
        <w:t xml:space="preserve">due to less waste (lower treatment costs) and savings on raw material purchases. </w:t>
      </w:r>
    </w:p>
    <w:p w14:paraId="292F34F2" w14:textId="77777777" w:rsidR="00996751" w:rsidRPr="005B4339" w:rsidRDefault="00996751" w:rsidP="00996751">
      <w:pPr>
        <w:spacing w:after="0"/>
        <w:rPr>
          <w:noProof/>
          <w:lang w:val="en-IE"/>
        </w:rPr>
      </w:pPr>
      <w:r w:rsidRPr="005B4339">
        <w:rPr>
          <w:noProof/>
          <w:lang w:val="en-IE"/>
        </w:rPr>
        <w:t xml:space="preserve">It is generally regarded that food business operators have an inherent economic incentive to reduce food waste as it impacts directly on their profits. Moreover, numerous business cases shows that more insight on food waste generation in their operations, measurement of food waste and taking action to address hotspots brings significant savings, with some </w:t>
      </w:r>
      <w:hyperlink r:id="rId178" w:history="1">
        <w:r w:rsidRPr="005B4339">
          <w:rPr>
            <w:rStyle w:val="Hyperlink"/>
            <w:noProof/>
            <w:lang w:val="en-IE"/>
          </w:rPr>
          <w:t>reports</w:t>
        </w:r>
      </w:hyperlink>
      <w:r w:rsidRPr="005B4339">
        <w:rPr>
          <w:noProof/>
          <w:lang w:val="en-IE"/>
        </w:rPr>
        <w:t xml:space="preserve"> indicating average benefits-cost ratio of 7:1 or even more. Similar business cases analysis covered hotels </w:t>
      </w:r>
      <w:hyperlink r:id="rId179" w:history="1">
        <w:r w:rsidRPr="005B4339">
          <w:rPr>
            <w:rStyle w:val="Hyperlink"/>
            <w:noProof/>
            <w:lang w:val="en-IE"/>
          </w:rPr>
          <w:t>The Business Case for Reducing Food Loss and Waste: Hotels | Champions 12.3 (champions123.org)</w:t>
        </w:r>
      </w:hyperlink>
      <w:r w:rsidRPr="005B4339">
        <w:rPr>
          <w:noProof/>
          <w:lang w:val="en-IE"/>
        </w:rPr>
        <w:t xml:space="preserve">, catering </w:t>
      </w:r>
      <w:hyperlink r:id="rId180" w:history="1">
        <w:r w:rsidRPr="005B4339">
          <w:rPr>
            <w:rStyle w:val="Hyperlink"/>
            <w:noProof/>
            <w:lang w:val="en-IE"/>
          </w:rPr>
          <w:t>The Business Case for Reducing Food Loss and Waste: Catering | Champions 12.3 (champions123.org)</w:t>
        </w:r>
      </w:hyperlink>
      <w:r w:rsidRPr="005B4339">
        <w:rPr>
          <w:noProof/>
          <w:lang w:val="en-IE"/>
        </w:rPr>
        <w:t xml:space="preserve"> or food business in general </w:t>
      </w:r>
      <w:hyperlink r:id="rId181" w:history="1">
        <w:r w:rsidRPr="005B4339">
          <w:rPr>
            <w:rStyle w:val="Hyperlink"/>
            <w:noProof/>
            <w:lang w:val="en-IE"/>
          </w:rPr>
          <w:t>The Business Case for Reducing Food Loss and Waste | Champions 12.3 (champions123.org)</w:t>
        </w:r>
      </w:hyperlink>
      <w:r w:rsidRPr="005B4339">
        <w:rPr>
          <w:noProof/>
          <w:lang w:val="en-IE"/>
        </w:rPr>
        <w:t>.</w:t>
      </w:r>
    </w:p>
    <w:p w14:paraId="2DD5A3F6" w14:textId="77777777" w:rsidR="00996751" w:rsidRPr="005B4339" w:rsidRDefault="00996751" w:rsidP="00996751">
      <w:pPr>
        <w:spacing w:after="0"/>
        <w:rPr>
          <w:noProof/>
          <w:lang w:val="en-IE"/>
        </w:rPr>
      </w:pPr>
    </w:p>
    <w:p w14:paraId="42256489" w14:textId="5E29CA95" w:rsidR="00566309" w:rsidRPr="005B4339" w:rsidRDefault="00F461F3" w:rsidP="00F461F3">
      <w:pPr>
        <w:rPr>
          <w:noProof/>
          <w:lang w:val="en-IE"/>
        </w:rPr>
      </w:pPr>
      <w:r w:rsidRPr="005B4339">
        <w:rPr>
          <w:b/>
          <w:noProof/>
          <w:lang w:val="en-IE"/>
        </w:rPr>
        <w:t>Capacity to innovate</w:t>
      </w:r>
      <w:r w:rsidRPr="005B4339">
        <w:rPr>
          <w:noProof/>
          <w:lang w:val="en-IE"/>
        </w:rPr>
        <w:t xml:space="preserve"> – The </w:t>
      </w:r>
      <w:r w:rsidR="00566309" w:rsidRPr="005B4339">
        <w:rPr>
          <w:noProof/>
          <w:lang w:val="en-IE"/>
        </w:rPr>
        <w:t>targets of reduction of food waste should create additional incentive in</w:t>
      </w:r>
      <w:r w:rsidR="00502D97" w:rsidRPr="005B4339">
        <w:rPr>
          <w:noProof/>
          <w:lang w:val="en-IE"/>
        </w:rPr>
        <w:t xml:space="preserve"> several areas of innovation</w:t>
      </w:r>
      <w:r w:rsidR="00D501CD" w:rsidRPr="005B4339">
        <w:rPr>
          <w:noProof/>
          <w:lang w:val="en-IE"/>
        </w:rPr>
        <w:t xml:space="preserve">, </w:t>
      </w:r>
      <w:r w:rsidR="00502D97" w:rsidRPr="005B4339">
        <w:rPr>
          <w:noProof/>
          <w:lang w:val="en-IE"/>
        </w:rPr>
        <w:t xml:space="preserve">such as </w:t>
      </w:r>
      <w:r w:rsidR="00A70B7E" w:rsidRPr="005B4339">
        <w:rPr>
          <w:noProof/>
          <w:lang w:val="en-IE"/>
        </w:rPr>
        <w:t xml:space="preserve">use/uptake of digital tools </w:t>
      </w:r>
      <w:r w:rsidR="00FE31E0" w:rsidRPr="005B4339">
        <w:rPr>
          <w:noProof/>
          <w:lang w:val="en-IE"/>
        </w:rPr>
        <w:t>(e.g.</w:t>
      </w:r>
      <w:r w:rsidR="002D5EEE" w:rsidRPr="005B4339">
        <w:rPr>
          <w:noProof/>
          <w:lang w:val="en-IE"/>
        </w:rPr>
        <w:t>,</w:t>
      </w:r>
      <w:r w:rsidR="00FE31E0" w:rsidRPr="005B4339">
        <w:rPr>
          <w:noProof/>
          <w:lang w:val="en-IE"/>
        </w:rPr>
        <w:t xml:space="preserve"> optimisation of stock and logistics, food</w:t>
      </w:r>
      <w:r w:rsidR="00A70B7E" w:rsidRPr="005B4339">
        <w:rPr>
          <w:noProof/>
          <w:lang w:val="en-IE"/>
        </w:rPr>
        <w:t xml:space="preserve"> sharing applications, food consumption prognosis)</w:t>
      </w:r>
      <w:r w:rsidR="003E0570" w:rsidRPr="005B4339">
        <w:rPr>
          <w:noProof/>
          <w:lang w:val="en-IE"/>
        </w:rPr>
        <w:t xml:space="preserve"> or bioeconomy </w:t>
      </w:r>
      <w:r w:rsidR="00D36180" w:rsidRPr="005B4339">
        <w:rPr>
          <w:noProof/>
          <w:lang w:val="en-IE"/>
        </w:rPr>
        <w:t>(drive to find high value use for food not destined for human con</w:t>
      </w:r>
      <w:r w:rsidR="00D501CD" w:rsidRPr="005B4339">
        <w:rPr>
          <w:noProof/>
          <w:lang w:val="en-IE"/>
        </w:rPr>
        <w:t xml:space="preserve">sumption). </w:t>
      </w:r>
      <w:r w:rsidR="00A70B7E" w:rsidRPr="005B4339">
        <w:rPr>
          <w:noProof/>
          <w:lang w:val="en-IE"/>
        </w:rPr>
        <w:t xml:space="preserve"> </w:t>
      </w:r>
      <w:r w:rsidR="00E04E92" w:rsidRPr="005B4339">
        <w:rPr>
          <w:noProof/>
          <w:lang w:val="en-IE"/>
        </w:rPr>
        <w:t xml:space="preserve">As sharing of best practices is one of </w:t>
      </w:r>
      <w:r w:rsidR="002D5EEE" w:rsidRPr="005B4339">
        <w:rPr>
          <w:noProof/>
          <w:lang w:val="en-IE"/>
        </w:rPr>
        <w:t xml:space="preserve">the </w:t>
      </w:r>
      <w:r w:rsidR="00E04E92" w:rsidRPr="005B4339">
        <w:rPr>
          <w:noProof/>
          <w:lang w:val="en-IE"/>
        </w:rPr>
        <w:t>most often used tool</w:t>
      </w:r>
      <w:r w:rsidR="002D5EEE" w:rsidRPr="005B4339">
        <w:rPr>
          <w:noProof/>
          <w:lang w:val="en-IE"/>
        </w:rPr>
        <w:t>s</w:t>
      </w:r>
      <w:r w:rsidR="00E04E92" w:rsidRPr="005B4339">
        <w:rPr>
          <w:noProof/>
          <w:lang w:val="en-IE"/>
        </w:rPr>
        <w:t xml:space="preserve"> at </w:t>
      </w:r>
      <w:r w:rsidR="00552ABD" w:rsidRPr="005B4339">
        <w:rPr>
          <w:noProof/>
          <w:lang w:val="en-IE"/>
        </w:rPr>
        <w:t>both at EU (</w:t>
      </w:r>
      <w:r w:rsidR="00E04E92" w:rsidRPr="005B4339">
        <w:rPr>
          <w:noProof/>
          <w:lang w:val="en-IE"/>
        </w:rPr>
        <w:t>EU Platform on Food Losses and Food Waste)</w:t>
      </w:r>
      <w:r w:rsidR="00552ABD" w:rsidRPr="005B4339">
        <w:rPr>
          <w:noProof/>
          <w:lang w:val="en-IE"/>
        </w:rPr>
        <w:t xml:space="preserve"> and national levels</w:t>
      </w:r>
      <w:r w:rsidR="002D5EEE" w:rsidRPr="005B4339">
        <w:rPr>
          <w:noProof/>
          <w:lang w:val="en-IE"/>
        </w:rPr>
        <w:t>,</w:t>
      </w:r>
      <w:r w:rsidR="00552ABD" w:rsidRPr="005B4339">
        <w:rPr>
          <w:noProof/>
          <w:lang w:val="en-IE"/>
        </w:rPr>
        <w:t xml:space="preserve"> it is expected that </w:t>
      </w:r>
      <w:r w:rsidR="007E2F82" w:rsidRPr="005B4339">
        <w:rPr>
          <w:noProof/>
          <w:lang w:val="en-IE"/>
        </w:rPr>
        <w:t>the uptake of innovation will be spreading fast.</w:t>
      </w:r>
    </w:p>
    <w:p w14:paraId="28A0F531" w14:textId="34300F44" w:rsidR="00ED434A" w:rsidRPr="005B4339" w:rsidRDefault="00F461F3" w:rsidP="00F461F3">
      <w:pPr>
        <w:rPr>
          <w:noProof/>
          <w:lang w:val="en-IE"/>
        </w:rPr>
      </w:pPr>
      <w:r w:rsidRPr="005B4339">
        <w:rPr>
          <w:b/>
          <w:noProof/>
          <w:lang w:val="en-IE"/>
        </w:rPr>
        <w:t>International competitiveness</w:t>
      </w:r>
      <w:r w:rsidRPr="005B4339">
        <w:rPr>
          <w:noProof/>
          <w:lang w:val="en-IE"/>
        </w:rPr>
        <w:t xml:space="preserve"> – </w:t>
      </w:r>
      <w:r w:rsidR="007E2F82" w:rsidRPr="005B4339">
        <w:rPr>
          <w:noProof/>
          <w:lang w:val="en-IE"/>
        </w:rPr>
        <w:t xml:space="preserve">Food waste reduction targets </w:t>
      </w:r>
      <w:r w:rsidR="003D240F" w:rsidRPr="005B4339">
        <w:rPr>
          <w:noProof/>
          <w:lang w:val="en-IE"/>
        </w:rPr>
        <w:t xml:space="preserve">have no direct impact. However, the model </w:t>
      </w:r>
      <w:r w:rsidR="00ED434A" w:rsidRPr="005B4339">
        <w:rPr>
          <w:noProof/>
          <w:lang w:val="en-IE"/>
        </w:rPr>
        <w:t>expected</w:t>
      </w:r>
      <w:r w:rsidR="003D240F" w:rsidRPr="005B4339">
        <w:rPr>
          <w:noProof/>
          <w:lang w:val="en-IE"/>
        </w:rPr>
        <w:t xml:space="preserve"> that as result of </w:t>
      </w:r>
      <w:r w:rsidR="00ED434A" w:rsidRPr="005B4339">
        <w:rPr>
          <w:noProof/>
          <w:lang w:val="en-IE"/>
        </w:rPr>
        <w:t xml:space="preserve">reduction on demand for food the prices on EU market will </w:t>
      </w:r>
      <w:r w:rsidR="00E200CD" w:rsidRPr="005B4339">
        <w:rPr>
          <w:noProof/>
          <w:lang w:val="en-IE"/>
        </w:rPr>
        <w:t>decrease, making</w:t>
      </w:r>
      <w:r w:rsidR="00ED434A" w:rsidRPr="005B4339">
        <w:rPr>
          <w:noProof/>
          <w:lang w:val="en-IE"/>
        </w:rPr>
        <w:t xml:space="preserve"> European food </w:t>
      </w:r>
      <w:r w:rsidR="00E200CD" w:rsidRPr="005B4339">
        <w:rPr>
          <w:noProof/>
          <w:lang w:val="en-IE"/>
        </w:rPr>
        <w:t>relatively cheaper</w:t>
      </w:r>
      <w:r w:rsidR="00ED434A" w:rsidRPr="005B4339">
        <w:rPr>
          <w:noProof/>
          <w:lang w:val="en-IE"/>
        </w:rPr>
        <w:t xml:space="preserve"> at the international markets. This mechanism and expected values are described in Annex 11 (section on trade impacts).</w:t>
      </w:r>
    </w:p>
    <w:p w14:paraId="218B1F97" w14:textId="62D6C22B" w:rsidR="00F461F3" w:rsidRPr="005B4339" w:rsidRDefault="00F461F3" w:rsidP="00F461F3">
      <w:pPr>
        <w:rPr>
          <w:noProof/>
          <w:lang w:val="en-IE"/>
        </w:rPr>
      </w:pPr>
      <w:r w:rsidRPr="005B4339">
        <w:rPr>
          <w:b/>
          <w:noProof/>
          <w:lang w:val="en-IE"/>
        </w:rPr>
        <w:t xml:space="preserve">SME competitiveness – </w:t>
      </w:r>
      <w:r w:rsidR="002918F6" w:rsidRPr="005B4339">
        <w:rPr>
          <w:rFonts w:eastAsia="Times New Roman"/>
          <w:noProof/>
          <w:color w:val="000000" w:themeColor="text1"/>
          <w:lang w:val="en-IE" w:eastAsia="en-GB"/>
        </w:rPr>
        <w:t>It</w:t>
      </w:r>
      <w:r w:rsidR="004D3086" w:rsidRPr="005B4339">
        <w:rPr>
          <w:rFonts w:eastAsia="Times New Roman"/>
          <w:noProof/>
          <w:color w:val="000000" w:themeColor="text1"/>
          <w:lang w:val="en-IE" w:eastAsia="en-GB"/>
        </w:rPr>
        <w:t xml:space="preserve"> is expected that there will be no impact on compet</w:t>
      </w:r>
      <w:r w:rsidR="001A3E9D" w:rsidRPr="005B4339">
        <w:rPr>
          <w:rFonts w:eastAsia="Times New Roman"/>
          <w:noProof/>
          <w:color w:val="000000" w:themeColor="text1"/>
          <w:lang w:val="en-IE" w:eastAsia="en-GB"/>
        </w:rPr>
        <w:t xml:space="preserve">itiveness of SMEs – </w:t>
      </w:r>
      <w:r w:rsidR="002918F6" w:rsidRPr="005B4339">
        <w:rPr>
          <w:rFonts w:eastAsia="Times New Roman"/>
          <w:noProof/>
          <w:color w:val="000000" w:themeColor="text1"/>
          <w:lang w:val="en-IE" w:eastAsia="en-GB"/>
        </w:rPr>
        <w:t>i.e.</w:t>
      </w:r>
      <w:r w:rsidR="002D5EEE" w:rsidRPr="005B4339">
        <w:rPr>
          <w:rFonts w:eastAsia="Times New Roman"/>
          <w:noProof/>
          <w:color w:val="000000" w:themeColor="text1"/>
          <w:lang w:val="en-IE" w:eastAsia="en-GB"/>
        </w:rPr>
        <w:t>,</w:t>
      </w:r>
      <w:r w:rsidR="001A3E9D" w:rsidRPr="005B4339">
        <w:rPr>
          <w:rFonts w:eastAsia="Times New Roman"/>
          <w:noProof/>
          <w:color w:val="000000" w:themeColor="text1"/>
          <w:lang w:val="en-IE" w:eastAsia="en-GB"/>
        </w:rPr>
        <w:t xml:space="preserve"> </w:t>
      </w:r>
      <w:r w:rsidR="004D3086" w:rsidRPr="005B4339">
        <w:rPr>
          <w:rFonts w:eastAsia="Times New Roman"/>
          <w:noProof/>
          <w:color w:val="000000" w:themeColor="text1"/>
          <w:lang w:val="en-IE" w:eastAsia="en-GB"/>
        </w:rPr>
        <w:t>distribution of costs and benefits</w:t>
      </w:r>
      <w:r w:rsidR="001A3E9D" w:rsidRPr="005B4339">
        <w:rPr>
          <w:rFonts w:eastAsia="Times New Roman"/>
          <w:noProof/>
          <w:color w:val="000000" w:themeColor="text1"/>
          <w:lang w:val="en-IE" w:eastAsia="en-GB"/>
        </w:rPr>
        <w:t xml:space="preserve"> </w:t>
      </w:r>
      <w:r w:rsidR="002918F6" w:rsidRPr="005B4339">
        <w:rPr>
          <w:rFonts w:eastAsia="Times New Roman"/>
          <w:noProof/>
          <w:color w:val="000000" w:themeColor="text1"/>
          <w:lang w:val="en-IE" w:eastAsia="en-GB"/>
        </w:rPr>
        <w:t xml:space="preserve">resulting from the proposed policy option </w:t>
      </w:r>
      <w:r w:rsidR="004D3086" w:rsidRPr="005B4339">
        <w:rPr>
          <w:rFonts w:eastAsia="Times New Roman"/>
          <w:noProof/>
          <w:color w:val="000000" w:themeColor="text1"/>
          <w:lang w:val="en-IE" w:eastAsia="en-GB"/>
        </w:rPr>
        <w:t>are expected to be similar</w:t>
      </w:r>
      <w:r w:rsidR="00F45DC2" w:rsidRPr="005B4339">
        <w:rPr>
          <w:rFonts w:eastAsia="Times New Roman"/>
          <w:noProof/>
          <w:color w:val="000000" w:themeColor="text1"/>
          <w:lang w:val="en-IE" w:eastAsia="en-GB"/>
        </w:rPr>
        <w:t>,</w:t>
      </w:r>
      <w:r w:rsidR="004D3086" w:rsidRPr="005B4339">
        <w:rPr>
          <w:rFonts w:eastAsia="Times New Roman"/>
          <w:noProof/>
          <w:color w:val="000000" w:themeColor="text1"/>
          <w:lang w:val="en-IE" w:eastAsia="en-GB"/>
        </w:rPr>
        <w:t xml:space="preserve"> regardless of business size. </w:t>
      </w:r>
      <w:r w:rsidR="001A3E9D" w:rsidRPr="005B4339">
        <w:rPr>
          <w:rFonts w:eastAsia="Times New Roman"/>
          <w:noProof/>
          <w:color w:val="000000" w:themeColor="text1"/>
          <w:lang w:val="en-IE" w:eastAsia="en-GB"/>
        </w:rPr>
        <w:t>See Annex 15 for more details.</w:t>
      </w:r>
    </w:p>
    <w:p w14:paraId="714796E1" w14:textId="22B68473" w:rsidR="00F461F3" w:rsidRPr="005B4339" w:rsidRDefault="00F461F3" w:rsidP="00F461F3">
      <w:pPr>
        <w:pStyle w:val="Heading2"/>
        <w:ind w:left="480" w:firstLine="0"/>
        <w:rPr>
          <w:noProof/>
          <w:lang w:val="en-IE"/>
        </w:rPr>
      </w:pPr>
      <w:bookmarkStart w:id="987" w:name="_Toc195422307"/>
      <w:bookmarkStart w:id="988" w:name="_Toc1129617348"/>
      <w:bookmarkStart w:id="989" w:name="_Toc700736819"/>
      <w:bookmarkStart w:id="990" w:name="_Toc513936116"/>
      <w:bookmarkStart w:id="991" w:name="_Toc2069048575"/>
      <w:bookmarkStart w:id="992" w:name="_Toc1506604623"/>
      <w:bookmarkStart w:id="993" w:name="_Toc1724589369"/>
      <w:bookmarkStart w:id="994" w:name="_Toc43180016"/>
      <w:bookmarkStart w:id="995" w:name="_Toc139032142"/>
      <w:r w:rsidRPr="005B4339">
        <w:rPr>
          <w:noProof/>
          <w:lang w:val="en-IE"/>
        </w:rPr>
        <w:t>Impacts on third countries</w:t>
      </w:r>
      <w:bookmarkEnd w:id="987"/>
      <w:bookmarkEnd w:id="988"/>
      <w:bookmarkEnd w:id="989"/>
      <w:bookmarkEnd w:id="990"/>
      <w:bookmarkEnd w:id="991"/>
      <w:bookmarkEnd w:id="992"/>
      <w:bookmarkEnd w:id="993"/>
      <w:bookmarkEnd w:id="994"/>
      <w:bookmarkEnd w:id="995"/>
    </w:p>
    <w:p w14:paraId="613CBCEC" w14:textId="77777777" w:rsidR="00721446" w:rsidRPr="005B4339" w:rsidRDefault="00721446" w:rsidP="00F461F3">
      <w:pPr>
        <w:spacing w:after="120"/>
        <w:rPr>
          <w:noProof/>
          <w:lang w:val="en-IE"/>
        </w:rPr>
      </w:pPr>
      <w:r w:rsidRPr="005B4339">
        <w:rPr>
          <w:noProof/>
          <w:lang w:val="en-IE"/>
        </w:rPr>
        <w:t>See section on international competitiveness above. No other impact on third countries is expected.</w:t>
      </w:r>
    </w:p>
    <w:p w14:paraId="0E31E3BC" w14:textId="22B68473" w:rsidR="00184D6A" w:rsidRPr="005B4339" w:rsidRDefault="000A7677" w:rsidP="00184D6A">
      <w:pPr>
        <w:pStyle w:val="Heading2"/>
        <w:ind w:left="480" w:firstLine="0"/>
        <w:rPr>
          <w:noProof/>
          <w:lang w:val="en-IE"/>
        </w:rPr>
      </w:pPr>
      <w:bookmarkStart w:id="996" w:name="_Toc742988486"/>
      <w:bookmarkStart w:id="997" w:name="_Toc1702879697"/>
      <w:bookmarkStart w:id="998" w:name="_Toc1989976702"/>
      <w:bookmarkStart w:id="999" w:name="_Toc411498802"/>
      <w:bookmarkStart w:id="1000" w:name="_Toc1320145441"/>
      <w:bookmarkStart w:id="1001" w:name="_Toc981101770"/>
      <w:bookmarkStart w:id="1002" w:name="_Toc494048186"/>
      <w:bookmarkStart w:id="1003" w:name="_Toc717376454"/>
      <w:bookmarkStart w:id="1004" w:name="_Toc139032143"/>
      <w:r w:rsidRPr="005B4339">
        <w:rPr>
          <w:noProof/>
          <w:lang w:val="en-IE"/>
        </w:rPr>
        <w:t xml:space="preserve">3 - </w:t>
      </w:r>
      <w:r w:rsidR="00184D6A" w:rsidRPr="005B4339">
        <w:rPr>
          <w:noProof/>
          <w:lang w:val="en-IE"/>
        </w:rPr>
        <w:t>Combined effects of the preferred measures on textiles and food waste</w:t>
      </w:r>
      <w:bookmarkEnd w:id="996"/>
      <w:bookmarkEnd w:id="997"/>
      <w:bookmarkEnd w:id="998"/>
      <w:bookmarkEnd w:id="999"/>
      <w:bookmarkEnd w:id="1000"/>
      <w:bookmarkEnd w:id="1001"/>
      <w:bookmarkEnd w:id="1002"/>
      <w:bookmarkEnd w:id="1003"/>
      <w:bookmarkEnd w:id="1004"/>
    </w:p>
    <w:p w14:paraId="59C5AE7E" w14:textId="540C766F" w:rsidR="000A7677" w:rsidRPr="005B4339" w:rsidRDefault="000A7677" w:rsidP="000A7677">
      <w:pPr>
        <w:pStyle w:val="Caption"/>
        <w:rPr>
          <w:noProof/>
          <w:color w:val="auto"/>
          <w:sz w:val="24"/>
          <w:szCs w:val="24"/>
          <w:lang w:val="en-IE"/>
        </w:rPr>
      </w:pPr>
      <w:bookmarkStart w:id="1005" w:name="_Toc133229513"/>
      <w:bookmarkStart w:id="1006" w:name="_Toc139032067"/>
      <w:r w:rsidRPr="005B4339">
        <w:rPr>
          <w:noProof/>
          <w:color w:val="auto"/>
          <w:sz w:val="24"/>
          <w:szCs w:val="24"/>
          <w:lang w:val="en-IE"/>
        </w:rPr>
        <w:t xml:space="preserve">Table </w:t>
      </w:r>
      <w:r w:rsidR="00393DFA">
        <w:rPr>
          <w:noProof/>
          <w:color w:val="auto"/>
          <w:sz w:val="24"/>
          <w:szCs w:val="24"/>
        </w:rPr>
        <w:t>51</w:t>
      </w:r>
      <w:r w:rsidR="000101A5" w:rsidRPr="005B4339">
        <w:rPr>
          <w:noProof/>
          <w:color w:val="auto"/>
          <w:sz w:val="24"/>
          <w:szCs w:val="24"/>
          <w:lang w:val="en-IE"/>
        </w:rPr>
        <w:t xml:space="preserve"> – Combined impacts of the pre</w:t>
      </w:r>
      <w:r w:rsidRPr="005B4339">
        <w:rPr>
          <w:noProof/>
          <w:color w:val="auto"/>
          <w:sz w:val="24"/>
          <w:szCs w:val="24"/>
          <w:lang w:val="en-IE"/>
        </w:rPr>
        <w:t>fer</w:t>
      </w:r>
      <w:r w:rsidR="000101A5" w:rsidRPr="005B4339">
        <w:rPr>
          <w:noProof/>
          <w:color w:val="auto"/>
          <w:sz w:val="24"/>
          <w:szCs w:val="24"/>
          <w:lang w:val="en-IE"/>
        </w:rPr>
        <w:t>red</w:t>
      </w:r>
      <w:r w:rsidRPr="005B4339">
        <w:rPr>
          <w:noProof/>
          <w:color w:val="auto"/>
          <w:sz w:val="24"/>
          <w:szCs w:val="24"/>
          <w:lang w:val="en-IE"/>
        </w:rPr>
        <w:t xml:space="preserve"> measures on textiles and food waste</w:t>
      </w:r>
      <w:bookmarkEnd w:id="1005"/>
      <w:bookmarkEnd w:id="1006"/>
    </w:p>
    <w:tbl>
      <w:tblPr>
        <w:tblStyle w:val="TableGrid"/>
        <w:tblW w:w="9209" w:type="dxa"/>
        <w:tblLook w:val="04A0" w:firstRow="1" w:lastRow="0" w:firstColumn="1" w:lastColumn="0" w:noHBand="0" w:noVBand="1"/>
      </w:tblPr>
      <w:tblGrid>
        <w:gridCol w:w="2405"/>
        <w:gridCol w:w="3827"/>
        <w:gridCol w:w="2977"/>
      </w:tblGrid>
      <w:tr w:rsidR="00184D6A" w:rsidRPr="005B4339" w14:paraId="053DE404" w14:textId="77777777">
        <w:trPr>
          <w:trHeight w:val="386"/>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AFA6AEE" w14:textId="77777777" w:rsidR="00184D6A" w:rsidRPr="005B4339" w:rsidRDefault="00184D6A">
            <w:pPr>
              <w:spacing w:after="160" w:line="240" w:lineRule="atLeast"/>
              <w:jc w:val="left"/>
              <w:rPr>
                <w:rFonts w:eastAsiaTheme="minorHAnsi"/>
                <w:b/>
                <w:noProof/>
                <w:color w:val="000000"/>
                <w:lang w:val="en-IE" w:eastAsia="en-US"/>
              </w:rPr>
            </w:pPr>
            <w:r w:rsidRPr="005B4339">
              <w:rPr>
                <w:rFonts w:eastAsiaTheme="minorHAnsi"/>
                <w:b/>
                <w:noProof/>
                <w:color w:val="000000"/>
                <w:lang w:val="en-IE" w:eastAsia="en-US"/>
              </w:rPr>
              <w:t xml:space="preserve">Preferred combined option </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E4F8D0" w14:textId="77777777" w:rsidR="00184D6A" w:rsidRPr="005B4339" w:rsidRDefault="00184D6A">
            <w:pPr>
              <w:spacing w:after="160" w:line="240" w:lineRule="atLeast"/>
              <w:jc w:val="center"/>
              <w:rPr>
                <w:rFonts w:eastAsiaTheme="minorHAnsi"/>
                <w:b/>
                <w:noProof/>
                <w:color w:val="000000"/>
                <w:lang w:val="en-IE" w:eastAsia="en-US"/>
              </w:rPr>
            </w:pPr>
            <w:r w:rsidRPr="005B4339">
              <w:rPr>
                <w:rFonts w:eastAsiaTheme="minorHAnsi"/>
                <w:b/>
                <w:noProof/>
                <w:color w:val="000000"/>
                <w:lang w:val="en-IE" w:eastAsia="en-US"/>
              </w:rPr>
              <w:t>Description of impact</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2A20EC" w14:textId="77777777" w:rsidR="00184D6A" w:rsidRPr="005B4339" w:rsidRDefault="00184D6A">
            <w:pPr>
              <w:spacing w:after="160" w:line="240" w:lineRule="atLeast"/>
              <w:jc w:val="center"/>
              <w:rPr>
                <w:rFonts w:eastAsiaTheme="minorHAnsi"/>
                <w:b/>
                <w:noProof/>
                <w:color w:val="000000"/>
                <w:lang w:val="en-IE" w:eastAsia="en-US"/>
              </w:rPr>
            </w:pPr>
            <w:r w:rsidRPr="005B4339">
              <w:rPr>
                <w:rFonts w:eastAsiaTheme="minorHAnsi"/>
                <w:b/>
                <w:noProof/>
                <w:color w:val="000000"/>
                <w:lang w:val="en-IE" w:eastAsia="en-US"/>
              </w:rPr>
              <w:t>Overall balance</w:t>
            </w:r>
          </w:p>
        </w:tc>
      </w:tr>
      <w:tr w:rsidR="00184D6A" w:rsidRPr="005B4339" w14:paraId="5A5997DF" w14:textId="77777777">
        <w:tc>
          <w:tcPr>
            <w:tcW w:w="240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611E9B" w14:textId="72AF4467" w:rsidR="00184D6A" w:rsidRPr="005B4339" w:rsidRDefault="00184D6A">
            <w:pPr>
              <w:spacing w:after="160" w:line="240" w:lineRule="atLeast"/>
              <w:jc w:val="left"/>
              <w:rPr>
                <w:rFonts w:eastAsiaTheme="minorHAnsi"/>
                <w:b/>
                <w:noProof/>
                <w:color w:val="000000"/>
                <w:lang w:val="en-IE" w:eastAsia="en-US"/>
              </w:rPr>
            </w:pPr>
            <w:r w:rsidRPr="005B4339">
              <w:rPr>
                <w:rFonts w:eastAsiaTheme="minorHAnsi"/>
                <w:b/>
                <w:noProof/>
                <w:color w:val="000000"/>
                <w:lang w:val="en-IE" w:eastAsia="en-US"/>
              </w:rPr>
              <w:t xml:space="preserve">Option 2 - </w:t>
            </w:r>
            <w:r w:rsidRPr="005B4339">
              <w:rPr>
                <w:b/>
                <w:noProof/>
                <w:lang w:val="en-IE"/>
              </w:rPr>
              <w:t>Additional regulatory requirements + target for textiles</w:t>
            </w:r>
          </w:p>
        </w:tc>
        <w:tc>
          <w:tcPr>
            <w:tcW w:w="38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2E00024" w14:textId="49C5269B" w:rsidR="00184D6A" w:rsidRPr="005B4339" w:rsidRDefault="00184D6A" w:rsidP="00936EC0">
            <w:pPr>
              <w:spacing w:after="120" w:line="240" w:lineRule="atLeast"/>
              <w:jc w:val="left"/>
              <w:rPr>
                <w:noProof/>
                <w:color w:val="000000" w:themeColor="text1"/>
                <w:lang w:val="en-IE"/>
              </w:rPr>
            </w:pPr>
            <w:r w:rsidRPr="005B4339">
              <w:rPr>
                <w:b/>
                <w:noProof/>
                <w:color w:val="000000" w:themeColor="text1"/>
                <w:lang w:val="en-IE"/>
              </w:rPr>
              <w:t>Economic costs</w:t>
            </w:r>
            <w:r w:rsidR="00936EC0" w:rsidRPr="005B4339">
              <w:rPr>
                <w:b/>
                <w:noProof/>
                <w:color w:val="000000" w:themeColor="text1"/>
                <w:lang w:val="en-IE"/>
              </w:rPr>
              <w:t xml:space="preserve"> for textiles</w:t>
            </w:r>
            <w:r w:rsidRPr="005B4339">
              <w:rPr>
                <w:noProof/>
                <w:color w:val="000000" w:themeColor="text1"/>
                <w:lang w:val="en-IE"/>
              </w:rPr>
              <w:t xml:space="preserve">: </w:t>
            </w:r>
          </w:p>
          <w:p w14:paraId="6320E644"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€913 million per year for sorting obligations</w:t>
            </w:r>
          </w:p>
          <w:p w14:paraId="002E9939"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Register development costs of €2-12.3 million across Member States and maintenance costs of €11 200 and 69 000 per Member State per year</w:t>
            </w:r>
          </w:p>
          <w:p w14:paraId="16B8BD02" w14:textId="67B220BB"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w:t>
            </w:r>
            <w:r w:rsidR="00015208" w:rsidRPr="005B4339">
              <w:rPr>
                <w:noProof/>
                <w:color w:val="000000" w:themeColor="text1"/>
                <w:lang w:val="en-IE"/>
              </w:rPr>
              <w:t>7</w:t>
            </w:r>
            <w:r w:rsidRPr="005B4339">
              <w:rPr>
                <w:noProof/>
                <w:color w:val="000000" w:themeColor="text1"/>
                <w:lang w:val="en-IE"/>
              </w:rPr>
              <w:t>.</w:t>
            </w:r>
            <w:r w:rsidR="00015208" w:rsidRPr="005B4339">
              <w:rPr>
                <w:noProof/>
                <w:color w:val="000000" w:themeColor="text1"/>
                <w:lang w:val="en-IE"/>
              </w:rPr>
              <w:t>79</w:t>
            </w:r>
            <w:r w:rsidRPr="005B4339">
              <w:rPr>
                <w:noProof/>
                <w:color w:val="000000" w:themeColor="text1"/>
                <w:lang w:val="en-IE"/>
              </w:rPr>
              <w:t xml:space="preserve"> million per year for producers to report for the purpose of EPR</w:t>
            </w:r>
          </w:p>
          <w:p w14:paraId="4837AA07" w14:textId="593C3936"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w:t>
            </w:r>
            <w:r w:rsidR="00015208" w:rsidRPr="005B4339">
              <w:rPr>
                <w:noProof/>
                <w:color w:val="000000" w:themeColor="text1"/>
                <w:lang w:val="en-IE"/>
              </w:rPr>
              <w:t>4</w:t>
            </w:r>
            <w:r w:rsidRPr="005B4339">
              <w:rPr>
                <w:noProof/>
                <w:color w:val="000000" w:themeColor="text1"/>
                <w:lang w:val="en-IE"/>
              </w:rPr>
              <w:t>.</w:t>
            </w:r>
            <w:r w:rsidR="00015208" w:rsidRPr="005B4339">
              <w:rPr>
                <w:noProof/>
                <w:color w:val="000000" w:themeColor="text1"/>
                <w:lang w:val="en-IE"/>
              </w:rPr>
              <w:t>0</w:t>
            </w:r>
            <w:r w:rsidRPr="005B4339">
              <w:rPr>
                <w:noProof/>
                <w:color w:val="000000" w:themeColor="text1"/>
                <w:lang w:val="en-IE"/>
              </w:rPr>
              <w:t>4 million costs of operating PRO registers and inspections</w:t>
            </w:r>
          </w:p>
          <w:p w14:paraId="1A82AE83"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€39.2 million euro per year for additional textile collection, sorting and treatment in Member States that are unlikely to meet a 50% collection target by 2035</w:t>
            </w:r>
          </w:p>
          <w:p w14:paraId="226D86B9"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 xml:space="preserve">€208 euro per competent authority and €78 per exporter annualised per inspection </w:t>
            </w:r>
          </w:p>
          <w:p w14:paraId="5ED62459"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 xml:space="preserve">€750 000 per year for EU enterprises to comply with EU reporting obligations </w:t>
            </w:r>
          </w:p>
          <w:p w14:paraId="583D4C90" w14:textId="7D286FAA" w:rsidR="000225AE" w:rsidRPr="005B4339" w:rsidRDefault="00752265"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€26.5 million l</w:t>
            </w:r>
            <w:r w:rsidR="000225AE" w:rsidRPr="005B4339">
              <w:rPr>
                <w:noProof/>
                <w:color w:val="000000" w:themeColor="text1"/>
                <w:lang w:val="en-IE"/>
              </w:rPr>
              <w:t>andfill tax loss for Member States due to textiles diverted from landfills</w:t>
            </w:r>
          </w:p>
          <w:p w14:paraId="52D9DF48" w14:textId="7A5E8FB4" w:rsidR="00936EC0" w:rsidRPr="005B4339" w:rsidRDefault="00936EC0" w:rsidP="00936EC0">
            <w:pPr>
              <w:spacing w:after="120" w:line="240" w:lineRule="atLeast"/>
              <w:jc w:val="left"/>
              <w:rPr>
                <w:noProof/>
                <w:color w:val="000000" w:themeColor="text1"/>
                <w:lang w:val="en-IE"/>
              </w:rPr>
            </w:pPr>
            <w:r w:rsidRPr="005B4339">
              <w:rPr>
                <w:b/>
                <w:noProof/>
                <w:color w:val="000000" w:themeColor="text1"/>
                <w:lang w:val="en-IE"/>
              </w:rPr>
              <w:t>Economic costs for food</w:t>
            </w:r>
            <w:r w:rsidRPr="005B4339">
              <w:rPr>
                <w:noProof/>
                <w:color w:val="000000" w:themeColor="text1"/>
                <w:lang w:val="en-IE"/>
              </w:rPr>
              <w:t xml:space="preserve">: </w:t>
            </w:r>
          </w:p>
          <w:p w14:paraId="69084DBD" w14:textId="77777777" w:rsidR="00184D6A" w:rsidRPr="005B4339" w:rsidRDefault="00184D6A">
            <w:pPr>
              <w:spacing w:after="160" w:line="240" w:lineRule="atLeast"/>
              <w:jc w:val="left"/>
              <w:rPr>
                <w:noProof/>
                <w:lang w:val="en-IE"/>
              </w:rPr>
            </w:pPr>
            <w:r w:rsidRPr="005B4339">
              <w:rPr>
                <w:noProof/>
                <w:lang w:val="en-IE"/>
              </w:rPr>
              <w:t>Reduction in demand for food of 4.2% and a change in value of agri-food production of -1.8% alongside a fall in market prices of between 0.1 and 2.58%.</w:t>
            </w:r>
          </w:p>
          <w:p w14:paraId="7E9B3920" w14:textId="77777777" w:rsidR="00184D6A" w:rsidRPr="005B4339" w:rsidRDefault="00184D6A">
            <w:pPr>
              <w:spacing w:after="160" w:line="240" w:lineRule="atLeast"/>
              <w:jc w:val="left"/>
              <w:rPr>
                <w:noProof/>
                <w:color w:val="000000"/>
                <w:lang w:val="en-IE"/>
              </w:rPr>
            </w:pPr>
            <w:r w:rsidRPr="005B4339">
              <w:rPr>
                <w:noProof/>
                <w:color w:val="000000"/>
                <w:lang w:val="en-IE"/>
              </w:rPr>
              <w:t>A fall in farm income of euro 4.2 billion euro per annum.</w:t>
            </w:r>
          </w:p>
          <w:p w14:paraId="23EB8F4A" w14:textId="74E9E364" w:rsidR="00184D6A" w:rsidRPr="005B4339" w:rsidRDefault="00184D6A">
            <w:pPr>
              <w:spacing w:after="160" w:line="240" w:lineRule="atLeast"/>
              <w:jc w:val="left"/>
              <w:rPr>
                <w:noProof/>
                <w:color w:val="000000"/>
                <w:lang w:val="en-IE"/>
              </w:rPr>
            </w:pPr>
            <w:r w:rsidRPr="005B4339">
              <w:rPr>
                <w:noProof/>
                <w:color w:val="000000"/>
                <w:lang w:val="en-IE"/>
              </w:rPr>
              <w:t>Implementation costs of 43 EUR/ton to 70 EUR/ton for household, 7 EUR/ton to 22 EUR/ton for producers and 34 EUR/ton to 53 EUR/ton for retailers.</w:t>
            </w:r>
          </w:p>
          <w:p w14:paraId="0E045EE6" w14:textId="1633592E" w:rsidR="00F145FA" w:rsidRPr="005B4339" w:rsidRDefault="00184D6A" w:rsidP="00936EC0">
            <w:pPr>
              <w:spacing w:after="120" w:line="240" w:lineRule="atLeast"/>
              <w:rPr>
                <w:b/>
                <w:noProof/>
                <w:color w:val="000000"/>
                <w:lang w:val="en-IE"/>
              </w:rPr>
            </w:pPr>
            <w:r w:rsidRPr="005B4339">
              <w:rPr>
                <w:b/>
                <w:noProof/>
                <w:color w:val="000000"/>
                <w:lang w:val="en-IE"/>
              </w:rPr>
              <w:t>Economic benefits</w:t>
            </w:r>
            <w:r w:rsidR="00B36694" w:rsidRPr="005B4339">
              <w:rPr>
                <w:b/>
                <w:noProof/>
                <w:color w:val="000000"/>
                <w:lang w:val="en-IE"/>
              </w:rPr>
              <w:t xml:space="preserve"> for textiles</w:t>
            </w:r>
            <w:r w:rsidR="00F145FA" w:rsidRPr="005B4339">
              <w:rPr>
                <w:b/>
                <w:noProof/>
                <w:color w:val="000000"/>
                <w:lang w:val="en-IE"/>
              </w:rPr>
              <w:t>:</w:t>
            </w:r>
          </w:p>
          <w:p w14:paraId="4A6EC100" w14:textId="73F89DA5"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 xml:space="preserve">EPR: €3.5-4.5 billion annual </w:t>
            </w:r>
            <w:r w:rsidR="004C4D4E" w:rsidRPr="005B4339">
              <w:rPr>
                <w:noProof/>
                <w:color w:val="000000" w:themeColor="text1"/>
                <w:lang w:val="en-IE"/>
              </w:rPr>
              <w:t>overall</w:t>
            </w:r>
            <w:r w:rsidRPr="005B4339">
              <w:rPr>
                <w:noProof/>
                <w:color w:val="000000" w:themeColor="text1"/>
                <w:lang w:val="en-IE"/>
              </w:rPr>
              <w:t xml:space="preserve"> returns on recycling investment (including the benefits indicated for the other measures)</w:t>
            </w:r>
          </w:p>
          <w:p w14:paraId="15EF0441"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Additional sorting: €534 million per year of reuse value and €94 million per year of recycling value</w:t>
            </w:r>
          </w:p>
          <w:p w14:paraId="0D82F0A2" w14:textId="77777777" w:rsidR="000225AE" w:rsidRPr="005B4339" w:rsidRDefault="000225AE" w:rsidP="000225AE">
            <w:pPr>
              <w:numPr>
                <w:ilvl w:val="0"/>
                <w:numId w:val="174"/>
              </w:numPr>
              <w:spacing w:after="160" w:line="240" w:lineRule="atLeast"/>
              <w:jc w:val="left"/>
              <w:rPr>
                <w:noProof/>
                <w:color w:val="000000" w:themeColor="text1"/>
                <w:lang w:val="en-IE"/>
              </w:rPr>
            </w:pPr>
            <w:r w:rsidRPr="005B4339">
              <w:rPr>
                <w:noProof/>
                <w:color w:val="000000" w:themeColor="text1"/>
                <w:lang w:val="en-IE"/>
              </w:rPr>
              <w:t>Additional collection: €28 million per year of combined reuse and recycling value</w:t>
            </w:r>
          </w:p>
          <w:p w14:paraId="2A4CBCF5" w14:textId="463CFEC2" w:rsidR="00B36694" w:rsidRPr="005B4339" w:rsidRDefault="00B36694" w:rsidP="00B36694">
            <w:pPr>
              <w:spacing w:after="120" w:line="240" w:lineRule="atLeast"/>
              <w:rPr>
                <w:b/>
                <w:noProof/>
                <w:color w:val="000000"/>
                <w:lang w:val="en-IE"/>
              </w:rPr>
            </w:pPr>
            <w:r w:rsidRPr="005B4339">
              <w:rPr>
                <w:b/>
                <w:noProof/>
                <w:color w:val="000000"/>
                <w:lang w:val="en-IE"/>
              </w:rPr>
              <w:t xml:space="preserve">Economic benefits for </w:t>
            </w:r>
            <w:r w:rsidR="000225AE" w:rsidRPr="005B4339">
              <w:rPr>
                <w:b/>
                <w:noProof/>
                <w:color w:val="000000"/>
                <w:lang w:val="en-IE"/>
              </w:rPr>
              <w:t>food</w:t>
            </w:r>
            <w:r w:rsidRPr="005B4339">
              <w:rPr>
                <w:b/>
                <w:noProof/>
                <w:color w:val="000000"/>
                <w:lang w:val="en-IE"/>
              </w:rPr>
              <w:t>:</w:t>
            </w:r>
          </w:p>
          <w:p w14:paraId="183025FF" w14:textId="5506EEBE" w:rsidR="00184D6A" w:rsidRPr="005B4339" w:rsidRDefault="005B0B09">
            <w:pPr>
              <w:spacing w:after="160" w:line="240" w:lineRule="atLeast"/>
              <w:jc w:val="left"/>
              <w:rPr>
                <w:noProof/>
                <w:color w:val="000000"/>
                <w:lang w:val="en-IE"/>
              </w:rPr>
            </w:pPr>
            <w:r w:rsidRPr="005B4339">
              <w:rPr>
                <w:noProof/>
                <w:color w:val="000000"/>
                <w:lang w:val="en-IE"/>
              </w:rPr>
              <w:t xml:space="preserve">Household </w:t>
            </w:r>
            <w:r w:rsidR="00184D6A" w:rsidRPr="005B4339">
              <w:rPr>
                <w:noProof/>
                <w:color w:val="000000"/>
                <w:lang w:val="en-IE"/>
              </w:rPr>
              <w:t>savings in food expenditure</w:t>
            </w:r>
            <w:r w:rsidRPr="005B4339">
              <w:rPr>
                <w:noProof/>
                <w:color w:val="000000"/>
                <w:lang w:val="en-IE"/>
              </w:rPr>
              <w:t>:</w:t>
            </w:r>
            <w:r w:rsidR="00184D6A" w:rsidRPr="005B4339">
              <w:rPr>
                <w:noProof/>
                <w:color w:val="000000"/>
                <w:lang w:val="en-IE"/>
              </w:rPr>
              <w:t xml:space="preserve"> 439 euro per year</w:t>
            </w:r>
          </w:p>
          <w:p w14:paraId="2C6ADFAA" w14:textId="77777777" w:rsidR="000225AE" w:rsidRPr="005B4339" w:rsidRDefault="00184D6A">
            <w:pPr>
              <w:spacing w:after="160" w:line="240" w:lineRule="atLeast"/>
              <w:rPr>
                <w:noProof/>
                <w:color w:val="000000"/>
                <w:lang w:val="en-IE"/>
              </w:rPr>
            </w:pPr>
            <w:r w:rsidRPr="005B4339">
              <w:rPr>
                <w:b/>
                <w:noProof/>
                <w:color w:val="000000"/>
                <w:lang w:val="en-IE"/>
              </w:rPr>
              <w:t>Env benefits</w:t>
            </w:r>
            <w:r w:rsidRPr="005B4339">
              <w:rPr>
                <w:noProof/>
                <w:color w:val="000000"/>
                <w:lang w:val="en-IE"/>
              </w:rPr>
              <w:t xml:space="preserve">: </w:t>
            </w:r>
          </w:p>
          <w:p w14:paraId="0B9BB9CE" w14:textId="77777777" w:rsidR="000225AE" w:rsidRPr="005B4339" w:rsidRDefault="000225AE">
            <w:pPr>
              <w:spacing w:after="160" w:line="240" w:lineRule="atLeast"/>
              <w:rPr>
                <w:noProof/>
                <w:color w:val="000000"/>
                <w:lang w:val="en-IE"/>
              </w:rPr>
            </w:pPr>
            <w:r w:rsidRPr="005B4339">
              <w:rPr>
                <w:noProof/>
                <w:color w:val="000000"/>
                <w:lang w:val="en-IE"/>
              </w:rPr>
              <w:t xml:space="preserve">€16 million from GHG emission reduction from textile waste as well as reduction in release of pollutants to air, water and land that would otherwise result from poor waste management. </w:t>
            </w:r>
          </w:p>
          <w:p w14:paraId="0A2E5A38" w14:textId="60A0F01A" w:rsidR="00184D6A" w:rsidRPr="005B4339" w:rsidRDefault="00184D6A">
            <w:pPr>
              <w:spacing w:after="160" w:line="240" w:lineRule="atLeast"/>
              <w:rPr>
                <w:noProof/>
                <w:color w:val="000000"/>
                <w:lang w:val="en-IE"/>
              </w:rPr>
            </w:pPr>
            <w:r w:rsidRPr="005B4339">
              <w:rPr>
                <w:noProof/>
                <w:color w:val="000000"/>
                <w:lang w:val="en-IE"/>
              </w:rPr>
              <w:t xml:space="preserve">4.1 million tonnes GHG emission reduction as well as reduction in release of pollutants to air, water and land that would otherwise result from poor waste management. Reduced impact on land use of </w:t>
            </w:r>
            <w:r w:rsidR="00493748" w:rsidRPr="005B4339">
              <w:rPr>
                <w:noProof/>
                <w:color w:val="000000"/>
                <w:lang w:val="en-IE"/>
              </w:rPr>
              <w:t>2.2</w:t>
            </w:r>
            <w:r w:rsidRPr="005B4339">
              <w:rPr>
                <w:noProof/>
                <w:color w:val="000000"/>
                <w:lang w:val="en-IE"/>
              </w:rPr>
              <w:t xml:space="preserve"> </w:t>
            </w:r>
            <w:r w:rsidR="008E5A1D" w:rsidRPr="005B4339">
              <w:rPr>
                <w:noProof/>
                <w:color w:val="000000"/>
                <w:lang w:val="en-IE"/>
              </w:rPr>
              <w:t>trillion</w:t>
            </w:r>
            <w:r w:rsidRPr="005B4339">
              <w:rPr>
                <w:noProof/>
                <w:color w:val="000000"/>
                <w:lang w:val="en-IE"/>
              </w:rPr>
              <w:t xml:space="preserve"> Pt, reduction in marine eutrophication of </w:t>
            </w:r>
            <w:r w:rsidR="009C0DEB" w:rsidRPr="005B4339">
              <w:rPr>
                <w:noProof/>
                <w:color w:val="000000"/>
                <w:lang w:val="en-IE"/>
              </w:rPr>
              <w:t xml:space="preserve">532 </w:t>
            </w:r>
            <w:r w:rsidRPr="005B4339">
              <w:rPr>
                <w:noProof/>
                <w:color w:val="000000"/>
                <w:lang w:val="en-IE"/>
              </w:rPr>
              <w:t xml:space="preserve">million kg of Neq and reduction of water use of </w:t>
            </w:r>
            <w:r w:rsidR="009C0DEB" w:rsidRPr="005B4339">
              <w:rPr>
                <w:noProof/>
                <w:color w:val="000000"/>
                <w:lang w:val="en-IE"/>
              </w:rPr>
              <w:t xml:space="preserve">80 </w:t>
            </w:r>
            <w:r w:rsidRPr="005B4339">
              <w:rPr>
                <w:noProof/>
                <w:color w:val="000000"/>
                <w:lang w:val="en-IE"/>
              </w:rPr>
              <w:t>billion m3 per annum.</w:t>
            </w:r>
          </w:p>
          <w:p w14:paraId="2F47BAC3" w14:textId="4BB4F0A2" w:rsidR="00184D6A" w:rsidRPr="005B4339" w:rsidRDefault="00184D6A">
            <w:pPr>
              <w:spacing w:after="160" w:line="240" w:lineRule="atLeast"/>
              <w:rPr>
                <w:rFonts w:eastAsiaTheme="minorHAnsi"/>
                <w:noProof/>
                <w:color w:val="000000"/>
                <w:lang w:val="en-IE" w:eastAsia="en-US"/>
              </w:rPr>
            </w:pPr>
            <w:r w:rsidRPr="005B4339">
              <w:rPr>
                <w:b/>
                <w:noProof/>
                <w:color w:val="000000"/>
                <w:lang w:val="en-IE"/>
              </w:rPr>
              <w:t>Social benefits</w:t>
            </w:r>
            <w:r w:rsidRPr="005B4339">
              <w:rPr>
                <w:noProof/>
                <w:color w:val="000000"/>
                <w:lang w:val="en-IE"/>
              </w:rPr>
              <w:t>: 8 740 jobs created in relation to textiles and social impacts of EU waste in third countries mitigated. 135 000 jobs lost in agri-food sectors.</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DD488F4" w14:textId="77777777" w:rsidR="00184D6A" w:rsidRPr="005B4339" w:rsidRDefault="00184D6A">
            <w:pPr>
              <w:spacing w:after="0" w:line="240" w:lineRule="atLeast"/>
              <w:jc w:val="center"/>
              <w:rPr>
                <w:noProof/>
                <w:color w:val="000000"/>
                <w:lang w:val="en-IE"/>
              </w:rPr>
            </w:pPr>
            <w:r w:rsidRPr="005B4339">
              <w:rPr>
                <w:b/>
                <w:noProof/>
                <w:color w:val="000000"/>
                <w:lang w:val="en-IE"/>
              </w:rPr>
              <w:t>Costs</w:t>
            </w:r>
            <w:r w:rsidRPr="005B4339">
              <w:rPr>
                <w:noProof/>
                <w:color w:val="000000"/>
                <w:lang w:val="en-IE"/>
              </w:rPr>
              <w:t xml:space="preserve">: </w:t>
            </w:r>
          </w:p>
          <w:p w14:paraId="57DC3335" w14:textId="766BB9EF" w:rsidR="000225AE" w:rsidRPr="005B4339" w:rsidRDefault="000225AE" w:rsidP="000225AE">
            <w:pPr>
              <w:spacing w:after="160" w:line="240" w:lineRule="atLeast"/>
              <w:jc w:val="center"/>
              <w:rPr>
                <w:noProof/>
                <w:color w:val="000000"/>
                <w:lang w:val="en-IE"/>
              </w:rPr>
            </w:pPr>
            <w:r w:rsidRPr="005B4339">
              <w:rPr>
                <w:noProof/>
                <w:color w:val="000000"/>
                <w:lang w:val="en-IE"/>
              </w:rPr>
              <w:t>€97</w:t>
            </w:r>
            <w:r w:rsidR="00A93E8E" w:rsidRPr="005B4339">
              <w:rPr>
                <w:noProof/>
                <w:color w:val="000000"/>
                <w:lang w:val="en-IE"/>
              </w:rPr>
              <w:t>5</w:t>
            </w:r>
            <w:r w:rsidRPr="005B4339">
              <w:rPr>
                <w:noProof/>
                <w:color w:val="000000"/>
                <w:lang w:val="en-IE"/>
              </w:rPr>
              <w:t xml:space="preserve"> million (these costs may fall 100% on consumers or 100% on producers or a mix of both). </w:t>
            </w:r>
          </w:p>
          <w:p w14:paraId="0D96E8BD" w14:textId="398FAC92" w:rsidR="00184D6A" w:rsidRPr="005B4339" w:rsidRDefault="00184D6A">
            <w:pPr>
              <w:spacing w:after="160" w:line="240" w:lineRule="atLeast"/>
              <w:jc w:val="center"/>
              <w:rPr>
                <w:noProof/>
                <w:color w:val="000000"/>
                <w:lang w:val="en-IE"/>
              </w:rPr>
            </w:pPr>
            <w:r w:rsidRPr="005B4339">
              <w:rPr>
                <w:noProof/>
                <w:color w:val="000000"/>
                <w:lang w:val="en-IE"/>
              </w:rPr>
              <w:t>Combined costs of 84 euro / tonne to 145 euro per tonne of food produced for food.</w:t>
            </w:r>
          </w:p>
          <w:p w14:paraId="716B43F1" w14:textId="77777777" w:rsidR="00184D6A" w:rsidRPr="005B4339" w:rsidRDefault="00184D6A">
            <w:pPr>
              <w:spacing w:after="0" w:line="240" w:lineRule="atLeast"/>
              <w:jc w:val="center"/>
              <w:rPr>
                <w:noProof/>
                <w:color w:val="000000"/>
                <w:lang w:val="en-IE"/>
              </w:rPr>
            </w:pPr>
            <w:r w:rsidRPr="005B4339">
              <w:rPr>
                <w:b/>
                <w:noProof/>
                <w:color w:val="000000" w:themeColor="text1"/>
                <w:lang w:val="en-IE"/>
              </w:rPr>
              <w:t>Benefits</w:t>
            </w:r>
            <w:r w:rsidRPr="005B4339">
              <w:rPr>
                <w:noProof/>
                <w:color w:val="000000" w:themeColor="text1"/>
                <w:lang w:val="en-IE"/>
              </w:rPr>
              <w:t xml:space="preserve">: </w:t>
            </w:r>
          </w:p>
          <w:p w14:paraId="7A21C35C" w14:textId="71E644E5" w:rsidR="000225AE" w:rsidRPr="005B4339" w:rsidRDefault="000225AE">
            <w:pPr>
              <w:spacing w:after="160" w:line="240" w:lineRule="atLeast"/>
              <w:jc w:val="center"/>
              <w:rPr>
                <w:noProof/>
                <w:color w:val="000000"/>
                <w:lang w:val="en-IE"/>
              </w:rPr>
            </w:pPr>
            <w:r w:rsidRPr="005B4339">
              <w:rPr>
                <w:noProof/>
                <w:color w:val="000000"/>
                <w:lang w:val="en-IE"/>
              </w:rPr>
              <w:t>Direct</w:t>
            </w:r>
            <w:r w:rsidR="00184D6A" w:rsidRPr="005B4339">
              <w:rPr>
                <w:noProof/>
                <w:color w:val="000000"/>
                <w:lang w:val="en-IE"/>
              </w:rPr>
              <w:t xml:space="preserve"> benefits </w:t>
            </w:r>
            <w:r w:rsidRPr="005B4339">
              <w:rPr>
                <w:noProof/>
                <w:color w:val="000000"/>
                <w:lang w:val="en-IE"/>
              </w:rPr>
              <w:t xml:space="preserve">of €656 million of reusable and recyclable textiles for the EU reuse and recycling market as well as support to €3.5-4.5 billion </w:t>
            </w:r>
            <w:r w:rsidR="00184D6A" w:rsidRPr="005B4339">
              <w:rPr>
                <w:noProof/>
                <w:color w:val="000000"/>
                <w:lang w:val="en-IE"/>
              </w:rPr>
              <w:t xml:space="preserve">annual </w:t>
            </w:r>
            <w:r w:rsidR="004C4D4E" w:rsidRPr="005B4339">
              <w:rPr>
                <w:noProof/>
                <w:color w:val="000000"/>
                <w:lang w:val="en-IE"/>
              </w:rPr>
              <w:t>overall</w:t>
            </w:r>
            <w:r w:rsidR="00184D6A" w:rsidRPr="005B4339">
              <w:rPr>
                <w:noProof/>
                <w:color w:val="000000"/>
                <w:lang w:val="en-IE"/>
              </w:rPr>
              <w:t xml:space="preserve"> returns </w:t>
            </w:r>
            <w:r w:rsidRPr="005B4339">
              <w:rPr>
                <w:noProof/>
                <w:color w:val="000000"/>
                <w:lang w:val="en-IE"/>
              </w:rPr>
              <w:t xml:space="preserve">from EPR investments </w:t>
            </w:r>
          </w:p>
          <w:p w14:paraId="3FFD67A9" w14:textId="77777777" w:rsidR="000225AE" w:rsidRPr="005B4339" w:rsidRDefault="000225AE">
            <w:pPr>
              <w:spacing w:after="160" w:line="240" w:lineRule="atLeast"/>
              <w:jc w:val="center"/>
              <w:rPr>
                <w:noProof/>
                <w:color w:val="000000"/>
                <w:lang w:val="en-IE"/>
              </w:rPr>
            </w:pPr>
            <w:r w:rsidRPr="005B4339">
              <w:rPr>
                <w:noProof/>
                <w:color w:val="000000"/>
                <w:lang w:val="en-IE"/>
              </w:rPr>
              <w:t>R</w:t>
            </w:r>
            <w:r w:rsidR="00184D6A" w:rsidRPr="005B4339">
              <w:rPr>
                <w:noProof/>
                <w:color w:val="000000"/>
                <w:lang w:val="en-IE"/>
              </w:rPr>
              <w:t xml:space="preserve">eduction in household food costs of 439 euro per year. </w:t>
            </w:r>
          </w:p>
          <w:p w14:paraId="4A08A103" w14:textId="77777777" w:rsidR="00076F1B" w:rsidRPr="005B4339" w:rsidRDefault="00184D6A">
            <w:pPr>
              <w:spacing w:after="160" w:line="240" w:lineRule="atLeast"/>
              <w:jc w:val="center"/>
              <w:rPr>
                <w:noProof/>
                <w:color w:val="000000"/>
                <w:lang w:val="en-IE"/>
              </w:rPr>
            </w:pPr>
            <w:r w:rsidRPr="005B4339">
              <w:rPr>
                <w:noProof/>
                <w:color w:val="000000"/>
                <w:lang w:val="en-IE"/>
              </w:rPr>
              <w:t xml:space="preserve">Additional GHG emission reduction equal to </w:t>
            </w:r>
            <w:r w:rsidR="00076F1B" w:rsidRPr="005B4339">
              <w:rPr>
                <w:noProof/>
                <w:color w:val="000000"/>
                <w:lang w:val="en-IE"/>
              </w:rPr>
              <w:t>€16 million per year from textiles and</w:t>
            </w:r>
            <w:r w:rsidR="00076F1B" w:rsidRPr="005B4339">
              <w:rPr>
                <w:noProof/>
                <w:color w:val="000000"/>
                <w:sz w:val="20"/>
                <w:szCs w:val="20"/>
                <w:lang w:val="en-IE"/>
              </w:rPr>
              <w:t xml:space="preserve"> a</w:t>
            </w:r>
            <w:r w:rsidRPr="005B4339">
              <w:rPr>
                <w:noProof/>
                <w:color w:val="000000"/>
                <w:lang w:val="en-IE"/>
              </w:rPr>
              <w:t>dditional GHG emission reduction equal to 4.1 million tonnes per annum per year</w:t>
            </w:r>
          </w:p>
          <w:p w14:paraId="3B1A77FA" w14:textId="12C27B80" w:rsidR="00184D6A" w:rsidRPr="005B4339" w:rsidRDefault="00184D6A">
            <w:pPr>
              <w:spacing w:after="160" w:line="240" w:lineRule="atLeast"/>
              <w:jc w:val="center"/>
              <w:rPr>
                <w:noProof/>
                <w:lang w:val="en-IE"/>
              </w:rPr>
            </w:pPr>
            <w:r w:rsidRPr="005B4339">
              <w:rPr>
                <w:noProof/>
                <w:color w:val="000000"/>
                <w:lang w:val="en-IE"/>
              </w:rPr>
              <w:t>8 740 jobs created in waste management but 135 000 lost in agri-food sectors.</w:t>
            </w:r>
          </w:p>
          <w:p w14:paraId="01797C61" w14:textId="20F0E87A" w:rsidR="00184D6A" w:rsidRPr="005B4339" w:rsidRDefault="00184D6A">
            <w:pPr>
              <w:spacing w:after="160" w:line="240" w:lineRule="atLeast"/>
              <w:jc w:val="center"/>
              <w:rPr>
                <w:rFonts w:eastAsiaTheme="minorHAnsi"/>
                <w:noProof/>
                <w:color w:val="000000"/>
                <w:lang w:val="en-IE" w:eastAsia="en-US"/>
              </w:rPr>
            </w:pPr>
            <w:r w:rsidRPr="005B4339">
              <w:rPr>
                <w:rFonts w:eastAsiaTheme="minorHAnsi"/>
                <w:b/>
                <w:noProof/>
                <w:color w:val="000000"/>
                <w:lang w:val="en-IE" w:eastAsia="en-US"/>
              </w:rPr>
              <w:t>Overall effectiveness</w:t>
            </w:r>
            <w:r w:rsidR="00076F1B" w:rsidRPr="005B4339">
              <w:rPr>
                <w:rFonts w:eastAsiaTheme="minorHAnsi"/>
                <w:b/>
                <w:noProof/>
                <w:color w:val="000000"/>
                <w:lang w:val="en-IE" w:eastAsia="en-US"/>
              </w:rPr>
              <w:t xml:space="preserve">, </w:t>
            </w:r>
            <w:r w:rsidRPr="005B4339">
              <w:rPr>
                <w:rFonts w:eastAsiaTheme="minorHAnsi"/>
                <w:b/>
                <w:noProof/>
                <w:color w:val="000000"/>
                <w:lang w:val="en-IE" w:eastAsia="en-US"/>
              </w:rPr>
              <w:t>efficiency</w:t>
            </w:r>
            <w:r w:rsidR="00076F1B" w:rsidRPr="005B4339">
              <w:rPr>
                <w:rFonts w:eastAsiaTheme="minorHAnsi"/>
                <w:b/>
                <w:noProof/>
                <w:color w:val="000000"/>
                <w:lang w:val="en-IE" w:eastAsia="en-US"/>
              </w:rPr>
              <w:t xml:space="preserve"> and coherence</w:t>
            </w:r>
            <w:r w:rsidRPr="005B4339">
              <w:rPr>
                <w:rFonts w:eastAsiaTheme="minorHAnsi"/>
                <w:noProof/>
                <w:color w:val="000000"/>
                <w:lang w:val="en-IE" w:eastAsia="en-US"/>
              </w:rPr>
              <w:t>: positive</w:t>
            </w:r>
          </w:p>
          <w:p w14:paraId="2CA53E73" w14:textId="77777777" w:rsidR="00184D6A" w:rsidRPr="005B4339" w:rsidRDefault="00184D6A">
            <w:pPr>
              <w:spacing w:after="160" w:line="240" w:lineRule="atLeast"/>
              <w:jc w:val="center"/>
              <w:rPr>
                <w:rFonts w:eastAsiaTheme="minorHAnsi"/>
                <w:noProof/>
                <w:color w:val="000000"/>
                <w:lang w:val="en-IE" w:eastAsia="en-US"/>
              </w:rPr>
            </w:pPr>
          </w:p>
        </w:tc>
      </w:tr>
    </w:tbl>
    <w:p w14:paraId="3B8F46B8" w14:textId="5E81F1C1" w:rsidR="58483D55" w:rsidRPr="005B4339" w:rsidRDefault="58483D55" w:rsidP="00184D6A">
      <w:pPr>
        <w:spacing w:after="200" w:line="276" w:lineRule="auto"/>
        <w:jc w:val="left"/>
        <w:rPr>
          <w:noProof/>
          <w:lang w:val="en-IE"/>
        </w:rPr>
      </w:pPr>
      <w:r w:rsidRPr="005B4339">
        <w:rPr>
          <w:noProof/>
          <w:lang w:val="en-IE"/>
        </w:rPr>
        <w:br w:type="page"/>
      </w:r>
    </w:p>
    <w:p w14:paraId="08EED8A1" w14:textId="30911FEF" w:rsidR="00D5399A" w:rsidRPr="005B4339" w:rsidRDefault="5A759265" w:rsidP="004A0ACC">
      <w:pPr>
        <w:pStyle w:val="AnnexTitle"/>
        <w:rPr>
          <w:noProof/>
          <w:lang w:val="en-IE"/>
        </w:rPr>
      </w:pPr>
      <w:bookmarkStart w:id="1007" w:name="_Toc124777337"/>
      <w:bookmarkStart w:id="1008" w:name="_Toc132761292"/>
      <w:bookmarkStart w:id="1009" w:name="_Toc1055856533"/>
      <w:bookmarkStart w:id="1010" w:name="_Toc530773872"/>
      <w:bookmarkStart w:id="1011" w:name="_Toc44994069"/>
      <w:bookmarkStart w:id="1012" w:name="_Toc1250261533"/>
      <w:bookmarkStart w:id="1013" w:name="_Toc450730365"/>
      <w:bookmarkStart w:id="1014" w:name="_Toc1415686488"/>
      <w:bookmarkStart w:id="1015" w:name="_Toc1627586470"/>
      <w:bookmarkStart w:id="1016" w:name="_Toc139032144"/>
      <w:r w:rsidRPr="005B4339">
        <w:rPr>
          <w:noProof/>
          <w:lang w:val="en-IE"/>
        </w:rPr>
        <w:t>Annex 1</w:t>
      </w:r>
      <w:r w:rsidR="007F7014" w:rsidRPr="005B4339">
        <w:rPr>
          <w:noProof/>
          <w:lang w:val="en-IE"/>
        </w:rPr>
        <w:t>4</w:t>
      </w:r>
      <w:r w:rsidRPr="005B4339">
        <w:rPr>
          <w:noProof/>
          <w:lang w:val="en-IE"/>
        </w:rPr>
        <w:t>: Monitoring and evaluation</w:t>
      </w:r>
      <w:bookmarkEnd w:id="926"/>
      <w:bookmarkEnd w:id="927"/>
      <w:bookmarkEnd w:id="1007"/>
      <w:bookmarkEnd w:id="1008"/>
      <w:bookmarkEnd w:id="1009"/>
      <w:bookmarkEnd w:id="1010"/>
      <w:bookmarkEnd w:id="1011"/>
      <w:bookmarkEnd w:id="1012"/>
      <w:bookmarkEnd w:id="1013"/>
      <w:bookmarkEnd w:id="1014"/>
      <w:bookmarkEnd w:id="1015"/>
      <w:bookmarkEnd w:id="1016"/>
    </w:p>
    <w:p w14:paraId="13CD06D4" w14:textId="6E663C87" w:rsidR="00E57A77" w:rsidRPr="005B4339" w:rsidRDefault="009967AE" w:rsidP="009967AE">
      <w:pPr>
        <w:pStyle w:val="Heading2"/>
        <w:rPr>
          <w:noProof/>
          <w:lang w:val="en-IE"/>
        </w:rPr>
      </w:pPr>
      <w:bookmarkStart w:id="1017" w:name="_Toc124777338"/>
      <w:bookmarkStart w:id="1018" w:name="_Toc1085991372"/>
      <w:bookmarkStart w:id="1019" w:name="_Toc814379222"/>
      <w:bookmarkStart w:id="1020" w:name="_Toc1569230696"/>
      <w:bookmarkStart w:id="1021" w:name="_Toc1999166370"/>
      <w:bookmarkStart w:id="1022" w:name="_Toc52196290"/>
      <w:bookmarkStart w:id="1023" w:name="_Toc2133570901"/>
      <w:bookmarkStart w:id="1024" w:name="_Toc1130868158"/>
      <w:bookmarkStart w:id="1025" w:name="_Toc139032145"/>
      <w:r w:rsidRPr="009967AE">
        <w:t>1-</w:t>
      </w:r>
      <w:r w:rsidRPr="009967AE">
        <w:tab/>
      </w:r>
      <w:r w:rsidR="00E57A77" w:rsidRPr="005B4339">
        <w:rPr>
          <w:noProof/>
          <w:lang w:val="en-IE"/>
        </w:rPr>
        <w:t>Textiles</w:t>
      </w:r>
      <w:bookmarkEnd w:id="1017"/>
      <w:bookmarkEnd w:id="1018"/>
      <w:bookmarkEnd w:id="1019"/>
      <w:bookmarkEnd w:id="1020"/>
      <w:bookmarkEnd w:id="1021"/>
      <w:bookmarkEnd w:id="1022"/>
      <w:bookmarkEnd w:id="1023"/>
      <w:bookmarkEnd w:id="1024"/>
      <w:bookmarkEnd w:id="1025"/>
      <w:r w:rsidR="00E57A77" w:rsidRPr="005B4339">
        <w:rPr>
          <w:noProof/>
          <w:lang w:val="en-IE"/>
        </w:rPr>
        <w:t xml:space="preserve"> </w:t>
      </w:r>
    </w:p>
    <w:p w14:paraId="0590AE3E" w14:textId="38EA7155" w:rsidR="002D49D4" w:rsidRPr="005B4339" w:rsidRDefault="00B420EE" w:rsidP="00B96AEE">
      <w:pPr>
        <w:spacing w:after="120"/>
        <w:rPr>
          <w:noProof/>
          <w:lang w:val="en-IE"/>
        </w:rPr>
      </w:pPr>
      <w:r w:rsidRPr="005B4339">
        <w:rPr>
          <w:noProof/>
          <w:lang w:val="en-IE"/>
        </w:rPr>
        <w:t>The impact of the preferred policy option in the attainment of the objectives of this initiative to reduce textile waste and residual textile waste generation would be monitored</w:t>
      </w:r>
      <w:r w:rsidR="31EC1B86" w:rsidRPr="005B4339">
        <w:rPr>
          <w:noProof/>
          <w:lang w:val="en-IE"/>
        </w:rPr>
        <w:t xml:space="preserve"> through the</w:t>
      </w:r>
      <w:r w:rsidRPr="005B4339">
        <w:rPr>
          <w:noProof/>
          <w:lang w:val="en-IE"/>
        </w:rPr>
        <w:t xml:space="preserve"> indicators and targets set forth in measures 2.1 and 2.15 and 3.6. This entails assessment of the Member State annual reports on textiles waste management which are </w:t>
      </w:r>
      <w:r w:rsidR="006B3823" w:rsidRPr="005B4339">
        <w:rPr>
          <w:noProof/>
          <w:lang w:val="en-IE"/>
        </w:rPr>
        <w:t xml:space="preserve">currently </w:t>
      </w:r>
      <w:r w:rsidRPr="005B4339">
        <w:rPr>
          <w:noProof/>
          <w:lang w:val="en-IE"/>
        </w:rPr>
        <w:t>reported to the Commission and verified and published by Eurostat (see Annex 10 for details).</w:t>
      </w:r>
    </w:p>
    <w:p w14:paraId="276D74FB" w14:textId="0DD6936C" w:rsidR="002D49D4" w:rsidRPr="005B4339" w:rsidRDefault="002D49D4" w:rsidP="590C3C4B">
      <w:pPr>
        <w:spacing w:after="120"/>
        <w:rPr>
          <w:noProof/>
          <w:lang w:val="en-IE"/>
        </w:rPr>
      </w:pPr>
      <w:r w:rsidRPr="005B4339">
        <w:rPr>
          <w:noProof/>
          <w:lang w:val="en-IE"/>
        </w:rPr>
        <w:t>More specifically</w:t>
      </w:r>
      <w:r w:rsidR="40BC8AAD" w:rsidRPr="005B4339">
        <w:rPr>
          <w:noProof/>
          <w:lang w:val="en-IE"/>
        </w:rPr>
        <w:t>,</w:t>
      </w:r>
      <w:r w:rsidR="0099430A" w:rsidRPr="005B4339">
        <w:rPr>
          <w:noProof/>
          <w:lang w:val="en-IE"/>
        </w:rPr>
        <w:t xml:space="preserve"> </w:t>
      </w:r>
      <w:r w:rsidRPr="005B4339">
        <w:rPr>
          <w:noProof/>
          <w:lang w:val="en-IE"/>
        </w:rPr>
        <w:t xml:space="preserve">as from the date of the </w:t>
      </w:r>
      <w:r w:rsidR="69BF9A75" w:rsidRPr="005B4339">
        <w:rPr>
          <w:noProof/>
          <w:lang w:val="en-IE"/>
        </w:rPr>
        <w:t>entry into force and transposition o</w:t>
      </w:r>
      <w:r w:rsidRPr="005B4339">
        <w:rPr>
          <w:noProof/>
          <w:lang w:val="en-IE"/>
        </w:rPr>
        <w:t>f this Directive</w:t>
      </w:r>
      <w:r w:rsidR="320030A9" w:rsidRPr="005B4339">
        <w:rPr>
          <w:noProof/>
          <w:lang w:val="en-IE"/>
        </w:rPr>
        <w:t xml:space="preserve"> and putting in place the necessary secondary legislation</w:t>
      </w:r>
      <w:r w:rsidR="73D98D2E" w:rsidRPr="005B4339">
        <w:rPr>
          <w:noProof/>
          <w:lang w:val="en-IE"/>
        </w:rPr>
        <w:t>,</w:t>
      </w:r>
      <w:r w:rsidRPr="005B4339">
        <w:rPr>
          <w:noProof/>
          <w:lang w:val="en-IE"/>
        </w:rPr>
        <w:t xml:space="preserve"> Member States </w:t>
      </w:r>
      <w:r w:rsidR="52FA853D" w:rsidRPr="005B4339">
        <w:rPr>
          <w:noProof/>
          <w:lang w:val="en-IE"/>
        </w:rPr>
        <w:t xml:space="preserve">would be required to </w:t>
      </w:r>
      <w:r w:rsidR="55A03B8F" w:rsidRPr="005B4339">
        <w:rPr>
          <w:noProof/>
          <w:lang w:val="en-IE"/>
        </w:rPr>
        <w:t xml:space="preserve">carry out a more granular </w:t>
      </w:r>
      <w:r w:rsidRPr="005B4339">
        <w:rPr>
          <w:noProof/>
          <w:lang w:val="en-IE"/>
        </w:rPr>
        <w:t>monitor</w:t>
      </w:r>
      <w:r w:rsidR="484B0F17" w:rsidRPr="005B4339">
        <w:rPr>
          <w:noProof/>
          <w:lang w:val="en-IE"/>
        </w:rPr>
        <w:t>ing of the waste prevention measures,</w:t>
      </w:r>
      <w:r w:rsidR="49F75101" w:rsidRPr="005B4339">
        <w:rPr>
          <w:noProof/>
          <w:lang w:val="en-IE"/>
        </w:rPr>
        <w:t xml:space="preserve"> waste generation and collection and subsequent treatment operations for all textile waste</w:t>
      </w:r>
      <w:r w:rsidR="67DD5CE6" w:rsidRPr="005B4339">
        <w:rPr>
          <w:noProof/>
          <w:lang w:val="en-IE"/>
        </w:rPr>
        <w:t xml:space="preserve">s. This </w:t>
      </w:r>
      <w:r w:rsidR="0FFC8B1D" w:rsidRPr="005B4339">
        <w:rPr>
          <w:noProof/>
          <w:lang w:val="en-IE"/>
        </w:rPr>
        <w:t>monitoring will take place based on the proposed:</w:t>
      </w:r>
    </w:p>
    <w:p w14:paraId="113123D1" w14:textId="12DE66D0" w:rsidR="002D49D4" w:rsidRPr="005B4339" w:rsidRDefault="16E98F52" w:rsidP="00CF0DFB">
      <w:pPr>
        <w:pStyle w:val="ListParagraph"/>
        <w:numPr>
          <w:ilvl w:val="0"/>
          <w:numId w:val="139"/>
        </w:numPr>
        <w:rPr>
          <w:noProof/>
          <w:lang w:val="en-IE"/>
        </w:rPr>
      </w:pPr>
      <w:r w:rsidRPr="005B4339">
        <w:rPr>
          <w:noProof/>
          <w:lang w:val="en-IE"/>
        </w:rPr>
        <w:t>EU-wide waste prevention indicators for textiles</w:t>
      </w:r>
      <w:r w:rsidR="473D6300" w:rsidRPr="005B4339">
        <w:rPr>
          <w:noProof/>
          <w:lang w:val="en-IE"/>
        </w:rPr>
        <w:t xml:space="preserve"> (adopted through an implementing act</w:t>
      </w:r>
      <w:r w:rsidR="009104B5" w:rsidRPr="005B4339">
        <w:rPr>
          <w:noProof/>
          <w:lang w:val="en-IE"/>
        </w:rPr>
        <w:t>, possibly collected through Producer Responsibility Organisations (PROs)</w:t>
      </w:r>
      <w:r w:rsidR="473D6300" w:rsidRPr="005B4339">
        <w:rPr>
          <w:noProof/>
          <w:lang w:val="en-IE"/>
        </w:rPr>
        <w:t>);</w:t>
      </w:r>
    </w:p>
    <w:p w14:paraId="2537BE80" w14:textId="0E50DCE2" w:rsidR="002D49D4" w:rsidRPr="005B4339" w:rsidRDefault="459FE44F" w:rsidP="00CF0DFB">
      <w:pPr>
        <w:pStyle w:val="ListParagraph"/>
        <w:numPr>
          <w:ilvl w:val="0"/>
          <w:numId w:val="139"/>
        </w:numPr>
        <w:rPr>
          <w:noProof/>
          <w:lang w:val="en-IE"/>
        </w:rPr>
      </w:pPr>
      <w:r w:rsidRPr="005B4339">
        <w:rPr>
          <w:noProof/>
          <w:lang w:val="en-IE"/>
        </w:rPr>
        <w:t>Increased g</w:t>
      </w:r>
      <w:r w:rsidR="5F029DA7" w:rsidRPr="005B4339">
        <w:rPr>
          <w:noProof/>
          <w:lang w:val="en-IE"/>
        </w:rPr>
        <w:t>ranularity of the data collection and</w:t>
      </w:r>
      <w:r w:rsidR="22961DE9" w:rsidRPr="005B4339">
        <w:rPr>
          <w:noProof/>
          <w:lang w:val="en-IE"/>
        </w:rPr>
        <w:t xml:space="preserve"> reporting</w:t>
      </w:r>
      <w:r w:rsidR="522CAF50" w:rsidRPr="005B4339">
        <w:rPr>
          <w:noProof/>
          <w:lang w:val="en-IE"/>
        </w:rPr>
        <w:t xml:space="preserve"> on</w:t>
      </w:r>
      <w:r w:rsidR="22961DE9" w:rsidRPr="005B4339">
        <w:rPr>
          <w:noProof/>
          <w:lang w:val="en-IE"/>
        </w:rPr>
        <w:t xml:space="preserve"> </w:t>
      </w:r>
      <w:r w:rsidR="019AAE24" w:rsidRPr="005B4339">
        <w:rPr>
          <w:noProof/>
          <w:lang w:val="en-IE"/>
        </w:rPr>
        <w:t>used textiles and textile waste management (specified in the WFD and in the implementing act setting out the harmonised reporting formats)</w:t>
      </w:r>
      <w:r w:rsidR="2F269417" w:rsidRPr="005B4339">
        <w:rPr>
          <w:noProof/>
          <w:lang w:val="en-IE"/>
        </w:rPr>
        <w:t>;</w:t>
      </w:r>
    </w:p>
    <w:p w14:paraId="66940977" w14:textId="13ECAC69" w:rsidR="002D49D4" w:rsidRPr="005B4339" w:rsidRDefault="583AC537" w:rsidP="00CF0DFB">
      <w:pPr>
        <w:pStyle w:val="ListParagraph"/>
        <w:numPr>
          <w:ilvl w:val="0"/>
          <w:numId w:val="139"/>
        </w:numPr>
        <w:rPr>
          <w:noProof/>
          <w:lang w:val="en-IE"/>
        </w:rPr>
      </w:pPr>
      <w:r w:rsidRPr="005B4339">
        <w:rPr>
          <w:noProof/>
          <w:lang w:val="en-IE"/>
        </w:rPr>
        <w:t>S</w:t>
      </w:r>
      <w:r w:rsidR="48C7FB22" w:rsidRPr="005B4339">
        <w:rPr>
          <w:noProof/>
          <w:lang w:val="en-IE"/>
        </w:rPr>
        <w:t>eparate collection target for textiles</w:t>
      </w:r>
      <w:r w:rsidR="21385454" w:rsidRPr="005B4339">
        <w:rPr>
          <w:noProof/>
          <w:lang w:val="en-IE"/>
        </w:rPr>
        <w:t>.</w:t>
      </w:r>
    </w:p>
    <w:p w14:paraId="66724D5F" w14:textId="150A8EAB" w:rsidR="008542C1" w:rsidRPr="005B4339" w:rsidRDefault="1AADCEED" w:rsidP="7C8F5F13">
      <w:pPr>
        <w:spacing w:after="120"/>
        <w:rPr>
          <w:noProof/>
          <w:lang w:val="en-IE"/>
        </w:rPr>
      </w:pPr>
      <w:r w:rsidRPr="005B4339">
        <w:rPr>
          <w:noProof/>
          <w:lang w:val="en-IE"/>
        </w:rPr>
        <w:t>The</w:t>
      </w:r>
      <w:r w:rsidR="395B5C37" w:rsidRPr="005B4339">
        <w:rPr>
          <w:noProof/>
          <w:lang w:val="en-IE"/>
        </w:rPr>
        <w:t xml:space="preserve"> improved reporting obligations woul</w:t>
      </w:r>
      <w:r w:rsidR="413DA590" w:rsidRPr="005B4339">
        <w:rPr>
          <w:rFonts w:eastAsia="Times New Roman"/>
          <w:noProof/>
          <w:lang w:val="en-IE"/>
        </w:rPr>
        <w:t xml:space="preserve">d </w:t>
      </w:r>
      <w:r w:rsidR="0C9262AE" w:rsidRPr="005B4339">
        <w:rPr>
          <w:rFonts w:eastAsia="Times New Roman"/>
          <w:noProof/>
          <w:lang w:val="en-IE"/>
        </w:rPr>
        <w:t xml:space="preserve">deliver </w:t>
      </w:r>
      <w:r w:rsidR="413DA590" w:rsidRPr="005B4339">
        <w:rPr>
          <w:rFonts w:eastAsia="Times New Roman"/>
          <w:noProof/>
          <w:lang w:val="en-IE"/>
        </w:rPr>
        <w:t xml:space="preserve">more reliable data on </w:t>
      </w:r>
      <w:r w:rsidR="69C4799D" w:rsidRPr="005B4339">
        <w:rPr>
          <w:rFonts w:eastAsia="Times New Roman"/>
          <w:noProof/>
          <w:lang w:val="en-IE"/>
        </w:rPr>
        <w:t xml:space="preserve">the textile waste management practices and performance </w:t>
      </w:r>
      <w:r w:rsidR="3008CE74" w:rsidRPr="005B4339">
        <w:rPr>
          <w:noProof/>
          <w:lang w:val="en-IE"/>
        </w:rPr>
        <w:t xml:space="preserve">for the purposes of monitoring </w:t>
      </w:r>
      <w:r w:rsidR="32941354" w:rsidRPr="005B4339">
        <w:rPr>
          <w:noProof/>
          <w:lang w:val="en-IE"/>
        </w:rPr>
        <w:t xml:space="preserve">at national level </w:t>
      </w:r>
      <w:r w:rsidR="3008CE74" w:rsidRPr="005B4339">
        <w:rPr>
          <w:noProof/>
          <w:lang w:val="en-IE"/>
        </w:rPr>
        <w:t>the adherence to the waste hierarchy and textile waste management policy planning, including for the necessary investment needs</w:t>
      </w:r>
      <w:r w:rsidR="7FAFBD47" w:rsidRPr="005B4339">
        <w:rPr>
          <w:noProof/>
          <w:lang w:val="en-IE"/>
        </w:rPr>
        <w:t xml:space="preserve"> by the competent authorities as well as the industry stakeholders.</w:t>
      </w:r>
      <w:r w:rsidR="6D7BFAA8" w:rsidRPr="005B4339">
        <w:rPr>
          <w:noProof/>
          <w:lang w:val="en-IE"/>
        </w:rPr>
        <w:t xml:space="preserve"> </w:t>
      </w:r>
      <w:r w:rsidR="6D7BFAA8" w:rsidRPr="005B4339">
        <w:rPr>
          <w:rFonts w:eastAsia="Times New Roman"/>
          <w:noProof/>
          <w:lang w:val="en-IE"/>
        </w:rPr>
        <w:t>Improved reporting and monitoring can build awareness amongst all players including consumers about the need for prevention.</w:t>
      </w:r>
    </w:p>
    <w:p w14:paraId="4C2652A7" w14:textId="503C68D1" w:rsidR="002D49D4" w:rsidRPr="005B4339" w:rsidRDefault="00A621CC" w:rsidP="002D49D4">
      <w:pPr>
        <w:rPr>
          <w:rFonts w:eastAsia="Times New Roman"/>
          <w:noProof/>
          <w:lang w:val="en-IE"/>
        </w:rPr>
      </w:pPr>
      <w:r w:rsidRPr="005B4339">
        <w:rPr>
          <w:rFonts w:eastAsia="Times New Roman"/>
          <w:noProof/>
          <w:lang w:val="en-IE"/>
        </w:rPr>
        <w:t xml:space="preserve">The main </w:t>
      </w:r>
      <w:r w:rsidR="7D93DD67" w:rsidRPr="005B4339">
        <w:rPr>
          <w:rFonts w:eastAsia="Times New Roman"/>
          <w:noProof/>
          <w:lang w:val="en-IE"/>
        </w:rPr>
        <w:t>indicator against which</w:t>
      </w:r>
      <w:r w:rsidRPr="005B4339">
        <w:rPr>
          <w:rFonts w:eastAsia="Times New Roman"/>
          <w:noProof/>
          <w:lang w:val="en-IE"/>
        </w:rPr>
        <w:t xml:space="preserve"> this initiative should be evaluated</w:t>
      </w:r>
      <w:r w:rsidR="00227D90" w:rsidRPr="005B4339">
        <w:rPr>
          <w:rFonts w:eastAsia="Times New Roman"/>
          <w:noProof/>
          <w:lang w:val="en-IE"/>
        </w:rPr>
        <w:t xml:space="preserve"> is the reduction in residual </w:t>
      </w:r>
      <w:r w:rsidR="3A854FC9" w:rsidRPr="005B4339">
        <w:rPr>
          <w:rFonts w:eastAsia="Times New Roman"/>
          <w:noProof/>
          <w:lang w:val="en-IE"/>
        </w:rPr>
        <w:t>textile</w:t>
      </w:r>
      <w:r w:rsidR="413DA590" w:rsidRPr="005B4339">
        <w:rPr>
          <w:rFonts w:eastAsia="Times New Roman"/>
          <w:noProof/>
          <w:lang w:val="en-IE"/>
        </w:rPr>
        <w:t xml:space="preserve"> waste </w:t>
      </w:r>
      <w:r w:rsidR="0FC28EE7" w:rsidRPr="005B4339">
        <w:rPr>
          <w:rFonts w:eastAsia="Times New Roman"/>
          <w:noProof/>
          <w:lang w:val="en-IE"/>
        </w:rPr>
        <w:t xml:space="preserve">generated, i.e. </w:t>
      </w:r>
      <w:r w:rsidRPr="005B4339">
        <w:rPr>
          <w:rFonts w:eastAsia="Times New Roman"/>
          <w:noProof/>
          <w:lang w:val="en-IE"/>
        </w:rPr>
        <w:t xml:space="preserve">textile waste </w:t>
      </w:r>
      <w:r w:rsidR="0FC28EE7" w:rsidRPr="005B4339">
        <w:rPr>
          <w:rFonts w:eastAsia="Times New Roman"/>
          <w:noProof/>
          <w:lang w:val="en-IE"/>
        </w:rPr>
        <w:t xml:space="preserve">that </w:t>
      </w:r>
      <w:r w:rsidRPr="005B4339">
        <w:rPr>
          <w:rFonts w:eastAsia="Times New Roman"/>
          <w:noProof/>
          <w:lang w:val="en-IE"/>
        </w:rPr>
        <w:t xml:space="preserve">is </w:t>
      </w:r>
      <w:r w:rsidR="0FC28EE7" w:rsidRPr="005B4339">
        <w:rPr>
          <w:rFonts w:eastAsia="Times New Roman"/>
          <w:noProof/>
          <w:lang w:val="en-IE"/>
        </w:rPr>
        <w:t>destined to disposal operations.</w:t>
      </w:r>
      <w:r w:rsidR="00227D90" w:rsidRPr="005B4339">
        <w:rPr>
          <w:rFonts w:eastAsia="Times New Roman"/>
          <w:noProof/>
          <w:lang w:val="en-IE"/>
        </w:rPr>
        <w:t xml:space="preserve"> </w:t>
      </w:r>
      <w:r w:rsidR="008614EA" w:rsidRPr="005B4339">
        <w:rPr>
          <w:rFonts w:eastAsia="Times New Roman"/>
          <w:noProof/>
          <w:lang w:val="en-IE"/>
        </w:rPr>
        <w:t xml:space="preserve">The proposed measures should lead </w:t>
      </w:r>
      <w:r w:rsidR="007A7E19" w:rsidRPr="005B4339">
        <w:rPr>
          <w:rFonts w:eastAsia="Times New Roman"/>
          <w:noProof/>
          <w:lang w:val="en-IE"/>
        </w:rPr>
        <w:t>to</w:t>
      </w:r>
      <w:r w:rsidR="002D49D4" w:rsidRPr="005B4339">
        <w:rPr>
          <w:rFonts w:eastAsia="Times New Roman"/>
          <w:noProof/>
          <w:lang w:val="en-IE"/>
        </w:rPr>
        <w:t xml:space="preserve"> </w:t>
      </w:r>
      <w:r w:rsidR="007A7E19" w:rsidRPr="005B4339">
        <w:rPr>
          <w:rFonts w:eastAsia="Times New Roman"/>
          <w:noProof/>
          <w:lang w:val="en-IE"/>
        </w:rPr>
        <w:t xml:space="preserve">simultaneous and steep infrastructure capacity growth across the EU in </w:t>
      </w:r>
      <w:r w:rsidR="2731EA64" w:rsidRPr="005B4339">
        <w:rPr>
          <w:rFonts w:eastAsia="Times New Roman"/>
          <w:noProof/>
          <w:lang w:val="en-IE"/>
        </w:rPr>
        <w:t xml:space="preserve">separate collection, </w:t>
      </w:r>
      <w:r w:rsidR="007A7E19" w:rsidRPr="005B4339">
        <w:rPr>
          <w:rFonts w:eastAsia="Times New Roman"/>
          <w:noProof/>
          <w:lang w:val="en-IE"/>
        </w:rPr>
        <w:t>sorting and recycling (capacity should be enough to deal with collected textile waste)</w:t>
      </w:r>
      <w:r w:rsidR="00C00167" w:rsidRPr="005B4339">
        <w:rPr>
          <w:rFonts w:eastAsia="Times New Roman"/>
          <w:noProof/>
          <w:lang w:val="en-IE"/>
        </w:rPr>
        <w:t>. Further</w:t>
      </w:r>
      <w:r w:rsidR="5AA97919" w:rsidRPr="005B4339">
        <w:rPr>
          <w:rFonts w:eastAsia="Times New Roman"/>
          <w:noProof/>
          <w:lang w:val="en-IE"/>
        </w:rPr>
        <w:t>,</w:t>
      </w:r>
      <w:r w:rsidR="00C00167" w:rsidRPr="005B4339">
        <w:rPr>
          <w:rFonts w:eastAsia="Times New Roman"/>
          <w:noProof/>
          <w:lang w:val="en-IE"/>
        </w:rPr>
        <w:t xml:space="preserve"> the evaluation should s</w:t>
      </w:r>
      <w:r w:rsidR="3C4472F5" w:rsidRPr="005B4339">
        <w:rPr>
          <w:rFonts w:eastAsia="Times New Roman"/>
          <w:noProof/>
          <w:lang w:val="en-IE"/>
        </w:rPr>
        <w:t>ee</w:t>
      </w:r>
      <w:r w:rsidR="00C00167" w:rsidRPr="005B4339">
        <w:rPr>
          <w:rFonts w:eastAsia="Times New Roman"/>
          <w:noProof/>
          <w:lang w:val="en-IE"/>
        </w:rPr>
        <w:t xml:space="preserve"> the progress on the objective</w:t>
      </w:r>
      <w:r w:rsidR="007A7E19" w:rsidRPr="005B4339">
        <w:rPr>
          <w:rFonts w:eastAsia="Times New Roman"/>
          <w:noProof/>
          <w:lang w:val="en-IE"/>
        </w:rPr>
        <w:t xml:space="preserve"> </w:t>
      </w:r>
      <w:r w:rsidR="00C00167" w:rsidRPr="005B4339">
        <w:rPr>
          <w:rFonts w:eastAsia="Times New Roman"/>
          <w:noProof/>
          <w:lang w:val="en-IE"/>
        </w:rPr>
        <w:t>of creating a</w:t>
      </w:r>
      <w:r w:rsidR="007A7E19" w:rsidRPr="005B4339">
        <w:rPr>
          <w:rFonts w:eastAsia="Times New Roman"/>
          <w:noProof/>
          <w:lang w:val="en-IE"/>
        </w:rPr>
        <w:t xml:space="preserve"> profitable textiles recycling sector</w:t>
      </w:r>
      <w:r w:rsidR="00C00167" w:rsidRPr="005B4339">
        <w:rPr>
          <w:rFonts w:eastAsia="Times New Roman"/>
          <w:noProof/>
          <w:lang w:val="en-IE"/>
        </w:rPr>
        <w:t xml:space="preserve"> and achieving</w:t>
      </w:r>
      <w:r w:rsidR="007A7E19" w:rsidRPr="005B4339">
        <w:rPr>
          <w:rFonts w:eastAsia="Times New Roman"/>
          <w:noProof/>
          <w:lang w:val="en-IE"/>
        </w:rPr>
        <w:t xml:space="preserve"> investments in R&amp;D and scaling up/maturity of technologies.</w:t>
      </w:r>
    </w:p>
    <w:p w14:paraId="03957EC5" w14:textId="2FABD710" w:rsidR="00793FFE" w:rsidRPr="005B4339" w:rsidRDefault="009967AE" w:rsidP="009967AE">
      <w:pPr>
        <w:pStyle w:val="Heading2"/>
        <w:rPr>
          <w:noProof/>
          <w:lang w:val="en-IE"/>
        </w:rPr>
      </w:pPr>
      <w:bookmarkStart w:id="1026" w:name="_Toc124777339"/>
      <w:bookmarkStart w:id="1027" w:name="_Toc591488300"/>
      <w:bookmarkStart w:id="1028" w:name="_Toc303265010"/>
      <w:bookmarkStart w:id="1029" w:name="_Toc520131192"/>
      <w:bookmarkStart w:id="1030" w:name="_Toc1565033583"/>
      <w:bookmarkStart w:id="1031" w:name="_Toc258524960"/>
      <w:bookmarkStart w:id="1032" w:name="_Toc1098440366"/>
      <w:bookmarkStart w:id="1033" w:name="_Toc836003959"/>
      <w:bookmarkStart w:id="1034" w:name="_Toc139032146"/>
      <w:r w:rsidRPr="009967AE">
        <w:t>2-</w:t>
      </w:r>
      <w:r w:rsidRPr="009967AE">
        <w:tab/>
      </w:r>
      <w:r w:rsidR="00793FFE" w:rsidRPr="005B4339">
        <w:rPr>
          <w:noProof/>
          <w:lang w:val="en-IE"/>
        </w:rPr>
        <w:t>Food Waste</w:t>
      </w:r>
      <w:bookmarkEnd w:id="1026"/>
      <w:bookmarkEnd w:id="1027"/>
      <w:bookmarkEnd w:id="1028"/>
      <w:bookmarkEnd w:id="1029"/>
      <w:bookmarkEnd w:id="1030"/>
      <w:bookmarkEnd w:id="1031"/>
      <w:bookmarkEnd w:id="1032"/>
      <w:bookmarkEnd w:id="1033"/>
      <w:bookmarkEnd w:id="1034"/>
    </w:p>
    <w:p w14:paraId="1AE309F0" w14:textId="19599479" w:rsidR="00793FFE" w:rsidRPr="005B4339" w:rsidRDefault="328EA9DC" w:rsidP="2C7286AB">
      <w:pPr>
        <w:spacing w:after="120"/>
        <w:rPr>
          <w:rFonts w:eastAsia="Times New Roman"/>
          <w:noProof/>
          <w:color w:val="000000" w:themeColor="text1"/>
          <w:lang w:val="en-IE"/>
        </w:rPr>
      </w:pPr>
      <w:r w:rsidRPr="005B4339">
        <w:rPr>
          <w:rFonts w:eastAsia="Times New Roman"/>
          <w:noProof/>
          <w:color w:val="000000" w:themeColor="text1"/>
          <w:lang w:val="en-IE"/>
        </w:rPr>
        <w:t xml:space="preserve">Monitoring and evaluation of progress towards </w:t>
      </w:r>
      <w:r w:rsidRPr="005B4339">
        <w:rPr>
          <w:rFonts w:eastAsia="Times New Roman"/>
          <w:b/>
          <w:noProof/>
          <w:color w:val="000000" w:themeColor="text1"/>
          <w:lang w:val="en-IE"/>
        </w:rPr>
        <w:t>food waste</w:t>
      </w:r>
      <w:r w:rsidRPr="005B4339">
        <w:rPr>
          <w:rFonts w:eastAsia="Times New Roman"/>
          <w:noProof/>
          <w:color w:val="000000" w:themeColor="text1"/>
          <w:lang w:val="en-IE"/>
        </w:rPr>
        <w:t xml:space="preserve"> reduction target will be done on the basis of annual reports from Member States on food waste amounts according to the existing harmonised methodology and reporting rules of the WFD. The data are reported to and published by Eurostat (Annex 5 details food waste monitoring). The current monitoring of food waste reduction allows to address the </w:t>
      </w:r>
      <w:r w:rsidRPr="005B4339">
        <w:rPr>
          <w:rFonts w:eastAsia="Times New Roman"/>
          <w:b/>
          <w:noProof/>
          <w:color w:val="000000" w:themeColor="text1"/>
          <w:lang w:val="en-IE"/>
        </w:rPr>
        <w:t>operational objectives</w:t>
      </w:r>
      <w:r w:rsidRPr="005B4339">
        <w:rPr>
          <w:rFonts w:eastAsia="Times New Roman"/>
          <w:noProof/>
          <w:color w:val="000000" w:themeColor="text1"/>
          <w:lang w:val="en-IE"/>
        </w:rPr>
        <w:t xml:space="preserve"> identified in this IA, namely: </w:t>
      </w:r>
    </w:p>
    <w:p w14:paraId="1CA1B010" w14:textId="1D5B108C" w:rsidR="003E7315" w:rsidRPr="005B4339" w:rsidRDefault="003E7315" w:rsidP="003E7315">
      <w:pPr>
        <w:pStyle w:val="Caption"/>
        <w:rPr>
          <w:rFonts w:eastAsia="Times New Roman"/>
          <w:noProof/>
          <w:color w:val="auto"/>
          <w:sz w:val="24"/>
          <w:szCs w:val="24"/>
          <w:lang w:val="en-IE"/>
        </w:rPr>
      </w:pPr>
      <w:bookmarkStart w:id="1035" w:name="_Toc133229514"/>
      <w:bookmarkStart w:id="1036" w:name="_Toc139032068"/>
      <w:r w:rsidRPr="005B4339">
        <w:rPr>
          <w:noProof/>
          <w:color w:val="auto"/>
          <w:sz w:val="24"/>
          <w:szCs w:val="24"/>
          <w:lang w:val="en-IE"/>
        </w:rPr>
        <w:t xml:space="preserve">Table </w:t>
      </w:r>
      <w:r w:rsidR="00393DFA">
        <w:rPr>
          <w:noProof/>
          <w:color w:val="auto"/>
          <w:sz w:val="24"/>
          <w:szCs w:val="24"/>
        </w:rPr>
        <w:t>52</w:t>
      </w:r>
      <w:r w:rsidRPr="005B4339">
        <w:rPr>
          <w:noProof/>
          <w:color w:val="auto"/>
          <w:sz w:val="24"/>
          <w:szCs w:val="24"/>
          <w:lang w:val="en-IE"/>
        </w:rPr>
        <w:t xml:space="preserve"> – Monitoring by objective</w:t>
      </w:r>
      <w:bookmarkEnd w:id="1035"/>
      <w:bookmarkEnd w:id="1036"/>
    </w:p>
    <w:tbl>
      <w:tblPr>
        <w:tblStyle w:val="TableGrid"/>
        <w:tblW w:w="0" w:type="auto"/>
        <w:tblLayout w:type="fixed"/>
        <w:tblLook w:val="04A0" w:firstRow="1" w:lastRow="0" w:firstColumn="1" w:lastColumn="0" w:noHBand="0" w:noVBand="1"/>
      </w:tblPr>
      <w:tblGrid>
        <w:gridCol w:w="3810"/>
        <w:gridCol w:w="4770"/>
      </w:tblGrid>
      <w:tr w:rsidR="2C7286AB" w:rsidRPr="005B4339" w14:paraId="0EFA54A2" w14:textId="77777777" w:rsidTr="2C7286AB">
        <w:trPr>
          <w:trHeight w:val="300"/>
        </w:trPr>
        <w:tc>
          <w:tcPr>
            <w:tcW w:w="3810" w:type="dxa"/>
            <w:tcMar>
              <w:left w:w="105" w:type="dxa"/>
              <w:right w:w="105" w:type="dxa"/>
            </w:tcMar>
          </w:tcPr>
          <w:p w14:paraId="08AD2798" w14:textId="44E897B0" w:rsidR="2C7286AB" w:rsidRPr="005B4339" w:rsidRDefault="2C7286AB" w:rsidP="2C7286AB">
            <w:pPr>
              <w:spacing w:after="120"/>
              <w:rPr>
                <w:noProof/>
                <w:sz w:val="22"/>
                <w:szCs w:val="22"/>
                <w:lang w:val="en-IE"/>
              </w:rPr>
            </w:pPr>
            <w:r w:rsidRPr="005B4339">
              <w:rPr>
                <w:noProof/>
                <w:sz w:val="22"/>
                <w:szCs w:val="22"/>
                <w:lang w:val="en-IE"/>
              </w:rPr>
              <w:t>Operational objectives</w:t>
            </w:r>
          </w:p>
        </w:tc>
        <w:tc>
          <w:tcPr>
            <w:tcW w:w="4770" w:type="dxa"/>
            <w:tcMar>
              <w:left w:w="105" w:type="dxa"/>
              <w:right w:w="105" w:type="dxa"/>
            </w:tcMar>
          </w:tcPr>
          <w:p w14:paraId="4FD98CEA" w14:textId="2EB80C63" w:rsidR="2C7286AB" w:rsidRPr="005B4339" w:rsidRDefault="2C7286AB" w:rsidP="2C7286AB">
            <w:pPr>
              <w:spacing w:after="120"/>
              <w:rPr>
                <w:noProof/>
                <w:sz w:val="22"/>
                <w:szCs w:val="22"/>
                <w:lang w:val="en-IE"/>
              </w:rPr>
            </w:pPr>
            <w:r w:rsidRPr="005B4339">
              <w:rPr>
                <w:i/>
                <w:noProof/>
                <w:sz w:val="22"/>
                <w:szCs w:val="22"/>
                <w:lang w:val="en-IE"/>
              </w:rPr>
              <w:t>Reporting and monitoring of food waste under the WFD:</w:t>
            </w:r>
          </w:p>
        </w:tc>
      </w:tr>
      <w:tr w:rsidR="2C7286AB" w:rsidRPr="005B4339" w14:paraId="61D213D7" w14:textId="77777777" w:rsidTr="2C7286AB">
        <w:trPr>
          <w:trHeight w:val="555"/>
        </w:trPr>
        <w:tc>
          <w:tcPr>
            <w:tcW w:w="3810" w:type="dxa"/>
            <w:tcMar>
              <w:left w:w="105" w:type="dxa"/>
              <w:right w:w="105" w:type="dxa"/>
            </w:tcMar>
          </w:tcPr>
          <w:p w14:paraId="2E86F330" w14:textId="1516BA31" w:rsidR="2C7286AB" w:rsidRPr="005B4339" w:rsidRDefault="2C7286AB" w:rsidP="2C7286AB">
            <w:pPr>
              <w:pStyle w:val="CommentText"/>
              <w:spacing w:after="0"/>
              <w:rPr>
                <w:noProof/>
                <w:sz w:val="22"/>
                <w:szCs w:val="22"/>
                <w:lang w:val="en-IE"/>
              </w:rPr>
            </w:pPr>
            <w:r w:rsidRPr="005B4339">
              <w:rPr>
                <w:noProof/>
                <w:sz w:val="22"/>
                <w:szCs w:val="22"/>
                <w:lang w:val="en-IE"/>
              </w:rPr>
              <w:t>Ensure consistent response by all MS to reduce food waste in line with targets</w:t>
            </w:r>
          </w:p>
        </w:tc>
        <w:tc>
          <w:tcPr>
            <w:tcW w:w="4770" w:type="dxa"/>
            <w:tcMar>
              <w:left w:w="105" w:type="dxa"/>
              <w:right w:w="105" w:type="dxa"/>
            </w:tcMar>
          </w:tcPr>
          <w:p w14:paraId="54120EB9" w14:textId="3E0C8566" w:rsidR="2C7286AB" w:rsidRPr="005B4339" w:rsidRDefault="2C7286AB" w:rsidP="2C7286AB">
            <w:pPr>
              <w:spacing w:after="0"/>
              <w:rPr>
                <w:noProof/>
                <w:sz w:val="22"/>
                <w:szCs w:val="22"/>
                <w:lang w:val="en-IE"/>
              </w:rPr>
            </w:pPr>
            <w:r w:rsidRPr="005B4339">
              <w:rPr>
                <w:i/>
                <w:noProof/>
                <w:sz w:val="22"/>
                <w:szCs w:val="22"/>
                <w:lang w:val="en-IE"/>
              </w:rPr>
              <w:t>Amounts of food waste by Member States, by main economic sectors, including at households</w:t>
            </w:r>
          </w:p>
        </w:tc>
      </w:tr>
      <w:tr w:rsidR="2C7286AB" w:rsidRPr="005B4339" w14:paraId="3BBEA2A9" w14:textId="77777777" w:rsidTr="2C7286AB">
        <w:trPr>
          <w:trHeight w:val="555"/>
        </w:trPr>
        <w:tc>
          <w:tcPr>
            <w:tcW w:w="3810" w:type="dxa"/>
            <w:tcMar>
              <w:left w:w="105" w:type="dxa"/>
              <w:right w:w="105" w:type="dxa"/>
            </w:tcMar>
          </w:tcPr>
          <w:p w14:paraId="66EF102B" w14:textId="6D61DB69" w:rsidR="2C7286AB" w:rsidRPr="005B4339" w:rsidRDefault="2C7286AB" w:rsidP="2C7286AB">
            <w:pPr>
              <w:pStyle w:val="CommentText"/>
              <w:spacing w:after="0"/>
              <w:rPr>
                <w:noProof/>
                <w:sz w:val="22"/>
                <w:szCs w:val="22"/>
                <w:lang w:val="en-IE"/>
              </w:rPr>
            </w:pPr>
            <w:r w:rsidRPr="005B4339">
              <w:rPr>
                <w:noProof/>
                <w:sz w:val="22"/>
                <w:szCs w:val="22"/>
                <w:lang w:val="en-IE"/>
              </w:rPr>
              <w:t xml:space="preserve">Improve efficiency of national waste prevention programmes </w:t>
            </w:r>
          </w:p>
        </w:tc>
        <w:tc>
          <w:tcPr>
            <w:tcW w:w="4770" w:type="dxa"/>
            <w:tcMar>
              <w:left w:w="105" w:type="dxa"/>
              <w:right w:w="105" w:type="dxa"/>
            </w:tcMar>
          </w:tcPr>
          <w:p w14:paraId="5F5C1333" w14:textId="3A34AAA1" w:rsidR="2C7286AB" w:rsidRPr="005B4339" w:rsidRDefault="626D854E" w:rsidP="2C7286AB">
            <w:pPr>
              <w:spacing w:after="0"/>
              <w:rPr>
                <w:noProof/>
                <w:sz w:val="22"/>
                <w:szCs w:val="22"/>
                <w:lang w:val="en-IE"/>
              </w:rPr>
            </w:pPr>
            <w:r w:rsidRPr="005B4339">
              <w:rPr>
                <w:i/>
                <w:noProof/>
                <w:sz w:val="22"/>
                <w:szCs w:val="22"/>
                <w:lang w:val="en-IE"/>
              </w:rPr>
              <w:t>Following</w:t>
            </w:r>
            <w:r w:rsidR="2C7286AB" w:rsidRPr="005B4339">
              <w:rPr>
                <w:i/>
                <w:noProof/>
                <w:sz w:val="22"/>
                <w:szCs w:val="22"/>
                <w:lang w:val="en-IE"/>
              </w:rPr>
              <w:t xml:space="preserve"> review of national food waste prevention programmes shows that measures are strengthened (e.g., hotspots identified, etc).</w:t>
            </w:r>
          </w:p>
        </w:tc>
      </w:tr>
    </w:tbl>
    <w:p w14:paraId="6D0512F8" w14:textId="505F11DC" w:rsidR="00793FFE" w:rsidRPr="005B4339" w:rsidRDefault="00793FFE" w:rsidP="2C7286AB">
      <w:pPr>
        <w:spacing w:after="0"/>
        <w:rPr>
          <w:rFonts w:eastAsia="Times New Roman"/>
          <w:noProof/>
          <w:color w:val="000000" w:themeColor="text1"/>
          <w:lang w:val="en-IE"/>
        </w:rPr>
      </w:pPr>
    </w:p>
    <w:p w14:paraId="05AF508B" w14:textId="5BB7BD3D" w:rsidR="00793FFE" w:rsidRPr="005B4339" w:rsidRDefault="328EA9DC" w:rsidP="2C7286AB">
      <w:pPr>
        <w:spacing w:after="120"/>
        <w:rPr>
          <w:rFonts w:eastAsia="Times New Roman"/>
          <w:noProof/>
          <w:color w:val="000000" w:themeColor="text1"/>
          <w:vertAlign w:val="superscript"/>
          <w:lang w:val="en-IE"/>
        </w:rPr>
      </w:pPr>
      <w:r w:rsidRPr="005B4339">
        <w:rPr>
          <w:rFonts w:eastAsia="Times New Roman"/>
          <w:noProof/>
          <w:color w:val="000000" w:themeColor="text1"/>
          <w:lang w:val="en-IE"/>
        </w:rPr>
        <w:t>Implementation of the national food waste prevention programmes and textile waste prevention measures as part of the national waste prevention programmes is subject to periodic reviews by the European Environment Agency (as required by Article 30(2) of the WFD). The Agency publishes every two years, a report containing a review of the progress made in the completion and implementation of waste prevention programmes, including an assessment of the evolution as regards the prevention of waste generation for each Member State and for the Union as a whole.</w:t>
      </w:r>
    </w:p>
    <w:p w14:paraId="1C5BAA00" w14:textId="46182243" w:rsidR="00793FFE" w:rsidRPr="005B4339" w:rsidRDefault="00793FFE" w:rsidP="001B1E6E">
      <w:pPr>
        <w:rPr>
          <w:noProof/>
          <w:lang w:val="en-IE"/>
        </w:rPr>
      </w:pPr>
    </w:p>
    <w:p w14:paraId="636150FF" w14:textId="77777777" w:rsidR="006B087E" w:rsidRPr="005B4339" w:rsidRDefault="006B087E" w:rsidP="001B1E6E">
      <w:pPr>
        <w:rPr>
          <w:noProof/>
          <w:lang w:val="en-IE"/>
        </w:rPr>
        <w:sectPr w:rsidR="006B087E" w:rsidRPr="005B4339">
          <w:headerReference w:type="even" r:id="rId182"/>
          <w:headerReference w:type="default" r:id="rId183"/>
          <w:footerReference w:type="even" r:id="rId184"/>
          <w:footerReference w:type="default" r:id="rId185"/>
          <w:headerReference w:type="first" r:id="rId186"/>
          <w:footerReference w:type="first" r:id="rId187"/>
          <w:pgSz w:w="12240" w:h="15840"/>
          <w:pgMar w:top="1440" w:right="1440" w:bottom="1440" w:left="1440" w:header="601" w:footer="1077" w:gutter="0"/>
          <w:cols w:space="720"/>
        </w:sectPr>
      </w:pPr>
    </w:p>
    <w:p w14:paraId="1DF25ACF" w14:textId="22B68473" w:rsidR="00B16111" w:rsidRPr="005B4339" w:rsidRDefault="00B16111" w:rsidP="004A0ACC">
      <w:pPr>
        <w:pStyle w:val="AnnexTitle"/>
        <w:rPr>
          <w:noProof/>
          <w:lang w:val="en-IE"/>
        </w:rPr>
      </w:pPr>
      <w:bookmarkStart w:id="1037" w:name="_Toc132761293"/>
      <w:bookmarkStart w:id="1038" w:name="_Toc353039875"/>
      <w:bookmarkStart w:id="1039" w:name="_Toc1424518786"/>
      <w:bookmarkStart w:id="1040" w:name="_Toc1334243786"/>
      <w:bookmarkStart w:id="1041" w:name="_Toc520714855"/>
      <w:bookmarkStart w:id="1042" w:name="_Toc912543263"/>
      <w:bookmarkStart w:id="1043" w:name="_Toc142449089"/>
      <w:bookmarkStart w:id="1044" w:name="_Toc1663444967"/>
      <w:bookmarkStart w:id="1045" w:name="_Toc139032147"/>
      <w:r w:rsidRPr="005B4339">
        <w:rPr>
          <w:noProof/>
          <w:lang w:val="en-IE"/>
        </w:rPr>
        <w:t xml:space="preserve">Annex 15: SME </w:t>
      </w:r>
      <w:r w:rsidR="00094B72" w:rsidRPr="005B4339">
        <w:rPr>
          <w:noProof/>
          <w:lang w:val="en-IE"/>
        </w:rPr>
        <w:t>test</w:t>
      </w:r>
      <w:bookmarkEnd w:id="1037"/>
      <w:bookmarkEnd w:id="1038"/>
      <w:bookmarkEnd w:id="1039"/>
      <w:bookmarkEnd w:id="1040"/>
      <w:bookmarkEnd w:id="1041"/>
      <w:bookmarkEnd w:id="1042"/>
      <w:bookmarkEnd w:id="1043"/>
      <w:bookmarkEnd w:id="1044"/>
      <w:bookmarkEnd w:id="1045"/>
    </w:p>
    <w:p w14:paraId="7CE606C5" w14:textId="47DACB08" w:rsidR="000B2586" w:rsidRPr="005B4339" w:rsidRDefault="009967AE" w:rsidP="009967AE">
      <w:pPr>
        <w:pStyle w:val="Heading2"/>
        <w:rPr>
          <w:noProof/>
          <w:lang w:val="en-IE"/>
        </w:rPr>
      </w:pPr>
      <w:bookmarkStart w:id="1046" w:name="_Toc975155142"/>
      <w:bookmarkStart w:id="1047" w:name="_Toc1112043042"/>
      <w:bookmarkStart w:id="1048" w:name="_Toc1656056198"/>
      <w:bookmarkStart w:id="1049" w:name="_Toc160093984"/>
      <w:bookmarkStart w:id="1050" w:name="_Toc60052476"/>
      <w:bookmarkStart w:id="1051" w:name="_Toc1236518248"/>
      <w:bookmarkStart w:id="1052" w:name="_Toc745601665"/>
      <w:bookmarkStart w:id="1053" w:name="_Toc2146103302"/>
      <w:bookmarkStart w:id="1054" w:name="_Toc139032148"/>
      <w:r w:rsidRPr="009967AE">
        <w:t>1-</w:t>
      </w:r>
      <w:r w:rsidRPr="009967AE">
        <w:tab/>
      </w:r>
      <w:r w:rsidR="000B2586" w:rsidRPr="005B4339">
        <w:rPr>
          <w:noProof/>
          <w:lang w:val="en-IE"/>
        </w:rPr>
        <w:t>Textiles</w:t>
      </w:r>
      <w:bookmarkEnd w:id="1046"/>
      <w:bookmarkEnd w:id="1047"/>
      <w:bookmarkEnd w:id="1048"/>
      <w:bookmarkEnd w:id="1049"/>
      <w:bookmarkEnd w:id="1050"/>
      <w:bookmarkEnd w:id="1051"/>
      <w:bookmarkEnd w:id="1052"/>
      <w:bookmarkEnd w:id="1053"/>
      <w:bookmarkEnd w:id="1054"/>
    </w:p>
    <w:p w14:paraId="7693F0D7" w14:textId="77777777" w:rsidR="00EB2D0D" w:rsidRPr="005B4339" w:rsidRDefault="00EB2D0D" w:rsidP="00EB2D0D">
      <w:pPr>
        <w:spacing w:after="120"/>
        <w:rPr>
          <w:b/>
          <w:noProof/>
          <w:lang w:val="en-IE"/>
        </w:rPr>
      </w:pPr>
      <w:r w:rsidRPr="005B4339">
        <w:rPr>
          <w:b/>
          <w:noProof/>
          <w:lang w:val="en-IE"/>
        </w:rPr>
        <w:t>Step 1/4: Identification of affected businesses</w:t>
      </w:r>
    </w:p>
    <w:p w14:paraId="1E8B3E58" w14:textId="77777777" w:rsidR="00417DB7" w:rsidRPr="005B4339" w:rsidRDefault="00417DB7" w:rsidP="00417DB7">
      <w:pPr>
        <w:spacing w:after="120"/>
        <w:rPr>
          <w:noProof/>
          <w:lang w:val="en-IE"/>
        </w:rPr>
      </w:pPr>
      <w:r w:rsidRPr="005B4339">
        <w:rPr>
          <w:noProof/>
          <w:lang w:val="en-IE"/>
        </w:rPr>
        <w:t>The EU is both a manufacturer of textiles and an importer of textiles from other countries.  Producers in the context of these two sources of textiles will vary with some being manufacturers who place goods on the market that have been manufactured within the EU and others more likely to be wholesalers or retailers that import goods from third countries that place goods on the EU market for the first time.</w:t>
      </w:r>
    </w:p>
    <w:p w14:paraId="5A5E91E3" w14:textId="77777777" w:rsidR="00417DB7" w:rsidRPr="005B4339" w:rsidRDefault="00417DB7" w:rsidP="00417DB7">
      <w:pPr>
        <w:spacing w:after="120"/>
        <w:rPr>
          <w:noProof/>
          <w:lang w:val="en-IE"/>
        </w:rPr>
      </w:pPr>
      <w:r w:rsidRPr="005B4339">
        <w:rPr>
          <w:noProof/>
          <w:lang w:val="en-IE"/>
        </w:rPr>
        <w:t>The composition of these two groups in terms of enterprise size is similar and is well reflected in the data found in the 2022 review of the European Apparel and Textile Confederation</w:t>
      </w:r>
      <w:r w:rsidRPr="005B4339">
        <w:rPr>
          <w:noProof/>
          <w:vertAlign w:val="superscript"/>
          <w:lang w:val="en-IE"/>
        </w:rPr>
        <w:footnoteReference w:id="170"/>
      </w:r>
      <w:r w:rsidRPr="005B4339">
        <w:rPr>
          <w:noProof/>
          <w:lang w:val="en-IE"/>
        </w:rPr>
        <w:t xml:space="preserve"> that notes that 99.8% of total companies in the industry are micro and SMEs.</w:t>
      </w:r>
    </w:p>
    <w:p w14:paraId="7CEA3844" w14:textId="77777777" w:rsidR="00FF7395" w:rsidRPr="005B4339" w:rsidRDefault="00FF7395" w:rsidP="00FF7395">
      <w:pPr>
        <w:rPr>
          <w:rFonts w:ascii="Times" w:eastAsia="Times" w:hAnsi="Times" w:cs="Times"/>
          <w:noProof/>
          <w:lang w:val="en-IE"/>
        </w:rPr>
      </w:pPr>
      <w:r w:rsidRPr="005B4339">
        <w:rPr>
          <w:rFonts w:ascii="Times" w:eastAsia="Times" w:hAnsi="Times" w:cs="Times"/>
          <w:noProof/>
          <w:lang w:val="en-IE"/>
        </w:rPr>
        <w:t xml:space="preserve">In relation to </w:t>
      </w:r>
      <w:r w:rsidRPr="005B4339">
        <w:rPr>
          <w:rFonts w:eastAsiaTheme="minorEastAsia"/>
          <w:noProof/>
          <w:lang w:val="en-IE"/>
        </w:rPr>
        <w:t xml:space="preserve">EU </w:t>
      </w:r>
      <w:r w:rsidRPr="005B4339">
        <w:rPr>
          <w:noProof/>
          <w:lang w:val="en-IE"/>
        </w:rPr>
        <w:t>textiles, wearing apparel and leather</w:t>
      </w:r>
      <w:r w:rsidRPr="005B4339">
        <w:rPr>
          <w:rFonts w:eastAsiaTheme="minorEastAsia"/>
          <w:noProof/>
          <w:lang w:val="en-IE"/>
        </w:rPr>
        <w:t xml:space="preserve"> manufacturing</w:t>
      </w:r>
      <w:r w:rsidRPr="005B4339">
        <w:rPr>
          <w:rFonts w:ascii="Times" w:eastAsia="Times" w:hAnsi="Times" w:cs="Times"/>
          <w:noProof/>
          <w:lang w:val="en-IE"/>
        </w:rPr>
        <w:t>, data from Eurostat</w:t>
      </w:r>
      <w:r w:rsidRPr="005B4339">
        <w:rPr>
          <w:rFonts w:ascii="Times" w:eastAsia="Times" w:hAnsi="Times" w:cs="Times"/>
          <w:noProof/>
          <w:vertAlign w:val="superscript"/>
          <w:lang w:val="en-IE"/>
        </w:rPr>
        <w:footnoteReference w:id="171"/>
      </w:r>
      <w:r w:rsidRPr="005B4339">
        <w:rPr>
          <w:rFonts w:ascii="Times" w:eastAsia="Times" w:hAnsi="Times" w:cs="Times"/>
          <w:noProof/>
          <w:lang w:val="en-IE"/>
        </w:rPr>
        <w:t xml:space="preserve"> indicates that out of 226 624 total enterprises, 198 443 (87.6%) are micro-enterprises (0-9 employees), 27 485 (12.1%) are SMEs (10-249 employees)</w:t>
      </w:r>
      <w:r w:rsidRPr="005B4339">
        <w:rPr>
          <w:rFonts w:ascii="Times" w:eastAsia="Times" w:hAnsi="Times" w:cs="Times"/>
          <w:noProof/>
          <w:vertAlign w:val="superscript"/>
          <w:lang w:val="en-IE"/>
        </w:rPr>
        <w:footnoteReference w:id="172"/>
      </w:r>
      <w:r w:rsidRPr="005B4339">
        <w:rPr>
          <w:rFonts w:ascii="Times" w:eastAsia="Times" w:hAnsi="Times" w:cs="Times"/>
          <w:noProof/>
          <w:lang w:val="en-IE"/>
        </w:rPr>
        <w:t xml:space="preserve"> and the remaining 696 (0.3%) employ 250 persons or more. The split of turnover by enterprise size indicates a different split with enterprises in the size 20 employees and up accounting for 80% of industry turnover. Inclusion of the 10–19-person size enterprises raises this value to 88% of industry turnover. Effectively this means that 12% of manufacturers generate 88% of industry turnover. </w:t>
      </w:r>
    </w:p>
    <w:p w14:paraId="176E3F45" w14:textId="3164ADC8" w:rsidR="00D661FA" w:rsidRPr="005B4339" w:rsidRDefault="00D661FA" w:rsidP="00D661FA">
      <w:pPr>
        <w:pStyle w:val="Caption"/>
        <w:rPr>
          <w:noProof/>
          <w:color w:val="auto"/>
          <w:sz w:val="24"/>
          <w:szCs w:val="24"/>
          <w:lang w:val="en-IE"/>
        </w:rPr>
      </w:pPr>
      <w:bookmarkStart w:id="1055" w:name="_Toc133229407"/>
      <w:r w:rsidRPr="005B4339">
        <w:rPr>
          <w:noProof/>
          <w:color w:val="auto"/>
          <w:sz w:val="24"/>
          <w:szCs w:val="24"/>
          <w:lang w:val="en-IE"/>
        </w:rPr>
        <w:t xml:space="preserve">Figure </w:t>
      </w:r>
      <w:r w:rsidR="00393DFA">
        <w:rPr>
          <w:noProof/>
          <w:color w:val="auto"/>
          <w:sz w:val="24"/>
          <w:szCs w:val="24"/>
        </w:rPr>
        <w:t>81</w:t>
      </w:r>
      <w:r w:rsidRPr="005B4339">
        <w:rPr>
          <w:noProof/>
          <w:color w:val="auto"/>
          <w:sz w:val="24"/>
          <w:szCs w:val="24"/>
          <w:lang w:val="en-IE"/>
        </w:rPr>
        <w:t xml:space="preserve"> – Textile manufacturers by size of enterprise</w:t>
      </w:r>
      <w:bookmarkEnd w:id="1055"/>
    </w:p>
    <w:p w14:paraId="1897A730" w14:textId="61721CB5" w:rsidR="00417DB7" w:rsidRPr="005B4339" w:rsidRDefault="00ED5074" w:rsidP="00417DB7">
      <w:pPr>
        <w:spacing w:after="0"/>
        <w:jc w:val="center"/>
        <w:rPr>
          <w:noProof/>
          <w:lang w:val="en-IE"/>
        </w:rPr>
      </w:pPr>
      <w:r w:rsidRPr="005B4339">
        <w:rPr>
          <w:noProof/>
          <w:lang w:eastAsia="en-GB"/>
        </w:rPr>
        <w:drawing>
          <wp:inline distT="0" distB="0" distL="0" distR="0" wp14:anchorId="2282990B" wp14:editId="0735EEED">
            <wp:extent cx="5731510" cy="3180715"/>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1510" cy="3180715"/>
                    </a:xfrm>
                    <a:prstGeom prst="rect">
                      <a:avLst/>
                    </a:prstGeom>
                    <a:noFill/>
                    <a:ln>
                      <a:noFill/>
                    </a:ln>
                  </pic:spPr>
                </pic:pic>
              </a:graphicData>
            </a:graphic>
          </wp:inline>
        </w:drawing>
      </w:r>
    </w:p>
    <w:p w14:paraId="0CF58DAB" w14:textId="77777777" w:rsidR="00417DB7" w:rsidRPr="005B4339" w:rsidRDefault="00417DB7" w:rsidP="00417DB7">
      <w:pPr>
        <w:spacing w:after="0"/>
        <w:jc w:val="center"/>
        <w:rPr>
          <w:noProof/>
          <w:sz w:val="22"/>
          <w:szCs w:val="22"/>
          <w:lang w:val="en-IE"/>
        </w:rPr>
      </w:pPr>
      <w:r w:rsidRPr="005B4339">
        <w:rPr>
          <w:noProof/>
          <w:sz w:val="22"/>
          <w:szCs w:val="22"/>
          <w:lang w:val="en-IE"/>
        </w:rPr>
        <w:t>Source: Eurostat, 2022</w:t>
      </w:r>
    </w:p>
    <w:p w14:paraId="4348998F" w14:textId="00BC3A0D" w:rsidR="00417DB7" w:rsidRPr="005B4339" w:rsidRDefault="00D661FA" w:rsidP="00D661FA">
      <w:pPr>
        <w:pStyle w:val="Caption"/>
        <w:rPr>
          <w:noProof/>
          <w:color w:val="auto"/>
          <w:sz w:val="24"/>
          <w:szCs w:val="24"/>
          <w:lang w:val="en-IE"/>
        </w:rPr>
      </w:pPr>
      <w:bookmarkStart w:id="1056" w:name="_Toc133229408"/>
      <w:r w:rsidRPr="005B4339">
        <w:rPr>
          <w:noProof/>
          <w:color w:val="auto"/>
          <w:sz w:val="24"/>
          <w:szCs w:val="24"/>
          <w:lang w:val="en-IE"/>
        </w:rPr>
        <w:t xml:space="preserve">Figure </w:t>
      </w:r>
      <w:r w:rsidR="00393DFA">
        <w:rPr>
          <w:noProof/>
          <w:color w:val="auto"/>
          <w:sz w:val="24"/>
          <w:szCs w:val="24"/>
          <w:lang w:val="en-US"/>
        </w:rPr>
        <w:t>82</w:t>
      </w:r>
      <w:r w:rsidRPr="005B4339">
        <w:rPr>
          <w:noProof/>
          <w:color w:val="auto"/>
          <w:sz w:val="24"/>
          <w:szCs w:val="24"/>
          <w:lang w:val="en-IE"/>
        </w:rPr>
        <w:t xml:space="preserve"> – EU textile turnover by size of enterprise</w:t>
      </w:r>
      <w:bookmarkEnd w:id="1056"/>
    </w:p>
    <w:p w14:paraId="5337E4E1" w14:textId="075FA051" w:rsidR="00417DB7" w:rsidRPr="005B4339" w:rsidRDefault="006E1FAB" w:rsidP="00417DB7">
      <w:pPr>
        <w:spacing w:after="0"/>
        <w:jc w:val="center"/>
        <w:rPr>
          <w:noProof/>
          <w:lang w:val="en-IE"/>
        </w:rPr>
      </w:pPr>
      <w:r w:rsidRPr="005B4339">
        <w:rPr>
          <w:noProof/>
          <w:lang w:eastAsia="en-GB"/>
        </w:rPr>
        <w:drawing>
          <wp:inline distT="0" distB="0" distL="0" distR="0" wp14:anchorId="4F4B1B4F" wp14:editId="0F637799">
            <wp:extent cx="5731510" cy="3047365"/>
            <wp:effectExtent l="0" t="0" r="254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3047365"/>
                    </a:xfrm>
                    <a:prstGeom prst="rect">
                      <a:avLst/>
                    </a:prstGeom>
                    <a:noFill/>
                    <a:ln>
                      <a:noFill/>
                    </a:ln>
                  </pic:spPr>
                </pic:pic>
              </a:graphicData>
            </a:graphic>
          </wp:inline>
        </w:drawing>
      </w:r>
    </w:p>
    <w:p w14:paraId="39C6E5BB" w14:textId="06B1046B" w:rsidR="00417DB7" w:rsidRPr="005B4339" w:rsidRDefault="00417DB7" w:rsidP="00417DB7">
      <w:pPr>
        <w:jc w:val="center"/>
        <w:rPr>
          <w:noProof/>
          <w:sz w:val="22"/>
          <w:szCs w:val="22"/>
          <w:lang w:val="en-IE"/>
        </w:rPr>
      </w:pPr>
      <w:r w:rsidRPr="005B4339">
        <w:rPr>
          <w:noProof/>
          <w:sz w:val="22"/>
          <w:szCs w:val="22"/>
          <w:lang w:val="en-IE"/>
        </w:rPr>
        <w:t>Source: Eurostat 2022</w:t>
      </w:r>
    </w:p>
    <w:p w14:paraId="71723171" w14:textId="7D478765" w:rsidR="00417DB7" w:rsidRPr="005B4339" w:rsidRDefault="00417DB7" w:rsidP="006554B6">
      <w:pPr>
        <w:rPr>
          <w:noProof/>
          <w:lang w:val="en-IE"/>
        </w:rPr>
      </w:pPr>
      <w:r w:rsidRPr="005B4339">
        <w:rPr>
          <w:noProof/>
          <w:lang w:val="en-IE"/>
        </w:rPr>
        <w:t>For the textile</w:t>
      </w:r>
      <w:r w:rsidR="06F6E190" w:rsidRPr="005B4339">
        <w:rPr>
          <w:noProof/>
          <w:lang w:val="en-IE"/>
        </w:rPr>
        <w:t xml:space="preserve"> </w:t>
      </w:r>
      <w:r w:rsidR="007432F3" w:rsidRPr="005B4339">
        <w:rPr>
          <w:rFonts w:ascii="Times" w:eastAsia="Times" w:hAnsi="Times" w:cs="Times"/>
          <w:noProof/>
          <w:lang w:val="en-IE"/>
        </w:rPr>
        <w:t>and leather</w:t>
      </w:r>
      <w:r w:rsidRPr="005B4339">
        <w:rPr>
          <w:rFonts w:ascii="Times" w:eastAsia="Times" w:hAnsi="Times" w:cs="Times"/>
          <w:noProof/>
          <w:lang w:val="en-IE"/>
        </w:rPr>
        <w:t xml:space="preserve"> </w:t>
      </w:r>
      <w:r w:rsidRPr="005B4339">
        <w:rPr>
          <w:noProof/>
          <w:lang w:val="en-IE"/>
        </w:rPr>
        <w:t>wholesale and retail sector this kind of data broken down by size of enterprise is not available. However, information on the nature of the enterprises, numbers and average number of employees is available from Eurostat</w:t>
      </w:r>
      <w:r w:rsidRPr="005B4339">
        <w:rPr>
          <w:noProof/>
          <w:vertAlign w:val="superscript"/>
          <w:lang w:val="en-IE"/>
        </w:rPr>
        <w:footnoteReference w:id="173"/>
      </w:r>
      <w:r w:rsidRPr="005B4339">
        <w:rPr>
          <w:noProof/>
          <w:lang w:val="en-IE"/>
        </w:rPr>
        <w:t xml:space="preserve"> that shows splits by agents involved in the sale of textiles, clothing, fur, footwear and leather goods, wholesalers, retail sales of textiles in specialised stores and retail sale via stalls and markets. In terms of the number of enterprises involved in retail the values from Eurostat for 2020 are as shown below.</w:t>
      </w:r>
    </w:p>
    <w:p w14:paraId="4DAF431C" w14:textId="6A5628D7" w:rsidR="00D661FA" w:rsidRPr="005B4339" w:rsidRDefault="00D661FA" w:rsidP="00D661FA">
      <w:pPr>
        <w:pStyle w:val="Caption"/>
        <w:rPr>
          <w:noProof/>
          <w:color w:val="auto"/>
          <w:sz w:val="24"/>
          <w:szCs w:val="24"/>
          <w:lang w:val="en-IE"/>
        </w:rPr>
      </w:pPr>
      <w:bookmarkStart w:id="1057" w:name="_Toc133229409"/>
      <w:r w:rsidRPr="005B4339">
        <w:rPr>
          <w:noProof/>
          <w:color w:val="auto"/>
          <w:sz w:val="24"/>
          <w:szCs w:val="24"/>
          <w:lang w:val="en-IE"/>
        </w:rPr>
        <w:t xml:space="preserve">Figure </w:t>
      </w:r>
      <w:r w:rsidR="00393DFA">
        <w:rPr>
          <w:noProof/>
          <w:color w:val="auto"/>
          <w:sz w:val="24"/>
          <w:szCs w:val="24"/>
        </w:rPr>
        <w:t>83</w:t>
      </w:r>
      <w:r w:rsidRPr="005B4339">
        <w:rPr>
          <w:noProof/>
          <w:color w:val="auto"/>
          <w:sz w:val="24"/>
          <w:szCs w:val="24"/>
          <w:lang w:val="en-IE"/>
        </w:rPr>
        <w:t xml:space="preserve"> – Enterprises involved in the sale of textiles, clothing, fur, footw</w:t>
      </w:r>
      <w:r w:rsidR="00AB18B5" w:rsidRPr="005B4339">
        <w:rPr>
          <w:noProof/>
          <w:color w:val="auto"/>
          <w:sz w:val="24"/>
          <w:szCs w:val="24"/>
          <w:lang w:val="en-IE"/>
        </w:rPr>
        <w:t>ear</w:t>
      </w:r>
      <w:r w:rsidRPr="005B4339">
        <w:rPr>
          <w:noProof/>
          <w:color w:val="auto"/>
          <w:sz w:val="24"/>
          <w:szCs w:val="24"/>
          <w:lang w:val="en-IE"/>
        </w:rPr>
        <w:t xml:space="preserve"> and leather goods</w:t>
      </w:r>
      <w:bookmarkEnd w:id="1057"/>
    </w:p>
    <w:p w14:paraId="44DFB177" w14:textId="5D29F311" w:rsidR="00417DB7" w:rsidRPr="005B4339" w:rsidRDefault="00417DB7" w:rsidP="00417DB7">
      <w:pPr>
        <w:spacing w:after="0"/>
        <w:jc w:val="center"/>
        <w:rPr>
          <w:noProof/>
          <w:lang w:val="en-IE"/>
        </w:rPr>
      </w:pPr>
      <w:r w:rsidRPr="005B4339">
        <w:rPr>
          <w:noProof/>
          <w:color w:val="2B579A"/>
          <w:shd w:val="clear" w:color="auto" w:fill="E6E6E6"/>
          <w:lang w:eastAsia="en-GB"/>
        </w:rPr>
        <w:drawing>
          <wp:inline distT="0" distB="0" distL="0" distR="0" wp14:anchorId="5BEB5835" wp14:editId="1E150A08">
            <wp:extent cx="3517900" cy="2556341"/>
            <wp:effectExtent l="0" t="0" r="6350" b="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pie chart&#10;&#10;Description automatically genera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36715" cy="2570013"/>
                    </a:xfrm>
                    <a:prstGeom prst="rect">
                      <a:avLst/>
                    </a:prstGeom>
                    <a:noFill/>
                    <a:ln>
                      <a:noFill/>
                    </a:ln>
                  </pic:spPr>
                </pic:pic>
              </a:graphicData>
            </a:graphic>
          </wp:inline>
        </w:drawing>
      </w:r>
      <w:r w:rsidRPr="005B4339">
        <w:rPr>
          <w:noProof/>
          <w:lang w:val="en-IE"/>
        </w:rPr>
        <w:br/>
        <w:t>Source: Eurostat 2022</w:t>
      </w:r>
    </w:p>
    <w:p w14:paraId="54A7EDFB" w14:textId="77777777" w:rsidR="00417DB7" w:rsidRPr="005B4339" w:rsidRDefault="00417DB7" w:rsidP="00417DB7">
      <w:pPr>
        <w:spacing w:after="0"/>
        <w:rPr>
          <w:noProof/>
          <w:lang w:val="en-IE"/>
        </w:rPr>
      </w:pPr>
    </w:p>
    <w:p w14:paraId="4961A886" w14:textId="77777777" w:rsidR="00417DB7" w:rsidRPr="005B4339" w:rsidRDefault="00417DB7" w:rsidP="00417DB7">
      <w:pPr>
        <w:spacing w:after="0"/>
        <w:rPr>
          <w:noProof/>
          <w:lang w:val="en-IE"/>
        </w:rPr>
      </w:pPr>
      <w:r w:rsidRPr="005B4339">
        <w:rPr>
          <w:noProof/>
          <w:lang w:val="en-IE"/>
        </w:rPr>
        <w:t xml:space="preserve">The number of employees per enterprise at the retail level is only provided as an average.  </w:t>
      </w:r>
    </w:p>
    <w:p w14:paraId="428AFD90" w14:textId="77777777" w:rsidR="00417DB7" w:rsidRPr="005B4339" w:rsidRDefault="00417DB7" w:rsidP="00385CF0">
      <w:pPr>
        <w:spacing w:after="120"/>
        <w:rPr>
          <w:noProof/>
          <w:lang w:val="en-IE"/>
        </w:rPr>
      </w:pPr>
      <w:r w:rsidRPr="005B4339">
        <w:rPr>
          <w:noProof/>
          <w:lang w:val="en-IE"/>
        </w:rPr>
        <w:t>However, the values are provided below.</w:t>
      </w:r>
    </w:p>
    <w:p w14:paraId="692E51D4" w14:textId="1EA7EF0B" w:rsidR="00417DB7" w:rsidRPr="005B4339" w:rsidRDefault="001432DD" w:rsidP="001432DD">
      <w:pPr>
        <w:pStyle w:val="Caption"/>
        <w:rPr>
          <w:noProof/>
          <w:color w:val="auto"/>
          <w:sz w:val="24"/>
          <w:szCs w:val="24"/>
          <w:lang w:val="en-IE"/>
        </w:rPr>
      </w:pPr>
      <w:bookmarkStart w:id="1058" w:name="_Toc133229410"/>
      <w:r w:rsidRPr="005B4339">
        <w:rPr>
          <w:noProof/>
          <w:color w:val="auto"/>
          <w:sz w:val="24"/>
          <w:szCs w:val="24"/>
          <w:lang w:val="en-IE"/>
        </w:rPr>
        <w:t xml:space="preserve">Figure </w:t>
      </w:r>
      <w:r w:rsidR="00393DFA">
        <w:rPr>
          <w:noProof/>
          <w:color w:val="auto"/>
          <w:sz w:val="24"/>
          <w:szCs w:val="24"/>
        </w:rPr>
        <w:t>84</w:t>
      </w:r>
      <w:r w:rsidRPr="005B4339">
        <w:rPr>
          <w:noProof/>
          <w:color w:val="auto"/>
          <w:sz w:val="24"/>
          <w:szCs w:val="24"/>
          <w:lang w:val="en-IE"/>
        </w:rPr>
        <w:t xml:space="preserve"> – Average employee numbers by enterprise type in relation to the sales of textiles in the EU in 2020</w:t>
      </w:r>
      <w:bookmarkEnd w:id="1058"/>
    </w:p>
    <w:p w14:paraId="31062E06" w14:textId="6B5D4D21" w:rsidR="00417DB7" w:rsidRPr="005B4339" w:rsidRDefault="00417DB7" w:rsidP="00417DB7">
      <w:pPr>
        <w:jc w:val="center"/>
        <w:rPr>
          <w:noProof/>
          <w:sz w:val="22"/>
          <w:szCs w:val="22"/>
          <w:lang w:val="en-IE"/>
        </w:rPr>
      </w:pPr>
      <w:r w:rsidRPr="005B4339">
        <w:rPr>
          <w:noProof/>
          <w:color w:val="2B579A"/>
          <w:shd w:val="clear" w:color="auto" w:fill="E6E6E6"/>
          <w:lang w:eastAsia="en-GB"/>
        </w:rPr>
        <w:drawing>
          <wp:inline distT="0" distB="0" distL="0" distR="0" wp14:anchorId="6EA3D765" wp14:editId="0C0CC544">
            <wp:extent cx="3901440" cy="2438400"/>
            <wp:effectExtent l="0" t="0" r="381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t, bar chart&#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06919" cy="2441824"/>
                    </a:xfrm>
                    <a:prstGeom prst="rect">
                      <a:avLst/>
                    </a:prstGeom>
                    <a:noFill/>
                    <a:ln>
                      <a:noFill/>
                    </a:ln>
                  </pic:spPr>
                </pic:pic>
              </a:graphicData>
            </a:graphic>
          </wp:inline>
        </w:drawing>
      </w:r>
      <w:r w:rsidRPr="005B4339">
        <w:rPr>
          <w:noProof/>
          <w:lang w:val="en-IE"/>
        </w:rPr>
        <w:br/>
      </w:r>
      <w:r w:rsidRPr="005B4339">
        <w:rPr>
          <w:noProof/>
          <w:sz w:val="22"/>
          <w:szCs w:val="22"/>
          <w:lang w:val="en-IE"/>
        </w:rPr>
        <w:t>Source: Eurostat 2022</w:t>
      </w:r>
      <w:r w:rsidR="0030799A" w:rsidRPr="005B4339">
        <w:rPr>
          <w:rFonts w:eastAsia="Calibri"/>
          <w:noProof/>
          <w:sz w:val="22"/>
          <w:szCs w:val="22"/>
          <w:vertAlign w:val="superscript"/>
        </w:rPr>
        <w:footnoteReference w:id="174"/>
      </w:r>
    </w:p>
    <w:p w14:paraId="572628F7" w14:textId="24D6C8E6" w:rsidR="00417DB7" w:rsidRPr="005B4339" w:rsidRDefault="00417DB7" w:rsidP="00417DB7">
      <w:pPr>
        <w:spacing w:after="120"/>
        <w:rPr>
          <w:noProof/>
          <w:lang w:val="en-IE"/>
        </w:rPr>
      </w:pPr>
      <w:r w:rsidRPr="005B4339">
        <w:rPr>
          <w:noProof/>
          <w:lang w:val="en-IE"/>
        </w:rPr>
        <w:t>Even without the ability to split enterprises by number of employees it is apparent from the Eurostat Annual detailed enterprise statistics for trade (NACE Rec. 2 G as found in SBS_NA_DT_R2) that the retail sector is dominated by smaller companies with a small number of employees, typically sole trades and stores with 2-3 employees at the store side, with agents similarly small in terms of number of employees and wholesalers generally larger in size.</w:t>
      </w:r>
    </w:p>
    <w:p w14:paraId="5468B9C0" w14:textId="77777777" w:rsidR="00417DB7" w:rsidRPr="005B4339" w:rsidRDefault="00417DB7" w:rsidP="00417DB7">
      <w:pPr>
        <w:spacing w:after="120"/>
        <w:rPr>
          <w:noProof/>
          <w:lang w:val="en-IE"/>
        </w:rPr>
      </w:pPr>
      <w:r w:rsidRPr="005B4339">
        <w:rPr>
          <w:noProof/>
          <w:lang w:val="en-IE"/>
        </w:rPr>
        <w:t>Given SMEs are the majority of those involved in the placing on the market of textiles as well as, alongside social enterprises, their collection at the point of discard the initiative is considered as relevant for SMEs. The IA includes assessment on the impacts of the initiative on SMEs of all sizes (micro, small, medium) across the EU, which are considered to be the most affected by the initiative.</w:t>
      </w:r>
    </w:p>
    <w:p w14:paraId="45AEF6FB" w14:textId="172D9EA1" w:rsidR="004C138F" w:rsidRPr="005B4339" w:rsidRDefault="00417DB7" w:rsidP="00417DB7">
      <w:pPr>
        <w:spacing w:after="120"/>
        <w:rPr>
          <w:noProof/>
          <w:lang w:val="en-IE"/>
        </w:rPr>
      </w:pPr>
      <w:r w:rsidRPr="005B4339">
        <w:rPr>
          <w:noProof/>
          <w:lang w:val="en-IE"/>
        </w:rPr>
        <w:t>The scope of the legislative proposal in the area of textile waste is</w:t>
      </w:r>
      <w:r w:rsidR="00381ED2" w:rsidRPr="005B4339">
        <w:rPr>
          <w:noProof/>
          <w:lang w:val="en-IE"/>
        </w:rPr>
        <w:t xml:space="preserve"> to improve textile waste management in line with the waste hierarchy prioritising </w:t>
      </w:r>
      <w:r w:rsidR="00D96247" w:rsidRPr="005B4339">
        <w:rPr>
          <w:noProof/>
          <w:lang w:val="en-IE"/>
        </w:rPr>
        <w:t>reuse</w:t>
      </w:r>
      <w:r w:rsidR="00381ED2" w:rsidRPr="005B4339">
        <w:rPr>
          <w:noProof/>
          <w:lang w:val="en-IE"/>
        </w:rPr>
        <w:t xml:space="preserve"> and recycling of clothes and household textiles.</w:t>
      </w:r>
    </w:p>
    <w:p w14:paraId="48CC46EF" w14:textId="77777777" w:rsidR="00417DB7" w:rsidRPr="005B4339" w:rsidRDefault="00417DB7" w:rsidP="00815C15">
      <w:pPr>
        <w:spacing w:after="120"/>
        <w:rPr>
          <w:noProof/>
          <w:lang w:val="en-IE"/>
        </w:rPr>
      </w:pPr>
      <w:r w:rsidRPr="005B4339">
        <w:rPr>
          <w:noProof/>
          <w:lang w:val="en-IE"/>
        </w:rPr>
        <w:t>Whilst it is generally accepted that textile manufacturers and retailers have an inherent economic incentive to reduce textile waste, the increasing volumes of textiles placed on the market as well as the manner in which post-consumer textiles from these actors is handled at the point of discard is subject to significant shortcomings that this initiative looks to target.</w:t>
      </w:r>
    </w:p>
    <w:p w14:paraId="74F8EDDD" w14:textId="17B94674" w:rsidR="001F2E19" w:rsidRPr="005B4339" w:rsidRDefault="001F2E19" w:rsidP="001F2E19">
      <w:pPr>
        <w:spacing w:after="120"/>
        <w:rPr>
          <w:b/>
          <w:noProof/>
          <w:lang w:val="en-IE"/>
        </w:rPr>
      </w:pPr>
      <w:r w:rsidRPr="005B4339">
        <w:rPr>
          <w:b/>
          <w:noProof/>
          <w:lang w:val="en-IE"/>
        </w:rPr>
        <w:t xml:space="preserve">Step 2/4: Consultation of SME </w:t>
      </w:r>
      <w:r w:rsidR="0B1EAEB4" w:rsidRPr="005B4339">
        <w:rPr>
          <w:b/>
          <w:noProof/>
          <w:lang w:val="en-IE"/>
        </w:rPr>
        <w:t>s</w:t>
      </w:r>
      <w:r w:rsidRPr="005B4339">
        <w:rPr>
          <w:b/>
          <w:noProof/>
          <w:lang w:val="en-IE"/>
        </w:rPr>
        <w:t>takeholders</w:t>
      </w:r>
    </w:p>
    <w:p w14:paraId="02626D78" w14:textId="2ACF688D" w:rsidR="008017CA" w:rsidRPr="005B4339" w:rsidRDefault="008017CA" w:rsidP="008017CA">
      <w:pPr>
        <w:spacing w:after="120"/>
        <w:rPr>
          <w:rFonts w:eastAsia="Calibri"/>
          <w:noProof/>
          <w:lang w:val="en-IE" w:eastAsia="en-GB"/>
        </w:rPr>
      </w:pPr>
      <w:r w:rsidRPr="005B4339">
        <w:rPr>
          <w:noProof/>
          <w:lang w:val="en-IE"/>
        </w:rPr>
        <w:t xml:space="preserve">Within the context of the public consultation </w:t>
      </w:r>
      <w:r w:rsidRPr="005B4339">
        <w:rPr>
          <w:rFonts w:eastAsia="Calibri"/>
          <w:noProof/>
          <w:lang w:val="en-IE" w:eastAsia="en-GB"/>
        </w:rPr>
        <w:t xml:space="preserve">SMEs, among other stakeholders, were invited to both respond to questions in relation to waste in general as well as for textile waste.  Furthermore, SMEs were invited </w:t>
      </w:r>
      <w:r w:rsidR="78AB1C5D" w:rsidRPr="005B4339">
        <w:rPr>
          <w:rFonts w:eastAsia="Calibri"/>
          <w:noProof/>
          <w:lang w:val="en-IE" w:eastAsia="en-GB"/>
        </w:rPr>
        <w:t xml:space="preserve">to </w:t>
      </w:r>
      <w:r w:rsidRPr="005B4339">
        <w:rPr>
          <w:rFonts w:eastAsia="Calibri"/>
          <w:noProof/>
          <w:lang w:val="en-IE" w:eastAsia="en-GB"/>
        </w:rPr>
        <w:t xml:space="preserve">submit additional information including position papers. 211 business associations, company / business organisations and consumer organisations that fell into the SME category responded to the public consultation.   </w:t>
      </w:r>
    </w:p>
    <w:p w14:paraId="150E5243" w14:textId="45B16FF1" w:rsidR="008017CA" w:rsidRPr="005B4339" w:rsidRDefault="008017CA" w:rsidP="008017CA">
      <w:pPr>
        <w:spacing w:after="120"/>
        <w:rPr>
          <w:noProof/>
          <w:lang w:val="en-IE"/>
        </w:rPr>
      </w:pPr>
      <w:r w:rsidRPr="005B4339">
        <w:rPr>
          <w:rFonts w:eastAsia="Calibri"/>
          <w:noProof/>
          <w:lang w:val="en-IE" w:eastAsia="en-GB"/>
        </w:rPr>
        <w:t>In general</w:t>
      </w:r>
      <w:r w:rsidR="4F17E58A" w:rsidRPr="005B4339">
        <w:rPr>
          <w:rFonts w:eastAsia="Calibri"/>
          <w:noProof/>
          <w:lang w:val="en-IE" w:eastAsia="en-GB"/>
        </w:rPr>
        <w:t>,</w:t>
      </w:r>
      <w:r w:rsidRPr="005B4339">
        <w:rPr>
          <w:rFonts w:eastAsia="Calibri"/>
          <w:noProof/>
          <w:lang w:val="en-IE" w:eastAsia="en-GB"/>
        </w:rPr>
        <w:t xml:space="preserve"> SMEs pointed out in their position papers that currently there is no large-scale pla</w:t>
      </w:r>
      <w:r w:rsidR="3666A59D" w:rsidRPr="005B4339">
        <w:rPr>
          <w:rFonts w:eastAsia="Calibri"/>
          <w:noProof/>
          <w:lang w:val="en-IE" w:eastAsia="en-GB"/>
        </w:rPr>
        <w:t>n</w:t>
      </w:r>
      <w:r w:rsidRPr="005B4339">
        <w:rPr>
          <w:rFonts w:eastAsia="Calibri"/>
          <w:noProof/>
          <w:lang w:val="en-IE" w:eastAsia="en-GB"/>
        </w:rPr>
        <w:t>n</w:t>
      </w:r>
      <w:r w:rsidR="6D4D2D74" w:rsidRPr="005B4339">
        <w:rPr>
          <w:rFonts w:eastAsia="Calibri"/>
          <w:noProof/>
          <w:lang w:val="en-IE" w:eastAsia="en-GB"/>
        </w:rPr>
        <w:t>ing</w:t>
      </w:r>
      <w:r w:rsidRPr="005B4339">
        <w:rPr>
          <w:rFonts w:eastAsia="Calibri"/>
          <w:noProof/>
          <w:lang w:val="en-IE" w:eastAsia="en-GB"/>
        </w:rPr>
        <w:t xml:space="preserve"> to process the waste. Most of them agreed that</w:t>
      </w:r>
      <w:r w:rsidRPr="005B4339">
        <w:rPr>
          <w:noProof/>
          <w:lang w:val="en-IE"/>
        </w:rPr>
        <w:t xml:space="preserve"> textile production’s design and consumption patterns have to be changed, leading to the production of textiles of higher quality </w:t>
      </w:r>
      <w:r w:rsidRPr="005B4339">
        <w:rPr>
          <w:rFonts w:eastAsia="Calibri"/>
          <w:noProof/>
          <w:lang w:val="en-IE" w:eastAsia="en-GB"/>
        </w:rPr>
        <w:t>that can last longer.</w:t>
      </w:r>
      <w:r w:rsidRPr="005B4339">
        <w:rPr>
          <w:noProof/>
          <w:lang w:val="en-IE"/>
        </w:rPr>
        <w:t xml:space="preserve"> They also highlighted the importance of prioritizing waste prevention and reuse and the need to set reuse and preparation for reuse targets, as well as </w:t>
      </w:r>
      <w:r w:rsidRPr="005B4339">
        <w:rPr>
          <w:rFonts w:eastAsia="Calibri"/>
          <w:noProof/>
          <w:lang w:val="en-IE" w:eastAsia="en-GB"/>
        </w:rPr>
        <w:t>to improve separate collection systems. Regarding EPR</w:t>
      </w:r>
      <w:r w:rsidR="768204DB" w:rsidRPr="005B4339">
        <w:rPr>
          <w:rFonts w:eastAsia="Calibri"/>
          <w:noProof/>
          <w:lang w:val="en-IE" w:eastAsia="en-GB"/>
        </w:rPr>
        <w:t>,</w:t>
      </w:r>
      <w:r w:rsidRPr="005B4339">
        <w:rPr>
          <w:rFonts w:eastAsia="Calibri"/>
          <w:noProof/>
          <w:lang w:val="en-IE" w:eastAsia="en-GB"/>
        </w:rPr>
        <w:t xml:space="preserve"> the main points were to ensure that EPR schemes enforce the waste hierarchy by setting quantitative targets for waste prevention and preparation for </w:t>
      </w:r>
      <w:r w:rsidR="00D96247" w:rsidRPr="005B4339">
        <w:rPr>
          <w:rFonts w:eastAsia="Calibri"/>
          <w:noProof/>
          <w:lang w:val="en-IE" w:eastAsia="en-GB"/>
        </w:rPr>
        <w:t>reuse</w:t>
      </w:r>
      <w:r w:rsidRPr="005B4339">
        <w:rPr>
          <w:rFonts w:eastAsia="Calibri"/>
          <w:noProof/>
          <w:lang w:val="en-IE" w:eastAsia="en-GB"/>
        </w:rPr>
        <w:t>, ensure a</w:t>
      </w:r>
      <w:r w:rsidR="56A55C8D" w:rsidRPr="005B4339">
        <w:rPr>
          <w:rFonts w:eastAsia="Calibri"/>
          <w:noProof/>
          <w:lang w:val="en-IE" w:eastAsia="en-GB"/>
        </w:rPr>
        <w:t xml:space="preserve"> harmonised approach to</w:t>
      </w:r>
      <w:r w:rsidRPr="005B4339">
        <w:rPr>
          <w:rFonts w:eastAsia="Calibri"/>
          <w:noProof/>
          <w:lang w:val="en-IE" w:eastAsia="en-GB"/>
        </w:rPr>
        <w:t xml:space="preserve"> eco-modulation of EPR fees and the fair competition in recycling markets, granting access to the waste stream to preparing for </w:t>
      </w:r>
      <w:r w:rsidR="00D96247" w:rsidRPr="005B4339">
        <w:rPr>
          <w:rFonts w:eastAsia="Calibri"/>
          <w:noProof/>
          <w:lang w:val="en-IE" w:eastAsia="en-GB"/>
        </w:rPr>
        <w:t>reuse</w:t>
      </w:r>
      <w:r w:rsidRPr="005B4339">
        <w:rPr>
          <w:rFonts w:eastAsia="Calibri"/>
          <w:noProof/>
          <w:lang w:val="en-IE" w:eastAsia="en-GB"/>
        </w:rPr>
        <w:t xml:space="preserve"> operators, while also involving social enterprises as key stakeholders in the development, governance and functioning of these schemes. </w:t>
      </w:r>
      <w:r w:rsidRPr="005B4339">
        <w:rPr>
          <w:noProof/>
          <w:lang w:val="en-IE"/>
        </w:rPr>
        <w:t xml:space="preserve">Also, the harmonisation at EU-level of end-of-waste criteria </w:t>
      </w:r>
      <w:r w:rsidRPr="005B4339">
        <w:rPr>
          <w:rFonts w:eastAsia="Calibri"/>
          <w:noProof/>
          <w:lang w:val="en-IE" w:eastAsia="en-GB"/>
        </w:rPr>
        <w:t xml:space="preserve">was advocated which was also endorsed by the recycling industry, as well as the insurance of the consistency with other regulatory initiatives, such as the ESPR and WSR. Further, they pointed out that guidance to achieve high levels of separate collection of textile waste is needed, while maturing fibre sorting and pre-processing is critical to scale the recycling of post-consumer waste. </w:t>
      </w:r>
      <w:r w:rsidRPr="005B4339">
        <w:rPr>
          <w:noProof/>
          <w:lang w:val="en-IE"/>
        </w:rPr>
        <w:t>Some of them reflect</w:t>
      </w:r>
      <w:r w:rsidR="46F4AC0F" w:rsidRPr="005B4339">
        <w:rPr>
          <w:noProof/>
          <w:lang w:val="en-IE"/>
        </w:rPr>
        <w:t>ed</w:t>
      </w:r>
      <w:r w:rsidRPr="005B4339">
        <w:rPr>
          <w:noProof/>
          <w:lang w:val="en-IE"/>
        </w:rPr>
        <w:t xml:space="preserve"> on</w:t>
      </w:r>
      <w:r w:rsidR="25E5851F" w:rsidRPr="005B4339">
        <w:rPr>
          <w:noProof/>
          <w:lang w:val="en-IE"/>
        </w:rPr>
        <w:t xml:space="preserve"> the need for</w:t>
      </w:r>
      <w:r w:rsidRPr="005B4339">
        <w:rPr>
          <w:noProof/>
          <w:lang w:val="en-IE"/>
        </w:rPr>
        <w:t xml:space="preserve"> a harmonised definition of textile waste.</w:t>
      </w:r>
    </w:p>
    <w:p w14:paraId="61769AA0" w14:textId="77777777" w:rsidR="008017CA" w:rsidRPr="005B4339" w:rsidRDefault="008017CA" w:rsidP="008017CA">
      <w:pPr>
        <w:spacing w:after="120"/>
        <w:rPr>
          <w:noProof/>
          <w:lang w:val="en-IE"/>
        </w:rPr>
      </w:pPr>
      <w:r w:rsidRPr="005B4339">
        <w:rPr>
          <w:noProof/>
          <w:lang w:val="en-IE"/>
        </w:rPr>
        <w:t>Some of the key SME representatives consulted in the context of textile waste were:</w:t>
      </w:r>
    </w:p>
    <w:p w14:paraId="1E16C524" w14:textId="24C48FDE" w:rsidR="008017CA" w:rsidRPr="005B4339" w:rsidRDefault="008017CA" w:rsidP="008017CA">
      <w:pPr>
        <w:spacing w:after="120"/>
        <w:rPr>
          <w:noProof/>
          <w:lang w:val="en-IE"/>
        </w:rPr>
      </w:pPr>
      <w:r w:rsidRPr="005B4339">
        <w:rPr>
          <w:noProof/>
          <w:lang w:val="en-IE"/>
        </w:rPr>
        <w:t xml:space="preserve">EURATEX – Representing the national associations of AT, BE, BG, CZ, DE, DK, EL, ES, FI, FR, HR, IT, LT, NL, PL, PT, RO and SE the European Apparel and Textile Confederation provided input to the call for evidence and the public consultation.  They were also interviewed by the consultants team.  The public information made available from Euratex provides information on the size of the entire sector that is not split into members and non-members.  However, with the Member State national associations listed a majority of the 143 000 companies </w:t>
      </w:r>
      <w:r w:rsidR="3176332F" w:rsidRPr="005B4339">
        <w:rPr>
          <w:noProof/>
          <w:lang w:val="en-IE"/>
        </w:rPr>
        <w:t xml:space="preserve">reflecting the composition of the textile industry, </w:t>
      </w:r>
      <w:r w:rsidRPr="005B4339">
        <w:rPr>
          <w:noProof/>
          <w:lang w:val="en-IE"/>
        </w:rPr>
        <w:t>involved in the EU textile and clothing industry are represented by Euratex.</w:t>
      </w:r>
    </w:p>
    <w:p w14:paraId="6A95C7D3" w14:textId="77777777" w:rsidR="008017CA" w:rsidRPr="005B4339" w:rsidRDefault="008017CA" w:rsidP="008017CA">
      <w:pPr>
        <w:spacing w:after="120"/>
        <w:rPr>
          <w:noProof/>
          <w:lang w:val="en-IE"/>
        </w:rPr>
      </w:pPr>
      <w:r w:rsidRPr="005B4339">
        <w:rPr>
          <w:noProof/>
          <w:lang w:val="en-IE"/>
        </w:rPr>
        <w:t>EURIC – Representing the recycling federations of 18 Member States and over 5 500 companies including SMEs and with a specific group dedicated to textiles (EURIC TEXTILES), EURIC provided input to the call for evidence as well as the public consultation.  Furthermore, additional evidence was submitted directly to the European Commission, most notably the LCA-based assessment of the management of European used textiles issued in January 2023 that was used specifically in the assessment of environmental benefits of specific measures.</w:t>
      </w:r>
    </w:p>
    <w:p w14:paraId="0F1FCA03" w14:textId="2C065BDA" w:rsidR="008017CA" w:rsidRPr="005B4339" w:rsidRDefault="008017CA" w:rsidP="008017CA">
      <w:pPr>
        <w:spacing w:after="120"/>
        <w:rPr>
          <w:noProof/>
          <w:lang w:val="en-IE"/>
        </w:rPr>
      </w:pPr>
      <w:r w:rsidRPr="005B4339">
        <w:rPr>
          <w:noProof/>
          <w:lang w:val="en-IE"/>
        </w:rPr>
        <w:t>The Policy Hub represents more than 700 brands, retailers and manufacturers and other textile stakeholders including NGOs representing more than 50% of the apparel and footwear sector.  The Policy Hub provided input to the call for evidence and the open public consultation.  Additionally</w:t>
      </w:r>
      <w:r w:rsidR="00251EC7" w:rsidRPr="005B4339">
        <w:rPr>
          <w:noProof/>
          <w:lang w:val="en-IE"/>
        </w:rPr>
        <w:t>,</w:t>
      </w:r>
      <w:r w:rsidRPr="005B4339">
        <w:rPr>
          <w:noProof/>
          <w:lang w:val="en-IE"/>
        </w:rPr>
        <w:t xml:space="preserve"> the Policy Hub was interviewed by the </w:t>
      </w:r>
      <w:r w:rsidR="001432DD" w:rsidRPr="005B4339">
        <w:rPr>
          <w:noProof/>
          <w:lang w:val="en-IE"/>
        </w:rPr>
        <w:t>support study</w:t>
      </w:r>
      <w:r w:rsidRPr="005B4339">
        <w:rPr>
          <w:noProof/>
          <w:lang w:val="en-IE"/>
        </w:rPr>
        <w:t xml:space="preserve"> team.</w:t>
      </w:r>
    </w:p>
    <w:p w14:paraId="51959F31" w14:textId="1809B610" w:rsidR="008017CA" w:rsidRPr="005B4339" w:rsidRDefault="008017CA" w:rsidP="008017CA">
      <w:pPr>
        <w:spacing w:after="120"/>
        <w:rPr>
          <w:rFonts w:eastAsia="Calibri"/>
          <w:noProof/>
          <w:lang w:val="en-IE" w:eastAsia="en-GB"/>
        </w:rPr>
      </w:pPr>
      <w:r w:rsidRPr="005B4339">
        <w:rPr>
          <w:rFonts w:eastAsia="Calibri"/>
          <w:noProof/>
          <w:lang w:val="en-IE" w:eastAsia="en-GB"/>
        </w:rPr>
        <w:t xml:space="preserve">RREUSE represents social enterprises active in </w:t>
      </w:r>
      <w:r w:rsidR="00D96247" w:rsidRPr="005B4339">
        <w:rPr>
          <w:rFonts w:eastAsia="Calibri"/>
          <w:noProof/>
          <w:lang w:val="en-IE" w:eastAsia="en-GB"/>
        </w:rPr>
        <w:t>reuse</w:t>
      </w:r>
      <w:r w:rsidRPr="005B4339">
        <w:rPr>
          <w:rFonts w:eastAsia="Calibri"/>
          <w:noProof/>
          <w:lang w:val="en-IE" w:eastAsia="en-GB"/>
        </w:rPr>
        <w:t>, repair and recycling</w:t>
      </w:r>
      <w:r w:rsidR="532E0817" w:rsidRPr="005B4339">
        <w:rPr>
          <w:rFonts w:eastAsia="Calibri"/>
          <w:noProof/>
          <w:lang w:val="en-IE" w:eastAsia="en-GB"/>
        </w:rPr>
        <w:t xml:space="preserve"> in the EU</w:t>
      </w:r>
      <w:r w:rsidR="6E73CEDD" w:rsidRPr="005B4339">
        <w:rPr>
          <w:rFonts w:eastAsia="Calibri"/>
          <w:noProof/>
          <w:lang w:val="en-IE" w:eastAsia="en-GB"/>
        </w:rPr>
        <w:t>.</w:t>
      </w:r>
      <w:r w:rsidRPr="005B4339">
        <w:rPr>
          <w:rFonts w:eastAsia="Calibri"/>
          <w:noProof/>
          <w:lang w:val="en-IE" w:eastAsia="en-GB"/>
        </w:rPr>
        <w:t xml:space="preserve"> With association members in </w:t>
      </w:r>
      <w:r w:rsidRPr="005B4339">
        <w:rPr>
          <w:noProof/>
          <w:lang w:val="en-IE"/>
        </w:rPr>
        <w:t xml:space="preserve">AT, BE, CZ, DE, EE, EL, ES, FI, FR, HR, HU, IE, IT, LT, NL, PL, RO, and SI as well as individual social enterprise networks in SE and LV RREUSE provided input to the call for evidence and the public consultation. RREUSE was also interviewed by the </w:t>
      </w:r>
      <w:r w:rsidR="001432DD" w:rsidRPr="005B4339">
        <w:rPr>
          <w:noProof/>
          <w:lang w:val="en-IE"/>
        </w:rPr>
        <w:t>support study</w:t>
      </w:r>
      <w:r w:rsidRPr="005B4339">
        <w:rPr>
          <w:noProof/>
          <w:lang w:val="en-IE"/>
        </w:rPr>
        <w:t xml:space="preserve"> team.</w:t>
      </w:r>
    </w:p>
    <w:p w14:paraId="74090D4A" w14:textId="66E5B288" w:rsidR="008017CA" w:rsidRPr="005B4339" w:rsidRDefault="008017CA" w:rsidP="008017CA">
      <w:pPr>
        <w:spacing w:after="120"/>
        <w:rPr>
          <w:noProof/>
          <w:lang w:val="en-IE"/>
        </w:rPr>
      </w:pPr>
      <w:r w:rsidRPr="005B4339">
        <w:rPr>
          <w:rFonts w:eastAsia="Calibri"/>
          <w:noProof/>
          <w:lang w:val="en-IE" w:eastAsia="en-GB"/>
        </w:rPr>
        <w:t xml:space="preserve">Municipal Waste Europe, representing national public waste associations and similar national or regional associations in </w:t>
      </w:r>
      <w:r w:rsidRPr="005B4339">
        <w:rPr>
          <w:noProof/>
          <w:lang w:val="en-IE"/>
        </w:rPr>
        <w:t xml:space="preserve">AT, BE, CY, DE, DK, EL, FI, HR, IT, LT, MT, NL, PL, PT, SE, and SI provided input to the call for evidence as well as the open public consultation. They were also interviewed </w:t>
      </w:r>
      <w:r w:rsidR="00385CF0" w:rsidRPr="005B4339">
        <w:rPr>
          <w:noProof/>
          <w:lang w:val="en-IE"/>
        </w:rPr>
        <w:t>in the context of the support study</w:t>
      </w:r>
      <w:r w:rsidRPr="005B4339">
        <w:rPr>
          <w:noProof/>
          <w:lang w:val="en-IE"/>
        </w:rPr>
        <w:t>.</w:t>
      </w:r>
    </w:p>
    <w:p w14:paraId="1A4FBEB4" w14:textId="339C573C" w:rsidR="008017CA" w:rsidRPr="005B4339" w:rsidRDefault="008017CA" w:rsidP="008017CA">
      <w:pPr>
        <w:spacing w:after="120"/>
        <w:rPr>
          <w:noProof/>
          <w:lang w:val="en-IE"/>
        </w:rPr>
      </w:pPr>
      <w:r w:rsidRPr="005B4339">
        <w:rPr>
          <w:noProof/>
          <w:lang w:val="en-IE"/>
        </w:rPr>
        <w:t>FEAD, representing the private resource and waste management industry covers 17 Member States and 3 000 companies involved in wa</w:t>
      </w:r>
      <w:r w:rsidR="001432DD" w:rsidRPr="005B4339">
        <w:rPr>
          <w:noProof/>
          <w:lang w:val="en-IE"/>
        </w:rPr>
        <w:t>s</w:t>
      </w:r>
      <w:r w:rsidRPr="005B4339">
        <w:rPr>
          <w:noProof/>
          <w:lang w:val="en-IE"/>
        </w:rPr>
        <w:t>te management. The membership of FEAD covers 60% of the household waste market and 75% of industrial and commercial waste management in Europe including 2 400 sorting and recycling centres, 1 100 composting sites, 260 waste-to-energy plants and 900 controlled landfills.  FEAD provided input to the call for evidence and public consultation.</w:t>
      </w:r>
    </w:p>
    <w:p w14:paraId="79A55A30" w14:textId="77777777" w:rsidR="00A643CF" w:rsidRPr="005B4339" w:rsidRDefault="00A643CF" w:rsidP="00A643CF">
      <w:pPr>
        <w:spacing w:after="120"/>
        <w:rPr>
          <w:b/>
          <w:noProof/>
          <w:lang w:val="en-IE"/>
        </w:rPr>
      </w:pPr>
      <w:r w:rsidRPr="005B4339">
        <w:rPr>
          <w:b/>
          <w:noProof/>
          <w:lang w:val="en-IE"/>
        </w:rPr>
        <w:t>Step 3/4: Assessment of the impact on SMEs</w:t>
      </w:r>
    </w:p>
    <w:p w14:paraId="42C37C9D" w14:textId="739714F0" w:rsidR="00C616CA" w:rsidRPr="005B4339" w:rsidRDefault="00C616CA" w:rsidP="00C616CA">
      <w:pPr>
        <w:spacing w:after="120"/>
        <w:rPr>
          <w:noProof/>
          <w:lang w:val="en-IE"/>
        </w:rPr>
      </w:pPr>
      <w:r w:rsidRPr="005B4339">
        <w:rPr>
          <w:noProof/>
          <w:lang w:val="en-IE"/>
        </w:rPr>
        <w:t>In addition to the collection of stakeholder evidence on the potential impacts on SMEs additional assessment using data from Eurostat on the composition, turnover and spread of SMEs was performed in order to identify those impacts that would significantly impact on such enterprises.</w:t>
      </w:r>
    </w:p>
    <w:p w14:paraId="1DF5D2D6" w14:textId="349E2797" w:rsidR="00C616CA" w:rsidRPr="005B4339" w:rsidRDefault="00C616CA" w:rsidP="00C616CA">
      <w:pPr>
        <w:spacing w:after="120"/>
        <w:rPr>
          <w:noProof/>
          <w:lang w:val="en-IE"/>
        </w:rPr>
      </w:pPr>
      <w:r w:rsidRPr="005B4339">
        <w:rPr>
          <w:noProof/>
          <w:lang w:val="en-IE"/>
        </w:rPr>
        <w:t>The consultants study considered the specific impacts on SMEs for each measure.  In this respect measures under Option 1 are likely to place no significant administrative burden on SMEs, while at the same time the measures should simplify obligations placed on SMEs aligning the scope of textiles. The guidance and support platform foreseen under this option would have the largest impacts on SMEs overall.</w:t>
      </w:r>
    </w:p>
    <w:p w14:paraId="52126CF3" w14:textId="45412AD2" w:rsidR="00C616CA" w:rsidRPr="005B4339" w:rsidRDefault="00C616CA" w:rsidP="00C616CA">
      <w:pPr>
        <w:spacing w:after="120"/>
        <w:rPr>
          <w:rFonts w:eastAsia="Times New Roman"/>
          <w:i/>
          <w:noProof/>
          <w:lang w:val="en-IE"/>
        </w:rPr>
      </w:pPr>
      <w:r w:rsidRPr="005B4339">
        <w:rPr>
          <w:noProof/>
          <w:lang w:val="en-IE"/>
        </w:rPr>
        <w:t xml:space="preserve">Measures under Option 2 </w:t>
      </w:r>
      <w:r w:rsidR="6FEBE66F" w:rsidRPr="005B4339">
        <w:rPr>
          <w:noProof/>
          <w:lang w:val="en-IE"/>
        </w:rPr>
        <w:t>and 3</w:t>
      </w:r>
      <w:r w:rsidRPr="005B4339">
        <w:rPr>
          <w:noProof/>
          <w:lang w:val="en-IE"/>
        </w:rPr>
        <w:t xml:space="preserve"> are expected to have minor additional costs on SMEs. The most burdensome measure that considers the application of extended producer EPR schemes (measure 2.</w:t>
      </w:r>
      <w:r w:rsidR="00AB2C9E" w:rsidRPr="005B4339">
        <w:rPr>
          <w:noProof/>
          <w:lang w:val="en-IE"/>
        </w:rPr>
        <w:t>9</w:t>
      </w:r>
      <w:r w:rsidRPr="005B4339">
        <w:rPr>
          <w:noProof/>
          <w:lang w:val="en-IE"/>
        </w:rPr>
        <w:t>) would address SMEs given the majority of producers are SMEs.  However, in order to avoid the application of unnecessary administrative and compliance burdens</w:t>
      </w:r>
      <w:r w:rsidR="00E3316A" w:rsidRPr="005B4339">
        <w:rPr>
          <w:noProof/>
          <w:lang w:val="en-IE"/>
        </w:rPr>
        <w:t>, the impact assessment proposes to exclude</w:t>
      </w:r>
      <w:r w:rsidRPr="005B4339" w:rsidDel="00E3316A">
        <w:rPr>
          <w:noProof/>
          <w:lang w:val="en-IE"/>
        </w:rPr>
        <w:t xml:space="preserve"> </w:t>
      </w:r>
      <w:r w:rsidRPr="005B4339">
        <w:rPr>
          <w:noProof/>
          <w:lang w:val="en-IE"/>
        </w:rPr>
        <w:t xml:space="preserve">micro-enterprises and </w:t>
      </w:r>
      <w:r w:rsidR="6AE136E9" w:rsidRPr="005B4339">
        <w:rPr>
          <w:noProof/>
          <w:lang w:val="en-IE"/>
        </w:rPr>
        <w:t>the re-use sector</w:t>
      </w:r>
      <w:r w:rsidRPr="005B4339">
        <w:rPr>
          <w:noProof/>
          <w:lang w:val="en-IE"/>
        </w:rPr>
        <w:t xml:space="preserve"> from </w:t>
      </w:r>
      <w:r w:rsidR="00E3316A" w:rsidRPr="005B4339">
        <w:rPr>
          <w:noProof/>
          <w:lang w:val="en-IE"/>
        </w:rPr>
        <w:t xml:space="preserve">the </w:t>
      </w:r>
      <w:r w:rsidRPr="005B4339">
        <w:rPr>
          <w:noProof/>
          <w:lang w:val="en-IE"/>
        </w:rPr>
        <w:t xml:space="preserve">scope. </w:t>
      </w:r>
      <w:r w:rsidR="00FE1CEF" w:rsidRPr="005B4339">
        <w:rPr>
          <w:noProof/>
          <w:lang w:val="en-IE"/>
        </w:rPr>
        <w:t xml:space="preserve">Reuse actors that place both new and used products on the market, would be requested to only account for and report the new ones </w:t>
      </w:r>
      <w:r w:rsidRPr="005B4339">
        <w:rPr>
          <w:noProof/>
          <w:lang w:val="en-IE"/>
        </w:rPr>
        <w:t xml:space="preserve">The knock-on consequence of such exclusions would be a minor increase in the costs applicable to enterprises with over 10 employees, with those over </w:t>
      </w:r>
      <w:r w:rsidR="008B77A2" w:rsidRPr="005B4339">
        <w:rPr>
          <w:noProof/>
          <w:lang w:val="en-IE"/>
        </w:rPr>
        <w:t>2</w:t>
      </w:r>
      <w:r w:rsidRPr="005B4339">
        <w:rPr>
          <w:noProof/>
          <w:lang w:val="en-IE"/>
        </w:rPr>
        <w:t xml:space="preserve">50 employees facing the largest additional burdens. Additionally, reporting obligations have been targeted to revise existing obligations in the first place to make them more fit for purpose </w:t>
      </w:r>
      <w:r w:rsidR="498F9B68" w:rsidRPr="005B4339">
        <w:rPr>
          <w:noProof/>
          <w:lang w:val="en-IE"/>
        </w:rPr>
        <w:t xml:space="preserve">and improve the </w:t>
      </w:r>
      <w:r w:rsidR="69AE6E3A" w:rsidRPr="005B4339">
        <w:rPr>
          <w:noProof/>
          <w:lang w:val="en-IE"/>
        </w:rPr>
        <w:t>knowledge</w:t>
      </w:r>
      <w:r w:rsidR="498F9B68" w:rsidRPr="005B4339">
        <w:rPr>
          <w:noProof/>
          <w:lang w:val="en-IE"/>
        </w:rPr>
        <w:t xml:space="preserve"> base for the textile sector overall</w:t>
      </w:r>
      <w:r w:rsidRPr="005B4339">
        <w:rPr>
          <w:noProof/>
          <w:lang w:val="en-IE"/>
        </w:rPr>
        <w:t>.</w:t>
      </w:r>
    </w:p>
    <w:p w14:paraId="646F3DA5" w14:textId="77777777" w:rsidR="00225A4C" w:rsidRPr="005B4339" w:rsidRDefault="00225A4C" w:rsidP="00225A4C">
      <w:pPr>
        <w:spacing w:after="120"/>
        <w:rPr>
          <w:b/>
          <w:noProof/>
          <w:lang w:val="en-IE"/>
        </w:rPr>
      </w:pPr>
      <w:r w:rsidRPr="005B4339">
        <w:rPr>
          <w:b/>
          <w:noProof/>
          <w:lang w:val="en-IE"/>
        </w:rPr>
        <w:t>Step 4/4: Minimising negative impacts on SMEs</w:t>
      </w:r>
    </w:p>
    <w:p w14:paraId="42083DB3" w14:textId="03B8E5BF" w:rsidR="00870D3F" w:rsidRPr="005B4339" w:rsidRDefault="0B240BA1" w:rsidP="1655B547">
      <w:pPr>
        <w:spacing w:after="120"/>
        <w:rPr>
          <w:noProof/>
          <w:lang w:val="en-IE"/>
        </w:rPr>
      </w:pPr>
      <w:r w:rsidRPr="005B4339">
        <w:rPr>
          <w:noProof/>
          <w:lang w:val="en-IE"/>
        </w:rPr>
        <w:t xml:space="preserve">Following the assessment of the composition of the textile sector, the </w:t>
      </w:r>
      <w:r w:rsidR="13CF3E69" w:rsidRPr="005B4339">
        <w:rPr>
          <w:noProof/>
          <w:lang w:val="en-IE"/>
        </w:rPr>
        <w:t xml:space="preserve">process for designing the </w:t>
      </w:r>
      <w:r w:rsidR="5DBF77D6" w:rsidRPr="005B4339">
        <w:rPr>
          <w:noProof/>
          <w:lang w:val="en-IE"/>
        </w:rPr>
        <w:t>measures as part of all the policy options</w:t>
      </w:r>
      <w:r w:rsidR="7BDD3F23" w:rsidRPr="005B4339">
        <w:rPr>
          <w:noProof/>
          <w:lang w:val="en-IE"/>
        </w:rPr>
        <w:t xml:space="preserve"> </w:t>
      </w:r>
      <w:r w:rsidR="43D4B1A6" w:rsidRPr="005B4339">
        <w:rPr>
          <w:noProof/>
          <w:lang w:val="en-IE"/>
        </w:rPr>
        <w:t>inv</w:t>
      </w:r>
      <w:r w:rsidR="7FBBB08A" w:rsidRPr="005B4339">
        <w:rPr>
          <w:noProof/>
          <w:lang w:val="en-IE"/>
        </w:rPr>
        <w:t>olved</w:t>
      </w:r>
      <w:r w:rsidR="43D4B1A6" w:rsidRPr="005B4339">
        <w:rPr>
          <w:noProof/>
          <w:lang w:val="en-IE"/>
        </w:rPr>
        <w:t xml:space="preserve"> </w:t>
      </w:r>
      <w:r w:rsidR="2DAB0FB6" w:rsidRPr="005B4339">
        <w:rPr>
          <w:noProof/>
          <w:lang w:val="en-IE"/>
        </w:rPr>
        <w:t xml:space="preserve">a </w:t>
      </w:r>
      <w:r w:rsidR="43D4B1A6" w:rsidRPr="005B4339">
        <w:rPr>
          <w:noProof/>
          <w:lang w:val="en-IE"/>
        </w:rPr>
        <w:t xml:space="preserve">systematic consideration of the ways how </w:t>
      </w:r>
      <w:r w:rsidR="696FED36" w:rsidRPr="005B4339">
        <w:rPr>
          <w:noProof/>
          <w:lang w:val="en-IE"/>
        </w:rPr>
        <w:t>to reduce the impact on SMEs</w:t>
      </w:r>
      <w:r w:rsidR="065A8841" w:rsidRPr="005B4339">
        <w:rPr>
          <w:noProof/>
          <w:lang w:val="en-IE"/>
        </w:rPr>
        <w:t xml:space="preserve"> while not compromising </w:t>
      </w:r>
      <w:r w:rsidR="70AA8A8A" w:rsidRPr="005B4339">
        <w:rPr>
          <w:noProof/>
          <w:lang w:val="en-IE"/>
        </w:rPr>
        <w:t>on their contribution to</w:t>
      </w:r>
      <w:r w:rsidR="00870D3F" w:rsidRPr="005B4339">
        <w:rPr>
          <w:noProof/>
          <w:lang w:val="en-IE"/>
        </w:rPr>
        <w:t xml:space="preserve"> </w:t>
      </w:r>
      <w:r w:rsidR="696FED36" w:rsidRPr="005B4339">
        <w:rPr>
          <w:noProof/>
          <w:lang w:val="en-IE"/>
        </w:rPr>
        <w:t xml:space="preserve">the </w:t>
      </w:r>
      <w:r w:rsidR="70AA8A8A" w:rsidRPr="005B4339">
        <w:rPr>
          <w:noProof/>
          <w:lang w:val="en-IE"/>
        </w:rPr>
        <w:t>attainment of the policy objectives</w:t>
      </w:r>
      <w:r w:rsidR="696FED36" w:rsidRPr="005B4339">
        <w:rPr>
          <w:noProof/>
          <w:lang w:val="en-IE"/>
        </w:rPr>
        <w:t xml:space="preserve">.  </w:t>
      </w:r>
      <w:r w:rsidR="5DBF77D6" w:rsidRPr="005B4339">
        <w:rPr>
          <w:noProof/>
          <w:lang w:val="en-IE"/>
        </w:rPr>
        <w:t xml:space="preserve"> </w:t>
      </w:r>
    </w:p>
    <w:p w14:paraId="68187213" w14:textId="7FE316CE" w:rsidR="00870D3F" w:rsidRPr="005B4339" w:rsidRDefault="00870D3F" w:rsidP="006554B6">
      <w:pPr>
        <w:pStyle w:val="ListParagraph"/>
        <w:ind w:left="0"/>
        <w:rPr>
          <w:b/>
          <w:i/>
          <w:noProof/>
          <w:color w:val="0070C0"/>
          <w:lang w:val="en-IE"/>
        </w:rPr>
      </w:pPr>
      <w:r w:rsidRPr="005B4339">
        <w:rPr>
          <w:rFonts w:eastAsiaTheme="minorEastAsia"/>
          <w:noProof/>
          <w:lang w:val="en-IE"/>
        </w:rPr>
        <w:t xml:space="preserve">The textiles industry is </w:t>
      </w:r>
      <w:r w:rsidRPr="005B4339">
        <w:rPr>
          <w:noProof/>
          <w:lang w:val="en-IE"/>
        </w:rPr>
        <w:t>dominated by SMEs. The most</w:t>
      </w:r>
      <w:r w:rsidR="00C616CA" w:rsidRPr="005B4339">
        <w:rPr>
          <w:noProof/>
          <w:lang w:val="en-IE"/>
        </w:rPr>
        <w:t>-</w:t>
      </w:r>
      <w:r w:rsidRPr="005B4339">
        <w:rPr>
          <w:noProof/>
          <w:lang w:val="en-IE"/>
        </w:rPr>
        <w:t xml:space="preserve">costly </w:t>
      </w:r>
      <w:r w:rsidR="00564C38" w:rsidRPr="005B4339">
        <w:rPr>
          <w:noProof/>
          <w:lang w:val="en-IE"/>
        </w:rPr>
        <w:t>proposed measure</w:t>
      </w:r>
      <w:r w:rsidRPr="005B4339">
        <w:rPr>
          <w:noProof/>
          <w:lang w:val="en-IE"/>
        </w:rPr>
        <w:t xml:space="preserve"> – the application of EPR – excludes micro-enterprises that comprise approximately 8</w:t>
      </w:r>
      <w:r w:rsidR="002F5D94" w:rsidRPr="005B4339">
        <w:rPr>
          <w:noProof/>
          <w:lang w:val="en-IE"/>
        </w:rPr>
        <w:t>8</w:t>
      </w:r>
      <w:r w:rsidRPr="005B4339">
        <w:rPr>
          <w:noProof/>
          <w:lang w:val="en-IE"/>
        </w:rPr>
        <w:t xml:space="preserve">% of the sector are proposed to be excluded. The greatest knock-on consequences of their exclusion would be an increase in costs in enterprises with greater than </w:t>
      </w:r>
      <w:r w:rsidR="00D30DC8" w:rsidRPr="005B4339">
        <w:rPr>
          <w:noProof/>
          <w:lang w:val="en-IE"/>
        </w:rPr>
        <w:t>2</w:t>
      </w:r>
      <w:r w:rsidRPr="005B4339">
        <w:rPr>
          <w:noProof/>
          <w:lang w:val="en-IE"/>
        </w:rPr>
        <w:t xml:space="preserve">50 employees by approximately </w:t>
      </w:r>
      <w:r w:rsidR="00AA18EA" w:rsidRPr="005B4339">
        <w:rPr>
          <w:noProof/>
          <w:lang w:val="en-IE"/>
        </w:rPr>
        <w:t>7 percentage points</w:t>
      </w:r>
      <w:r w:rsidRPr="005B4339">
        <w:rPr>
          <w:noProof/>
          <w:lang w:val="en-IE"/>
        </w:rPr>
        <w:t xml:space="preserve"> in comparison to a situation whereby micro-enterprises would be included. These costs are not expected to impact on competitiveness given their relatively low level.</w:t>
      </w:r>
    </w:p>
    <w:p w14:paraId="40A55085" w14:textId="3FF8D39C" w:rsidR="000B2586" w:rsidRPr="005B4339" w:rsidRDefault="009967AE" w:rsidP="009967AE">
      <w:pPr>
        <w:pStyle w:val="Heading2"/>
        <w:rPr>
          <w:noProof/>
          <w:lang w:val="en-IE"/>
        </w:rPr>
      </w:pPr>
      <w:bookmarkStart w:id="1059" w:name="_Toc1032063699"/>
      <w:bookmarkStart w:id="1060" w:name="_Toc1996297780"/>
      <w:bookmarkStart w:id="1061" w:name="_Toc1934081553"/>
      <w:bookmarkStart w:id="1062" w:name="_Toc1040331434"/>
      <w:bookmarkStart w:id="1063" w:name="_Toc1186229389"/>
      <w:bookmarkStart w:id="1064" w:name="_Toc469338937"/>
      <w:bookmarkStart w:id="1065" w:name="_Toc1449741038"/>
      <w:bookmarkStart w:id="1066" w:name="_Toc808752351"/>
      <w:bookmarkStart w:id="1067" w:name="_Toc139032149"/>
      <w:bookmarkStart w:id="1068" w:name="_Hlk136944338"/>
      <w:r w:rsidRPr="009967AE">
        <w:t>2-</w:t>
      </w:r>
      <w:r w:rsidRPr="009967AE">
        <w:tab/>
      </w:r>
      <w:r w:rsidR="000B2586" w:rsidRPr="005B4339">
        <w:rPr>
          <w:noProof/>
          <w:lang w:val="en-IE"/>
        </w:rPr>
        <w:t>Food Waste</w:t>
      </w:r>
      <w:bookmarkEnd w:id="1059"/>
      <w:bookmarkEnd w:id="1060"/>
      <w:bookmarkEnd w:id="1061"/>
      <w:bookmarkEnd w:id="1062"/>
      <w:bookmarkEnd w:id="1063"/>
      <w:bookmarkEnd w:id="1064"/>
      <w:bookmarkEnd w:id="1065"/>
      <w:bookmarkEnd w:id="1066"/>
      <w:bookmarkEnd w:id="1067"/>
    </w:p>
    <w:bookmarkEnd w:id="1068"/>
    <w:p w14:paraId="37F2EDDD" w14:textId="77777777" w:rsidR="00533068" w:rsidRPr="005B4339" w:rsidRDefault="00533068" w:rsidP="003C5382">
      <w:pPr>
        <w:spacing w:after="120"/>
        <w:rPr>
          <w:b/>
          <w:noProof/>
          <w:lang w:val="en-IE"/>
        </w:rPr>
      </w:pPr>
      <w:r w:rsidRPr="005B4339">
        <w:rPr>
          <w:b/>
          <w:noProof/>
          <w:lang w:val="en-IE"/>
        </w:rPr>
        <w:t>Step 1/4: Identification of affected businesses</w:t>
      </w:r>
    </w:p>
    <w:p w14:paraId="67B42582" w14:textId="77777777" w:rsidR="00533068" w:rsidRPr="005B4339" w:rsidRDefault="00533068" w:rsidP="00533068">
      <w:pPr>
        <w:spacing w:after="0"/>
        <w:rPr>
          <w:b/>
          <w:noProof/>
          <w:lang w:val="en-IE"/>
        </w:rPr>
      </w:pPr>
      <w:r w:rsidRPr="005B4339">
        <w:rPr>
          <w:b/>
          <w:noProof/>
          <w:lang w:val="en-IE"/>
        </w:rPr>
        <w:t>Processing and manufacturing:</w:t>
      </w:r>
    </w:p>
    <w:p w14:paraId="050FED08" w14:textId="77777777" w:rsidR="00533068" w:rsidRPr="005B4339" w:rsidRDefault="00533068" w:rsidP="003C5382">
      <w:pPr>
        <w:rPr>
          <w:noProof/>
          <w:lang w:val="en-IE"/>
        </w:rPr>
      </w:pPr>
      <w:r w:rsidRPr="005B4339">
        <w:rPr>
          <w:noProof/>
          <w:lang w:val="en-IE"/>
        </w:rPr>
        <w:t>The EU food and drink industry is comprised of 290,000 SMEs – making up 99% of the entire industry. SMEs employ 2.8 million people out of 4.5 million for all businesses and generate over 40% turnover of the sector.</w:t>
      </w:r>
    </w:p>
    <w:p w14:paraId="0F27B45F" w14:textId="165C7EDC" w:rsidR="00533068" w:rsidRPr="005B4339" w:rsidRDefault="00533068" w:rsidP="003C5382">
      <w:pPr>
        <w:spacing w:after="120"/>
        <w:rPr>
          <w:noProof/>
          <w:lang w:val="en-IE"/>
        </w:rPr>
      </w:pPr>
      <w:r w:rsidRPr="005B4339">
        <w:rPr>
          <w:b/>
          <w:noProof/>
          <w:lang w:val="en-IE"/>
        </w:rPr>
        <w:t>Food services sector</w:t>
      </w:r>
      <w:r w:rsidRPr="005B4339">
        <w:rPr>
          <w:noProof/>
          <w:lang w:val="en-IE"/>
        </w:rPr>
        <w:t xml:space="preserve"> </w:t>
      </w:r>
    </w:p>
    <w:p w14:paraId="617BC51D" w14:textId="73B403CC" w:rsidR="00F81D6E" w:rsidRPr="005B4339" w:rsidRDefault="004928CC" w:rsidP="003C5382">
      <w:pPr>
        <w:spacing w:after="120"/>
        <w:rPr>
          <w:noProof/>
          <w:color w:val="000000" w:themeColor="text1"/>
          <w:lang w:val="en-IE"/>
        </w:rPr>
      </w:pPr>
      <w:hyperlink r:id="rId192">
        <w:r w:rsidR="00533068" w:rsidRPr="005B4339">
          <w:rPr>
            <w:rStyle w:val="Hyperlink"/>
            <w:noProof/>
            <w:color w:val="000000" w:themeColor="text1"/>
            <w:lang w:val="en-IE"/>
          </w:rPr>
          <w:t>Eurostat Structural Business Statistics</w:t>
        </w:r>
      </w:hyperlink>
      <w:r w:rsidR="00533068" w:rsidRPr="005B4339">
        <w:rPr>
          <w:noProof/>
          <w:color w:val="000000" w:themeColor="text1"/>
          <w:lang w:val="en-IE"/>
        </w:rPr>
        <w:t xml:space="preserve"> does not single out food services but provide data for sector on accommodation and food services jointly. Therefore</w:t>
      </w:r>
      <w:r w:rsidR="00F006E7" w:rsidRPr="005B4339">
        <w:rPr>
          <w:noProof/>
          <w:color w:val="000000" w:themeColor="text1"/>
          <w:lang w:val="en-IE"/>
        </w:rPr>
        <w:t>,</w:t>
      </w:r>
      <w:r w:rsidR="00533068" w:rsidRPr="005B4339">
        <w:rPr>
          <w:noProof/>
          <w:color w:val="000000" w:themeColor="text1"/>
          <w:lang w:val="en-IE"/>
        </w:rPr>
        <w:t xml:space="preserve"> th</w:t>
      </w:r>
      <w:r w:rsidR="00F006E7" w:rsidRPr="005B4339">
        <w:rPr>
          <w:noProof/>
          <w:color w:val="000000" w:themeColor="text1"/>
          <w:lang w:val="en-IE"/>
        </w:rPr>
        <w:t>ese</w:t>
      </w:r>
      <w:r w:rsidR="00533068" w:rsidRPr="005B4339">
        <w:rPr>
          <w:noProof/>
          <w:color w:val="000000" w:themeColor="text1"/>
          <w:lang w:val="en-IE"/>
        </w:rPr>
        <w:t xml:space="preserve"> data should be treated as illustrative.</w:t>
      </w:r>
    </w:p>
    <w:p w14:paraId="56F98960" w14:textId="6F770883" w:rsidR="00F81D6E" w:rsidRPr="005B4339" w:rsidRDefault="00651176" w:rsidP="0069564C">
      <w:pPr>
        <w:pStyle w:val="Caption"/>
        <w:keepNext/>
        <w:rPr>
          <w:noProof/>
          <w:color w:val="auto"/>
          <w:sz w:val="24"/>
          <w:szCs w:val="24"/>
          <w:lang w:val="en-IE"/>
        </w:rPr>
      </w:pPr>
      <w:bookmarkStart w:id="1069" w:name="_Toc133229515"/>
      <w:bookmarkStart w:id="1070" w:name="_Toc139032069"/>
      <w:r w:rsidRPr="005B4339">
        <w:rPr>
          <w:noProof/>
          <w:color w:val="auto"/>
          <w:sz w:val="24"/>
          <w:szCs w:val="24"/>
          <w:lang w:val="en-IE"/>
        </w:rPr>
        <w:t>Table</w:t>
      </w:r>
      <w:r w:rsidR="0069564C" w:rsidRPr="005B4339">
        <w:rPr>
          <w:noProof/>
          <w:color w:val="auto"/>
          <w:sz w:val="24"/>
          <w:szCs w:val="24"/>
          <w:lang w:val="en-IE"/>
        </w:rPr>
        <w:t xml:space="preserve"> </w:t>
      </w:r>
      <w:r w:rsidR="00393DFA">
        <w:rPr>
          <w:noProof/>
          <w:color w:val="auto"/>
          <w:sz w:val="24"/>
          <w:szCs w:val="24"/>
        </w:rPr>
        <w:t>53</w:t>
      </w:r>
      <w:r w:rsidRPr="005B4339">
        <w:rPr>
          <w:noProof/>
          <w:color w:val="auto"/>
          <w:sz w:val="24"/>
          <w:szCs w:val="24"/>
          <w:lang w:val="en-IE"/>
        </w:rPr>
        <w:t xml:space="preserve"> Services by employment size class</w:t>
      </w:r>
      <w:bookmarkEnd w:id="1069"/>
      <w:bookmarkEnd w:id="1070"/>
    </w:p>
    <w:tbl>
      <w:tblPr>
        <w:tblStyle w:val="PlainTable1"/>
        <w:tblW w:w="0" w:type="auto"/>
        <w:tblLook w:val="04A0" w:firstRow="1" w:lastRow="0" w:firstColumn="1" w:lastColumn="0" w:noHBand="0" w:noVBand="1"/>
      </w:tblPr>
      <w:tblGrid>
        <w:gridCol w:w="3116"/>
        <w:gridCol w:w="3117"/>
        <w:gridCol w:w="3117"/>
      </w:tblGrid>
      <w:tr w:rsidR="00651176" w:rsidRPr="005B4339" w14:paraId="6F6DB4DB" w14:textId="77777777" w:rsidTr="00F81D6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580BB8C5" w14:textId="77777777"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Size of enterprise</w:t>
            </w:r>
          </w:p>
        </w:tc>
        <w:tc>
          <w:tcPr>
            <w:tcW w:w="3117" w:type="dxa"/>
          </w:tcPr>
          <w:p w14:paraId="54BC5347" w14:textId="77777777" w:rsidR="00651176" w:rsidRPr="005B4339" w:rsidRDefault="00651176" w:rsidP="007F1B6E">
            <w:pPr>
              <w:spacing w:after="0"/>
              <w:jc w:val="center"/>
              <w:cnfStyle w:val="100000000000" w:firstRow="1" w:lastRow="0" w:firstColumn="0" w:lastColumn="0" w:oddVBand="0" w:evenVBand="0" w:oddHBand="0" w:evenHBand="0" w:firstRowFirstColumn="0" w:firstRowLastColumn="0" w:lastRowFirstColumn="0" w:lastRowLastColumn="0"/>
              <w:rPr>
                <w:iCs/>
                <w:noProof/>
                <w:color w:val="000000" w:themeColor="text1"/>
                <w:lang w:val="en-IE"/>
              </w:rPr>
            </w:pPr>
            <w:r w:rsidRPr="005B4339">
              <w:rPr>
                <w:iCs/>
                <w:noProof/>
                <w:color w:val="000000" w:themeColor="text1"/>
                <w:lang w:val="en-IE"/>
              </w:rPr>
              <w:t>Number of enterprises</w:t>
            </w:r>
          </w:p>
        </w:tc>
        <w:tc>
          <w:tcPr>
            <w:tcW w:w="3117" w:type="dxa"/>
          </w:tcPr>
          <w:p w14:paraId="57D3B258" w14:textId="77777777" w:rsidR="00651176" w:rsidRPr="005B4339" w:rsidRDefault="00651176" w:rsidP="007F1B6E">
            <w:pPr>
              <w:spacing w:after="0"/>
              <w:jc w:val="center"/>
              <w:cnfStyle w:val="100000000000" w:firstRow="1" w:lastRow="0" w:firstColumn="0" w:lastColumn="0" w:oddVBand="0" w:evenVBand="0" w:oddHBand="0" w:evenHBand="0" w:firstRowFirstColumn="0" w:firstRowLastColumn="0" w:lastRowFirstColumn="0" w:lastRowLastColumn="0"/>
              <w:rPr>
                <w:iCs/>
                <w:noProof/>
                <w:color w:val="000000" w:themeColor="text1"/>
                <w:lang w:val="en-IE"/>
              </w:rPr>
            </w:pPr>
            <w:r w:rsidRPr="005B4339">
              <w:rPr>
                <w:iCs/>
                <w:noProof/>
                <w:color w:val="000000" w:themeColor="text1"/>
                <w:lang w:val="en-IE"/>
              </w:rPr>
              <w:t>Persons employed</w:t>
            </w:r>
          </w:p>
        </w:tc>
      </w:tr>
      <w:tr w:rsidR="00651176" w:rsidRPr="005B4339" w14:paraId="62682ADC" w14:textId="77777777" w:rsidTr="00F81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5EC01C0F" w14:textId="77777777"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2-9</w:t>
            </w:r>
          </w:p>
        </w:tc>
        <w:tc>
          <w:tcPr>
            <w:tcW w:w="3117" w:type="dxa"/>
          </w:tcPr>
          <w:p w14:paraId="0B0157E0"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790 000</w:t>
            </w:r>
          </w:p>
        </w:tc>
        <w:tc>
          <w:tcPr>
            <w:tcW w:w="3117" w:type="dxa"/>
          </w:tcPr>
          <w:p w14:paraId="4D94D97B"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3 067 000</w:t>
            </w:r>
          </w:p>
        </w:tc>
      </w:tr>
      <w:tr w:rsidR="00651176" w:rsidRPr="005B4339" w14:paraId="7ACB12C6" w14:textId="77777777" w:rsidTr="00F81D6E">
        <w:trPr>
          <w:cantSplit/>
        </w:trPr>
        <w:tc>
          <w:tcPr>
            <w:cnfStyle w:val="001000000000" w:firstRow="0" w:lastRow="0" w:firstColumn="1" w:lastColumn="0" w:oddVBand="0" w:evenVBand="0" w:oddHBand="0" w:evenHBand="0" w:firstRowFirstColumn="0" w:firstRowLastColumn="0" w:lastRowFirstColumn="0" w:lastRowLastColumn="0"/>
            <w:tcW w:w="3116" w:type="dxa"/>
          </w:tcPr>
          <w:p w14:paraId="51411855" w14:textId="77777777"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10-19</w:t>
            </w:r>
          </w:p>
        </w:tc>
        <w:tc>
          <w:tcPr>
            <w:tcW w:w="3117" w:type="dxa"/>
          </w:tcPr>
          <w:p w14:paraId="494F499F" w14:textId="7EEF1869" w:rsidR="00651176" w:rsidRPr="005B4339" w:rsidRDefault="000C1467" w:rsidP="007F1B6E">
            <w:pPr>
              <w:spacing w:after="0"/>
              <w:jc w:val="center"/>
              <w:cnfStyle w:val="000000000000" w:firstRow="0" w:lastRow="0" w:firstColumn="0" w:lastColumn="0" w:oddVBand="0" w:evenVBand="0" w:oddHBand="0" w:evenHBand="0" w:firstRowFirstColumn="0" w:firstRowLastColumn="0" w:lastRowFirstColumn="0" w:lastRowLastColumn="0"/>
              <w:rPr>
                <w:iCs/>
                <w:noProof/>
                <w:color w:val="000000" w:themeColor="text1"/>
                <w:lang w:val="en-IE"/>
              </w:rPr>
            </w:pPr>
            <w:r w:rsidRPr="005B4339">
              <w:rPr>
                <w:noProof/>
                <w:color w:val="000000"/>
                <w:lang w:val="en-IE"/>
              </w:rPr>
              <w:t>652 226</w:t>
            </w:r>
          </w:p>
        </w:tc>
        <w:tc>
          <w:tcPr>
            <w:tcW w:w="3117" w:type="dxa"/>
          </w:tcPr>
          <w:p w14:paraId="01C84350" w14:textId="2984A539" w:rsidR="00651176" w:rsidRPr="005B4339" w:rsidRDefault="007F1B6E" w:rsidP="007F1B6E">
            <w:pPr>
              <w:spacing w:after="0"/>
              <w:jc w:val="center"/>
              <w:cnfStyle w:val="000000000000" w:firstRow="0" w:lastRow="0" w:firstColumn="0" w:lastColumn="0" w:oddVBand="0" w:evenVBand="0" w:oddHBand="0" w:evenHBand="0" w:firstRowFirstColumn="0" w:firstRowLastColumn="0" w:lastRowFirstColumn="0" w:lastRowLastColumn="0"/>
              <w:rPr>
                <w:iCs/>
                <w:noProof/>
                <w:color w:val="000000" w:themeColor="text1"/>
                <w:lang w:val="en-IE"/>
              </w:rPr>
            </w:pPr>
            <w:r w:rsidRPr="005B4339">
              <w:rPr>
                <w:iCs/>
                <w:noProof/>
                <w:color w:val="000000" w:themeColor="text1"/>
                <w:lang w:val="en-IE"/>
              </w:rPr>
              <w:t>1 570 046</w:t>
            </w:r>
          </w:p>
        </w:tc>
      </w:tr>
      <w:tr w:rsidR="00651176" w:rsidRPr="005B4339" w14:paraId="45539409" w14:textId="77777777" w:rsidTr="00F81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5B9C3768" w14:textId="77777777"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20-49</w:t>
            </w:r>
          </w:p>
        </w:tc>
        <w:tc>
          <w:tcPr>
            <w:tcW w:w="3117" w:type="dxa"/>
          </w:tcPr>
          <w:p w14:paraId="13067CE8"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32 286</w:t>
            </w:r>
          </w:p>
        </w:tc>
        <w:tc>
          <w:tcPr>
            <w:tcW w:w="3117" w:type="dxa"/>
          </w:tcPr>
          <w:p w14:paraId="7AF287E0"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930 000</w:t>
            </w:r>
          </w:p>
        </w:tc>
      </w:tr>
      <w:tr w:rsidR="00651176" w:rsidRPr="005B4339" w14:paraId="29C317AA" w14:textId="77777777" w:rsidTr="00F81D6E">
        <w:trPr>
          <w:cantSplit/>
        </w:trPr>
        <w:tc>
          <w:tcPr>
            <w:cnfStyle w:val="001000000000" w:firstRow="0" w:lastRow="0" w:firstColumn="1" w:lastColumn="0" w:oddVBand="0" w:evenVBand="0" w:oddHBand="0" w:evenHBand="0" w:firstRowFirstColumn="0" w:firstRowLastColumn="0" w:lastRowFirstColumn="0" w:lastRowLastColumn="0"/>
            <w:tcW w:w="3116" w:type="dxa"/>
          </w:tcPr>
          <w:p w14:paraId="3262FA42" w14:textId="77777777"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50-249</w:t>
            </w:r>
          </w:p>
        </w:tc>
        <w:tc>
          <w:tcPr>
            <w:tcW w:w="3117" w:type="dxa"/>
          </w:tcPr>
          <w:p w14:paraId="1A27796A" w14:textId="77777777" w:rsidR="00651176" w:rsidRPr="005B4339" w:rsidRDefault="00651176" w:rsidP="007F1B6E">
            <w:pPr>
              <w:spacing w:after="0"/>
              <w:jc w:val="center"/>
              <w:cnfStyle w:val="000000000000" w:firstRow="0" w:lastRow="0" w:firstColumn="0" w:lastColumn="0" w:oddVBand="0" w:evenVBand="0" w:oddHBand="0" w:evenHBand="0" w:firstRowFirstColumn="0" w:firstRowLastColumn="0" w:lastRowFirstColumn="0" w:lastRowLastColumn="0"/>
              <w:rPr>
                <w:iCs/>
                <w:noProof/>
                <w:color w:val="000000" w:themeColor="text1"/>
                <w:lang w:val="en-IE"/>
              </w:rPr>
            </w:pPr>
            <w:r w:rsidRPr="005B4339">
              <w:rPr>
                <w:iCs/>
                <w:noProof/>
                <w:color w:val="000000" w:themeColor="text1"/>
                <w:lang w:val="en-IE"/>
              </w:rPr>
              <w:t>7 000</w:t>
            </w:r>
          </w:p>
        </w:tc>
        <w:tc>
          <w:tcPr>
            <w:tcW w:w="3117" w:type="dxa"/>
          </w:tcPr>
          <w:p w14:paraId="77699D43" w14:textId="77777777" w:rsidR="00651176" w:rsidRPr="005B4339" w:rsidRDefault="00651176" w:rsidP="007F1B6E">
            <w:pPr>
              <w:spacing w:after="0"/>
              <w:jc w:val="center"/>
              <w:cnfStyle w:val="000000000000" w:firstRow="0" w:lastRow="0" w:firstColumn="0" w:lastColumn="0" w:oddVBand="0" w:evenVBand="0" w:oddHBand="0" w:evenHBand="0" w:firstRowFirstColumn="0" w:firstRowLastColumn="0" w:lastRowFirstColumn="0" w:lastRowLastColumn="0"/>
              <w:rPr>
                <w:iCs/>
                <w:noProof/>
                <w:color w:val="000000" w:themeColor="text1"/>
                <w:lang w:val="en-IE"/>
              </w:rPr>
            </w:pPr>
            <w:r w:rsidRPr="005B4339">
              <w:rPr>
                <w:iCs/>
                <w:noProof/>
                <w:color w:val="000000" w:themeColor="text1"/>
                <w:lang w:val="en-IE"/>
              </w:rPr>
              <w:t>642 000</w:t>
            </w:r>
          </w:p>
        </w:tc>
      </w:tr>
      <w:tr w:rsidR="00651176" w:rsidRPr="005B4339" w14:paraId="677B15E0" w14:textId="77777777" w:rsidTr="00F81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3C6FA635" w14:textId="7B00F304" w:rsidR="00651176" w:rsidRPr="005B4339" w:rsidRDefault="00651176" w:rsidP="007F1B6E">
            <w:pPr>
              <w:spacing w:after="0"/>
              <w:jc w:val="center"/>
              <w:rPr>
                <w:iCs/>
                <w:noProof/>
                <w:color w:val="000000" w:themeColor="text1"/>
                <w:lang w:val="en-IE"/>
              </w:rPr>
            </w:pPr>
            <w:r w:rsidRPr="005B4339">
              <w:rPr>
                <w:iCs/>
                <w:noProof/>
                <w:color w:val="000000" w:themeColor="text1"/>
                <w:lang w:val="en-IE"/>
              </w:rPr>
              <w:t>250 +</w:t>
            </w:r>
          </w:p>
        </w:tc>
        <w:tc>
          <w:tcPr>
            <w:tcW w:w="3117" w:type="dxa"/>
          </w:tcPr>
          <w:p w14:paraId="224803BE"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939</w:t>
            </w:r>
          </w:p>
        </w:tc>
        <w:tc>
          <w:tcPr>
            <w:tcW w:w="3117" w:type="dxa"/>
          </w:tcPr>
          <w:p w14:paraId="3FC44440" w14:textId="77777777" w:rsidR="00651176" w:rsidRPr="005B4339" w:rsidRDefault="00651176" w:rsidP="007F1B6E">
            <w:pPr>
              <w:spacing w:after="0"/>
              <w:jc w:val="center"/>
              <w:cnfStyle w:val="000000100000" w:firstRow="0" w:lastRow="0" w:firstColumn="0" w:lastColumn="0" w:oddVBand="0" w:evenVBand="0" w:oddHBand="1" w:evenHBand="0" w:firstRowFirstColumn="0" w:firstRowLastColumn="0" w:lastRowFirstColumn="0" w:lastRowLastColumn="0"/>
              <w:rPr>
                <w:iCs/>
                <w:noProof/>
                <w:color w:val="000000" w:themeColor="text1"/>
                <w:lang w:val="en-IE"/>
              </w:rPr>
            </w:pPr>
            <w:r w:rsidRPr="005B4339">
              <w:rPr>
                <w:iCs/>
                <w:noProof/>
                <w:color w:val="000000" w:themeColor="text1"/>
                <w:lang w:val="en-IE"/>
              </w:rPr>
              <w:t>938 800</w:t>
            </w:r>
          </w:p>
        </w:tc>
      </w:tr>
    </w:tbl>
    <w:p w14:paraId="2D39AF21" w14:textId="4F249117" w:rsidR="00651176" w:rsidRPr="005B4339" w:rsidRDefault="00651176" w:rsidP="003C5382">
      <w:pPr>
        <w:jc w:val="center"/>
        <w:rPr>
          <w:iCs/>
          <w:noProof/>
          <w:color w:val="000000" w:themeColor="text1"/>
          <w:lang w:val="en-IE"/>
        </w:rPr>
      </w:pPr>
      <w:r w:rsidRPr="005B4339">
        <w:rPr>
          <w:iCs/>
          <w:noProof/>
          <w:color w:val="000000" w:themeColor="text1"/>
          <w:lang w:val="en-IE"/>
        </w:rPr>
        <w:t xml:space="preserve">Source: </w:t>
      </w:r>
      <w:hyperlink r:id="rId193" w:history="1">
        <w:r w:rsidRPr="005B4339">
          <w:rPr>
            <w:rStyle w:val="Hyperlink"/>
            <w:iCs/>
            <w:noProof/>
            <w:color w:val="000000" w:themeColor="text1"/>
            <w:lang w:val="en-IE"/>
          </w:rPr>
          <w:t>Eurostat Structural Business Statistics</w:t>
        </w:r>
      </w:hyperlink>
      <w:r w:rsidRPr="005B4339">
        <w:rPr>
          <w:iCs/>
          <w:noProof/>
          <w:color w:val="000000" w:themeColor="text1"/>
          <w:lang w:val="en-IE"/>
        </w:rPr>
        <w:t xml:space="preserve"> and </w:t>
      </w:r>
      <w:hyperlink r:id="rId194" w:history="1">
        <w:r w:rsidRPr="005B4339">
          <w:rPr>
            <w:rStyle w:val="Hyperlink"/>
            <w:iCs/>
            <w:noProof/>
            <w:color w:val="000000" w:themeColor="text1"/>
            <w:lang w:val="en-IE"/>
          </w:rPr>
          <w:t>Eurostat Statistics Explained</w:t>
        </w:r>
      </w:hyperlink>
      <w:r w:rsidRPr="005B4339">
        <w:rPr>
          <w:iCs/>
          <w:noProof/>
          <w:color w:val="000000" w:themeColor="text1"/>
          <w:lang w:val="en-IE"/>
        </w:rPr>
        <w:t>.</w:t>
      </w:r>
    </w:p>
    <w:p w14:paraId="70468BC2" w14:textId="1B8D1756" w:rsidR="00533068" w:rsidRPr="005B4339" w:rsidRDefault="00533068" w:rsidP="00693CB3">
      <w:pPr>
        <w:spacing w:after="120"/>
        <w:rPr>
          <w:iCs/>
          <w:noProof/>
          <w:color w:val="000000" w:themeColor="text1"/>
          <w:lang w:val="en-IE"/>
        </w:rPr>
      </w:pPr>
      <w:r w:rsidRPr="005B4339">
        <w:rPr>
          <w:iCs/>
          <w:noProof/>
          <w:color w:val="000000" w:themeColor="text1"/>
          <w:lang w:val="en-IE"/>
        </w:rPr>
        <w:t>The</w:t>
      </w:r>
      <w:r w:rsidR="003C5382" w:rsidRPr="005B4339">
        <w:rPr>
          <w:iCs/>
          <w:noProof/>
          <w:color w:val="000000" w:themeColor="text1"/>
          <w:lang w:val="en-IE"/>
        </w:rPr>
        <w:t xml:space="preserve"> </w:t>
      </w:r>
      <w:hyperlink r:id="rId195" w:history="1">
        <w:r w:rsidRPr="005B4339">
          <w:rPr>
            <w:rStyle w:val="Hyperlink"/>
            <w:iCs/>
            <w:noProof/>
            <w:color w:val="000000" w:themeColor="text1"/>
            <w:lang w:val="en-IE"/>
          </w:rPr>
          <w:t>enterprise size</w:t>
        </w:r>
      </w:hyperlink>
      <w:r w:rsidR="003C5382" w:rsidRPr="005B4339">
        <w:rPr>
          <w:rStyle w:val="Hyperlink"/>
          <w:iCs/>
          <w:noProof/>
          <w:color w:val="000000" w:themeColor="text1"/>
          <w:lang w:val="en-IE"/>
        </w:rPr>
        <w:t xml:space="preserve"> </w:t>
      </w:r>
      <w:r w:rsidRPr="005B4339">
        <w:rPr>
          <w:iCs/>
          <w:noProof/>
          <w:color w:val="000000" w:themeColor="text1"/>
          <w:lang w:val="en-IE"/>
        </w:rPr>
        <w:t>structure of the EU’s accommodation and food services sector would appear to be dominated by SMEs (small and medium enterprises) employing less than 250 persons. These enterprises together employed 85.7 % of the EU’s accommodation and food services employment in 2019 and generated 77.1 % of its value. The importance of large enterprises (employing 250 or more persons) was relatively small, with only 14.3 % of the EU’s total employment and 22.9 % of its value added in the accommodation and food sector.</w:t>
      </w:r>
    </w:p>
    <w:p w14:paraId="5D6C97E5" w14:textId="77777777" w:rsidR="00533068" w:rsidRPr="005B4339" w:rsidRDefault="00533068" w:rsidP="00693CB3">
      <w:pPr>
        <w:rPr>
          <w:iCs/>
          <w:noProof/>
          <w:color w:val="000000" w:themeColor="text1"/>
          <w:lang w:val="en-IE"/>
        </w:rPr>
      </w:pPr>
      <w:r w:rsidRPr="005B4339">
        <w:rPr>
          <w:iCs/>
          <w:noProof/>
          <w:color w:val="000000" w:themeColor="text1"/>
          <w:lang w:val="en-IE"/>
        </w:rPr>
        <w:t>The share of micro enterprises was particularly high for the EU’s food and beverage services subsector, generating 35.4 % of the value added and contributing to 43.6 % of the total employment in this subsector in 2019.</w:t>
      </w:r>
    </w:p>
    <w:p w14:paraId="1B20A9BE" w14:textId="77777777" w:rsidR="00533068" w:rsidRPr="005B4339" w:rsidRDefault="00533068" w:rsidP="003920B7">
      <w:pPr>
        <w:spacing w:after="120"/>
        <w:rPr>
          <w:b/>
          <w:noProof/>
          <w:lang w:val="en-IE"/>
        </w:rPr>
      </w:pPr>
      <w:r w:rsidRPr="005B4339">
        <w:rPr>
          <w:b/>
          <w:noProof/>
          <w:lang w:val="en-IE"/>
        </w:rPr>
        <w:t>To what extent is the initiative relevant for SMEs?</w:t>
      </w:r>
    </w:p>
    <w:p w14:paraId="3AB62C61" w14:textId="77777777" w:rsidR="00825CC3" w:rsidRPr="005B4339" w:rsidRDefault="00533068" w:rsidP="003920B7">
      <w:pPr>
        <w:spacing w:after="120"/>
        <w:rPr>
          <w:noProof/>
          <w:lang w:val="en-IE"/>
        </w:rPr>
      </w:pPr>
      <w:r w:rsidRPr="005B4339">
        <w:rPr>
          <w:noProof/>
          <w:lang w:val="en-IE"/>
        </w:rPr>
        <w:t xml:space="preserve">This initiative is considered as potentially </w:t>
      </w:r>
      <w:r w:rsidRPr="005B4339">
        <w:rPr>
          <w:b/>
          <w:noProof/>
          <w:lang w:val="en-IE"/>
        </w:rPr>
        <w:t>relevant</w:t>
      </w:r>
      <w:r w:rsidRPr="005B4339">
        <w:rPr>
          <w:noProof/>
          <w:lang w:val="en-IE"/>
        </w:rPr>
        <w:t xml:space="preserve"> for SMEs. </w:t>
      </w:r>
    </w:p>
    <w:p w14:paraId="15032AEE" w14:textId="281B33DF" w:rsidR="00533068" w:rsidRPr="005B4339" w:rsidRDefault="00533068" w:rsidP="003920B7">
      <w:pPr>
        <w:spacing w:after="120"/>
        <w:rPr>
          <w:noProof/>
          <w:lang w:val="en-IE"/>
        </w:rPr>
      </w:pPr>
      <w:r w:rsidRPr="005B4339">
        <w:rPr>
          <w:noProof/>
          <w:lang w:val="en-IE"/>
        </w:rPr>
        <w:t>The scope of the legislative proposal in the area of food waste is limited to setting food waste reductio</w:t>
      </w:r>
      <w:r w:rsidR="00825CC3" w:rsidRPr="005B4339">
        <w:rPr>
          <w:noProof/>
          <w:lang w:val="en-IE"/>
        </w:rPr>
        <w:t>n targets on the Member States.</w:t>
      </w:r>
      <w:r w:rsidRPr="005B4339">
        <w:rPr>
          <w:noProof/>
          <w:lang w:val="en-IE"/>
        </w:rPr>
        <w:t xml:space="preserve"> Therefore, the proposal will not impact businesses directly. </w:t>
      </w:r>
    </w:p>
    <w:p w14:paraId="35929C0B" w14:textId="20BEAEDE" w:rsidR="00533068" w:rsidRPr="005B4339" w:rsidRDefault="00533068" w:rsidP="003920B7">
      <w:pPr>
        <w:spacing w:after="120"/>
        <w:rPr>
          <w:noProof/>
          <w:lang w:val="en-IE"/>
        </w:rPr>
      </w:pPr>
      <w:r w:rsidRPr="005B4339">
        <w:rPr>
          <w:noProof/>
          <w:lang w:val="en-IE"/>
        </w:rPr>
        <w:t xml:space="preserve">The proposal does not include any new obligations for action by Member States other than those already established by Waste Framework Directive (reducing food waste at each stage of the food supply chain, preparing food waste prevention programmes, implementing related actions, monitoring and reporting on progress achieved). Moreover, Member States have already committed to </w:t>
      </w:r>
      <w:r w:rsidR="00F006E7" w:rsidRPr="005B4339">
        <w:rPr>
          <w:noProof/>
          <w:lang w:val="en-IE"/>
        </w:rPr>
        <w:t xml:space="preserve">take </w:t>
      </w:r>
      <w:r w:rsidRPr="005B4339">
        <w:rPr>
          <w:noProof/>
          <w:lang w:val="en-IE"/>
        </w:rPr>
        <w:t xml:space="preserve">action to reduce food waste in order to contribute to SDG </w:t>
      </w:r>
      <w:r w:rsidR="00F006E7" w:rsidRPr="005B4339">
        <w:rPr>
          <w:noProof/>
          <w:lang w:val="en-IE"/>
        </w:rPr>
        <w:t>T</w:t>
      </w:r>
      <w:r w:rsidRPr="005B4339">
        <w:rPr>
          <w:noProof/>
          <w:lang w:val="en-IE"/>
        </w:rPr>
        <w:t xml:space="preserve">arget 12.3. </w:t>
      </w:r>
    </w:p>
    <w:p w14:paraId="43CACDFF" w14:textId="136F128F" w:rsidR="00533068" w:rsidRPr="005B4339" w:rsidRDefault="00533068" w:rsidP="003920B7">
      <w:pPr>
        <w:spacing w:after="120"/>
        <w:rPr>
          <w:noProof/>
          <w:lang w:val="en-IE"/>
        </w:rPr>
      </w:pPr>
      <w:r w:rsidRPr="005B4339">
        <w:rPr>
          <w:noProof/>
          <w:lang w:val="en-IE"/>
        </w:rPr>
        <w:t xml:space="preserve">It can be expected that more active implementation of prevention policies by Member States will have indirect impact on SMEs in the food sector by modifying their business environment, especially in </w:t>
      </w:r>
      <w:r w:rsidR="00F006E7" w:rsidRPr="005B4339">
        <w:rPr>
          <w:noProof/>
          <w:lang w:val="en-IE"/>
        </w:rPr>
        <w:t xml:space="preserve">the </w:t>
      </w:r>
      <w:r w:rsidRPr="005B4339">
        <w:rPr>
          <w:noProof/>
          <w:lang w:val="en-IE"/>
        </w:rPr>
        <w:t>longer term. In implementing national food waste prevention programmes, M</w:t>
      </w:r>
      <w:r w:rsidR="00F006E7" w:rsidRPr="005B4339">
        <w:rPr>
          <w:noProof/>
          <w:lang w:val="en-IE"/>
        </w:rPr>
        <w:t>ember State</w:t>
      </w:r>
      <w:r w:rsidRPr="005B4339">
        <w:rPr>
          <w:noProof/>
          <w:lang w:val="en-IE"/>
        </w:rPr>
        <w:t xml:space="preserve"> authorities will likely engage with all actors in the food supply chain in order to ensure progress towards the national targets. It is also possible that Member States can take measures directly aimed at SMEs, although this is very unlikely. </w:t>
      </w:r>
    </w:p>
    <w:p w14:paraId="564D90BE" w14:textId="7D33955C" w:rsidR="00533068" w:rsidRPr="005B4339" w:rsidRDefault="00533068" w:rsidP="003920B7">
      <w:pPr>
        <w:spacing w:after="120"/>
        <w:rPr>
          <w:noProof/>
          <w:lang w:val="en-IE"/>
        </w:rPr>
      </w:pPr>
      <w:r w:rsidRPr="005B4339">
        <w:rPr>
          <w:noProof/>
          <w:lang w:val="en-IE"/>
        </w:rPr>
        <w:t xml:space="preserve">See Annex 7 </w:t>
      </w:r>
      <w:r w:rsidR="002C3209" w:rsidRPr="005B4339">
        <w:rPr>
          <w:noProof/>
          <w:lang w:val="en-IE"/>
        </w:rPr>
        <w:t>and Annex 10 (Secti</w:t>
      </w:r>
      <w:r w:rsidR="00CA0790" w:rsidRPr="005B4339">
        <w:rPr>
          <w:noProof/>
          <w:lang w:val="en-IE"/>
        </w:rPr>
        <w:t>o</w:t>
      </w:r>
      <w:r w:rsidR="002C3209" w:rsidRPr="005B4339">
        <w:rPr>
          <w:noProof/>
          <w:lang w:val="en-IE"/>
        </w:rPr>
        <w:t>n 2.4)</w:t>
      </w:r>
      <w:r w:rsidRPr="005B4339">
        <w:rPr>
          <w:noProof/>
          <w:lang w:val="en-IE"/>
        </w:rPr>
        <w:t xml:space="preserve"> to see examples of actions taken by Member States which have already started implement food waste prevention policies. </w:t>
      </w:r>
      <w:bookmarkStart w:id="1071" w:name="_Hlk126635530"/>
      <w:r w:rsidR="00F006E7" w:rsidRPr="005B4339">
        <w:rPr>
          <w:noProof/>
          <w:lang w:val="en-IE"/>
        </w:rPr>
        <w:t>The m</w:t>
      </w:r>
      <w:r w:rsidRPr="005B4339">
        <w:rPr>
          <w:noProof/>
          <w:lang w:val="en-IE"/>
        </w:rPr>
        <w:t xml:space="preserve">ajority relies on voluntary measures, encouraging food business operators to better cooperation and providing them with tools and information for that purpose. </w:t>
      </w:r>
      <w:bookmarkEnd w:id="1071"/>
      <w:r w:rsidRPr="005B4339">
        <w:rPr>
          <w:noProof/>
          <w:lang w:val="en-IE"/>
        </w:rPr>
        <w:t>The only exception was France which introduce</w:t>
      </w:r>
      <w:r w:rsidR="00071D47" w:rsidRPr="005B4339">
        <w:rPr>
          <w:noProof/>
          <w:lang w:val="en-IE"/>
        </w:rPr>
        <w:t>d</w:t>
      </w:r>
      <w:r w:rsidRPr="005B4339">
        <w:rPr>
          <w:noProof/>
          <w:lang w:val="en-IE"/>
        </w:rPr>
        <w:t xml:space="preserve"> legislation </w:t>
      </w:r>
      <w:r w:rsidR="00071D47" w:rsidRPr="005B4339">
        <w:rPr>
          <w:noProof/>
          <w:lang w:val="en-IE"/>
        </w:rPr>
        <w:t xml:space="preserve">requiring an </w:t>
      </w:r>
      <w:r w:rsidRPr="005B4339">
        <w:rPr>
          <w:noProof/>
          <w:lang w:val="en-IE"/>
        </w:rPr>
        <w:t xml:space="preserve"> obligatory agreement on food donations, however addressed only to larger companies, not considered as SMEs. </w:t>
      </w:r>
    </w:p>
    <w:p w14:paraId="13E8AF0F" w14:textId="20B17269" w:rsidR="00533068" w:rsidRPr="005B4339" w:rsidRDefault="00533068" w:rsidP="003920B7">
      <w:pPr>
        <w:spacing w:after="120"/>
        <w:rPr>
          <w:noProof/>
          <w:lang w:val="en-IE"/>
        </w:rPr>
      </w:pPr>
      <w:r w:rsidRPr="005B4339">
        <w:rPr>
          <w:noProof/>
          <w:lang w:val="en-IE"/>
        </w:rPr>
        <w:t xml:space="preserve">It is generally regarded that food business operators have an inherent economic incentive to reduce food waste as it impacts directly on their profits. Moreover, numerous business cases shows that more insight on food waste generation in their operations, measurement of food waste and taking action to address hotspots brings significant savings, with some </w:t>
      </w:r>
      <w:hyperlink r:id="rId196" w:history="1">
        <w:r w:rsidRPr="005B4339">
          <w:rPr>
            <w:rStyle w:val="Hyperlink"/>
            <w:noProof/>
            <w:lang w:val="en-IE"/>
          </w:rPr>
          <w:t>reports</w:t>
        </w:r>
      </w:hyperlink>
      <w:r w:rsidRPr="005B4339">
        <w:rPr>
          <w:noProof/>
          <w:lang w:val="en-IE"/>
        </w:rPr>
        <w:t xml:space="preserve"> indicating average benefits-cost ratio of 7:1 or even more. Similar business cases analysis covered hotels </w:t>
      </w:r>
      <w:hyperlink r:id="rId197" w:history="1">
        <w:r w:rsidRPr="005B4339">
          <w:rPr>
            <w:rStyle w:val="Hyperlink"/>
            <w:noProof/>
            <w:lang w:val="en-IE"/>
          </w:rPr>
          <w:t>The Business Case for Reducing Food Loss and Waste: Hotels | Champions 12.3 (champions123.org)</w:t>
        </w:r>
      </w:hyperlink>
      <w:r w:rsidRPr="005B4339">
        <w:rPr>
          <w:noProof/>
          <w:lang w:val="en-IE"/>
        </w:rPr>
        <w:t xml:space="preserve">, catering </w:t>
      </w:r>
      <w:hyperlink r:id="rId198" w:history="1">
        <w:r w:rsidRPr="005B4339">
          <w:rPr>
            <w:rStyle w:val="Hyperlink"/>
            <w:noProof/>
            <w:lang w:val="en-IE"/>
          </w:rPr>
          <w:t>The Business Case for Reducing Food Loss and Waste: Catering | Champions 12.3 (champions123.org)</w:t>
        </w:r>
      </w:hyperlink>
      <w:r w:rsidR="00764126" w:rsidRPr="005B4339">
        <w:rPr>
          <w:rStyle w:val="Hyperlink"/>
          <w:noProof/>
          <w:lang w:val="en-IE"/>
        </w:rPr>
        <w:t xml:space="preserve">, </w:t>
      </w:r>
      <w:hyperlink r:id="rId199" w:history="1">
        <w:r w:rsidR="00764126" w:rsidRPr="005B4339">
          <w:rPr>
            <w:rStyle w:val="Hyperlink"/>
            <w:noProof/>
            <w:lang w:val="en-IE"/>
          </w:rPr>
          <w:t>The Business Case for Reducing Food Loss and Waste: Restaurants | Champions 12.3 (champions123.org)</w:t>
        </w:r>
      </w:hyperlink>
      <w:r w:rsidRPr="005B4339">
        <w:rPr>
          <w:noProof/>
          <w:lang w:val="en-IE"/>
        </w:rPr>
        <w:t xml:space="preserve"> or food business in general </w:t>
      </w:r>
      <w:hyperlink r:id="rId200" w:history="1">
        <w:r w:rsidRPr="005B4339">
          <w:rPr>
            <w:rStyle w:val="Hyperlink"/>
            <w:noProof/>
            <w:lang w:val="en-IE"/>
          </w:rPr>
          <w:t>The Business Case for Reducing Food Loss and Waste | Champions 12.3 (champions123.org)</w:t>
        </w:r>
      </w:hyperlink>
      <w:r w:rsidRPr="005B4339">
        <w:rPr>
          <w:noProof/>
          <w:lang w:val="en-IE"/>
        </w:rPr>
        <w:t>.</w:t>
      </w:r>
    </w:p>
    <w:p w14:paraId="2728FBD6" w14:textId="0F67E176" w:rsidR="00533068" w:rsidRPr="005B4339" w:rsidRDefault="00533068" w:rsidP="003920B7">
      <w:pPr>
        <w:spacing w:after="120"/>
        <w:rPr>
          <w:noProof/>
          <w:lang w:val="en-IE"/>
        </w:rPr>
      </w:pPr>
      <w:bookmarkStart w:id="1072" w:name="_Hlk126635585"/>
      <w:r w:rsidRPr="005B4339">
        <w:rPr>
          <w:noProof/>
          <w:lang w:val="en-IE"/>
        </w:rPr>
        <w:t>Therefore, the focus on actions observed so far in Member States and neighbouring countries (U</w:t>
      </w:r>
      <w:r w:rsidR="00764126" w:rsidRPr="005B4339">
        <w:rPr>
          <w:noProof/>
          <w:lang w:val="en-IE"/>
        </w:rPr>
        <w:t>nited Kingdom</w:t>
      </w:r>
      <w:r w:rsidRPr="005B4339">
        <w:rPr>
          <w:noProof/>
          <w:lang w:val="en-IE"/>
        </w:rPr>
        <w:t>, N</w:t>
      </w:r>
      <w:r w:rsidR="00764126" w:rsidRPr="005B4339">
        <w:rPr>
          <w:noProof/>
          <w:lang w:val="en-IE"/>
        </w:rPr>
        <w:t>orway</w:t>
      </w:r>
      <w:r w:rsidRPr="005B4339">
        <w:rPr>
          <w:noProof/>
          <w:lang w:val="en-IE"/>
        </w:rPr>
        <w:t xml:space="preserve">) which have undertaken coordinated action to reduce food waste, focused on actions encouraging food waste prevention (voluntary agreements, exchange platforms etc.) supported by financed by government financing. </w:t>
      </w:r>
    </w:p>
    <w:bookmarkEnd w:id="1072"/>
    <w:p w14:paraId="66F0048C" w14:textId="77777777" w:rsidR="00533068" w:rsidRPr="005B4339" w:rsidRDefault="00533068" w:rsidP="00533068">
      <w:pPr>
        <w:spacing w:after="0"/>
        <w:rPr>
          <w:noProof/>
          <w:lang w:val="en-IE"/>
        </w:rPr>
      </w:pPr>
      <w:r w:rsidRPr="005B4339">
        <w:rPr>
          <w:noProof/>
          <w:lang w:val="en-IE"/>
        </w:rPr>
        <w:t xml:space="preserve">Examples: </w:t>
      </w:r>
    </w:p>
    <w:p w14:paraId="20EB4EB2" w14:textId="215E8EF3" w:rsidR="00533068" w:rsidRPr="005B4339" w:rsidRDefault="00533068" w:rsidP="00533068">
      <w:pPr>
        <w:spacing w:after="0"/>
        <w:rPr>
          <w:noProof/>
          <w:lang w:val="en-IE"/>
        </w:rPr>
      </w:pPr>
      <w:r w:rsidRPr="005B4339">
        <w:rPr>
          <w:noProof/>
          <w:lang w:val="en-IE"/>
        </w:rPr>
        <w:t>U</w:t>
      </w:r>
      <w:r w:rsidR="00764126" w:rsidRPr="005B4339">
        <w:rPr>
          <w:noProof/>
          <w:lang w:val="en-IE"/>
        </w:rPr>
        <w:t>nited Kingdom</w:t>
      </w:r>
      <w:r w:rsidRPr="005B4339">
        <w:rPr>
          <w:noProof/>
          <w:lang w:val="en-IE"/>
        </w:rPr>
        <w:t xml:space="preserve">: </w:t>
      </w:r>
      <w:hyperlink r:id="rId201" w:anchor=":~:text=Guardians%20of%20Grub%20is%20WRAP's,thrown%20away%20in%20their%20businesses." w:history="1">
        <w:r w:rsidRPr="005B4339">
          <w:rPr>
            <w:rStyle w:val="Hyperlink"/>
            <w:noProof/>
            <w:lang w:val="en-IE"/>
          </w:rPr>
          <w:t>Guardian of Grub</w:t>
        </w:r>
      </w:hyperlink>
    </w:p>
    <w:p w14:paraId="7E36C25A" w14:textId="2BA2B247" w:rsidR="00533068" w:rsidRPr="005B4339" w:rsidRDefault="00764126" w:rsidP="003920B7">
      <w:pPr>
        <w:spacing w:after="120"/>
        <w:rPr>
          <w:noProof/>
          <w:lang w:val="en-IE"/>
        </w:rPr>
      </w:pPr>
      <w:r w:rsidRPr="005B4339">
        <w:rPr>
          <w:noProof/>
          <w:lang w:val="en-IE"/>
        </w:rPr>
        <w:t>The Netherlands</w:t>
      </w:r>
      <w:r w:rsidR="00533068" w:rsidRPr="005B4339">
        <w:rPr>
          <w:noProof/>
          <w:lang w:val="en-IE"/>
        </w:rPr>
        <w:t xml:space="preserve">: </w:t>
      </w:r>
      <w:hyperlink r:id="rId202" w:history="1">
        <w:r w:rsidR="00533068" w:rsidRPr="005B4339">
          <w:rPr>
            <w:rStyle w:val="Hyperlink"/>
            <w:noProof/>
            <w:lang w:val="en-IE"/>
          </w:rPr>
          <w:t>https://nowastenetwork.nl/?lang=en</w:t>
        </w:r>
      </w:hyperlink>
      <w:r w:rsidR="00533068" w:rsidRPr="005B4339">
        <w:rPr>
          <w:noProof/>
          <w:lang w:val="en-IE"/>
        </w:rPr>
        <w:t xml:space="preserve"> </w:t>
      </w:r>
    </w:p>
    <w:p w14:paraId="22F38F65" w14:textId="77777777" w:rsidR="00533068" w:rsidRPr="005B4339" w:rsidRDefault="00533068" w:rsidP="003920B7">
      <w:pPr>
        <w:spacing w:after="120"/>
        <w:rPr>
          <w:noProof/>
          <w:lang w:val="en-IE"/>
        </w:rPr>
      </w:pPr>
      <w:r w:rsidRPr="005B4339">
        <w:rPr>
          <w:noProof/>
          <w:lang w:val="en-IE"/>
        </w:rPr>
        <w:t xml:space="preserve">So far, the only country that has introduced obligations in national legislation to support food waste prevention are focussed on requirements related to food donation as well as diagnosis and monitoring in sectors of restaurants is France. </w:t>
      </w:r>
    </w:p>
    <w:p w14:paraId="74D0DB39" w14:textId="54092C02" w:rsidR="00533068" w:rsidRPr="005B4339" w:rsidRDefault="00533068" w:rsidP="003920B7">
      <w:pPr>
        <w:rPr>
          <w:noProof/>
          <w:lang w:val="en-IE"/>
        </w:rPr>
      </w:pPr>
      <w:r w:rsidRPr="005B4339">
        <w:rPr>
          <w:noProof/>
          <w:lang w:val="en-IE"/>
        </w:rPr>
        <w:t>On food donation</w:t>
      </w:r>
      <w:r w:rsidR="00CA0790" w:rsidRPr="005B4339">
        <w:rPr>
          <w:noProof/>
          <w:lang w:val="en-IE"/>
        </w:rPr>
        <w:t>,</w:t>
      </w:r>
      <w:r w:rsidRPr="005B4339">
        <w:rPr>
          <w:noProof/>
          <w:lang w:val="en-IE"/>
        </w:rPr>
        <w:t xml:space="preserve"> </w:t>
      </w:r>
      <w:r w:rsidR="00CA0790" w:rsidRPr="005B4339">
        <w:rPr>
          <w:noProof/>
          <w:lang w:val="en-IE"/>
        </w:rPr>
        <w:t>French legislation</w:t>
      </w:r>
      <w:r w:rsidR="008D5E82" w:rsidRPr="005B4339">
        <w:rPr>
          <w:rStyle w:val="FootnoteReference"/>
          <w:noProof/>
          <w:lang w:val="en-IE"/>
        </w:rPr>
        <w:footnoteReference w:id="175"/>
      </w:r>
      <w:r w:rsidRPr="005B4339">
        <w:rPr>
          <w:noProof/>
          <w:lang w:val="en-IE"/>
        </w:rPr>
        <w:t xml:space="preserve"> bans the destruction of edible food and obliges businesses to sign a food donation agreement with authorised charitable organisations. This requirement applies to retailers (for larger shops, if &gt;400m²), food and drink industry and wholesale (if &gt;50M€ turnover) and collective catering (if &gt;3000 meals/day) sectors. On diagnosis and monitoring, government requests diagnosis and action plan</w:t>
      </w:r>
      <w:r w:rsidR="004332C1" w:rsidRPr="005B4339">
        <w:rPr>
          <w:noProof/>
          <w:lang w:val="en-IE"/>
        </w:rPr>
        <w:t>s</w:t>
      </w:r>
      <w:r w:rsidRPr="005B4339">
        <w:rPr>
          <w:noProof/>
          <w:lang w:val="en-IE"/>
        </w:rPr>
        <w:t xml:space="preserve"> for the entire collective catering sector. The government provide guidance and tools to enable companies make their own diagnosis and implement results of their diagnosis as feasible for business operator. There is no minimum threshold for companies (so SMEs are included), but there are no consequences for late or no delivery. </w:t>
      </w:r>
      <w:r w:rsidR="00B34A6E" w:rsidRPr="005B4339">
        <w:rPr>
          <w:noProof/>
          <w:lang w:val="en-IE"/>
        </w:rPr>
        <w:t xml:space="preserve">The </w:t>
      </w:r>
      <w:bookmarkStart w:id="1073" w:name="_Hlk133881113"/>
      <w:r w:rsidR="00A824F6" w:rsidRPr="005B4339">
        <w:fldChar w:fldCharType="begin"/>
      </w:r>
      <w:r w:rsidR="00CA689E" w:rsidRPr="005B4339">
        <w:rPr>
          <w:noProof/>
          <w:lang w:val="en-IE"/>
        </w:rPr>
        <w:instrText>HYPERLINK "https://www.legifrance.gouv.fr/contenu/Media/Files/autour-de-la-loi/legislatif-et-reglementaire/fiches-d-impact/fiches-d-impact-ordonnances/2019/fi_agrg1920827r_25_09_2019.pdf"</w:instrText>
      </w:r>
      <w:r w:rsidR="00A824F6" w:rsidRPr="005B4339">
        <w:fldChar w:fldCharType="separate"/>
      </w:r>
      <w:r w:rsidR="00CA689E" w:rsidRPr="005B4339">
        <w:rPr>
          <w:rStyle w:val="Hyperlink"/>
          <w:noProof/>
          <w:lang w:val="en-IE"/>
        </w:rPr>
        <w:t>Impact Assessment</w:t>
      </w:r>
      <w:r w:rsidR="00A824F6" w:rsidRPr="005B4339">
        <w:rPr>
          <w:rStyle w:val="Hyperlink"/>
          <w:noProof/>
          <w:lang w:val="en-IE"/>
        </w:rPr>
        <w:fldChar w:fldCharType="end"/>
      </w:r>
      <w:bookmarkEnd w:id="1073"/>
      <w:r w:rsidR="00A16D08" w:rsidRPr="005B4339">
        <w:rPr>
          <w:rStyle w:val="Hyperlink"/>
          <w:noProof/>
          <w:lang w:val="en-IE"/>
        </w:rPr>
        <w:t xml:space="preserve"> related to the French legislation</w:t>
      </w:r>
      <w:r w:rsidR="008A1FF7" w:rsidRPr="005B4339">
        <w:rPr>
          <w:rStyle w:val="FootnoteReference"/>
          <w:noProof/>
          <w:color w:val="0000FF" w:themeColor="hyperlink"/>
          <w:u w:val="single"/>
          <w:lang w:val="en-IE"/>
        </w:rPr>
        <w:footnoteReference w:id="176"/>
      </w:r>
      <w:r w:rsidRPr="005B4339">
        <w:rPr>
          <w:noProof/>
          <w:lang w:val="en-IE"/>
        </w:rPr>
        <w:t xml:space="preserve"> does not expect any additional costs for enterprises but rather improvement of their competitiveness and public image.</w:t>
      </w:r>
    </w:p>
    <w:p w14:paraId="70A5EE5C" w14:textId="77777777" w:rsidR="00533068" w:rsidRPr="005B4339" w:rsidRDefault="00533068" w:rsidP="00533068">
      <w:pPr>
        <w:spacing w:after="120"/>
        <w:rPr>
          <w:b/>
          <w:noProof/>
          <w:lang w:val="en-IE"/>
        </w:rPr>
      </w:pPr>
      <w:r w:rsidRPr="005B4339">
        <w:rPr>
          <w:b/>
          <w:noProof/>
          <w:lang w:val="en-IE"/>
        </w:rPr>
        <w:t>Step 2/4: Consultation of SME Stakeholders</w:t>
      </w:r>
    </w:p>
    <w:p w14:paraId="3C96EE91" w14:textId="77777777" w:rsidR="00ED57D0" w:rsidRPr="005B4339" w:rsidRDefault="00533068" w:rsidP="00533068">
      <w:pPr>
        <w:spacing w:before="60" w:after="60"/>
        <w:rPr>
          <w:rFonts w:eastAsia="Times New Roman"/>
          <w:noProof/>
          <w:lang w:val="en-IE" w:eastAsia="en-GB"/>
        </w:rPr>
      </w:pPr>
      <w:r w:rsidRPr="005B4339">
        <w:rPr>
          <w:rFonts w:eastAsia="Times New Roman"/>
          <w:noProof/>
          <w:lang w:val="en-IE" w:eastAsia="en-GB"/>
        </w:rPr>
        <w:t>Full description of consultation activities is in the Annex 2.</w:t>
      </w:r>
      <w:r w:rsidR="00225D0B" w:rsidRPr="005B4339">
        <w:rPr>
          <w:rFonts w:eastAsia="Times New Roman"/>
          <w:noProof/>
          <w:lang w:val="en-IE" w:eastAsia="en-GB"/>
        </w:rPr>
        <w:t xml:space="preserve"> </w:t>
      </w:r>
    </w:p>
    <w:p w14:paraId="6E4A01C5" w14:textId="6E7293A4" w:rsidR="00533068" w:rsidRPr="005B4339" w:rsidRDefault="00533068" w:rsidP="00533068">
      <w:pPr>
        <w:spacing w:before="60" w:after="60"/>
        <w:rPr>
          <w:rFonts w:eastAsia="Times New Roman"/>
          <w:noProof/>
          <w:lang w:val="en-IE" w:eastAsia="en-GB"/>
        </w:rPr>
      </w:pPr>
      <w:r w:rsidRPr="005B4339">
        <w:rPr>
          <w:rFonts w:eastAsia="Times New Roman"/>
          <w:noProof/>
          <w:lang w:val="en-IE" w:eastAsia="en-GB"/>
        </w:rPr>
        <w:t xml:space="preserve">The stakeholders were consulted through public and targeted consultations to gather views and feedback in view of further developing and fine-tuning the different initiatives. </w:t>
      </w:r>
    </w:p>
    <w:p w14:paraId="2832D236" w14:textId="63346AA2" w:rsidR="00533068" w:rsidRPr="005B4339" w:rsidRDefault="00533068" w:rsidP="00533068">
      <w:pPr>
        <w:spacing w:before="60" w:after="60"/>
        <w:rPr>
          <w:rFonts w:eastAsia="Times New Roman"/>
          <w:noProof/>
          <w:lang w:val="en-IE" w:eastAsia="en-GB"/>
        </w:rPr>
      </w:pPr>
      <w:r w:rsidRPr="005B4339">
        <w:rPr>
          <w:rFonts w:eastAsia="Times New Roman"/>
          <w:noProof/>
          <w:lang w:val="en-IE" w:eastAsia="en-GB"/>
        </w:rPr>
        <w:t>A set of targeted consultation activities with stakeholders focused on surveys on costs and benefits on food waste prevention actions.</w:t>
      </w:r>
    </w:p>
    <w:p w14:paraId="4E6B6074" w14:textId="63346AA2" w:rsidR="00533068" w:rsidRPr="005B4339" w:rsidRDefault="00533068" w:rsidP="00533068">
      <w:pPr>
        <w:spacing w:before="60" w:after="60"/>
        <w:rPr>
          <w:rFonts w:eastAsia="Times New Roman"/>
          <w:noProof/>
          <w:color w:val="000000" w:themeColor="text1"/>
          <w:lang w:val="en-IE" w:eastAsia="en-GB"/>
        </w:rPr>
      </w:pPr>
      <w:r w:rsidRPr="005B4339">
        <w:rPr>
          <w:rFonts w:eastAsia="Times New Roman"/>
          <w:b/>
          <w:noProof/>
          <w:color w:val="000000" w:themeColor="text1"/>
          <w:lang w:val="en-IE" w:eastAsia="en-GB"/>
        </w:rPr>
        <w:t>Consultations with food business organisations represented in the EU Platform on Food Losses and Food Waste</w:t>
      </w:r>
      <w:r w:rsidRPr="005B4339">
        <w:rPr>
          <w:rFonts w:eastAsia="Times New Roman"/>
          <w:noProof/>
          <w:color w:val="000000" w:themeColor="text1"/>
          <w:lang w:val="en-IE" w:eastAsia="en-GB"/>
        </w:rPr>
        <w:t>: There is no dedicated organisation representing SMEs directly. Instead, SMEs are represented by sector-specific organisations. The Platform covers the whole food supply chain from primary production, through processing and manufacturing, retail and distribution, restaurants and food service, until households. SMEs are well represented by the organisations representing specific sectors of the food chain, notably: EuroCommerce, Independent Retail Europe, HOTREC (food services, 90% of micro enterprises) and FoodDrinkEurope.</w:t>
      </w:r>
    </w:p>
    <w:p w14:paraId="6BFB6863" w14:textId="57933DF2" w:rsidR="00533068" w:rsidRPr="005B4339" w:rsidRDefault="00533068" w:rsidP="00533068">
      <w:pPr>
        <w:spacing w:before="60" w:after="60"/>
        <w:rPr>
          <w:rFonts w:eastAsia="Times New Roman"/>
          <w:noProof/>
          <w:color w:val="000000" w:themeColor="text1"/>
          <w:lang w:val="en-IE" w:eastAsia="en-GB"/>
        </w:rPr>
      </w:pPr>
      <w:r w:rsidRPr="005B4339">
        <w:rPr>
          <w:rFonts w:eastAsia="Times New Roman"/>
          <w:b/>
          <w:noProof/>
          <w:color w:val="000000" w:themeColor="text1"/>
          <w:lang w:val="en-IE" w:eastAsia="en-GB"/>
        </w:rPr>
        <w:t>Public consultations</w:t>
      </w:r>
      <w:r w:rsidRPr="005B4339">
        <w:rPr>
          <w:rFonts w:eastAsia="Times New Roman"/>
          <w:noProof/>
          <w:color w:val="000000" w:themeColor="text1"/>
          <w:lang w:val="en-IE" w:eastAsia="en-GB"/>
        </w:rPr>
        <w:t xml:space="preserve"> included questions regarding options and measures for prevention of food waste. No specific impacts or challenges related specifically to SMEs have been identified. Analysis of replies and position papers, showed no significant differences between different size-classes of food business operators, including SMEs (i.e.</w:t>
      </w:r>
      <w:r w:rsidR="00A16D08" w:rsidRPr="005B4339">
        <w:rPr>
          <w:rFonts w:eastAsia="Times New Roman"/>
          <w:noProof/>
          <w:color w:val="000000" w:themeColor="text1"/>
          <w:lang w:val="en-IE" w:eastAsia="en-GB"/>
        </w:rPr>
        <w:t>,</w:t>
      </w:r>
      <w:r w:rsidRPr="005B4339">
        <w:rPr>
          <w:rFonts w:eastAsia="Times New Roman"/>
          <w:noProof/>
          <w:color w:val="000000" w:themeColor="text1"/>
          <w:lang w:val="en-IE" w:eastAsia="en-GB"/>
        </w:rPr>
        <w:t xml:space="preserve"> micro, small, medium). As the current legislative proposal does not include any measures directly relevant to </w:t>
      </w:r>
      <w:r w:rsidR="00A16D08" w:rsidRPr="005B4339">
        <w:rPr>
          <w:rFonts w:eastAsia="Times New Roman"/>
          <w:noProof/>
          <w:color w:val="000000" w:themeColor="text1"/>
          <w:lang w:val="en-IE" w:eastAsia="en-GB"/>
        </w:rPr>
        <w:t>food business operators</w:t>
      </w:r>
      <w:r w:rsidRPr="005B4339">
        <w:rPr>
          <w:rFonts w:eastAsia="Times New Roman"/>
          <w:noProof/>
          <w:color w:val="000000" w:themeColor="text1"/>
          <w:lang w:val="en-IE" w:eastAsia="en-GB"/>
        </w:rPr>
        <w:t xml:space="preserve"> but will </w:t>
      </w:r>
      <w:r w:rsidR="000B5691" w:rsidRPr="005B4339">
        <w:rPr>
          <w:rFonts w:eastAsia="Times New Roman"/>
          <w:noProof/>
          <w:color w:val="000000" w:themeColor="text1"/>
          <w:lang w:val="en-IE" w:eastAsia="en-GB"/>
        </w:rPr>
        <w:t>instead</w:t>
      </w:r>
      <w:r w:rsidRPr="005B4339">
        <w:rPr>
          <w:rFonts w:eastAsia="Times New Roman"/>
          <w:noProof/>
          <w:color w:val="000000" w:themeColor="text1"/>
          <w:lang w:val="en-IE" w:eastAsia="en-GB"/>
        </w:rPr>
        <w:t xml:space="preserve"> put obligations on Member States, there was no specific feedback received from SMEs on the problems and </w:t>
      </w:r>
      <w:r w:rsidR="000B5691" w:rsidRPr="005B4339">
        <w:rPr>
          <w:rFonts w:eastAsia="Times New Roman"/>
          <w:noProof/>
          <w:color w:val="000000" w:themeColor="text1"/>
          <w:lang w:val="en-IE" w:eastAsia="en-GB"/>
        </w:rPr>
        <w:t xml:space="preserve">the </w:t>
      </w:r>
      <w:r w:rsidRPr="005B4339">
        <w:rPr>
          <w:rFonts w:eastAsia="Times New Roman"/>
          <w:noProof/>
          <w:color w:val="000000" w:themeColor="text1"/>
          <w:lang w:val="en-IE" w:eastAsia="en-GB"/>
        </w:rPr>
        <w:t>proposal, but a general call to support SMEs in their actions to reduce food waste.</w:t>
      </w:r>
    </w:p>
    <w:p w14:paraId="0D46E13D" w14:textId="71730AAE" w:rsidR="00533068" w:rsidRPr="005B4339" w:rsidRDefault="00533068" w:rsidP="00C4017C">
      <w:pPr>
        <w:spacing w:before="60"/>
        <w:rPr>
          <w:rFonts w:eastAsia="Times New Roman"/>
          <w:noProof/>
          <w:color w:val="000000" w:themeColor="text1"/>
          <w:lang w:val="en-IE" w:eastAsia="en-GB"/>
        </w:rPr>
      </w:pPr>
      <w:r w:rsidRPr="005B4339">
        <w:rPr>
          <w:rFonts w:eastAsia="Times New Roman"/>
          <w:noProof/>
          <w:color w:val="000000" w:themeColor="text1"/>
          <w:lang w:val="en-IE" w:eastAsia="en-GB"/>
        </w:rPr>
        <w:t xml:space="preserve">The </w:t>
      </w:r>
      <w:r w:rsidRPr="005B4339">
        <w:rPr>
          <w:rFonts w:eastAsia="Times New Roman"/>
          <w:b/>
          <w:noProof/>
          <w:color w:val="000000" w:themeColor="text1"/>
          <w:lang w:val="en-IE" w:eastAsia="en-GB"/>
        </w:rPr>
        <w:t>main challenges perceived by small businesses</w:t>
      </w:r>
      <w:r w:rsidRPr="005B4339">
        <w:rPr>
          <w:rFonts w:eastAsia="Times New Roman"/>
          <w:noProof/>
          <w:color w:val="000000" w:themeColor="text1"/>
          <w:lang w:val="en-IE" w:eastAsia="en-GB"/>
        </w:rPr>
        <w:t xml:space="preserve"> are lack of information as well as staff and resources to integrate food waste prevention practices and introduce measurement tools. SMEs also </w:t>
      </w:r>
      <w:r w:rsidR="00AC734C" w:rsidRPr="005B4339">
        <w:rPr>
          <w:rFonts w:eastAsia="Times New Roman"/>
          <w:noProof/>
          <w:color w:val="000000" w:themeColor="text1"/>
          <w:lang w:val="en-IE" w:eastAsia="en-GB"/>
        </w:rPr>
        <w:t>highlight</w:t>
      </w:r>
      <w:r w:rsidRPr="005B4339">
        <w:rPr>
          <w:rFonts w:eastAsia="Times New Roman"/>
          <w:noProof/>
          <w:color w:val="000000" w:themeColor="text1"/>
          <w:lang w:val="en-IE" w:eastAsia="en-GB"/>
        </w:rPr>
        <w:t xml:space="preserve"> the need for financial support (e.g.</w:t>
      </w:r>
      <w:r w:rsidR="000B5691" w:rsidRPr="005B4339">
        <w:rPr>
          <w:rFonts w:eastAsia="Times New Roman"/>
          <w:noProof/>
          <w:color w:val="000000" w:themeColor="text1"/>
          <w:lang w:val="en-IE" w:eastAsia="en-GB"/>
        </w:rPr>
        <w:t>,</w:t>
      </w:r>
      <w:r w:rsidRPr="005B4339">
        <w:rPr>
          <w:rFonts w:eastAsia="Times New Roman"/>
          <w:noProof/>
          <w:color w:val="000000" w:themeColor="text1"/>
          <w:lang w:val="en-IE" w:eastAsia="en-GB"/>
        </w:rPr>
        <w:t xml:space="preserve"> tax incentives on donation, reduction of waste management fees) as well as for targeted information campaigns and guidelines on how to avoid food waste</w:t>
      </w:r>
      <w:r w:rsidR="00AC734C" w:rsidRPr="005B4339">
        <w:rPr>
          <w:rFonts w:eastAsia="Times New Roman"/>
          <w:noProof/>
          <w:color w:val="000000" w:themeColor="text1"/>
          <w:lang w:val="en-IE" w:eastAsia="en-GB"/>
        </w:rPr>
        <w:t>,</w:t>
      </w:r>
      <w:r w:rsidRPr="005B4339">
        <w:rPr>
          <w:rFonts w:eastAsia="Times New Roman"/>
          <w:noProof/>
          <w:color w:val="000000" w:themeColor="text1"/>
          <w:lang w:val="en-IE" w:eastAsia="en-GB"/>
        </w:rPr>
        <w:t xml:space="preserve"> including how to deal with food surpluses and especially with food donation. (</w:t>
      </w:r>
      <w:r w:rsidR="00AC734C" w:rsidRPr="005B4339">
        <w:rPr>
          <w:rFonts w:eastAsia="Times New Roman"/>
          <w:noProof/>
          <w:color w:val="000000" w:themeColor="text1"/>
          <w:lang w:val="en-IE" w:eastAsia="en-GB"/>
        </w:rPr>
        <w:t xml:space="preserve">As indicated in EU guidelines on food donation, that the </w:t>
      </w:r>
      <w:r w:rsidR="00EC0A4F" w:rsidRPr="005B4339">
        <w:rPr>
          <w:rFonts w:eastAsia="Times New Roman"/>
          <w:noProof/>
          <w:color w:val="000000" w:themeColor="text1"/>
          <w:lang w:val="en-IE" w:eastAsia="en-GB"/>
        </w:rPr>
        <w:t>recovery</w:t>
      </w:r>
      <w:r w:rsidR="00AC734C" w:rsidRPr="005B4339">
        <w:rPr>
          <w:rFonts w:eastAsia="Times New Roman"/>
          <w:noProof/>
          <w:color w:val="000000" w:themeColor="text1"/>
          <w:lang w:val="en-IE" w:eastAsia="en-GB"/>
        </w:rPr>
        <w:t xml:space="preserve"> and</w:t>
      </w:r>
      <w:r w:rsidRPr="005B4339">
        <w:rPr>
          <w:rFonts w:eastAsia="Times New Roman"/>
          <w:noProof/>
          <w:color w:val="000000" w:themeColor="text1"/>
          <w:lang w:val="en-IE" w:eastAsia="en-GB"/>
        </w:rPr>
        <w:t xml:space="preserve"> redistribution of surplus food from the hospitality and food services sectors is more limited due to food safety restrictions, and some Member States provide specific guidance in this regard). Such information campaigns and guidelines should be prepared at national level, to take into account specific national legal, institutional and business environment. </w:t>
      </w:r>
    </w:p>
    <w:p w14:paraId="5311FCBC" w14:textId="77777777" w:rsidR="00533068" w:rsidRPr="005B4339" w:rsidRDefault="00533068" w:rsidP="00533068">
      <w:pPr>
        <w:spacing w:after="120"/>
        <w:rPr>
          <w:b/>
          <w:noProof/>
          <w:color w:val="000000" w:themeColor="text1"/>
          <w:lang w:val="en-IE"/>
        </w:rPr>
      </w:pPr>
      <w:r w:rsidRPr="005B4339">
        <w:rPr>
          <w:b/>
          <w:noProof/>
          <w:color w:val="000000" w:themeColor="text1"/>
          <w:lang w:val="en-IE"/>
        </w:rPr>
        <w:t>Step 3/4: Assessment of the impact on SMEs</w:t>
      </w:r>
    </w:p>
    <w:p w14:paraId="15C2C679" w14:textId="63346AA2" w:rsidR="00533068" w:rsidRPr="005B4339" w:rsidRDefault="00533068" w:rsidP="00533068">
      <w:pPr>
        <w:spacing w:before="60" w:after="60"/>
        <w:rPr>
          <w:rFonts w:eastAsia="Times New Roman"/>
          <w:noProof/>
          <w:color w:val="000000" w:themeColor="text1"/>
          <w:lang w:val="en-IE" w:eastAsia="en-GB"/>
        </w:rPr>
      </w:pPr>
      <w:r w:rsidRPr="005B4339">
        <w:rPr>
          <w:rFonts w:eastAsia="Times New Roman"/>
          <w:noProof/>
          <w:color w:val="000000" w:themeColor="text1"/>
          <w:lang w:val="en-IE" w:eastAsia="en-GB"/>
        </w:rPr>
        <w:t xml:space="preserve">The impact assessment included activities to collect information about the costs and benefits of food waste prevention actions (see step 2).  </w:t>
      </w:r>
    </w:p>
    <w:p w14:paraId="2799AD83" w14:textId="1F87BC6F" w:rsidR="00533068" w:rsidRPr="005B4339" w:rsidRDefault="00533068" w:rsidP="00533068">
      <w:pPr>
        <w:spacing w:before="60" w:after="60"/>
        <w:rPr>
          <w:rFonts w:eastAsia="Times New Roman"/>
          <w:noProof/>
          <w:color w:val="000000" w:themeColor="text1"/>
          <w:lang w:val="en-IE" w:eastAsia="en-GB"/>
        </w:rPr>
      </w:pPr>
      <w:r w:rsidRPr="005B4339">
        <w:rPr>
          <w:rFonts w:eastAsia="Times New Roman"/>
          <w:noProof/>
          <w:color w:val="000000" w:themeColor="text1"/>
          <w:lang w:val="en-IE" w:eastAsia="en-GB"/>
        </w:rPr>
        <w:t xml:space="preserve">The distribution of costs and benefits for each policy option are expected to be similar regardless of business size. Analysing Member States policies so far, it may be expected that the breadth of Member States’ policy response will widen (involving a wider spectrum of </w:t>
      </w:r>
      <w:r w:rsidR="007B2DFD" w:rsidRPr="005B4339">
        <w:rPr>
          <w:rFonts w:eastAsia="Times New Roman"/>
          <w:noProof/>
          <w:color w:val="000000" w:themeColor="text1"/>
          <w:lang w:val="en-IE" w:eastAsia="en-GB"/>
        </w:rPr>
        <w:t>food business operators</w:t>
      </w:r>
      <w:r w:rsidRPr="005B4339">
        <w:rPr>
          <w:rFonts w:eastAsia="Times New Roman"/>
          <w:noProof/>
          <w:color w:val="000000" w:themeColor="text1"/>
          <w:lang w:val="en-IE" w:eastAsia="en-GB"/>
        </w:rPr>
        <w:t xml:space="preserve">) with increasing food waste prevention target levels. However, it is likely that any regulatory obligations / voluntary agreements will be imposed first on large </w:t>
      </w:r>
      <w:r w:rsidR="007B2DFD" w:rsidRPr="005B4339">
        <w:rPr>
          <w:rFonts w:eastAsia="Times New Roman"/>
          <w:noProof/>
          <w:color w:val="000000" w:themeColor="text1"/>
          <w:lang w:val="en-IE" w:eastAsia="en-GB"/>
        </w:rPr>
        <w:t>operators</w:t>
      </w:r>
      <w:r w:rsidRPr="005B4339">
        <w:rPr>
          <w:rFonts w:eastAsia="Times New Roman"/>
          <w:noProof/>
          <w:color w:val="000000" w:themeColor="text1"/>
          <w:lang w:val="en-IE" w:eastAsia="en-GB"/>
        </w:rPr>
        <w:t>, responsible for generating a</w:t>
      </w:r>
      <w:r w:rsidR="007B2DFD" w:rsidRPr="005B4339">
        <w:rPr>
          <w:rFonts w:eastAsia="Times New Roman"/>
          <w:noProof/>
          <w:color w:val="000000" w:themeColor="text1"/>
          <w:lang w:val="en-IE" w:eastAsia="en-GB"/>
        </w:rPr>
        <w:t xml:space="preserve"> </w:t>
      </w:r>
      <w:r w:rsidRPr="005B4339">
        <w:rPr>
          <w:rFonts w:eastAsia="Times New Roman"/>
          <w:noProof/>
          <w:color w:val="000000" w:themeColor="text1"/>
          <w:lang w:val="en-IE" w:eastAsia="en-GB"/>
        </w:rPr>
        <w:t xml:space="preserve">high share of food waste and able to implement food waste prevention in cooperation with both their suppliers and customers. Similarly, measures taken by food business operators to support consumer behavioural change (notably </w:t>
      </w:r>
      <w:r w:rsidR="007B2DFD" w:rsidRPr="005B4339">
        <w:rPr>
          <w:rFonts w:eastAsia="Times New Roman"/>
          <w:noProof/>
          <w:color w:val="000000" w:themeColor="text1"/>
          <w:lang w:val="en-IE" w:eastAsia="en-GB"/>
        </w:rPr>
        <w:t xml:space="preserve">at </w:t>
      </w:r>
      <w:r w:rsidRPr="005B4339">
        <w:rPr>
          <w:rFonts w:eastAsia="Times New Roman"/>
          <w:noProof/>
          <w:color w:val="000000" w:themeColor="text1"/>
          <w:lang w:val="en-IE" w:eastAsia="en-GB"/>
        </w:rPr>
        <w:t xml:space="preserve">retail) are often led by the large players. </w:t>
      </w:r>
    </w:p>
    <w:p w14:paraId="64ADF2BD" w14:textId="11317E8A" w:rsidR="00533068" w:rsidRPr="005B4339" w:rsidRDefault="00533068" w:rsidP="00533068">
      <w:pPr>
        <w:spacing w:before="60" w:after="60"/>
        <w:rPr>
          <w:rFonts w:eastAsia="Times New Roman"/>
          <w:noProof/>
          <w:color w:val="000000" w:themeColor="text1"/>
          <w:lang w:val="en-IE" w:eastAsia="en-GB"/>
        </w:rPr>
      </w:pPr>
      <w:r w:rsidRPr="005B4339">
        <w:rPr>
          <w:rFonts w:eastAsia="Times New Roman"/>
          <w:noProof/>
          <w:color w:val="000000" w:themeColor="text1"/>
          <w:lang w:val="en-IE" w:eastAsia="en-GB"/>
        </w:rPr>
        <w:t>The analysis of impacts is done by modelling food and connected sectors. It is generally assumed that food waste reduction will lead to decreased demand on food which should lead to lower prices and higher availability of food. This in turn can reduce jobs on food production across the economy, which may also be offset by jobs created through the need for new service providers related to food waste prevention (e.g.</w:t>
      </w:r>
      <w:r w:rsidR="00DF34E6" w:rsidRPr="005B4339">
        <w:rPr>
          <w:rFonts w:eastAsia="Times New Roman"/>
          <w:noProof/>
          <w:color w:val="000000" w:themeColor="text1"/>
          <w:lang w:val="en-IE" w:eastAsia="en-GB"/>
        </w:rPr>
        <w:t>,</w:t>
      </w:r>
      <w:r w:rsidRPr="005B4339">
        <w:rPr>
          <w:rFonts w:eastAsia="Times New Roman"/>
          <w:noProof/>
          <w:color w:val="000000" w:themeColor="text1"/>
          <w:lang w:val="en-IE" w:eastAsia="en-GB"/>
        </w:rPr>
        <w:t xml:space="preserve"> repurposing and/or valorisation of food surplus). </w:t>
      </w:r>
    </w:p>
    <w:p w14:paraId="0046293C" w14:textId="4F58FEB6" w:rsidR="00533068" w:rsidRPr="005B4339" w:rsidRDefault="00533068" w:rsidP="00C4017C">
      <w:pPr>
        <w:spacing w:before="60"/>
        <w:rPr>
          <w:rFonts w:eastAsia="Times New Roman"/>
          <w:noProof/>
          <w:color w:val="000000" w:themeColor="text1"/>
          <w:lang w:val="en-IE" w:eastAsia="en-GB"/>
        </w:rPr>
      </w:pPr>
      <w:r w:rsidRPr="005B4339">
        <w:rPr>
          <w:rStyle w:val="normaltextrun"/>
          <w:noProof/>
          <w:color w:val="000000" w:themeColor="text1"/>
          <w:shd w:val="clear" w:color="auto" w:fill="FFFFFF"/>
          <w:lang w:val="en-IE"/>
        </w:rPr>
        <w:t>The results of simulations done with the MAGNET model show that the most negatively affected industries</w:t>
      </w:r>
      <w:r w:rsidRPr="005B4339">
        <w:rPr>
          <w:rStyle w:val="superscript"/>
          <w:noProof/>
          <w:color w:val="000000" w:themeColor="text1"/>
          <w:shd w:val="clear" w:color="auto" w:fill="FFFFFF"/>
          <w:vertAlign w:val="superscript"/>
          <w:lang w:val="en-IE"/>
        </w:rPr>
        <w:t>135</w:t>
      </w:r>
      <w:r w:rsidRPr="005B4339">
        <w:rPr>
          <w:rStyle w:val="normaltextrun"/>
          <w:noProof/>
          <w:color w:val="000000" w:themeColor="text1"/>
          <w:shd w:val="clear" w:color="auto" w:fill="FFFFFF"/>
          <w:lang w:val="en-IE"/>
        </w:rPr>
        <w:t xml:space="preserve"> would be food manufacturing, waste collection and treatment and food services. Still, the expected impact on SMEs’ employment in the above-mentioned industries would be rather small. On the other hand, on average, the remaining industries would experience a small positive impact related to food waste reduction. The cumulative difference would be very small. For instance, even for </w:t>
      </w:r>
      <w:r w:rsidR="00DF34E6" w:rsidRPr="005B4339">
        <w:rPr>
          <w:rStyle w:val="normaltextrun"/>
          <w:noProof/>
          <w:color w:val="000000" w:themeColor="text1"/>
          <w:shd w:val="clear" w:color="auto" w:fill="FFFFFF"/>
          <w:lang w:val="en-IE"/>
        </w:rPr>
        <w:t>the</w:t>
      </w:r>
      <w:r w:rsidRPr="005B4339">
        <w:rPr>
          <w:rStyle w:val="normaltextrun"/>
          <w:noProof/>
          <w:color w:val="000000" w:themeColor="text1"/>
          <w:shd w:val="clear" w:color="auto" w:fill="FFFFFF"/>
          <w:lang w:val="en-IE"/>
        </w:rPr>
        <w:t xml:space="preserve"> highest reduction targets, the cumulative difference in the value of production between the baseline and the policy scenario would be less than 1 percentage point during the 2020-2030 period. </w:t>
      </w:r>
      <w:r w:rsidRPr="005B4339">
        <w:rPr>
          <w:rFonts w:eastAsia="Times New Roman"/>
          <w:noProof/>
          <w:color w:val="000000" w:themeColor="text1"/>
          <w:lang w:val="en-IE" w:eastAsia="en-GB"/>
        </w:rPr>
        <w:t xml:space="preserve">It should be noted that SMEs may be impacted by other related legislation currently in force, which is expected to have an indirect effect on food waste generation. For example, taxes on landfilling may lead to a rise in waste collection costs, which may be perceived as additional cost for SMEs, but such measures are not part of </w:t>
      </w:r>
      <w:r w:rsidR="00DF34E6" w:rsidRPr="005B4339">
        <w:rPr>
          <w:rFonts w:eastAsia="Times New Roman"/>
          <w:noProof/>
          <w:color w:val="000000" w:themeColor="text1"/>
          <w:lang w:val="en-IE" w:eastAsia="en-GB"/>
        </w:rPr>
        <w:t xml:space="preserve">the </w:t>
      </w:r>
      <w:r w:rsidRPr="005B4339">
        <w:rPr>
          <w:rFonts w:eastAsia="Times New Roman"/>
          <w:noProof/>
          <w:color w:val="000000" w:themeColor="text1"/>
          <w:lang w:val="en-IE" w:eastAsia="en-GB"/>
        </w:rPr>
        <w:t>current proposal.</w:t>
      </w:r>
    </w:p>
    <w:p w14:paraId="45BC200B" w14:textId="77777777" w:rsidR="00533068" w:rsidRPr="005B4339" w:rsidRDefault="00533068" w:rsidP="00533068">
      <w:pPr>
        <w:spacing w:after="120"/>
        <w:rPr>
          <w:b/>
          <w:noProof/>
          <w:color w:val="000000" w:themeColor="text1"/>
          <w:lang w:val="en-IE"/>
        </w:rPr>
      </w:pPr>
      <w:r w:rsidRPr="005B4339">
        <w:rPr>
          <w:b/>
          <w:noProof/>
          <w:color w:val="000000" w:themeColor="text1"/>
          <w:lang w:val="en-IE"/>
        </w:rPr>
        <w:t>Step 4/4: Minimising negative impacts on SMEs</w:t>
      </w:r>
    </w:p>
    <w:p w14:paraId="4A718B1F" w14:textId="7167E6CB" w:rsidR="00533068" w:rsidRPr="005B4339" w:rsidRDefault="00533068" w:rsidP="00C4017C">
      <w:pPr>
        <w:spacing w:after="120"/>
        <w:rPr>
          <w:noProof/>
          <w:color w:val="000000" w:themeColor="text1"/>
          <w:lang w:val="en-IE"/>
        </w:rPr>
      </w:pPr>
      <w:r w:rsidRPr="005B4339">
        <w:rPr>
          <w:noProof/>
          <w:color w:val="000000" w:themeColor="text1"/>
          <w:lang w:val="en-IE"/>
        </w:rPr>
        <w:t xml:space="preserve">The experience from leading countries as well as studies conducted demonstrate that </w:t>
      </w:r>
      <w:r w:rsidR="00DF34E6" w:rsidRPr="005B4339">
        <w:rPr>
          <w:noProof/>
          <w:color w:val="000000" w:themeColor="text1"/>
          <w:lang w:val="en-IE"/>
        </w:rPr>
        <w:t>the</w:t>
      </w:r>
      <w:r w:rsidRPr="005B4339">
        <w:rPr>
          <w:noProof/>
          <w:color w:val="000000" w:themeColor="text1"/>
          <w:lang w:val="en-IE"/>
        </w:rPr>
        <w:t xml:space="preserve"> success of food waste prevention initiatives depend on the engagement of key players involved. Both management and staff usually want to help reduce waste but require clear guidance. Therefore, measures implemented by countries so far have focused on the voluntary involvement of SMEs. </w:t>
      </w:r>
      <w:r w:rsidR="00DF34E6" w:rsidRPr="005B4339">
        <w:rPr>
          <w:noProof/>
          <w:color w:val="000000" w:themeColor="text1"/>
          <w:lang w:val="en-IE"/>
        </w:rPr>
        <w:t>Bearing</w:t>
      </w:r>
      <w:r w:rsidRPr="005B4339">
        <w:rPr>
          <w:noProof/>
          <w:color w:val="000000" w:themeColor="text1"/>
          <w:lang w:val="en-IE"/>
        </w:rPr>
        <w:t xml:space="preserve"> that in mind, no dedicated mitigating measures are envisaged in the legislative proposal. </w:t>
      </w:r>
    </w:p>
    <w:p w14:paraId="0691EB88" w14:textId="09097551" w:rsidR="00533068" w:rsidRPr="005B4339" w:rsidRDefault="00533068" w:rsidP="00C4017C">
      <w:pPr>
        <w:spacing w:after="120"/>
        <w:rPr>
          <w:noProof/>
          <w:color w:val="000000" w:themeColor="text1"/>
          <w:lang w:val="en-IE"/>
        </w:rPr>
      </w:pPr>
      <w:r w:rsidRPr="005B4339">
        <w:rPr>
          <w:noProof/>
          <w:color w:val="000000" w:themeColor="text1"/>
          <w:lang w:val="en-IE"/>
        </w:rPr>
        <w:t xml:space="preserve">Financial assistance (in form of grants) is currently offered at EU level, in order to support development and dissemination of best practices in the food chain. The </w:t>
      </w:r>
      <w:hyperlink r:id="rId203" w:history="1">
        <w:r w:rsidRPr="005B4339">
          <w:rPr>
            <w:rStyle w:val="Hyperlink"/>
            <w:noProof/>
            <w:color w:val="000000" w:themeColor="text1"/>
            <w:lang w:val="en-IE"/>
          </w:rPr>
          <w:t>grants</w:t>
        </w:r>
      </w:hyperlink>
      <w:r w:rsidRPr="005B4339">
        <w:rPr>
          <w:noProof/>
          <w:color w:val="000000" w:themeColor="text1"/>
          <w:lang w:val="en-IE"/>
        </w:rPr>
        <w:t xml:space="preserve"> implemented thus far by the Commission, under the Single Market Programme, have targeted SMEs in order to address their specific needs. </w:t>
      </w:r>
    </w:p>
    <w:p w14:paraId="1969292F" w14:textId="100B07B5" w:rsidR="00AA4484" w:rsidRPr="005B4339" w:rsidRDefault="00533068" w:rsidP="00533068">
      <w:pPr>
        <w:spacing w:after="0"/>
        <w:rPr>
          <w:noProof/>
          <w:color w:val="000000" w:themeColor="text1"/>
          <w:lang w:val="en-IE"/>
        </w:rPr>
      </w:pPr>
      <w:r w:rsidRPr="005B4339">
        <w:rPr>
          <w:noProof/>
          <w:color w:val="000000" w:themeColor="text1"/>
          <w:lang w:val="en-IE"/>
        </w:rPr>
        <w:t>The further exchange of knowledge, best practices</w:t>
      </w:r>
      <w:r w:rsidR="00E2160A" w:rsidRPr="005B4339">
        <w:rPr>
          <w:noProof/>
          <w:color w:val="000000" w:themeColor="text1"/>
          <w:lang w:val="en-IE"/>
        </w:rPr>
        <w:t>, tools, guidelines</w:t>
      </w:r>
      <w:r w:rsidRPr="005B4339">
        <w:rPr>
          <w:noProof/>
          <w:color w:val="000000" w:themeColor="text1"/>
          <w:lang w:val="en-IE"/>
        </w:rPr>
        <w:t xml:space="preserve"> and experience will continue via the EU Platform (including its sub-groups) and </w:t>
      </w:r>
      <w:r w:rsidR="00904823" w:rsidRPr="005B4339">
        <w:rPr>
          <w:noProof/>
          <w:color w:val="000000" w:themeColor="text1"/>
          <w:lang w:val="en-IE"/>
        </w:rPr>
        <w:t xml:space="preserve">the </w:t>
      </w:r>
      <w:r w:rsidRPr="005B4339">
        <w:rPr>
          <w:noProof/>
          <w:color w:val="000000" w:themeColor="text1"/>
          <w:lang w:val="en-IE"/>
        </w:rPr>
        <w:t>dedicated website (</w:t>
      </w:r>
      <w:r w:rsidR="00904823" w:rsidRPr="005B4339">
        <w:rPr>
          <w:noProof/>
          <w:color w:val="000000" w:themeColor="text1"/>
          <w:lang w:val="en-IE"/>
        </w:rPr>
        <w:t xml:space="preserve">EU </w:t>
      </w:r>
      <w:r w:rsidRPr="005B4339">
        <w:rPr>
          <w:noProof/>
          <w:color w:val="000000" w:themeColor="text1"/>
          <w:lang w:val="en-IE"/>
        </w:rPr>
        <w:t>Food Loss and Waste Prevention Hub).</w:t>
      </w:r>
      <w:r w:rsidR="00A958E9" w:rsidRPr="005B4339">
        <w:rPr>
          <w:noProof/>
          <w:color w:val="000000" w:themeColor="text1"/>
          <w:lang w:val="en-IE"/>
        </w:rPr>
        <w:t xml:space="preserve"> </w:t>
      </w:r>
      <w:r w:rsidR="00E2160A" w:rsidRPr="005B4339">
        <w:rPr>
          <w:noProof/>
          <w:color w:val="000000" w:themeColor="text1"/>
          <w:lang w:val="en-IE"/>
        </w:rPr>
        <w:t>The support would cover in particular the area</w:t>
      </w:r>
      <w:r w:rsidR="00904823" w:rsidRPr="005B4339">
        <w:rPr>
          <w:noProof/>
          <w:color w:val="000000" w:themeColor="text1"/>
          <w:lang w:val="en-IE"/>
        </w:rPr>
        <w:t>s</w:t>
      </w:r>
      <w:r w:rsidR="00E2160A" w:rsidRPr="005B4339">
        <w:rPr>
          <w:noProof/>
          <w:color w:val="000000" w:themeColor="text1"/>
          <w:lang w:val="en-IE"/>
        </w:rPr>
        <w:t xml:space="preserve"> of measurement (</w:t>
      </w:r>
      <w:r w:rsidR="00904823" w:rsidRPr="005B4339">
        <w:rPr>
          <w:noProof/>
          <w:color w:val="000000" w:themeColor="text1"/>
          <w:lang w:val="en-IE"/>
        </w:rPr>
        <w:t>e.g.</w:t>
      </w:r>
      <w:r w:rsidR="00D746AD" w:rsidRPr="005B4339">
        <w:rPr>
          <w:noProof/>
          <w:color w:val="000000" w:themeColor="text1"/>
          <w:lang w:val="en-IE"/>
        </w:rPr>
        <w:t>,</w:t>
      </w:r>
      <w:r w:rsidR="00904823" w:rsidRPr="005B4339">
        <w:rPr>
          <w:noProof/>
          <w:color w:val="000000" w:themeColor="text1"/>
          <w:lang w:val="en-IE"/>
        </w:rPr>
        <w:t xml:space="preserve"> </w:t>
      </w:r>
      <w:r w:rsidR="00E2160A" w:rsidRPr="005B4339">
        <w:rPr>
          <w:noProof/>
          <w:color w:val="000000" w:themeColor="text1"/>
          <w:lang w:val="en-IE"/>
        </w:rPr>
        <w:t>how to make it cost-effective)</w:t>
      </w:r>
      <w:r w:rsidR="00CA7EF0" w:rsidRPr="005B4339">
        <w:rPr>
          <w:noProof/>
          <w:color w:val="000000" w:themeColor="text1"/>
          <w:lang w:val="en-IE"/>
        </w:rPr>
        <w:t xml:space="preserve">, </w:t>
      </w:r>
      <w:r w:rsidR="005D7A9D" w:rsidRPr="005B4339">
        <w:rPr>
          <w:noProof/>
          <w:color w:val="000000" w:themeColor="text1"/>
          <w:lang w:val="en-IE"/>
        </w:rPr>
        <w:t>food services (meeting consumer needs</w:t>
      </w:r>
      <w:r w:rsidR="000E1EA6" w:rsidRPr="005B4339">
        <w:rPr>
          <w:noProof/>
          <w:color w:val="000000" w:themeColor="text1"/>
          <w:lang w:val="en-IE"/>
        </w:rPr>
        <w:t>)</w:t>
      </w:r>
      <w:r w:rsidR="00FE6CB6" w:rsidRPr="005B4339">
        <w:rPr>
          <w:noProof/>
          <w:color w:val="000000" w:themeColor="text1"/>
          <w:lang w:val="en-IE"/>
        </w:rPr>
        <w:t xml:space="preserve">, </w:t>
      </w:r>
      <w:r w:rsidR="008102BF" w:rsidRPr="005B4339">
        <w:rPr>
          <w:noProof/>
          <w:color w:val="000000" w:themeColor="text1"/>
          <w:lang w:val="en-IE"/>
        </w:rPr>
        <w:t>prevention of food waste at consumption (and its implication for SMEs)</w:t>
      </w:r>
      <w:r w:rsidR="00817B7F" w:rsidRPr="005B4339">
        <w:rPr>
          <w:noProof/>
          <w:color w:val="000000" w:themeColor="text1"/>
          <w:lang w:val="en-IE"/>
        </w:rPr>
        <w:t>, case-studies</w:t>
      </w:r>
      <w:r w:rsidR="000F56DE" w:rsidRPr="005B4339">
        <w:rPr>
          <w:noProof/>
          <w:color w:val="000000" w:themeColor="text1"/>
          <w:lang w:val="en-IE"/>
        </w:rPr>
        <w:t xml:space="preserve"> (including cost-benefits).</w:t>
      </w:r>
      <w:r w:rsidR="005B48B1" w:rsidRPr="005B4339">
        <w:rPr>
          <w:noProof/>
          <w:color w:val="000000" w:themeColor="text1"/>
          <w:lang w:val="en-IE"/>
        </w:rPr>
        <w:t xml:space="preserve"> The</w:t>
      </w:r>
      <w:r w:rsidR="003B6585" w:rsidRPr="005B4339">
        <w:rPr>
          <w:noProof/>
          <w:color w:val="000000" w:themeColor="text1"/>
          <w:lang w:val="en-IE"/>
        </w:rPr>
        <w:t>se could also lead to specific recommendation</w:t>
      </w:r>
      <w:r w:rsidR="00264660" w:rsidRPr="005B4339">
        <w:rPr>
          <w:noProof/>
          <w:color w:val="000000" w:themeColor="text1"/>
          <w:lang w:val="en-IE"/>
        </w:rPr>
        <w:t>s</w:t>
      </w:r>
      <w:r w:rsidR="003B6585" w:rsidRPr="005B4339">
        <w:rPr>
          <w:noProof/>
          <w:color w:val="000000" w:themeColor="text1"/>
          <w:lang w:val="en-IE"/>
        </w:rPr>
        <w:t xml:space="preserve"> from the Platform to</w:t>
      </w:r>
      <w:r w:rsidR="00BF7D27" w:rsidRPr="005B4339">
        <w:rPr>
          <w:noProof/>
          <w:color w:val="000000" w:themeColor="text1"/>
          <w:lang w:val="en-IE"/>
        </w:rPr>
        <w:t xml:space="preserve">wards Member States on how potential impact </w:t>
      </w:r>
      <w:r w:rsidR="00EB0558" w:rsidRPr="005B4339">
        <w:rPr>
          <w:noProof/>
          <w:color w:val="000000" w:themeColor="text1"/>
          <w:lang w:val="en-IE"/>
        </w:rPr>
        <w:t xml:space="preserve">of food waste reduction targets </w:t>
      </w:r>
      <w:r w:rsidR="00BF7D27" w:rsidRPr="005B4339">
        <w:rPr>
          <w:noProof/>
          <w:color w:val="000000" w:themeColor="text1"/>
          <w:lang w:val="en-IE"/>
        </w:rPr>
        <w:t>on SMEs could be mitigated.</w:t>
      </w:r>
      <w:r w:rsidR="00264660" w:rsidRPr="005B4339">
        <w:rPr>
          <w:noProof/>
          <w:color w:val="000000" w:themeColor="text1"/>
          <w:lang w:val="en-IE"/>
        </w:rPr>
        <w:t xml:space="preserve"> </w:t>
      </w:r>
    </w:p>
    <w:p w14:paraId="4AF9C894" w14:textId="77777777" w:rsidR="00AA4484" w:rsidRPr="005B4339" w:rsidRDefault="00AA4484">
      <w:pPr>
        <w:spacing w:after="200" w:line="276" w:lineRule="auto"/>
        <w:jc w:val="left"/>
        <w:rPr>
          <w:noProof/>
          <w:color w:val="000000" w:themeColor="text1"/>
          <w:lang w:val="en-IE"/>
        </w:rPr>
      </w:pPr>
      <w:r w:rsidRPr="005B4339">
        <w:rPr>
          <w:noProof/>
          <w:color w:val="000000" w:themeColor="text1"/>
          <w:lang w:val="en-IE"/>
        </w:rPr>
        <w:br w:type="page"/>
      </w:r>
    </w:p>
    <w:p w14:paraId="5AE5A8A5" w14:textId="2491B594" w:rsidR="00AA4484" w:rsidRPr="005B4339" w:rsidRDefault="00AA4484" w:rsidP="004A0ACC">
      <w:pPr>
        <w:pStyle w:val="AnnexTitle"/>
        <w:rPr>
          <w:noProof/>
          <w:lang w:val="en-IE"/>
        </w:rPr>
      </w:pPr>
      <w:bookmarkStart w:id="1074" w:name="_Toc139032150"/>
      <w:r w:rsidRPr="005B4339">
        <w:rPr>
          <w:noProof/>
          <w:lang w:val="en-IE"/>
        </w:rPr>
        <w:t>Annex 16: Related stakeholder and citizens’ engagement</w:t>
      </w:r>
      <w:bookmarkEnd w:id="1074"/>
      <w:r w:rsidRPr="005B4339">
        <w:rPr>
          <w:noProof/>
          <w:lang w:val="en-IE"/>
        </w:rPr>
        <w:t xml:space="preserve"> </w:t>
      </w:r>
    </w:p>
    <w:p w14:paraId="3783A55F" w14:textId="04EFAAA3" w:rsidR="00AA4484" w:rsidRPr="005B4339" w:rsidRDefault="00AA4484" w:rsidP="00AA4484">
      <w:pPr>
        <w:spacing w:after="120"/>
        <w:rPr>
          <w:noProof/>
          <w:lang w:val="en-IE"/>
        </w:rPr>
      </w:pPr>
      <w:r w:rsidRPr="005B4339">
        <w:rPr>
          <w:noProof/>
          <w:lang w:val="en-IE"/>
        </w:rPr>
        <w:t xml:space="preserve">The </w:t>
      </w:r>
      <w:r w:rsidRPr="005B4339">
        <w:rPr>
          <w:b/>
          <w:noProof/>
          <w:lang w:val="en-IE"/>
        </w:rPr>
        <w:t xml:space="preserve">Conference on the </w:t>
      </w:r>
      <w:r w:rsidR="00E861BD" w:rsidRPr="005B4339">
        <w:rPr>
          <w:b/>
          <w:noProof/>
          <w:lang w:val="en-IE"/>
        </w:rPr>
        <w:t>F</w:t>
      </w:r>
      <w:r w:rsidRPr="005B4339">
        <w:rPr>
          <w:b/>
          <w:noProof/>
          <w:lang w:val="en-IE"/>
        </w:rPr>
        <w:t>uture of Europe</w:t>
      </w:r>
      <w:r w:rsidRPr="005B4339">
        <w:rPr>
          <w:noProof/>
          <w:lang w:val="en-IE"/>
        </w:rPr>
        <w:t xml:space="preserve"> took place in April and May 2022. It enabled people to share their ideas on what they expect from the European Union and led to a final report consisting of 49 proposals. As regards food waste, proposal no.1 related to agriculture, food production, biodiversity and ecosystems, pollution includes following a measur</w:t>
      </w:r>
      <w:r w:rsidRPr="005B4339">
        <w:rPr>
          <w:rFonts w:eastAsia="Times New Roman"/>
          <w:noProof/>
          <w:lang w:val="en-IE"/>
        </w:rPr>
        <w:t>e to ‘a</w:t>
      </w:r>
      <w:r w:rsidRPr="005B4339">
        <w:rPr>
          <w:noProof/>
          <w:lang w:val="en-IE"/>
        </w:rPr>
        <w:t>pply</w:t>
      </w:r>
      <w:r w:rsidRPr="005B4339">
        <w:rPr>
          <w:rFonts w:eastAsia="Times New Roman"/>
          <w:noProof/>
          <w:lang w:val="en-IE"/>
        </w:rPr>
        <w:t xml:space="preserve">: </w:t>
      </w:r>
      <w:r w:rsidRPr="005B4339">
        <w:rPr>
          <w:noProof/>
          <w:lang w:val="en-IE"/>
        </w:rPr>
        <w:t>Apply circular economy principles in agriculture and promote measures against food waste’.</w:t>
      </w:r>
    </w:p>
    <w:p w14:paraId="506C08C6" w14:textId="77777777" w:rsidR="00AA4484" w:rsidRPr="005B4339" w:rsidRDefault="00AA4484" w:rsidP="00AA4484">
      <w:pPr>
        <w:spacing w:after="120"/>
        <w:rPr>
          <w:noProof/>
          <w:lang w:val="en-IE"/>
        </w:rPr>
      </w:pPr>
      <w:r w:rsidRPr="005B4339">
        <w:rPr>
          <w:noProof/>
          <w:lang w:val="en-IE"/>
        </w:rPr>
        <w:t>Topic “climate change, environment”, proposal no. 5 concerns sustainable consumption, packaging and production. The main objective of this proposal is to build a circular economy by promoting sustainable EU products and production and more circular, autonomous and less dependent materials within the EU. For this reason, the said proposal includes, among others, the following measures:</w:t>
      </w:r>
    </w:p>
    <w:p w14:paraId="5B9976E9" w14:textId="77777777" w:rsidR="00AA4484" w:rsidRPr="005B4339" w:rsidRDefault="00AA4484" w:rsidP="00AA4484">
      <w:pPr>
        <w:pStyle w:val="ListParagraph"/>
        <w:numPr>
          <w:ilvl w:val="0"/>
          <w:numId w:val="114"/>
        </w:numPr>
        <w:spacing w:after="160"/>
        <w:rPr>
          <w:noProof/>
          <w:lang w:val="en-IE"/>
        </w:rPr>
      </w:pPr>
      <w:r w:rsidRPr="005B4339">
        <w:rPr>
          <w:noProof/>
          <w:lang w:val="en-IE"/>
        </w:rPr>
        <w:t>Stricter and harmonised production standards within the EU and a transparent labelling system for all products sold on the EU market regarding their sustainability/environmental footprint, as well as longevity, using a QR-code and eco-score, or the Digital Product Passport.</w:t>
      </w:r>
    </w:p>
    <w:p w14:paraId="2973A076" w14:textId="77777777" w:rsidR="00AA4484" w:rsidRPr="005B4339" w:rsidRDefault="00AA4484" w:rsidP="00AA4484">
      <w:pPr>
        <w:pStyle w:val="ListParagraph"/>
        <w:numPr>
          <w:ilvl w:val="0"/>
          <w:numId w:val="114"/>
        </w:numPr>
        <w:spacing w:after="160"/>
        <w:rPr>
          <w:noProof/>
          <w:lang w:val="en-IE"/>
        </w:rPr>
      </w:pPr>
      <w:r w:rsidRPr="005B4339">
        <w:rPr>
          <w:noProof/>
          <w:lang w:val="en-IE"/>
        </w:rPr>
        <w:t>Further avoid waste by setting prevention and reuse targets and setting quality standards for waste sorting systems.</w:t>
      </w:r>
    </w:p>
    <w:p w14:paraId="53DFA436" w14:textId="77777777" w:rsidR="00AA4484" w:rsidRPr="005B4339" w:rsidRDefault="00AA4484" w:rsidP="00AA4484">
      <w:pPr>
        <w:pStyle w:val="ListParagraph"/>
        <w:numPr>
          <w:ilvl w:val="0"/>
          <w:numId w:val="114"/>
        </w:numPr>
        <w:spacing w:after="160"/>
        <w:rPr>
          <w:noProof/>
          <w:lang w:val="en-IE"/>
        </w:rPr>
      </w:pPr>
      <w:r w:rsidRPr="005B4339">
        <w:rPr>
          <w:noProof/>
          <w:lang w:val="en-IE"/>
        </w:rPr>
        <w:t>Launch an EU knowledge platform on how to ensure long-term and sustainable use and how to “repair” products, including the available information from consumer associations.</w:t>
      </w:r>
    </w:p>
    <w:p w14:paraId="45AB812F" w14:textId="77777777" w:rsidR="00AA4484" w:rsidRPr="005B4339" w:rsidRDefault="00AA4484" w:rsidP="00AA4484">
      <w:pPr>
        <w:pStyle w:val="ListParagraph"/>
        <w:numPr>
          <w:ilvl w:val="0"/>
          <w:numId w:val="114"/>
        </w:numPr>
        <w:spacing w:after="160"/>
        <w:rPr>
          <w:noProof/>
          <w:lang w:val="en-IE"/>
        </w:rPr>
      </w:pPr>
      <w:r w:rsidRPr="005B4339">
        <w:rPr>
          <w:noProof/>
          <w:lang w:val="en-IE"/>
        </w:rPr>
        <w:t>Introduce measures to tackle early, or premature (including planned) obsolescence, ensure longer warranties, promote a right to repair, and ensure availability and accessibility of compatible spare parts.</w:t>
      </w:r>
    </w:p>
    <w:p w14:paraId="5F87D28C" w14:textId="77777777" w:rsidR="00AA4484" w:rsidRPr="005B4339" w:rsidRDefault="00AA4484" w:rsidP="00AA4484">
      <w:pPr>
        <w:pStyle w:val="ListParagraph"/>
        <w:numPr>
          <w:ilvl w:val="0"/>
          <w:numId w:val="114"/>
        </w:numPr>
        <w:spacing w:after="160"/>
        <w:rPr>
          <w:noProof/>
          <w:lang w:val="en-IE"/>
        </w:rPr>
      </w:pPr>
      <w:r w:rsidRPr="005B4339">
        <w:rPr>
          <w:noProof/>
          <w:lang w:val="en-IE"/>
        </w:rPr>
        <w:t>Establish a secondary raw materials market, also by considering requirements for percentages of recycled content and encouraging less use of primary materials.</w:t>
      </w:r>
    </w:p>
    <w:p w14:paraId="78A522F7" w14:textId="77777777" w:rsidR="00AA4484" w:rsidRPr="005B4339" w:rsidRDefault="00AA4484" w:rsidP="00AA4484">
      <w:pPr>
        <w:pStyle w:val="ListParagraph"/>
        <w:numPr>
          <w:ilvl w:val="0"/>
          <w:numId w:val="114"/>
        </w:numPr>
        <w:spacing w:after="160"/>
        <w:rPr>
          <w:noProof/>
          <w:lang w:val="en-IE"/>
        </w:rPr>
      </w:pPr>
      <w:r w:rsidRPr="005B4339">
        <w:rPr>
          <w:noProof/>
          <w:lang w:val="en-IE"/>
        </w:rPr>
        <w:t>Rapid implementation of an ambitious sustainable textile strategy and setting up a mechanism ensuring consumers can be aware the product meets sustainable criteria.</w:t>
      </w:r>
    </w:p>
    <w:p w14:paraId="723B6353" w14:textId="77777777" w:rsidR="00AA4484" w:rsidRPr="005B4339" w:rsidRDefault="00AA4484" w:rsidP="00AA4484">
      <w:pPr>
        <w:pStyle w:val="ListParagraph"/>
        <w:numPr>
          <w:ilvl w:val="0"/>
          <w:numId w:val="114"/>
        </w:numPr>
        <w:spacing w:after="160"/>
        <w:rPr>
          <w:noProof/>
          <w:lang w:val="en-IE"/>
        </w:rPr>
      </w:pPr>
      <w:r w:rsidRPr="005B4339">
        <w:rPr>
          <w:noProof/>
          <w:lang w:val="en-IE"/>
        </w:rPr>
        <w:t>Take EU actions that enable and incentivize consumers to use products longer.</w:t>
      </w:r>
    </w:p>
    <w:p w14:paraId="6B5E6242" w14:textId="77777777" w:rsidR="00AA4484" w:rsidRPr="005B4339" w:rsidRDefault="00AA4484" w:rsidP="00AA4484">
      <w:pPr>
        <w:pStyle w:val="ListParagraph"/>
        <w:numPr>
          <w:ilvl w:val="0"/>
          <w:numId w:val="114"/>
        </w:numPr>
        <w:spacing w:after="120"/>
        <w:rPr>
          <w:noProof/>
          <w:lang w:val="en-IE"/>
        </w:rPr>
      </w:pPr>
      <w:r w:rsidRPr="005B4339">
        <w:rPr>
          <w:noProof/>
          <w:lang w:val="en-IE"/>
        </w:rPr>
        <w:t xml:space="preserve">Stricter manufacturing standards and fair working conditions throughout the production and entire value chain. </w:t>
      </w:r>
    </w:p>
    <w:p w14:paraId="5A9803CF" w14:textId="26478A41" w:rsidR="00335250" w:rsidRPr="005B4339" w:rsidRDefault="00AA4484" w:rsidP="00A8561A">
      <w:pPr>
        <w:spacing w:after="120"/>
        <w:rPr>
          <w:noProof/>
          <w:lang w:val="en-IE"/>
        </w:rPr>
      </w:pPr>
      <w:r w:rsidRPr="005B4339" w:rsidDel="00F4719F">
        <w:rPr>
          <w:noProof/>
          <w:lang w:val="en-IE"/>
        </w:rPr>
        <w:t xml:space="preserve">As a follow-up to the Conference on the future of Europe, the Commission announced </w:t>
      </w:r>
      <w:r w:rsidRPr="005B4339" w:rsidDel="00F4719F">
        <w:rPr>
          <w:b/>
          <w:noProof/>
          <w:lang w:val="en-IE"/>
        </w:rPr>
        <w:t>a “new generation” of citizens’ panels</w:t>
      </w:r>
      <w:r w:rsidRPr="005B4339" w:rsidDel="00F4719F">
        <w:rPr>
          <w:noProof/>
          <w:lang w:val="en-IE"/>
        </w:rPr>
        <w:t xml:space="preserve"> to consult randomly selected citizens </w:t>
      </w:r>
      <w:r w:rsidRPr="005B4339">
        <w:rPr>
          <w:noProof/>
          <w:lang w:val="en-IE"/>
        </w:rPr>
        <w:t>before</w:t>
      </w:r>
      <w:r w:rsidRPr="005B4339" w:rsidDel="00F4719F">
        <w:rPr>
          <w:noProof/>
          <w:lang w:val="en-IE"/>
        </w:rPr>
        <w:t xml:space="preserve"> certain key proposals at the European level. Food waste was selected amongst the three first topics (along with virtual worlds and learning mobility) to be addressed by citizens, with the panel convened for three sessions held from December 2022 to February 2023. Although the Citizens’ panel was not part of the consultation activities organised for the purpose of this Impact Assessment, </w:t>
      </w:r>
      <w:r w:rsidRPr="005B4339">
        <w:rPr>
          <w:noProof/>
          <w:lang w:val="en-IE"/>
        </w:rPr>
        <w:t>citizens’ recommendations</w:t>
      </w:r>
      <w:r w:rsidRPr="005B4339">
        <w:rPr>
          <w:rStyle w:val="FootnoteReference"/>
          <w:noProof/>
          <w:lang w:val="en-IE"/>
        </w:rPr>
        <w:footnoteReference w:id="177"/>
      </w:r>
      <w:r w:rsidRPr="005B4339">
        <w:rPr>
          <w:noProof/>
          <w:lang w:val="en-IE"/>
        </w:rPr>
        <w:t xml:space="preserve"> will support the Commission's work related to food waste prevention and have been considered in the preparation of the legislative proposal setting EU-wide food waste reduction targets. Importantly, citizens’ recommendations will serve as a guide to help Member States in achieving the EU food waste reduction targets.</w:t>
      </w:r>
      <w:r w:rsidR="00335250" w:rsidRPr="005B4339">
        <w:rPr>
          <w:noProof/>
          <w:lang w:val="en-IE"/>
        </w:rPr>
        <w:br w:type="page"/>
      </w:r>
    </w:p>
    <w:p w14:paraId="5B2FE8AA" w14:textId="354F583C" w:rsidR="00AA4484" w:rsidRPr="005B4339" w:rsidRDefault="009967AE" w:rsidP="009967AE">
      <w:pPr>
        <w:pStyle w:val="Heading2"/>
        <w:rPr>
          <w:noProof/>
          <w:lang w:val="en-IE"/>
        </w:rPr>
      </w:pPr>
      <w:bookmarkStart w:id="1075" w:name="_Toc136960697"/>
      <w:bookmarkStart w:id="1076" w:name="_Toc136961080"/>
      <w:bookmarkStart w:id="1077" w:name="_Toc137039379"/>
      <w:bookmarkStart w:id="1078" w:name="_Toc137039829"/>
      <w:bookmarkStart w:id="1079" w:name="_Toc139032151"/>
      <w:bookmarkEnd w:id="1075"/>
      <w:bookmarkEnd w:id="1076"/>
      <w:bookmarkEnd w:id="1077"/>
      <w:bookmarkEnd w:id="1078"/>
      <w:r w:rsidRPr="009967AE">
        <w:t>1-</w:t>
      </w:r>
      <w:r w:rsidRPr="009967AE">
        <w:tab/>
      </w:r>
      <w:r w:rsidR="00AA4484" w:rsidRPr="005B4339">
        <w:rPr>
          <w:noProof/>
        </w:rPr>
        <w:t>C</w:t>
      </w:r>
      <w:r w:rsidR="00043CD1" w:rsidRPr="005B4339">
        <w:rPr>
          <w:noProof/>
        </w:rPr>
        <w:t xml:space="preserve">itizens’ Report </w:t>
      </w:r>
      <w:r w:rsidR="00AA4484" w:rsidRPr="005B4339">
        <w:rPr>
          <w:noProof/>
        </w:rPr>
        <w:t xml:space="preserve"> from the European Commission’s citizens’ panel on food waste</w:t>
      </w:r>
      <w:bookmarkEnd w:id="1079"/>
    </w:p>
    <w:p w14:paraId="57FD98F9" w14:textId="77777777" w:rsidR="00AA4484" w:rsidRPr="005B4339" w:rsidRDefault="00AA4484" w:rsidP="00AA4484">
      <w:pPr>
        <w:spacing w:line="276" w:lineRule="auto"/>
        <w:rPr>
          <w:rFonts w:eastAsia="Times New Roman"/>
          <w:noProof/>
          <w:lang w:val="en-AU"/>
        </w:rPr>
      </w:pPr>
      <w:r w:rsidRPr="005B4339">
        <w:rPr>
          <w:rFonts w:eastAsia="Calibri"/>
          <w:noProof/>
          <w:lang w:val="en-AU"/>
        </w:rPr>
        <w:t xml:space="preserve">Following up on the final recommendations of the Conference on the Future of Europe, in its Communication “Putting Vision into Concrete Action” (of 17 June 2022), the Commission committed to enabling citizens’ panels to deliberate and make recommendations ahead of certain key proposals. </w:t>
      </w:r>
    </w:p>
    <w:p w14:paraId="36E272C8" w14:textId="77777777" w:rsidR="00AA4484" w:rsidRPr="005B4339" w:rsidRDefault="00AA4484" w:rsidP="00AA4484">
      <w:pPr>
        <w:spacing w:line="276" w:lineRule="auto"/>
        <w:rPr>
          <w:rFonts w:eastAsia="Calibri"/>
          <w:noProof/>
        </w:rPr>
      </w:pPr>
      <w:r w:rsidRPr="005B4339">
        <w:rPr>
          <w:rFonts w:eastAsia="Calibri"/>
          <w:noProof/>
          <w:lang w:val="en-AU"/>
        </w:rPr>
        <w:t xml:space="preserve">The first of this </w:t>
      </w:r>
      <w:r w:rsidRPr="005B4339">
        <w:rPr>
          <w:rFonts w:eastAsia="Calibri"/>
          <w:b/>
          <w:bCs/>
          <w:noProof/>
          <w:lang w:val="en-AU"/>
        </w:rPr>
        <w:t>new generation of citizens’ panels</w:t>
      </w:r>
      <w:r w:rsidRPr="005B4339">
        <w:rPr>
          <w:rFonts w:eastAsia="Calibri"/>
          <w:noProof/>
        </w:rPr>
        <w:t xml:space="preserve"> was organised by the Directorate-General for Health and Food Safety and the Directorate-General for Communication between 16 December 2022 and 12 February 2023 on </w:t>
      </w:r>
      <w:r w:rsidRPr="005B4339">
        <w:rPr>
          <w:rFonts w:eastAsia="Calibri"/>
          <w:b/>
          <w:bCs/>
          <w:noProof/>
        </w:rPr>
        <w:t>reducing food waste</w:t>
      </w:r>
      <w:r w:rsidRPr="005B4339">
        <w:rPr>
          <w:rFonts w:eastAsia="Calibri"/>
          <w:noProof/>
        </w:rPr>
        <w:t xml:space="preserve">. The panel was convened against the background of preparatory work for the proposed </w:t>
      </w:r>
      <w:r w:rsidRPr="005B4339">
        <w:rPr>
          <w:rFonts w:eastAsia="Calibri"/>
          <w:i/>
          <w:iCs/>
          <w:noProof/>
        </w:rPr>
        <w:t>revision of the Waste Framework Directive (WFD)</w:t>
      </w:r>
      <w:r w:rsidRPr="005B4339">
        <w:rPr>
          <w:rStyle w:val="FootnoteReference"/>
          <w:rFonts w:eastAsia="Calibri"/>
          <w:i/>
          <w:iCs/>
          <w:noProof/>
        </w:rPr>
        <w:footnoteReference w:id="178"/>
      </w:r>
      <w:r w:rsidRPr="005B4339">
        <w:rPr>
          <w:rFonts w:eastAsia="Calibri"/>
          <w:noProof/>
        </w:rPr>
        <w:t xml:space="preserve"> for which the Commission considered the feasibility of setting legally binding food waste reduction targets to be met by Member States by 2030.</w:t>
      </w:r>
    </w:p>
    <w:p w14:paraId="285A32D5" w14:textId="77777777" w:rsidR="00AA4484" w:rsidRPr="005B4339" w:rsidRDefault="00AA4484" w:rsidP="00AA4484">
      <w:pPr>
        <w:pStyle w:val="ListParagraph"/>
        <w:numPr>
          <w:ilvl w:val="0"/>
          <w:numId w:val="204"/>
        </w:numPr>
        <w:spacing w:after="160" w:line="276" w:lineRule="auto"/>
        <w:rPr>
          <w:rFonts w:eastAsia="Calibri"/>
          <w:b/>
          <w:bCs/>
          <w:noProof/>
        </w:rPr>
      </w:pPr>
      <w:r w:rsidRPr="005B4339">
        <w:rPr>
          <w:rFonts w:eastAsia="Calibri"/>
          <w:b/>
          <w:bCs/>
          <w:noProof/>
        </w:rPr>
        <w:t>The Panel</w:t>
      </w:r>
    </w:p>
    <w:p w14:paraId="275CD67E" w14:textId="77777777" w:rsidR="00AA4484" w:rsidRPr="005B4339" w:rsidRDefault="00AA4484" w:rsidP="00AA4484">
      <w:pPr>
        <w:rPr>
          <w:rFonts w:eastAsia="Times New Roman"/>
          <w:b/>
          <w:bCs/>
          <w:noProof/>
          <w:sz w:val="20"/>
          <w:szCs w:val="20"/>
          <w:lang w:val="en-IE" w:eastAsia="fr-BE"/>
        </w:rPr>
      </w:pPr>
      <w:r w:rsidRPr="005B4339">
        <w:rPr>
          <w:rFonts w:eastAsia="Calibri"/>
          <w:noProof/>
          <w:lang w:val="en-AU"/>
        </w:rPr>
        <w:t xml:space="preserve">The panel was </w:t>
      </w:r>
      <w:r w:rsidRPr="005B4339">
        <w:rPr>
          <w:rFonts w:eastAsia="Calibri"/>
          <w:b/>
          <w:bCs/>
          <w:noProof/>
          <w:lang w:val="en-AU"/>
        </w:rPr>
        <w:t>composed</w:t>
      </w:r>
      <w:r w:rsidRPr="005B4339">
        <w:rPr>
          <w:rFonts w:eastAsia="Calibri"/>
          <w:noProof/>
          <w:lang w:val="en-AU"/>
        </w:rPr>
        <w:t xml:space="preserve"> of 147 randomly selected citizens reflecting the EU’s diversity in terms of age, gender, socio-economic background, education and geography (nationality and urban/rural residency). Citizens met for three weekends to formulate recommendations on how to step up action to reduce food waste in the EU.</w:t>
      </w:r>
    </w:p>
    <w:p w14:paraId="2F9D73B2" w14:textId="77777777" w:rsidR="00AA4484" w:rsidRPr="005B4339" w:rsidRDefault="00AA4484" w:rsidP="00AA4484">
      <w:pPr>
        <w:rPr>
          <w:noProof/>
        </w:rPr>
      </w:pPr>
      <w:r w:rsidRPr="005B4339">
        <w:rPr>
          <w:noProof/>
        </w:rPr>
        <w:t xml:space="preserve">They were </w:t>
      </w:r>
      <w:r w:rsidRPr="005B4339">
        <w:rPr>
          <w:b/>
          <w:bCs/>
          <w:noProof/>
        </w:rPr>
        <w:t>aided</w:t>
      </w:r>
      <w:r w:rsidRPr="005B4339">
        <w:rPr>
          <w:noProof/>
        </w:rPr>
        <w:t xml:space="preserve"> by professional moderators and facilitators, Commission experts and a Knowledge Committee including external experts.</w:t>
      </w:r>
    </w:p>
    <w:p w14:paraId="466C37EC" w14:textId="77777777" w:rsidR="00AA4484" w:rsidRPr="005B4339" w:rsidRDefault="00AA4484" w:rsidP="00AA4484">
      <w:pPr>
        <w:rPr>
          <w:noProof/>
        </w:rPr>
      </w:pPr>
      <w:r w:rsidRPr="005B4339">
        <w:rPr>
          <w:noProof/>
        </w:rPr>
        <w:t>The panel’s deliberations focussed on the overall aim of the proposal – to accelerate food waste reduction in the EU – and the future implementation of such EU legislation. The citizens</w:t>
      </w:r>
      <w:r w:rsidRPr="005B4339">
        <w:rPr>
          <w:noProof/>
          <w:lang w:val="en-IE"/>
        </w:rPr>
        <w:t>’ p</w:t>
      </w:r>
      <w:r w:rsidRPr="005B4339">
        <w:rPr>
          <w:noProof/>
        </w:rPr>
        <w:t>anel aimed to sound the views of citizens on actions to be taken by Member States, actors in the food supply chain, citizens and other private and public stakeholders, in order to step up efforts to reduce food waste and achieve future targets.</w:t>
      </w:r>
    </w:p>
    <w:p w14:paraId="40AA44C8" w14:textId="77777777" w:rsidR="00AA4484" w:rsidRPr="005B4339" w:rsidRDefault="00AA4484" w:rsidP="00AA4484">
      <w:pPr>
        <w:pStyle w:val="ListParagraph"/>
        <w:numPr>
          <w:ilvl w:val="0"/>
          <w:numId w:val="204"/>
        </w:numPr>
        <w:spacing w:after="160" w:line="276" w:lineRule="auto"/>
        <w:rPr>
          <w:rFonts w:eastAsia="Calibri"/>
          <w:b/>
          <w:bCs/>
          <w:noProof/>
        </w:rPr>
      </w:pPr>
      <w:r w:rsidRPr="005B4339">
        <w:rPr>
          <w:rFonts w:eastAsia="Calibri"/>
          <w:b/>
          <w:bCs/>
          <w:noProof/>
        </w:rPr>
        <w:t>The Recommendations</w:t>
      </w:r>
    </w:p>
    <w:p w14:paraId="5F1D83A5" w14:textId="77777777" w:rsidR="00AA4484" w:rsidRPr="005B4339" w:rsidRDefault="00AA4484" w:rsidP="00AA4484">
      <w:pPr>
        <w:rPr>
          <w:noProof/>
        </w:rPr>
      </w:pPr>
      <w:r w:rsidRPr="005B4339">
        <w:rPr>
          <w:noProof/>
          <w:lang w:val="en-IE"/>
        </w:rPr>
        <w:t xml:space="preserve">In their work to develop the recommendations, </w:t>
      </w:r>
      <w:r w:rsidRPr="005B4339">
        <w:rPr>
          <w:noProof/>
        </w:rPr>
        <w:t xml:space="preserve">citizens showed a </w:t>
      </w:r>
      <w:r w:rsidRPr="005B4339">
        <w:rPr>
          <w:b/>
          <w:bCs/>
          <w:noProof/>
        </w:rPr>
        <w:t xml:space="preserve">high level of commitment and engagement. </w:t>
      </w:r>
      <w:r w:rsidRPr="005B4339">
        <w:rPr>
          <w:bCs/>
          <w:noProof/>
        </w:rPr>
        <w:t>During the</w:t>
      </w:r>
      <w:r w:rsidRPr="005B4339">
        <w:rPr>
          <w:b/>
          <w:bCs/>
          <w:noProof/>
        </w:rPr>
        <w:t xml:space="preserve"> </w:t>
      </w:r>
      <w:r w:rsidRPr="005B4339">
        <w:rPr>
          <w:bCs/>
          <w:noProof/>
        </w:rPr>
        <w:t xml:space="preserve">first panel meeting, citizens raised over 80 questions – many going beyond the topic of food waste and focussing on the functioning of food systems more generally – which were addressed by experts. Citizens </w:t>
      </w:r>
      <w:r w:rsidRPr="005B4339">
        <w:rPr>
          <w:bCs/>
          <w:noProof/>
          <w:lang w:val="en-IE"/>
        </w:rPr>
        <w:t xml:space="preserve">wanted to </w:t>
      </w:r>
      <w:r w:rsidRPr="005B4339">
        <w:rPr>
          <w:b/>
          <w:bCs/>
          <w:noProof/>
          <w:lang w:val="en-IE"/>
        </w:rPr>
        <w:t xml:space="preserve">strengthen their voice and participation in EU food policy </w:t>
      </w:r>
      <w:r w:rsidRPr="005B4339">
        <w:rPr>
          <w:bCs/>
          <w:noProof/>
          <w:lang w:val="en-IE"/>
        </w:rPr>
        <w:t xml:space="preserve">and also called for the establishment of local and national citizen engagement fora. They were interested in the next steps and ways to continue their work on the topic of food waste, with some suggesting citizens’ closer involvement in EU research on food waste or to be represented when the legislative proposal is discussed in the European Parliament. They also expressed their wish to give </w:t>
      </w:r>
      <w:r w:rsidRPr="005B4339">
        <w:rPr>
          <w:b/>
          <w:bCs/>
          <w:noProof/>
          <w:lang w:val="en-IE"/>
        </w:rPr>
        <w:t>further visibility and coverage to the citizens’ panel</w:t>
      </w:r>
      <w:r w:rsidRPr="005B4339">
        <w:rPr>
          <w:bCs/>
          <w:noProof/>
          <w:lang w:val="en-IE"/>
        </w:rPr>
        <w:t xml:space="preserve"> and embraced their own role as </w:t>
      </w:r>
      <w:r w:rsidRPr="005B4339">
        <w:rPr>
          <w:b/>
          <w:noProof/>
          <w:lang w:val="en-IE"/>
        </w:rPr>
        <w:t>ambassadors of food waste prevention</w:t>
      </w:r>
      <w:r w:rsidRPr="005B4339">
        <w:rPr>
          <w:bCs/>
          <w:noProof/>
          <w:lang w:val="en-IE"/>
        </w:rPr>
        <w:t xml:space="preserve"> and agents of change within their respective networks. </w:t>
      </w:r>
    </w:p>
    <w:p w14:paraId="0A504CBA" w14:textId="77777777" w:rsidR="00AA4484" w:rsidRPr="005B4339" w:rsidRDefault="00AA4484" w:rsidP="00AA4484">
      <w:pPr>
        <w:rPr>
          <w:noProof/>
          <w:lang w:val="en-IE"/>
        </w:rPr>
      </w:pPr>
      <w:r w:rsidRPr="005B4339">
        <w:rPr>
          <w:noProof/>
          <w:lang w:val="en-IE"/>
        </w:rPr>
        <w:t xml:space="preserve">The 23 recommendations of this panel – as listed in the annex - take </w:t>
      </w:r>
      <w:r w:rsidRPr="005B4339">
        <w:rPr>
          <w:b/>
          <w:bCs/>
          <w:noProof/>
          <w:lang w:val="en-IE"/>
        </w:rPr>
        <w:t>a broad food systems approach</w:t>
      </w:r>
      <w:r w:rsidRPr="005B4339">
        <w:rPr>
          <w:noProof/>
          <w:lang w:val="en-IE"/>
        </w:rPr>
        <w:t xml:space="preserve">, seeking to engage all actors and strengthen collaboration across the food supply chain. This </w:t>
      </w:r>
      <w:r w:rsidRPr="005B4339">
        <w:rPr>
          <w:b/>
          <w:bCs/>
          <w:noProof/>
          <w:lang w:val="en-IE"/>
        </w:rPr>
        <w:t>comprehensive approach</w:t>
      </w:r>
      <w:r w:rsidRPr="005B4339">
        <w:rPr>
          <w:noProof/>
          <w:lang w:val="en-IE"/>
        </w:rPr>
        <w:t xml:space="preserve"> is also reflected in the three topics addressed by the citizens’ recommendations: 1) Cooperation in the food value chain: from farm to fork; 2) Food business initiatives and 3) Supporting consumer behavioural change. </w:t>
      </w:r>
    </w:p>
    <w:p w14:paraId="459C31BE" w14:textId="77777777" w:rsidR="00AA4484" w:rsidRPr="005B4339" w:rsidRDefault="00AA4484" w:rsidP="00AA4484">
      <w:pPr>
        <w:rPr>
          <w:noProof/>
          <w:lang w:val="en-IE"/>
        </w:rPr>
      </w:pPr>
      <w:r w:rsidRPr="005B4339">
        <w:rPr>
          <w:noProof/>
          <w:lang w:val="en-IE"/>
        </w:rPr>
        <w:t xml:space="preserve">Citizens’ recommendations associate food waste reduction with a </w:t>
      </w:r>
      <w:r w:rsidRPr="005B4339">
        <w:rPr>
          <w:b/>
          <w:bCs/>
          <w:noProof/>
          <w:lang w:val="en-IE"/>
        </w:rPr>
        <w:t>fair, equitable food supply chain that ensures solidarity</w:t>
      </w:r>
      <w:r w:rsidRPr="005B4339">
        <w:rPr>
          <w:noProof/>
          <w:lang w:val="en-IE"/>
        </w:rPr>
        <w:t xml:space="preserve"> (e.g., supporting local producers and addressing unfair trading practices that can lead to food waste such as last-minute order cancellations). In the light of growing challenges to food security, they recommend mechanisms to facilitate the redistribution of surplus food to those in need (e.g., networks and digital solutions connecting food business donors with food banks and charities) and call for broadening the definition of food waste to include food left unharvested and encourage gleaning. </w:t>
      </w:r>
    </w:p>
    <w:p w14:paraId="142D2C61" w14:textId="77777777" w:rsidR="00AA4484" w:rsidRPr="005B4339" w:rsidRDefault="00AA4484" w:rsidP="00AA4484">
      <w:pPr>
        <w:rPr>
          <w:noProof/>
        </w:rPr>
      </w:pPr>
      <w:r w:rsidRPr="005B4339">
        <w:rPr>
          <w:noProof/>
        </w:rPr>
        <w:t xml:space="preserve">The recommendations reaffirm the need for an </w:t>
      </w:r>
      <w:r w:rsidRPr="005B4339">
        <w:rPr>
          <w:b/>
          <w:bCs/>
          <w:noProof/>
        </w:rPr>
        <w:t>evidence-based approach</w:t>
      </w:r>
      <w:r w:rsidRPr="005B4339">
        <w:rPr>
          <w:noProof/>
        </w:rPr>
        <w:t xml:space="preserve"> to guide effective food waste prevention by all players, highlighting the importance of monitoring. They also recognise the need for the EU to set </w:t>
      </w:r>
      <w:r w:rsidRPr="005B4339">
        <w:rPr>
          <w:b/>
          <w:bCs/>
          <w:noProof/>
        </w:rPr>
        <w:t>an overarching goal</w:t>
      </w:r>
      <w:r w:rsidRPr="005B4339">
        <w:rPr>
          <w:noProof/>
        </w:rPr>
        <w:t xml:space="preserve"> to reduce food waste, with Member States taking steps to ensure that the goal is met. The </w:t>
      </w:r>
      <w:r w:rsidRPr="005B4339">
        <w:rPr>
          <w:b/>
          <w:bCs/>
          <w:noProof/>
        </w:rPr>
        <w:t>role of education</w:t>
      </w:r>
      <w:r w:rsidRPr="005B4339">
        <w:rPr>
          <w:noProof/>
        </w:rPr>
        <w:t xml:space="preserve"> on food and, in particular, food waste is prominent, receiving the highest level of endorsement from citizens. Citizens call for the integration of food education in school curricula to help build understanding and appreciation of the value of food from an early age. </w:t>
      </w:r>
    </w:p>
    <w:p w14:paraId="240C3D5D" w14:textId="77777777" w:rsidR="00AA4484" w:rsidRPr="005B4339" w:rsidRDefault="00AA4484" w:rsidP="00AA4484">
      <w:pPr>
        <w:pStyle w:val="ListParagraph"/>
        <w:numPr>
          <w:ilvl w:val="0"/>
          <w:numId w:val="204"/>
        </w:numPr>
        <w:spacing w:after="160" w:line="276" w:lineRule="auto"/>
        <w:rPr>
          <w:rFonts w:eastAsia="Calibri"/>
          <w:b/>
          <w:bCs/>
          <w:noProof/>
        </w:rPr>
      </w:pPr>
      <w:r w:rsidRPr="005B4339">
        <w:rPr>
          <w:rFonts w:eastAsia="Calibri"/>
          <w:b/>
          <w:bCs/>
          <w:noProof/>
        </w:rPr>
        <w:t>Next steps</w:t>
      </w:r>
    </w:p>
    <w:p w14:paraId="049ACE23" w14:textId="77777777" w:rsidR="00AA4484" w:rsidRPr="005B4339" w:rsidRDefault="00AA4484" w:rsidP="00AA4484">
      <w:pPr>
        <w:rPr>
          <w:noProof/>
        </w:rPr>
      </w:pPr>
      <w:r w:rsidRPr="005B4339">
        <w:rPr>
          <w:noProof/>
        </w:rPr>
        <w:t>Some recommendations reflect the European Commission’s</w:t>
      </w:r>
      <w:r w:rsidRPr="005B4339">
        <w:rPr>
          <w:b/>
          <w:bCs/>
          <w:noProof/>
        </w:rPr>
        <w:t xml:space="preserve"> ongoing work</w:t>
      </w:r>
      <w:r w:rsidRPr="005B4339">
        <w:rPr>
          <w:noProof/>
        </w:rPr>
        <w:t xml:space="preserve"> with Member States and stakeholders to fight food waste across the EU, confirming and supporting the need for EU-level action in this area. For example, citizens recommend </w:t>
      </w:r>
      <w:r w:rsidRPr="005B4339">
        <w:rPr>
          <w:b/>
          <w:bCs/>
          <w:noProof/>
        </w:rPr>
        <w:t>sharing data and best practices</w:t>
      </w:r>
      <w:r w:rsidRPr="005B4339">
        <w:rPr>
          <w:noProof/>
        </w:rPr>
        <w:t xml:space="preserve"> in food waste prevention among relevant stakeholders – which is a core part of the mandate of the </w:t>
      </w:r>
      <w:hyperlink r:id="rId204">
        <w:r w:rsidRPr="005B4339">
          <w:rPr>
            <w:rStyle w:val="Hyperlink"/>
            <w:noProof/>
          </w:rPr>
          <w:t>EU Platform on Food Losses and Food Waste</w:t>
        </w:r>
      </w:hyperlink>
      <w:r w:rsidRPr="005B4339">
        <w:rPr>
          <w:noProof/>
        </w:rPr>
        <w:t xml:space="preserve">, established in 2016. The </w:t>
      </w:r>
      <w:hyperlink r:id="rId205">
        <w:r w:rsidRPr="005B4339">
          <w:rPr>
            <w:rStyle w:val="Hyperlink"/>
            <w:noProof/>
          </w:rPr>
          <w:t>EU’s Code of Conduct on Responsible Food Business and Marketing Practices</w:t>
        </w:r>
      </w:hyperlink>
      <w:r w:rsidRPr="005B4339">
        <w:rPr>
          <w:noProof/>
        </w:rPr>
        <w:t>, adopted by stakeholders in 2021,  encourages</w:t>
      </w:r>
      <w:r w:rsidRPr="005B4339">
        <w:rPr>
          <w:b/>
          <w:bCs/>
          <w:noProof/>
        </w:rPr>
        <w:t xml:space="preserve"> concrete commitments from food businesses</w:t>
      </w:r>
      <w:r w:rsidRPr="005B4339">
        <w:rPr>
          <w:noProof/>
        </w:rPr>
        <w:t xml:space="preserve">. EU guidelines to facilitate </w:t>
      </w:r>
      <w:hyperlink r:id="rId206" w:history="1">
        <w:r w:rsidRPr="005B4339">
          <w:rPr>
            <w:rStyle w:val="Hyperlink"/>
            <w:noProof/>
          </w:rPr>
          <w:t>food donation</w:t>
        </w:r>
      </w:hyperlink>
      <w:r w:rsidRPr="005B4339">
        <w:rPr>
          <w:rStyle w:val="FootnoteReference"/>
          <w:noProof/>
        </w:rPr>
        <w:footnoteReference w:id="179"/>
      </w:r>
      <w:r w:rsidRPr="005B4339">
        <w:rPr>
          <w:rStyle w:val="Hyperlink"/>
          <w:noProof/>
        </w:rPr>
        <w:t xml:space="preserve"> can support the implementation of harmonised approaches by Member States, as suggested by EU citizens. </w:t>
      </w:r>
    </w:p>
    <w:p w14:paraId="41E2D4C7" w14:textId="77777777" w:rsidR="00AA4484" w:rsidRPr="005B4339" w:rsidRDefault="00AA4484" w:rsidP="00AA4484">
      <w:pPr>
        <w:rPr>
          <w:noProof/>
        </w:rPr>
      </w:pPr>
      <w:r w:rsidRPr="005B4339">
        <w:rPr>
          <w:noProof/>
        </w:rPr>
        <w:t xml:space="preserve">Citizens also request action to help consumers prevent food waste including both national and EU-wide campaigns to inform about the related economic and environmental benefits and involving food business operators. As consumers, citizens want support in making their own informed decisions about how to consume and use food in relation to ‘use by’ and ‘best before’ dates. Addressing consumer food waste is an important part of the Commission’s work and – in line with citizens’ expectations – will continue to be a key area of action. A key example of this is the </w:t>
      </w:r>
      <w:hyperlink r:id="rId207" w:history="1">
        <w:r w:rsidRPr="005B4339">
          <w:rPr>
            <w:rStyle w:val="Hyperlink"/>
            <w:noProof/>
          </w:rPr>
          <w:t>European Consumer Food Waste Forum</w:t>
        </w:r>
      </w:hyperlink>
      <w:r w:rsidRPr="005B4339">
        <w:rPr>
          <w:rStyle w:val="FootnoteReference"/>
          <w:noProof/>
        </w:rPr>
        <w:footnoteReference w:id="180"/>
      </w:r>
      <w:r w:rsidRPr="005B4339">
        <w:rPr>
          <w:noProof/>
        </w:rPr>
        <w:t xml:space="preserve">, which is working to find solutions and develop tools to help reduce consumer food waste.   </w:t>
      </w:r>
    </w:p>
    <w:p w14:paraId="3609BBBF" w14:textId="77777777" w:rsidR="00AA4484" w:rsidRPr="005B4339" w:rsidRDefault="00AA4484" w:rsidP="00AA4484">
      <w:pPr>
        <w:rPr>
          <w:noProof/>
        </w:rPr>
      </w:pPr>
      <w:r w:rsidRPr="005B4339">
        <w:rPr>
          <w:noProof/>
        </w:rPr>
        <w:t xml:space="preserve">Citizens’ recommendations also indicate </w:t>
      </w:r>
      <w:r w:rsidRPr="005B4339">
        <w:rPr>
          <w:b/>
          <w:bCs/>
          <w:noProof/>
        </w:rPr>
        <w:t>points for further consideration</w:t>
      </w:r>
      <w:r w:rsidRPr="005B4339">
        <w:rPr>
          <w:noProof/>
        </w:rPr>
        <w:t>, such as, taking measures to forbid the destruction of safe, surplus food. Although already reflected in the waste hierarchy (enshrined in European waste legislation</w:t>
      </w:r>
      <w:r w:rsidRPr="005B4339">
        <w:rPr>
          <w:rStyle w:val="FootnoteReference"/>
          <w:noProof/>
        </w:rPr>
        <w:footnoteReference w:id="181"/>
      </w:r>
      <w:r w:rsidRPr="005B4339">
        <w:rPr>
          <w:noProof/>
        </w:rPr>
        <w:t xml:space="preserve">), this principle could be further considered in the Commission’s work to establish sustainable food systems to ensure that more food produced is utilised for human consumption. Another area of further work, highlighted in the recommendations, is that of research on innovative and sustainable packaging. Furthermore, the recommendations also </w:t>
      </w:r>
      <w:r w:rsidRPr="005B4339">
        <w:rPr>
          <w:b/>
          <w:bCs/>
          <w:noProof/>
        </w:rPr>
        <w:t>reveal some areas for possible future action</w:t>
      </w:r>
      <w:r w:rsidRPr="005B4339">
        <w:rPr>
          <w:noProof/>
        </w:rPr>
        <w:t xml:space="preserve"> by the Commission, Member States and other players, such as the need to improve outreach and engagement with citizens across the EU. Many citizens were not aware of the extent of food waste and related negative impacts before their involvement in the panels nor of ongoing work to reduce and prevent food waste carried out in their respective Member States, for instance, in the context of the International Day of Awareness of Food Loss and Waste. The Commission will continue working with Member States and stakeholders to further build awareness and support behavioural change as regards food waste. </w:t>
      </w:r>
      <w:r w:rsidRPr="005B4339">
        <w:rPr>
          <w:noProof/>
          <w:lang w:val="en-IE"/>
        </w:rPr>
        <w:t xml:space="preserve">     </w:t>
      </w:r>
    </w:p>
    <w:p w14:paraId="2E7465FB" w14:textId="77777777" w:rsidR="00AA4484" w:rsidRPr="005B4339" w:rsidRDefault="00AA4484" w:rsidP="00AA4484">
      <w:pPr>
        <w:rPr>
          <w:noProof/>
        </w:rPr>
      </w:pPr>
      <w:r w:rsidRPr="005B4339">
        <w:rPr>
          <w:rFonts w:ascii="Calibri" w:eastAsia="Calibri" w:hAnsi="Calibri" w:cs="Calibri"/>
          <w:noProof/>
        </w:rPr>
        <w:t xml:space="preserve"> </w:t>
      </w:r>
      <w:r w:rsidRPr="005B4339">
        <w:rPr>
          <w:rFonts w:eastAsia="Calibri"/>
          <w:noProof/>
        </w:rPr>
        <w:t xml:space="preserve">With regard to the European Commission’s policymaking, the </w:t>
      </w:r>
      <w:r w:rsidRPr="005B4339">
        <w:rPr>
          <w:rFonts w:eastAsia="Calibri"/>
          <w:b/>
          <w:bCs/>
          <w:noProof/>
        </w:rPr>
        <w:t>outcome of the citizens panel will support the overarching work of the Commission on food waste</w:t>
      </w:r>
      <w:r w:rsidRPr="005B4339">
        <w:rPr>
          <w:rFonts w:eastAsia="Calibri"/>
          <w:noProof/>
        </w:rPr>
        <w:t xml:space="preserve"> and </w:t>
      </w:r>
      <w:r w:rsidRPr="005B4339">
        <w:rPr>
          <w:rFonts w:eastAsia="Calibri"/>
          <w:b/>
          <w:bCs/>
          <w:noProof/>
        </w:rPr>
        <w:t>serve as a guide to help Member States in achieving the future targets</w:t>
      </w:r>
      <w:r w:rsidRPr="005B4339">
        <w:rPr>
          <w:rFonts w:eastAsia="Calibri"/>
          <w:noProof/>
        </w:rPr>
        <w:t>. The recommendations complement the impact assessment and the public consultation carried out by the Commission to support the setting of legally binding food waste reduction targets and they have been considered in the preparation of this initiative.</w:t>
      </w:r>
      <w:r w:rsidRPr="005B4339">
        <w:rPr>
          <w:rFonts w:ascii="Calibri" w:eastAsia="Calibri" w:hAnsi="Calibri" w:cs="Calibri"/>
          <w:noProof/>
        </w:rPr>
        <w:t xml:space="preserve"> </w:t>
      </w:r>
      <w:r w:rsidRPr="005B4339">
        <w:rPr>
          <w:noProof/>
        </w:rPr>
        <w:t>Moreover, citizens’ recommendations will be shared and discussed with the EU Platform on Food Losses and Food Waste, bringing together Member States and stakeholders, so that they may consider these in their food waste prevention programmes. Citizens will be kept informed of key EU developments in food waste prevention, such as the adoption of the legislative proposal.</w:t>
      </w:r>
    </w:p>
    <w:p w14:paraId="42790E9F" w14:textId="77777777" w:rsidR="00AA4484" w:rsidRPr="005B4339" w:rsidRDefault="00AA4484" w:rsidP="00AA4484">
      <w:pPr>
        <w:rPr>
          <w:noProof/>
        </w:rPr>
      </w:pPr>
      <w:r w:rsidRPr="005B4339">
        <w:rPr>
          <w:noProof/>
        </w:rPr>
        <w:t xml:space="preserve"> </w:t>
      </w:r>
    </w:p>
    <w:p w14:paraId="3932CBB2" w14:textId="77777777" w:rsidR="00AA4484" w:rsidRPr="005B4339" w:rsidRDefault="00AA4484" w:rsidP="00AA4484">
      <w:pPr>
        <w:rPr>
          <w:noProof/>
        </w:rPr>
      </w:pPr>
      <w:r w:rsidRPr="005B4339">
        <w:rPr>
          <w:noProof/>
          <w:lang w:eastAsia="en-GB"/>
        </w:rPr>
        <mc:AlternateContent>
          <mc:Choice Requires="wps">
            <w:drawing>
              <wp:anchor distT="91440" distB="91440" distL="114300" distR="114300" simplePos="0" relativeHeight="251658251" behindDoc="0" locked="0" layoutInCell="1" allowOverlap="1" wp14:anchorId="5053717F" wp14:editId="2C35FA71">
                <wp:simplePos x="0" y="0"/>
                <wp:positionH relativeFrom="margin">
                  <wp:posOffset>0</wp:posOffset>
                </wp:positionH>
                <wp:positionV relativeFrom="paragraph">
                  <wp:posOffset>376555</wp:posOffset>
                </wp:positionV>
                <wp:extent cx="5758815" cy="1403985"/>
                <wp:effectExtent l="0" t="0" r="0" b="0"/>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403985"/>
                        </a:xfrm>
                        <a:prstGeom prst="rect">
                          <a:avLst/>
                        </a:prstGeom>
                        <a:noFill/>
                        <a:ln w="9525">
                          <a:noFill/>
                          <a:miter lim="800000"/>
                          <a:headEnd/>
                          <a:tailEnd/>
                        </a:ln>
                      </wps:spPr>
                      <wps:txbx>
                        <w:txbxContent>
                          <w:p w14:paraId="07FAE9E7" w14:textId="77777777" w:rsidR="00603581" w:rsidRPr="009451EF" w:rsidRDefault="00603581" w:rsidP="00AA4484">
                            <w:pPr>
                              <w:pBdr>
                                <w:top w:val="single" w:sz="24" w:space="8" w:color="4F81BD" w:themeColor="accent1"/>
                                <w:bottom w:val="single" w:sz="24" w:space="8" w:color="4F81BD" w:themeColor="accent1"/>
                              </w:pBdr>
                              <w:spacing w:after="0"/>
                              <w:rPr>
                                <w:iCs/>
                                <w:color w:val="4F81BD" w:themeColor="accent1"/>
                              </w:rPr>
                            </w:pPr>
                            <w:r w:rsidRPr="009451EF">
                              <w:rPr>
                                <w:rStyle w:val="normaltextrun"/>
                                <w:rFonts w:ascii="Calibri" w:hAnsi="Calibri" w:cs="Calibri"/>
                                <w:i/>
                                <w:shd w:val="clear" w:color="auto" w:fill="FFFFFF"/>
                              </w:rPr>
                              <w:t>“It was amazing to cooperate with people from all over the EU and see the vast majority is interested and is trying to find the right way to improve the situation with food waste.”</w:t>
                            </w:r>
                            <w:r w:rsidRPr="009451EF">
                              <w:rPr>
                                <w:rStyle w:val="normaltextrun"/>
                                <w:rFonts w:ascii="Calibri" w:hAnsi="Calibri" w:cs="Calibri"/>
                                <w:shd w:val="clear" w:color="auto" w:fill="FFFFFF"/>
                              </w:rPr>
                              <w:br/>
                            </w:r>
                            <w:r w:rsidRPr="009451EF">
                              <w:rPr>
                                <w:rStyle w:val="normaltextrun"/>
                                <w:rFonts w:ascii="Calibri" w:hAnsi="Calibri" w:cs="Calibri"/>
                                <w:shd w:val="clear" w:color="auto" w:fill="FFFFFF"/>
                              </w:rPr>
                              <w:br/>
                              <w:t>Lucie, 40, Czech Republic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3717F" id="Text Box 52" o:spid="_x0000_s1030" type="#_x0000_t202" style="position:absolute;left:0;text-align:left;margin-left:0;margin-top:29.65pt;width:453.45pt;height:110.55pt;z-index:25165825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" filled="f" stroked="f">
                <v:textbox style="mso-fit-shape-to-text:t">
                  <w:txbxContent>
                    <w:p w14:paraId="07FAE9E7" w14:textId="77777777" w:rsidR="00603581" w:rsidRPr="009451EF" w:rsidRDefault="00603581" w:rsidP="00AA4484">
                      <w:pPr>
                        <w:pBdr>
                          <w:top w:val="single" w:sz="24" w:space="8" w:color="4F81BD" w:themeColor="accent1"/>
                          <w:bottom w:val="single" w:sz="24" w:space="8" w:color="4F81BD" w:themeColor="accent1"/>
                        </w:pBdr>
                        <w:spacing w:after="0"/>
                        <w:rPr>
                          <w:iCs/>
                          <w:color w:val="4F81BD" w:themeColor="accent1"/>
                        </w:rPr>
                      </w:pPr>
                      <w:r w:rsidRPr="009451EF">
                        <w:rPr>
                          <w:rStyle w:val="normaltextrun"/>
                          <w:rFonts w:ascii="Calibri" w:hAnsi="Calibri" w:cs="Calibri"/>
                          <w:i/>
                          <w:shd w:val="clear" w:color="auto" w:fill="FFFFFF"/>
                        </w:rPr>
                        <w:t>“It was amazing to cooperate with people from all over the EU and see the vast majority is interested and is trying to find the right way to improve the situation with food waste.”</w:t>
                      </w:r>
                      <w:r w:rsidRPr="009451EF">
                        <w:rPr>
                          <w:rStyle w:val="normaltextrun"/>
                          <w:rFonts w:ascii="Calibri" w:hAnsi="Calibri" w:cs="Calibri"/>
                          <w:shd w:val="clear" w:color="auto" w:fill="FFFFFF"/>
                        </w:rPr>
                        <w:br/>
                      </w:r>
                      <w:r w:rsidRPr="009451EF">
                        <w:rPr>
                          <w:rStyle w:val="normaltextrun"/>
                          <w:rFonts w:ascii="Calibri" w:hAnsi="Calibri" w:cs="Calibri"/>
                          <w:shd w:val="clear" w:color="auto" w:fill="FFFFFF"/>
                        </w:rPr>
                        <w:br/>
                        <w:t>Lucie, 40, Czech Republic</w:t>
                      </w:r>
                    </w:p>
                  </w:txbxContent>
                </v:textbox>
                <w10:wrap type="topAndBottom" anchorx="margin"/>
              </v:shape>
            </w:pict>
          </mc:Fallback>
        </mc:AlternateContent>
      </w:r>
    </w:p>
    <w:p w14:paraId="6CBD2EA6" w14:textId="77777777" w:rsidR="00AA4484" w:rsidRPr="005B4339" w:rsidRDefault="00AA4484" w:rsidP="00AA4484">
      <w:pPr>
        <w:rPr>
          <w:noProof/>
        </w:rPr>
      </w:pPr>
      <w:r w:rsidRPr="005B4339">
        <w:rPr>
          <w:noProof/>
        </w:rPr>
        <w:br w:type="page"/>
      </w:r>
    </w:p>
    <w:p w14:paraId="30B37EFB" w14:textId="77777777" w:rsidR="00AA4484" w:rsidRPr="005B4339" w:rsidRDefault="00AA4484" w:rsidP="00AA4484">
      <w:pPr>
        <w:spacing w:after="0"/>
        <w:rPr>
          <w:noProof/>
        </w:rPr>
      </w:pPr>
      <w:r w:rsidRPr="005B4339">
        <w:rPr>
          <w:noProof/>
        </w:rPr>
        <w:t>FINAL RECOMMENDATIONS OF THE EUROPEAN CITIZENS’ PANEL ON FOOD WASTE</w:t>
      </w:r>
    </w:p>
    <w:p w14:paraId="711B3394" w14:textId="77777777" w:rsidR="00AA4484" w:rsidRPr="005B4339" w:rsidRDefault="00AA4484" w:rsidP="00AA4484">
      <w:pPr>
        <w:spacing w:after="0"/>
        <w:rPr>
          <w:noProof/>
        </w:rPr>
      </w:pPr>
    </w:p>
    <w:p w14:paraId="3B96B126" w14:textId="77777777" w:rsidR="00AA4484" w:rsidRPr="005B4339" w:rsidRDefault="00AA4484" w:rsidP="00AA4484">
      <w:pPr>
        <w:spacing w:after="0"/>
        <w:rPr>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3"/>
        <w:gridCol w:w="5871"/>
        <w:gridCol w:w="935"/>
        <w:gridCol w:w="822"/>
        <w:gridCol w:w="1095"/>
      </w:tblGrid>
      <w:tr w:rsidR="00AA4484" w:rsidRPr="005B4339" w14:paraId="1049ECAA" w14:textId="77777777" w:rsidTr="0043499F">
        <w:trPr>
          <w:trHeight w:val="240"/>
        </w:trPr>
        <w:tc>
          <w:tcPr>
            <w:tcW w:w="705"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F16C65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No.</w:t>
            </w:r>
            <w:r w:rsidRPr="005B4339">
              <w:rPr>
                <w:rFonts w:eastAsia="Times New Roman"/>
                <w:noProof/>
                <w:sz w:val="20"/>
                <w:szCs w:val="20"/>
                <w:lang w:val="en-IE" w:eastAsia="en-IE"/>
              </w:rPr>
              <w:t> </w:t>
            </w:r>
          </w:p>
        </w:tc>
        <w:tc>
          <w:tcPr>
            <w:tcW w:w="6660" w:type="dxa"/>
            <w:tcBorders>
              <w:top w:val="single" w:sz="6" w:space="0" w:color="auto"/>
              <w:left w:val="nil"/>
              <w:bottom w:val="single" w:sz="6" w:space="0" w:color="auto"/>
              <w:right w:val="single" w:sz="6" w:space="0" w:color="auto"/>
            </w:tcBorders>
            <w:shd w:val="clear" w:color="auto" w:fill="FFFFFF"/>
            <w:vAlign w:val="center"/>
            <w:hideMark/>
          </w:tcPr>
          <w:p w14:paraId="47C4A32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Title of the recommendation</w:t>
            </w:r>
            <w:r w:rsidRPr="005B4339">
              <w:rPr>
                <w:rFonts w:eastAsia="Times New Roman"/>
                <w:noProof/>
                <w:sz w:val="20"/>
                <w:szCs w:val="20"/>
                <w:lang w:val="en-IE" w:eastAsia="en-IE"/>
              </w:rPr>
              <w:t> </w:t>
            </w:r>
          </w:p>
        </w:tc>
        <w:tc>
          <w:tcPr>
            <w:tcW w:w="990" w:type="dxa"/>
            <w:tcBorders>
              <w:top w:val="single" w:sz="6" w:space="0" w:color="auto"/>
              <w:left w:val="nil"/>
              <w:bottom w:val="single" w:sz="6" w:space="0" w:color="auto"/>
              <w:right w:val="single" w:sz="6" w:space="0" w:color="auto"/>
            </w:tcBorders>
            <w:shd w:val="clear" w:color="auto" w:fill="D9EAD3"/>
            <w:vAlign w:val="center"/>
            <w:hideMark/>
          </w:tcPr>
          <w:p w14:paraId="5DB48A1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In favour</w:t>
            </w:r>
            <w:r w:rsidRPr="005B4339">
              <w:rPr>
                <w:rFonts w:eastAsia="Times New Roman"/>
                <w:noProof/>
                <w:sz w:val="20"/>
                <w:szCs w:val="20"/>
                <w:lang w:val="en-IE" w:eastAsia="en-IE"/>
              </w:rPr>
              <w:t> </w:t>
            </w:r>
          </w:p>
        </w:tc>
        <w:tc>
          <w:tcPr>
            <w:tcW w:w="840" w:type="dxa"/>
            <w:tcBorders>
              <w:top w:val="single" w:sz="6" w:space="0" w:color="auto"/>
              <w:left w:val="nil"/>
              <w:bottom w:val="single" w:sz="6" w:space="0" w:color="auto"/>
              <w:right w:val="single" w:sz="6" w:space="0" w:color="auto"/>
            </w:tcBorders>
            <w:shd w:val="clear" w:color="auto" w:fill="F4CCCC"/>
            <w:vAlign w:val="center"/>
            <w:hideMark/>
          </w:tcPr>
          <w:p w14:paraId="7222ED5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Against</w:t>
            </w:r>
            <w:r w:rsidRPr="005B4339">
              <w:rPr>
                <w:rFonts w:eastAsia="Times New Roman"/>
                <w:noProof/>
                <w:sz w:val="20"/>
                <w:szCs w:val="20"/>
                <w:lang w:val="en-IE" w:eastAsia="en-IE"/>
              </w:rPr>
              <w:t> </w:t>
            </w:r>
          </w:p>
        </w:tc>
        <w:tc>
          <w:tcPr>
            <w:tcW w:w="1125" w:type="dxa"/>
            <w:tcBorders>
              <w:top w:val="single" w:sz="6" w:space="0" w:color="auto"/>
              <w:left w:val="nil"/>
              <w:bottom w:val="single" w:sz="6" w:space="0" w:color="auto"/>
              <w:right w:val="single" w:sz="6" w:space="0" w:color="auto"/>
            </w:tcBorders>
            <w:shd w:val="clear" w:color="auto" w:fill="FFF2CC"/>
            <w:vAlign w:val="center"/>
            <w:hideMark/>
          </w:tcPr>
          <w:p w14:paraId="40F84A5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Abstained</w:t>
            </w:r>
            <w:r w:rsidRPr="005B4339">
              <w:rPr>
                <w:rFonts w:eastAsia="Times New Roman"/>
                <w:noProof/>
                <w:sz w:val="20"/>
                <w:szCs w:val="20"/>
                <w:lang w:val="en-IE" w:eastAsia="en-IE"/>
              </w:rPr>
              <w:t> </w:t>
            </w:r>
          </w:p>
        </w:tc>
      </w:tr>
      <w:tr w:rsidR="00AA4484" w:rsidRPr="005B4339" w14:paraId="1E3EA125" w14:textId="77777777" w:rsidTr="0043499F">
        <w:trPr>
          <w:trHeight w:val="61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7F08FA8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16807699"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The closer the farmer, the happier the consumer: Less waste, more sustainability </w:t>
            </w:r>
          </w:p>
        </w:tc>
        <w:tc>
          <w:tcPr>
            <w:tcW w:w="990" w:type="dxa"/>
            <w:tcBorders>
              <w:top w:val="nil"/>
              <w:left w:val="nil"/>
              <w:bottom w:val="single" w:sz="6" w:space="0" w:color="auto"/>
              <w:right w:val="single" w:sz="6" w:space="0" w:color="auto"/>
            </w:tcBorders>
            <w:shd w:val="clear" w:color="auto" w:fill="D9EAD3"/>
            <w:vAlign w:val="center"/>
            <w:hideMark/>
          </w:tcPr>
          <w:p w14:paraId="595285C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120</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4DE3E87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15</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3B5A9CD0"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5</w:t>
            </w:r>
            <w:r w:rsidRPr="005B4339">
              <w:rPr>
                <w:rFonts w:eastAsia="Times New Roman"/>
                <w:noProof/>
                <w:sz w:val="20"/>
                <w:szCs w:val="20"/>
                <w:lang w:val="en-IE" w:eastAsia="en-IE"/>
              </w:rPr>
              <w:t> </w:t>
            </w:r>
          </w:p>
        </w:tc>
      </w:tr>
      <w:tr w:rsidR="00AA4484" w:rsidRPr="005B4339" w14:paraId="7A0229DC" w14:textId="77777777" w:rsidTr="0043499F">
        <w:trPr>
          <w:trHeight w:val="61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63B8CA2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2</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43301F79"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Tastes of home: Public and private support for local farming to reduce food waste </w:t>
            </w:r>
          </w:p>
        </w:tc>
        <w:tc>
          <w:tcPr>
            <w:tcW w:w="990" w:type="dxa"/>
            <w:tcBorders>
              <w:top w:val="nil"/>
              <w:left w:val="nil"/>
              <w:bottom w:val="single" w:sz="6" w:space="0" w:color="auto"/>
              <w:right w:val="single" w:sz="6" w:space="0" w:color="auto"/>
            </w:tcBorders>
            <w:shd w:val="clear" w:color="auto" w:fill="D9EAD3"/>
            <w:vAlign w:val="center"/>
            <w:hideMark/>
          </w:tcPr>
          <w:p w14:paraId="28342E9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119</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74ED05B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44011EA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12</w:t>
            </w:r>
            <w:r w:rsidRPr="005B4339">
              <w:rPr>
                <w:rFonts w:eastAsia="Times New Roman"/>
                <w:noProof/>
                <w:sz w:val="20"/>
                <w:szCs w:val="20"/>
                <w:lang w:val="en-IE" w:eastAsia="en-IE"/>
              </w:rPr>
              <w:t> </w:t>
            </w:r>
          </w:p>
        </w:tc>
      </w:tr>
      <w:tr w:rsidR="00AA4484" w:rsidRPr="005B4339" w14:paraId="464E57C0"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400CCF6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3</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467DDDF7"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Share don't waste!</w:t>
            </w:r>
            <w:r w:rsidRPr="005B4339">
              <w:rPr>
                <w:rFonts w:eastAsia="Times New Roman"/>
                <w:noProof/>
                <w:sz w:val="20"/>
                <w:szCs w:val="20"/>
                <w:lang w:val="en-IE" w:eastAsia="en-IE"/>
              </w:rPr>
              <w:t> </w:t>
            </w:r>
          </w:p>
        </w:tc>
        <w:tc>
          <w:tcPr>
            <w:tcW w:w="990" w:type="dxa"/>
            <w:tcBorders>
              <w:top w:val="nil"/>
              <w:left w:val="nil"/>
              <w:bottom w:val="single" w:sz="6" w:space="0" w:color="auto"/>
              <w:right w:val="single" w:sz="6" w:space="0" w:color="auto"/>
            </w:tcBorders>
            <w:shd w:val="clear" w:color="auto" w:fill="D9EAD3"/>
            <w:vAlign w:val="center"/>
            <w:hideMark/>
          </w:tcPr>
          <w:p w14:paraId="65B9190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0901381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31</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0ED2C14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16</w:t>
            </w:r>
            <w:r w:rsidRPr="005B4339">
              <w:rPr>
                <w:rFonts w:eastAsia="Times New Roman"/>
                <w:noProof/>
                <w:sz w:val="20"/>
                <w:szCs w:val="20"/>
                <w:lang w:val="en-IE" w:eastAsia="en-IE"/>
              </w:rPr>
              <w:t> </w:t>
            </w:r>
          </w:p>
        </w:tc>
      </w:tr>
      <w:tr w:rsidR="00AA4484" w:rsidRPr="005B4339" w14:paraId="05CB4812"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4689441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4</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1B06941B"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Sharing of data and best practices across Europe </w:t>
            </w:r>
          </w:p>
        </w:tc>
        <w:tc>
          <w:tcPr>
            <w:tcW w:w="990" w:type="dxa"/>
            <w:tcBorders>
              <w:top w:val="nil"/>
              <w:left w:val="nil"/>
              <w:bottom w:val="single" w:sz="6" w:space="0" w:color="auto"/>
              <w:right w:val="single" w:sz="6" w:space="0" w:color="auto"/>
            </w:tcBorders>
            <w:shd w:val="clear" w:color="auto" w:fill="D9EAD3"/>
            <w:vAlign w:val="center"/>
            <w:hideMark/>
          </w:tcPr>
          <w:p w14:paraId="666C908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97</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6DF2224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27</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7D1ABCD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16</w:t>
            </w:r>
            <w:r w:rsidRPr="005B4339">
              <w:rPr>
                <w:rFonts w:eastAsia="Times New Roman"/>
                <w:noProof/>
                <w:sz w:val="20"/>
                <w:szCs w:val="20"/>
                <w:lang w:val="en-IE" w:eastAsia="en-IE"/>
              </w:rPr>
              <w:t> </w:t>
            </w:r>
          </w:p>
        </w:tc>
      </w:tr>
      <w:tr w:rsidR="00AA4484" w:rsidRPr="005B4339" w14:paraId="0478EAB0"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6298846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5</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101D11AF"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Gathering data across the food supply chain </w:t>
            </w:r>
          </w:p>
        </w:tc>
        <w:tc>
          <w:tcPr>
            <w:tcW w:w="990" w:type="dxa"/>
            <w:tcBorders>
              <w:top w:val="nil"/>
              <w:left w:val="nil"/>
              <w:bottom w:val="single" w:sz="6" w:space="0" w:color="auto"/>
              <w:right w:val="single" w:sz="6" w:space="0" w:color="auto"/>
            </w:tcBorders>
            <w:shd w:val="clear" w:color="auto" w:fill="D9EAD3"/>
            <w:vAlign w:val="center"/>
            <w:hideMark/>
          </w:tcPr>
          <w:p w14:paraId="463C1002"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101</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093F07B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28</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52182CB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w:t>
            </w:r>
            <w:r w:rsidRPr="005B4339">
              <w:rPr>
                <w:rFonts w:eastAsia="Times New Roman"/>
                <w:noProof/>
                <w:sz w:val="20"/>
                <w:szCs w:val="20"/>
                <w:lang w:val="en-IE" w:eastAsia="en-IE"/>
              </w:rPr>
              <w:t> </w:t>
            </w:r>
          </w:p>
        </w:tc>
      </w:tr>
      <w:tr w:rsidR="00AA4484" w:rsidRPr="005B4339" w14:paraId="7130BD64" w14:textId="77777777" w:rsidTr="0043499F">
        <w:trPr>
          <w:trHeight w:val="42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2DD012DE"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6</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22709994"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Citizens' voices matter: Citizen participation in European food policy </w:t>
            </w:r>
          </w:p>
        </w:tc>
        <w:tc>
          <w:tcPr>
            <w:tcW w:w="990" w:type="dxa"/>
            <w:tcBorders>
              <w:top w:val="nil"/>
              <w:left w:val="nil"/>
              <w:bottom w:val="single" w:sz="6" w:space="0" w:color="auto"/>
              <w:right w:val="single" w:sz="6" w:space="0" w:color="auto"/>
            </w:tcBorders>
            <w:shd w:val="clear" w:color="auto" w:fill="D9EAD3"/>
            <w:vAlign w:val="center"/>
            <w:hideMark/>
          </w:tcPr>
          <w:p w14:paraId="54C08ED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91</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7A33CFC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37</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30B6D5B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12</w:t>
            </w:r>
            <w:r w:rsidRPr="005B4339">
              <w:rPr>
                <w:rFonts w:eastAsia="Times New Roman"/>
                <w:noProof/>
                <w:sz w:val="20"/>
                <w:szCs w:val="20"/>
                <w:lang w:val="en-IE" w:eastAsia="en-IE"/>
              </w:rPr>
              <w:t> </w:t>
            </w:r>
          </w:p>
        </w:tc>
      </w:tr>
      <w:tr w:rsidR="00AA4484" w:rsidRPr="005B4339" w14:paraId="45BC5748"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75DE9A3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7</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77CF179A"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Just picked: The value of seasonal food </w:t>
            </w:r>
          </w:p>
        </w:tc>
        <w:tc>
          <w:tcPr>
            <w:tcW w:w="990" w:type="dxa"/>
            <w:tcBorders>
              <w:top w:val="nil"/>
              <w:left w:val="nil"/>
              <w:bottom w:val="single" w:sz="6" w:space="0" w:color="auto"/>
              <w:right w:val="single" w:sz="6" w:space="0" w:color="auto"/>
            </w:tcBorders>
            <w:shd w:val="clear" w:color="auto" w:fill="D9EAD3"/>
            <w:vAlign w:val="center"/>
            <w:hideMark/>
          </w:tcPr>
          <w:p w14:paraId="5EC9773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71F0489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26</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2A1D6BC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w:t>
            </w:r>
            <w:r w:rsidRPr="005B4339">
              <w:rPr>
                <w:rFonts w:eastAsia="Times New Roman"/>
                <w:noProof/>
                <w:sz w:val="20"/>
                <w:szCs w:val="20"/>
                <w:lang w:val="en-IE" w:eastAsia="en-IE"/>
              </w:rPr>
              <w:t> </w:t>
            </w:r>
          </w:p>
        </w:tc>
      </w:tr>
      <w:tr w:rsidR="00AA4484" w:rsidRPr="005B4339" w14:paraId="58DAD3AE"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656D4284"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8</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2B9DA83B"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EU-wide food exchange network </w:t>
            </w:r>
          </w:p>
        </w:tc>
        <w:tc>
          <w:tcPr>
            <w:tcW w:w="990" w:type="dxa"/>
            <w:tcBorders>
              <w:top w:val="nil"/>
              <w:left w:val="nil"/>
              <w:bottom w:val="single" w:sz="6" w:space="0" w:color="auto"/>
              <w:right w:val="single" w:sz="6" w:space="0" w:color="auto"/>
            </w:tcBorders>
            <w:shd w:val="clear" w:color="auto" w:fill="D9EAD3"/>
            <w:vAlign w:val="center"/>
            <w:hideMark/>
          </w:tcPr>
          <w:p w14:paraId="5A4BB6F3"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84</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25B6681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41</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61C4E039"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14</w:t>
            </w:r>
            <w:r w:rsidRPr="005B4339">
              <w:rPr>
                <w:rFonts w:eastAsia="Times New Roman"/>
                <w:noProof/>
                <w:sz w:val="20"/>
                <w:szCs w:val="20"/>
                <w:lang w:val="en-IE" w:eastAsia="en-IE"/>
              </w:rPr>
              <w:t> </w:t>
            </w:r>
          </w:p>
        </w:tc>
      </w:tr>
      <w:tr w:rsidR="00AA4484" w:rsidRPr="005B4339" w14:paraId="65B6D53A"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5DF7A66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9</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00B7C8B7"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Planned purchases and redistribution</w:t>
            </w:r>
            <w:r w:rsidRPr="005B4339">
              <w:rPr>
                <w:rFonts w:eastAsia="Times New Roman"/>
                <w:noProof/>
                <w:sz w:val="20"/>
                <w:szCs w:val="20"/>
                <w:lang w:val="en-IE" w:eastAsia="en-IE"/>
              </w:rPr>
              <w:t> </w:t>
            </w:r>
          </w:p>
        </w:tc>
        <w:tc>
          <w:tcPr>
            <w:tcW w:w="990" w:type="dxa"/>
            <w:tcBorders>
              <w:top w:val="nil"/>
              <w:left w:val="nil"/>
              <w:bottom w:val="single" w:sz="6" w:space="0" w:color="auto"/>
              <w:right w:val="single" w:sz="6" w:space="0" w:color="auto"/>
            </w:tcBorders>
            <w:shd w:val="clear" w:color="auto" w:fill="D9EAD3"/>
            <w:vAlign w:val="center"/>
            <w:hideMark/>
          </w:tcPr>
          <w:p w14:paraId="259BBB4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85</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626D098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38</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0C13913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16</w:t>
            </w:r>
            <w:r w:rsidRPr="005B4339">
              <w:rPr>
                <w:rFonts w:eastAsia="Times New Roman"/>
                <w:noProof/>
                <w:sz w:val="20"/>
                <w:szCs w:val="20"/>
                <w:lang w:val="en-IE" w:eastAsia="en-IE"/>
              </w:rPr>
              <w:t> </w:t>
            </w:r>
          </w:p>
        </w:tc>
      </w:tr>
      <w:tr w:rsidR="00AA4484" w:rsidRPr="005B4339" w14:paraId="7E770251"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321F01A4"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10</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6A8EB5CF"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Restaurants stand for "enjoy without wasting" </w:t>
            </w:r>
          </w:p>
        </w:tc>
        <w:tc>
          <w:tcPr>
            <w:tcW w:w="990" w:type="dxa"/>
            <w:tcBorders>
              <w:top w:val="nil"/>
              <w:left w:val="nil"/>
              <w:bottom w:val="single" w:sz="6" w:space="0" w:color="auto"/>
              <w:right w:val="single" w:sz="6" w:space="0" w:color="auto"/>
            </w:tcBorders>
            <w:shd w:val="clear" w:color="auto" w:fill="D9EAD3"/>
            <w:vAlign w:val="center"/>
            <w:hideMark/>
          </w:tcPr>
          <w:p w14:paraId="7FE1C01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1293B9F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17</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4851A014"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w:t>
            </w:r>
            <w:r w:rsidRPr="005B4339">
              <w:rPr>
                <w:rFonts w:eastAsia="Times New Roman"/>
                <w:noProof/>
                <w:sz w:val="20"/>
                <w:szCs w:val="20"/>
                <w:lang w:val="en-IE" w:eastAsia="en-IE"/>
              </w:rPr>
              <w:t> </w:t>
            </w:r>
          </w:p>
        </w:tc>
      </w:tr>
      <w:tr w:rsidR="00AA4484" w:rsidRPr="005B4339" w14:paraId="487A561F"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36A0E293"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11</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5520F2B3"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All waste has a weight </w:t>
            </w:r>
          </w:p>
        </w:tc>
        <w:tc>
          <w:tcPr>
            <w:tcW w:w="990" w:type="dxa"/>
            <w:tcBorders>
              <w:top w:val="nil"/>
              <w:left w:val="nil"/>
              <w:bottom w:val="single" w:sz="6" w:space="0" w:color="auto"/>
              <w:right w:val="single" w:sz="6" w:space="0" w:color="auto"/>
            </w:tcBorders>
            <w:shd w:val="clear" w:color="auto" w:fill="D9EAD3"/>
            <w:vAlign w:val="center"/>
            <w:hideMark/>
          </w:tcPr>
          <w:p w14:paraId="6C0B99F0"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73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141D6F0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48</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4838DCC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18</w:t>
            </w:r>
            <w:r w:rsidRPr="005B4339">
              <w:rPr>
                <w:rFonts w:eastAsia="Times New Roman"/>
                <w:noProof/>
                <w:sz w:val="20"/>
                <w:szCs w:val="20"/>
                <w:lang w:val="en-IE" w:eastAsia="en-IE"/>
              </w:rPr>
              <w:t> </w:t>
            </w:r>
          </w:p>
        </w:tc>
      </w:tr>
      <w:tr w:rsidR="00AA4484" w:rsidRPr="005B4339" w14:paraId="58EEA561" w14:textId="77777777" w:rsidTr="0043499F">
        <w:trPr>
          <w:trHeight w:val="61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1846B3F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12</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6B72AFE5"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A mandatory reporting system for transparency coupled with penalties and rewards </w:t>
            </w:r>
          </w:p>
        </w:tc>
        <w:tc>
          <w:tcPr>
            <w:tcW w:w="990" w:type="dxa"/>
            <w:tcBorders>
              <w:top w:val="nil"/>
              <w:left w:val="nil"/>
              <w:bottom w:val="single" w:sz="6" w:space="0" w:color="auto"/>
              <w:right w:val="single" w:sz="6" w:space="0" w:color="auto"/>
            </w:tcBorders>
            <w:shd w:val="clear" w:color="auto" w:fill="D9EAD3"/>
            <w:vAlign w:val="center"/>
            <w:hideMark/>
          </w:tcPr>
          <w:p w14:paraId="29D2C1A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68</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155B0473"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56</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5FC663C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15</w:t>
            </w:r>
            <w:r w:rsidRPr="005B4339">
              <w:rPr>
                <w:rFonts w:eastAsia="Times New Roman"/>
                <w:noProof/>
                <w:sz w:val="20"/>
                <w:szCs w:val="20"/>
                <w:lang w:val="en-IE" w:eastAsia="en-IE"/>
              </w:rPr>
              <w:t> </w:t>
            </w:r>
          </w:p>
        </w:tc>
      </w:tr>
      <w:tr w:rsidR="00AA4484" w:rsidRPr="005B4339" w14:paraId="04C7FB13" w14:textId="77777777" w:rsidTr="0043499F">
        <w:trPr>
          <w:trHeight w:val="61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564B5D2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13</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2441254B"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EU-wide legislation on the destruction of unsold food products - a peer learning approach across Member States </w:t>
            </w:r>
          </w:p>
        </w:tc>
        <w:tc>
          <w:tcPr>
            <w:tcW w:w="990" w:type="dxa"/>
            <w:tcBorders>
              <w:top w:val="nil"/>
              <w:left w:val="nil"/>
              <w:bottom w:val="single" w:sz="6" w:space="0" w:color="auto"/>
              <w:right w:val="single" w:sz="6" w:space="0" w:color="auto"/>
            </w:tcBorders>
            <w:shd w:val="clear" w:color="auto" w:fill="D9EAD3"/>
            <w:vAlign w:val="center"/>
            <w:hideMark/>
          </w:tcPr>
          <w:p w14:paraId="7240615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109</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2AE3688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20</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712DCAB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w:t>
            </w:r>
            <w:r w:rsidRPr="005B4339">
              <w:rPr>
                <w:rFonts w:eastAsia="Times New Roman"/>
                <w:noProof/>
                <w:sz w:val="20"/>
                <w:szCs w:val="20"/>
                <w:lang w:val="en-IE" w:eastAsia="en-IE"/>
              </w:rPr>
              <w:t> </w:t>
            </w:r>
          </w:p>
        </w:tc>
      </w:tr>
      <w:tr w:rsidR="00AA4484" w:rsidRPr="005B4339" w14:paraId="780B928D"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06F7BAC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14</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68C54AF1"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Transparency on food waste for visibility and action </w:t>
            </w:r>
          </w:p>
        </w:tc>
        <w:tc>
          <w:tcPr>
            <w:tcW w:w="990" w:type="dxa"/>
            <w:tcBorders>
              <w:top w:val="nil"/>
              <w:left w:val="nil"/>
              <w:bottom w:val="single" w:sz="6" w:space="0" w:color="auto"/>
              <w:right w:val="single" w:sz="6" w:space="0" w:color="auto"/>
            </w:tcBorders>
            <w:shd w:val="clear" w:color="auto" w:fill="D9EAD3"/>
            <w:vAlign w:val="center"/>
            <w:hideMark/>
          </w:tcPr>
          <w:p w14:paraId="73D8F9E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102</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65F82AD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22</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7C9194E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15</w:t>
            </w:r>
            <w:r w:rsidRPr="005B4339">
              <w:rPr>
                <w:rFonts w:eastAsia="Times New Roman"/>
                <w:noProof/>
                <w:sz w:val="20"/>
                <w:szCs w:val="20"/>
                <w:lang w:val="en-IE" w:eastAsia="en-IE"/>
              </w:rPr>
              <w:t> </w:t>
            </w:r>
          </w:p>
        </w:tc>
      </w:tr>
      <w:tr w:rsidR="00AA4484" w:rsidRPr="005B4339" w14:paraId="0BBA2E38"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6F0223A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15</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401DD3CB"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Innovation in packaging and use of packaging when needed </w:t>
            </w:r>
          </w:p>
        </w:tc>
        <w:tc>
          <w:tcPr>
            <w:tcW w:w="990" w:type="dxa"/>
            <w:tcBorders>
              <w:top w:val="nil"/>
              <w:left w:val="nil"/>
              <w:bottom w:val="single" w:sz="6" w:space="0" w:color="auto"/>
              <w:right w:val="single" w:sz="6" w:space="0" w:color="auto"/>
            </w:tcBorders>
            <w:shd w:val="clear" w:color="auto" w:fill="D9EAD3"/>
            <w:vAlign w:val="center"/>
            <w:hideMark/>
          </w:tcPr>
          <w:p w14:paraId="5352F9C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116</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3144F16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18</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3CEDD96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5</w:t>
            </w:r>
            <w:r w:rsidRPr="005B4339">
              <w:rPr>
                <w:rFonts w:eastAsia="Times New Roman"/>
                <w:noProof/>
                <w:sz w:val="20"/>
                <w:szCs w:val="20"/>
                <w:lang w:val="en-IE" w:eastAsia="en-IE"/>
              </w:rPr>
              <w:t> </w:t>
            </w:r>
          </w:p>
        </w:tc>
      </w:tr>
      <w:tr w:rsidR="00AA4484" w:rsidRPr="005B4339" w14:paraId="615A8BDF" w14:textId="77777777" w:rsidTr="0043499F">
        <w:trPr>
          <w:trHeight w:val="48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008BE01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16</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11212369"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Broadening the definition of food waste in order to save unharvested food </w:t>
            </w:r>
          </w:p>
        </w:tc>
        <w:tc>
          <w:tcPr>
            <w:tcW w:w="990" w:type="dxa"/>
            <w:tcBorders>
              <w:top w:val="nil"/>
              <w:left w:val="nil"/>
              <w:bottom w:val="single" w:sz="6" w:space="0" w:color="auto"/>
              <w:right w:val="single" w:sz="6" w:space="0" w:color="auto"/>
            </w:tcBorders>
            <w:shd w:val="clear" w:color="auto" w:fill="D9EAD3"/>
            <w:vAlign w:val="center"/>
            <w:hideMark/>
          </w:tcPr>
          <w:p w14:paraId="3F581E14"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110</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3286CDAE"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19</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788D5749"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w:t>
            </w:r>
            <w:r w:rsidRPr="005B4339">
              <w:rPr>
                <w:rFonts w:eastAsia="Times New Roman"/>
                <w:noProof/>
                <w:sz w:val="20"/>
                <w:szCs w:val="20"/>
                <w:lang w:val="en-IE" w:eastAsia="en-IE"/>
              </w:rPr>
              <w:t> </w:t>
            </w:r>
          </w:p>
        </w:tc>
      </w:tr>
      <w:tr w:rsidR="00AA4484" w:rsidRPr="005B4339" w14:paraId="00DDC088"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69B4C9B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17</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57AA89C7"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Encouraging adults to take action on food waste as a priority </w:t>
            </w:r>
          </w:p>
        </w:tc>
        <w:tc>
          <w:tcPr>
            <w:tcW w:w="990" w:type="dxa"/>
            <w:tcBorders>
              <w:top w:val="nil"/>
              <w:left w:val="nil"/>
              <w:bottom w:val="single" w:sz="6" w:space="0" w:color="auto"/>
              <w:right w:val="single" w:sz="6" w:space="0" w:color="auto"/>
            </w:tcBorders>
            <w:shd w:val="clear" w:color="auto" w:fill="D9EAD3"/>
            <w:vAlign w:val="center"/>
            <w:hideMark/>
          </w:tcPr>
          <w:p w14:paraId="44748882"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45A5CEA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20</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04F68876"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6</w:t>
            </w:r>
            <w:r w:rsidRPr="005B4339">
              <w:rPr>
                <w:rFonts w:eastAsia="Times New Roman"/>
                <w:noProof/>
                <w:sz w:val="20"/>
                <w:szCs w:val="20"/>
                <w:lang w:val="en-IE" w:eastAsia="en-IE"/>
              </w:rPr>
              <w:t> </w:t>
            </w:r>
          </w:p>
        </w:tc>
      </w:tr>
      <w:tr w:rsidR="00AA4484" w:rsidRPr="005B4339" w14:paraId="3298E5A1"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562FD49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18</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03FB344C"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Nutritional awareness and sustainable food in primary and secondary schools </w:t>
            </w:r>
          </w:p>
        </w:tc>
        <w:tc>
          <w:tcPr>
            <w:tcW w:w="990" w:type="dxa"/>
            <w:tcBorders>
              <w:top w:val="nil"/>
              <w:left w:val="nil"/>
              <w:bottom w:val="single" w:sz="6" w:space="0" w:color="auto"/>
              <w:right w:val="single" w:sz="6" w:space="0" w:color="auto"/>
            </w:tcBorders>
            <w:shd w:val="clear" w:color="auto" w:fill="D9EAD3"/>
            <w:vAlign w:val="center"/>
            <w:hideMark/>
          </w:tcPr>
          <w:p w14:paraId="5711F03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123</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66397F6A"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46D9F500"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7</w:t>
            </w:r>
            <w:r w:rsidRPr="005B4339">
              <w:rPr>
                <w:rFonts w:eastAsia="Times New Roman"/>
                <w:noProof/>
                <w:sz w:val="20"/>
                <w:szCs w:val="20"/>
                <w:lang w:val="en-IE" w:eastAsia="en-IE"/>
              </w:rPr>
              <w:t> </w:t>
            </w:r>
          </w:p>
        </w:tc>
      </w:tr>
      <w:tr w:rsidR="00AA4484" w:rsidRPr="005B4339" w14:paraId="0FEE2D7D" w14:textId="77777777" w:rsidTr="0043499F">
        <w:trPr>
          <w:trHeight w:val="61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2EAE292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19</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6A6DAAF0"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Promote and support food sharing applications and platforms connecting consumers with each other </w:t>
            </w:r>
          </w:p>
        </w:tc>
        <w:tc>
          <w:tcPr>
            <w:tcW w:w="990" w:type="dxa"/>
            <w:tcBorders>
              <w:top w:val="nil"/>
              <w:left w:val="nil"/>
              <w:bottom w:val="single" w:sz="6" w:space="0" w:color="auto"/>
              <w:right w:val="single" w:sz="6" w:space="0" w:color="auto"/>
            </w:tcBorders>
            <w:shd w:val="clear" w:color="auto" w:fill="D9EAD3"/>
            <w:vAlign w:val="center"/>
            <w:hideMark/>
          </w:tcPr>
          <w:p w14:paraId="0C439700"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97</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18049E5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25</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043C1494"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17</w:t>
            </w:r>
            <w:r w:rsidRPr="005B4339">
              <w:rPr>
                <w:rFonts w:eastAsia="Times New Roman"/>
                <w:noProof/>
                <w:sz w:val="20"/>
                <w:szCs w:val="20"/>
                <w:lang w:val="en-IE" w:eastAsia="en-IE"/>
              </w:rPr>
              <w:t> </w:t>
            </w:r>
          </w:p>
        </w:tc>
      </w:tr>
      <w:tr w:rsidR="00AA4484" w:rsidRPr="005B4339" w14:paraId="5C779C4A" w14:textId="77777777" w:rsidTr="0043499F">
        <w:trPr>
          <w:trHeight w:val="51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3F53BEF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20</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0AD21088"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Save food, save money: A European campaign against food waste in cooperation with food retailers on four weekends a year </w:t>
            </w:r>
          </w:p>
        </w:tc>
        <w:tc>
          <w:tcPr>
            <w:tcW w:w="990" w:type="dxa"/>
            <w:tcBorders>
              <w:top w:val="nil"/>
              <w:left w:val="nil"/>
              <w:bottom w:val="single" w:sz="6" w:space="0" w:color="auto"/>
              <w:right w:val="single" w:sz="6" w:space="0" w:color="auto"/>
            </w:tcBorders>
            <w:shd w:val="clear" w:color="auto" w:fill="D9EAD3"/>
            <w:vAlign w:val="center"/>
            <w:hideMark/>
          </w:tcPr>
          <w:p w14:paraId="37D0DC1E"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98</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629932E7"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31</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2A42B71D"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w:t>
            </w:r>
            <w:r w:rsidRPr="005B4339">
              <w:rPr>
                <w:rFonts w:eastAsia="Times New Roman"/>
                <w:noProof/>
                <w:sz w:val="20"/>
                <w:szCs w:val="20"/>
                <w:lang w:val="en-IE" w:eastAsia="en-IE"/>
              </w:rPr>
              <w:t> </w:t>
            </w:r>
          </w:p>
        </w:tc>
      </w:tr>
      <w:tr w:rsidR="00AA4484" w:rsidRPr="005B4339" w14:paraId="6812239B" w14:textId="77777777" w:rsidTr="0043499F">
        <w:trPr>
          <w:trHeight w:val="300"/>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73B3AB08"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21</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4EB53E2D"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"Stop food waste”: A week of food waste awareness at school </w:t>
            </w:r>
          </w:p>
        </w:tc>
        <w:tc>
          <w:tcPr>
            <w:tcW w:w="990" w:type="dxa"/>
            <w:tcBorders>
              <w:top w:val="nil"/>
              <w:left w:val="nil"/>
              <w:bottom w:val="single" w:sz="6" w:space="0" w:color="auto"/>
              <w:right w:val="single" w:sz="6" w:space="0" w:color="auto"/>
            </w:tcBorders>
            <w:shd w:val="clear" w:color="auto" w:fill="D9EAD3"/>
            <w:vAlign w:val="center"/>
            <w:hideMark/>
          </w:tcPr>
          <w:p w14:paraId="1A1F3052"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116</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398D89D0"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16</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05ECCA1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7</w:t>
            </w:r>
            <w:r w:rsidRPr="005B4339">
              <w:rPr>
                <w:rFonts w:eastAsia="Times New Roman"/>
                <w:noProof/>
                <w:sz w:val="20"/>
                <w:szCs w:val="20"/>
                <w:lang w:val="en-IE" w:eastAsia="en-IE"/>
              </w:rPr>
              <w:t> </w:t>
            </w:r>
          </w:p>
        </w:tc>
      </w:tr>
      <w:tr w:rsidR="00AA4484" w:rsidRPr="005B4339" w14:paraId="68186002" w14:textId="77777777" w:rsidTr="0043499F">
        <w:trPr>
          <w:trHeight w:val="88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1AECDB2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22</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0BA166CE"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To provide consumers keys to be aware and independent on their impact on food waste and to understand how to process, preserve and reuse a product before and after the date has passed. </w:t>
            </w:r>
          </w:p>
          <w:p w14:paraId="49F1A050"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w:t>
            </w:r>
            <w:r w:rsidRPr="005B4339">
              <w:rPr>
                <w:rFonts w:eastAsia="Times New Roman"/>
                <w:noProof/>
                <w:sz w:val="20"/>
                <w:szCs w:val="20"/>
                <w:lang w:eastAsia="en-IE"/>
              </w:rPr>
              <w:t>“use by” date is a safety date after which a product should not be consumed; “best before” indicates the date until which a product keeps its optimal quality)</w:t>
            </w:r>
            <w:r w:rsidRPr="005B4339">
              <w:rPr>
                <w:rFonts w:eastAsia="Times New Roman"/>
                <w:noProof/>
                <w:sz w:val="20"/>
                <w:szCs w:val="20"/>
                <w:lang w:val="en-IE" w:eastAsia="en-IE"/>
              </w:rPr>
              <w:t> </w:t>
            </w:r>
          </w:p>
        </w:tc>
        <w:tc>
          <w:tcPr>
            <w:tcW w:w="990" w:type="dxa"/>
            <w:tcBorders>
              <w:top w:val="nil"/>
              <w:left w:val="nil"/>
              <w:bottom w:val="single" w:sz="6" w:space="0" w:color="auto"/>
              <w:right w:val="single" w:sz="6" w:space="0" w:color="auto"/>
            </w:tcBorders>
            <w:shd w:val="clear" w:color="auto" w:fill="D9EAD3"/>
            <w:vAlign w:val="center"/>
            <w:hideMark/>
          </w:tcPr>
          <w:p w14:paraId="559FEEB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108</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73967BAF"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26</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6F13DD29"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5</w:t>
            </w:r>
            <w:r w:rsidRPr="005B4339">
              <w:rPr>
                <w:rFonts w:eastAsia="Times New Roman"/>
                <w:noProof/>
                <w:sz w:val="20"/>
                <w:szCs w:val="20"/>
                <w:lang w:val="en-IE" w:eastAsia="en-IE"/>
              </w:rPr>
              <w:t> </w:t>
            </w:r>
          </w:p>
        </w:tc>
      </w:tr>
      <w:tr w:rsidR="00AA4484" w:rsidRPr="005B4339" w14:paraId="33D03E8E" w14:textId="77777777" w:rsidTr="0043499F">
        <w:trPr>
          <w:trHeight w:val="765"/>
        </w:trPr>
        <w:tc>
          <w:tcPr>
            <w:tcW w:w="705" w:type="dxa"/>
            <w:tcBorders>
              <w:top w:val="nil"/>
              <w:left w:val="single" w:sz="6" w:space="0" w:color="auto"/>
              <w:bottom w:val="single" w:sz="6" w:space="0" w:color="auto"/>
              <w:right w:val="single" w:sz="6" w:space="0" w:color="auto"/>
            </w:tcBorders>
            <w:shd w:val="clear" w:color="auto" w:fill="E7E6E6"/>
            <w:vAlign w:val="center"/>
            <w:hideMark/>
          </w:tcPr>
          <w:p w14:paraId="0A281F25"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b/>
                <w:bCs/>
                <w:noProof/>
                <w:sz w:val="20"/>
                <w:szCs w:val="20"/>
                <w:lang w:val="fr-BE" w:eastAsia="en-IE"/>
              </w:rPr>
              <w:t>23</w:t>
            </w:r>
            <w:r w:rsidRPr="005B4339">
              <w:rPr>
                <w:rFonts w:eastAsia="Times New Roman"/>
                <w:noProof/>
                <w:sz w:val="20"/>
                <w:szCs w:val="20"/>
                <w:lang w:val="en-IE" w:eastAsia="en-IE"/>
              </w:rPr>
              <w:t> </w:t>
            </w:r>
          </w:p>
        </w:tc>
        <w:tc>
          <w:tcPr>
            <w:tcW w:w="6660" w:type="dxa"/>
            <w:tcBorders>
              <w:top w:val="nil"/>
              <w:left w:val="nil"/>
              <w:bottom w:val="single" w:sz="6" w:space="0" w:color="auto"/>
              <w:right w:val="single" w:sz="6" w:space="0" w:color="auto"/>
            </w:tcBorders>
            <w:shd w:val="clear" w:color="auto" w:fill="auto"/>
            <w:vAlign w:val="center"/>
            <w:hideMark/>
          </w:tcPr>
          <w:p w14:paraId="403F8FEE" w14:textId="77777777" w:rsidR="00AA4484" w:rsidRPr="005B4339" w:rsidRDefault="00AA4484" w:rsidP="0043499F">
            <w:pPr>
              <w:spacing w:after="0"/>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en-IE" w:eastAsia="en-IE"/>
              </w:rPr>
              <w:t>The implementation of standardized practices at the retail level when promoting to consumers products close to the expiration date. </w:t>
            </w:r>
          </w:p>
        </w:tc>
        <w:tc>
          <w:tcPr>
            <w:tcW w:w="990" w:type="dxa"/>
            <w:tcBorders>
              <w:top w:val="nil"/>
              <w:left w:val="nil"/>
              <w:bottom w:val="single" w:sz="6" w:space="0" w:color="auto"/>
              <w:right w:val="single" w:sz="6" w:space="0" w:color="auto"/>
            </w:tcBorders>
            <w:shd w:val="clear" w:color="auto" w:fill="D9EAD3"/>
            <w:vAlign w:val="center"/>
            <w:hideMark/>
          </w:tcPr>
          <w:p w14:paraId="61816DDB"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109</w:t>
            </w:r>
            <w:r w:rsidRPr="005B4339">
              <w:rPr>
                <w:rFonts w:eastAsia="Times New Roman"/>
                <w:noProof/>
                <w:sz w:val="20"/>
                <w:szCs w:val="20"/>
                <w:lang w:val="en-IE" w:eastAsia="en-IE"/>
              </w:rPr>
              <w:t> </w:t>
            </w:r>
          </w:p>
        </w:tc>
        <w:tc>
          <w:tcPr>
            <w:tcW w:w="840" w:type="dxa"/>
            <w:tcBorders>
              <w:top w:val="nil"/>
              <w:left w:val="nil"/>
              <w:bottom w:val="single" w:sz="6" w:space="0" w:color="auto"/>
              <w:right w:val="single" w:sz="6" w:space="0" w:color="auto"/>
            </w:tcBorders>
            <w:shd w:val="clear" w:color="auto" w:fill="F4CCCC"/>
            <w:vAlign w:val="center"/>
            <w:hideMark/>
          </w:tcPr>
          <w:p w14:paraId="3D6066F1"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18</w:t>
            </w:r>
            <w:r w:rsidRPr="005B4339">
              <w:rPr>
                <w:rFonts w:eastAsia="Times New Roman"/>
                <w:noProof/>
                <w:sz w:val="20"/>
                <w:szCs w:val="20"/>
                <w:lang w:val="en-IE" w:eastAsia="en-IE"/>
              </w:rPr>
              <w:t> </w:t>
            </w:r>
          </w:p>
        </w:tc>
        <w:tc>
          <w:tcPr>
            <w:tcW w:w="1125" w:type="dxa"/>
            <w:tcBorders>
              <w:top w:val="nil"/>
              <w:left w:val="nil"/>
              <w:bottom w:val="single" w:sz="6" w:space="0" w:color="auto"/>
              <w:right w:val="single" w:sz="6" w:space="0" w:color="auto"/>
            </w:tcBorders>
            <w:shd w:val="clear" w:color="auto" w:fill="FFF2CC"/>
            <w:vAlign w:val="center"/>
            <w:hideMark/>
          </w:tcPr>
          <w:p w14:paraId="3659F31C" w14:textId="77777777" w:rsidR="00AA4484" w:rsidRPr="005B4339" w:rsidRDefault="00AA4484" w:rsidP="0043499F">
            <w:pPr>
              <w:spacing w:after="0"/>
              <w:jc w:val="center"/>
              <w:textAlignment w:val="baseline"/>
              <w:rPr>
                <w:rFonts w:ascii="Segoe UI" w:eastAsia="Times New Roman" w:hAnsi="Segoe UI" w:cs="Segoe UI"/>
                <w:noProof/>
                <w:sz w:val="18"/>
                <w:szCs w:val="18"/>
                <w:lang w:val="en-IE" w:eastAsia="en-IE"/>
              </w:rPr>
            </w:pPr>
            <w:r w:rsidRPr="005B4339">
              <w:rPr>
                <w:rFonts w:eastAsia="Times New Roman"/>
                <w:noProof/>
                <w:sz w:val="20"/>
                <w:szCs w:val="20"/>
                <w:lang w:val="fr-BE" w:eastAsia="en-IE"/>
              </w:rPr>
              <w:t>12</w:t>
            </w:r>
            <w:r w:rsidRPr="005B4339">
              <w:rPr>
                <w:rFonts w:eastAsia="Times New Roman"/>
                <w:noProof/>
                <w:sz w:val="20"/>
                <w:szCs w:val="20"/>
                <w:lang w:val="en-IE" w:eastAsia="en-IE"/>
              </w:rPr>
              <w:t> </w:t>
            </w:r>
          </w:p>
        </w:tc>
      </w:tr>
    </w:tbl>
    <w:p w14:paraId="56FCAF11" w14:textId="77777777" w:rsidR="00AA4484" w:rsidRPr="005B4339" w:rsidRDefault="00AA4484" w:rsidP="00AA4484">
      <w:pPr>
        <w:spacing w:after="0"/>
        <w:rPr>
          <w:noProof/>
        </w:rPr>
      </w:pPr>
    </w:p>
    <w:p w14:paraId="36D50514" w14:textId="77777777" w:rsidR="00AA4484" w:rsidRPr="005B4339" w:rsidRDefault="00AA4484" w:rsidP="00AA4484">
      <w:pPr>
        <w:rPr>
          <w:noProof/>
        </w:rPr>
      </w:pPr>
    </w:p>
    <w:p w14:paraId="2530AB4E" w14:textId="77777777" w:rsidR="00AA4484" w:rsidRPr="005B4339" w:rsidRDefault="00AA4484" w:rsidP="00AA4484">
      <w:pPr>
        <w:pStyle w:val="paragraph"/>
        <w:spacing w:before="0" w:beforeAutospacing="0" w:after="0" w:afterAutospacing="0"/>
        <w:jc w:val="both"/>
        <w:textAlignment w:val="baseline"/>
        <w:rPr>
          <w:rStyle w:val="eop"/>
          <w:b/>
          <w:bCs/>
          <w:iCs/>
          <w:noProof/>
          <w:sz w:val="28"/>
          <w:szCs w:val="28"/>
        </w:rPr>
      </w:pPr>
      <w:r w:rsidRPr="005B4339">
        <w:rPr>
          <w:rStyle w:val="eop"/>
          <w:b/>
          <w:bCs/>
          <w:iCs/>
          <w:noProof/>
          <w:sz w:val="28"/>
          <w:szCs w:val="28"/>
        </w:rPr>
        <w:t>Recommendations (full text) as formulated by participants of the European Commission’s citizens’ panel on food waste</w:t>
      </w:r>
    </w:p>
    <w:p w14:paraId="57289D69" w14:textId="77777777" w:rsidR="00AA4484" w:rsidRPr="005B4339" w:rsidRDefault="00AA4484" w:rsidP="00AA4484">
      <w:pPr>
        <w:pStyle w:val="paragraph"/>
        <w:spacing w:before="0" w:beforeAutospacing="0" w:after="0" w:afterAutospacing="0"/>
        <w:ind w:left="1800" w:hanging="1800"/>
        <w:jc w:val="both"/>
        <w:textAlignment w:val="baseline"/>
        <w:rPr>
          <w:rStyle w:val="eop"/>
          <w:iCs/>
          <w:noProof/>
        </w:rPr>
      </w:pPr>
    </w:p>
    <w:p w14:paraId="4C2BA953" w14:textId="77777777" w:rsidR="00AA4484" w:rsidRPr="005B4339" w:rsidRDefault="00AA4484" w:rsidP="00AA4484">
      <w:pPr>
        <w:pStyle w:val="Heading1"/>
        <w:shd w:val="clear" w:color="auto" w:fill="DAEEF3" w:themeFill="accent5" w:themeFillTint="33"/>
        <w:spacing w:before="0"/>
        <w:rPr>
          <w:b w:val="0"/>
          <w:bCs/>
          <w:noProof/>
          <w:sz w:val="36"/>
          <w:szCs w:val="36"/>
        </w:rPr>
      </w:pPr>
      <w:bookmarkStart w:id="1080" w:name="_Toc139032152"/>
      <w:r w:rsidRPr="005B4339">
        <w:rPr>
          <w:bCs/>
          <w:noProof/>
          <w:sz w:val="28"/>
          <w:szCs w:val="28"/>
          <w:shd w:val="clear" w:color="auto" w:fill="DEEAF6"/>
        </w:rPr>
        <w:t>Topic block I – Cooperation in the food value chain: From farm to fork</w:t>
      </w:r>
      <w:bookmarkEnd w:id="1080"/>
    </w:p>
    <w:p w14:paraId="420BA95F" w14:textId="77777777" w:rsidR="00AA4484" w:rsidRPr="005B4339" w:rsidRDefault="00AA4484" w:rsidP="00AA4484">
      <w:pPr>
        <w:pStyle w:val="paragraph"/>
        <w:spacing w:before="0" w:beforeAutospacing="0" w:after="0" w:afterAutospacing="0"/>
        <w:ind w:left="1800" w:hanging="1800"/>
        <w:jc w:val="both"/>
        <w:textAlignment w:val="baseline"/>
        <w:rPr>
          <w:rStyle w:val="eop"/>
          <w:iCs/>
          <w:noProof/>
        </w:rPr>
      </w:pPr>
    </w:p>
    <w:p w14:paraId="546D81A5" w14:textId="77777777" w:rsidR="00AA4484" w:rsidRPr="005B4339" w:rsidRDefault="00AA4484" w:rsidP="00AA4484">
      <w:pPr>
        <w:pStyle w:val="paragraph"/>
        <w:spacing w:before="0" w:beforeAutospacing="0" w:after="0" w:afterAutospacing="0"/>
        <w:ind w:left="1800" w:hanging="1800"/>
        <w:jc w:val="both"/>
        <w:textAlignment w:val="baseline"/>
        <w:rPr>
          <w:rStyle w:val="eop"/>
          <w:i/>
          <w:noProof/>
        </w:rPr>
      </w:pPr>
    </w:p>
    <w:tbl>
      <w:tblPr>
        <w:tblStyle w:val="TableGrid"/>
        <w:tblW w:w="9209" w:type="dxa"/>
        <w:tblLook w:val="04A0" w:firstRow="1" w:lastRow="0" w:firstColumn="1" w:lastColumn="0" w:noHBand="0" w:noVBand="1"/>
      </w:tblPr>
      <w:tblGrid>
        <w:gridCol w:w="9209"/>
      </w:tblGrid>
      <w:tr w:rsidR="00D00ACA" w:rsidRPr="005B4339" w14:paraId="7CE74563" w14:textId="77777777" w:rsidTr="007D1AE5">
        <w:tc>
          <w:tcPr>
            <w:tcW w:w="9209" w:type="dxa"/>
            <w:shd w:val="clear" w:color="auto" w:fill="DAEEF3" w:themeFill="accent5" w:themeFillTint="33"/>
          </w:tcPr>
          <w:p w14:paraId="08137282" w14:textId="77777777" w:rsidR="00D00ACA" w:rsidRPr="005B4339" w:rsidRDefault="00D00ACA" w:rsidP="007D1AE5">
            <w:pPr>
              <w:rPr>
                <w:rFonts w:eastAsiaTheme="minorEastAsia"/>
                <w:b/>
                <w:bCs/>
                <w:noProof/>
              </w:rPr>
            </w:pPr>
            <w:r w:rsidRPr="005B4339">
              <w:rPr>
                <w:rFonts w:eastAsiaTheme="minorEastAsia"/>
                <w:b/>
                <w:bCs/>
                <w:noProof/>
              </w:rPr>
              <w:t>RECOMMENDATION 1</w:t>
            </w:r>
          </w:p>
          <w:p w14:paraId="6D1C975A" w14:textId="77777777" w:rsidR="00D00ACA" w:rsidRPr="005B4339" w:rsidRDefault="00D00ACA" w:rsidP="007D1AE5">
            <w:pPr>
              <w:rPr>
                <w:rFonts w:eastAsiaTheme="minorEastAsia"/>
                <w:b/>
                <w:noProof/>
              </w:rPr>
            </w:pPr>
            <w:r w:rsidRPr="005B4339">
              <w:rPr>
                <w:rFonts w:eastAsiaTheme="minorEastAsia"/>
                <w:b/>
                <w:bCs/>
                <w:noProof/>
              </w:rPr>
              <w:t>The closer the farmer, the happier the consumer: Less waste, more sustainability</w:t>
            </w:r>
          </w:p>
        </w:tc>
      </w:tr>
      <w:tr w:rsidR="00D00ACA" w:rsidRPr="005B4339" w14:paraId="101C242B" w14:textId="77777777" w:rsidTr="007D1AE5">
        <w:trPr>
          <w:trHeight w:val="3519"/>
        </w:trPr>
        <w:tc>
          <w:tcPr>
            <w:tcW w:w="9209" w:type="dxa"/>
            <w:shd w:val="clear" w:color="auto" w:fill="FFFFFF" w:themeFill="background1"/>
          </w:tcPr>
          <w:p w14:paraId="4F5DE42B" w14:textId="77777777" w:rsidR="00D00ACA" w:rsidRPr="005B4339" w:rsidRDefault="00D00ACA" w:rsidP="0043499F">
            <w:pPr>
              <w:rPr>
                <w:noProof/>
              </w:rPr>
            </w:pPr>
            <w:bookmarkStart w:id="1081" w:name="_Hlk126878792"/>
            <w:r w:rsidRPr="005B4339">
              <w:rPr>
                <w:noProof/>
              </w:rPr>
              <w:t xml:space="preserve">We recommend that the EU continues its work with policies and initiatives to support small-scale producers in their trade with retailers and supermarkets. Large retailers/processors have a clear power advantage in this relationship, and often steer the trade in their favour, sometimes resulting in food waste. </w:t>
            </w:r>
          </w:p>
          <w:p w14:paraId="6007338A" w14:textId="77777777" w:rsidR="00D00ACA" w:rsidRPr="005B4339" w:rsidRDefault="00D00ACA" w:rsidP="0043499F">
            <w:pPr>
              <w:rPr>
                <w:noProof/>
              </w:rPr>
            </w:pPr>
          </w:p>
          <w:p w14:paraId="0F5120E2" w14:textId="77777777" w:rsidR="00D00ACA" w:rsidRPr="005B4339" w:rsidRDefault="00D00ACA" w:rsidP="0043499F">
            <w:pPr>
              <w:rPr>
                <w:noProof/>
              </w:rPr>
            </w:pPr>
            <w:r w:rsidRPr="005B4339">
              <w:rPr>
                <w:noProof/>
              </w:rPr>
              <w:t xml:space="preserve">Three aspects need specific attention: </w:t>
            </w:r>
          </w:p>
          <w:p w14:paraId="36673939" w14:textId="77777777" w:rsidR="00D00ACA" w:rsidRPr="005B4339" w:rsidRDefault="00D00ACA" w:rsidP="0043499F">
            <w:pPr>
              <w:rPr>
                <w:noProof/>
              </w:rPr>
            </w:pPr>
            <w:r w:rsidRPr="005B4339">
              <w:rPr>
                <w:noProof/>
              </w:rPr>
              <w:t xml:space="preserve">1) The EU and its Member States should encourage retailers and supermarkets to always source from the closest producer possible. Furthermore, they should investigate and develop incentives that motivate retailers to follow these recommendations. </w:t>
            </w:r>
          </w:p>
          <w:p w14:paraId="310AFF3F" w14:textId="77777777" w:rsidR="00D00ACA" w:rsidRPr="005B4339" w:rsidRDefault="00D00ACA" w:rsidP="0043499F">
            <w:pPr>
              <w:rPr>
                <w:noProof/>
              </w:rPr>
            </w:pPr>
            <w:r w:rsidRPr="005B4339">
              <w:rPr>
                <w:noProof/>
              </w:rPr>
              <w:t xml:space="preserve">2) The EU needs to monitor and track the ban on last minute cancellations from 2019 and be ready to intervene if it is not followed. </w:t>
            </w:r>
          </w:p>
          <w:p w14:paraId="0DEEEEEE" w14:textId="77777777" w:rsidR="00D00ACA" w:rsidRPr="005B4339" w:rsidRDefault="00D00ACA" w:rsidP="0043499F">
            <w:pPr>
              <w:rPr>
                <w:noProof/>
              </w:rPr>
            </w:pPr>
            <w:r w:rsidRPr="005B4339">
              <w:rPr>
                <w:noProof/>
              </w:rPr>
              <w:t xml:space="preserve"> 3) The EU needs to continue working with policies on ugly/misshaped food and investigate further the consequences in relation to food waste when such products are rejected.</w:t>
            </w:r>
          </w:p>
          <w:p w14:paraId="2250C82D" w14:textId="77777777" w:rsidR="00D00ACA" w:rsidRPr="005B4339" w:rsidRDefault="00D00ACA" w:rsidP="0043499F">
            <w:pPr>
              <w:rPr>
                <w:rFonts w:eastAsiaTheme="minorEastAsia"/>
                <w:noProof/>
                <w:lang w:val="en-AU"/>
              </w:rPr>
            </w:pPr>
          </w:p>
        </w:tc>
      </w:tr>
      <w:tr w:rsidR="00D00ACA" w:rsidRPr="005B4339" w14:paraId="6EEFEA5F" w14:textId="77777777" w:rsidTr="007D1AE5">
        <w:trPr>
          <w:trHeight w:val="1340"/>
        </w:trPr>
        <w:tc>
          <w:tcPr>
            <w:tcW w:w="9209" w:type="dxa"/>
            <w:shd w:val="clear" w:color="auto" w:fill="FFFFFF" w:themeFill="background1"/>
          </w:tcPr>
          <w:p w14:paraId="22A4337B" w14:textId="77777777" w:rsidR="00D00ACA" w:rsidRPr="005B4339" w:rsidRDefault="00D00ACA" w:rsidP="0043499F">
            <w:pPr>
              <w:rPr>
                <w:noProof/>
              </w:rPr>
            </w:pPr>
            <w:r w:rsidRPr="005B4339">
              <w:rPr>
                <w:b/>
                <w:noProof/>
              </w:rPr>
              <w:t>Rationale/justification</w:t>
            </w:r>
            <w:r w:rsidRPr="005B4339">
              <w:rPr>
                <w:noProof/>
              </w:rPr>
              <w:br/>
              <w:t>Supporting small-scale producers and their sales in close proximity have high potential to reduce food waste in several ways, both along the value chain and in households: </w:t>
            </w:r>
          </w:p>
          <w:p w14:paraId="1057AF75" w14:textId="77777777" w:rsidR="00D00ACA" w:rsidRPr="005B4339" w:rsidRDefault="00D00ACA" w:rsidP="00AA4484">
            <w:pPr>
              <w:pStyle w:val="ListParagraph"/>
              <w:numPr>
                <w:ilvl w:val="0"/>
                <w:numId w:val="216"/>
              </w:numPr>
              <w:spacing w:after="0"/>
              <w:rPr>
                <w:noProof/>
                <w:lang w:val="en-AU"/>
              </w:rPr>
            </w:pPr>
            <w:r w:rsidRPr="005B4339">
              <w:rPr>
                <w:noProof/>
              </w:rPr>
              <w:t>When transportation of food is long and supermarkets try to be cost efficient by increasing volumes, food waste is likely. </w:t>
            </w:r>
          </w:p>
          <w:p w14:paraId="0EF2D0B5" w14:textId="77777777" w:rsidR="00D00ACA" w:rsidRPr="005B4339" w:rsidRDefault="00D00ACA" w:rsidP="00AA4484">
            <w:pPr>
              <w:pStyle w:val="ListParagraph"/>
              <w:numPr>
                <w:ilvl w:val="0"/>
                <w:numId w:val="216"/>
              </w:numPr>
              <w:spacing w:after="0"/>
              <w:rPr>
                <w:noProof/>
                <w:lang w:val="en-AU"/>
              </w:rPr>
            </w:pPr>
            <w:r w:rsidRPr="005B4339">
              <w:rPr>
                <w:noProof/>
              </w:rPr>
              <w:t>Local producers can be more adaptable and respond faster to changes in demand, which can reduce waste.</w:t>
            </w:r>
          </w:p>
          <w:p w14:paraId="143D61E2" w14:textId="77777777" w:rsidR="00D00ACA" w:rsidRPr="005B4339" w:rsidRDefault="00D00ACA" w:rsidP="00AA4484">
            <w:pPr>
              <w:pStyle w:val="ListParagraph"/>
              <w:numPr>
                <w:ilvl w:val="0"/>
                <w:numId w:val="216"/>
              </w:numPr>
              <w:spacing w:after="0"/>
              <w:rPr>
                <w:noProof/>
                <w:lang w:val="en-AU"/>
              </w:rPr>
            </w:pPr>
            <w:r w:rsidRPr="005B4339">
              <w:rPr>
                <w:noProof/>
              </w:rPr>
              <w:t>Food from nearby producers is often of higher quality and longer lasting, which can result in less waste in households. </w:t>
            </w:r>
          </w:p>
          <w:p w14:paraId="11E0E270" w14:textId="77777777" w:rsidR="00D00ACA" w:rsidRPr="005B4339" w:rsidRDefault="00D00ACA" w:rsidP="00AA4484">
            <w:pPr>
              <w:pStyle w:val="ListParagraph"/>
              <w:numPr>
                <w:ilvl w:val="0"/>
                <w:numId w:val="216"/>
              </w:numPr>
              <w:spacing w:after="0"/>
              <w:rPr>
                <w:noProof/>
                <w:lang w:val="en-AU"/>
              </w:rPr>
            </w:pPr>
            <w:r w:rsidRPr="005B4339">
              <w:rPr>
                <w:noProof/>
              </w:rPr>
              <w:t>Food currently disposed of due to its wrong shape can be avoided. </w:t>
            </w:r>
          </w:p>
          <w:p w14:paraId="3627E213" w14:textId="270511FE" w:rsidR="00D00ACA" w:rsidRPr="005B4339" w:rsidRDefault="00D00ACA" w:rsidP="0043499F">
            <w:pPr>
              <w:pStyle w:val="ListParagraph"/>
              <w:numPr>
                <w:ilvl w:val="0"/>
                <w:numId w:val="216"/>
              </w:numPr>
              <w:spacing w:after="0"/>
              <w:rPr>
                <w:rFonts w:eastAsiaTheme="minorEastAsia"/>
                <w:noProof/>
                <w:color w:val="85200C"/>
                <w:lang w:val="en-AU"/>
              </w:rPr>
            </w:pPr>
            <w:r w:rsidRPr="005B4339">
              <w:rPr>
                <w:noProof/>
              </w:rPr>
              <w:t>Food waste due to last minute cancellations can be avoided if more comprehensive regulations and frameworks supporting small producers are in place.</w:t>
            </w:r>
          </w:p>
        </w:tc>
      </w:tr>
      <w:tr w:rsidR="00D00ACA" w:rsidRPr="005B4339" w14:paraId="4F1D7D32" w14:textId="77777777" w:rsidTr="007D1AE5">
        <w:trPr>
          <w:trHeight w:val="1774"/>
        </w:trPr>
        <w:tc>
          <w:tcPr>
            <w:tcW w:w="9209" w:type="dxa"/>
            <w:shd w:val="clear" w:color="auto" w:fill="FFFFFF" w:themeFill="background1"/>
          </w:tcPr>
          <w:p w14:paraId="04FF320F" w14:textId="32BB9520" w:rsidR="00D00ACA" w:rsidRPr="005B4339" w:rsidRDefault="00D00ACA" w:rsidP="007D1AE5">
            <w:pPr>
              <w:jc w:val="left"/>
              <w:rPr>
                <w:noProof/>
              </w:rPr>
            </w:pPr>
            <w:r w:rsidRPr="005B4339">
              <w:rPr>
                <w:rFonts w:eastAsiaTheme="minorHAnsi" w:cstheme="minorHAnsi"/>
                <w:b/>
                <w:noProof/>
                <w:lang w:eastAsia="en-US"/>
              </w:rPr>
              <w:t>Additional notes</w:t>
            </w:r>
            <w:r w:rsidRPr="005B4339">
              <w:rPr>
                <w:noProof/>
              </w:rPr>
              <w:br/>
              <w:t>Positive influence on food security and health.</w:t>
            </w:r>
          </w:p>
          <w:p w14:paraId="4D301116" w14:textId="77777777" w:rsidR="00D00ACA" w:rsidRPr="005B4339" w:rsidRDefault="00D00ACA" w:rsidP="0043499F">
            <w:pPr>
              <w:rPr>
                <w:noProof/>
              </w:rPr>
            </w:pPr>
            <w:r w:rsidRPr="005B4339">
              <w:rPr>
                <w:noProof/>
              </w:rPr>
              <w:t>Emphasizing the importance of combining this recommendation with other initiatives focusing on consumer behaviour, public awareness, and education to strengthen the cooperation between stakeholders and improve the general understanding of food waste and its relation to local food production.</w:t>
            </w:r>
          </w:p>
          <w:p w14:paraId="480C5634" w14:textId="77777777" w:rsidR="00D00ACA" w:rsidRPr="005B4339" w:rsidRDefault="00D00ACA" w:rsidP="0043499F">
            <w:pPr>
              <w:rPr>
                <w:noProof/>
              </w:rPr>
            </w:pPr>
            <w:r w:rsidRPr="005B4339">
              <w:rPr>
                <w:noProof/>
              </w:rPr>
              <w:t xml:space="preserve">Challenges: </w:t>
            </w:r>
          </w:p>
          <w:p w14:paraId="1C53E13C" w14:textId="77777777" w:rsidR="00D00ACA" w:rsidRPr="005B4339" w:rsidRDefault="00D00ACA" w:rsidP="00AA4484">
            <w:pPr>
              <w:pStyle w:val="ListParagraph"/>
              <w:numPr>
                <w:ilvl w:val="0"/>
                <w:numId w:val="219"/>
              </w:numPr>
              <w:spacing w:after="0"/>
              <w:rPr>
                <w:noProof/>
              </w:rPr>
            </w:pPr>
            <w:r w:rsidRPr="005B4339">
              <w:rPr>
                <w:noProof/>
              </w:rPr>
              <w:t xml:space="preserve">Trade-off with EU principle on free trade and free market, therefore it can be opposed by large corporations/retailers and lobbyist groups. </w:t>
            </w:r>
          </w:p>
          <w:p w14:paraId="58F47431" w14:textId="77777777" w:rsidR="00D00ACA" w:rsidRPr="005B4339" w:rsidRDefault="00D00ACA" w:rsidP="00AA4484">
            <w:pPr>
              <w:pStyle w:val="ListParagraph"/>
              <w:numPr>
                <w:ilvl w:val="0"/>
                <w:numId w:val="220"/>
              </w:numPr>
              <w:spacing w:after="0"/>
              <w:rPr>
                <w:noProof/>
              </w:rPr>
            </w:pPr>
            <w:r w:rsidRPr="005B4339">
              <w:rPr>
                <w:noProof/>
              </w:rPr>
              <w:t>It is important to consider and discuss what is “local” and what is a “short supply chain” when working further with this recommendation, since there is no common definition for this at EU level.</w:t>
            </w:r>
          </w:p>
          <w:p w14:paraId="351A5AE3" w14:textId="77777777" w:rsidR="00D00ACA" w:rsidRPr="005B4339" w:rsidRDefault="00D00ACA" w:rsidP="00AA4484">
            <w:pPr>
              <w:pStyle w:val="ListParagraph"/>
              <w:numPr>
                <w:ilvl w:val="0"/>
                <w:numId w:val="220"/>
              </w:numPr>
              <w:spacing w:after="0"/>
              <w:rPr>
                <w:noProof/>
              </w:rPr>
            </w:pPr>
            <w:r w:rsidRPr="005B4339">
              <w:rPr>
                <w:noProof/>
              </w:rPr>
              <w:t>Seasonality of products and demand of consumers can challenge a potentially limited supply due to focus on food from short food chain.</w:t>
            </w:r>
          </w:p>
        </w:tc>
      </w:tr>
      <w:bookmarkEnd w:id="1081"/>
    </w:tbl>
    <w:p w14:paraId="3958D2FD" w14:textId="77777777" w:rsidR="00AA4484" w:rsidRPr="005B4339" w:rsidRDefault="00AA4484" w:rsidP="00AA4484">
      <w:pPr>
        <w:spacing w:after="0"/>
        <w:rPr>
          <w:rStyle w:val="eop"/>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030FF94A" w14:textId="77777777" w:rsidTr="0043499F">
        <w:tc>
          <w:tcPr>
            <w:tcW w:w="9182" w:type="dxa"/>
            <w:shd w:val="clear" w:color="auto" w:fill="DAEEF3" w:themeFill="accent5" w:themeFillTint="33"/>
          </w:tcPr>
          <w:p w14:paraId="1FA2F600" w14:textId="77777777" w:rsidR="00AA4484" w:rsidRPr="005B4339" w:rsidRDefault="00AA4484" w:rsidP="007D1AE5">
            <w:pPr>
              <w:rPr>
                <w:rFonts w:eastAsiaTheme="minorEastAsia"/>
                <w:b/>
                <w:bCs/>
                <w:noProof/>
              </w:rPr>
            </w:pPr>
            <w:r w:rsidRPr="005B4339">
              <w:rPr>
                <w:rFonts w:eastAsiaTheme="minorEastAsia"/>
                <w:b/>
                <w:bCs/>
                <w:noProof/>
              </w:rPr>
              <w:t>RECOMMENDATION 2</w:t>
            </w:r>
          </w:p>
          <w:p w14:paraId="49C4196B" w14:textId="77777777" w:rsidR="00AA4484" w:rsidRPr="005B4339" w:rsidRDefault="00AA4484" w:rsidP="007D1AE5">
            <w:pPr>
              <w:rPr>
                <w:rFonts w:eastAsiaTheme="minorEastAsia"/>
                <w:b/>
                <w:noProof/>
                <w:lang w:val="en-AU"/>
              </w:rPr>
            </w:pPr>
            <w:r w:rsidRPr="005B4339">
              <w:rPr>
                <w:rFonts w:eastAsiaTheme="minorEastAsia"/>
                <w:b/>
                <w:bCs/>
                <w:noProof/>
              </w:rPr>
              <w:t>Tastes of home: Public and private support for local farming to reduce food waste</w:t>
            </w:r>
          </w:p>
        </w:tc>
      </w:tr>
      <w:tr w:rsidR="00AA4484" w:rsidRPr="005B4339" w14:paraId="2CD32E5A" w14:textId="77777777" w:rsidTr="0043499F">
        <w:trPr>
          <w:trHeight w:val="2998"/>
        </w:trPr>
        <w:tc>
          <w:tcPr>
            <w:tcW w:w="9182" w:type="dxa"/>
            <w:shd w:val="clear" w:color="auto" w:fill="FFFFFF" w:themeFill="background1"/>
          </w:tcPr>
          <w:p w14:paraId="16DB3013" w14:textId="77777777" w:rsidR="00AA4484" w:rsidRPr="005B4339" w:rsidRDefault="00AA4484" w:rsidP="0043499F">
            <w:pPr>
              <w:rPr>
                <w:noProof/>
              </w:rPr>
            </w:pPr>
          </w:p>
          <w:p w14:paraId="71D0187A" w14:textId="77777777" w:rsidR="00AA4484" w:rsidRPr="005B4339" w:rsidRDefault="00AA4484" w:rsidP="0043499F">
            <w:pPr>
              <w:rPr>
                <w:noProof/>
              </w:rPr>
            </w:pPr>
            <w:r w:rsidRPr="005B4339">
              <w:rPr>
                <w:noProof/>
              </w:rPr>
              <w:t>We recommend local &amp; regional authorities to support local farmers with practical solutions and initiatives aimed at reducing food waste. The goal is to encourage stakeholders to cooperate more closely to drive these initiatives and thereby create a sustainable food system that benefits both farmers and consumers.</w:t>
            </w:r>
          </w:p>
          <w:p w14:paraId="5747ED6A" w14:textId="77777777" w:rsidR="00AA4484" w:rsidRPr="005B4339" w:rsidRDefault="00AA4484" w:rsidP="0043499F">
            <w:pPr>
              <w:rPr>
                <w:noProof/>
              </w:rPr>
            </w:pPr>
            <w:r w:rsidRPr="005B4339">
              <w:rPr>
                <w:noProof/>
              </w:rPr>
              <w:t>Several initiatives are suggested for local authorities to initiate:</w:t>
            </w:r>
          </w:p>
          <w:p w14:paraId="7D6BE754" w14:textId="77777777" w:rsidR="00AA4484" w:rsidRPr="005B4339" w:rsidRDefault="00AA4484" w:rsidP="0043499F">
            <w:pPr>
              <w:rPr>
                <w:noProof/>
              </w:rPr>
            </w:pPr>
            <w:r w:rsidRPr="005B4339">
              <w:rPr>
                <w:noProof/>
              </w:rPr>
              <w:t>1) Tax reliefs and subsidies for small scale farmers.</w:t>
            </w:r>
          </w:p>
          <w:p w14:paraId="2F9669F8" w14:textId="77777777" w:rsidR="00AA4484" w:rsidRPr="005B4339" w:rsidRDefault="00AA4484" w:rsidP="0043499F">
            <w:pPr>
              <w:rPr>
                <w:noProof/>
              </w:rPr>
            </w:pPr>
            <w:r w:rsidRPr="005B4339">
              <w:rPr>
                <w:noProof/>
              </w:rPr>
              <w:t>2) Support local farmers in finding new markets where they can be protected from unfair power relations with retailers, for example by allocating public spaces for sales.</w:t>
            </w:r>
          </w:p>
          <w:p w14:paraId="386C0AAA" w14:textId="77777777" w:rsidR="00AA4484" w:rsidRPr="005B4339" w:rsidRDefault="00AA4484" w:rsidP="0043499F">
            <w:pPr>
              <w:rPr>
                <w:noProof/>
              </w:rPr>
            </w:pPr>
            <w:r w:rsidRPr="005B4339">
              <w:rPr>
                <w:noProof/>
              </w:rPr>
              <w:t>3) Encourage inclusive processes and initiatives with value chain stakeholders for the work with food waste, for example by promoting the use of "food waste apps" in a city. </w:t>
            </w:r>
          </w:p>
          <w:p w14:paraId="2B2B07B3" w14:textId="0EAEB53C" w:rsidR="00AA4484" w:rsidRPr="005B4339" w:rsidRDefault="00AA4484" w:rsidP="0043499F">
            <w:pPr>
              <w:rPr>
                <w:noProof/>
                <w:lang w:val="en-AU"/>
              </w:rPr>
            </w:pPr>
            <w:r w:rsidRPr="005B4339">
              <w:rPr>
                <w:noProof/>
              </w:rPr>
              <w:t>4) Support associations and other actors that are supporting local farmers in food waste issues, such as food banks.</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75BA7B61" w14:textId="77777777" w:rsidTr="0043499F">
        <w:trPr>
          <w:trHeight w:val="2452"/>
        </w:trPr>
        <w:tc>
          <w:tcPr>
            <w:tcW w:w="9182" w:type="dxa"/>
            <w:shd w:val="clear" w:color="auto" w:fill="FFFFFF" w:themeFill="background1"/>
          </w:tcPr>
          <w:p w14:paraId="3CA601BF" w14:textId="77777777" w:rsidR="00AA4484" w:rsidRPr="005B4339" w:rsidRDefault="00AA4484" w:rsidP="0043499F">
            <w:pPr>
              <w:spacing w:after="0"/>
              <w:rPr>
                <w:rFonts w:cstheme="minorHAnsi"/>
                <w:b/>
                <w:noProof/>
              </w:rPr>
            </w:pPr>
            <w:r w:rsidRPr="005B4339">
              <w:rPr>
                <w:rFonts w:cstheme="minorHAnsi"/>
                <w:b/>
                <w:noProof/>
              </w:rPr>
              <w:t>Rationale/justification</w:t>
            </w:r>
          </w:p>
          <w:p w14:paraId="479DC810" w14:textId="77777777" w:rsidR="00AA4484" w:rsidRPr="005B4339" w:rsidRDefault="00AA4484" w:rsidP="0043499F">
            <w:pPr>
              <w:spacing w:after="0"/>
              <w:rPr>
                <w:rFonts w:cstheme="minorHAnsi"/>
                <w:noProof/>
                <w:lang w:val="en-AU"/>
              </w:rPr>
            </w:pPr>
            <w:r w:rsidRPr="005B4339">
              <w:rPr>
                <w:rFonts w:cstheme="minorHAnsi"/>
                <w:noProof/>
              </w:rPr>
              <w:t>Supporting small-scale producers and their sales in short proximity have high potential to reduce food waste in several ways, both along the value chain and in households: </w:t>
            </w:r>
          </w:p>
          <w:p w14:paraId="0B10F930" w14:textId="77777777" w:rsidR="00AA4484" w:rsidRPr="005B4339" w:rsidRDefault="00AA4484" w:rsidP="00AA4484">
            <w:pPr>
              <w:pStyle w:val="ListParagraph"/>
              <w:numPr>
                <w:ilvl w:val="0"/>
                <w:numId w:val="216"/>
              </w:numPr>
              <w:spacing w:after="0"/>
              <w:rPr>
                <w:rFonts w:cstheme="minorHAnsi"/>
                <w:noProof/>
                <w:lang w:val="en-AU"/>
              </w:rPr>
            </w:pPr>
            <w:r w:rsidRPr="005B4339">
              <w:rPr>
                <w:rFonts w:cstheme="minorHAnsi"/>
                <w:noProof/>
              </w:rPr>
              <w:t>When transportation of food is long and supermarkets try to be cost efficient by increasing volumes, food waste is likely. </w:t>
            </w:r>
          </w:p>
          <w:p w14:paraId="25346514" w14:textId="77777777" w:rsidR="00AA4484" w:rsidRPr="005B4339" w:rsidRDefault="00AA4484" w:rsidP="00AA4484">
            <w:pPr>
              <w:pStyle w:val="ListParagraph"/>
              <w:numPr>
                <w:ilvl w:val="0"/>
                <w:numId w:val="216"/>
              </w:numPr>
              <w:spacing w:after="0"/>
              <w:rPr>
                <w:rFonts w:cstheme="minorHAnsi"/>
                <w:noProof/>
                <w:lang w:val="en-AU"/>
              </w:rPr>
            </w:pPr>
            <w:r w:rsidRPr="005B4339">
              <w:rPr>
                <w:rFonts w:cstheme="minorHAnsi"/>
                <w:noProof/>
              </w:rPr>
              <w:t>Local producers can respond faster to changes in demand, and be more adaptable to changes, which can reduce waste.</w:t>
            </w:r>
          </w:p>
          <w:p w14:paraId="66168468" w14:textId="77777777" w:rsidR="00AA4484" w:rsidRPr="005B4339" w:rsidRDefault="00AA4484" w:rsidP="00AA4484">
            <w:pPr>
              <w:pStyle w:val="ListParagraph"/>
              <w:numPr>
                <w:ilvl w:val="0"/>
                <w:numId w:val="216"/>
              </w:numPr>
              <w:spacing w:after="0"/>
              <w:rPr>
                <w:rFonts w:cstheme="minorHAnsi"/>
                <w:noProof/>
              </w:rPr>
            </w:pPr>
            <w:r w:rsidRPr="005B4339">
              <w:rPr>
                <w:rFonts w:cstheme="minorHAnsi"/>
                <w:noProof/>
              </w:rPr>
              <w:t xml:space="preserve">Food from local producers is often of a higher quality and lasts longer, which means that shortening the value chain would reduce waste both at the transport and household level. </w:t>
            </w:r>
          </w:p>
          <w:p w14:paraId="08E28950" w14:textId="77777777" w:rsidR="00AA4484" w:rsidRPr="005B4339" w:rsidRDefault="00AA4484" w:rsidP="0043499F">
            <w:pPr>
              <w:spacing w:after="0"/>
              <w:rPr>
                <w:rFonts w:cstheme="minorHAnsi"/>
                <w:noProof/>
              </w:rPr>
            </w:pPr>
          </w:p>
        </w:tc>
      </w:tr>
      <w:tr w:rsidR="00AA4484" w:rsidRPr="005B4339" w14:paraId="50E0B822" w14:textId="77777777" w:rsidTr="0043499F">
        <w:trPr>
          <w:trHeight w:val="1488"/>
        </w:trPr>
        <w:tc>
          <w:tcPr>
            <w:tcW w:w="9182" w:type="dxa"/>
            <w:shd w:val="clear" w:color="auto" w:fill="FFFFFF" w:themeFill="background1"/>
          </w:tcPr>
          <w:p w14:paraId="0E1C36B8" w14:textId="77777777" w:rsidR="00AA4484" w:rsidRPr="005B4339" w:rsidRDefault="00AA4484" w:rsidP="0043499F">
            <w:pPr>
              <w:spacing w:after="0"/>
              <w:rPr>
                <w:rFonts w:cstheme="minorHAnsi"/>
                <w:b/>
                <w:noProof/>
              </w:rPr>
            </w:pPr>
            <w:r w:rsidRPr="005B4339">
              <w:rPr>
                <w:rFonts w:cstheme="minorHAnsi"/>
                <w:b/>
                <w:noProof/>
              </w:rPr>
              <w:t>Additional notes</w:t>
            </w:r>
          </w:p>
          <w:p w14:paraId="6B6BFBB2" w14:textId="77777777" w:rsidR="00AA4484" w:rsidRPr="005B4339" w:rsidRDefault="00AA4484" w:rsidP="00AA4484">
            <w:pPr>
              <w:pStyle w:val="ListParagraph"/>
              <w:numPr>
                <w:ilvl w:val="0"/>
                <w:numId w:val="217"/>
              </w:numPr>
              <w:spacing w:after="0"/>
              <w:rPr>
                <w:rFonts w:cstheme="minorHAnsi"/>
                <w:noProof/>
              </w:rPr>
            </w:pPr>
            <w:r w:rsidRPr="005B4339">
              <w:rPr>
                <w:rFonts w:cstheme="minorHAnsi"/>
                <w:noProof/>
              </w:rPr>
              <w:t>Emphasizing the importance of combining this recommendation with other initiatives focusing on consumer behaviour, public awareness, and education to strengthen the cooperation between stakeholders and improve the general understanding of food waste and its relation to local food production.</w:t>
            </w:r>
          </w:p>
          <w:p w14:paraId="28A3C71D" w14:textId="77777777" w:rsidR="00AA4484" w:rsidRPr="005B4339" w:rsidRDefault="00AA4484" w:rsidP="0043499F">
            <w:pPr>
              <w:spacing w:after="0"/>
              <w:rPr>
                <w:rFonts w:cstheme="minorHAnsi"/>
                <w:noProof/>
              </w:rPr>
            </w:pPr>
            <w:r w:rsidRPr="005B4339">
              <w:rPr>
                <w:rFonts w:cstheme="minorHAnsi"/>
                <w:noProof/>
              </w:rPr>
              <w:t>Main challenges</w:t>
            </w:r>
          </w:p>
          <w:p w14:paraId="2E1A694B" w14:textId="77777777" w:rsidR="00AA4484" w:rsidRPr="005B4339" w:rsidRDefault="00AA4484" w:rsidP="00AA4484">
            <w:pPr>
              <w:pStyle w:val="ListParagraph"/>
              <w:numPr>
                <w:ilvl w:val="0"/>
                <w:numId w:val="217"/>
              </w:numPr>
              <w:spacing w:after="0"/>
              <w:rPr>
                <w:rFonts w:cstheme="minorHAnsi"/>
                <w:noProof/>
              </w:rPr>
            </w:pPr>
            <w:r w:rsidRPr="005B4339">
              <w:rPr>
                <w:rFonts w:cstheme="minorHAnsi"/>
                <w:noProof/>
              </w:rPr>
              <w:t xml:space="preserve">Large scope and complexity of the recommendation. It will take time to analyse and implement many of the suggested initiatives, and it requires solid monitoring systems. </w:t>
            </w:r>
          </w:p>
          <w:p w14:paraId="46464035" w14:textId="77777777" w:rsidR="00AA4484" w:rsidRPr="005B4339" w:rsidRDefault="00AA4484" w:rsidP="00AA4484">
            <w:pPr>
              <w:pStyle w:val="ListParagraph"/>
              <w:numPr>
                <w:ilvl w:val="0"/>
                <w:numId w:val="217"/>
              </w:numPr>
              <w:spacing w:after="0"/>
              <w:rPr>
                <w:rFonts w:cstheme="minorHAnsi"/>
                <w:noProof/>
              </w:rPr>
            </w:pPr>
            <w:r w:rsidRPr="005B4339">
              <w:rPr>
                <w:rFonts w:cstheme="minorHAnsi"/>
                <w:noProof/>
              </w:rPr>
              <w:t xml:space="preserve">Trade-off with EU principle on free trade and free market which can challenge the initiative and its acceptance by different stakeholders. </w:t>
            </w:r>
          </w:p>
          <w:p w14:paraId="101A028E" w14:textId="77777777" w:rsidR="00AA4484" w:rsidRPr="005B4339" w:rsidRDefault="00AA4484" w:rsidP="0043499F">
            <w:pPr>
              <w:spacing w:after="0"/>
              <w:rPr>
                <w:rFonts w:cstheme="minorHAnsi"/>
                <w:noProof/>
              </w:rPr>
            </w:pPr>
          </w:p>
        </w:tc>
      </w:tr>
    </w:tbl>
    <w:p w14:paraId="4C267BF4" w14:textId="77777777" w:rsidR="00AA4484" w:rsidRPr="005B4339" w:rsidRDefault="00AA4484" w:rsidP="00AA4484">
      <w:pPr>
        <w:rPr>
          <w:rStyle w:val="eop"/>
          <w:rFonts w:eastAsia="Times New Roman" w:cstheme="minorHAnsi"/>
          <w:noProof/>
          <w:lang w:eastAsia="de-DE"/>
        </w:rPr>
      </w:pPr>
    </w:p>
    <w:p w14:paraId="7B6E1D39" w14:textId="77777777" w:rsidR="00AA4484" w:rsidRPr="005B4339" w:rsidRDefault="00AA4484" w:rsidP="00AA4484">
      <w:pPr>
        <w:rPr>
          <w:rStyle w:val="eop"/>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2C847D24" w14:textId="77777777" w:rsidTr="0043499F">
        <w:tc>
          <w:tcPr>
            <w:tcW w:w="9182" w:type="dxa"/>
            <w:shd w:val="clear" w:color="auto" w:fill="DAEEF3" w:themeFill="accent5" w:themeFillTint="33"/>
          </w:tcPr>
          <w:p w14:paraId="4A640EE4" w14:textId="77777777" w:rsidR="00AA4484" w:rsidRPr="005B4339" w:rsidRDefault="00AA4484" w:rsidP="007D1AE5">
            <w:pPr>
              <w:rPr>
                <w:rFonts w:eastAsiaTheme="minorEastAsia"/>
                <w:b/>
                <w:bCs/>
                <w:noProof/>
              </w:rPr>
            </w:pPr>
            <w:r w:rsidRPr="005B4339">
              <w:rPr>
                <w:rFonts w:eastAsiaTheme="minorEastAsia"/>
                <w:b/>
                <w:bCs/>
                <w:noProof/>
              </w:rPr>
              <w:t xml:space="preserve">RECOMMENDATION 3 </w:t>
            </w:r>
          </w:p>
          <w:p w14:paraId="7B9C0BFA" w14:textId="77777777" w:rsidR="00AA4484" w:rsidRPr="005B4339" w:rsidRDefault="00AA4484" w:rsidP="007D1AE5">
            <w:pPr>
              <w:rPr>
                <w:rFonts w:eastAsiaTheme="minorEastAsia"/>
                <w:b/>
                <w:noProof/>
                <w:sz w:val="22"/>
                <w:szCs w:val="22"/>
              </w:rPr>
            </w:pPr>
            <w:r w:rsidRPr="005B4339">
              <w:rPr>
                <w:rFonts w:eastAsiaTheme="minorEastAsia"/>
                <w:b/>
                <w:bCs/>
                <w:noProof/>
              </w:rPr>
              <w:t>Share don't waste!</w:t>
            </w:r>
          </w:p>
        </w:tc>
      </w:tr>
      <w:tr w:rsidR="00AA4484" w:rsidRPr="005B4339" w14:paraId="2D98B0F1" w14:textId="77777777" w:rsidTr="0043499F">
        <w:trPr>
          <w:trHeight w:val="2914"/>
        </w:trPr>
        <w:tc>
          <w:tcPr>
            <w:tcW w:w="9182" w:type="dxa"/>
            <w:shd w:val="clear" w:color="auto" w:fill="FFFFFF" w:themeFill="background1"/>
          </w:tcPr>
          <w:p w14:paraId="71C1A9B6" w14:textId="77777777" w:rsidR="00AA4484" w:rsidRPr="005B4339" w:rsidRDefault="00AA4484" w:rsidP="0043499F">
            <w:pPr>
              <w:rPr>
                <w:rFonts w:eastAsiaTheme="minorEastAsia"/>
                <w:noProof/>
              </w:rPr>
            </w:pPr>
            <w:r w:rsidRPr="005B4339">
              <w:rPr>
                <w:rFonts w:eastAsiaTheme="minorEastAsia"/>
                <w:noProof/>
              </w:rPr>
              <w:t>We recommend that food banks, and redistributors in general, should be financially supported at a basic level by governments through a structural scheme common across Europe, instead of primarily working by private donations (but not 100% funded, so it does not turn into a business). We also recommend a platform that connects the various existing apps that connect retailers to food banks. The platform should be user-friendly, efficient, and managed centrally. We also recommend that the food redistributed (donated or sold at a lower price) from retailers to food banks is given away in good time and good condition, preferably 3-5 days before it goes bad (rather than the current 48-hour guideline). The incentive to do this could be a tax deduction for retailers, that decreases the closer the redistribution is to the items’ expiration date. They must donate a minimum amount of food to be eligible for this deduction.</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607EF730" w14:textId="77777777" w:rsidTr="0043499F">
        <w:trPr>
          <w:trHeight w:val="1215"/>
        </w:trPr>
        <w:tc>
          <w:tcPr>
            <w:tcW w:w="9182" w:type="dxa"/>
            <w:shd w:val="clear" w:color="auto" w:fill="FFFFFF" w:themeFill="background1"/>
          </w:tcPr>
          <w:p w14:paraId="55C8D0E9" w14:textId="77777777" w:rsidR="00AA4484" w:rsidRPr="005B4339" w:rsidRDefault="00AA4484" w:rsidP="0043499F">
            <w:pPr>
              <w:spacing w:after="0"/>
              <w:rPr>
                <w:rFonts w:cstheme="minorHAnsi"/>
                <w:b/>
                <w:noProof/>
              </w:rPr>
            </w:pPr>
            <w:r w:rsidRPr="005B4339">
              <w:rPr>
                <w:rFonts w:cstheme="minorHAnsi"/>
                <w:b/>
                <w:noProof/>
              </w:rPr>
              <w:t>Rationale/justification</w:t>
            </w:r>
          </w:p>
          <w:p w14:paraId="14035FCD" w14:textId="77777777" w:rsidR="00AA4484" w:rsidRPr="005B4339" w:rsidRDefault="00AA4484" w:rsidP="0043499F">
            <w:pPr>
              <w:spacing w:after="0"/>
              <w:rPr>
                <w:rFonts w:cstheme="minorHAnsi"/>
                <w:noProof/>
              </w:rPr>
            </w:pPr>
            <w:r w:rsidRPr="005B4339">
              <w:rPr>
                <w:rFonts w:cstheme="minorHAnsi"/>
                <w:noProof/>
              </w:rPr>
              <w:t>Since food waste cannot be completely avoided in the current system, we should at least work to save the food that is wasted. In this context, we should utilise all the tools already available (food banks, applications, relevant associations, initiatives, etc.)</w:t>
            </w:r>
          </w:p>
        </w:tc>
      </w:tr>
      <w:tr w:rsidR="00AA4484" w:rsidRPr="005B4339" w14:paraId="7315C9AD" w14:textId="77777777" w:rsidTr="0043499F">
        <w:trPr>
          <w:trHeight w:val="1155"/>
        </w:trPr>
        <w:tc>
          <w:tcPr>
            <w:tcW w:w="9182" w:type="dxa"/>
            <w:shd w:val="clear" w:color="auto" w:fill="FFFFFF" w:themeFill="background1"/>
          </w:tcPr>
          <w:p w14:paraId="01DDE3BA" w14:textId="77777777" w:rsidR="00AA4484" w:rsidRPr="005B4339" w:rsidRDefault="00AA4484" w:rsidP="0043499F">
            <w:pPr>
              <w:spacing w:after="0"/>
              <w:rPr>
                <w:rFonts w:cstheme="minorHAnsi"/>
                <w:b/>
                <w:noProof/>
              </w:rPr>
            </w:pPr>
            <w:r w:rsidRPr="005B4339">
              <w:rPr>
                <w:rFonts w:cstheme="minorHAnsi"/>
                <w:b/>
                <w:noProof/>
              </w:rPr>
              <w:t>Additional notes</w:t>
            </w:r>
          </w:p>
          <w:p w14:paraId="387610A4" w14:textId="77777777" w:rsidR="00AA4484" w:rsidRPr="005B4339" w:rsidRDefault="00AA4484" w:rsidP="0043499F">
            <w:pPr>
              <w:spacing w:after="0"/>
              <w:rPr>
                <w:rFonts w:cstheme="minorHAnsi"/>
                <w:noProof/>
              </w:rPr>
            </w:pPr>
            <w:r w:rsidRPr="005B4339">
              <w:rPr>
                <w:rFonts w:cstheme="minorHAnsi"/>
                <w:noProof/>
              </w:rPr>
              <w:t>A challenge is how to strengthen the capacity of the food banks without making them into a business industry (as we rather want to handle food waste upstream).</w:t>
            </w:r>
          </w:p>
          <w:p w14:paraId="246934A8" w14:textId="77777777" w:rsidR="00AA4484" w:rsidRPr="005B4339" w:rsidRDefault="00AA4484" w:rsidP="0043499F">
            <w:pPr>
              <w:spacing w:after="0"/>
              <w:rPr>
                <w:rFonts w:cstheme="minorHAnsi"/>
                <w:noProof/>
              </w:rPr>
            </w:pPr>
          </w:p>
        </w:tc>
      </w:tr>
    </w:tbl>
    <w:p w14:paraId="25E6D7FA" w14:textId="77777777" w:rsidR="00AA4484" w:rsidRPr="005B4339" w:rsidRDefault="00AA4484" w:rsidP="00AA4484">
      <w:pPr>
        <w:spacing w:after="0"/>
        <w:rPr>
          <w:rStyle w:val="eop"/>
          <w:rFonts w:eastAsia="Times New Roman" w:cstheme="minorHAnsi"/>
          <w:noProof/>
          <w:lang w:eastAsia="de-DE"/>
        </w:rPr>
      </w:pPr>
    </w:p>
    <w:p w14:paraId="23F85B7A" w14:textId="77777777" w:rsidR="00AA4484" w:rsidRPr="005B4339" w:rsidRDefault="00AA4484" w:rsidP="00AA4484">
      <w:pPr>
        <w:spacing w:after="0"/>
        <w:rPr>
          <w:rStyle w:val="eop"/>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7E0AB21A" w14:textId="77777777" w:rsidTr="0043499F">
        <w:tc>
          <w:tcPr>
            <w:tcW w:w="9182" w:type="dxa"/>
            <w:shd w:val="clear" w:color="auto" w:fill="DAEEF3" w:themeFill="accent5" w:themeFillTint="33"/>
          </w:tcPr>
          <w:p w14:paraId="09DA2001" w14:textId="77777777" w:rsidR="00AA4484" w:rsidRPr="005B4339" w:rsidRDefault="00AA4484" w:rsidP="007D1AE5">
            <w:pPr>
              <w:rPr>
                <w:rFonts w:eastAsiaTheme="minorEastAsia"/>
                <w:b/>
                <w:bCs/>
                <w:noProof/>
              </w:rPr>
            </w:pPr>
            <w:r w:rsidRPr="005B4339">
              <w:rPr>
                <w:rFonts w:eastAsiaTheme="minorEastAsia"/>
                <w:b/>
                <w:bCs/>
                <w:noProof/>
              </w:rPr>
              <w:t>RECOMMENDATION 4</w:t>
            </w:r>
          </w:p>
          <w:p w14:paraId="100A812F" w14:textId="77777777" w:rsidR="00AA4484" w:rsidRPr="005B4339" w:rsidRDefault="00AA4484" w:rsidP="007D1AE5">
            <w:pPr>
              <w:rPr>
                <w:rFonts w:eastAsiaTheme="minorEastAsia"/>
                <w:b/>
                <w:noProof/>
                <w:sz w:val="22"/>
                <w:szCs w:val="22"/>
              </w:rPr>
            </w:pPr>
            <w:r w:rsidRPr="005B4339">
              <w:rPr>
                <w:rFonts w:eastAsiaTheme="minorEastAsia"/>
                <w:b/>
                <w:bCs/>
                <w:noProof/>
              </w:rPr>
              <w:t>Sharing of data and best practices across Europe</w:t>
            </w:r>
          </w:p>
        </w:tc>
      </w:tr>
      <w:tr w:rsidR="00AA4484" w:rsidRPr="005B4339" w14:paraId="47DC9A55" w14:textId="77777777" w:rsidTr="0043499F">
        <w:trPr>
          <w:trHeight w:val="2720"/>
        </w:trPr>
        <w:tc>
          <w:tcPr>
            <w:tcW w:w="9182" w:type="dxa"/>
            <w:shd w:val="clear" w:color="auto" w:fill="FFFFFF" w:themeFill="background1"/>
          </w:tcPr>
          <w:p w14:paraId="18FD48C0" w14:textId="46E95F31" w:rsidR="00AA4484" w:rsidRPr="005B4339" w:rsidRDefault="00AA4484" w:rsidP="0043499F">
            <w:pPr>
              <w:rPr>
                <w:rFonts w:eastAsiaTheme="minorEastAsia"/>
                <w:noProof/>
              </w:rPr>
            </w:pPr>
            <w:r w:rsidRPr="005B4339">
              <w:rPr>
                <w:noProof/>
              </w:rPr>
              <w:t>We recommend that governments in each country share their data and best practices on actions to target all steps of the food waste chain, from producers to consumers, to the European Commission's platform for food waste (</w:t>
            </w:r>
            <w:hyperlink r:id="rId208">
              <w:r w:rsidRPr="005B4339">
                <w:rPr>
                  <w:rStyle w:val="Hyperlink"/>
                  <w:noProof/>
                </w:rPr>
                <w:t>EU Platform on Food Losses and Food Waste</w:t>
              </w:r>
            </w:hyperlink>
            <w:r w:rsidRPr="005B4339">
              <w:rPr>
                <w:noProof/>
              </w:rPr>
              <w:t>). This information will then be managed and analysed by a special committee of EU researchers that work to promote the good practices and make them easily accessible. The data on good practices should be categorized by types of production and types of consumption. In addition, we want to promote a network of cities/regions which access the data and utilize the practices that work best for them, based on similar consumption and production patterns. The network is set up for these localities to learn from each other based on these similarities. The concept of "twin cities" could be applied for this purpose: cities with similar food waste issues work together to solve them.</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62C7BF0C" w14:textId="77777777" w:rsidTr="0043499F">
        <w:trPr>
          <w:trHeight w:val="1395"/>
        </w:trPr>
        <w:tc>
          <w:tcPr>
            <w:tcW w:w="9182" w:type="dxa"/>
            <w:shd w:val="clear" w:color="auto" w:fill="FFFFFF" w:themeFill="background1"/>
          </w:tcPr>
          <w:p w14:paraId="75198BA3" w14:textId="77777777" w:rsidR="00AA4484" w:rsidRPr="005B4339" w:rsidRDefault="00AA4484" w:rsidP="0043499F">
            <w:pPr>
              <w:spacing w:after="0"/>
              <w:rPr>
                <w:b/>
                <w:noProof/>
              </w:rPr>
            </w:pPr>
            <w:r w:rsidRPr="005B4339">
              <w:rPr>
                <w:b/>
                <w:noProof/>
              </w:rPr>
              <w:t>Rationale/justification</w:t>
            </w:r>
          </w:p>
          <w:p w14:paraId="700EE778" w14:textId="77777777" w:rsidR="00AA4484" w:rsidRPr="005B4339" w:rsidRDefault="00AA4484" w:rsidP="0043499F">
            <w:pPr>
              <w:spacing w:after="0"/>
              <w:rPr>
                <w:noProof/>
              </w:rPr>
            </w:pPr>
            <w:r w:rsidRPr="005B4339">
              <w:rPr>
                <w:noProof/>
              </w:rPr>
              <w:t xml:space="preserve">Best practices could be shared more efficiently and consistently. Also, this would utilise both the EU Platform on Food Losses and Food </w:t>
            </w:r>
            <w:r w:rsidRPr="005B4339" w:rsidDel="00EC4ECC">
              <w:rPr>
                <w:noProof/>
              </w:rPr>
              <w:t>Waste</w:t>
            </w:r>
            <w:r w:rsidRPr="005B4339">
              <w:rPr>
                <w:noProof/>
              </w:rPr>
              <w:t>, the Eurocities and “twin cities” concept. We want to empower the collaboration of cities and regions across Europe.</w:t>
            </w:r>
          </w:p>
          <w:p w14:paraId="06D2DF28" w14:textId="77777777" w:rsidR="00AA4484" w:rsidRPr="005B4339" w:rsidRDefault="00AA4484" w:rsidP="0043499F">
            <w:pPr>
              <w:spacing w:after="0"/>
              <w:rPr>
                <w:noProof/>
              </w:rPr>
            </w:pPr>
          </w:p>
        </w:tc>
      </w:tr>
      <w:tr w:rsidR="00AA4484" w:rsidRPr="005B4339" w14:paraId="4C154FCF" w14:textId="77777777" w:rsidTr="0043499F">
        <w:trPr>
          <w:trHeight w:val="103"/>
        </w:trPr>
        <w:tc>
          <w:tcPr>
            <w:tcW w:w="9182" w:type="dxa"/>
            <w:shd w:val="clear" w:color="auto" w:fill="FFFFFF" w:themeFill="background1"/>
          </w:tcPr>
          <w:p w14:paraId="23F90E12" w14:textId="77777777" w:rsidR="00AA4484" w:rsidRPr="005B4339" w:rsidRDefault="00AA4484" w:rsidP="0043499F">
            <w:pPr>
              <w:spacing w:after="0"/>
              <w:rPr>
                <w:b/>
                <w:noProof/>
              </w:rPr>
            </w:pPr>
            <w:r w:rsidRPr="005B4339">
              <w:rPr>
                <w:b/>
                <w:noProof/>
              </w:rPr>
              <w:t>Additional notes</w:t>
            </w:r>
          </w:p>
          <w:p w14:paraId="249D92CC" w14:textId="77777777" w:rsidR="00AA4484" w:rsidRPr="005B4339" w:rsidRDefault="00AA4484" w:rsidP="0043499F">
            <w:pPr>
              <w:spacing w:after="0"/>
              <w:rPr>
                <w:b/>
                <w:noProof/>
              </w:rPr>
            </w:pPr>
          </w:p>
        </w:tc>
      </w:tr>
    </w:tbl>
    <w:p w14:paraId="68A39EC6" w14:textId="77777777" w:rsidR="00AA4484" w:rsidRPr="005B4339" w:rsidRDefault="00AA4484" w:rsidP="00AA4484">
      <w:pPr>
        <w:spacing w:after="0"/>
        <w:rPr>
          <w:rFonts w:eastAsia="Times New Roman" w:cstheme="minorHAnsi"/>
          <w:noProof/>
          <w:lang w:eastAsia="de-DE"/>
        </w:rPr>
      </w:pPr>
    </w:p>
    <w:p w14:paraId="1FC4AEB1" w14:textId="77777777" w:rsidR="00D64130" w:rsidRPr="005B4339" w:rsidRDefault="00D64130" w:rsidP="00AA4484">
      <w:pPr>
        <w:spacing w:after="0"/>
        <w:rPr>
          <w:rFonts w:eastAsia="Times New Roman" w:cstheme="minorHAnsi"/>
          <w:noProof/>
          <w:lang w:eastAsia="de-DE"/>
        </w:rPr>
      </w:pPr>
    </w:p>
    <w:p w14:paraId="0D60340D" w14:textId="77777777" w:rsidR="00D64130" w:rsidRPr="005B4339" w:rsidRDefault="00D64130" w:rsidP="00AA4484">
      <w:pPr>
        <w:spacing w:after="0"/>
        <w:rPr>
          <w:rFonts w:eastAsia="Times New Roman" w:cstheme="minorHAnsi"/>
          <w:noProof/>
          <w:lang w:eastAsia="de-DE"/>
        </w:rPr>
      </w:pPr>
    </w:p>
    <w:p w14:paraId="018C3B3F" w14:textId="77777777" w:rsidR="00D64130" w:rsidRPr="005B4339" w:rsidRDefault="00D64130" w:rsidP="00AA4484">
      <w:pPr>
        <w:spacing w:after="0"/>
        <w:rPr>
          <w:rFonts w:eastAsia="Times New Roman" w:cstheme="minorHAnsi"/>
          <w:noProof/>
          <w:lang w:eastAsia="de-DE"/>
        </w:rPr>
      </w:pPr>
    </w:p>
    <w:p w14:paraId="4E187D83" w14:textId="77777777" w:rsidR="00D64130" w:rsidRPr="005B4339" w:rsidRDefault="00D64130" w:rsidP="00AA4484">
      <w:pPr>
        <w:spacing w:after="0"/>
        <w:rPr>
          <w:rFonts w:eastAsia="Times New Roman" w:cstheme="minorHAnsi"/>
          <w:noProof/>
          <w:lang w:eastAsia="de-DE"/>
        </w:rPr>
      </w:pPr>
    </w:p>
    <w:p w14:paraId="6FB95E97" w14:textId="77777777" w:rsidR="00D64130" w:rsidRPr="005B4339" w:rsidRDefault="00D64130" w:rsidP="00AA4484">
      <w:pPr>
        <w:spacing w:after="0"/>
        <w:rPr>
          <w:rFonts w:eastAsia="Times New Roman" w:cstheme="minorHAnsi"/>
          <w:noProof/>
          <w:lang w:eastAsia="de-DE"/>
        </w:rPr>
      </w:pPr>
    </w:p>
    <w:p w14:paraId="48CE1EC1" w14:textId="77777777" w:rsidR="00D64130" w:rsidRPr="005B4339" w:rsidRDefault="00D64130" w:rsidP="00AA4484">
      <w:pPr>
        <w:spacing w:after="0"/>
        <w:rPr>
          <w:rFonts w:eastAsia="Times New Roman" w:cstheme="minorHAnsi"/>
          <w:noProof/>
          <w:lang w:eastAsia="de-DE"/>
        </w:rPr>
      </w:pPr>
    </w:p>
    <w:p w14:paraId="4F910576" w14:textId="77777777" w:rsidR="00D64130" w:rsidRPr="005B4339" w:rsidRDefault="00D64130" w:rsidP="00AA4484">
      <w:pPr>
        <w:spacing w:after="0"/>
        <w:rPr>
          <w:rFonts w:eastAsia="Times New Roman" w:cstheme="minorHAnsi"/>
          <w:noProof/>
          <w:lang w:eastAsia="de-DE"/>
        </w:rPr>
      </w:pPr>
    </w:p>
    <w:p w14:paraId="0DED2E68" w14:textId="77777777" w:rsidR="00D64130" w:rsidRPr="005B4339" w:rsidRDefault="00D64130" w:rsidP="00AA4484">
      <w:pPr>
        <w:spacing w:after="0"/>
        <w:rPr>
          <w:rFonts w:eastAsia="Times New Roman" w:cstheme="minorHAnsi"/>
          <w:noProof/>
          <w:lang w:eastAsia="de-DE"/>
        </w:rPr>
      </w:pPr>
    </w:p>
    <w:p w14:paraId="22B0B5A1" w14:textId="77777777" w:rsidR="00D64130" w:rsidRPr="005B4339" w:rsidRDefault="00D64130" w:rsidP="00AA4484">
      <w:pPr>
        <w:spacing w:after="0"/>
        <w:rPr>
          <w:rFonts w:eastAsia="Times New Roman" w:cstheme="minorHAnsi"/>
          <w:noProof/>
          <w:lang w:eastAsia="de-DE"/>
        </w:rPr>
      </w:pPr>
    </w:p>
    <w:p w14:paraId="0343D4BD" w14:textId="77777777" w:rsidR="00D64130" w:rsidRPr="005B4339" w:rsidRDefault="00D64130" w:rsidP="00AA4484">
      <w:pPr>
        <w:spacing w:after="0"/>
        <w:rPr>
          <w:rFonts w:eastAsia="Times New Roman" w:cstheme="minorHAnsi"/>
          <w:noProof/>
          <w:lang w:eastAsia="de-DE"/>
        </w:rPr>
      </w:pPr>
    </w:p>
    <w:p w14:paraId="6F3A8392" w14:textId="77777777" w:rsidR="00D64130" w:rsidRPr="005B4339" w:rsidRDefault="00D64130" w:rsidP="00AA4484">
      <w:pPr>
        <w:spacing w:after="0"/>
        <w:rPr>
          <w:rFonts w:eastAsia="Times New Roman" w:cstheme="minorHAnsi"/>
          <w:noProof/>
          <w:lang w:eastAsia="de-DE"/>
        </w:rPr>
      </w:pPr>
    </w:p>
    <w:p w14:paraId="14142765" w14:textId="77777777" w:rsidR="00D64130" w:rsidRPr="005B4339" w:rsidRDefault="00D64130" w:rsidP="00AA4484">
      <w:pPr>
        <w:spacing w:after="0"/>
        <w:rPr>
          <w:rFonts w:eastAsia="Times New Roman" w:cstheme="minorHAnsi"/>
          <w:noProof/>
          <w:lang w:eastAsia="de-DE"/>
        </w:rPr>
      </w:pPr>
    </w:p>
    <w:p w14:paraId="63B0CB44" w14:textId="77777777" w:rsidR="00D64130" w:rsidRPr="005B4339" w:rsidRDefault="00D64130" w:rsidP="00AA4484">
      <w:pPr>
        <w:spacing w:after="0"/>
        <w:rPr>
          <w:rFonts w:eastAsia="Times New Roman" w:cstheme="minorHAnsi"/>
          <w:noProof/>
          <w:lang w:eastAsia="de-DE"/>
        </w:rPr>
      </w:pPr>
    </w:p>
    <w:p w14:paraId="5C8B56D8" w14:textId="77777777" w:rsidR="00D64130" w:rsidRPr="005B4339" w:rsidRDefault="00D64130" w:rsidP="00AA4484">
      <w:pPr>
        <w:spacing w:after="0"/>
        <w:rPr>
          <w:rFonts w:eastAsia="Times New Roman" w:cstheme="minorHAnsi"/>
          <w:noProof/>
          <w:lang w:eastAsia="de-DE"/>
        </w:rPr>
      </w:pPr>
    </w:p>
    <w:p w14:paraId="2C3B4C60" w14:textId="77777777" w:rsidR="00D64130" w:rsidRPr="005B4339" w:rsidRDefault="00D64130" w:rsidP="00AA4484">
      <w:pPr>
        <w:spacing w:after="0"/>
        <w:rPr>
          <w:rFonts w:eastAsia="Times New Roman" w:cstheme="minorHAnsi"/>
          <w:noProof/>
          <w:lang w:eastAsia="de-DE"/>
        </w:rPr>
      </w:pPr>
    </w:p>
    <w:p w14:paraId="680F0551"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7AAF9396" w14:textId="77777777" w:rsidTr="0043499F">
        <w:tc>
          <w:tcPr>
            <w:tcW w:w="9182" w:type="dxa"/>
            <w:shd w:val="clear" w:color="auto" w:fill="DAEEF3" w:themeFill="accent5" w:themeFillTint="33"/>
          </w:tcPr>
          <w:p w14:paraId="234BEA24" w14:textId="77777777" w:rsidR="00AA4484" w:rsidRPr="005B4339" w:rsidRDefault="00AA4484" w:rsidP="007D1AE5">
            <w:pPr>
              <w:rPr>
                <w:rFonts w:eastAsiaTheme="minorEastAsia"/>
                <w:b/>
                <w:bCs/>
                <w:noProof/>
              </w:rPr>
            </w:pPr>
            <w:r w:rsidRPr="005B4339">
              <w:rPr>
                <w:rFonts w:eastAsiaTheme="minorEastAsia"/>
                <w:b/>
                <w:bCs/>
                <w:noProof/>
              </w:rPr>
              <w:t xml:space="preserve">RECOMMENDATION 5 </w:t>
            </w:r>
          </w:p>
          <w:p w14:paraId="32622844" w14:textId="77777777" w:rsidR="00AA4484" w:rsidRPr="005B4339" w:rsidRDefault="00AA4484" w:rsidP="007D1AE5">
            <w:pPr>
              <w:rPr>
                <w:rFonts w:eastAsiaTheme="minorEastAsia"/>
                <w:b/>
                <w:noProof/>
                <w:sz w:val="22"/>
                <w:szCs w:val="22"/>
              </w:rPr>
            </w:pPr>
            <w:r w:rsidRPr="005B4339">
              <w:rPr>
                <w:rFonts w:eastAsiaTheme="minorEastAsia"/>
                <w:b/>
                <w:bCs/>
                <w:noProof/>
              </w:rPr>
              <w:t>Gathering data across the food supply chain</w:t>
            </w:r>
          </w:p>
        </w:tc>
      </w:tr>
      <w:tr w:rsidR="00AA4484" w:rsidRPr="005B4339" w14:paraId="35DF054E" w14:textId="77777777" w:rsidTr="0043499F">
        <w:trPr>
          <w:trHeight w:val="3726"/>
        </w:trPr>
        <w:tc>
          <w:tcPr>
            <w:tcW w:w="9182" w:type="dxa"/>
            <w:shd w:val="clear" w:color="auto" w:fill="FFFFFF" w:themeFill="background1"/>
          </w:tcPr>
          <w:p w14:paraId="3CBDEE5C" w14:textId="77777777" w:rsidR="00AA4484" w:rsidRPr="005B4339" w:rsidRDefault="00AA4484" w:rsidP="0043499F">
            <w:pPr>
              <w:rPr>
                <w:noProof/>
              </w:rPr>
            </w:pPr>
            <w:r w:rsidRPr="005B4339">
              <w:rPr>
                <w:noProof/>
              </w:rPr>
              <w:t xml:space="preserve">We recommend that data on how, where, who, why, and when food waste occurs across the food supply chain gets collected by an EU body or other agencies or research institutions. This could be through: </w:t>
            </w:r>
          </w:p>
          <w:p w14:paraId="5D6E057A" w14:textId="77777777" w:rsidR="00AA4484" w:rsidRPr="005B4339" w:rsidRDefault="00AA4484" w:rsidP="0043499F">
            <w:pPr>
              <w:rPr>
                <w:noProof/>
              </w:rPr>
            </w:pPr>
            <w:r w:rsidRPr="005B4339">
              <w:rPr>
                <w:noProof/>
              </w:rPr>
              <w:t>1) Individual consumer behaviour through app measurement.</w:t>
            </w:r>
          </w:p>
          <w:p w14:paraId="60D51327" w14:textId="77777777" w:rsidR="00AA4484" w:rsidRPr="005B4339" w:rsidRDefault="00AA4484" w:rsidP="0043499F">
            <w:pPr>
              <w:rPr>
                <w:noProof/>
              </w:rPr>
            </w:pPr>
            <w:r w:rsidRPr="005B4339">
              <w:rPr>
                <w:noProof/>
              </w:rPr>
              <w:t xml:space="preserve">2) Face-to-face collection of data, through the Eurobarometer survey. </w:t>
            </w:r>
          </w:p>
          <w:p w14:paraId="694CA658" w14:textId="77777777" w:rsidR="00AA4484" w:rsidRPr="005B4339" w:rsidRDefault="00AA4484" w:rsidP="0043499F">
            <w:pPr>
              <w:rPr>
                <w:noProof/>
              </w:rPr>
            </w:pPr>
            <w:r w:rsidRPr="005B4339">
              <w:rPr>
                <w:noProof/>
              </w:rPr>
              <w:t>3) Surveys sent to schools and other educational organizations. Could be before/after a school intervention targeting food waste.</w:t>
            </w:r>
          </w:p>
          <w:p w14:paraId="3C965C61" w14:textId="77777777" w:rsidR="00AA4484" w:rsidRPr="005B4339" w:rsidRDefault="00AA4484" w:rsidP="0043499F">
            <w:pPr>
              <w:rPr>
                <w:noProof/>
              </w:rPr>
            </w:pPr>
            <w:r w:rsidRPr="005B4339">
              <w:rPr>
                <w:noProof/>
              </w:rPr>
              <w:t>4) The use of citizen panel citizens as a representative cohort for research purposes.</w:t>
            </w:r>
          </w:p>
          <w:p w14:paraId="6F62C9FB" w14:textId="77777777" w:rsidR="00AA4484" w:rsidRPr="005B4339" w:rsidRDefault="00AA4484" w:rsidP="0043499F">
            <w:pPr>
              <w:rPr>
                <w:noProof/>
              </w:rPr>
            </w:pPr>
            <w:r w:rsidRPr="005B4339">
              <w:rPr>
                <w:noProof/>
              </w:rPr>
              <w:t>5) Journalling study of consumer behaviour could be an intervention study. Inspiration from consumer scan panels of BE/NE.</w:t>
            </w:r>
          </w:p>
          <w:p w14:paraId="3BEB8CBB" w14:textId="77777777" w:rsidR="00AA4484" w:rsidRPr="005B4339" w:rsidRDefault="00AA4484" w:rsidP="0043499F">
            <w:pPr>
              <w:rPr>
                <w:noProof/>
              </w:rPr>
            </w:pPr>
            <w:r w:rsidRPr="005B4339">
              <w:rPr>
                <w:noProof/>
              </w:rPr>
              <w:t>6) The use of scientifically validated measures from universities.</w:t>
            </w:r>
          </w:p>
          <w:p w14:paraId="5682C729" w14:textId="77777777" w:rsidR="00AA4484" w:rsidRPr="005B4339" w:rsidRDefault="00AA4484" w:rsidP="0043499F">
            <w:pPr>
              <w:rPr>
                <w:noProof/>
              </w:rPr>
            </w:pPr>
            <w:r w:rsidRPr="005B4339">
              <w:rPr>
                <w:noProof/>
              </w:rPr>
              <w:t>7) Observational studies – specifically studying actual waste amounts by drawing on existing waste management processes of towns and municipalities.</w:t>
            </w:r>
          </w:p>
          <w:p w14:paraId="721F58F1" w14:textId="77777777" w:rsidR="00AA4484" w:rsidRPr="005B4339" w:rsidRDefault="00AA4484" w:rsidP="0043499F">
            <w:pPr>
              <w:rPr>
                <w:noProof/>
              </w:rPr>
            </w:pPr>
            <w:r w:rsidRPr="005B4339">
              <w:rPr>
                <w:noProof/>
              </w:rPr>
              <w:t>8) Collecting and comparing invoices from supermarket/farmer interactions.</w:t>
            </w:r>
          </w:p>
          <w:p w14:paraId="2AEF355D" w14:textId="025A3DD3" w:rsidR="00AA4484" w:rsidRPr="005B4339" w:rsidRDefault="00AA4484" w:rsidP="0043499F">
            <w:pPr>
              <w:rPr>
                <w:noProof/>
              </w:rPr>
            </w:pPr>
            <w:r w:rsidRPr="005B4339">
              <w:rPr>
                <w:noProof/>
              </w:rPr>
              <w:t>9) Standardizing forms for reporting waste.</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2616A020" w14:textId="77777777" w:rsidTr="0043499F">
        <w:trPr>
          <w:trHeight w:val="2634"/>
        </w:trPr>
        <w:tc>
          <w:tcPr>
            <w:tcW w:w="9182" w:type="dxa"/>
            <w:shd w:val="clear" w:color="auto" w:fill="FFFFFF" w:themeFill="background1"/>
          </w:tcPr>
          <w:p w14:paraId="47DB56FB" w14:textId="77777777" w:rsidR="00AA4484" w:rsidRPr="005B4339" w:rsidRDefault="00AA4484" w:rsidP="0043499F">
            <w:pPr>
              <w:spacing w:after="0"/>
              <w:rPr>
                <w:rFonts w:cstheme="minorHAnsi"/>
                <w:b/>
                <w:noProof/>
              </w:rPr>
            </w:pPr>
            <w:r w:rsidRPr="005B4339">
              <w:rPr>
                <w:rFonts w:cstheme="minorHAnsi"/>
                <w:b/>
                <w:noProof/>
              </w:rPr>
              <w:t>Rationale/justification</w:t>
            </w:r>
          </w:p>
          <w:p w14:paraId="44A4A643" w14:textId="77777777" w:rsidR="00AA4484" w:rsidRPr="005B4339" w:rsidRDefault="00AA4484" w:rsidP="0043499F">
            <w:pPr>
              <w:spacing w:after="0"/>
              <w:rPr>
                <w:rFonts w:cstheme="minorHAnsi"/>
                <w:noProof/>
              </w:rPr>
            </w:pPr>
            <w:r w:rsidRPr="005B4339">
              <w:rPr>
                <w:rFonts w:cstheme="minorHAnsi"/>
                <w:noProof/>
              </w:rPr>
              <w:t>We recommend this because if we know where, when, and why we are wasting food, we can launch more targeted awareness raising campaigns, and provide a detailed insight on where we could have the biggest impact on the reduction of food waste. Our group believes that by collecting more accurate data about where exactly in the food chain food is wasted, then we will be able to address our solutions to food waste more effectively. The current common methodology for collecting EU data on food waste (as defined by the Commission Delegated Decision (EU) 2019/1597) focuses on measuring the amount of waste, whereas the aim of our proposal is to gather more detailed data on the who, when, and where of food waste. These additional data-gathering projects/initiatives could be used to supplement the quantitative data gathered in the new yearly reporting by Member States. They would provide more specific data on the “what, how, who, when and where” of food waste.</w:t>
            </w:r>
          </w:p>
          <w:p w14:paraId="7B8B3253" w14:textId="77777777" w:rsidR="00AA4484" w:rsidRPr="005B4339" w:rsidRDefault="00AA4484" w:rsidP="0043499F">
            <w:pPr>
              <w:spacing w:after="0"/>
              <w:rPr>
                <w:rFonts w:cstheme="minorHAnsi"/>
                <w:noProof/>
              </w:rPr>
            </w:pPr>
          </w:p>
        </w:tc>
      </w:tr>
      <w:tr w:rsidR="00AA4484" w:rsidRPr="005B4339" w14:paraId="7BF6D706" w14:textId="77777777" w:rsidTr="0043499F">
        <w:trPr>
          <w:trHeight w:val="1488"/>
        </w:trPr>
        <w:tc>
          <w:tcPr>
            <w:tcW w:w="9182" w:type="dxa"/>
            <w:shd w:val="clear" w:color="auto" w:fill="FFFFFF" w:themeFill="background1"/>
          </w:tcPr>
          <w:p w14:paraId="4D09BCC6" w14:textId="77777777" w:rsidR="00AA4484" w:rsidRPr="005B4339" w:rsidRDefault="00AA4484" w:rsidP="0043499F">
            <w:pPr>
              <w:spacing w:after="0"/>
              <w:rPr>
                <w:rFonts w:cstheme="minorHAnsi"/>
                <w:b/>
                <w:noProof/>
              </w:rPr>
            </w:pPr>
            <w:r w:rsidRPr="005B4339">
              <w:rPr>
                <w:rFonts w:cstheme="minorHAnsi"/>
                <w:b/>
                <w:noProof/>
              </w:rPr>
              <w:t>Additional notes</w:t>
            </w:r>
          </w:p>
          <w:p w14:paraId="099BC6E8" w14:textId="77777777" w:rsidR="00AA4484" w:rsidRPr="005B4339" w:rsidRDefault="00AA4484" w:rsidP="0043499F">
            <w:pPr>
              <w:spacing w:after="0"/>
              <w:rPr>
                <w:rFonts w:eastAsiaTheme="minorEastAsia" w:cstheme="minorHAnsi"/>
                <w:noProof/>
              </w:rPr>
            </w:pPr>
            <w:r w:rsidRPr="005B4339">
              <w:rPr>
                <w:rFonts w:eastAsiaTheme="minorEastAsia" w:cstheme="minorHAnsi"/>
                <w:b/>
                <w:noProof/>
              </w:rPr>
              <w:t>Notes on data we want collected:</w:t>
            </w:r>
            <w:r w:rsidRPr="005B4339">
              <w:rPr>
                <w:rFonts w:eastAsiaTheme="minorEastAsia" w:cstheme="minorHAnsi"/>
                <w:noProof/>
              </w:rPr>
              <w:t xml:space="preserve"> We should collect data on the “what, how, who, when, and where” of food waste. </w:t>
            </w:r>
            <w:r w:rsidRPr="005B4339">
              <w:rPr>
                <w:rFonts w:eastAsiaTheme="minorEastAsia" w:cstheme="minorHAnsi"/>
                <w:b/>
                <w:noProof/>
              </w:rPr>
              <w:t xml:space="preserve">What/When: </w:t>
            </w:r>
            <w:r w:rsidRPr="005B4339">
              <w:rPr>
                <w:rFonts w:eastAsiaTheme="minorEastAsia" w:cstheme="minorHAnsi"/>
                <w:noProof/>
              </w:rPr>
              <w:t xml:space="preserve">What food are we wasting and in what circumstances? What exactly are people throwing away - how many grams are left on the plate? Data on how much we buy vs. how much we throw away. </w:t>
            </w:r>
            <w:r w:rsidRPr="005B4339">
              <w:rPr>
                <w:rFonts w:eastAsiaTheme="minorEastAsia" w:cstheme="minorHAnsi"/>
                <w:b/>
                <w:noProof/>
              </w:rPr>
              <w:t xml:space="preserve">How: </w:t>
            </w:r>
            <w:r w:rsidRPr="005B4339">
              <w:rPr>
                <w:rFonts w:eastAsiaTheme="minorEastAsia" w:cstheme="minorHAnsi"/>
                <w:noProof/>
              </w:rPr>
              <w:t xml:space="preserve">How is it wasted - is it thrown away? Is it cooked too late/spoiled/out of date? Did we buy too much? Cultural differences could also be considered. </w:t>
            </w:r>
            <w:r w:rsidRPr="005B4339">
              <w:rPr>
                <w:rFonts w:eastAsiaTheme="minorEastAsia" w:cstheme="minorHAnsi"/>
                <w:b/>
                <w:noProof/>
              </w:rPr>
              <w:t>Who:</w:t>
            </w:r>
            <w:r w:rsidRPr="005B4339">
              <w:rPr>
                <w:rFonts w:eastAsiaTheme="minorEastAsia" w:cstheme="minorHAnsi"/>
                <w:noProof/>
              </w:rPr>
              <w:t xml:space="preserve"> Who in the supply chain wastes food - distributors, consumers, etc? At consumer level, is there a breakdown of which consumers are wasting the most food - this could be linked to age or country? (Note: will people want to provide this data?).</w:t>
            </w:r>
          </w:p>
          <w:p w14:paraId="382A76FE"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Relating to point 5): The name of the company we're drawing inspiration from is Growth for Knowledge/GFK.</w:t>
            </w:r>
          </w:p>
          <w:p w14:paraId="5023B767"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The group believes that respecting the privacy and personal data of European citizens is very important. Any studies conducted based in our recommendation should respect this.</w:t>
            </w:r>
          </w:p>
          <w:p w14:paraId="053FCF0D" w14:textId="77777777" w:rsidR="00AA4484" w:rsidRPr="005B4339" w:rsidRDefault="00AA4484" w:rsidP="0043499F">
            <w:pPr>
              <w:spacing w:after="0"/>
              <w:rPr>
                <w:rFonts w:eastAsiaTheme="minorEastAsia" w:cstheme="minorHAnsi"/>
                <w:noProof/>
              </w:rPr>
            </w:pPr>
          </w:p>
        </w:tc>
      </w:tr>
    </w:tbl>
    <w:p w14:paraId="47A3EEF3" w14:textId="77777777" w:rsidR="00AA4484" w:rsidRPr="005B4339" w:rsidRDefault="00AA4484" w:rsidP="00AA4484">
      <w:pPr>
        <w:spacing w:after="0"/>
        <w:rPr>
          <w:rFonts w:cstheme="minorHAnsi"/>
          <w:noProof/>
        </w:rPr>
      </w:pPr>
    </w:p>
    <w:p w14:paraId="7712BE29" w14:textId="77777777" w:rsidR="00AA4484" w:rsidRPr="005B4339" w:rsidRDefault="00AA4484" w:rsidP="00AA4484">
      <w:pPr>
        <w:spacing w:after="0"/>
        <w:rPr>
          <w:rFonts w:eastAsia="Times New Roman" w:cstheme="minorHAnsi"/>
          <w:noProof/>
          <w:lang w:eastAsia="de-DE"/>
        </w:rPr>
      </w:pPr>
    </w:p>
    <w:p w14:paraId="25161B97"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682DC11D" w14:textId="77777777" w:rsidTr="0043499F">
        <w:tc>
          <w:tcPr>
            <w:tcW w:w="9182" w:type="dxa"/>
            <w:shd w:val="clear" w:color="auto" w:fill="DAEEF3" w:themeFill="accent5" w:themeFillTint="33"/>
          </w:tcPr>
          <w:p w14:paraId="5C2D2A86" w14:textId="77777777" w:rsidR="00AA4484" w:rsidRPr="005B4339" w:rsidRDefault="00AA4484" w:rsidP="007D1AE5">
            <w:pPr>
              <w:rPr>
                <w:rFonts w:eastAsiaTheme="minorEastAsia"/>
                <w:b/>
                <w:bCs/>
                <w:noProof/>
              </w:rPr>
            </w:pPr>
            <w:r w:rsidRPr="005B4339">
              <w:rPr>
                <w:rFonts w:eastAsiaTheme="minorEastAsia"/>
                <w:b/>
                <w:bCs/>
                <w:noProof/>
              </w:rPr>
              <w:t>RECOMMENDATION 6</w:t>
            </w:r>
          </w:p>
          <w:p w14:paraId="4BC53923" w14:textId="77777777" w:rsidR="00AA4484" w:rsidRPr="005B4339" w:rsidRDefault="00AA4484" w:rsidP="007D1AE5">
            <w:pPr>
              <w:rPr>
                <w:rFonts w:eastAsiaTheme="minorEastAsia"/>
                <w:b/>
                <w:noProof/>
              </w:rPr>
            </w:pPr>
            <w:r w:rsidRPr="005B4339">
              <w:rPr>
                <w:rFonts w:eastAsiaTheme="minorEastAsia"/>
                <w:b/>
                <w:bCs/>
                <w:noProof/>
              </w:rPr>
              <w:t>Citizens' voices matter: Citizen participation in European food policy</w:t>
            </w:r>
          </w:p>
        </w:tc>
      </w:tr>
      <w:tr w:rsidR="00AA4484" w:rsidRPr="005B4339" w14:paraId="18372DB8" w14:textId="77777777" w:rsidTr="0043499F">
        <w:trPr>
          <w:trHeight w:val="1864"/>
        </w:trPr>
        <w:tc>
          <w:tcPr>
            <w:tcW w:w="9182" w:type="dxa"/>
            <w:shd w:val="clear" w:color="auto" w:fill="FFFFFF" w:themeFill="background1"/>
          </w:tcPr>
          <w:p w14:paraId="3E5667BA" w14:textId="77777777" w:rsidR="00AA4484" w:rsidRPr="005B4339" w:rsidRDefault="00AA4484" w:rsidP="0043499F">
            <w:pPr>
              <w:rPr>
                <w:noProof/>
              </w:rPr>
            </w:pPr>
            <w:r w:rsidRPr="005B4339">
              <w:rPr>
                <w:noProof/>
              </w:rPr>
              <w:t>Building on the Conference on the Future of Europe and the current EU Citizens’ Panel on Food Waste, we recommend the establishment of local and national citizen engagement fora. These fora would be tasked with following, monitoring and offering advice on national strategies to implement EU directives on reducing food waste from the perspective of citizens. We further recommend that the EU Platform on Food Waste should include citizens' representation and engagement that coordinates exchanges between the engagement fora. At both national and EU levels, the fora should offer a platform for information sharing and mutual learning between citizens/ consumers, stakeholders, and policy makers.</w:t>
            </w:r>
          </w:p>
          <w:p w14:paraId="13D61D85" w14:textId="77777777" w:rsidR="00AA4484" w:rsidRPr="005B4339" w:rsidRDefault="00AA4484" w:rsidP="0043499F">
            <w:pPr>
              <w:rPr>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60F6BAD1" w14:textId="77777777" w:rsidTr="0043499F">
        <w:trPr>
          <w:trHeight w:val="1260"/>
        </w:trPr>
        <w:tc>
          <w:tcPr>
            <w:tcW w:w="9182" w:type="dxa"/>
            <w:shd w:val="clear" w:color="auto" w:fill="FFFFFF" w:themeFill="background1"/>
          </w:tcPr>
          <w:p w14:paraId="17E19A61" w14:textId="77777777" w:rsidR="00AA4484" w:rsidRPr="005B4339" w:rsidRDefault="00AA4484" w:rsidP="0043499F">
            <w:pPr>
              <w:spacing w:after="0"/>
              <w:rPr>
                <w:rFonts w:cstheme="minorHAnsi"/>
                <w:b/>
                <w:noProof/>
              </w:rPr>
            </w:pPr>
            <w:r w:rsidRPr="005B4339">
              <w:rPr>
                <w:rFonts w:cstheme="minorHAnsi"/>
                <w:b/>
                <w:noProof/>
              </w:rPr>
              <w:t>Rationale/justification</w:t>
            </w:r>
          </w:p>
          <w:p w14:paraId="44EC26FF" w14:textId="77777777" w:rsidR="00AA4484" w:rsidRPr="005B4339" w:rsidRDefault="00AA4484" w:rsidP="0043499F">
            <w:pPr>
              <w:spacing w:after="0"/>
              <w:rPr>
                <w:rFonts w:cstheme="minorHAnsi"/>
                <w:noProof/>
              </w:rPr>
            </w:pPr>
            <w:r w:rsidRPr="005B4339">
              <w:rPr>
                <w:rFonts w:cstheme="minorHAnsi"/>
                <w:noProof/>
              </w:rPr>
              <w:t>We offer this recommendation because it is important to give voice to citizens, ensure a fair and transparent process, and to allow citizens and decision makers to coordinate and learn from each other. Citizens are experts on their own lives, and their perspectives must be considered at local, national, and EU level.</w:t>
            </w:r>
          </w:p>
          <w:p w14:paraId="32A0E179" w14:textId="77777777" w:rsidR="00AA4484" w:rsidRPr="005B4339" w:rsidRDefault="00AA4484" w:rsidP="0043499F">
            <w:pPr>
              <w:spacing w:after="0"/>
              <w:rPr>
                <w:rFonts w:cstheme="minorHAnsi"/>
                <w:noProof/>
              </w:rPr>
            </w:pPr>
          </w:p>
        </w:tc>
      </w:tr>
      <w:tr w:rsidR="00AA4484" w:rsidRPr="005B4339" w14:paraId="348EAD0F" w14:textId="77777777" w:rsidTr="0043499F">
        <w:trPr>
          <w:trHeight w:val="70"/>
        </w:trPr>
        <w:tc>
          <w:tcPr>
            <w:tcW w:w="9182" w:type="dxa"/>
            <w:shd w:val="clear" w:color="auto" w:fill="FFFFFF" w:themeFill="background1"/>
          </w:tcPr>
          <w:p w14:paraId="7469D849" w14:textId="77777777" w:rsidR="00AA4484" w:rsidRPr="005B4339" w:rsidRDefault="00AA4484" w:rsidP="0043499F">
            <w:pPr>
              <w:spacing w:after="0"/>
              <w:rPr>
                <w:rFonts w:cstheme="minorHAnsi"/>
                <w:b/>
                <w:noProof/>
              </w:rPr>
            </w:pPr>
            <w:r w:rsidRPr="005B4339">
              <w:rPr>
                <w:rFonts w:cstheme="minorHAnsi"/>
                <w:b/>
                <w:noProof/>
              </w:rPr>
              <w:t>Additional notes</w:t>
            </w:r>
          </w:p>
          <w:p w14:paraId="1B9B6C19" w14:textId="77777777" w:rsidR="00AA4484" w:rsidRPr="005B4339" w:rsidRDefault="00AA4484" w:rsidP="0043499F">
            <w:pPr>
              <w:spacing w:after="0"/>
              <w:rPr>
                <w:rFonts w:cstheme="minorHAnsi"/>
                <w:b/>
                <w:noProof/>
              </w:rPr>
            </w:pPr>
          </w:p>
        </w:tc>
      </w:tr>
    </w:tbl>
    <w:p w14:paraId="6091F835" w14:textId="77777777" w:rsidR="00AA4484" w:rsidRPr="005B4339" w:rsidRDefault="00AA4484" w:rsidP="00AA4484">
      <w:pPr>
        <w:spacing w:after="0"/>
        <w:rPr>
          <w:rFonts w:eastAsia="Times New Roman" w:cstheme="minorHAnsi"/>
          <w:noProof/>
          <w:lang w:eastAsia="de-DE"/>
        </w:rPr>
      </w:pPr>
    </w:p>
    <w:p w14:paraId="5AEBE856" w14:textId="77777777" w:rsidR="00AA4484" w:rsidRPr="005B4339" w:rsidRDefault="00AA4484" w:rsidP="00AA4484">
      <w:pPr>
        <w:spacing w:after="0"/>
        <w:rPr>
          <w:rFonts w:eastAsia="Times New Roman" w:cstheme="minorHAnsi"/>
          <w:noProof/>
          <w:lang w:eastAsia="de-DE"/>
        </w:rPr>
      </w:pPr>
    </w:p>
    <w:p w14:paraId="387DD8E2" w14:textId="77777777" w:rsidR="00D64130" w:rsidRPr="005B4339" w:rsidRDefault="00D64130" w:rsidP="00AA4484">
      <w:pPr>
        <w:spacing w:after="0"/>
        <w:rPr>
          <w:rFonts w:eastAsia="Times New Roman" w:cstheme="minorHAnsi"/>
          <w:noProof/>
          <w:lang w:eastAsia="de-DE"/>
        </w:rPr>
      </w:pPr>
    </w:p>
    <w:p w14:paraId="54794D75" w14:textId="77777777" w:rsidR="00D64130" w:rsidRPr="005B4339" w:rsidRDefault="00D64130" w:rsidP="00AA4484">
      <w:pPr>
        <w:spacing w:after="0"/>
        <w:rPr>
          <w:rFonts w:eastAsia="Times New Roman" w:cstheme="minorHAnsi"/>
          <w:noProof/>
          <w:lang w:eastAsia="de-DE"/>
        </w:rPr>
      </w:pPr>
    </w:p>
    <w:p w14:paraId="300B07F0" w14:textId="77777777" w:rsidR="00D64130" w:rsidRPr="005B4339" w:rsidRDefault="00D64130" w:rsidP="00AA4484">
      <w:pPr>
        <w:spacing w:after="0"/>
        <w:rPr>
          <w:rFonts w:eastAsia="Times New Roman" w:cstheme="minorHAnsi"/>
          <w:noProof/>
          <w:lang w:eastAsia="de-DE"/>
        </w:rPr>
      </w:pPr>
    </w:p>
    <w:p w14:paraId="4ACE3FBB" w14:textId="77777777" w:rsidR="00D64130" w:rsidRPr="005B4339" w:rsidRDefault="00D64130" w:rsidP="00AA4484">
      <w:pPr>
        <w:spacing w:after="0"/>
        <w:rPr>
          <w:rFonts w:eastAsia="Times New Roman" w:cstheme="minorHAnsi"/>
          <w:noProof/>
          <w:lang w:eastAsia="de-DE"/>
        </w:rPr>
      </w:pPr>
    </w:p>
    <w:p w14:paraId="6E10B1D3" w14:textId="77777777" w:rsidR="00D64130" w:rsidRPr="005B4339" w:rsidRDefault="00D64130" w:rsidP="00AA4484">
      <w:pPr>
        <w:spacing w:after="0"/>
        <w:rPr>
          <w:rFonts w:eastAsia="Times New Roman" w:cstheme="minorHAnsi"/>
          <w:noProof/>
          <w:lang w:eastAsia="de-DE"/>
        </w:rPr>
      </w:pPr>
    </w:p>
    <w:p w14:paraId="42B2B2B1" w14:textId="77777777" w:rsidR="00D64130" w:rsidRPr="005B4339" w:rsidRDefault="00D64130" w:rsidP="00AA4484">
      <w:pPr>
        <w:spacing w:after="0"/>
        <w:rPr>
          <w:rFonts w:eastAsia="Times New Roman" w:cstheme="minorHAnsi"/>
          <w:noProof/>
          <w:lang w:eastAsia="de-DE"/>
        </w:rPr>
      </w:pPr>
    </w:p>
    <w:p w14:paraId="0A257C09" w14:textId="77777777" w:rsidR="00D64130" w:rsidRPr="005B4339" w:rsidRDefault="00D64130" w:rsidP="00AA4484">
      <w:pPr>
        <w:spacing w:after="0"/>
        <w:rPr>
          <w:rFonts w:eastAsia="Times New Roman" w:cstheme="minorHAnsi"/>
          <w:noProof/>
          <w:lang w:eastAsia="de-DE"/>
        </w:rPr>
      </w:pPr>
    </w:p>
    <w:p w14:paraId="4DEC8E7A" w14:textId="77777777" w:rsidR="00D64130" w:rsidRPr="005B4339" w:rsidRDefault="00D64130" w:rsidP="00AA4484">
      <w:pPr>
        <w:spacing w:after="0"/>
        <w:rPr>
          <w:rFonts w:eastAsia="Times New Roman" w:cstheme="minorHAnsi"/>
          <w:noProof/>
          <w:lang w:eastAsia="de-DE"/>
        </w:rPr>
      </w:pPr>
    </w:p>
    <w:p w14:paraId="519A401B" w14:textId="77777777" w:rsidR="00D64130" w:rsidRPr="005B4339" w:rsidRDefault="00D64130" w:rsidP="00AA4484">
      <w:pPr>
        <w:spacing w:after="0"/>
        <w:rPr>
          <w:rFonts w:eastAsia="Times New Roman" w:cstheme="minorHAnsi"/>
          <w:noProof/>
          <w:lang w:eastAsia="de-DE"/>
        </w:rPr>
      </w:pPr>
    </w:p>
    <w:p w14:paraId="7F4E415D" w14:textId="77777777" w:rsidR="00D64130" w:rsidRPr="005B4339" w:rsidRDefault="00D64130"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19D95944" w14:textId="77777777" w:rsidTr="0043499F">
        <w:tc>
          <w:tcPr>
            <w:tcW w:w="9182" w:type="dxa"/>
            <w:shd w:val="clear" w:color="auto" w:fill="DAEEF3" w:themeFill="accent5" w:themeFillTint="33"/>
          </w:tcPr>
          <w:p w14:paraId="273D1857" w14:textId="77777777" w:rsidR="00AA4484" w:rsidRPr="005B4339" w:rsidRDefault="00AA4484" w:rsidP="007D1AE5">
            <w:pPr>
              <w:rPr>
                <w:rFonts w:eastAsiaTheme="minorEastAsia"/>
                <w:b/>
                <w:bCs/>
                <w:noProof/>
              </w:rPr>
            </w:pPr>
            <w:r w:rsidRPr="005B4339">
              <w:rPr>
                <w:rFonts w:eastAsiaTheme="minorEastAsia"/>
                <w:b/>
                <w:bCs/>
                <w:noProof/>
              </w:rPr>
              <w:t>RECOMMENDATION 7</w:t>
            </w:r>
          </w:p>
          <w:p w14:paraId="6DDB8710" w14:textId="77777777" w:rsidR="00AA4484" w:rsidRPr="005B4339" w:rsidRDefault="00AA4484" w:rsidP="007D1AE5">
            <w:pPr>
              <w:rPr>
                <w:rFonts w:eastAsiaTheme="minorEastAsia"/>
                <w:b/>
                <w:noProof/>
                <w:sz w:val="22"/>
                <w:szCs w:val="22"/>
              </w:rPr>
            </w:pPr>
            <w:r w:rsidRPr="005B4339">
              <w:rPr>
                <w:rFonts w:eastAsiaTheme="minorEastAsia"/>
                <w:b/>
                <w:bCs/>
                <w:noProof/>
              </w:rPr>
              <w:t>Just picked: The value of seasonal food</w:t>
            </w:r>
          </w:p>
        </w:tc>
      </w:tr>
      <w:tr w:rsidR="00AA4484" w:rsidRPr="005B4339" w14:paraId="5511142F" w14:textId="77777777" w:rsidTr="0043499F">
        <w:trPr>
          <w:trHeight w:val="2149"/>
        </w:trPr>
        <w:tc>
          <w:tcPr>
            <w:tcW w:w="9182" w:type="dxa"/>
            <w:shd w:val="clear" w:color="auto" w:fill="FFFFFF" w:themeFill="background1"/>
          </w:tcPr>
          <w:p w14:paraId="02CEDD6B" w14:textId="133E4803" w:rsidR="00AA4484" w:rsidRPr="005B4339" w:rsidRDefault="00AA4484" w:rsidP="0043499F">
            <w:pPr>
              <w:rPr>
                <w:noProof/>
              </w:rPr>
            </w:pPr>
            <w:r w:rsidRPr="005B4339">
              <w:rPr>
                <w:noProof/>
              </w:rPr>
              <w:t xml:space="preserve">We recommend a change in consumer habits by informing consumers of the value of seasonal food. This should be done through clear signs in stores that allows consumers to clearly identify seasonal produce. Information about seasonality should also be communicated to a wide audience through public information campaigns. Informing consumers through signs on shelves and campaigns may incentivize producers to grow seasonal produce. We further recommend the production of better data on the most effective methods for incentivizing production of seasonal produce and limiting the import of non-seasonal low-quality foods. </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7AD80AD9" w14:textId="77777777" w:rsidTr="0043499F">
        <w:trPr>
          <w:trHeight w:val="973"/>
        </w:trPr>
        <w:tc>
          <w:tcPr>
            <w:tcW w:w="9182" w:type="dxa"/>
            <w:shd w:val="clear" w:color="auto" w:fill="FFFFFF" w:themeFill="background1"/>
          </w:tcPr>
          <w:p w14:paraId="0B401F67" w14:textId="77777777" w:rsidR="00AA4484" w:rsidRPr="005B4339" w:rsidRDefault="00AA4484" w:rsidP="0043499F">
            <w:pPr>
              <w:spacing w:after="0"/>
              <w:rPr>
                <w:rFonts w:cstheme="minorHAnsi"/>
                <w:b/>
                <w:noProof/>
              </w:rPr>
            </w:pPr>
            <w:r w:rsidRPr="005B4339">
              <w:rPr>
                <w:rFonts w:cstheme="minorHAnsi"/>
                <w:b/>
                <w:noProof/>
              </w:rPr>
              <w:t>Rationale/justification</w:t>
            </w:r>
          </w:p>
          <w:p w14:paraId="3601721C" w14:textId="77777777" w:rsidR="00AA4484" w:rsidRPr="005B4339" w:rsidRDefault="00AA4484" w:rsidP="0043499F">
            <w:pPr>
              <w:spacing w:after="0"/>
              <w:rPr>
                <w:rFonts w:cstheme="minorHAnsi"/>
                <w:noProof/>
              </w:rPr>
            </w:pPr>
            <w:r w:rsidRPr="005B4339">
              <w:rPr>
                <w:rFonts w:cstheme="minorHAnsi"/>
                <w:noProof/>
              </w:rPr>
              <w:t>We offer this recommendation because non-seasonal food is often imported and/or of worse quality than seasonal foods. Higher quality produce can impact consumer behaviour, as we tend to value higher quality food more, thus wasting less.</w:t>
            </w:r>
          </w:p>
          <w:p w14:paraId="70835EC8" w14:textId="77777777" w:rsidR="00AA4484" w:rsidRPr="005B4339" w:rsidRDefault="00AA4484" w:rsidP="0043499F">
            <w:pPr>
              <w:spacing w:after="0"/>
              <w:rPr>
                <w:rFonts w:cstheme="minorHAnsi"/>
                <w:noProof/>
              </w:rPr>
            </w:pPr>
          </w:p>
        </w:tc>
      </w:tr>
      <w:tr w:rsidR="00AA4484" w:rsidRPr="005B4339" w14:paraId="6340EFA1" w14:textId="77777777" w:rsidTr="0043499F">
        <w:trPr>
          <w:trHeight w:val="320"/>
        </w:trPr>
        <w:tc>
          <w:tcPr>
            <w:tcW w:w="9182" w:type="dxa"/>
            <w:shd w:val="clear" w:color="auto" w:fill="FFFFFF" w:themeFill="background1"/>
          </w:tcPr>
          <w:p w14:paraId="4D253220" w14:textId="77777777" w:rsidR="00AA4484" w:rsidRPr="005B4339" w:rsidRDefault="00AA4484" w:rsidP="0043499F">
            <w:pPr>
              <w:spacing w:after="0"/>
              <w:rPr>
                <w:rFonts w:cstheme="minorHAnsi"/>
                <w:b/>
                <w:noProof/>
              </w:rPr>
            </w:pPr>
            <w:r w:rsidRPr="005B4339">
              <w:rPr>
                <w:rFonts w:cstheme="minorHAnsi"/>
                <w:b/>
                <w:noProof/>
              </w:rPr>
              <w:t>Additional notes</w:t>
            </w:r>
          </w:p>
          <w:p w14:paraId="2700C2E1" w14:textId="77777777" w:rsidR="00AA4484" w:rsidRPr="005B4339" w:rsidRDefault="00AA4484" w:rsidP="0043499F">
            <w:pPr>
              <w:spacing w:after="0"/>
              <w:rPr>
                <w:rFonts w:cstheme="minorHAnsi"/>
                <w:b/>
                <w:noProof/>
              </w:rPr>
            </w:pPr>
          </w:p>
        </w:tc>
      </w:tr>
    </w:tbl>
    <w:p w14:paraId="4D35CEAD" w14:textId="77777777" w:rsidR="00AA4484" w:rsidRPr="005B4339" w:rsidRDefault="00AA4484" w:rsidP="00AA4484">
      <w:pPr>
        <w:spacing w:after="0"/>
        <w:rPr>
          <w:rFonts w:eastAsia="Times New Roman" w:cstheme="minorHAnsi"/>
          <w:noProof/>
          <w:lang w:eastAsia="de-DE"/>
        </w:rPr>
      </w:pPr>
    </w:p>
    <w:p w14:paraId="24469EDD" w14:textId="77777777" w:rsidR="00AA4484" w:rsidRPr="005B4339" w:rsidRDefault="00AA4484" w:rsidP="00AA4484">
      <w:pPr>
        <w:spacing w:after="0"/>
        <w:rPr>
          <w:rFonts w:eastAsia="Times New Roman" w:cstheme="minorHAnsi"/>
          <w:noProof/>
          <w:lang w:eastAsia="de-DE"/>
        </w:rPr>
      </w:pPr>
    </w:p>
    <w:p w14:paraId="5E5DD73F" w14:textId="77777777" w:rsidR="00AA4484" w:rsidRPr="005B4339" w:rsidRDefault="00AA4484" w:rsidP="00AA4484">
      <w:pPr>
        <w:pStyle w:val="Heading1"/>
        <w:shd w:val="clear" w:color="auto" w:fill="EB9BA9"/>
        <w:spacing w:before="0"/>
        <w:rPr>
          <w:b w:val="0"/>
          <w:noProof/>
          <w:sz w:val="28"/>
          <w:szCs w:val="28"/>
        </w:rPr>
      </w:pPr>
      <w:bookmarkStart w:id="1082" w:name="_Toc139032153"/>
      <w:r w:rsidRPr="005B4339">
        <w:rPr>
          <w:noProof/>
          <w:sz w:val="28"/>
          <w:szCs w:val="28"/>
        </w:rPr>
        <w:t>Topic block II - Food business initiatives</w:t>
      </w:r>
      <w:bookmarkEnd w:id="1082"/>
    </w:p>
    <w:p w14:paraId="51178066" w14:textId="77777777" w:rsidR="00AA4484" w:rsidRPr="005B4339" w:rsidRDefault="00AA4484" w:rsidP="00AA4484">
      <w:pPr>
        <w:spacing w:after="0"/>
        <w:rPr>
          <w:i/>
          <w:iCs/>
          <w:noProof/>
        </w:rPr>
      </w:pPr>
    </w:p>
    <w:tbl>
      <w:tblPr>
        <w:tblStyle w:val="TableGrid"/>
        <w:tblW w:w="9182" w:type="dxa"/>
        <w:tblLook w:val="04A0" w:firstRow="1" w:lastRow="0" w:firstColumn="1" w:lastColumn="0" w:noHBand="0" w:noVBand="1"/>
      </w:tblPr>
      <w:tblGrid>
        <w:gridCol w:w="9182"/>
      </w:tblGrid>
      <w:tr w:rsidR="00AA4484" w:rsidRPr="005B4339" w14:paraId="7A47B0E9" w14:textId="77777777" w:rsidTr="0043499F">
        <w:tc>
          <w:tcPr>
            <w:tcW w:w="9182" w:type="dxa"/>
            <w:shd w:val="clear" w:color="auto" w:fill="EB9BA9"/>
          </w:tcPr>
          <w:p w14:paraId="28FEFEFE" w14:textId="77777777" w:rsidR="00AA4484" w:rsidRPr="005B4339" w:rsidRDefault="00AA4484" w:rsidP="007D1AE5">
            <w:pPr>
              <w:rPr>
                <w:rFonts w:eastAsiaTheme="minorEastAsia"/>
                <w:b/>
                <w:bCs/>
                <w:noProof/>
              </w:rPr>
            </w:pPr>
            <w:r w:rsidRPr="005B4339">
              <w:rPr>
                <w:rFonts w:eastAsiaTheme="minorEastAsia"/>
                <w:b/>
                <w:bCs/>
                <w:noProof/>
              </w:rPr>
              <w:t>RECOMMENDATION 8</w:t>
            </w:r>
          </w:p>
          <w:p w14:paraId="5989106B" w14:textId="77777777" w:rsidR="00AA4484" w:rsidRPr="005B4339" w:rsidRDefault="00AA4484" w:rsidP="007D1AE5">
            <w:pPr>
              <w:rPr>
                <w:rFonts w:eastAsiaTheme="minorEastAsia"/>
                <w:b/>
                <w:noProof/>
              </w:rPr>
            </w:pPr>
            <w:r w:rsidRPr="005B4339">
              <w:rPr>
                <w:rFonts w:eastAsiaTheme="minorEastAsia"/>
                <w:b/>
                <w:bCs/>
                <w:noProof/>
              </w:rPr>
              <w:t>EU-wide food exchange network</w:t>
            </w:r>
          </w:p>
        </w:tc>
      </w:tr>
      <w:tr w:rsidR="00AA4484" w:rsidRPr="005B4339" w14:paraId="23B06A26" w14:textId="77777777" w:rsidTr="0043499F">
        <w:trPr>
          <w:trHeight w:val="2051"/>
        </w:trPr>
        <w:tc>
          <w:tcPr>
            <w:tcW w:w="9182" w:type="dxa"/>
            <w:shd w:val="clear" w:color="auto" w:fill="FFFFFF" w:themeFill="background1"/>
          </w:tcPr>
          <w:p w14:paraId="2B5AC4E5"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 xml:space="preserve">We recommend major distributors to be directly connected through a register on an EU-wide website that allows the exchange of about-to-expire or surplus food. The webpage would prevent food waste by enabling communication within the levels (see below) and the next sectoral unit in the supply chain. Businesses can sign up and offer or buy surplus food at a lower price. There would be three levels: </w:t>
            </w:r>
          </w:p>
          <w:p w14:paraId="54404E8C" w14:textId="77777777" w:rsidR="00AA4484" w:rsidRPr="005B4339" w:rsidRDefault="00AA4484" w:rsidP="00AA4484">
            <w:pPr>
              <w:pStyle w:val="Subtitle"/>
              <w:numPr>
                <w:ilvl w:val="0"/>
                <w:numId w:val="211"/>
              </w:numPr>
              <w:spacing w:after="0" w:line="240" w:lineRule="auto"/>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 xml:space="preserve">Level one would consist of producers, farmers, and distributors. </w:t>
            </w:r>
          </w:p>
          <w:p w14:paraId="42122408" w14:textId="77777777" w:rsidR="00AA4484" w:rsidRPr="005B4339" w:rsidRDefault="00AA4484" w:rsidP="00AA4484">
            <w:pPr>
              <w:pStyle w:val="Subtitle"/>
              <w:numPr>
                <w:ilvl w:val="0"/>
                <w:numId w:val="211"/>
              </w:numPr>
              <w:spacing w:after="0" w:line="240" w:lineRule="auto"/>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 xml:space="preserve">Level two would incorporate supermarkets, food banks, and community kitchens. </w:t>
            </w:r>
          </w:p>
          <w:p w14:paraId="4CFD1235" w14:textId="77777777" w:rsidR="00AA4484" w:rsidRPr="005B4339" w:rsidRDefault="00AA4484" w:rsidP="00AA4484">
            <w:pPr>
              <w:pStyle w:val="Subtitle"/>
              <w:numPr>
                <w:ilvl w:val="0"/>
                <w:numId w:val="211"/>
              </w:numPr>
              <w:spacing w:after="0" w:line="240" w:lineRule="auto"/>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Level three encompasses consumers and households.</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4CA7CCEF" w14:textId="77777777" w:rsidTr="0043499F">
        <w:trPr>
          <w:trHeight w:val="109"/>
        </w:trPr>
        <w:tc>
          <w:tcPr>
            <w:tcW w:w="9182" w:type="dxa"/>
            <w:shd w:val="clear" w:color="auto" w:fill="FFFFFF" w:themeFill="background1"/>
          </w:tcPr>
          <w:p w14:paraId="41E5070D" w14:textId="77777777" w:rsidR="00AA4484" w:rsidRPr="005B4339" w:rsidRDefault="00AA4484" w:rsidP="0043499F">
            <w:pPr>
              <w:spacing w:after="0"/>
              <w:rPr>
                <w:rFonts w:cstheme="minorHAnsi"/>
                <w:b/>
                <w:noProof/>
              </w:rPr>
            </w:pPr>
            <w:r w:rsidRPr="005B4339">
              <w:rPr>
                <w:rFonts w:cstheme="minorHAnsi"/>
                <w:b/>
                <w:noProof/>
              </w:rPr>
              <w:t>Rationale/justification</w:t>
            </w:r>
          </w:p>
          <w:p w14:paraId="0A4C4FFF" w14:textId="77777777" w:rsidR="00AA4484" w:rsidRPr="005B4339" w:rsidRDefault="00AA4484" w:rsidP="0043499F">
            <w:pPr>
              <w:spacing w:after="0"/>
              <w:rPr>
                <w:rFonts w:cstheme="minorHAnsi"/>
                <w:b/>
                <w:noProof/>
              </w:rPr>
            </w:pPr>
          </w:p>
          <w:p w14:paraId="2CA5AE0C" w14:textId="77777777" w:rsidR="00AA4484" w:rsidRPr="005B4339" w:rsidRDefault="00AA4484" w:rsidP="0043499F">
            <w:pPr>
              <w:spacing w:after="0"/>
              <w:rPr>
                <w:rFonts w:cstheme="minorHAnsi"/>
                <w:bCs/>
                <w:noProof/>
              </w:rPr>
            </w:pPr>
            <w:r w:rsidRPr="005B4339">
              <w:rPr>
                <w:rFonts w:cstheme="minorHAnsi"/>
                <w:bCs/>
                <w:noProof/>
              </w:rPr>
              <w:t>Citizens did not provide a rationale.</w:t>
            </w:r>
          </w:p>
          <w:p w14:paraId="6B12D5FA" w14:textId="77777777" w:rsidR="00AA4484" w:rsidRPr="005B4339" w:rsidRDefault="00AA4484" w:rsidP="0043499F">
            <w:pPr>
              <w:spacing w:after="0"/>
              <w:rPr>
                <w:rFonts w:cstheme="minorHAnsi"/>
                <w:b/>
                <w:noProof/>
              </w:rPr>
            </w:pPr>
            <w:r w:rsidRPr="005B4339">
              <w:rPr>
                <w:rFonts w:cstheme="minorHAnsi"/>
                <w:b/>
                <w:noProof/>
              </w:rPr>
              <w:t xml:space="preserve"> </w:t>
            </w:r>
          </w:p>
        </w:tc>
      </w:tr>
      <w:tr w:rsidR="00AA4484" w:rsidRPr="005B4339" w14:paraId="51532F99" w14:textId="77777777" w:rsidTr="0043499F">
        <w:trPr>
          <w:trHeight w:val="240"/>
        </w:trPr>
        <w:tc>
          <w:tcPr>
            <w:tcW w:w="9182" w:type="dxa"/>
            <w:shd w:val="clear" w:color="auto" w:fill="FFFFFF" w:themeFill="background1"/>
          </w:tcPr>
          <w:p w14:paraId="5C6DC311" w14:textId="77777777" w:rsidR="00AA4484" w:rsidRPr="005B4339" w:rsidRDefault="00AA4484" w:rsidP="0043499F">
            <w:pPr>
              <w:spacing w:after="0"/>
              <w:rPr>
                <w:rFonts w:cstheme="minorHAnsi"/>
                <w:b/>
                <w:noProof/>
              </w:rPr>
            </w:pPr>
            <w:r w:rsidRPr="005B4339">
              <w:rPr>
                <w:rFonts w:cstheme="minorHAnsi"/>
                <w:b/>
                <w:noProof/>
              </w:rPr>
              <w:t>Additional notes</w:t>
            </w:r>
          </w:p>
          <w:p w14:paraId="79E13FA2" w14:textId="77777777" w:rsidR="00AA4484" w:rsidRPr="005B4339" w:rsidRDefault="00AA4484" w:rsidP="0043499F">
            <w:pPr>
              <w:spacing w:after="0"/>
              <w:rPr>
                <w:rFonts w:cstheme="minorHAnsi"/>
                <w:b/>
                <w:noProof/>
              </w:rPr>
            </w:pPr>
          </w:p>
        </w:tc>
      </w:tr>
    </w:tbl>
    <w:p w14:paraId="7F55E342" w14:textId="77777777" w:rsidR="00AA4484" w:rsidRPr="005B4339" w:rsidRDefault="00AA4484" w:rsidP="00AA4484">
      <w:pPr>
        <w:spacing w:after="0"/>
        <w:rPr>
          <w:rFonts w:eastAsia="Times New Roman" w:cstheme="minorHAnsi"/>
          <w:noProof/>
          <w:lang w:eastAsia="de-DE"/>
        </w:rPr>
      </w:pPr>
    </w:p>
    <w:p w14:paraId="59577BD7" w14:textId="77777777" w:rsidR="00D64130" w:rsidRPr="005B4339" w:rsidRDefault="00D64130" w:rsidP="00AA4484">
      <w:pPr>
        <w:spacing w:after="0"/>
        <w:rPr>
          <w:rFonts w:eastAsia="Times New Roman" w:cstheme="minorHAnsi"/>
          <w:noProof/>
          <w:lang w:eastAsia="de-DE"/>
        </w:rPr>
      </w:pPr>
    </w:p>
    <w:p w14:paraId="1CFC63A6"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51F05A69" w14:textId="77777777" w:rsidTr="0043499F">
        <w:tc>
          <w:tcPr>
            <w:tcW w:w="9182" w:type="dxa"/>
            <w:shd w:val="clear" w:color="auto" w:fill="EB9BA9"/>
          </w:tcPr>
          <w:p w14:paraId="198796C6" w14:textId="77777777" w:rsidR="00AA4484" w:rsidRPr="005B4339" w:rsidRDefault="00AA4484" w:rsidP="007D1AE5">
            <w:pPr>
              <w:rPr>
                <w:rFonts w:eastAsiaTheme="minorEastAsia"/>
                <w:b/>
                <w:bCs/>
                <w:noProof/>
              </w:rPr>
            </w:pPr>
            <w:r w:rsidRPr="005B4339">
              <w:rPr>
                <w:rFonts w:eastAsiaTheme="minorEastAsia"/>
                <w:b/>
                <w:bCs/>
                <w:noProof/>
              </w:rPr>
              <w:t>RECOMMENDATION 9</w:t>
            </w:r>
          </w:p>
          <w:p w14:paraId="01AFD7A4" w14:textId="77777777" w:rsidR="00AA4484" w:rsidRPr="005B4339" w:rsidRDefault="00AA4484" w:rsidP="007D1AE5">
            <w:pPr>
              <w:rPr>
                <w:rFonts w:eastAsiaTheme="minorEastAsia"/>
                <w:b/>
                <w:noProof/>
                <w:sz w:val="22"/>
                <w:szCs w:val="22"/>
              </w:rPr>
            </w:pPr>
            <w:r w:rsidRPr="005B4339">
              <w:rPr>
                <w:rFonts w:eastAsiaTheme="minorEastAsia"/>
                <w:b/>
                <w:bCs/>
                <w:noProof/>
              </w:rPr>
              <w:t>Planned purchases and redistribution</w:t>
            </w:r>
          </w:p>
        </w:tc>
      </w:tr>
      <w:tr w:rsidR="00AA4484" w:rsidRPr="005B4339" w14:paraId="690E997C" w14:textId="77777777" w:rsidTr="0043499F">
        <w:trPr>
          <w:trHeight w:val="1284"/>
        </w:trPr>
        <w:tc>
          <w:tcPr>
            <w:tcW w:w="9182" w:type="dxa"/>
            <w:shd w:val="clear" w:color="auto" w:fill="FFFFFF" w:themeFill="background1"/>
          </w:tcPr>
          <w:p w14:paraId="0CC951F4"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We recommend developing a legal framework to harmonise Member States' legislation on practices for the entire supply chain regarding the redistribution of surplus and about-to-expire food, considering safety regulations and data forecasting. Purchases should be adjusted to what will be sold. Supermarkets and suppliers could be incentivised with benefits (for example, through tax breaks) for selling at a lower price or donating.</w:t>
            </w:r>
          </w:p>
          <w:p w14:paraId="2259C606" w14:textId="77777777" w:rsidR="00AA4484" w:rsidRPr="005B4339" w:rsidRDefault="00AA4484" w:rsidP="0043499F">
            <w:pPr>
              <w:rPr>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7DDBB236" w14:textId="77777777" w:rsidTr="0043499F">
        <w:trPr>
          <w:trHeight w:val="650"/>
        </w:trPr>
        <w:tc>
          <w:tcPr>
            <w:tcW w:w="9182" w:type="dxa"/>
            <w:shd w:val="clear" w:color="auto" w:fill="FFFFFF" w:themeFill="background1"/>
          </w:tcPr>
          <w:p w14:paraId="70232AEC" w14:textId="77777777" w:rsidR="00AA4484" w:rsidRPr="005B4339" w:rsidRDefault="00AA4484" w:rsidP="0043499F">
            <w:pPr>
              <w:spacing w:after="0"/>
              <w:rPr>
                <w:rFonts w:cstheme="minorHAnsi"/>
                <w:b/>
                <w:noProof/>
              </w:rPr>
            </w:pPr>
            <w:r w:rsidRPr="005B4339">
              <w:rPr>
                <w:rFonts w:cstheme="minorHAnsi"/>
                <w:b/>
                <w:noProof/>
              </w:rPr>
              <w:t>Rationale/justification</w:t>
            </w:r>
          </w:p>
          <w:p w14:paraId="103289C3" w14:textId="77777777" w:rsidR="00AA4484" w:rsidRPr="005B4339" w:rsidRDefault="00AA4484" w:rsidP="0043499F">
            <w:pPr>
              <w:spacing w:after="0"/>
              <w:rPr>
                <w:rFonts w:cstheme="minorHAnsi"/>
                <w:noProof/>
              </w:rPr>
            </w:pPr>
            <w:r w:rsidRPr="005B4339">
              <w:rPr>
                <w:rFonts w:cstheme="minorHAnsi"/>
                <w:noProof/>
              </w:rPr>
              <w:t>Citizens did not provide a rationale.</w:t>
            </w:r>
          </w:p>
        </w:tc>
      </w:tr>
      <w:tr w:rsidR="00AA4484" w:rsidRPr="005B4339" w14:paraId="075B7C6F" w14:textId="77777777" w:rsidTr="0043499F">
        <w:trPr>
          <w:trHeight w:val="324"/>
        </w:trPr>
        <w:tc>
          <w:tcPr>
            <w:tcW w:w="9182" w:type="dxa"/>
            <w:shd w:val="clear" w:color="auto" w:fill="FFFFFF" w:themeFill="background1"/>
          </w:tcPr>
          <w:p w14:paraId="7050C08B" w14:textId="77777777" w:rsidR="00AA4484" w:rsidRPr="005B4339" w:rsidRDefault="00AA4484" w:rsidP="0043499F">
            <w:pPr>
              <w:spacing w:after="0"/>
              <w:rPr>
                <w:rFonts w:cstheme="minorHAnsi"/>
                <w:b/>
                <w:noProof/>
              </w:rPr>
            </w:pPr>
            <w:r w:rsidRPr="005B4339">
              <w:rPr>
                <w:rFonts w:cstheme="minorHAnsi"/>
                <w:b/>
                <w:noProof/>
              </w:rPr>
              <w:t>Additional notes</w:t>
            </w:r>
          </w:p>
          <w:p w14:paraId="64F7894F" w14:textId="77777777" w:rsidR="00AA4484" w:rsidRPr="005B4339" w:rsidRDefault="00AA4484" w:rsidP="0043499F">
            <w:pPr>
              <w:spacing w:after="0"/>
              <w:rPr>
                <w:rFonts w:cstheme="minorHAnsi"/>
                <w:b/>
                <w:noProof/>
              </w:rPr>
            </w:pPr>
          </w:p>
        </w:tc>
      </w:tr>
    </w:tbl>
    <w:p w14:paraId="5BC174E8" w14:textId="77777777" w:rsidR="00AA4484" w:rsidRPr="005B4339" w:rsidRDefault="00AA4484" w:rsidP="00AA4484">
      <w:pPr>
        <w:spacing w:after="0"/>
        <w:rPr>
          <w:rFonts w:eastAsia="Times New Roman" w:cstheme="minorHAnsi"/>
          <w:noProof/>
          <w:lang w:eastAsia="de-DE"/>
        </w:rPr>
      </w:pPr>
    </w:p>
    <w:p w14:paraId="27AEC62B" w14:textId="77777777" w:rsidR="00AA4484" w:rsidRPr="005B4339" w:rsidRDefault="00AA4484" w:rsidP="00AA4484">
      <w:pPr>
        <w:rPr>
          <w:rFonts w:eastAsia="Times New Roman" w:cstheme="minorHAnsi"/>
          <w:noProof/>
          <w:lang w:eastAsia="de-DE"/>
        </w:rPr>
      </w:pPr>
    </w:p>
    <w:p w14:paraId="76F529F2"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776B90CD" w14:textId="77777777" w:rsidTr="0043499F">
        <w:tc>
          <w:tcPr>
            <w:tcW w:w="9182" w:type="dxa"/>
            <w:shd w:val="clear" w:color="auto" w:fill="EB9BA9"/>
          </w:tcPr>
          <w:p w14:paraId="3657304F" w14:textId="77777777" w:rsidR="00AA4484" w:rsidRPr="005B4339" w:rsidRDefault="00AA4484" w:rsidP="007D1AE5">
            <w:pPr>
              <w:rPr>
                <w:rFonts w:eastAsiaTheme="minorEastAsia"/>
                <w:b/>
                <w:bCs/>
                <w:noProof/>
              </w:rPr>
            </w:pPr>
            <w:r w:rsidRPr="005B4339">
              <w:rPr>
                <w:rFonts w:eastAsiaTheme="minorEastAsia"/>
                <w:b/>
                <w:bCs/>
                <w:noProof/>
              </w:rPr>
              <w:t>RECOMMENDATION 10</w:t>
            </w:r>
          </w:p>
          <w:p w14:paraId="49E5293B" w14:textId="77777777" w:rsidR="00AA4484" w:rsidRPr="005B4339" w:rsidRDefault="00AA4484" w:rsidP="007D1AE5">
            <w:pPr>
              <w:rPr>
                <w:rFonts w:eastAsiaTheme="minorEastAsia"/>
                <w:b/>
                <w:noProof/>
                <w:sz w:val="22"/>
                <w:szCs w:val="22"/>
              </w:rPr>
            </w:pPr>
            <w:r w:rsidRPr="005B4339">
              <w:rPr>
                <w:rFonts w:eastAsiaTheme="minorEastAsia"/>
                <w:b/>
                <w:bCs/>
                <w:noProof/>
              </w:rPr>
              <w:t>Restaurants stand for "enjoy without wasting"</w:t>
            </w:r>
          </w:p>
        </w:tc>
      </w:tr>
      <w:tr w:rsidR="00AA4484" w:rsidRPr="005B4339" w14:paraId="6ECC07AB" w14:textId="77777777" w:rsidTr="0043499F">
        <w:trPr>
          <w:trHeight w:val="3849"/>
        </w:trPr>
        <w:tc>
          <w:tcPr>
            <w:tcW w:w="9182" w:type="dxa"/>
            <w:shd w:val="clear" w:color="auto" w:fill="FFFFFF" w:themeFill="background1"/>
          </w:tcPr>
          <w:p w14:paraId="749EF68A"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We recommend to the European institutions the following plan to reduce food waste in restaurants. Once certain quality criteria (like the ones outlined below and some others) are met, all types of restaurants should be allowed to show a logo (which is harmonised across the EU). The logo would advertise the possibility to take leftovers home and waiters should provide packages for food to take leftovers home. Those restaurants that implement the logo plan would write on their menus an additional text stating “you can take your leftovers home”. If there are still leftovers of prepared food, they should be offered to employees. If there are leftovers of raw food from the kitchen, they should be offered to Food Banks/other charity institutions.</w:t>
            </w:r>
          </w:p>
          <w:p w14:paraId="116505E5" w14:textId="77777777" w:rsidR="00AA4484" w:rsidRPr="005B4339" w:rsidRDefault="00AA4484" w:rsidP="0043499F">
            <w:pPr>
              <w:pStyle w:val="Subtitle"/>
              <w:jc w:val="both"/>
              <w:rPr>
                <w:rFonts w:ascii="Times New Roman" w:hAnsi="Times New Roman" w:cs="Times New Roman"/>
                <w:noProof/>
                <w:color w:val="auto"/>
                <w:lang w:val="en-GB"/>
              </w:rPr>
            </w:pPr>
          </w:p>
          <w:p w14:paraId="6B9FDC1C"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If food is inedible, it should be used to produce renewable energy. To encourage restaurants to meet these quality criteria (or further quality criteria), financial support should be given to restaurants to carry out this plan. A tax relief could serve as a financial incentive and additional aid could be granted. As leftovers from kitchens can be weighed or measured, they could be monitored and taken into consideration for the tax relief.</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19B4C5E9" w14:textId="77777777" w:rsidTr="0043499F">
        <w:trPr>
          <w:trHeight w:val="958"/>
        </w:trPr>
        <w:tc>
          <w:tcPr>
            <w:tcW w:w="9182" w:type="dxa"/>
            <w:shd w:val="clear" w:color="auto" w:fill="FFFFFF" w:themeFill="background1"/>
          </w:tcPr>
          <w:p w14:paraId="244F21BC" w14:textId="77777777" w:rsidR="00AA4484" w:rsidRPr="005B4339" w:rsidRDefault="00AA4484" w:rsidP="0043499F">
            <w:pPr>
              <w:spacing w:after="0"/>
              <w:rPr>
                <w:rFonts w:cstheme="minorHAnsi"/>
                <w:noProof/>
              </w:rPr>
            </w:pPr>
            <w:r w:rsidRPr="005B4339">
              <w:rPr>
                <w:rFonts w:cstheme="minorHAnsi"/>
                <w:b/>
                <w:noProof/>
              </w:rPr>
              <w:t>Rationale/justification</w:t>
            </w:r>
            <w:r w:rsidRPr="005B4339">
              <w:rPr>
                <w:rFonts w:cstheme="minorHAnsi"/>
                <w:noProof/>
              </w:rPr>
              <w:br/>
              <w:t>We recommend this because it would reduce food waste coming from restaurants and significantly reduce the shaming effect which might occur when asking for leftovers. If restaurants act as role models, private households will be encouraged to reduce food waste as well.</w:t>
            </w:r>
          </w:p>
          <w:p w14:paraId="0ACDF175" w14:textId="77777777" w:rsidR="00AA4484" w:rsidRPr="005B4339" w:rsidRDefault="00AA4484" w:rsidP="0043499F">
            <w:pPr>
              <w:spacing w:after="0"/>
              <w:rPr>
                <w:rFonts w:cstheme="minorHAnsi"/>
                <w:b/>
                <w:noProof/>
              </w:rPr>
            </w:pPr>
          </w:p>
        </w:tc>
      </w:tr>
      <w:tr w:rsidR="00AA4484" w:rsidRPr="005B4339" w14:paraId="77616830" w14:textId="77777777" w:rsidTr="0043499F">
        <w:trPr>
          <w:trHeight w:val="171"/>
        </w:trPr>
        <w:tc>
          <w:tcPr>
            <w:tcW w:w="9182" w:type="dxa"/>
            <w:shd w:val="clear" w:color="auto" w:fill="FFFFFF" w:themeFill="background1"/>
          </w:tcPr>
          <w:p w14:paraId="47193C28" w14:textId="77777777" w:rsidR="00AA4484" w:rsidRPr="005B4339" w:rsidRDefault="00AA4484" w:rsidP="0043499F">
            <w:pPr>
              <w:spacing w:after="0"/>
              <w:rPr>
                <w:rFonts w:cstheme="minorHAnsi"/>
                <w:b/>
                <w:noProof/>
              </w:rPr>
            </w:pPr>
            <w:r w:rsidRPr="005B4339">
              <w:rPr>
                <w:rFonts w:cstheme="minorHAnsi"/>
                <w:b/>
                <w:noProof/>
              </w:rPr>
              <w:t>Additional notes</w:t>
            </w:r>
          </w:p>
          <w:p w14:paraId="2E25B36F" w14:textId="77777777" w:rsidR="00AA4484" w:rsidRPr="005B4339" w:rsidRDefault="00AA4484" w:rsidP="0043499F">
            <w:pPr>
              <w:spacing w:after="0"/>
              <w:rPr>
                <w:rFonts w:cstheme="minorHAnsi"/>
                <w:b/>
                <w:noProof/>
              </w:rPr>
            </w:pPr>
          </w:p>
        </w:tc>
      </w:tr>
    </w:tbl>
    <w:p w14:paraId="6EE6E27C" w14:textId="77777777" w:rsidR="00AA4484" w:rsidRPr="005B4339" w:rsidRDefault="00AA4484" w:rsidP="00AA4484">
      <w:pPr>
        <w:spacing w:after="0"/>
        <w:rPr>
          <w:rFonts w:cstheme="minorHAnsi"/>
          <w:noProof/>
        </w:rPr>
      </w:pPr>
    </w:p>
    <w:p w14:paraId="2A8BA25D" w14:textId="77777777" w:rsidR="00AA4484" w:rsidRPr="005B4339" w:rsidRDefault="00AA4484" w:rsidP="00AA4484">
      <w:pPr>
        <w:spacing w:after="0"/>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74922EDD" w14:textId="77777777" w:rsidTr="0043499F">
        <w:tc>
          <w:tcPr>
            <w:tcW w:w="9182" w:type="dxa"/>
            <w:shd w:val="clear" w:color="auto" w:fill="EB9BA9"/>
          </w:tcPr>
          <w:p w14:paraId="49E0923E" w14:textId="77777777" w:rsidR="00AA4484" w:rsidRPr="005B4339" w:rsidRDefault="00AA4484" w:rsidP="007D1AE5">
            <w:pPr>
              <w:rPr>
                <w:rFonts w:eastAsiaTheme="minorEastAsia"/>
                <w:b/>
                <w:bCs/>
                <w:noProof/>
              </w:rPr>
            </w:pPr>
            <w:r w:rsidRPr="005B4339">
              <w:rPr>
                <w:rFonts w:eastAsiaTheme="minorEastAsia"/>
                <w:b/>
                <w:bCs/>
                <w:noProof/>
              </w:rPr>
              <w:t>RECOMMENDATION 11</w:t>
            </w:r>
          </w:p>
          <w:p w14:paraId="475720CD" w14:textId="77777777" w:rsidR="00AA4484" w:rsidRPr="005B4339" w:rsidRDefault="00AA4484" w:rsidP="007D1AE5">
            <w:pPr>
              <w:rPr>
                <w:rFonts w:eastAsiaTheme="minorEastAsia"/>
                <w:b/>
                <w:noProof/>
                <w:sz w:val="22"/>
                <w:szCs w:val="22"/>
              </w:rPr>
            </w:pPr>
            <w:r w:rsidRPr="005B4339">
              <w:rPr>
                <w:rFonts w:eastAsiaTheme="minorEastAsia"/>
                <w:b/>
                <w:bCs/>
                <w:noProof/>
              </w:rPr>
              <w:t>All waste has a weight</w:t>
            </w:r>
          </w:p>
        </w:tc>
      </w:tr>
      <w:tr w:rsidR="00AA4484" w:rsidRPr="005B4339" w14:paraId="74904DD5" w14:textId="77777777" w:rsidTr="0043499F">
        <w:trPr>
          <w:trHeight w:val="1782"/>
        </w:trPr>
        <w:tc>
          <w:tcPr>
            <w:tcW w:w="9182" w:type="dxa"/>
            <w:shd w:val="clear" w:color="auto" w:fill="FFFFFF" w:themeFill="background1"/>
          </w:tcPr>
          <w:p w14:paraId="271CBEAF"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We recommend that organisations in charge of waste management be obliged to weigh, scale or measure organic waste. In the short term, the plan should focus on public institutions (e.g., schools and hospitals), entire neighbourhoods or districts, and in the long-term, it should also include private households. Representatives of these institutions/districts and, at a later stage, private households should regularly receive reports and comparisons to previous periods and comparisons to other entities. This leads to more awareness and is an incentive to reduce food waste. It does not have to be measured in the same way in all countries, it is sufficient if it is comparable in a respective country.</w:t>
            </w:r>
          </w:p>
          <w:p w14:paraId="14CC16B8" w14:textId="77777777" w:rsidR="00AA4484" w:rsidRPr="005B4339" w:rsidRDefault="00AA4484" w:rsidP="0043499F">
            <w:pPr>
              <w:rPr>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70EA5565" w14:textId="77777777" w:rsidTr="0043499F">
        <w:trPr>
          <w:trHeight w:val="1032"/>
        </w:trPr>
        <w:tc>
          <w:tcPr>
            <w:tcW w:w="9182" w:type="dxa"/>
            <w:shd w:val="clear" w:color="auto" w:fill="FFFFFF" w:themeFill="background1"/>
          </w:tcPr>
          <w:p w14:paraId="5F06DF09" w14:textId="77777777" w:rsidR="00AA4484" w:rsidRPr="005B4339" w:rsidRDefault="00AA4484" w:rsidP="0043499F">
            <w:pPr>
              <w:spacing w:after="0"/>
              <w:rPr>
                <w:rFonts w:cstheme="minorHAnsi"/>
                <w:b/>
                <w:noProof/>
              </w:rPr>
            </w:pPr>
            <w:r w:rsidRPr="005B4339">
              <w:rPr>
                <w:rFonts w:cstheme="minorHAnsi"/>
                <w:b/>
                <w:noProof/>
              </w:rPr>
              <w:t>Rationale/justification</w:t>
            </w:r>
          </w:p>
          <w:p w14:paraId="25A74373" w14:textId="77777777" w:rsidR="00AA4484" w:rsidRPr="005B4339" w:rsidRDefault="00AA4484" w:rsidP="0043499F">
            <w:pPr>
              <w:spacing w:after="0"/>
              <w:rPr>
                <w:rFonts w:cstheme="minorHAnsi"/>
                <w:noProof/>
              </w:rPr>
            </w:pPr>
            <w:r w:rsidRPr="005B4339">
              <w:rPr>
                <w:rFonts w:cstheme="minorHAnsi"/>
                <w:noProof/>
              </w:rPr>
              <w:t>We recommend it because it would broaden awareness among consumers. It would also serve as an incentive to improve and reduce food waste. The results of the recommendation can be measured in the short and long term, providing some motivation to reduce food waste.</w:t>
            </w:r>
          </w:p>
          <w:p w14:paraId="1CD34AD4" w14:textId="77777777" w:rsidR="00AA4484" w:rsidRPr="005B4339" w:rsidRDefault="00AA4484" w:rsidP="0043499F">
            <w:pPr>
              <w:spacing w:after="0"/>
              <w:rPr>
                <w:rFonts w:cstheme="minorHAnsi"/>
                <w:noProof/>
              </w:rPr>
            </w:pPr>
          </w:p>
        </w:tc>
      </w:tr>
      <w:tr w:rsidR="00AA4484" w:rsidRPr="005B4339" w14:paraId="3F0DE204" w14:textId="77777777" w:rsidTr="0043499F">
        <w:trPr>
          <w:trHeight w:val="84"/>
        </w:trPr>
        <w:tc>
          <w:tcPr>
            <w:tcW w:w="9182" w:type="dxa"/>
            <w:shd w:val="clear" w:color="auto" w:fill="FFFFFF" w:themeFill="background1"/>
          </w:tcPr>
          <w:p w14:paraId="68DAEE3D" w14:textId="77777777" w:rsidR="00AA4484" w:rsidRPr="005B4339" w:rsidRDefault="00AA4484" w:rsidP="0043499F">
            <w:pPr>
              <w:spacing w:after="0"/>
              <w:rPr>
                <w:rFonts w:cstheme="minorHAnsi"/>
                <w:b/>
                <w:noProof/>
              </w:rPr>
            </w:pPr>
            <w:r w:rsidRPr="005B4339">
              <w:rPr>
                <w:rFonts w:cstheme="minorHAnsi"/>
                <w:b/>
                <w:noProof/>
              </w:rPr>
              <w:t>Additional notes</w:t>
            </w:r>
          </w:p>
          <w:p w14:paraId="31F27F64" w14:textId="77777777" w:rsidR="00AA4484" w:rsidRPr="005B4339" w:rsidRDefault="00AA4484" w:rsidP="0043499F">
            <w:pPr>
              <w:spacing w:after="0"/>
              <w:rPr>
                <w:rFonts w:cstheme="minorHAnsi"/>
                <w:b/>
                <w:noProof/>
              </w:rPr>
            </w:pPr>
          </w:p>
        </w:tc>
      </w:tr>
    </w:tbl>
    <w:p w14:paraId="12A48042" w14:textId="77777777" w:rsidR="00AA4484" w:rsidRPr="005B4339" w:rsidRDefault="00AA4484" w:rsidP="00AA4484">
      <w:pPr>
        <w:spacing w:after="0"/>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7CB912C8" w14:textId="77777777" w:rsidTr="0043499F">
        <w:tc>
          <w:tcPr>
            <w:tcW w:w="9182" w:type="dxa"/>
            <w:shd w:val="clear" w:color="auto" w:fill="EB9BA9"/>
          </w:tcPr>
          <w:p w14:paraId="4BD91E6C" w14:textId="77777777" w:rsidR="00AA4484" w:rsidRPr="005B4339" w:rsidRDefault="00AA4484" w:rsidP="007D1AE5">
            <w:pPr>
              <w:rPr>
                <w:rFonts w:eastAsiaTheme="minorEastAsia"/>
                <w:b/>
                <w:bCs/>
                <w:noProof/>
              </w:rPr>
            </w:pPr>
            <w:r w:rsidRPr="005B4339">
              <w:rPr>
                <w:rFonts w:eastAsiaTheme="minorEastAsia"/>
                <w:b/>
                <w:bCs/>
                <w:noProof/>
              </w:rPr>
              <w:t xml:space="preserve">RECOMMENDATION 12 </w:t>
            </w:r>
          </w:p>
          <w:p w14:paraId="6370E2C9" w14:textId="77777777" w:rsidR="00AA4484" w:rsidRPr="005B4339" w:rsidRDefault="00AA4484" w:rsidP="007D1AE5">
            <w:pPr>
              <w:rPr>
                <w:rFonts w:eastAsiaTheme="minorEastAsia"/>
                <w:b/>
                <w:noProof/>
                <w:sz w:val="22"/>
                <w:szCs w:val="22"/>
              </w:rPr>
            </w:pPr>
            <w:r w:rsidRPr="005B4339">
              <w:rPr>
                <w:rFonts w:eastAsiaTheme="minorEastAsia"/>
                <w:b/>
                <w:bCs/>
                <w:noProof/>
              </w:rPr>
              <w:t>A mandatory reporting system for transparency coupled with penalties and rewards</w:t>
            </w:r>
          </w:p>
        </w:tc>
      </w:tr>
      <w:tr w:rsidR="00AA4484" w:rsidRPr="005B4339" w14:paraId="34910991" w14:textId="77777777" w:rsidTr="0043499F">
        <w:trPr>
          <w:trHeight w:val="2857"/>
        </w:trPr>
        <w:tc>
          <w:tcPr>
            <w:tcW w:w="9182" w:type="dxa"/>
            <w:shd w:val="clear" w:color="auto" w:fill="FFFFFF" w:themeFill="background1"/>
          </w:tcPr>
          <w:p w14:paraId="631273B9" w14:textId="77777777" w:rsidR="00AA4484" w:rsidRPr="005B4339" w:rsidRDefault="00AA4484" w:rsidP="0043499F">
            <w:pPr>
              <w:pStyle w:val="Subtitle"/>
              <w:jc w:val="both"/>
              <w:rPr>
                <w:rFonts w:ascii="Times New Roman" w:hAnsi="Times New Roman" w:cs="Times New Roman"/>
                <w:noProof/>
                <w:color w:val="auto"/>
                <w:lang w:val="en-GB"/>
              </w:rPr>
            </w:pPr>
            <w:r w:rsidRPr="005B4339">
              <w:rPr>
                <w:rFonts w:ascii="Times New Roman" w:hAnsi="Times New Roman" w:cs="Times New Roman"/>
                <w:noProof/>
                <w:color w:val="auto"/>
                <w:lang w:val="en-GB"/>
              </w:rPr>
              <w:t xml:space="preserve">We recommend establishing a reporting system (especially similar to ISO certification) to set specific standards across the whole value chain including producers, manufacturers, retailers, supermarkets, restaurants, and hotels. It should distinguish between large and small/medium size enterprises (SMEs) based on existing categories to classify company sizes. There should be penalties if standards are violated and rewards if companies overperform. There should be a relative fine system proportional to the gravity of the offense and the size of the company. Rewards should primarily be based on a label system, for example, ABC grades, or potentially financial incentives, especially for SMEs. Independent and external auditors must be tasked with reporting, not the companies. Public authorities at the member-state level (e.g., ministries or regulatory bodies) are in charge to ensure implementation and monitoring. The data should be publicly accessible and enable peer learning. The Commission should have an oversight and coordination function. </w:t>
            </w:r>
          </w:p>
          <w:p w14:paraId="55EE5DCB" w14:textId="77777777" w:rsidR="00AA4484" w:rsidRPr="005B4339" w:rsidRDefault="00AA4484" w:rsidP="0043499F">
            <w:pPr>
              <w:rPr>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5947336F" w14:textId="77777777" w:rsidTr="0043499F">
        <w:trPr>
          <w:trHeight w:val="733"/>
        </w:trPr>
        <w:tc>
          <w:tcPr>
            <w:tcW w:w="9182" w:type="dxa"/>
            <w:shd w:val="clear" w:color="auto" w:fill="FFFFFF" w:themeFill="background1"/>
          </w:tcPr>
          <w:p w14:paraId="3B28CAD4" w14:textId="77777777" w:rsidR="00AA4484" w:rsidRPr="005B4339" w:rsidRDefault="00AA4484" w:rsidP="0043499F">
            <w:pPr>
              <w:spacing w:after="0"/>
              <w:rPr>
                <w:b/>
                <w:noProof/>
              </w:rPr>
            </w:pPr>
            <w:r w:rsidRPr="005B4339">
              <w:rPr>
                <w:b/>
                <w:noProof/>
              </w:rPr>
              <w:t>Rationale/justification</w:t>
            </w:r>
          </w:p>
          <w:p w14:paraId="26FA07FA" w14:textId="77777777" w:rsidR="00AA4484" w:rsidRPr="005B4339" w:rsidRDefault="00AA4484" w:rsidP="0043499F">
            <w:pPr>
              <w:spacing w:after="0"/>
              <w:rPr>
                <w:rFonts w:eastAsiaTheme="minorEastAsia"/>
                <w:noProof/>
              </w:rPr>
            </w:pPr>
            <w:r w:rsidRPr="005B4339">
              <w:rPr>
                <w:rFonts w:eastAsiaTheme="minorEastAsia"/>
                <w:noProof/>
              </w:rPr>
              <w:t xml:space="preserve">It is important for transparency purposes to have the data of the labels available and accessible for people who wish for more information than just a label. </w:t>
            </w:r>
          </w:p>
          <w:p w14:paraId="6110B6F1" w14:textId="77777777" w:rsidR="00AA4484" w:rsidRPr="005B4339" w:rsidRDefault="00AA4484" w:rsidP="0043499F">
            <w:pPr>
              <w:spacing w:after="0"/>
              <w:rPr>
                <w:rFonts w:eastAsia="Arial"/>
                <w:noProof/>
              </w:rPr>
            </w:pPr>
          </w:p>
        </w:tc>
      </w:tr>
      <w:tr w:rsidR="00AA4484" w:rsidRPr="005B4339" w14:paraId="193C67DE" w14:textId="77777777" w:rsidTr="0043499F">
        <w:trPr>
          <w:trHeight w:val="97"/>
        </w:trPr>
        <w:tc>
          <w:tcPr>
            <w:tcW w:w="9182" w:type="dxa"/>
            <w:shd w:val="clear" w:color="auto" w:fill="FFFFFF" w:themeFill="background1"/>
          </w:tcPr>
          <w:p w14:paraId="1B8D1B25" w14:textId="77777777" w:rsidR="00AA4484" w:rsidRPr="005B4339" w:rsidRDefault="00AA4484" w:rsidP="0043499F">
            <w:pPr>
              <w:spacing w:after="0"/>
              <w:rPr>
                <w:rFonts w:cstheme="minorHAnsi"/>
                <w:b/>
                <w:noProof/>
              </w:rPr>
            </w:pPr>
            <w:r w:rsidRPr="005B4339">
              <w:rPr>
                <w:rFonts w:cstheme="minorHAnsi"/>
                <w:b/>
                <w:noProof/>
              </w:rPr>
              <w:t>Additional notes</w:t>
            </w:r>
          </w:p>
          <w:p w14:paraId="0F570A8C" w14:textId="77777777" w:rsidR="00AA4484" w:rsidRPr="005B4339" w:rsidRDefault="00AA4484" w:rsidP="0043499F">
            <w:pPr>
              <w:spacing w:after="0"/>
              <w:rPr>
                <w:rFonts w:cstheme="minorHAnsi"/>
                <w:b/>
                <w:noProof/>
              </w:rPr>
            </w:pPr>
          </w:p>
        </w:tc>
      </w:tr>
    </w:tbl>
    <w:p w14:paraId="3D695C4E" w14:textId="77777777" w:rsidR="00AA4484" w:rsidRPr="005B4339" w:rsidRDefault="00AA4484" w:rsidP="00AA4484">
      <w:pPr>
        <w:spacing w:after="0"/>
        <w:rPr>
          <w:rFonts w:cstheme="minorHAnsi"/>
          <w:noProof/>
        </w:rPr>
      </w:pPr>
    </w:p>
    <w:p w14:paraId="0E070012" w14:textId="77777777" w:rsidR="00AA4484" w:rsidRPr="005B4339" w:rsidRDefault="00AA4484" w:rsidP="00AA4484">
      <w:pPr>
        <w:spacing w:after="0"/>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43138D3F" w14:textId="77777777" w:rsidTr="0043499F">
        <w:tc>
          <w:tcPr>
            <w:tcW w:w="9182" w:type="dxa"/>
            <w:shd w:val="clear" w:color="auto" w:fill="EB9BA9"/>
          </w:tcPr>
          <w:p w14:paraId="3D9A5CF3" w14:textId="77777777" w:rsidR="00AA4484" w:rsidRPr="005B4339" w:rsidRDefault="00AA4484" w:rsidP="007D1AE5">
            <w:pPr>
              <w:rPr>
                <w:rFonts w:eastAsiaTheme="minorEastAsia"/>
                <w:b/>
                <w:bCs/>
                <w:noProof/>
              </w:rPr>
            </w:pPr>
            <w:r w:rsidRPr="005B4339">
              <w:rPr>
                <w:rFonts w:eastAsiaTheme="minorEastAsia"/>
                <w:b/>
                <w:bCs/>
                <w:noProof/>
              </w:rPr>
              <w:t xml:space="preserve">RECOMMENDATION 13 </w:t>
            </w:r>
          </w:p>
          <w:p w14:paraId="65ECA8C5" w14:textId="77777777" w:rsidR="00AA4484" w:rsidRPr="005B4339" w:rsidRDefault="00AA4484" w:rsidP="007D1AE5">
            <w:pPr>
              <w:rPr>
                <w:rFonts w:eastAsiaTheme="minorEastAsia"/>
                <w:b/>
                <w:noProof/>
              </w:rPr>
            </w:pPr>
            <w:r w:rsidRPr="005B4339">
              <w:rPr>
                <w:rFonts w:eastAsiaTheme="minorEastAsia"/>
                <w:b/>
                <w:bCs/>
                <w:noProof/>
              </w:rPr>
              <w:t>EU-wide legislation on the destruction of unsold food products - a peer learning approach across Member States</w:t>
            </w:r>
          </w:p>
        </w:tc>
      </w:tr>
      <w:tr w:rsidR="00AA4484" w:rsidRPr="005B4339" w14:paraId="6A99B707" w14:textId="77777777" w:rsidTr="0043499F">
        <w:trPr>
          <w:trHeight w:val="2306"/>
        </w:trPr>
        <w:tc>
          <w:tcPr>
            <w:tcW w:w="9182" w:type="dxa"/>
          </w:tcPr>
          <w:p w14:paraId="601E7124" w14:textId="77777777" w:rsidR="00AA4484" w:rsidRPr="005B4339" w:rsidRDefault="00AA4484" w:rsidP="0043499F">
            <w:pPr>
              <w:rPr>
                <w:rFonts w:eastAsiaTheme="minorEastAsia"/>
                <w:noProof/>
              </w:rPr>
            </w:pPr>
            <w:r w:rsidRPr="005B4339">
              <w:rPr>
                <w:rFonts w:eastAsiaTheme="minorEastAsia"/>
                <w:noProof/>
              </w:rPr>
              <w:t>It must be ensured that food products are used in different phases before being thrown away. The priority is on avoiding food waste, but if not possible, the following cycle applies: human consumption, animal consumption, biofuel, and composting. The Member States are responsible for the required infrastructure to be in place to enable implementation. The EU sets an overarching goal to reduce food waste by a certain percentage. Member States set national standards so that the EU goal is collectively achieved. Member States can implement either voluntary or mandatory measures for companies to comply with. The reduction needs to be quantifiable. After a pilot phase that focuses on supermarkets, and adjustments based on peer learning, the best practice should be a guideline for all Member States.</w:t>
            </w:r>
          </w:p>
          <w:p w14:paraId="0AE76852"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455CDF1B" w14:textId="77777777" w:rsidTr="0043499F">
        <w:trPr>
          <w:trHeight w:val="871"/>
        </w:trPr>
        <w:tc>
          <w:tcPr>
            <w:tcW w:w="9182" w:type="dxa"/>
            <w:shd w:val="clear" w:color="auto" w:fill="FFFFFF" w:themeFill="background1"/>
          </w:tcPr>
          <w:p w14:paraId="260F6BF3" w14:textId="77777777" w:rsidR="00AA4484" w:rsidRPr="005B4339" w:rsidRDefault="00AA4484" w:rsidP="0043499F">
            <w:pPr>
              <w:spacing w:after="0"/>
              <w:rPr>
                <w:rFonts w:cstheme="minorHAnsi"/>
                <w:b/>
                <w:noProof/>
              </w:rPr>
            </w:pPr>
            <w:r w:rsidRPr="005B4339">
              <w:rPr>
                <w:rFonts w:cstheme="minorHAnsi"/>
                <w:b/>
                <w:noProof/>
              </w:rPr>
              <w:t>Rationale/justification</w:t>
            </w:r>
          </w:p>
          <w:p w14:paraId="38AD0C0A"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The French example does not work, so we need a better solution, for example a platform like in Finland, where companies can upload food that would go to waste. A law forbidding food waste needs to be kept general to account for diverging cultures of Member States.</w:t>
            </w:r>
          </w:p>
          <w:p w14:paraId="61B3AF67" w14:textId="77777777" w:rsidR="00AA4484" w:rsidRPr="005B4339" w:rsidRDefault="00AA4484" w:rsidP="0043499F">
            <w:pPr>
              <w:spacing w:after="0"/>
              <w:rPr>
                <w:rFonts w:eastAsiaTheme="minorEastAsia" w:cstheme="minorHAnsi"/>
                <w:noProof/>
              </w:rPr>
            </w:pPr>
          </w:p>
        </w:tc>
      </w:tr>
      <w:tr w:rsidR="00AA4484" w:rsidRPr="005B4339" w14:paraId="5CCB0098" w14:textId="77777777" w:rsidTr="0043499F">
        <w:trPr>
          <w:trHeight w:val="82"/>
        </w:trPr>
        <w:tc>
          <w:tcPr>
            <w:tcW w:w="9182" w:type="dxa"/>
            <w:shd w:val="clear" w:color="auto" w:fill="FFFFFF" w:themeFill="background1"/>
          </w:tcPr>
          <w:p w14:paraId="16E7DCBD" w14:textId="77777777" w:rsidR="00AA4484" w:rsidRPr="005B4339" w:rsidRDefault="00AA4484" w:rsidP="0043499F">
            <w:pPr>
              <w:spacing w:after="0"/>
              <w:rPr>
                <w:rFonts w:cstheme="minorHAnsi"/>
                <w:b/>
                <w:noProof/>
              </w:rPr>
            </w:pPr>
            <w:r w:rsidRPr="005B4339">
              <w:rPr>
                <w:rFonts w:cstheme="minorHAnsi"/>
                <w:b/>
                <w:noProof/>
              </w:rPr>
              <w:t>Additional notes</w:t>
            </w:r>
          </w:p>
          <w:p w14:paraId="580BEE8A" w14:textId="77777777" w:rsidR="00AA4484" w:rsidRPr="005B4339" w:rsidRDefault="00AA4484" w:rsidP="0043499F">
            <w:pPr>
              <w:spacing w:after="0"/>
              <w:rPr>
                <w:rFonts w:cstheme="minorHAnsi"/>
                <w:b/>
                <w:noProof/>
              </w:rPr>
            </w:pPr>
          </w:p>
        </w:tc>
      </w:tr>
    </w:tbl>
    <w:p w14:paraId="72E2A69A" w14:textId="77777777" w:rsidR="00AA4484" w:rsidRPr="005B4339" w:rsidRDefault="00AA4484" w:rsidP="00AA4484">
      <w:pPr>
        <w:spacing w:after="0"/>
        <w:rPr>
          <w:rFonts w:cstheme="minorHAnsi"/>
          <w:noProof/>
        </w:rPr>
      </w:pPr>
    </w:p>
    <w:p w14:paraId="58DFC7CE" w14:textId="77777777" w:rsidR="00D64130" w:rsidRPr="005B4339" w:rsidRDefault="00D64130" w:rsidP="00AA4484">
      <w:pPr>
        <w:spacing w:after="0"/>
        <w:rPr>
          <w:rFonts w:cstheme="minorHAnsi"/>
          <w:noProof/>
        </w:rPr>
      </w:pPr>
    </w:p>
    <w:p w14:paraId="1E8F18AC" w14:textId="77777777" w:rsidR="00D64130" w:rsidRPr="005B4339" w:rsidRDefault="00D64130" w:rsidP="00AA4484">
      <w:pPr>
        <w:spacing w:after="0"/>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09DA47FA" w14:textId="77777777" w:rsidTr="0043499F">
        <w:trPr>
          <w:trHeight w:val="300"/>
        </w:trPr>
        <w:tc>
          <w:tcPr>
            <w:tcW w:w="9182" w:type="dxa"/>
            <w:shd w:val="clear" w:color="auto" w:fill="EB9BA9"/>
          </w:tcPr>
          <w:p w14:paraId="7C1E448C" w14:textId="77777777" w:rsidR="00AA4484" w:rsidRPr="005B4339" w:rsidRDefault="00AA4484" w:rsidP="007D1AE5">
            <w:pPr>
              <w:rPr>
                <w:rFonts w:eastAsiaTheme="minorEastAsia"/>
                <w:b/>
                <w:bCs/>
                <w:noProof/>
              </w:rPr>
            </w:pPr>
            <w:r w:rsidRPr="005B4339">
              <w:rPr>
                <w:rFonts w:eastAsiaTheme="minorEastAsia"/>
                <w:b/>
                <w:bCs/>
                <w:noProof/>
              </w:rPr>
              <w:t>RECOMMENDATION 14</w:t>
            </w:r>
          </w:p>
          <w:p w14:paraId="3038B090" w14:textId="77777777" w:rsidR="00AA4484" w:rsidRPr="005B4339" w:rsidRDefault="00AA4484" w:rsidP="007D1AE5">
            <w:pPr>
              <w:rPr>
                <w:b/>
                <w:noProof/>
                <w:color w:val="000000" w:themeColor="text1"/>
                <w:sz w:val="22"/>
                <w:szCs w:val="22"/>
              </w:rPr>
            </w:pPr>
            <w:r w:rsidRPr="005B4339">
              <w:rPr>
                <w:rFonts w:eastAsiaTheme="minorEastAsia"/>
                <w:b/>
                <w:bCs/>
                <w:noProof/>
              </w:rPr>
              <w:t>Transparency on food waste for visibility and action</w:t>
            </w:r>
          </w:p>
        </w:tc>
      </w:tr>
      <w:tr w:rsidR="00AA4484" w:rsidRPr="005B4339" w14:paraId="08EE66CF" w14:textId="77777777" w:rsidTr="0043499F">
        <w:trPr>
          <w:trHeight w:val="1124"/>
        </w:trPr>
        <w:tc>
          <w:tcPr>
            <w:tcW w:w="9182" w:type="dxa"/>
            <w:shd w:val="clear" w:color="auto" w:fill="FFFFFF" w:themeFill="background1"/>
          </w:tcPr>
          <w:p w14:paraId="1607F620" w14:textId="77777777" w:rsidR="00AA4484" w:rsidRPr="005B4339" w:rsidRDefault="00AA4484" w:rsidP="0043499F">
            <w:pPr>
              <w:rPr>
                <w:rFonts w:eastAsiaTheme="minorEastAsia"/>
                <w:noProof/>
              </w:rPr>
            </w:pPr>
            <w:r w:rsidRPr="005B4339">
              <w:rPr>
                <w:rFonts w:eastAsiaTheme="minorEastAsia"/>
                <w:noProof/>
              </w:rPr>
              <w:t xml:space="preserve">We recommend that all participants in the food supply chain, except individual households, should have an obligation to measure and report transparently on dealing with food waste and its handling. Further emphasis should also be on the need for new options for data collection as well as including the food loss in the agricultural sector. </w:t>
            </w:r>
          </w:p>
          <w:p w14:paraId="4A79D4DC" w14:textId="77777777" w:rsidR="00AA4484" w:rsidRPr="005B4339" w:rsidRDefault="00AA4484" w:rsidP="0043499F">
            <w:pPr>
              <w:rPr>
                <w:rFonts w:eastAsiaTheme="minorEastAsia"/>
                <w:noProof/>
              </w:rPr>
            </w:pPr>
            <w:r w:rsidRPr="005B4339">
              <w:rPr>
                <w:rFonts w:eastAsiaTheme="minorEastAsia"/>
                <w:noProof/>
              </w:rPr>
              <w:t xml:space="preserve">Furthermore, differentiated incentives to promote voluntary agreements should follow to support institutions in playing a pioneering role. Also, corrective measures contribute to the importance, geared towards including all participants in the food supply chain (except individual households). </w:t>
            </w:r>
          </w:p>
          <w:p w14:paraId="5DE3D850" w14:textId="21347BBF" w:rsidR="00AA4484" w:rsidRPr="005B4339" w:rsidRDefault="00AA4484" w:rsidP="0043499F">
            <w:pPr>
              <w:tabs>
                <w:tab w:val="left" w:pos="3450"/>
              </w:tabs>
              <w:rPr>
                <w:rFonts w:eastAsiaTheme="minorEastAsia"/>
                <w:noProof/>
              </w:rPr>
            </w:pPr>
            <w:r w:rsidRPr="005B4339">
              <w:rPr>
                <w:rFonts w:eastAsiaTheme="minorEastAsia"/>
                <w:noProof/>
              </w:rPr>
              <w:t>The EU should do a best-practice evaluation of the different Member States about their existing reporting structures and incentives as well as corrective measures. This helps to establish a further embedded framework for the EU to make data more comparable.</w:t>
            </w: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076E0900" w14:textId="77777777" w:rsidTr="0043499F">
        <w:trPr>
          <w:trHeight w:val="1035"/>
        </w:trPr>
        <w:tc>
          <w:tcPr>
            <w:tcW w:w="9182" w:type="dxa"/>
            <w:shd w:val="clear" w:color="auto" w:fill="FFFFFF" w:themeFill="background1"/>
          </w:tcPr>
          <w:p w14:paraId="3CEABC56" w14:textId="77777777" w:rsidR="00AA4484" w:rsidRPr="005B4339" w:rsidRDefault="00AA4484" w:rsidP="0043499F">
            <w:pPr>
              <w:spacing w:after="0"/>
              <w:rPr>
                <w:rFonts w:cstheme="minorHAnsi"/>
                <w:b/>
                <w:noProof/>
              </w:rPr>
            </w:pPr>
            <w:r w:rsidRPr="005B4339">
              <w:rPr>
                <w:rFonts w:cstheme="minorHAnsi"/>
                <w:b/>
                <w:noProof/>
              </w:rPr>
              <w:t>Rationale/justification</w:t>
            </w:r>
          </w:p>
          <w:p w14:paraId="1447FE5F"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 xml:space="preserve">We recommend this because the awareness of existing food waste is the basis to apply further approaches, such as incentives, innovative voluntary agreements, and corrective mechanisms to avoid food waste. </w:t>
            </w:r>
          </w:p>
          <w:p w14:paraId="28F62ECC" w14:textId="77777777" w:rsidR="00AA4484" w:rsidRPr="005B4339" w:rsidRDefault="00AA4484" w:rsidP="0043499F">
            <w:pPr>
              <w:spacing w:after="0"/>
              <w:rPr>
                <w:rFonts w:eastAsiaTheme="minorEastAsia" w:cstheme="minorHAnsi"/>
                <w:noProof/>
              </w:rPr>
            </w:pPr>
          </w:p>
        </w:tc>
      </w:tr>
      <w:tr w:rsidR="00AA4484" w:rsidRPr="005B4339" w14:paraId="618EA535" w14:textId="77777777" w:rsidTr="0043499F">
        <w:trPr>
          <w:trHeight w:val="672"/>
        </w:trPr>
        <w:tc>
          <w:tcPr>
            <w:tcW w:w="9182" w:type="dxa"/>
            <w:shd w:val="clear" w:color="auto" w:fill="FFFFFF" w:themeFill="background1"/>
          </w:tcPr>
          <w:p w14:paraId="235C0404" w14:textId="77777777" w:rsidR="00AA4484" w:rsidRPr="005B4339" w:rsidRDefault="00AA4484" w:rsidP="0043499F">
            <w:pPr>
              <w:spacing w:after="0"/>
              <w:rPr>
                <w:rFonts w:cstheme="minorHAnsi"/>
                <w:b/>
                <w:noProof/>
              </w:rPr>
            </w:pPr>
            <w:r w:rsidRPr="005B4339">
              <w:rPr>
                <w:rFonts w:cstheme="minorHAnsi"/>
                <w:b/>
                <w:noProof/>
              </w:rPr>
              <w:t>Additional notes</w:t>
            </w:r>
          </w:p>
          <w:p w14:paraId="1C12DE14"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As an example of incentives, an EU-wide labelling technique could be used to benefit from marketing strategies. Another example could be appropriate financial compensation for reducing food waste.</w:t>
            </w:r>
          </w:p>
          <w:p w14:paraId="1ADE69D4" w14:textId="77777777" w:rsidR="00AA4484" w:rsidRPr="005B4339" w:rsidRDefault="00AA4484" w:rsidP="0043499F">
            <w:pPr>
              <w:spacing w:after="0"/>
              <w:rPr>
                <w:rFonts w:eastAsia="Arial" w:cstheme="minorHAnsi"/>
                <w:noProof/>
                <w:color w:val="85200C"/>
              </w:rPr>
            </w:pPr>
            <w:r w:rsidRPr="005B4339">
              <w:rPr>
                <w:rFonts w:eastAsiaTheme="minorEastAsia" w:cstheme="minorHAnsi"/>
                <w:noProof/>
              </w:rPr>
              <w:t xml:space="preserve"> </w:t>
            </w:r>
          </w:p>
        </w:tc>
      </w:tr>
    </w:tbl>
    <w:p w14:paraId="3864CF20" w14:textId="77777777" w:rsidR="00AA4484" w:rsidRPr="005B4339" w:rsidRDefault="00AA4484" w:rsidP="00AA4484">
      <w:pPr>
        <w:spacing w:after="0"/>
        <w:rPr>
          <w:rFonts w:cstheme="minorHAnsi"/>
          <w:noProof/>
        </w:rPr>
      </w:pPr>
    </w:p>
    <w:p w14:paraId="0E6AD58C" w14:textId="77777777" w:rsidR="00AA4484" w:rsidRPr="005B4339" w:rsidRDefault="00AA4484" w:rsidP="00AA4484">
      <w:pPr>
        <w:spacing w:after="0"/>
        <w:rPr>
          <w:noProof/>
        </w:rPr>
      </w:pPr>
    </w:p>
    <w:tbl>
      <w:tblPr>
        <w:tblStyle w:val="TableGrid"/>
        <w:tblW w:w="9182" w:type="dxa"/>
        <w:tblLook w:val="04A0" w:firstRow="1" w:lastRow="0" w:firstColumn="1" w:lastColumn="0" w:noHBand="0" w:noVBand="1"/>
      </w:tblPr>
      <w:tblGrid>
        <w:gridCol w:w="9182"/>
      </w:tblGrid>
      <w:tr w:rsidR="00AA4484" w:rsidRPr="005B4339" w14:paraId="14D53605" w14:textId="77777777" w:rsidTr="0043499F">
        <w:tc>
          <w:tcPr>
            <w:tcW w:w="9182" w:type="dxa"/>
            <w:shd w:val="clear" w:color="auto" w:fill="EB9BA9"/>
          </w:tcPr>
          <w:p w14:paraId="338F03F2" w14:textId="77777777" w:rsidR="00AA4484" w:rsidRPr="005B4339" w:rsidRDefault="00AA4484" w:rsidP="007D1AE5">
            <w:pPr>
              <w:rPr>
                <w:rFonts w:eastAsiaTheme="minorEastAsia"/>
                <w:b/>
                <w:bCs/>
                <w:noProof/>
              </w:rPr>
            </w:pPr>
            <w:r w:rsidRPr="005B4339">
              <w:rPr>
                <w:rFonts w:eastAsiaTheme="minorEastAsia"/>
                <w:b/>
                <w:bCs/>
                <w:noProof/>
              </w:rPr>
              <w:t>RECOMMENDATION 15</w:t>
            </w:r>
          </w:p>
          <w:p w14:paraId="10973B93" w14:textId="77777777" w:rsidR="00AA4484" w:rsidRPr="005B4339" w:rsidRDefault="00AA4484" w:rsidP="007D1AE5">
            <w:pPr>
              <w:rPr>
                <w:noProof/>
                <w:sz w:val="22"/>
                <w:szCs w:val="22"/>
                <w:lang w:val="en-AU"/>
              </w:rPr>
            </w:pPr>
            <w:r w:rsidRPr="005B4339">
              <w:rPr>
                <w:rFonts w:eastAsiaTheme="minorEastAsia"/>
                <w:b/>
                <w:bCs/>
                <w:noProof/>
              </w:rPr>
              <w:t>Innovation in packaging and use of packaging when needed</w:t>
            </w:r>
          </w:p>
        </w:tc>
      </w:tr>
      <w:tr w:rsidR="00AA4484" w:rsidRPr="005B4339" w14:paraId="6DCC95D7" w14:textId="77777777" w:rsidTr="0043499F">
        <w:trPr>
          <w:trHeight w:val="1478"/>
        </w:trPr>
        <w:tc>
          <w:tcPr>
            <w:tcW w:w="9182" w:type="dxa"/>
            <w:shd w:val="clear" w:color="auto" w:fill="FFFFFF" w:themeFill="background1"/>
          </w:tcPr>
          <w:p w14:paraId="52861975" w14:textId="77777777" w:rsidR="00AA4484" w:rsidRPr="005B4339" w:rsidRDefault="00AA4484" w:rsidP="0043499F">
            <w:pPr>
              <w:rPr>
                <w:rFonts w:eastAsiaTheme="minorEastAsia"/>
                <w:noProof/>
              </w:rPr>
            </w:pPr>
            <w:r w:rsidRPr="005B4339">
              <w:rPr>
                <w:rFonts w:eastAsiaTheme="minorEastAsia"/>
                <w:noProof/>
                <w:color w:val="000000" w:themeColor="text1"/>
              </w:rPr>
              <w:t>We recommend investing further in scientific research on innovative and alternative sustainable ways of packaging. This helps to increase the life span, improve the package size to reduce food waste, and ensure better food safety for its transportation. The EU should support this financially and politically through appropriate programs, such as the funding of start-ups and smaller innovating forces. Furthermore, we recommend supporting retailers to sell food without packaging, where it is possible, without compromising food safety.</w:t>
            </w:r>
          </w:p>
          <w:p w14:paraId="7D8B8DD1" w14:textId="77777777" w:rsidR="00AA4484" w:rsidRPr="005B4339" w:rsidRDefault="00AA4484" w:rsidP="0043499F">
            <w:pPr>
              <w:rPr>
                <w:rFonts w:eastAsiaTheme="minorEastAsia"/>
                <w:noProof/>
                <w:color w:val="000000" w:themeColor="text1"/>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45A383B4" w14:textId="77777777" w:rsidTr="0043499F">
        <w:trPr>
          <w:trHeight w:val="2554"/>
        </w:trPr>
        <w:tc>
          <w:tcPr>
            <w:tcW w:w="9182" w:type="dxa"/>
            <w:shd w:val="clear" w:color="auto" w:fill="FFFFFF" w:themeFill="background1"/>
          </w:tcPr>
          <w:p w14:paraId="5C9D5051" w14:textId="77777777" w:rsidR="00AA4484" w:rsidRPr="005B4339" w:rsidRDefault="00AA4484" w:rsidP="0043499F">
            <w:pPr>
              <w:spacing w:after="0"/>
              <w:rPr>
                <w:rFonts w:cstheme="minorHAnsi"/>
                <w:b/>
                <w:noProof/>
              </w:rPr>
            </w:pPr>
            <w:r w:rsidRPr="005B4339">
              <w:rPr>
                <w:rFonts w:cstheme="minorHAnsi"/>
                <w:b/>
                <w:noProof/>
              </w:rPr>
              <w:t>Rationale/justification</w:t>
            </w:r>
          </w:p>
          <w:p w14:paraId="1A1F0CF8" w14:textId="77777777" w:rsidR="00AA4484" w:rsidRPr="005B4339" w:rsidRDefault="00AA4484" w:rsidP="0043499F">
            <w:pPr>
              <w:spacing w:after="0"/>
              <w:rPr>
                <w:rFonts w:eastAsiaTheme="minorEastAsia"/>
                <w:noProof/>
              </w:rPr>
            </w:pPr>
            <w:r w:rsidRPr="005B4339">
              <w:rPr>
                <w:rFonts w:eastAsiaTheme="minorEastAsia"/>
                <w:noProof/>
              </w:rPr>
              <w:t>We recommend this because we still rely heavily on the packaging, particularly concerning transportation and food safety. Therefore, we believe that supporting innovations (research/ start-ups) in environmentally sound packaging can contribute towards this. On the one hand, adjusting the sizes of packaging of perishable food would reduce food waste, whilst considering the risk of increased packaging waste (whereby research mentioned above, should aim at preventing this). On the other hand, the individual portions should be offered, where one can bring his/her own container (also to reduce food waste, as well as waste of other kinds). If we develop a structure of environmentally friendly packaging and its infrastructure is adapted, ultimately, consumer acceptance can be achieved.</w:t>
            </w:r>
          </w:p>
          <w:p w14:paraId="34413BE5" w14:textId="77777777" w:rsidR="00AA4484" w:rsidRPr="005B4339" w:rsidRDefault="00AA4484" w:rsidP="0043499F">
            <w:pPr>
              <w:spacing w:after="0"/>
              <w:rPr>
                <w:rFonts w:eastAsiaTheme="minorEastAsia" w:cstheme="minorHAnsi"/>
                <w:noProof/>
              </w:rPr>
            </w:pPr>
          </w:p>
        </w:tc>
      </w:tr>
      <w:tr w:rsidR="00AA4484" w:rsidRPr="005B4339" w14:paraId="00782156" w14:textId="77777777" w:rsidTr="0043499F">
        <w:trPr>
          <w:trHeight w:val="144"/>
        </w:trPr>
        <w:tc>
          <w:tcPr>
            <w:tcW w:w="9182" w:type="dxa"/>
            <w:shd w:val="clear" w:color="auto" w:fill="FFFFFF" w:themeFill="background1"/>
          </w:tcPr>
          <w:p w14:paraId="2D005D1E" w14:textId="77777777" w:rsidR="00AA4484" w:rsidRPr="005B4339" w:rsidRDefault="00AA4484" w:rsidP="0043499F">
            <w:pPr>
              <w:spacing w:after="0"/>
              <w:rPr>
                <w:rFonts w:cstheme="minorHAnsi"/>
                <w:b/>
                <w:noProof/>
              </w:rPr>
            </w:pPr>
            <w:r w:rsidRPr="005B4339">
              <w:rPr>
                <w:rFonts w:cstheme="minorHAnsi"/>
                <w:b/>
                <w:noProof/>
              </w:rPr>
              <w:t>Additional notes</w:t>
            </w:r>
          </w:p>
          <w:p w14:paraId="020121BE" w14:textId="77777777" w:rsidR="00AA4484" w:rsidRPr="005B4339" w:rsidRDefault="00AA4484" w:rsidP="0043499F">
            <w:pPr>
              <w:spacing w:after="0"/>
              <w:rPr>
                <w:rFonts w:cstheme="minorHAnsi"/>
                <w:noProof/>
              </w:rPr>
            </w:pPr>
          </w:p>
        </w:tc>
      </w:tr>
    </w:tbl>
    <w:p w14:paraId="1BA39346" w14:textId="77777777" w:rsidR="00AA4484" w:rsidRPr="005B4339" w:rsidRDefault="00AA4484" w:rsidP="00AA4484">
      <w:pPr>
        <w:spacing w:after="0"/>
        <w:rPr>
          <w:rFonts w:eastAsia="Times New Roman" w:cstheme="minorHAnsi"/>
          <w:noProof/>
          <w:lang w:eastAsia="de-DE"/>
        </w:rPr>
      </w:pPr>
    </w:p>
    <w:p w14:paraId="6D55A349" w14:textId="77777777" w:rsidR="00AA4484" w:rsidRPr="005B4339" w:rsidRDefault="00AA4484" w:rsidP="00AA4484">
      <w:pPr>
        <w:spacing w:after="0"/>
        <w:rPr>
          <w:rFonts w:eastAsia="Times New Roman" w:cstheme="minorHAnsi"/>
          <w:noProof/>
          <w:lang w:eastAsia="de-DE"/>
        </w:rPr>
      </w:pPr>
    </w:p>
    <w:p w14:paraId="096623CB" w14:textId="77777777" w:rsidR="00AA4484" w:rsidRPr="005B4339" w:rsidRDefault="00AA4484" w:rsidP="00AA4484">
      <w:pPr>
        <w:spacing w:after="0"/>
        <w:rPr>
          <w:rFonts w:eastAsia="Times New Roman" w:cstheme="minorHAnsi"/>
          <w:noProof/>
          <w:lang w:eastAsia="de-DE"/>
        </w:rPr>
      </w:pPr>
    </w:p>
    <w:p w14:paraId="2E77CCC8" w14:textId="77777777" w:rsidR="00AA4484" w:rsidRPr="005B4339" w:rsidRDefault="00AA4484" w:rsidP="00AA4484">
      <w:pPr>
        <w:spacing w:after="0"/>
        <w:rPr>
          <w:rFonts w:eastAsia="Times New Roman" w:cstheme="minorHAnsi"/>
          <w:noProof/>
          <w:lang w:eastAsia="de-DE"/>
        </w:rPr>
      </w:pPr>
    </w:p>
    <w:p w14:paraId="44F7EAAD" w14:textId="77777777" w:rsidR="00AA4484" w:rsidRPr="005B4339" w:rsidRDefault="00AA4484" w:rsidP="00AA4484">
      <w:pPr>
        <w:pStyle w:val="Heading1"/>
        <w:shd w:val="clear" w:color="auto" w:fill="8064A2" w:themeFill="accent4"/>
        <w:spacing w:before="0"/>
        <w:rPr>
          <w:b w:val="0"/>
          <w:noProof/>
          <w:sz w:val="28"/>
          <w:szCs w:val="28"/>
        </w:rPr>
      </w:pPr>
      <w:bookmarkStart w:id="1083" w:name="_Toc139032154"/>
      <w:r w:rsidRPr="005B4339">
        <w:rPr>
          <w:noProof/>
          <w:sz w:val="28"/>
          <w:szCs w:val="28"/>
        </w:rPr>
        <w:t>Topic block III - Supporting consumer behavioral change</w:t>
      </w:r>
      <w:bookmarkEnd w:id="1083"/>
    </w:p>
    <w:p w14:paraId="75F2B667" w14:textId="77777777" w:rsidR="00AA4484" w:rsidRPr="005B4339" w:rsidRDefault="00AA4484" w:rsidP="00AA4484">
      <w:pPr>
        <w:spacing w:after="0"/>
        <w:rPr>
          <w:i/>
          <w:noProof/>
        </w:rPr>
      </w:pPr>
    </w:p>
    <w:p w14:paraId="7B4C7929" w14:textId="77777777" w:rsidR="00AA4484" w:rsidRPr="005B4339" w:rsidRDefault="00AA4484" w:rsidP="00AA4484">
      <w:pPr>
        <w:spacing w:after="0"/>
        <w:rPr>
          <w:i/>
          <w:noProof/>
        </w:rPr>
      </w:pPr>
    </w:p>
    <w:tbl>
      <w:tblPr>
        <w:tblStyle w:val="TableGrid"/>
        <w:tblW w:w="9182" w:type="dxa"/>
        <w:tblLook w:val="04A0" w:firstRow="1" w:lastRow="0" w:firstColumn="1" w:lastColumn="0" w:noHBand="0" w:noVBand="1"/>
      </w:tblPr>
      <w:tblGrid>
        <w:gridCol w:w="9182"/>
      </w:tblGrid>
      <w:tr w:rsidR="00AA4484" w:rsidRPr="005B4339" w14:paraId="138B6401" w14:textId="77777777" w:rsidTr="0043499F">
        <w:tc>
          <w:tcPr>
            <w:tcW w:w="9182" w:type="dxa"/>
            <w:shd w:val="clear" w:color="auto" w:fill="8064A2" w:themeFill="accent4"/>
          </w:tcPr>
          <w:p w14:paraId="3FD121E4" w14:textId="77777777" w:rsidR="00AA4484" w:rsidRPr="005B4339" w:rsidRDefault="00AA4484" w:rsidP="00D64130">
            <w:pPr>
              <w:rPr>
                <w:rFonts w:eastAsiaTheme="minorEastAsia"/>
                <w:b/>
                <w:bCs/>
                <w:noProof/>
              </w:rPr>
            </w:pPr>
            <w:r w:rsidRPr="005B4339">
              <w:rPr>
                <w:rFonts w:eastAsiaTheme="minorEastAsia"/>
                <w:b/>
                <w:bCs/>
                <w:noProof/>
              </w:rPr>
              <w:t>RECOMMENDATION 16</w:t>
            </w:r>
          </w:p>
          <w:p w14:paraId="550DF561" w14:textId="77777777" w:rsidR="00AA4484" w:rsidRPr="005B4339" w:rsidRDefault="00AA4484" w:rsidP="00D64130">
            <w:pPr>
              <w:rPr>
                <w:rFonts w:eastAsia="Calibri"/>
                <w:noProof/>
                <w:sz w:val="22"/>
                <w:szCs w:val="22"/>
              </w:rPr>
            </w:pPr>
            <w:r w:rsidRPr="005B4339">
              <w:rPr>
                <w:rFonts w:eastAsiaTheme="minorEastAsia"/>
                <w:b/>
                <w:bCs/>
                <w:noProof/>
              </w:rPr>
              <w:t>Broadening the definition of food waste in order to save unharvested food</w:t>
            </w:r>
          </w:p>
        </w:tc>
      </w:tr>
      <w:tr w:rsidR="00AA4484" w:rsidRPr="005B4339" w14:paraId="490F4E0B" w14:textId="77777777" w:rsidTr="0043499F">
        <w:trPr>
          <w:trHeight w:val="2192"/>
        </w:trPr>
        <w:tc>
          <w:tcPr>
            <w:tcW w:w="9182" w:type="dxa"/>
            <w:shd w:val="clear" w:color="auto" w:fill="FFFFFF" w:themeFill="background1"/>
          </w:tcPr>
          <w:p w14:paraId="65884511" w14:textId="77777777" w:rsidR="00AA4484" w:rsidRPr="005B4339" w:rsidRDefault="00AA4484" w:rsidP="0043499F">
            <w:pPr>
              <w:rPr>
                <w:noProof/>
              </w:rPr>
            </w:pPr>
            <w:r w:rsidRPr="005B4339">
              <w:rPr>
                <w:noProof/>
              </w:rPr>
              <w:t>We recommend that unharvested food should be integrated in the European definition of food waste. We also want farmers to have the possibility to commercialize less-than-perfect but still edible products. To avoid food loss, farmers should get signs which announce that unharvested food may be harvested by private households and NGO's.</w:t>
            </w:r>
          </w:p>
          <w:p w14:paraId="37CE7AB0" w14:textId="77777777" w:rsidR="00AA4484" w:rsidRPr="005B4339" w:rsidRDefault="00AA4484" w:rsidP="0043499F">
            <w:pPr>
              <w:rPr>
                <w:noProof/>
              </w:rPr>
            </w:pPr>
            <w:r w:rsidRPr="005B4339">
              <w:rPr>
                <w:noProof/>
              </w:rPr>
              <w:t xml:space="preserve">This idea must be communicated to two groups: </w:t>
            </w:r>
          </w:p>
          <w:p w14:paraId="07457FCB" w14:textId="77777777" w:rsidR="00AA4484" w:rsidRPr="005B4339" w:rsidRDefault="00AA4484" w:rsidP="00AA4484">
            <w:pPr>
              <w:pStyle w:val="ListParagraph"/>
              <w:numPr>
                <w:ilvl w:val="0"/>
                <w:numId w:val="221"/>
              </w:numPr>
              <w:spacing w:after="0"/>
              <w:rPr>
                <w:noProof/>
              </w:rPr>
            </w:pPr>
            <w:r w:rsidRPr="005B4339">
              <w:rPr>
                <w:noProof/>
              </w:rPr>
              <w:t xml:space="preserve">to citizens via the campaign that is developed in recommendation 20 </w:t>
            </w:r>
          </w:p>
          <w:p w14:paraId="104437A9" w14:textId="77777777" w:rsidR="00AA4484" w:rsidRPr="005B4339" w:rsidRDefault="00AA4484" w:rsidP="00AA4484">
            <w:pPr>
              <w:pStyle w:val="ListParagraph"/>
              <w:numPr>
                <w:ilvl w:val="0"/>
                <w:numId w:val="221"/>
              </w:numPr>
              <w:spacing w:after="0"/>
              <w:rPr>
                <w:rFonts w:eastAsiaTheme="minorEastAsia"/>
                <w:noProof/>
              </w:rPr>
            </w:pPr>
            <w:r w:rsidRPr="005B4339">
              <w:rPr>
                <w:noProof/>
              </w:rPr>
              <w:t>to farmers via the Member States</w:t>
            </w:r>
            <w:r w:rsidRPr="005B4339">
              <w:rPr>
                <w:noProof/>
                <w:lang w:val="en-IE"/>
              </w:rPr>
              <w:t>’</w:t>
            </w:r>
            <w:r w:rsidRPr="005B4339">
              <w:rPr>
                <w:noProof/>
              </w:rPr>
              <w:t xml:space="preserve"> ministries for agriculture. The latter should implement this recommendation in coordination with local municipalities and producer unions.</w:t>
            </w:r>
          </w:p>
          <w:p w14:paraId="2418089E"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4180B9DA" w14:textId="77777777" w:rsidTr="0043499F">
        <w:trPr>
          <w:trHeight w:val="990"/>
        </w:trPr>
        <w:tc>
          <w:tcPr>
            <w:tcW w:w="9182" w:type="dxa"/>
            <w:shd w:val="clear" w:color="auto" w:fill="FFFFFF" w:themeFill="background1"/>
          </w:tcPr>
          <w:p w14:paraId="6B31E21F" w14:textId="77777777" w:rsidR="00AA4484" w:rsidRPr="005B4339" w:rsidRDefault="00AA4484" w:rsidP="0043499F">
            <w:pPr>
              <w:spacing w:after="0"/>
              <w:rPr>
                <w:rFonts w:cstheme="minorHAnsi"/>
                <w:b/>
                <w:noProof/>
              </w:rPr>
            </w:pPr>
            <w:r w:rsidRPr="005B4339">
              <w:rPr>
                <w:rFonts w:cstheme="minorHAnsi"/>
                <w:b/>
                <w:noProof/>
              </w:rPr>
              <w:t>Rationale/justification</w:t>
            </w:r>
          </w:p>
          <w:p w14:paraId="73BCAF34" w14:textId="77777777" w:rsidR="00AA4484" w:rsidRPr="005B4339" w:rsidRDefault="00AA4484" w:rsidP="0043499F">
            <w:pPr>
              <w:spacing w:after="0"/>
              <w:rPr>
                <w:rFonts w:cstheme="minorHAnsi"/>
                <w:noProof/>
              </w:rPr>
            </w:pPr>
            <w:r w:rsidRPr="005B4339">
              <w:rPr>
                <w:rFonts w:cstheme="minorHAnsi"/>
                <w:noProof/>
              </w:rPr>
              <w:t>We recommend this because it is unreasonable to waste edible food. Direct harvesting helps recognize the work that farmers do and value the food they produce.</w:t>
            </w:r>
          </w:p>
          <w:p w14:paraId="289A461E" w14:textId="77777777" w:rsidR="00AA4484" w:rsidRPr="005B4339" w:rsidRDefault="00AA4484" w:rsidP="0043499F">
            <w:pPr>
              <w:spacing w:after="0"/>
              <w:rPr>
                <w:rFonts w:cstheme="minorHAnsi"/>
                <w:noProof/>
              </w:rPr>
            </w:pPr>
          </w:p>
        </w:tc>
      </w:tr>
      <w:tr w:rsidR="00AA4484" w:rsidRPr="005B4339" w14:paraId="647BFD88" w14:textId="77777777" w:rsidTr="0043499F">
        <w:trPr>
          <w:trHeight w:val="569"/>
        </w:trPr>
        <w:tc>
          <w:tcPr>
            <w:tcW w:w="9182" w:type="dxa"/>
            <w:shd w:val="clear" w:color="auto" w:fill="FFFFFF" w:themeFill="background1"/>
          </w:tcPr>
          <w:p w14:paraId="0266A895" w14:textId="77777777" w:rsidR="00AA4484" w:rsidRPr="005B4339" w:rsidRDefault="00AA4484" w:rsidP="0043499F">
            <w:pPr>
              <w:spacing w:after="0"/>
              <w:rPr>
                <w:rFonts w:cstheme="minorHAnsi"/>
                <w:b/>
                <w:noProof/>
              </w:rPr>
            </w:pPr>
            <w:r w:rsidRPr="005B4339">
              <w:rPr>
                <w:rFonts w:cstheme="minorHAnsi"/>
                <w:b/>
                <w:noProof/>
              </w:rPr>
              <w:t>Additional notes</w:t>
            </w:r>
          </w:p>
          <w:p w14:paraId="375DFB13" w14:textId="77777777" w:rsidR="00AA4484" w:rsidRPr="005B4339" w:rsidRDefault="00AA4484" w:rsidP="0043499F">
            <w:pPr>
              <w:spacing w:after="0"/>
              <w:rPr>
                <w:rFonts w:cstheme="minorHAnsi"/>
                <w:noProof/>
              </w:rPr>
            </w:pPr>
            <w:r w:rsidRPr="005B4339" w:rsidDel="37CA5E9E">
              <w:rPr>
                <w:rFonts w:cstheme="minorHAnsi"/>
                <w:noProof/>
              </w:rPr>
              <w:t>A challenge is that we don't want to blame farmers.</w:t>
            </w:r>
          </w:p>
          <w:p w14:paraId="2B75E26B" w14:textId="77777777" w:rsidR="00AA4484" w:rsidRPr="005B4339" w:rsidRDefault="00AA4484" w:rsidP="0043499F">
            <w:pPr>
              <w:spacing w:after="0"/>
              <w:rPr>
                <w:rFonts w:cstheme="minorHAnsi"/>
                <w:noProof/>
              </w:rPr>
            </w:pPr>
          </w:p>
        </w:tc>
      </w:tr>
    </w:tbl>
    <w:p w14:paraId="03BA425F" w14:textId="77777777" w:rsidR="00AA4484" w:rsidRPr="005B4339" w:rsidRDefault="00AA4484" w:rsidP="00AA4484">
      <w:pPr>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56E41A57" w14:textId="77777777" w:rsidTr="0043499F">
        <w:tc>
          <w:tcPr>
            <w:tcW w:w="9182" w:type="dxa"/>
            <w:shd w:val="clear" w:color="auto" w:fill="8064A2" w:themeFill="accent4"/>
          </w:tcPr>
          <w:p w14:paraId="1B90E292" w14:textId="77777777" w:rsidR="00AA4484" w:rsidRPr="005B4339" w:rsidRDefault="00AA4484" w:rsidP="00D64130">
            <w:pPr>
              <w:rPr>
                <w:rFonts w:eastAsiaTheme="minorEastAsia"/>
                <w:b/>
                <w:bCs/>
                <w:noProof/>
              </w:rPr>
            </w:pPr>
            <w:r w:rsidRPr="005B4339">
              <w:rPr>
                <w:rFonts w:eastAsiaTheme="minorEastAsia"/>
                <w:b/>
                <w:bCs/>
                <w:noProof/>
              </w:rPr>
              <w:t>RECOMMENDATION 17</w:t>
            </w:r>
          </w:p>
          <w:p w14:paraId="2050CD63" w14:textId="77777777" w:rsidR="00AA4484" w:rsidRPr="005B4339" w:rsidRDefault="00AA4484" w:rsidP="00D64130">
            <w:pPr>
              <w:rPr>
                <w:rFonts w:eastAsiaTheme="minorEastAsia"/>
                <w:b/>
                <w:noProof/>
                <w:sz w:val="22"/>
                <w:szCs w:val="22"/>
              </w:rPr>
            </w:pPr>
            <w:r w:rsidRPr="005B4339">
              <w:rPr>
                <w:rFonts w:eastAsiaTheme="minorEastAsia"/>
                <w:b/>
                <w:bCs/>
                <w:noProof/>
              </w:rPr>
              <w:t>Encouraging adults to take action on food waste as a priority</w:t>
            </w:r>
          </w:p>
        </w:tc>
      </w:tr>
      <w:tr w:rsidR="00AA4484" w:rsidRPr="005B4339" w14:paraId="19A3868E" w14:textId="77777777" w:rsidTr="0043499F">
        <w:trPr>
          <w:trHeight w:val="4158"/>
        </w:trPr>
        <w:tc>
          <w:tcPr>
            <w:tcW w:w="9182" w:type="dxa"/>
            <w:shd w:val="clear" w:color="auto" w:fill="FFFFFF" w:themeFill="background1"/>
          </w:tcPr>
          <w:p w14:paraId="07D37179" w14:textId="77777777" w:rsidR="00AA4484" w:rsidRPr="005B4339" w:rsidRDefault="00AA4484" w:rsidP="0043499F">
            <w:pPr>
              <w:rPr>
                <w:rFonts w:eastAsiaTheme="minorEastAsia"/>
                <w:noProof/>
              </w:rPr>
            </w:pPr>
            <w:r w:rsidRPr="005B4339">
              <w:rPr>
                <w:rFonts w:eastAsiaTheme="minorEastAsia"/>
                <w:noProof/>
              </w:rPr>
              <w:t>We recommend that each Member State should implement a program for adults to raise awareness and knowledge about the cost of food waste and the benefits of preventing it at national, regional, and local level.</w:t>
            </w:r>
          </w:p>
          <w:p w14:paraId="55B4D7B8" w14:textId="77777777" w:rsidR="00AA4484" w:rsidRPr="005B4339" w:rsidRDefault="00AA4484" w:rsidP="0043499F">
            <w:pPr>
              <w:rPr>
                <w:rFonts w:eastAsiaTheme="minorEastAsia"/>
                <w:noProof/>
              </w:rPr>
            </w:pPr>
            <w:r w:rsidRPr="005B4339">
              <w:rPr>
                <w:rFonts w:eastAsiaTheme="minorEastAsia"/>
                <w:noProof/>
              </w:rPr>
              <w:t>This should be based on best available data (recommendation 5) to underline the urgency of the problem. It should include apps (recommendation 18), campaigns (recommendation 4 and 20), further education and training for people working in the food industry, in-house training programmes for professionals as well as documentaries and television programs on the topic. Some possibilities could be short ads showing the benefit of reusing food, promote Sunday as leftover day, and create game shows with cooking competitions for young adults to involve the broadcasters.</w:t>
            </w:r>
          </w:p>
          <w:p w14:paraId="15C4807E" w14:textId="77777777" w:rsidR="00AA4484" w:rsidRPr="005B4339" w:rsidRDefault="00AA4484" w:rsidP="0043499F">
            <w:pPr>
              <w:rPr>
                <w:rFonts w:eastAsiaTheme="minorEastAsia"/>
                <w:noProof/>
              </w:rPr>
            </w:pPr>
            <w:r w:rsidRPr="005B4339">
              <w:rPr>
                <w:rFonts w:eastAsiaTheme="minorEastAsia"/>
                <w:noProof/>
              </w:rPr>
              <w:t>Informing people, through simple messaging or nudges, about the economic and environmental benefits of not wasting food is important.</w:t>
            </w:r>
          </w:p>
          <w:p w14:paraId="2E8222AA" w14:textId="77777777" w:rsidR="00AA4484" w:rsidRPr="005B4339" w:rsidRDefault="00AA4484" w:rsidP="0043499F">
            <w:pPr>
              <w:rPr>
                <w:rFonts w:eastAsiaTheme="minorEastAsia"/>
                <w:noProof/>
              </w:rPr>
            </w:pPr>
            <w:r w:rsidRPr="005B4339">
              <w:rPr>
                <w:rFonts w:eastAsiaTheme="minorEastAsia"/>
                <w:noProof/>
              </w:rPr>
              <w:t>A key contributor to the dissemination of information could be the media, especially public service radio stations and television, print media, social media, public institutions, museums, and retailers. Existing EU institutions could develop resources to support Member States (for example, the House of European History).</w:t>
            </w:r>
          </w:p>
          <w:p w14:paraId="517892C6"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018D7726" w14:textId="77777777" w:rsidTr="0043499F">
        <w:trPr>
          <w:trHeight w:val="1185"/>
        </w:trPr>
        <w:tc>
          <w:tcPr>
            <w:tcW w:w="9182" w:type="dxa"/>
            <w:shd w:val="clear" w:color="auto" w:fill="FFFFFF" w:themeFill="background1"/>
          </w:tcPr>
          <w:p w14:paraId="316DBA26" w14:textId="77777777" w:rsidR="00AA4484" w:rsidRPr="005B4339" w:rsidRDefault="00AA4484" w:rsidP="0043499F">
            <w:pPr>
              <w:spacing w:after="0"/>
              <w:rPr>
                <w:rFonts w:cstheme="minorHAnsi"/>
                <w:b/>
                <w:noProof/>
              </w:rPr>
            </w:pPr>
            <w:r w:rsidRPr="005B4339">
              <w:rPr>
                <w:rFonts w:cstheme="minorHAnsi"/>
                <w:b/>
                <w:noProof/>
              </w:rPr>
              <w:t>Rationale/justification</w:t>
            </w:r>
          </w:p>
          <w:p w14:paraId="598AFEFF" w14:textId="77777777" w:rsidR="00AA4484" w:rsidRPr="005B4339" w:rsidRDefault="00AA4484" w:rsidP="0043499F">
            <w:pPr>
              <w:spacing w:after="0"/>
              <w:rPr>
                <w:rFonts w:cstheme="minorHAnsi"/>
                <w:noProof/>
              </w:rPr>
            </w:pPr>
            <w:r w:rsidRPr="005B4339">
              <w:rPr>
                <w:rFonts w:cstheme="minorHAnsi"/>
                <w:noProof/>
              </w:rPr>
              <w:t>We recommend this because other recommendations deal with children’s education, but we also need actions that have an immediate short-term effect on the current buying and cooking generation.</w:t>
            </w:r>
          </w:p>
          <w:p w14:paraId="44656982" w14:textId="77777777" w:rsidR="00AA4484" w:rsidRPr="005B4339" w:rsidRDefault="00AA4484" w:rsidP="0043499F">
            <w:pPr>
              <w:spacing w:after="0"/>
              <w:rPr>
                <w:rFonts w:cstheme="minorHAnsi"/>
                <w:noProof/>
              </w:rPr>
            </w:pPr>
          </w:p>
        </w:tc>
      </w:tr>
      <w:tr w:rsidR="00AA4484" w:rsidRPr="005B4339" w14:paraId="4CB0B986" w14:textId="77777777" w:rsidTr="0043499F">
        <w:trPr>
          <w:trHeight w:val="990"/>
        </w:trPr>
        <w:tc>
          <w:tcPr>
            <w:tcW w:w="9182" w:type="dxa"/>
            <w:shd w:val="clear" w:color="auto" w:fill="FFFFFF" w:themeFill="background1"/>
          </w:tcPr>
          <w:p w14:paraId="2B2094E5" w14:textId="77777777" w:rsidR="00AA4484" w:rsidRPr="005B4339" w:rsidRDefault="00AA4484" w:rsidP="0043499F">
            <w:pPr>
              <w:spacing w:after="0"/>
              <w:rPr>
                <w:rFonts w:cstheme="minorHAnsi"/>
                <w:b/>
                <w:noProof/>
              </w:rPr>
            </w:pPr>
            <w:r w:rsidRPr="005B4339">
              <w:rPr>
                <w:rFonts w:cstheme="minorHAnsi"/>
                <w:b/>
                <w:noProof/>
              </w:rPr>
              <w:t>Additional notes</w:t>
            </w:r>
          </w:p>
          <w:p w14:paraId="1BFCCF7D" w14:textId="77777777" w:rsidR="00AA4484" w:rsidRPr="005B4339" w:rsidRDefault="00AA4484" w:rsidP="0043499F">
            <w:pPr>
              <w:spacing w:after="0"/>
              <w:rPr>
                <w:rFonts w:cstheme="minorHAnsi"/>
                <w:noProof/>
              </w:rPr>
            </w:pPr>
            <w:r w:rsidRPr="005B4339">
              <w:rPr>
                <w:rFonts w:cstheme="minorHAnsi"/>
                <w:noProof/>
              </w:rPr>
              <w:t>A benefit is that anti-food waste nudges used in supermarkets will balance the marketing that persuades people to buy too much.</w:t>
            </w:r>
          </w:p>
        </w:tc>
      </w:tr>
    </w:tbl>
    <w:p w14:paraId="32CA3A56" w14:textId="77777777" w:rsidR="00AA4484" w:rsidRPr="005B4339" w:rsidRDefault="00AA4484" w:rsidP="00AA4484">
      <w:pPr>
        <w:spacing w:after="0"/>
        <w:rPr>
          <w:rFonts w:eastAsia="Times New Roman" w:cstheme="minorHAnsi"/>
          <w:noProof/>
          <w:lang w:eastAsia="de-DE"/>
        </w:rPr>
      </w:pPr>
    </w:p>
    <w:p w14:paraId="74CDBE49" w14:textId="77777777" w:rsidR="00D64130" w:rsidRPr="005B4339" w:rsidRDefault="00D64130" w:rsidP="00AA4484">
      <w:pPr>
        <w:spacing w:after="0"/>
        <w:rPr>
          <w:rFonts w:eastAsia="Times New Roman" w:cstheme="minorHAnsi"/>
          <w:noProof/>
          <w:lang w:eastAsia="de-DE"/>
        </w:rPr>
      </w:pPr>
    </w:p>
    <w:p w14:paraId="40171B08" w14:textId="77777777" w:rsidR="00D64130" w:rsidRPr="005B4339" w:rsidRDefault="00D64130" w:rsidP="00AA4484">
      <w:pPr>
        <w:spacing w:after="0"/>
        <w:rPr>
          <w:rFonts w:eastAsia="Times New Roman" w:cstheme="minorHAnsi"/>
          <w:noProof/>
          <w:lang w:eastAsia="de-DE"/>
        </w:rPr>
      </w:pPr>
    </w:p>
    <w:p w14:paraId="5405A901" w14:textId="77777777" w:rsidR="00D64130" w:rsidRPr="005B4339" w:rsidRDefault="00D64130" w:rsidP="00AA4484">
      <w:pPr>
        <w:spacing w:after="0"/>
        <w:rPr>
          <w:rFonts w:eastAsia="Times New Roman" w:cstheme="minorHAnsi"/>
          <w:noProof/>
          <w:lang w:eastAsia="de-DE"/>
        </w:rPr>
      </w:pPr>
    </w:p>
    <w:p w14:paraId="197A7C14" w14:textId="77777777" w:rsidR="00D64130" w:rsidRPr="005B4339" w:rsidRDefault="00D64130" w:rsidP="00AA4484">
      <w:pPr>
        <w:spacing w:after="0"/>
        <w:rPr>
          <w:rFonts w:eastAsia="Times New Roman" w:cstheme="minorHAnsi"/>
          <w:noProof/>
          <w:lang w:eastAsia="de-DE"/>
        </w:rPr>
      </w:pPr>
    </w:p>
    <w:p w14:paraId="2D0CCABA" w14:textId="77777777" w:rsidR="00D64130" w:rsidRPr="005B4339" w:rsidRDefault="00D64130" w:rsidP="00AA4484">
      <w:pPr>
        <w:spacing w:after="0"/>
        <w:rPr>
          <w:rFonts w:eastAsia="Times New Roman" w:cstheme="minorHAnsi"/>
          <w:noProof/>
          <w:lang w:eastAsia="de-DE"/>
        </w:rPr>
      </w:pPr>
    </w:p>
    <w:p w14:paraId="50F2C28A" w14:textId="77777777" w:rsidR="00D64130" w:rsidRPr="005B4339" w:rsidRDefault="00D64130" w:rsidP="00AA4484">
      <w:pPr>
        <w:spacing w:after="0"/>
        <w:rPr>
          <w:rFonts w:eastAsia="Times New Roman" w:cstheme="minorHAnsi"/>
          <w:noProof/>
          <w:lang w:eastAsia="de-DE"/>
        </w:rPr>
      </w:pPr>
    </w:p>
    <w:p w14:paraId="5665FE0A" w14:textId="77777777" w:rsidR="00D64130" w:rsidRPr="005B4339" w:rsidRDefault="00D64130" w:rsidP="00AA4484">
      <w:pPr>
        <w:spacing w:after="0"/>
        <w:rPr>
          <w:rFonts w:eastAsia="Times New Roman" w:cstheme="minorHAnsi"/>
          <w:noProof/>
          <w:lang w:eastAsia="de-DE"/>
        </w:rPr>
      </w:pPr>
    </w:p>
    <w:p w14:paraId="4D644429" w14:textId="77777777" w:rsidR="00D64130" w:rsidRPr="005B4339" w:rsidRDefault="00D64130" w:rsidP="00AA4484">
      <w:pPr>
        <w:spacing w:after="0"/>
        <w:rPr>
          <w:rFonts w:eastAsia="Times New Roman" w:cstheme="minorHAnsi"/>
          <w:noProof/>
          <w:lang w:eastAsia="de-DE"/>
        </w:rPr>
      </w:pPr>
    </w:p>
    <w:p w14:paraId="76898408" w14:textId="77777777" w:rsidR="00D64130" w:rsidRPr="005B4339" w:rsidRDefault="00D64130" w:rsidP="00AA4484">
      <w:pPr>
        <w:spacing w:after="0"/>
        <w:rPr>
          <w:rFonts w:eastAsia="Times New Roman" w:cstheme="minorHAnsi"/>
          <w:noProof/>
          <w:lang w:eastAsia="de-DE"/>
        </w:rPr>
      </w:pPr>
    </w:p>
    <w:p w14:paraId="400B3904" w14:textId="77777777" w:rsidR="00D64130" w:rsidRPr="005B4339" w:rsidRDefault="00D64130" w:rsidP="00AA4484">
      <w:pPr>
        <w:spacing w:after="0"/>
        <w:rPr>
          <w:rFonts w:eastAsia="Times New Roman" w:cstheme="minorHAnsi"/>
          <w:noProof/>
          <w:lang w:eastAsia="de-DE"/>
        </w:rPr>
      </w:pPr>
    </w:p>
    <w:p w14:paraId="63581208" w14:textId="77777777" w:rsidR="00D64130" w:rsidRPr="005B4339" w:rsidRDefault="00D64130"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37A105FF" w14:textId="77777777" w:rsidTr="0043499F">
        <w:tc>
          <w:tcPr>
            <w:tcW w:w="9182" w:type="dxa"/>
            <w:shd w:val="clear" w:color="auto" w:fill="8064A2" w:themeFill="accent4"/>
          </w:tcPr>
          <w:p w14:paraId="132CBF93" w14:textId="77777777" w:rsidR="00AA4484" w:rsidRPr="005B4339" w:rsidRDefault="00AA4484" w:rsidP="00D64130">
            <w:pPr>
              <w:rPr>
                <w:rFonts w:eastAsiaTheme="minorEastAsia"/>
                <w:b/>
                <w:bCs/>
                <w:noProof/>
              </w:rPr>
            </w:pPr>
            <w:r w:rsidRPr="005B4339">
              <w:rPr>
                <w:rFonts w:eastAsiaTheme="minorEastAsia"/>
                <w:b/>
                <w:bCs/>
                <w:noProof/>
              </w:rPr>
              <w:t xml:space="preserve">RECOMMENDATION 18 </w:t>
            </w:r>
          </w:p>
          <w:p w14:paraId="36BE2512" w14:textId="77777777" w:rsidR="00AA4484" w:rsidRPr="005B4339" w:rsidRDefault="00AA4484" w:rsidP="00D64130">
            <w:pPr>
              <w:rPr>
                <w:rFonts w:eastAsiaTheme="minorEastAsia"/>
                <w:noProof/>
                <w:sz w:val="22"/>
                <w:szCs w:val="22"/>
              </w:rPr>
            </w:pPr>
            <w:r w:rsidRPr="005B4339">
              <w:rPr>
                <w:rFonts w:eastAsiaTheme="minorEastAsia"/>
                <w:b/>
                <w:bCs/>
                <w:noProof/>
              </w:rPr>
              <w:t>Nutritional awareness and sustainable food in primary and secondary schools</w:t>
            </w:r>
          </w:p>
        </w:tc>
      </w:tr>
      <w:tr w:rsidR="00AA4484" w:rsidRPr="005B4339" w14:paraId="1080FDD1" w14:textId="77777777" w:rsidTr="0043499F">
        <w:trPr>
          <w:trHeight w:val="3177"/>
        </w:trPr>
        <w:tc>
          <w:tcPr>
            <w:tcW w:w="9182" w:type="dxa"/>
            <w:shd w:val="clear" w:color="auto" w:fill="FFFFFF" w:themeFill="background1"/>
          </w:tcPr>
          <w:p w14:paraId="376FD50A" w14:textId="77777777" w:rsidR="00AA4484" w:rsidRPr="005B4339" w:rsidRDefault="00AA4484" w:rsidP="0043499F">
            <w:pPr>
              <w:rPr>
                <w:rFonts w:eastAsiaTheme="minorEastAsia"/>
                <w:noProof/>
              </w:rPr>
            </w:pPr>
            <w:r w:rsidRPr="005B4339">
              <w:rPr>
                <w:rFonts w:eastAsiaTheme="minorEastAsia"/>
                <w:noProof/>
              </w:rPr>
              <w:t>We recommend the inclusion of the topics of sustainable food and nutrition in primary and secondary schools' curricula, either through the creation of new mandatory standalone courses, as they already exist in some countries, and/or their inclusion in existing mandatory subjects. This recommendation aims to increase pupils' awareness of food waste through discussions on socio-economic values, sustainable production and consumption, shopping behaviours, household economics, and practical experiences bringing schools and farms closer together. To make this recommendation happen, there are two preconditions which we expect the EU to enact. Firstly, we need a multi-stakeholder awareness raising campaign to create and increase momentum around the topic (recommendation 20). Secondly, we need to support teachers through trainings, and pedagogical exchanges and materials, capitalising on existing networks and proven best practices. While we acknowledge that these changes can take time to be implemented, it is important to already organise action days or weeks on the topic of food waste in schools, with the mobilisation of different societal actors (recommendation 21).</w:t>
            </w:r>
          </w:p>
          <w:p w14:paraId="584CAC76"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09E09386" w14:textId="77777777" w:rsidTr="0043499F">
        <w:trPr>
          <w:trHeight w:val="1751"/>
        </w:trPr>
        <w:tc>
          <w:tcPr>
            <w:tcW w:w="9182" w:type="dxa"/>
            <w:shd w:val="clear" w:color="auto" w:fill="FFFFFF" w:themeFill="background1"/>
          </w:tcPr>
          <w:p w14:paraId="3F95F153" w14:textId="77777777" w:rsidR="00AA4484" w:rsidRPr="005B4339" w:rsidRDefault="00AA4484" w:rsidP="0043499F">
            <w:pPr>
              <w:spacing w:after="0"/>
              <w:rPr>
                <w:rFonts w:cstheme="minorHAnsi"/>
                <w:b/>
                <w:noProof/>
              </w:rPr>
            </w:pPr>
            <w:r w:rsidRPr="005B4339">
              <w:rPr>
                <w:rFonts w:cstheme="minorHAnsi"/>
                <w:b/>
                <w:noProof/>
              </w:rPr>
              <w:t>Rationale/justification</w:t>
            </w:r>
          </w:p>
          <w:p w14:paraId="7657D20B" w14:textId="77777777" w:rsidR="00AA4484" w:rsidRPr="005B4339" w:rsidRDefault="00AA4484" w:rsidP="0043499F">
            <w:pPr>
              <w:spacing w:after="0"/>
              <w:rPr>
                <w:rFonts w:cstheme="minorHAnsi"/>
                <w:noProof/>
              </w:rPr>
            </w:pPr>
            <w:r w:rsidRPr="005B4339">
              <w:rPr>
                <w:rFonts w:cstheme="minorHAnsi"/>
                <w:noProof/>
              </w:rPr>
              <w:t>Food waste is the symptom of broader systemic issues which relate to how we produce, buy, and consume food today in Europe, hence why any pedagogical action needs to go beyond food waste, but consider values and desirable futures for production and consumption in Europe. Education remains a national competence and each Members State has different curricula. We acknowledge these differences, while encouraging the EU to promote ambitious actions, with new and/or existing schools subjects such as geography or economics.</w:t>
            </w:r>
          </w:p>
          <w:p w14:paraId="2221E87C" w14:textId="77777777" w:rsidR="00AA4484" w:rsidRPr="005B4339" w:rsidRDefault="00AA4484" w:rsidP="0043499F">
            <w:pPr>
              <w:spacing w:after="0"/>
              <w:rPr>
                <w:rFonts w:eastAsia="Calibri" w:cstheme="minorHAnsi"/>
                <w:noProof/>
              </w:rPr>
            </w:pPr>
          </w:p>
        </w:tc>
      </w:tr>
      <w:tr w:rsidR="00AA4484" w:rsidRPr="005B4339" w14:paraId="62D74654" w14:textId="77777777" w:rsidTr="0043499F">
        <w:trPr>
          <w:trHeight w:val="166"/>
        </w:trPr>
        <w:tc>
          <w:tcPr>
            <w:tcW w:w="9182" w:type="dxa"/>
            <w:shd w:val="clear" w:color="auto" w:fill="FFFFFF" w:themeFill="background1"/>
          </w:tcPr>
          <w:p w14:paraId="0788312F" w14:textId="77777777" w:rsidR="00AA4484" w:rsidRPr="005B4339" w:rsidRDefault="00AA4484" w:rsidP="0043499F">
            <w:pPr>
              <w:spacing w:after="0"/>
              <w:rPr>
                <w:rFonts w:cstheme="minorHAnsi"/>
                <w:b/>
                <w:noProof/>
              </w:rPr>
            </w:pPr>
            <w:r w:rsidRPr="005B4339">
              <w:rPr>
                <w:rFonts w:cstheme="minorHAnsi"/>
                <w:b/>
                <w:noProof/>
              </w:rPr>
              <w:t>Additional notes</w:t>
            </w:r>
          </w:p>
          <w:p w14:paraId="0ED37FB7" w14:textId="77777777" w:rsidR="00AA4484" w:rsidRPr="005B4339" w:rsidRDefault="00AA4484" w:rsidP="0043499F">
            <w:pPr>
              <w:spacing w:after="0"/>
              <w:rPr>
                <w:rFonts w:cstheme="minorHAnsi"/>
                <w:b/>
                <w:noProof/>
              </w:rPr>
            </w:pPr>
          </w:p>
        </w:tc>
      </w:tr>
    </w:tbl>
    <w:p w14:paraId="77B1DCDA" w14:textId="77777777" w:rsidR="00AA4484" w:rsidRPr="005B4339" w:rsidRDefault="00AA4484" w:rsidP="00AA4484">
      <w:pPr>
        <w:spacing w:after="0"/>
        <w:rPr>
          <w:rFonts w:eastAsia="Times New Roman" w:cstheme="minorHAnsi"/>
          <w:noProof/>
          <w:lang w:eastAsia="de-DE"/>
        </w:rPr>
      </w:pPr>
    </w:p>
    <w:p w14:paraId="7D729D50"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41E05443" w14:textId="77777777" w:rsidTr="0043499F">
        <w:tc>
          <w:tcPr>
            <w:tcW w:w="9182" w:type="dxa"/>
            <w:shd w:val="clear" w:color="auto" w:fill="8064A2" w:themeFill="accent4"/>
          </w:tcPr>
          <w:p w14:paraId="310A0BA9" w14:textId="77777777" w:rsidR="00AA4484" w:rsidRPr="005B4339" w:rsidRDefault="00AA4484" w:rsidP="00D64130">
            <w:pPr>
              <w:rPr>
                <w:rFonts w:eastAsiaTheme="minorEastAsia"/>
                <w:b/>
                <w:bCs/>
                <w:noProof/>
              </w:rPr>
            </w:pPr>
            <w:r w:rsidRPr="005B4339">
              <w:rPr>
                <w:rFonts w:eastAsiaTheme="minorEastAsia"/>
                <w:b/>
                <w:bCs/>
                <w:noProof/>
              </w:rPr>
              <w:t xml:space="preserve">RECOMMENDATION 19 </w:t>
            </w:r>
          </w:p>
          <w:p w14:paraId="696E2723" w14:textId="77777777" w:rsidR="00AA4484" w:rsidRPr="005B4339" w:rsidRDefault="00AA4484" w:rsidP="00D64130">
            <w:pPr>
              <w:rPr>
                <w:rFonts w:eastAsiaTheme="minorEastAsia"/>
                <w:b/>
                <w:noProof/>
                <w:sz w:val="22"/>
                <w:szCs w:val="22"/>
              </w:rPr>
            </w:pPr>
            <w:r w:rsidRPr="005B4339">
              <w:rPr>
                <w:rFonts w:eastAsiaTheme="minorEastAsia"/>
                <w:b/>
                <w:bCs/>
                <w:noProof/>
              </w:rPr>
              <w:t>Promote and support food sharing applications and platforms connecting consumers with each other</w:t>
            </w:r>
          </w:p>
        </w:tc>
      </w:tr>
      <w:tr w:rsidR="00AA4484" w:rsidRPr="005B4339" w14:paraId="09D95A98" w14:textId="77777777" w:rsidTr="0043499F">
        <w:trPr>
          <w:trHeight w:val="2022"/>
        </w:trPr>
        <w:tc>
          <w:tcPr>
            <w:tcW w:w="9182" w:type="dxa"/>
            <w:shd w:val="clear" w:color="auto" w:fill="FFFFFF" w:themeFill="background1"/>
          </w:tcPr>
          <w:p w14:paraId="560D736B" w14:textId="77777777" w:rsidR="00AA4484" w:rsidRPr="005B4339" w:rsidRDefault="00AA4484" w:rsidP="0043499F">
            <w:pPr>
              <w:rPr>
                <w:noProof/>
              </w:rPr>
            </w:pPr>
            <w:r w:rsidRPr="005B4339">
              <w:rPr>
                <w:noProof/>
              </w:rPr>
              <w:t xml:space="preserve">We recommend that the EU promotes and supports existing applications and platforms, such as Olio or </w:t>
            </w:r>
            <w:r w:rsidRPr="005B4339">
              <w:rPr>
                <w:noProof/>
                <w:lang w:val="en-US"/>
              </w:rPr>
              <w:t>FoodSharing.de</w:t>
            </w:r>
            <w:r w:rsidRPr="005B4339">
              <w:rPr>
                <w:noProof/>
              </w:rPr>
              <w:t>. The tools to be promoted must meet some basic criteria and be assessed accordingly: user-friendliness, richness of the database, independence, adaptability to local contexts, and the real impact on curbing food waste. The EU, national and regional authorities need to be proactive in their promotion of most-promising existing tools and support, notably, but not only financially, their development and maintenance through their different research, action, and funding programmes. Public funding should encourage qualitative and neutral information, free of advertisements.</w:t>
            </w:r>
          </w:p>
          <w:p w14:paraId="5D11AAFC" w14:textId="77777777" w:rsidR="00AA4484" w:rsidRPr="005B4339" w:rsidRDefault="00AA4484" w:rsidP="0043499F">
            <w:pPr>
              <w:rPr>
                <w:noProof/>
                <w:lang w:val="en-AU"/>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5DD90BC7" w14:textId="77777777" w:rsidTr="0043499F">
        <w:trPr>
          <w:trHeight w:val="1718"/>
        </w:trPr>
        <w:tc>
          <w:tcPr>
            <w:tcW w:w="9182" w:type="dxa"/>
            <w:shd w:val="clear" w:color="auto" w:fill="FFFFFF" w:themeFill="background1"/>
          </w:tcPr>
          <w:p w14:paraId="727532E9" w14:textId="77777777" w:rsidR="00AA4484" w:rsidRPr="005B4339" w:rsidRDefault="00AA4484" w:rsidP="0043499F">
            <w:pPr>
              <w:spacing w:after="0"/>
              <w:rPr>
                <w:rFonts w:cstheme="minorHAnsi"/>
                <w:b/>
                <w:noProof/>
              </w:rPr>
            </w:pPr>
            <w:r w:rsidRPr="005B4339">
              <w:rPr>
                <w:rFonts w:cstheme="minorHAnsi"/>
                <w:b/>
                <w:noProof/>
              </w:rPr>
              <w:t>Rationale/justification</w:t>
            </w:r>
          </w:p>
          <w:p w14:paraId="152F0F9B" w14:textId="77777777" w:rsidR="00AA4484" w:rsidRPr="005B4339" w:rsidRDefault="00AA4484" w:rsidP="0043499F">
            <w:pPr>
              <w:spacing w:after="0"/>
              <w:rPr>
                <w:rFonts w:cstheme="minorHAnsi"/>
                <w:noProof/>
              </w:rPr>
            </w:pPr>
            <w:r w:rsidRPr="005B4339">
              <w:rPr>
                <w:rFonts w:cstheme="minorHAnsi"/>
                <w:noProof/>
              </w:rPr>
              <w:t>There are many applications that connect different actors, from businesses to consumers, or consumers to consumers. Some of these tools might have proven successful to connect consumers with each other, helping them to save food. However, they seem to have a limited geographical coverage or are not known enough by Europeans. We believe it is important for the EU and Member States to actively support technological innovations with high impact, leaving the door open to new ideas and innovations to emerge and to become sustainable in the long term.</w:t>
            </w:r>
          </w:p>
          <w:p w14:paraId="497663A2" w14:textId="77777777" w:rsidR="00AA4484" w:rsidRPr="005B4339" w:rsidRDefault="00AA4484" w:rsidP="0043499F">
            <w:pPr>
              <w:spacing w:after="0"/>
              <w:rPr>
                <w:rFonts w:eastAsia="Calibri" w:cstheme="minorHAnsi"/>
                <w:noProof/>
              </w:rPr>
            </w:pPr>
          </w:p>
        </w:tc>
      </w:tr>
      <w:tr w:rsidR="00AA4484" w:rsidRPr="005B4339" w14:paraId="0C6A29D2" w14:textId="77777777" w:rsidTr="0043499F">
        <w:trPr>
          <w:trHeight w:val="133"/>
        </w:trPr>
        <w:tc>
          <w:tcPr>
            <w:tcW w:w="9182" w:type="dxa"/>
            <w:shd w:val="clear" w:color="auto" w:fill="FFFFFF" w:themeFill="background1"/>
          </w:tcPr>
          <w:p w14:paraId="6AA5A788" w14:textId="77777777" w:rsidR="00AA4484" w:rsidRPr="005B4339" w:rsidRDefault="00AA4484" w:rsidP="0043499F">
            <w:pPr>
              <w:spacing w:after="0"/>
              <w:rPr>
                <w:rFonts w:cstheme="minorHAnsi"/>
                <w:b/>
                <w:noProof/>
              </w:rPr>
            </w:pPr>
            <w:r w:rsidRPr="005B4339">
              <w:rPr>
                <w:rFonts w:cstheme="minorHAnsi"/>
                <w:b/>
                <w:noProof/>
              </w:rPr>
              <w:t>Additional notes</w:t>
            </w:r>
          </w:p>
          <w:p w14:paraId="70190F3A" w14:textId="77777777" w:rsidR="00AA4484" w:rsidRPr="005B4339" w:rsidRDefault="00AA4484" w:rsidP="0043499F">
            <w:pPr>
              <w:spacing w:after="0"/>
              <w:rPr>
                <w:rFonts w:cstheme="minorHAnsi"/>
                <w:noProof/>
              </w:rPr>
            </w:pPr>
          </w:p>
        </w:tc>
      </w:tr>
    </w:tbl>
    <w:p w14:paraId="5FD3199B" w14:textId="77777777" w:rsidR="00AA4484" w:rsidRPr="005B4339" w:rsidRDefault="00AA4484"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211EA75B" w14:textId="77777777" w:rsidTr="0043499F">
        <w:tc>
          <w:tcPr>
            <w:tcW w:w="9182" w:type="dxa"/>
            <w:shd w:val="clear" w:color="auto" w:fill="8064A2" w:themeFill="accent4"/>
          </w:tcPr>
          <w:p w14:paraId="408A319D" w14:textId="77777777" w:rsidR="00AA4484" w:rsidRPr="005B4339" w:rsidRDefault="00AA4484" w:rsidP="00D64130">
            <w:pPr>
              <w:rPr>
                <w:rFonts w:eastAsiaTheme="minorEastAsia"/>
                <w:b/>
                <w:bCs/>
                <w:noProof/>
              </w:rPr>
            </w:pPr>
            <w:r w:rsidRPr="005B4339">
              <w:rPr>
                <w:rFonts w:eastAsiaTheme="minorEastAsia"/>
                <w:b/>
                <w:bCs/>
                <w:noProof/>
              </w:rPr>
              <w:t>RECOMMENDATION 20</w:t>
            </w:r>
          </w:p>
          <w:p w14:paraId="109E39DE" w14:textId="77777777" w:rsidR="00AA4484" w:rsidRPr="005B4339" w:rsidRDefault="00AA4484" w:rsidP="00D64130">
            <w:pPr>
              <w:rPr>
                <w:rFonts w:eastAsia="Calibri"/>
                <w:b/>
                <w:noProof/>
                <w:sz w:val="22"/>
                <w:szCs w:val="22"/>
              </w:rPr>
            </w:pPr>
            <w:r w:rsidRPr="005B4339">
              <w:rPr>
                <w:rFonts w:eastAsiaTheme="minorEastAsia"/>
                <w:b/>
                <w:bCs/>
                <w:noProof/>
              </w:rPr>
              <w:t>Save food, save money: A European campaign against food waste in cooperation with food retailers on four weekends a year</w:t>
            </w:r>
          </w:p>
        </w:tc>
      </w:tr>
      <w:tr w:rsidR="00AA4484" w:rsidRPr="005B4339" w14:paraId="26737D9D" w14:textId="77777777" w:rsidTr="0043499F">
        <w:trPr>
          <w:trHeight w:val="2567"/>
        </w:trPr>
        <w:tc>
          <w:tcPr>
            <w:tcW w:w="9182" w:type="dxa"/>
            <w:shd w:val="clear" w:color="auto" w:fill="FFFFFF" w:themeFill="background1"/>
          </w:tcPr>
          <w:p w14:paraId="30072042" w14:textId="77777777" w:rsidR="00AA4484" w:rsidRPr="005B4339" w:rsidRDefault="00AA4484" w:rsidP="0043499F">
            <w:pPr>
              <w:rPr>
                <w:rFonts w:eastAsiaTheme="minorEastAsia"/>
                <w:noProof/>
                <w:lang w:val="en-AU"/>
              </w:rPr>
            </w:pPr>
            <w:r w:rsidRPr="005B4339">
              <w:rPr>
                <w:rFonts w:eastAsiaTheme="minorEastAsia"/>
                <w:noProof/>
              </w:rPr>
              <w:t>We recommend that the EU coordinates a campaign focusing on shops selling food (food retailers, supermarkets, hypermarkets, smaller shops) to be deployed in the Member States. This campaign would take place over four weekends each year, and focus on the topic "save food, save money". It would be up to the different Member States to decide which weekends to pick. The choice of date should be based on the objective to raise awareness on food buying habits (for example around national or cultural celebrations) and seasonality (for example around harvest time). The campaign would be an initiative from the European Union, which would develop a uniform visual design (same logo, colour code, etc.) for all Member States. The campaign would then be implemented at the national level and adapted based on the specificities of each country, their annual calendar, food habits, etc.</w:t>
            </w:r>
          </w:p>
          <w:p w14:paraId="1C6D416C"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252A3DF4" w14:textId="77777777" w:rsidTr="0043499F">
        <w:trPr>
          <w:trHeight w:val="1884"/>
        </w:trPr>
        <w:tc>
          <w:tcPr>
            <w:tcW w:w="9182" w:type="dxa"/>
            <w:shd w:val="clear" w:color="auto" w:fill="FFFFFF" w:themeFill="background1"/>
          </w:tcPr>
          <w:p w14:paraId="37A6BE69"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Rationale/justification</w:t>
            </w:r>
          </w:p>
          <w:p w14:paraId="12E39BD6"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We recommend this because it is important to raise awareness among citizens on food waste. There is only the International Day of Awareness on Food Loss and Waste Reduction, which is unknown among citizens and lost among the large amount of other international days. The new event would be extended to four weekends per year. This would develop the visibility of the issue among European citizens, and the form of repeated weekends through the year would be more useful than a single day. That would also be a way to differentiate the European event from standard international days.</w:t>
            </w:r>
          </w:p>
          <w:p w14:paraId="40DE247A" w14:textId="77777777" w:rsidR="00AA4484" w:rsidRPr="005B4339" w:rsidRDefault="00AA4484" w:rsidP="0043499F">
            <w:pPr>
              <w:spacing w:after="0"/>
              <w:rPr>
                <w:rFonts w:eastAsiaTheme="minorEastAsia" w:cstheme="minorHAnsi"/>
                <w:noProof/>
              </w:rPr>
            </w:pPr>
          </w:p>
        </w:tc>
      </w:tr>
      <w:tr w:rsidR="00AA4484" w:rsidRPr="005B4339" w14:paraId="0F520783" w14:textId="77777777" w:rsidTr="0043499F">
        <w:trPr>
          <w:trHeight w:val="1488"/>
        </w:trPr>
        <w:tc>
          <w:tcPr>
            <w:tcW w:w="9182" w:type="dxa"/>
            <w:shd w:val="clear" w:color="auto" w:fill="FFFFFF" w:themeFill="background1"/>
          </w:tcPr>
          <w:p w14:paraId="6097871D"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Additional notes</w:t>
            </w:r>
          </w:p>
          <w:p w14:paraId="30275CB2" w14:textId="77777777" w:rsidR="00AA4484" w:rsidRPr="005B4339" w:rsidRDefault="00AA4484" w:rsidP="00AA4484">
            <w:pPr>
              <w:pStyle w:val="ListParagraph"/>
              <w:numPr>
                <w:ilvl w:val="0"/>
                <w:numId w:val="210"/>
              </w:numPr>
              <w:spacing w:after="0"/>
              <w:rPr>
                <w:rFonts w:eastAsiaTheme="minorEastAsia" w:cstheme="minorHAnsi"/>
                <w:noProof/>
              </w:rPr>
            </w:pPr>
            <w:r w:rsidRPr="005B4339">
              <w:rPr>
                <w:rFonts w:eastAsiaTheme="minorEastAsia" w:cstheme="minorHAnsi"/>
                <w:noProof/>
              </w:rPr>
              <w:t xml:space="preserve">One </w:t>
            </w:r>
            <w:r w:rsidRPr="005B4339">
              <w:rPr>
                <w:rFonts w:eastAsiaTheme="minorEastAsia" w:cstheme="minorHAnsi"/>
                <w:noProof/>
                <w:u w:val="single"/>
              </w:rPr>
              <w:t>benefit</w:t>
            </w:r>
            <w:r w:rsidRPr="005B4339">
              <w:rPr>
                <w:rFonts w:eastAsiaTheme="minorEastAsia" w:cstheme="minorHAnsi"/>
                <w:noProof/>
              </w:rPr>
              <w:t xml:space="preserve"> of our recommendation is that it would raise awareness among European citizens on food buying, consumption, and seasonality as ways to avoid food waste. Having a campaign organized around four weekends a year would bring regularity in the messages passed on to citizens. Another benefit would be encouraging cooperation with food retailers as part of this campaign and including food retailers in the fight against food waste.</w:t>
            </w:r>
          </w:p>
          <w:p w14:paraId="711BE77C" w14:textId="77777777" w:rsidR="00AA4484" w:rsidRPr="005B4339" w:rsidRDefault="00AA4484" w:rsidP="00AA4484">
            <w:pPr>
              <w:pStyle w:val="ListParagraph"/>
              <w:numPr>
                <w:ilvl w:val="0"/>
                <w:numId w:val="210"/>
              </w:numPr>
              <w:spacing w:after="0"/>
              <w:rPr>
                <w:rFonts w:eastAsiaTheme="minorEastAsia" w:cstheme="minorHAnsi"/>
                <w:noProof/>
              </w:rPr>
            </w:pPr>
            <w:r w:rsidRPr="005B4339">
              <w:rPr>
                <w:rFonts w:eastAsiaTheme="minorEastAsia" w:cstheme="minorHAnsi"/>
                <w:noProof/>
              </w:rPr>
              <w:t xml:space="preserve">Among the </w:t>
            </w:r>
            <w:r w:rsidRPr="005B4339">
              <w:rPr>
                <w:rFonts w:eastAsiaTheme="minorEastAsia" w:cstheme="minorHAnsi"/>
                <w:noProof/>
                <w:u w:val="single"/>
              </w:rPr>
              <w:t>challenges</w:t>
            </w:r>
            <w:r w:rsidRPr="005B4339">
              <w:rPr>
                <w:rFonts w:eastAsiaTheme="minorEastAsia" w:cstheme="minorHAnsi"/>
                <w:noProof/>
              </w:rPr>
              <w:t xml:space="preserve">, there is the issue of how to get food retailers/food outlets involved in the event. Because the objectives of food retailers are to sell as much as possible, some may be reluctant to encourage people to consume less food or adopt different consumption habits. On the other hand, the objective of any shops, including those selling food, is to generate profits, so they might consider the event as a strategy to develop a good image as actors in the fight against food waste. Another challenge concerns the specific characteristics and annual calendar in national Member States in the EU: some countries don't celebrate Christmas, or celebrate it on different dates, and holidays can be different from one country to another. </w:t>
            </w:r>
          </w:p>
          <w:p w14:paraId="568C838C" w14:textId="77777777" w:rsidR="00AA4484" w:rsidRPr="005B4339" w:rsidRDefault="00AA4484" w:rsidP="00AA4484">
            <w:pPr>
              <w:pStyle w:val="ListParagraph"/>
              <w:numPr>
                <w:ilvl w:val="0"/>
                <w:numId w:val="210"/>
              </w:numPr>
              <w:spacing w:after="0"/>
              <w:rPr>
                <w:rFonts w:eastAsiaTheme="minorEastAsia" w:cstheme="minorHAnsi"/>
                <w:noProof/>
              </w:rPr>
            </w:pPr>
            <w:r w:rsidRPr="005B4339">
              <w:rPr>
                <w:rFonts w:eastAsiaTheme="minorEastAsia" w:cstheme="minorHAnsi"/>
                <w:noProof/>
                <w:u w:val="single"/>
              </w:rPr>
              <w:t>Other details on how the recommendation would be implemented</w:t>
            </w:r>
            <w:r w:rsidRPr="005B4339">
              <w:rPr>
                <w:rFonts w:eastAsiaTheme="minorEastAsia" w:cstheme="minorHAnsi"/>
                <w:noProof/>
              </w:rPr>
              <w:t xml:space="preserve">: </w:t>
            </w:r>
          </w:p>
          <w:p w14:paraId="679F634E" w14:textId="77777777" w:rsidR="00AA4484" w:rsidRPr="005B4339" w:rsidRDefault="00AA4484" w:rsidP="0043499F">
            <w:pPr>
              <w:spacing w:after="0"/>
              <w:ind w:left="708"/>
              <w:rPr>
                <w:rFonts w:eastAsiaTheme="minorEastAsia" w:cstheme="minorHAnsi"/>
                <w:noProof/>
                <w:lang w:val="en-AU"/>
              </w:rPr>
            </w:pPr>
            <w:r w:rsidRPr="005B4339">
              <w:rPr>
                <w:rFonts w:eastAsiaTheme="minorEastAsia" w:cstheme="minorHAnsi"/>
                <w:noProof/>
              </w:rPr>
              <w:t>* Use diversified sources for the campaign against food waste in cooperation with food retailers: traditional media (television, newspapers), social media, use of local influencers, advertising. Take the opportunity of the four weekends to spread a strong Zero Food waste campaign.</w:t>
            </w:r>
          </w:p>
          <w:p w14:paraId="68B1922E" w14:textId="77777777" w:rsidR="00AA4484" w:rsidRPr="005B4339" w:rsidRDefault="00AA4484" w:rsidP="0043499F">
            <w:pPr>
              <w:spacing w:after="0"/>
              <w:ind w:left="708"/>
              <w:rPr>
                <w:rFonts w:eastAsiaTheme="minorEastAsia" w:cstheme="minorHAnsi"/>
                <w:noProof/>
                <w:lang w:val="en-AU"/>
              </w:rPr>
            </w:pPr>
            <w:r w:rsidRPr="005B4339">
              <w:rPr>
                <w:rFonts w:eastAsiaTheme="minorEastAsia" w:cstheme="minorHAnsi"/>
                <w:noProof/>
              </w:rPr>
              <w:t>* On these weekends, the EU should communicate about the food retailers who already have organized and developed initiatives against food waste. The EU should support these already existing initiatives and communicate on good practices, sharing a positive narrative. We should not highlight shocking messages and focus on positive experiences.</w:t>
            </w:r>
          </w:p>
          <w:p w14:paraId="7F41EFA9" w14:textId="77777777" w:rsidR="00AA4484" w:rsidRPr="005B4339" w:rsidRDefault="00AA4484" w:rsidP="0043499F">
            <w:pPr>
              <w:spacing w:after="0"/>
              <w:ind w:left="708"/>
              <w:rPr>
                <w:rFonts w:eastAsiaTheme="minorEastAsia" w:cstheme="minorHAnsi"/>
                <w:noProof/>
              </w:rPr>
            </w:pPr>
            <w:r w:rsidRPr="005B4339">
              <w:rPr>
                <w:rFonts w:eastAsiaTheme="minorEastAsia" w:cstheme="minorHAnsi"/>
                <w:noProof/>
              </w:rPr>
              <w:t>* Organize a follow-up and an evaluation of the 4 weekends to improve it and reach more and more people every year.</w:t>
            </w:r>
          </w:p>
          <w:p w14:paraId="1F941764" w14:textId="77777777" w:rsidR="00AA4484" w:rsidRPr="005B4339" w:rsidRDefault="00AA4484" w:rsidP="0043499F">
            <w:pPr>
              <w:spacing w:after="0"/>
              <w:ind w:left="708"/>
              <w:rPr>
                <w:rFonts w:eastAsiaTheme="minorEastAsia" w:cstheme="minorHAnsi"/>
                <w:noProof/>
              </w:rPr>
            </w:pPr>
          </w:p>
        </w:tc>
      </w:tr>
    </w:tbl>
    <w:p w14:paraId="58F6D832" w14:textId="77777777" w:rsidR="00AA4484" w:rsidRPr="005B4339" w:rsidRDefault="00AA4484" w:rsidP="00AA4484">
      <w:pPr>
        <w:spacing w:after="0"/>
        <w:rPr>
          <w:rFonts w:eastAsia="Times New Roman" w:cstheme="minorHAnsi"/>
          <w:noProof/>
          <w:lang w:eastAsia="de-DE"/>
        </w:rPr>
      </w:pPr>
    </w:p>
    <w:p w14:paraId="4AF59803" w14:textId="77777777" w:rsidR="00D64130" w:rsidRPr="005B4339" w:rsidRDefault="00D64130" w:rsidP="00AA4484">
      <w:pPr>
        <w:spacing w:after="0"/>
        <w:rPr>
          <w:rFonts w:eastAsia="Times New Roman" w:cstheme="minorHAnsi"/>
          <w:noProof/>
          <w:lang w:eastAsia="de-DE"/>
        </w:rPr>
      </w:pPr>
    </w:p>
    <w:p w14:paraId="18AB246C" w14:textId="77777777" w:rsidR="00D64130" w:rsidRPr="005B4339" w:rsidRDefault="00D64130" w:rsidP="00AA4484">
      <w:pPr>
        <w:spacing w:after="0"/>
        <w:rPr>
          <w:rFonts w:eastAsia="Times New Roman" w:cstheme="minorHAnsi"/>
          <w:noProof/>
          <w:lang w:eastAsia="de-DE"/>
        </w:rPr>
      </w:pPr>
    </w:p>
    <w:p w14:paraId="40DE444F" w14:textId="77777777" w:rsidR="00D64130" w:rsidRPr="005B4339" w:rsidRDefault="00D64130" w:rsidP="00AA4484">
      <w:pPr>
        <w:spacing w:after="0"/>
        <w:rPr>
          <w:rFonts w:eastAsia="Times New Roman" w:cstheme="minorHAnsi"/>
          <w:noProof/>
          <w:lang w:eastAsia="de-DE"/>
        </w:rPr>
      </w:pPr>
    </w:p>
    <w:p w14:paraId="5773B1A1" w14:textId="77777777" w:rsidR="00D64130" w:rsidRPr="005B4339" w:rsidRDefault="00D64130" w:rsidP="00AA4484">
      <w:pPr>
        <w:spacing w:after="0"/>
        <w:rPr>
          <w:rFonts w:eastAsia="Times New Roman" w:cstheme="minorHAnsi"/>
          <w:noProof/>
          <w:lang w:eastAsia="de-DE"/>
        </w:rPr>
      </w:pPr>
    </w:p>
    <w:p w14:paraId="3A98F86C" w14:textId="77777777" w:rsidR="00D64130" w:rsidRPr="005B4339" w:rsidRDefault="00D64130" w:rsidP="00AA4484">
      <w:pPr>
        <w:spacing w:after="0"/>
        <w:rPr>
          <w:rFonts w:eastAsia="Times New Roman" w:cstheme="minorHAnsi"/>
          <w:noProof/>
          <w:lang w:eastAsia="de-DE"/>
        </w:rPr>
      </w:pPr>
    </w:p>
    <w:p w14:paraId="3F853B17" w14:textId="77777777" w:rsidR="00D64130" w:rsidRPr="005B4339" w:rsidRDefault="00D64130" w:rsidP="00AA4484">
      <w:pPr>
        <w:spacing w:after="0"/>
        <w:rPr>
          <w:rFonts w:eastAsia="Times New Roman" w:cstheme="minorHAnsi"/>
          <w:noProof/>
          <w:lang w:eastAsia="de-DE"/>
        </w:rPr>
      </w:pPr>
    </w:p>
    <w:p w14:paraId="1886B644" w14:textId="77777777" w:rsidR="00D64130" w:rsidRPr="005B4339" w:rsidRDefault="00D64130" w:rsidP="00AA4484">
      <w:pPr>
        <w:spacing w:after="0"/>
        <w:rPr>
          <w:rFonts w:eastAsia="Times New Roman" w:cstheme="minorHAnsi"/>
          <w:noProof/>
          <w:lang w:eastAsia="de-DE"/>
        </w:rPr>
      </w:pPr>
    </w:p>
    <w:p w14:paraId="690DE17E" w14:textId="77777777" w:rsidR="00D64130" w:rsidRPr="005B4339" w:rsidRDefault="00D64130" w:rsidP="00AA4484">
      <w:pPr>
        <w:spacing w:after="0"/>
        <w:rPr>
          <w:rFonts w:eastAsia="Times New Roman" w:cstheme="minorHAnsi"/>
          <w:noProof/>
          <w:lang w:eastAsia="de-DE"/>
        </w:rPr>
      </w:pPr>
    </w:p>
    <w:p w14:paraId="06E6AB7E" w14:textId="77777777" w:rsidR="00D64130" w:rsidRPr="005B4339" w:rsidRDefault="00D64130" w:rsidP="00AA4484">
      <w:pPr>
        <w:spacing w:after="0"/>
        <w:rPr>
          <w:rFonts w:eastAsia="Times New Roman" w:cstheme="minorHAnsi"/>
          <w:noProof/>
          <w:lang w:eastAsia="de-DE"/>
        </w:rPr>
      </w:pPr>
    </w:p>
    <w:p w14:paraId="57DB6BB0" w14:textId="77777777" w:rsidR="00D64130" w:rsidRPr="005B4339" w:rsidRDefault="00D64130" w:rsidP="00AA4484">
      <w:pPr>
        <w:spacing w:after="0"/>
        <w:rPr>
          <w:rFonts w:eastAsia="Times New Roman" w:cstheme="minorHAnsi"/>
          <w:noProof/>
          <w:lang w:eastAsia="de-DE"/>
        </w:rPr>
      </w:pPr>
    </w:p>
    <w:p w14:paraId="48A458C8" w14:textId="77777777" w:rsidR="00D64130" w:rsidRPr="005B4339" w:rsidRDefault="00D64130" w:rsidP="00AA4484">
      <w:pPr>
        <w:spacing w:after="0"/>
        <w:rPr>
          <w:rFonts w:eastAsia="Times New Roman" w:cstheme="minorHAnsi"/>
          <w:noProof/>
          <w:lang w:eastAsia="de-DE"/>
        </w:rPr>
      </w:pPr>
    </w:p>
    <w:p w14:paraId="72AEA854" w14:textId="77777777" w:rsidR="00D64130" w:rsidRPr="005B4339" w:rsidRDefault="00D64130" w:rsidP="00AA4484">
      <w:pPr>
        <w:spacing w:after="0"/>
        <w:rPr>
          <w:rFonts w:eastAsia="Times New Roman" w:cstheme="minorHAnsi"/>
          <w:noProof/>
          <w:lang w:eastAsia="de-DE"/>
        </w:rPr>
      </w:pPr>
    </w:p>
    <w:p w14:paraId="266AB2A1" w14:textId="77777777" w:rsidR="00D64130" w:rsidRPr="005B4339" w:rsidRDefault="00D64130" w:rsidP="00AA4484">
      <w:pPr>
        <w:spacing w:after="0"/>
        <w:rPr>
          <w:rFonts w:eastAsia="Times New Roman" w:cstheme="minorHAnsi"/>
          <w:noProof/>
          <w:lang w:eastAsia="de-DE"/>
        </w:rPr>
      </w:pPr>
    </w:p>
    <w:p w14:paraId="22EF5892" w14:textId="77777777" w:rsidR="00D64130" w:rsidRPr="005B4339" w:rsidRDefault="00D64130" w:rsidP="00AA4484">
      <w:pPr>
        <w:spacing w:after="0"/>
        <w:rPr>
          <w:rFonts w:eastAsia="Times New Roman" w:cstheme="minorHAnsi"/>
          <w:noProof/>
          <w:lang w:eastAsia="de-DE"/>
        </w:rPr>
      </w:pPr>
    </w:p>
    <w:p w14:paraId="734A9C9D" w14:textId="77777777" w:rsidR="00D64130" w:rsidRPr="005B4339" w:rsidRDefault="00D64130" w:rsidP="00AA4484">
      <w:pPr>
        <w:spacing w:after="0"/>
        <w:rPr>
          <w:rFonts w:eastAsia="Times New Roman" w:cstheme="minorHAnsi"/>
          <w:noProof/>
          <w:lang w:eastAsia="de-DE"/>
        </w:rPr>
      </w:pPr>
    </w:p>
    <w:tbl>
      <w:tblPr>
        <w:tblStyle w:val="TableGrid"/>
        <w:tblW w:w="9182" w:type="dxa"/>
        <w:tblLook w:val="04A0" w:firstRow="1" w:lastRow="0" w:firstColumn="1" w:lastColumn="0" w:noHBand="0" w:noVBand="1"/>
      </w:tblPr>
      <w:tblGrid>
        <w:gridCol w:w="9182"/>
      </w:tblGrid>
      <w:tr w:rsidR="00AA4484" w:rsidRPr="005B4339" w14:paraId="11C2FEA5" w14:textId="77777777" w:rsidTr="0043499F">
        <w:tc>
          <w:tcPr>
            <w:tcW w:w="9182" w:type="dxa"/>
            <w:shd w:val="clear" w:color="auto" w:fill="8064A2" w:themeFill="accent4"/>
          </w:tcPr>
          <w:p w14:paraId="10D0EB6E" w14:textId="77777777" w:rsidR="00AA4484" w:rsidRPr="005B4339" w:rsidRDefault="00AA4484" w:rsidP="00D64130">
            <w:pPr>
              <w:rPr>
                <w:rFonts w:eastAsiaTheme="minorEastAsia"/>
                <w:b/>
                <w:bCs/>
                <w:noProof/>
              </w:rPr>
            </w:pPr>
            <w:r w:rsidRPr="005B4339">
              <w:rPr>
                <w:rFonts w:eastAsiaTheme="minorEastAsia"/>
                <w:b/>
                <w:bCs/>
                <w:noProof/>
              </w:rPr>
              <w:t>RECOMMENDATION 21</w:t>
            </w:r>
          </w:p>
          <w:p w14:paraId="39E498B4" w14:textId="77777777" w:rsidR="00AA4484" w:rsidRPr="005B4339" w:rsidRDefault="00AA4484" w:rsidP="00D64130">
            <w:pPr>
              <w:rPr>
                <w:rFonts w:eastAsiaTheme="minorEastAsia"/>
                <w:b/>
                <w:noProof/>
                <w:sz w:val="22"/>
                <w:szCs w:val="22"/>
              </w:rPr>
            </w:pPr>
            <w:r w:rsidRPr="005B4339">
              <w:rPr>
                <w:rFonts w:eastAsiaTheme="minorEastAsia"/>
                <w:b/>
                <w:bCs/>
                <w:noProof/>
              </w:rPr>
              <w:t>“Stop food waste”: A week of food waste awareness at school</w:t>
            </w:r>
          </w:p>
        </w:tc>
      </w:tr>
      <w:tr w:rsidR="00AA4484" w:rsidRPr="005B4339" w14:paraId="6B4EE9B0" w14:textId="77777777" w:rsidTr="0043499F">
        <w:trPr>
          <w:trHeight w:val="3140"/>
        </w:trPr>
        <w:tc>
          <w:tcPr>
            <w:tcW w:w="9182" w:type="dxa"/>
            <w:shd w:val="clear" w:color="auto" w:fill="FFFFFF" w:themeFill="background1"/>
          </w:tcPr>
          <w:p w14:paraId="00AFBDD6" w14:textId="77777777" w:rsidR="00AA4484" w:rsidRPr="005B4339" w:rsidRDefault="00AA4484" w:rsidP="007D1AE5">
            <w:pPr>
              <w:rPr>
                <w:rFonts w:eastAsiaTheme="minorEastAsia"/>
                <w:noProof/>
              </w:rPr>
            </w:pPr>
            <w:r w:rsidRPr="005B4339">
              <w:rPr>
                <w:rFonts w:eastAsiaTheme="minorEastAsia"/>
                <w:noProof/>
              </w:rPr>
              <w:t>We recommend organizing a theme week in schools on food waste to raise awareness on the topic among young children and teenagers. The week would adopt a form and content depending on the age of the pupils. In primary schools and for younger children, the week should focus on raising awareness through games. The European Commission would create and distribute a toolkit for schools and teachers in all the EU languages on how to raise awareness on food waste at schools and how to discuss and organize activities on this topic in relation with their own teaching subjects. The toolkit would include guidelines with proposed activities to not overburden teachers and should be easily accessible online. Younger pupils would be rewarded by receiving a certificate (with the EU logo). National states would implement the week depending on the functioning of their respective education systems and of their academic calendars. Schools would be free to decide what activities they want to organize during the week, with the help of the toolkit made available for teachers.</w:t>
            </w:r>
          </w:p>
          <w:p w14:paraId="71126F90" w14:textId="77777777" w:rsidR="00AA4484" w:rsidRPr="005B4339" w:rsidRDefault="00AA4484" w:rsidP="0043499F">
            <w:pPr>
              <w:rPr>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37CC7C48" w14:textId="77777777" w:rsidTr="0043499F">
        <w:trPr>
          <w:trHeight w:val="1318"/>
        </w:trPr>
        <w:tc>
          <w:tcPr>
            <w:tcW w:w="9182" w:type="dxa"/>
            <w:shd w:val="clear" w:color="auto" w:fill="FFFFFF" w:themeFill="background1"/>
          </w:tcPr>
          <w:p w14:paraId="4D67EC6A"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Rationale/justification</w:t>
            </w:r>
          </w:p>
          <w:p w14:paraId="26E57281"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Children should learn how to value food, how food is produced, and how much time it takes to produce food. It is important to gain this awareness early on. This kind of event can also reach parents through children and teenagers, because pupils tell their parents about their experiences at school when they come home.</w:t>
            </w:r>
          </w:p>
          <w:p w14:paraId="4B668A17" w14:textId="77777777" w:rsidR="00AA4484" w:rsidRPr="005B4339" w:rsidRDefault="00AA4484" w:rsidP="0043499F">
            <w:pPr>
              <w:spacing w:after="0"/>
              <w:rPr>
                <w:rFonts w:eastAsiaTheme="minorEastAsia" w:cstheme="minorHAnsi"/>
                <w:noProof/>
              </w:rPr>
            </w:pPr>
          </w:p>
        </w:tc>
      </w:tr>
      <w:tr w:rsidR="00AA4484" w:rsidRPr="005B4339" w14:paraId="699FD3B4" w14:textId="77777777" w:rsidTr="0043499F">
        <w:trPr>
          <w:trHeight w:val="1488"/>
        </w:trPr>
        <w:tc>
          <w:tcPr>
            <w:tcW w:w="9182" w:type="dxa"/>
            <w:shd w:val="clear" w:color="auto" w:fill="FFFFFF" w:themeFill="background1"/>
          </w:tcPr>
          <w:p w14:paraId="3AC8AD86"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Additional notes</w:t>
            </w:r>
          </w:p>
          <w:p w14:paraId="3FB5BF94" w14:textId="77777777" w:rsidR="00AA4484" w:rsidRPr="005B4339" w:rsidRDefault="00AA4484" w:rsidP="00AA4484">
            <w:pPr>
              <w:pStyle w:val="ListParagraph"/>
              <w:numPr>
                <w:ilvl w:val="0"/>
                <w:numId w:val="213"/>
              </w:numPr>
              <w:spacing w:after="0"/>
              <w:rPr>
                <w:rFonts w:eastAsiaTheme="minorEastAsia" w:cstheme="minorHAnsi"/>
                <w:noProof/>
              </w:rPr>
            </w:pPr>
            <w:r w:rsidRPr="005B4339">
              <w:rPr>
                <w:rFonts w:eastAsiaTheme="minorEastAsia" w:cstheme="minorHAnsi"/>
                <w:noProof/>
              </w:rPr>
              <w:t xml:space="preserve">A </w:t>
            </w:r>
            <w:r w:rsidRPr="005B4339">
              <w:rPr>
                <w:rFonts w:eastAsiaTheme="minorEastAsia" w:cstheme="minorHAnsi"/>
                <w:noProof/>
                <w:u w:val="single"/>
              </w:rPr>
              <w:t xml:space="preserve">benefit </w:t>
            </w:r>
            <w:r w:rsidRPr="005B4339">
              <w:rPr>
                <w:rFonts w:eastAsiaTheme="minorEastAsia" w:cstheme="minorHAnsi"/>
                <w:noProof/>
              </w:rPr>
              <w:t>is that children should learn how to value food, how food is produced, and how many times it takes to produce food. It is important to start early with awareness learning. Another benefit is that this kind of event enable to reach parents through children and teenagers, because scholars tell their parents about their experiences at school when they come home.</w:t>
            </w:r>
          </w:p>
          <w:p w14:paraId="3A8358B3" w14:textId="77777777" w:rsidR="00AA4484" w:rsidRPr="005B4339" w:rsidRDefault="00AA4484" w:rsidP="00AA4484">
            <w:pPr>
              <w:pStyle w:val="ListParagraph"/>
              <w:numPr>
                <w:ilvl w:val="0"/>
                <w:numId w:val="213"/>
              </w:numPr>
              <w:spacing w:after="0"/>
              <w:rPr>
                <w:rFonts w:eastAsiaTheme="minorEastAsia" w:cstheme="minorHAnsi"/>
                <w:noProof/>
              </w:rPr>
            </w:pPr>
            <w:r w:rsidRPr="005B4339">
              <w:rPr>
                <w:rFonts w:eastAsiaTheme="minorEastAsia" w:cstheme="minorHAnsi"/>
                <w:noProof/>
              </w:rPr>
              <w:t xml:space="preserve">One of the </w:t>
            </w:r>
            <w:r w:rsidRPr="005B4339">
              <w:rPr>
                <w:rFonts w:eastAsiaTheme="minorEastAsia" w:cstheme="minorHAnsi"/>
                <w:noProof/>
                <w:u w:val="single"/>
              </w:rPr>
              <w:t>challenges</w:t>
            </w:r>
            <w:r w:rsidRPr="005B4339">
              <w:rPr>
                <w:rFonts w:eastAsiaTheme="minorEastAsia" w:cstheme="minorHAnsi"/>
                <w:noProof/>
              </w:rPr>
              <w:t xml:space="preserve"> is to not overburden teachers to come up with all the activities and ideas on their own. For this reason, a framework or guidelines with proposed activities is very important to make it possible for all pupils in all schools to benefit from this initiative.</w:t>
            </w:r>
          </w:p>
          <w:p w14:paraId="5BEE8CE3" w14:textId="77777777" w:rsidR="00AA4484" w:rsidRPr="005B4339" w:rsidRDefault="00AA4484" w:rsidP="0043499F">
            <w:pPr>
              <w:spacing w:after="0"/>
              <w:rPr>
                <w:rFonts w:eastAsiaTheme="minorEastAsia" w:cstheme="minorHAnsi"/>
                <w:noProof/>
              </w:rPr>
            </w:pPr>
          </w:p>
        </w:tc>
      </w:tr>
    </w:tbl>
    <w:p w14:paraId="6DC92287" w14:textId="77777777" w:rsidR="00D64130" w:rsidRPr="005B4339" w:rsidRDefault="00D64130" w:rsidP="00AA4484">
      <w:pPr>
        <w:spacing w:after="0"/>
        <w:rPr>
          <w:rFonts w:cstheme="minorHAnsi"/>
          <w:noProof/>
        </w:rPr>
      </w:pPr>
    </w:p>
    <w:p w14:paraId="1C99A7E6" w14:textId="77777777" w:rsidR="00D64130" w:rsidRPr="005B4339" w:rsidRDefault="00D64130" w:rsidP="00AA4484">
      <w:pPr>
        <w:spacing w:after="0"/>
        <w:rPr>
          <w:rFonts w:cstheme="minorHAnsi"/>
          <w:noProof/>
        </w:rPr>
      </w:pPr>
    </w:p>
    <w:p w14:paraId="5F4AA3EE" w14:textId="77777777" w:rsidR="00D64130" w:rsidRPr="005B4339" w:rsidRDefault="00D64130" w:rsidP="00AA4484">
      <w:pPr>
        <w:spacing w:after="0"/>
        <w:rPr>
          <w:rFonts w:cstheme="minorHAnsi"/>
          <w:noProof/>
        </w:rPr>
      </w:pPr>
    </w:p>
    <w:p w14:paraId="4F2B10DE" w14:textId="77777777" w:rsidR="00D64130" w:rsidRPr="005B4339" w:rsidRDefault="00D64130" w:rsidP="00AA4484">
      <w:pPr>
        <w:spacing w:after="0"/>
        <w:rPr>
          <w:rFonts w:cstheme="minorHAnsi"/>
          <w:noProof/>
        </w:rPr>
      </w:pPr>
    </w:p>
    <w:p w14:paraId="22368144" w14:textId="77777777" w:rsidR="00D64130" w:rsidRPr="005B4339" w:rsidRDefault="00D64130" w:rsidP="00AA4484">
      <w:pPr>
        <w:spacing w:after="0"/>
        <w:rPr>
          <w:rFonts w:cstheme="minorHAnsi"/>
          <w:noProof/>
        </w:rPr>
      </w:pPr>
    </w:p>
    <w:p w14:paraId="1B0FF172" w14:textId="77777777" w:rsidR="00D64130" w:rsidRPr="005B4339" w:rsidRDefault="00D64130" w:rsidP="00AA4484">
      <w:pPr>
        <w:spacing w:after="0"/>
        <w:rPr>
          <w:rFonts w:cstheme="minorHAnsi"/>
          <w:noProof/>
        </w:rPr>
      </w:pPr>
    </w:p>
    <w:p w14:paraId="2085F7C5" w14:textId="77777777" w:rsidR="00D64130" w:rsidRPr="005B4339" w:rsidRDefault="00D64130" w:rsidP="00AA4484">
      <w:pPr>
        <w:spacing w:after="0"/>
        <w:rPr>
          <w:rFonts w:cstheme="minorHAnsi"/>
          <w:noProof/>
        </w:rPr>
      </w:pPr>
    </w:p>
    <w:p w14:paraId="5670D864" w14:textId="77777777" w:rsidR="00D64130" w:rsidRPr="005B4339" w:rsidRDefault="00D64130" w:rsidP="00AA4484">
      <w:pPr>
        <w:spacing w:after="0"/>
        <w:rPr>
          <w:rFonts w:cstheme="minorHAnsi"/>
          <w:noProof/>
        </w:rPr>
      </w:pPr>
    </w:p>
    <w:p w14:paraId="6502D468" w14:textId="77777777" w:rsidR="00D64130" w:rsidRPr="005B4339" w:rsidRDefault="00D64130" w:rsidP="00AA4484">
      <w:pPr>
        <w:spacing w:after="0"/>
        <w:rPr>
          <w:rFonts w:cstheme="minorHAnsi"/>
          <w:noProof/>
        </w:rPr>
      </w:pPr>
    </w:p>
    <w:p w14:paraId="2DBE492E" w14:textId="77777777" w:rsidR="00D64130" w:rsidRPr="005B4339" w:rsidRDefault="00D64130" w:rsidP="00AA4484">
      <w:pPr>
        <w:spacing w:after="0"/>
        <w:rPr>
          <w:rFonts w:cstheme="minorHAnsi"/>
          <w:noProof/>
        </w:rPr>
      </w:pPr>
    </w:p>
    <w:p w14:paraId="41102C49" w14:textId="77777777" w:rsidR="00D64130" w:rsidRPr="005B4339" w:rsidRDefault="00D64130" w:rsidP="00AA4484">
      <w:pPr>
        <w:spacing w:after="0"/>
        <w:rPr>
          <w:rFonts w:cstheme="minorHAnsi"/>
          <w:noProof/>
        </w:rPr>
      </w:pPr>
    </w:p>
    <w:p w14:paraId="3E39A30D" w14:textId="07369D8B" w:rsidR="00AA4484" w:rsidRPr="005B4339" w:rsidRDefault="00AA4484" w:rsidP="00AA4484">
      <w:pPr>
        <w:rPr>
          <w:rFonts w:cstheme="minorHAnsi"/>
          <w:noProof/>
        </w:rPr>
      </w:pPr>
    </w:p>
    <w:tbl>
      <w:tblPr>
        <w:tblStyle w:val="TableGrid"/>
        <w:tblW w:w="9182" w:type="dxa"/>
        <w:tblLook w:val="04A0" w:firstRow="1" w:lastRow="0" w:firstColumn="1" w:lastColumn="0" w:noHBand="0" w:noVBand="1"/>
      </w:tblPr>
      <w:tblGrid>
        <w:gridCol w:w="9182"/>
      </w:tblGrid>
      <w:tr w:rsidR="00AA4484" w:rsidRPr="005B4339" w14:paraId="32CC0E3A" w14:textId="77777777" w:rsidTr="0043499F">
        <w:tc>
          <w:tcPr>
            <w:tcW w:w="9182" w:type="dxa"/>
            <w:shd w:val="clear" w:color="auto" w:fill="8064A2" w:themeFill="accent4"/>
          </w:tcPr>
          <w:p w14:paraId="443103DD" w14:textId="77777777" w:rsidR="00AA4484" w:rsidRPr="005B4339" w:rsidRDefault="00AA4484" w:rsidP="00D64130">
            <w:pPr>
              <w:rPr>
                <w:rFonts w:eastAsiaTheme="minorEastAsia"/>
                <w:b/>
                <w:bCs/>
                <w:noProof/>
              </w:rPr>
            </w:pPr>
            <w:r w:rsidRPr="005B4339">
              <w:rPr>
                <w:rFonts w:eastAsiaTheme="minorEastAsia"/>
                <w:b/>
                <w:bCs/>
                <w:noProof/>
              </w:rPr>
              <w:t xml:space="preserve">RECOMMENDATION 22 </w:t>
            </w:r>
          </w:p>
          <w:p w14:paraId="276DFC78" w14:textId="77777777" w:rsidR="00AA4484" w:rsidRPr="005B4339" w:rsidRDefault="00AA4484" w:rsidP="00D64130">
            <w:pPr>
              <w:rPr>
                <w:rFonts w:eastAsiaTheme="minorEastAsia"/>
                <w:b/>
                <w:bCs/>
                <w:noProof/>
                <w:lang w:val="en-US"/>
              </w:rPr>
            </w:pPr>
            <w:r w:rsidRPr="005B4339">
              <w:rPr>
                <w:rFonts w:eastAsiaTheme="minorEastAsia"/>
                <w:b/>
                <w:bCs/>
                <w:noProof/>
                <w:lang w:val="en-US"/>
              </w:rPr>
              <w:t>To provide consumers keys to be aware and independent on their impact on food waste and to understand how to process, preserve and reuse a product before and after the date has passed.</w:t>
            </w:r>
          </w:p>
          <w:p w14:paraId="417B5080" w14:textId="77777777" w:rsidR="00AA4484" w:rsidRPr="005B4339" w:rsidRDefault="00AA4484" w:rsidP="00D64130">
            <w:pPr>
              <w:rPr>
                <w:rFonts w:eastAsiaTheme="minorEastAsia"/>
                <w:b/>
                <w:noProof/>
                <w:lang w:val="en-US"/>
              </w:rPr>
            </w:pPr>
            <w:r w:rsidRPr="005B4339">
              <w:rPr>
                <w:rFonts w:eastAsiaTheme="minorEastAsia"/>
                <w:b/>
                <w:bCs/>
                <w:noProof/>
                <w:lang w:val="en-US"/>
              </w:rPr>
              <w:t>(“use by” date is a safety date after which a product should not be consumed; “best before” indicates the date until which a product keeps its optimal quality)</w:t>
            </w:r>
          </w:p>
        </w:tc>
      </w:tr>
      <w:tr w:rsidR="00AA4484" w:rsidRPr="005B4339" w14:paraId="2DA461ED" w14:textId="77777777" w:rsidTr="0043499F">
        <w:trPr>
          <w:trHeight w:val="3279"/>
        </w:trPr>
        <w:tc>
          <w:tcPr>
            <w:tcW w:w="9182" w:type="dxa"/>
            <w:shd w:val="clear" w:color="auto" w:fill="FFFFFF" w:themeFill="background1"/>
          </w:tcPr>
          <w:p w14:paraId="594A84BC" w14:textId="77777777" w:rsidR="00AA4484" w:rsidRPr="005B4339" w:rsidRDefault="00AA4484" w:rsidP="0043499F">
            <w:pPr>
              <w:rPr>
                <w:rFonts w:eastAsiaTheme="minorEastAsia"/>
                <w:noProof/>
              </w:rPr>
            </w:pPr>
            <w:r w:rsidRPr="005B4339">
              <w:rPr>
                <w:rFonts w:eastAsiaTheme="minorEastAsia"/>
                <w:noProof/>
              </w:rPr>
              <w:t xml:space="preserve">We recommend the deployment of information tools to enlighten and (re)equip consumers in their ability to judge whether a product is truly expired. To make consumers aware of the use of their food products, we are in favour of better identification of the labelling of the best-before date: same place for each product and larger font size. Furthermore, we want to affix a QR code directly on the product label (the possibility of also using the barcode). What is the purpose of this? To transmit information on the best ways to preserve it, to recognize (by the taste and the smell) if it is still consumable, and to transmit culinary tips to transform the product (example of adapted recipes). The producers are, for us, the best placed to formalize the information available via the QR code. Concerning unlabelled products such as fruits and vegetables, the QR code should be put where the products are sold to avoid unnecessary packaging. For this source of information to be accessible to everyone, we are not betting essentially on digital technology. We also wish that paper communication tools (guides in supermarkets, for example) be made available. </w:t>
            </w:r>
          </w:p>
          <w:p w14:paraId="1AD30CF2" w14:textId="77777777" w:rsidR="00AA4484" w:rsidRPr="005B4339" w:rsidRDefault="00AA4484" w:rsidP="0043499F">
            <w:pPr>
              <w:rPr>
                <w:rFonts w:eastAsiaTheme="minorEastAsia"/>
                <w:noProof/>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056CD4ED" w14:textId="77777777" w:rsidTr="0043499F">
        <w:trPr>
          <w:trHeight w:val="2039"/>
        </w:trPr>
        <w:tc>
          <w:tcPr>
            <w:tcW w:w="9182" w:type="dxa"/>
            <w:shd w:val="clear" w:color="auto" w:fill="FFFFFF" w:themeFill="background1"/>
          </w:tcPr>
          <w:p w14:paraId="164D9BEA"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Rationale/justification</w:t>
            </w:r>
          </w:p>
          <w:p w14:paraId="3A63192E"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We recommend this because, for us, this is a challenge to make consumers responsible in their food management. Completing the information available on a product is a way for consumers to understand the issues around the expiration date. It is also an opportunity to overcome the “misconceptions” or “fear of getting sick” after the expired date. Indeed, we know that producers are cautious with best-before date to protect themselves. In reality, the product can be consumed afterwards. We do not question the importance of indicating a use-by date. Indeed, it remains a key indicator of freshness.</w:t>
            </w:r>
          </w:p>
          <w:p w14:paraId="06C9C3E5" w14:textId="77777777" w:rsidR="00AA4484" w:rsidRPr="005B4339" w:rsidRDefault="00AA4484" w:rsidP="0043499F">
            <w:pPr>
              <w:spacing w:after="0"/>
              <w:rPr>
                <w:rFonts w:eastAsiaTheme="minorEastAsia" w:cstheme="minorHAnsi"/>
                <w:noProof/>
              </w:rPr>
            </w:pPr>
          </w:p>
        </w:tc>
      </w:tr>
      <w:tr w:rsidR="00AA4484" w:rsidRPr="005B4339" w14:paraId="58E9BB3E" w14:textId="77777777" w:rsidTr="0043499F">
        <w:trPr>
          <w:trHeight w:val="1488"/>
        </w:trPr>
        <w:tc>
          <w:tcPr>
            <w:tcW w:w="9182" w:type="dxa"/>
            <w:shd w:val="clear" w:color="auto" w:fill="FFFFFF" w:themeFill="background1"/>
          </w:tcPr>
          <w:p w14:paraId="3B314C6F" w14:textId="77777777" w:rsidR="00AA4484" w:rsidRPr="005B4339" w:rsidRDefault="00AA4484" w:rsidP="0043499F">
            <w:pPr>
              <w:spacing w:after="0"/>
              <w:rPr>
                <w:rFonts w:eastAsiaTheme="minorEastAsia" w:cstheme="minorHAnsi"/>
                <w:b/>
                <w:noProof/>
              </w:rPr>
            </w:pPr>
            <w:r w:rsidRPr="005B4339">
              <w:rPr>
                <w:rFonts w:eastAsiaTheme="minorEastAsia" w:cstheme="minorHAnsi"/>
                <w:b/>
                <w:noProof/>
              </w:rPr>
              <w:t>Additional notes</w:t>
            </w:r>
          </w:p>
          <w:p w14:paraId="6D4E0AF9" w14:textId="77777777" w:rsidR="00AA4484" w:rsidRPr="005B4339" w:rsidRDefault="00AA4484" w:rsidP="0043499F">
            <w:pPr>
              <w:spacing w:after="0"/>
              <w:rPr>
                <w:rFonts w:eastAsiaTheme="minorEastAsia" w:cstheme="minorHAnsi"/>
                <w:noProof/>
              </w:rPr>
            </w:pPr>
            <w:r w:rsidRPr="005B4339">
              <w:rPr>
                <w:rFonts w:eastAsiaTheme="minorEastAsia" w:cstheme="minorHAnsi"/>
                <w:noProof/>
              </w:rPr>
              <w:t>A benefit is that we focus on labelling to inform consumers in the best way possible about the advantages for their wallet as well as for the environment. Our catchphrase summarizes our idea perfectly: “buy reasonably and eat cheaper”. To make known and promote this new source of information to consumers, we propose to deploy a large communication campaign to explain the objective of this new tool.</w:t>
            </w:r>
          </w:p>
          <w:p w14:paraId="6607EBB0" w14:textId="77777777" w:rsidR="00AA4484" w:rsidRPr="005B4339" w:rsidRDefault="00AA4484" w:rsidP="0043499F">
            <w:pPr>
              <w:spacing w:after="0"/>
              <w:rPr>
                <w:rFonts w:eastAsiaTheme="minorEastAsia" w:cstheme="minorHAnsi"/>
                <w:noProof/>
              </w:rPr>
            </w:pPr>
          </w:p>
        </w:tc>
      </w:tr>
    </w:tbl>
    <w:p w14:paraId="19C1207A" w14:textId="77777777" w:rsidR="00AA4484" w:rsidRPr="005B4339" w:rsidRDefault="00AA4484" w:rsidP="00AA4484">
      <w:pPr>
        <w:spacing w:after="0"/>
        <w:rPr>
          <w:rFonts w:cstheme="minorHAnsi"/>
          <w:noProof/>
        </w:rPr>
      </w:pPr>
    </w:p>
    <w:p w14:paraId="2107B1D4" w14:textId="77777777" w:rsidR="00AA4484" w:rsidRPr="005B4339" w:rsidRDefault="00AA4484" w:rsidP="00AA4484">
      <w:pPr>
        <w:rPr>
          <w:rFonts w:cstheme="minorHAnsi"/>
          <w:noProof/>
        </w:rPr>
      </w:pPr>
      <w:r w:rsidRPr="005B4339">
        <w:rPr>
          <w:rFonts w:cstheme="minorHAnsi"/>
          <w:noProof/>
        </w:rPr>
        <w:br w:type="page"/>
      </w:r>
    </w:p>
    <w:tbl>
      <w:tblPr>
        <w:tblStyle w:val="TableGrid"/>
        <w:tblW w:w="9182" w:type="dxa"/>
        <w:tblLook w:val="04A0" w:firstRow="1" w:lastRow="0" w:firstColumn="1" w:lastColumn="0" w:noHBand="0" w:noVBand="1"/>
      </w:tblPr>
      <w:tblGrid>
        <w:gridCol w:w="9182"/>
      </w:tblGrid>
      <w:tr w:rsidR="00AA4484" w:rsidRPr="005B4339" w14:paraId="2FD2C233" w14:textId="77777777" w:rsidTr="0043499F">
        <w:tc>
          <w:tcPr>
            <w:tcW w:w="9182" w:type="dxa"/>
            <w:shd w:val="clear" w:color="auto" w:fill="8064A2" w:themeFill="accent4"/>
          </w:tcPr>
          <w:p w14:paraId="3F3DCCC3" w14:textId="77777777" w:rsidR="00AA4484" w:rsidRPr="005B4339" w:rsidRDefault="00AA4484" w:rsidP="00D64130">
            <w:pPr>
              <w:rPr>
                <w:rFonts w:eastAsiaTheme="minorEastAsia"/>
                <w:b/>
                <w:bCs/>
                <w:noProof/>
              </w:rPr>
            </w:pPr>
            <w:r w:rsidRPr="005B4339">
              <w:rPr>
                <w:rFonts w:eastAsiaTheme="minorEastAsia"/>
                <w:b/>
                <w:bCs/>
                <w:noProof/>
              </w:rPr>
              <w:t xml:space="preserve">RECOMMENDATION 23 </w:t>
            </w:r>
          </w:p>
          <w:p w14:paraId="40E517E7" w14:textId="77777777" w:rsidR="00AA4484" w:rsidRPr="005B4339" w:rsidRDefault="00AA4484" w:rsidP="00D64130">
            <w:pPr>
              <w:rPr>
                <w:rFonts w:eastAsiaTheme="minorEastAsia"/>
                <w:b/>
                <w:noProof/>
                <w:color w:val="000000" w:themeColor="text1"/>
                <w:sz w:val="22"/>
                <w:szCs w:val="22"/>
              </w:rPr>
            </w:pPr>
            <w:r w:rsidRPr="005B4339">
              <w:rPr>
                <w:rFonts w:eastAsiaTheme="minorEastAsia"/>
                <w:b/>
                <w:bCs/>
                <w:noProof/>
              </w:rPr>
              <w:t>The implementation of standardized practices at the retail level when promoting to consumers products close to the expiration date.</w:t>
            </w:r>
          </w:p>
        </w:tc>
      </w:tr>
      <w:tr w:rsidR="00AA4484" w:rsidRPr="005B4339" w14:paraId="788D1ACB" w14:textId="77777777" w:rsidTr="0043499F">
        <w:trPr>
          <w:trHeight w:val="3158"/>
        </w:trPr>
        <w:tc>
          <w:tcPr>
            <w:tcW w:w="9182" w:type="dxa"/>
            <w:shd w:val="clear" w:color="auto" w:fill="FFFFFF" w:themeFill="background1"/>
          </w:tcPr>
          <w:p w14:paraId="4370EABB" w14:textId="77777777" w:rsidR="00AA4484" w:rsidRPr="005B4339" w:rsidRDefault="00AA4484" w:rsidP="0043499F">
            <w:pPr>
              <w:rPr>
                <w:rFonts w:eastAsiaTheme="minorEastAsia"/>
                <w:noProof/>
                <w:color w:val="000000" w:themeColor="text1"/>
              </w:rPr>
            </w:pPr>
            <w:r w:rsidRPr="005B4339">
              <w:rPr>
                <w:rFonts w:eastAsiaTheme="minorEastAsia"/>
                <w:noProof/>
                <w:color w:val="000000" w:themeColor="text1"/>
              </w:rPr>
              <w:t xml:space="preserve">We recommend that the purchase of products close to their expiration date be revalued by asking businesses to adopt a strategy for managing and valuing these products for the consumers. Indeed, it is a question of improving the perception by households of these products so that they are not intended for only one part of the population. This strategy is divided into several parts: </w:t>
            </w:r>
          </w:p>
          <w:p w14:paraId="5DE9D75B" w14:textId="77777777" w:rsidR="00AA4484" w:rsidRPr="005B4339" w:rsidRDefault="00AA4484" w:rsidP="00AA4484">
            <w:pPr>
              <w:pStyle w:val="ListParagraph"/>
              <w:numPr>
                <w:ilvl w:val="0"/>
                <w:numId w:val="223"/>
              </w:numPr>
              <w:spacing w:after="0"/>
              <w:rPr>
                <w:rFonts w:eastAsiaTheme="minorEastAsia"/>
                <w:noProof/>
                <w:color w:val="000000" w:themeColor="text1"/>
              </w:rPr>
            </w:pPr>
            <w:r w:rsidRPr="005B4339">
              <w:rPr>
                <w:rFonts w:eastAsiaTheme="minorEastAsia"/>
                <w:noProof/>
                <w:color w:val="000000" w:themeColor="text1"/>
              </w:rPr>
              <w:t>a regulatory implementation part at the European level by creating a section dedicated to these products making them easily accessible and identifiable upon entering the store to promote better consumption practices by all users, regardless of income</w:t>
            </w:r>
          </w:p>
          <w:p w14:paraId="6EF7AC93" w14:textId="77777777" w:rsidR="00AA4484" w:rsidRPr="005B4339" w:rsidRDefault="00AA4484" w:rsidP="00AA4484">
            <w:pPr>
              <w:pStyle w:val="ListParagraph"/>
              <w:numPr>
                <w:ilvl w:val="0"/>
                <w:numId w:val="223"/>
              </w:numPr>
              <w:spacing w:after="0"/>
              <w:rPr>
                <w:rFonts w:eastAsiaTheme="minorEastAsia"/>
                <w:noProof/>
                <w:color w:val="000000" w:themeColor="text1"/>
              </w:rPr>
            </w:pPr>
            <w:r w:rsidRPr="005B4339">
              <w:rPr>
                <w:rFonts w:eastAsiaTheme="minorEastAsia"/>
                <w:noProof/>
                <w:color w:val="000000" w:themeColor="text1"/>
              </w:rPr>
              <w:t>the development of a communication policy highlighting "common sense" and the attractiveness of the products as well as the responsible purchasing approach (promotional overconsumption aspects should not be on the front communication line)</w:t>
            </w:r>
          </w:p>
          <w:p w14:paraId="2EA48089" w14:textId="77777777" w:rsidR="00AA4484" w:rsidRPr="005B4339" w:rsidRDefault="00AA4484" w:rsidP="00AA4484">
            <w:pPr>
              <w:pStyle w:val="ListParagraph"/>
              <w:numPr>
                <w:ilvl w:val="0"/>
                <w:numId w:val="223"/>
              </w:numPr>
              <w:spacing w:after="0"/>
              <w:rPr>
                <w:rFonts w:eastAsiaTheme="minorEastAsia"/>
                <w:noProof/>
                <w:color w:val="000000" w:themeColor="text1"/>
              </w:rPr>
            </w:pPr>
            <w:r w:rsidRPr="005B4339">
              <w:rPr>
                <w:rFonts w:eastAsiaTheme="minorEastAsia"/>
                <w:noProof/>
                <w:color w:val="000000" w:themeColor="text1"/>
              </w:rPr>
              <w:t>encouraging retailers to adapt their policy of putting new products close to their expiration date on the shelves at peak times (adapted to the practices of consumers in different European countries).</w:t>
            </w:r>
          </w:p>
          <w:p w14:paraId="77E3C86E" w14:textId="77777777" w:rsidR="00AA4484" w:rsidRPr="005B4339" w:rsidRDefault="00AA4484" w:rsidP="0043499F">
            <w:pPr>
              <w:rPr>
                <w:rFonts w:eastAsiaTheme="minorEastAsia"/>
                <w:noProof/>
                <w:lang w:val="en-US"/>
              </w:rPr>
            </w:pPr>
          </w:p>
        </w:tc>
      </w:tr>
    </w:tbl>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AA4484" w:rsidRPr="005B4339" w14:paraId="17B19C29" w14:textId="77777777" w:rsidTr="0043499F">
        <w:trPr>
          <w:trHeight w:val="1337"/>
        </w:trPr>
        <w:tc>
          <w:tcPr>
            <w:tcW w:w="9182" w:type="dxa"/>
            <w:shd w:val="clear" w:color="auto" w:fill="FFFFFF" w:themeFill="background1"/>
          </w:tcPr>
          <w:p w14:paraId="5849E13E" w14:textId="77777777" w:rsidR="00AA4484" w:rsidRPr="005B4339" w:rsidRDefault="00AA4484" w:rsidP="0043499F">
            <w:pPr>
              <w:spacing w:after="0"/>
              <w:rPr>
                <w:rFonts w:eastAsiaTheme="minorEastAsia" w:cstheme="minorHAnsi"/>
                <w:b/>
                <w:noProof/>
                <w:color w:val="000000" w:themeColor="text1"/>
              </w:rPr>
            </w:pPr>
            <w:r w:rsidRPr="005B4339">
              <w:rPr>
                <w:rFonts w:eastAsiaTheme="minorEastAsia" w:cstheme="minorHAnsi"/>
                <w:b/>
                <w:noProof/>
                <w:color w:val="000000" w:themeColor="text1"/>
              </w:rPr>
              <w:t>Rationale/justification</w:t>
            </w:r>
          </w:p>
          <w:p w14:paraId="2552FF56" w14:textId="77777777" w:rsidR="00AA4484" w:rsidRPr="005B4339" w:rsidRDefault="00AA4484" w:rsidP="0043499F">
            <w:pPr>
              <w:spacing w:after="0"/>
              <w:rPr>
                <w:rFonts w:eastAsiaTheme="minorEastAsia" w:cstheme="minorHAnsi"/>
                <w:noProof/>
                <w:color w:val="000000" w:themeColor="text1"/>
              </w:rPr>
            </w:pPr>
            <w:r w:rsidRPr="005B4339">
              <w:rPr>
                <w:rFonts w:eastAsiaTheme="minorEastAsia" w:cstheme="minorHAnsi"/>
                <w:noProof/>
                <w:color w:val="000000" w:themeColor="text1"/>
              </w:rPr>
              <w:t>We recommend this because it reinforces an existing policy in many stores and standardizes "good practices" on a European scale. The group is paying particular attention to the beneficial effect of the generalization of these measures, which would change the image around low-priced products (not only available for households but to the whole population).</w:t>
            </w:r>
          </w:p>
          <w:p w14:paraId="7C1A4AB9" w14:textId="77777777" w:rsidR="00AA4484" w:rsidRPr="005B4339" w:rsidRDefault="00AA4484" w:rsidP="0043499F">
            <w:pPr>
              <w:spacing w:after="0"/>
              <w:rPr>
                <w:rFonts w:eastAsiaTheme="minorEastAsia" w:cstheme="minorHAnsi"/>
                <w:noProof/>
                <w:color w:val="000000" w:themeColor="text1"/>
              </w:rPr>
            </w:pPr>
          </w:p>
        </w:tc>
      </w:tr>
      <w:tr w:rsidR="00AA4484" w:rsidRPr="005B4339" w14:paraId="09A8D569" w14:textId="77777777" w:rsidTr="0043499F">
        <w:trPr>
          <w:trHeight w:val="1488"/>
        </w:trPr>
        <w:tc>
          <w:tcPr>
            <w:tcW w:w="9182" w:type="dxa"/>
            <w:shd w:val="clear" w:color="auto" w:fill="FFFFFF" w:themeFill="background1"/>
          </w:tcPr>
          <w:p w14:paraId="13C09B9A" w14:textId="77777777" w:rsidR="00AA4484" w:rsidRPr="005B4339" w:rsidRDefault="00AA4484" w:rsidP="0043499F">
            <w:pPr>
              <w:spacing w:after="0"/>
              <w:rPr>
                <w:rFonts w:eastAsiaTheme="minorEastAsia" w:cstheme="minorHAnsi"/>
                <w:b/>
                <w:noProof/>
                <w:color w:val="000000" w:themeColor="text1"/>
              </w:rPr>
            </w:pPr>
            <w:r w:rsidRPr="005B4339">
              <w:rPr>
                <w:rFonts w:eastAsiaTheme="minorEastAsia" w:cstheme="minorHAnsi"/>
                <w:b/>
                <w:noProof/>
                <w:color w:val="000000" w:themeColor="text1"/>
              </w:rPr>
              <w:t>Additional notes</w:t>
            </w:r>
          </w:p>
          <w:p w14:paraId="5F1E1A17" w14:textId="77777777" w:rsidR="00AA4484" w:rsidRPr="005B4339" w:rsidRDefault="00AA4484" w:rsidP="0043499F">
            <w:pPr>
              <w:spacing w:after="0"/>
              <w:rPr>
                <w:rFonts w:eastAsiaTheme="minorEastAsia" w:cstheme="minorHAnsi"/>
                <w:noProof/>
                <w:color w:val="000000" w:themeColor="text1"/>
              </w:rPr>
            </w:pPr>
            <w:r w:rsidRPr="005B4339">
              <w:rPr>
                <w:rFonts w:eastAsiaTheme="minorEastAsia" w:cstheme="minorHAnsi"/>
                <w:noProof/>
                <w:color w:val="000000" w:themeColor="text1"/>
              </w:rPr>
              <w:t>This recommendation is a way to promote companies’ engagement in sustainable practices. Indeed, it can build consumers’ loyalty. However, there are some challenges in putting this recommendation into practice:</w:t>
            </w:r>
          </w:p>
          <w:p w14:paraId="20DBD892" w14:textId="77777777" w:rsidR="00AA4484" w:rsidRPr="005B4339" w:rsidRDefault="00AA4484" w:rsidP="00AA4484">
            <w:pPr>
              <w:pStyle w:val="ListParagraph"/>
              <w:numPr>
                <w:ilvl w:val="0"/>
                <w:numId w:val="222"/>
              </w:numPr>
              <w:spacing w:after="0"/>
              <w:rPr>
                <w:rFonts w:eastAsiaTheme="minorEastAsia" w:cstheme="minorHAnsi"/>
                <w:noProof/>
                <w:color w:val="000000" w:themeColor="text1"/>
              </w:rPr>
            </w:pPr>
            <w:r w:rsidRPr="005B4339">
              <w:rPr>
                <w:rFonts w:eastAsiaTheme="minorEastAsia" w:cstheme="minorHAnsi"/>
                <w:noProof/>
                <w:color w:val="000000" w:themeColor="text1"/>
              </w:rPr>
              <w:t>On the household side: to be more flexible and adapt the weekly menu with the products available</w:t>
            </w:r>
          </w:p>
          <w:p w14:paraId="2D102851" w14:textId="77777777" w:rsidR="00AA4484" w:rsidRPr="005B4339" w:rsidRDefault="00AA4484" w:rsidP="00AA4484">
            <w:pPr>
              <w:pStyle w:val="ListParagraph"/>
              <w:numPr>
                <w:ilvl w:val="0"/>
                <w:numId w:val="222"/>
              </w:numPr>
              <w:spacing w:after="0"/>
              <w:rPr>
                <w:rFonts w:eastAsiaTheme="minorEastAsia" w:cstheme="minorHAnsi"/>
                <w:noProof/>
                <w:color w:val="000000" w:themeColor="text1"/>
              </w:rPr>
            </w:pPr>
            <w:r w:rsidRPr="005B4339">
              <w:rPr>
                <w:rFonts w:eastAsiaTheme="minorEastAsia" w:cstheme="minorHAnsi"/>
                <w:noProof/>
                <w:color w:val="000000" w:themeColor="text1"/>
              </w:rPr>
              <w:t>On the side of professionals: to train the staff and introduce this new policy into practice</w:t>
            </w:r>
          </w:p>
          <w:p w14:paraId="5FE765A5" w14:textId="77777777" w:rsidR="00AA4484" w:rsidRPr="005B4339" w:rsidRDefault="00AA4484" w:rsidP="00AA4484">
            <w:pPr>
              <w:pStyle w:val="ListParagraph"/>
              <w:numPr>
                <w:ilvl w:val="0"/>
                <w:numId w:val="222"/>
              </w:numPr>
              <w:spacing w:after="0"/>
              <w:rPr>
                <w:rFonts w:eastAsiaTheme="minorEastAsia" w:cstheme="minorHAnsi"/>
                <w:noProof/>
                <w:color w:val="000000" w:themeColor="text1"/>
              </w:rPr>
            </w:pPr>
            <w:r w:rsidRPr="005B4339">
              <w:rPr>
                <w:rFonts w:eastAsiaTheme="minorEastAsia" w:cstheme="minorHAnsi"/>
                <w:noProof/>
                <w:color w:val="000000" w:themeColor="text1"/>
              </w:rPr>
              <w:t>On the side of the general population: to overcome the misconceptions and to change the perceptions of the recipients of these products, certainly at low cost, but which first fights against the unsold goods.</w:t>
            </w:r>
          </w:p>
          <w:p w14:paraId="4B3349F3" w14:textId="77777777" w:rsidR="00AA4484" w:rsidRPr="005B4339" w:rsidRDefault="00AA4484" w:rsidP="0043499F">
            <w:pPr>
              <w:spacing w:after="0"/>
              <w:rPr>
                <w:rFonts w:eastAsiaTheme="minorEastAsia" w:cstheme="minorHAnsi"/>
                <w:noProof/>
                <w:color w:val="000000" w:themeColor="text1"/>
              </w:rPr>
            </w:pPr>
          </w:p>
        </w:tc>
      </w:tr>
    </w:tbl>
    <w:p w14:paraId="2D0FC05D" w14:textId="77777777" w:rsidR="00AA4484" w:rsidRPr="005B4339" w:rsidRDefault="00AA4484" w:rsidP="00AA4484">
      <w:pPr>
        <w:rPr>
          <w:noProof/>
        </w:rPr>
      </w:pPr>
    </w:p>
    <w:p w14:paraId="3D87446C" w14:textId="63346AA2" w:rsidR="431936A7" w:rsidRPr="005B4339" w:rsidRDefault="00AA4484" w:rsidP="00AA4484">
      <w:pPr>
        <w:rPr>
          <w:noProof/>
          <w:lang w:val="en-IE"/>
        </w:rPr>
      </w:pPr>
      <w:r w:rsidRPr="005B4339">
        <w:rPr>
          <w:noProof/>
          <w:lang w:val="en-IE"/>
        </w:rPr>
        <w:br w:type="page"/>
      </w:r>
    </w:p>
    <w:p w14:paraId="20F2E0E6" w14:textId="6EF3CBDA" w:rsidR="00A8561A" w:rsidRDefault="00A8561A" w:rsidP="00737FFB">
      <w:pPr>
        <w:pStyle w:val="AnnexTitle"/>
        <w:rPr>
          <w:noProof/>
          <w:lang w:val="en-IE"/>
        </w:rPr>
      </w:pPr>
      <w:bookmarkStart w:id="1084" w:name="_Toc139032155"/>
      <w:bookmarkStart w:id="1085" w:name="_Toc120782636"/>
      <w:bookmarkStart w:id="1086" w:name="_Toc124777340"/>
      <w:bookmarkStart w:id="1087" w:name="_Toc127379869"/>
      <w:bookmarkStart w:id="1088" w:name="_Toc132761294"/>
      <w:bookmarkStart w:id="1089" w:name="_Toc550652934"/>
      <w:bookmarkStart w:id="1090" w:name="_Toc1693107009"/>
      <w:bookmarkStart w:id="1091" w:name="_Toc266268210"/>
      <w:bookmarkStart w:id="1092" w:name="_Toc1696627762"/>
      <w:bookmarkStart w:id="1093" w:name="_Toc1799937403"/>
      <w:bookmarkStart w:id="1094" w:name="_Toc404551648"/>
      <w:bookmarkStart w:id="1095" w:name="_Toc381749483"/>
      <w:r w:rsidRPr="005B4339">
        <w:rPr>
          <w:noProof/>
          <w:lang w:val="en-IE"/>
        </w:rPr>
        <w:t>Annex 1</w:t>
      </w:r>
      <w:r>
        <w:rPr>
          <w:noProof/>
          <w:lang w:val="en-IE"/>
        </w:rPr>
        <w:t>7</w:t>
      </w:r>
      <w:r w:rsidRPr="005B4339">
        <w:rPr>
          <w:noProof/>
          <w:lang w:val="en-IE"/>
        </w:rPr>
        <w:t>: Bibliography</w:t>
      </w:r>
      <w:r>
        <w:rPr>
          <w:noProof/>
          <w:lang w:val="en-IE"/>
        </w:rPr>
        <w:t xml:space="preserve"> and list of figures</w:t>
      </w:r>
      <w:bookmarkEnd w:id="1084"/>
      <w:r w:rsidRPr="005B4339">
        <w:rPr>
          <w:noProof/>
          <w:lang w:val="en-IE"/>
        </w:rPr>
        <w:t xml:space="preserve"> </w:t>
      </w:r>
    </w:p>
    <w:p w14:paraId="1E9D267C" w14:textId="218FB3D6" w:rsidR="00EA7D2F" w:rsidRPr="005B4339" w:rsidRDefault="00FB3D28" w:rsidP="00A8561A">
      <w:pPr>
        <w:pStyle w:val="Heading2"/>
        <w:rPr>
          <w:noProof/>
          <w:lang w:val="en-IE"/>
        </w:rPr>
      </w:pPr>
      <w:bookmarkStart w:id="1096" w:name="_Toc139032156"/>
      <w:r w:rsidRPr="005B4339">
        <w:rPr>
          <w:noProof/>
          <w:lang w:val="en-IE"/>
        </w:rPr>
        <w:t>Bibliography</w:t>
      </w:r>
      <w:bookmarkEnd w:id="1085"/>
      <w:bookmarkEnd w:id="1086"/>
      <w:r w:rsidRPr="005B4339">
        <w:rPr>
          <w:noProof/>
          <w:lang w:val="en-IE"/>
        </w:rPr>
        <w:t xml:space="preserve"> for textiles waste</w:t>
      </w:r>
      <w:bookmarkEnd w:id="1087"/>
      <w:bookmarkEnd w:id="1088"/>
      <w:bookmarkEnd w:id="1089"/>
      <w:bookmarkEnd w:id="1090"/>
      <w:bookmarkEnd w:id="1091"/>
      <w:bookmarkEnd w:id="1092"/>
      <w:bookmarkEnd w:id="1093"/>
      <w:bookmarkEnd w:id="1094"/>
      <w:bookmarkEnd w:id="1095"/>
      <w:bookmarkEnd w:id="1096"/>
    </w:p>
    <w:p w14:paraId="060F73F9" w14:textId="1D9CACC8" w:rsidR="00FB3D28" w:rsidRPr="005B4339" w:rsidRDefault="00FB3D28" w:rsidP="00FB3D28">
      <w:pPr>
        <w:spacing w:after="120"/>
        <w:rPr>
          <w:noProof/>
          <w:color w:val="333333"/>
          <w:lang w:val="en-IE"/>
        </w:rPr>
      </w:pPr>
      <w:r w:rsidRPr="005B4339">
        <w:rPr>
          <w:noProof/>
          <w:color w:val="333333"/>
          <w:lang w:val="en-IE"/>
        </w:rPr>
        <w:t xml:space="preserve">Alcin-Enis I., Kucukali-Ozturk M., Sezgin H., “Risks and Management of Textile Waste”. In: Gothandam K., Ranjan S., Dasgupta N., Lichtfouse E. (eds) </w:t>
      </w:r>
      <w:r w:rsidRPr="005B4339">
        <w:rPr>
          <w:i/>
          <w:noProof/>
          <w:color w:val="333333"/>
          <w:lang w:val="en-IE"/>
        </w:rPr>
        <w:t>Nanoscience and Biotechnology for Environmental Applications. Environmental Chemistry for a Sustainable World</w:t>
      </w:r>
      <w:r w:rsidRPr="005B4339">
        <w:rPr>
          <w:noProof/>
          <w:color w:val="333333"/>
          <w:lang w:val="en-IE"/>
        </w:rPr>
        <w:t>, vol 22. Springer, Cham., 2019, https://doi.org/10.1007/978-3-319-97922-9_2.</w:t>
      </w:r>
    </w:p>
    <w:p w14:paraId="19E0D8DF" w14:textId="77777777" w:rsidR="00FB3D28" w:rsidRPr="005B4339" w:rsidRDefault="00FB3D28" w:rsidP="00FB3D28">
      <w:pPr>
        <w:spacing w:after="120"/>
        <w:rPr>
          <w:rFonts w:eastAsia="Times New Roman"/>
          <w:noProof/>
          <w:lang w:val="en-IE"/>
        </w:rPr>
      </w:pPr>
      <w:r w:rsidRPr="005B4339">
        <w:rPr>
          <w:noProof/>
          <w:color w:val="333333"/>
          <w:lang w:val="en-IE"/>
        </w:rPr>
        <w:t xml:space="preserve">Atkar, A., Pabba, M., Sekhar, S.C., Sridhar, S., </w:t>
      </w:r>
      <w:r w:rsidRPr="005B4339">
        <w:rPr>
          <w:i/>
          <w:noProof/>
          <w:color w:val="333333"/>
          <w:lang w:val="en-IE"/>
        </w:rPr>
        <w:t>Current limitations and challenges in the global textile sector,</w:t>
      </w:r>
      <w:r w:rsidRPr="005B4339">
        <w:rPr>
          <w:noProof/>
          <w:color w:val="333333"/>
          <w:lang w:val="en-IE"/>
        </w:rPr>
        <w:t xml:space="preserve"> Fundam Nat Fibres Text, 2021, pp. 741-764.</w:t>
      </w:r>
    </w:p>
    <w:p w14:paraId="61ECAC71" w14:textId="40F73A5D" w:rsidR="00FB3D28" w:rsidRPr="005B4339" w:rsidRDefault="00FB3D28" w:rsidP="00FB3D28">
      <w:pPr>
        <w:spacing w:after="120"/>
        <w:rPr>
          <w:noProof/>
          <w:lang w:val="en-IE"/>
        </w:rPr>
      </w:pPr>
      <w:r w:rsidRPr="005B4339">
        <w:rPr>
          <w:noProof/>
          <w:lang w:val="en-IE"/>
        </w:rPr>
        <w:t xml:space="preserve">Bel J.-B. and ACR+ D4.5. </w:t>
      </w:r>
      <w:r w:rsidRPr="005B4339">
        <w:rPr>
          <w:i/>
          <w:noProof/>
          <w:lang w:val="en-IE"/>
        </w:rPr>
        <w:t>Guidelines for successful implementation. Guidelines for improving local waste collection systems</w:t>
      </w:r>
      <w:r w:rsidRPr="005B4339">
        <w:rPr>
          <w:noProof/>
          <w:lang w:val="en-IE"/>
        </w:rPr>
        <w:t xml:space="preserve">, 2020, </w:t>
      </w:r>
      <w:hyperlink r:id="rId209" w:history="1">
        <w:r w:rsidRPr="005B4339">
          <w:rPr>
            <w:noProof/>
            <w:color w:val="0000FF" w:themeColor="hyperlink"/>
            <w:u w:val="single"/>
            <w:lang w:val="en-IE"/>
          </w:rPr>
          <w:t>https://www.collectors2020.eu/wp-content/uploads/2020/12/COLLECTORS_D4.5Guidelines-final.pdf</w:t>
        </w:r>
      </w:hyperlink>
      <w:r w:rsidRPr="005B4339">
        <w:rPr>
          <w:noProof/>
          <w:lang w:val="en-IE"/>
        </w:rPr>
        <w:t>.</w:t>
      </w:r>
    </w:p>
    <w:p w14:paraId="7E510311" w14:textId="4E14CA8C" w:rsidR="00EA7D2F" w:rsidRPr="005B4339" w:rsidRDefault="00FB3D28" w:rsidP="00EA7D2F">
      <w:pPr>
        <w:spacing w:after="120"/>
        <w:rPr>
          <w:noProof/>
          <w:color w:val="333333"/>
          <w:lang w:val="en-IE"/>
        </w:rPr>
      </w:pPr>
      <w:r w:rsidRPr="005B4339">
        <w:rPr>
          <w:noProof/>
          <w:lang w:val="en-IE"/>
        </w:rPr>
        <w:t xml:space="preserve">Bel, J.-B., ACR+ &amp; Flanagan, B., Eurocities </w:t>
      </w:r>
      <w:r w:rsidRPr="005B4339">
        <w:rPr>
          <w:i/>
          <w:noProof/>
          <w:lang w:val="en-IE"/>
        </w:rPr>
        <w:t>D4.6. Policy recommendations &amp; development needs related to the waste framework conditions. Policy recommendations</w:t>
      </w:r>
      <w:r w:rsidRPr="005B4339">
        <w:rPr>
          <w:noProof/>
          <w:lang w:val="en-IE"/>
        </w:rPr>
        <w:t xml:space="preserve">, 2020, </w:t>
      </w:r>
      <w:hyperlink r:id="rId210" w:history="1">
        <w:r w:rsidRPr="005B4339">
          <w:rPr>
            <w:noProof/>
            <w:color w:val="0000FF" w:themeColor="hyperlink"/>
            <w:u w:val="single"/>
            <w:lang w:val="en-IE"/>
          </w:rPr>
          <w:t>https://www.collectors2020.eu/wp-content/uploads/2020/12/COLLECTORS-D4.6_Policy-recommendations-final.pdf</w:t>
        </w:r>
      </w:hyperlink>
      <w:r w:rsidRPr="005B4339">
        <w:rPr>
          <w:noProof/>
          <w:lang w:val="en-IE"/>
        </w:rPr>
        <w:t>.</w:t>
      </w:r>
      <w:r w:rsidR="00EA7D2F" w:rsidRPr="005B4339">
        <w:rPr>
          <w:noProof/>
          <w:color w:val="333333"/>
          <w:lang w:val="en-IE"/>
        </w:rPr>
        <w:t xml:space="preserve"> </w:t>
      </w:r>
    </w:p>
    <w:p w14:paraId="4FA04530" w14:textId="564E369D" w:rsidR="00FB3D28" w:rsidRPr="005B4339" w:rsidRDefault="00EA7D2F" w:rsidP="00FB3D28">
      <w:pPr>
        <w:spacing w:after="120"/>
        <w:rPr>
          <w:noProof/>
          <w:color w:val="333333"/>
          <w:lang w:val="en-IE"/>
        </w:rPr>
      </w:pPr>
      <w:r w:rsidRPr="005B4339">
        <w:rPr>
          <w:noProof/>
          <w:color w:val="333333"/>
          <w:lang w:val="en-IE"/>
        </w:rPr>
        <w:t xml:space="preserve">CESME, “3.1.5 HUMANITA textile recycling”, </w:t>
      </w:r>
      <w:r w:rsidRPr="005B4339">
        <w:rPr>
          <w:i/>
          <w:noProof/>
          <w:color w:val="333333"/>
          <w:lang w:val="en-IE"/>
        </w:rPr>
        <w:t>The CESME White Book</w:t>
      </w:r>
      <w:r w:rsidRPr="005B4339">
        <w:rPr>
          <w:noProof/>
          <w:color w:val="333333"/>
          <w:lang w:val="en-IE"/>
        </w:rPr>
        <w:t xml:space="preserve">, </w:t>
      </w:r>
      <w:hyperlink r:id="rId211" w:history="1">
        <w:r w:rsidR="00A36800" w:rsidRPr="005B4339">
          <w:rPr>
            <w:rStyle w:val="Hyperlink"/>
            <w:noProof/>
            <w:lang w:val="en-IE"/>
          </w:rPr>
          <w:t>https://www.cesme-book.eu/book/level-1-d/3.1-best-practices/3.1.2-humanita-textile-recycling</w:t>
        </w:r>
      </w:hyperlink>
      <w:r w:rsidRPr="005B4339">
        <w:rPr>
          <w:noProof/>
          <w:color w:val="333333"/>
          <w:lang w:val="en-IE"/>
        </w:rPr>
        <w:t>.</w:t>
      </w:r>
    </w:p>
    <w:p w14:paraId="0A991C18" w14:textId="486E020E" w:rsidR="00366E47" w:rsidRPr="005B4339" w:rsidRDefault="00366E47" w:rsidP="00FB3D28">
      <w:pPr>
        <w:spacing w:after="120"/>
        <w:rPr>
          <w:noProof/>
          <w:lang w:val="en-IE"/>
        </w:rPr>
      </w:pPr>
      <w:r w:rsidRPr="005B4339">
        <w:rPr>
          <w:noProof/>
          <w:lang w:val="en-IE"/>
        </w:rPr>
        <w:t xml:space="preserve">Changing Markets Foundation, </w:t>
      </w:r>
      <w:r w:rsidRPr="005B4339">
        <w:rPr>
          <w:i/>
          <w:noProof/>
          <w:lang w:val="en-IE"/>
        </w:rPr>
        <w:t>Trashion: The stealth export of waste plastic clothes to Kenya,</w:t>
      </w:r>
      <w:r w:rsidRPr="005B4339">
        <w:rPr>
          <w:noProof/>
          <w:lang w:val="en-IE"/>
        </w:rPr>
        <w:t xml:space="preserve"> 2023. (due for publication Feb 2023, http://changingmarkets.org/wp-content/uploads/2023/02/Trashion-Report-Web-Final.pdf.</w:t>
      </w:r>
    </w:p>
    <w:p w14:paraId="499F2EEB" w14:textId="17469A46" w:rsidR="00A36800" w:rsidRPr="005B4339" w:rsidRDefault="00A36800" w:rsidP="00FB3D28">
      <w:pPr>
        <w:spacing w:after="120"/>
        <w:rPr>
          <w:noProof/>
          <w:color w:val="333333"/>
          <w:lang w:val="en-IE"/>
        </w:rPr>
      </w:pPr>
      <w:r w:rsidRPr="005B4339">
        <w:rPr>
          <w:noProof/>
          <w:color w:val="333333"/>
          <w:lang w:val="en-IE"/>
        </w:rPr>
        <w:t xml:space="preserve">COWI, Eunomia, </w:t>
      </w:r>
      <w:r w:rsidRPr="005B4339">
        <w:rPr>
          <w:i/>
          <w:noProof/>
          <w:color w:val="333333"/>
          <w:lang w:val="en-IE"/>
        </w:rPr>
        <w:t>Study on investment needs in the waste sector and on the financing of municipal waste management in Member States</w:t>
      </w:r>
      <w:r w:rsidRPr="005B4339">
        <w:rPr>
          <w:noProof/>
          <w:color w:val="333333"/>
          <w:lang w:val="en-IE"/>
        </w:rPr>
        <w:t>, 2019</w:t>
      </w:r>
    </w:p>
    <w:p w14:paraId="528B2FFB" w14:textId="77777777" w:rsidR="00FB3D28" w:rsidRPr="005B4339" w:rsidRDefault="00FB3D28" w:rsidP="00FB3D28">
      <w:pPr>
        <w:spacing w:after="120"/>
        <w:rPr>
          <w:noProof/>
          <w:lang w:val="en-IE"/>
        </w:rPr>
      </w:pPr>
      <w:r w:rsidRPr="005B4339">
        <w:rPr>
          <w:noProof/>
          <w:lang w:val="en-IE"/>
        </w:rPr>
        <w:t xml:space="preserve">Cura Kirsti Rintala, N., Kamppuri, T., Saarimäki, E., and Heikkilä, P., </w:t>
      </w:r>
      <w:r w:rsidRPr="005B4339">
        <w:rPr>
          <w:i/>
          <w:noProof/>
          <w:lang w:val="en-IE"/>
        </w:rPr>
        <w:t>“Textile Recognition and Sorting for Recycling at an Automated Line Using Near Infrared Spectroscopy”</w:t>
      </w:r>
      <w:r w:rsidRPr="005B4339">
        <w:rPr>
          <w:noProof/>
          <w:lang w:val="en-IE"/>
        </w:rPr>
        <w:t>, 2021.</w:t>
      </w:r>
    </w:p>
    <w:p w14:paraId="40BC9F74" w14:textId="77777777" w:rsidR="00FB3D28" w:rsidRPr="005B4339" w:rsidRDefault="00FB3D28" w:rsidP="00FB3D28">
      <w:pPr>
        <w:spacing w:after="120"/>
        <w:rPr>
          <w:noProof/>
          <w:lang w:val="en-IE"/>
        </w:rPr>
      </w:pPr>
      <w:r w:rsidRPr="005B4339">
        <w:rPr>
          <w:noProof/>
          <w:lang w:val="en-IE"/>
        </w:rPr>
        <w:t xml:space="preserve">ECAP, </w:t>
      </w:r>
      <w:r w:rsidRPr="005B4339">
        <w:rPr>
          <w:i/>
          <w:iCs/>
          <w:noProof/>
          <w:lang w:val="en-IE"/>
        </w:rPr>
        <w:t xml:space="preserve">Used textile collection in European cities, </w:t>
      </w:r>
      <w:r w:rsidRPr="005B4339">
        <w:rPr>
          <w:noProof/>
          <w:lang w:val="en-IE"/>
        </w:rPr>
        <w:t xml:space="preserve">2018, </w:t>
      </w:r>
      <w:hyperlink r:id="rId212" w:history="1">
        <w:r w:rsidRPr="005B4339">
          <w:rPr>
            <w:noProof/>
            <w:color w:val="0000FF" w:themeColor="hyperlink"/>
            <w:u w:val="single"/>
            <w:lang w:val="en-IE"/>
          </w:rPr>
          <w:t>http://www.ecap.eu.com/wp-content/uploads/2018/07/ECAP-Textile-collection-in-European-cities_full-report_with-summary.pdf</w:t>
        </w:r>
      </w:hyperlink>
      <w:r w:rsidRPr="005B4339">
        <w:rPr>
          <w:noProof/>
          <w:lang w:val="en-IE"/>
        </w:rPr>
        <w:t xml:space="preserve">. </w:t>
      </w:r>
    </w:p>
    <w:p w14:paraId="5083A759" w14:textId="77777777" w:rsidR="00D00FD7" w:rsidRPr="005B4339" w:rsidRDefault="00FB3D28" w:rsidP="00D00FD7">
      <w:pPr>
        <w:spacing w:after="120"/>
        <w:rPr>
          <w:noProof/>
          <w:lang w:val="en-IE"/>
        </w:rPr>
      </w:pPr>
      <w:r w:rsidRPr="005B4339">
        <w:rPr>
          <w:noProof/>
          <w:lang w:val="en-IE"/>
        </w:rPr>
        <w:t xml:space="preserve">ECAP, </w:t>
      </w:r>
      <w:r w:rsidRPr="005B4339">
        <w:rPr>
          <w:i/>
          <w:iCs/>
          <w:noProof/>
          <w:lang w:val="en-IE"/>
        </w:rPr>
        <w:t>ECAP and used textiles,</w:t>
      </w:r>
      <w:r w:rsidRPr="005B4339">
        <w:rPr>
          <w:noProof/>
          <w:lang w:val="en-IE"/>
        </w:rPr>
        <w:t xml:space="preserve"> 2019</w:t>
      </w:r>
      <w:r w:rsidR="00D00FD7" w:rsidRPr="005B4339">
        <w:rPr>
          <w:noProof/>
          <w:lang w:val="en-IE"/>
        </w:rPr>
        <w:t>,</w:t>
      </w:r>
      <w:r w:rsidRPr="005B4339">
        <w:rPr>
          <w:noProof/>
          <w:lang w:val="en-IE"/>
        </w:rPr>
        <w:t xml:space="preserve"> </w:t>
      </w:r>
      <w:hyperlink r:id="rId213" w:history="1">
        <w:r w:rsidRPr="005B4339">
          <w:rPr>
            <w:noProof/>
            <w:color w:val="0000FF" w:themeColor="hyperlink"/>
            <w:u w:val="single"/>
            <w:lang w:val="en-IE"/>
          </w:rPr>
          <w:t>http://www.ecap.eu.com/wp-content/uploads/2019/07/Guidance-for-Textiles-Collections.pdf</w:t>
        </w:r>
      </w:hyperlink>
      <w:r w:rsidRPr="005B4339">
        <w:rPr>
          <w:noProof/>
          <w:lang w:val="en-IE"/>
        </w:rPr>
        <w:t>.</w:t>
      </w:r>
      <w:r w:rsidR="00D00FD7" w:rsidRPr="005B4339">
        <w:rPr>
          <w:noProof/>
          <w:lang w:val="en-IE"/>
        </w:rPr>
        <w:t xml:space="preserve"> </w:t>
      </w:r>
    </w:p>
    <w:p w14:paraId="4531A91A" w14:textId="4DBC6BE2" w:rsidR="00D00FD7" w:rsidRPr="005B4339" w:rsidRDefault="00D00FD7" w:rsidP="00D00FD7">
      <w:pPr>
        <w:spacing w:after="120"/>
        <w:rPr>
          <w:noProof/>
          <w:lang w:val="en-IE"/>
        </w:rPr>
      </w:pPr>
      <w:r w:rsidRPr="005B4339">
        <w:rPr>
          <w:noProof/>
          <w:lang w:val="en-IE"/>
        </w:rPr>
        <w:t xml:space="preserve">Elander, M., </w:t>
      </w:r>
      <w:r w:rsidRPr="005B4339">
        <w:rPr>
          <w:i/>
          <w:noProof/>
          <w:lang w:val="en-IE"/>
        </w:rPr>
        <w:t xml:space="preserve">Automated feeding equipment for textile waste: experiences from the FITS-project, </w:t>
      </w:r>
      <w:r w:rsidRPr="005B4339">
        <w:rPr>
          <w:noProof/>
          <w:lang w:val="en-IE"/>
        </w:rPr>
        <w:t>Mistra Future Fashion, 2019.</w:t>
      </w:r>
    </w:p>
    <w:p w14:paraId="1D3113CD" w14:textId="77777777" w:rsidR="00D00FD7" w:rsidRPr="005B4339" w:rsidRDefault="00D00FD7" w:rsidP="00D00FD7">
      <w:pPr>
        <w:spacing w:after="120"/>
        <w:rPr>
          <w:noProof/>
          <w:lang w:val="en-IE"/>
        </w:rPr>
      </w:pPr>
      <w:r w:rsidRPr="005B4339">
        <w:rPr>
          <w:rFonts w:eastAsia="Times New Roman"/>
          <w:noProof/>
          <w:color w:val="000000" w:themeColor="text1"/>
          <w:lang w:val="en-IE"/>
        </w:rPr>
        <w:t xml:space="preserve">Ellen Mac Arthur Foundation, </w:t>
      </w:r>
      <w:r w:rsidRPr="005B4339">
        <w:rPr>
          <w:rFonts w:eastAsia="Times New Roman"/>
          <w:i/>
          <w:noProof/>
          <w:color w:val="000000" w:themeColor="text1"/>
          <w:lang w:val="en-IE"/>
        </w:rPr>
        <w:t>A New Textiles Economy: Redesigning fashion’s future</w:t>
      </w:r>
      <w:r w:rsidRPr="005B4339">
        <w:rPr>
          <w:rFonts w:eastAsia="Times New Roman"/>
          <w:noProof/>
          <w:color w:val="000000" w:themeColor="text1"/>
          <w:lang w:val="en-IE"/>
        </w:rPr>
        <w:t xml:space="preserve">, 2017, </w:t>
      </w:r>
      <w:hyperlink r:id="rId214">
        <w:r w:rsidRPr="005B4339">
          <w:rPr>
            <w:rFonts w:eastAsia="Times New Roman"/>
            <w:noProof/>
            <w:color w:val="0000FF" w:themeColor="hyperlink"/>
            <w:u w:val="single"/>
            <w:lang w:val="en-IE"/>
          </w:rPr>
          <w:t>https://ellenmacarthurfoundation.org/a-new-textiles-economy.</w:t>
        </w:r>
      </w:hyperlink>
    </w:p>
    <w:p w14:paraId="7ED172A4" w14:textId="77777777" w:rsidR="00D00FD7" w:rsidRPr="005B4339" w:rsidRDefault="00D00FD7" w:rsidP="00D00FD7">
      <w:pPr>
        <w:spacing w:after="120"/>
        <w:rPr>
          <w:noProof/>
          <w:lang w:val="en-IE"/>
        </w:rPr>
      </w:pPr>
      <w:r w:rsidRPr="005B4339">
        <w:rPr>
          <w:noProof/>
          <w:lang w:val="en-IE"/>
        </w:rPr>
        <w:t xml:space="preserve">Ellen MacArthur Foundation and Boston Consulting Group, </w:t>
      </w:r>
      <w:hyperlink r:id="rId215" w:history="1">
        <w:r w:rsidRPr="005B4339">
          <w:rPr>
            <w:i/>
            <w:noProof/>
            <w:color w:val="0000FF" w:themeColor="hyperlink"/>
            <w:u w:val="single"/>
            <w:lang w:val="en-IE"/>
          </w:rPr>
          <w:t>Circular business models – Redefining growth for a thriving fashion industry</w:t>
        </w:r>
      </w:hyperlink>
      <w:r w:rsidRPr="005B4339">
        <w:rPr>
          <w:noProof/>
          <w:lang w:val="en-IE"/>
        </w:rPr>
        <w:t>, 2021.</w:t>
      </w:r>
    </w:p>
    <w:p w14:paraId="4427EF3F" w14:textId="77777777" w:rsidR="00D00FD7" w:rsidRPr="005B4339" w:rsidRDefault="00D00FD7" w:rsidP="00D00FD7">
      <w:pPr>
        <w:spacing w:after="120"/>
        <w:rPr>
          <w:noProof/>
          <w:lang w:val="en-IE"/>
        </w:rPr>
      </w:pPr>
      <w:r w:rsidRPr="005B4339">
        <w:rPr>
          <w:noProof/>
          <w:lang w:val="en-IE"/>
        </w:rPr>
        <w:t xml:space="preserve">EMF, </w:t>
      </w:r>
      <w:r w:rsidRPr="005B4339">
        <w:rPr>
          <w:i/>
          <w:noProof/>
          <w:lang w:val="en-IE"/>
        </w:rPr>
        <w:t>A New Textiles Economy: Redesigning fashion’s future</w:t>
      </w:r>
      <w:r w:rsidRPr="005B4339">
        <w:rPr>
          <w:noProof/>
          <w:lang w:val="en-IE"/>
        </w:rPr>
        <w:t xml:space="preserve">, 2017, </w:t>
      </w:r>
      <w:hyperlink r:id="rId216" w:history="1">
        <w:r w:rsidRPr="005B4339">
          <w:rPr>
            <w:noProof/>
            <w:color w:val="0000FF" w:themeColor="hyperlink"/>
            <w:u w:val="single"/>
            <w:lang w:val="en-IE"/>
          </w:rPr>
          <w:t>https://ec.europa.eu/commission/presscorner/api/files/attachment/872168/Textiles%20Factsheet.pdf.pdf</w:t>
        </w:r>
      </w:hyperlink>
      <w:r w:rsidRPr="005B4339">
        <w:rPr>
          <w:noProof/>
          <w:lang w:val="en-IE"/>
        </w:rPr>
        <w:t>.</w:t>
      </w:r>
    </w:p>
    <w:p w14:paraId="1F3DF4DE" w14:textId="5CA19326" w:rsidR="00FB3D28" w:rsidRPr="005B4339" w:rsidRDefault="00D00FD7" w:rsidP="00FB3D28">
      <w:pPr>
        <w:spacing w:after="120"/>
        <w:rPr>
          <w:noProof/>
          <w:lang w:val="en-IE"/>
        </w:rPr>
      </w:pPr>
      <w:r w:rsidRPr="005B4339">
        <w:rPr>
          <w:noProof/>
          <w:lang w:val="en-IE"/>
        </w:rPr>
        <w:t xml:space="preserve">ETP, </w:t>
      </w:r>
      <w:r w:rsidRPr="005B4339">
        <w:rPr>
          <w:i/>
          <w:noProof/>
          <w:lang w:val="en-IE"/>
        </w:rPr>
        <w:t>Towards a 4th Industrial Revolution of Textiles and Clothing,</w:t>
      </w:r>
      <w:r w:rsidRPr="005B4339">
        <w:rPr>
          <w:noProof/>
          <w:lang w:val="en-IE"/>
        </w:rPr>
        <w:t xml:space="preserve"> Brussels, 2016, 6.</w:t>
      </w:r>
    </w:p>
    <w:p w14:paraId="0A07806F" w14:textId="40817611" w:rsidR="00D00FD7" w:rsidRPr="005B4339" w:rsidRDefault="00D00FD7" w:rsidP="00D00FD7">
      <w:pPr>
        <w:spacing w:after="120"/>
        <w:rPr>
          <w:rFonts w:eastAsia="Times New Roman"/>
          <w:noProof/>
          <w:lang w:val="en-IE"/>
        </w:rPr>
      </w:pPr>
      <w:r w:rsidRPr="005B4339">
        <w:rPr>
          <w:rFonts w:eastAsia="Times New Roman"/>
          <w:noProof/>
          <w:color w:val="000000" w:themeColor="text1"/>
          <w:lang w:val="en-IE"/>
        </w:rPr>
        <w:t xml:space="preserve">EURATEX, </w:t>
      </w:r>
      <w:r w:rsidRPr="005B4339">
        <w:rPr>
          <w:rFonts w:eastAsia="Times New Roman"/>
          <w:i/>
          <w:iCs/>
          <w:noProof/>
          <w:color w:val="000000" w:themeColor="text1"/>
          <w:lang w:val="en-IE"/>
        </w:rPr>
        <w:t>ReHubs: A joint initiative for industrial upcycling of textile waste streams &amp; circular materials,</w:t>
      </w:r>
      <w:r w:rsidR="00712630" w:rsidRPr="005B4339">
        <w:rPr>
          <w:rFonts w:eastAsia="Times New Roman"/>
          <w:i/>
          <w:iCs/>
          <w:noProof/>
          <w:color w:val="000000" w:themeColor="text1"/>
          <w:lang w:val="en-IE"/>
        </w:rPr>
        <w:t xml:space="preserve"> </w:t>
      </w:r>
      <w:r w:rsidR="00712630" w:rsidRPr="005B4339">
        <w:rPr>
          <w:rFonts w:eastAsia="Times New Roman"/>
          <w:noProof/>
          <w:color w:val="000000" w:themeColor="text1"/>
          <w:lang w:val="en-IE"/>
        </w:rPr>
        <w:t>2020.</w:t>
      </w:r>
      <w:r w:rsidRPr="005B4339">
        <w:rPr>
          <w:rFonts w:eastAsia="Times New Roman"/>
          <w:i/>
          <w:iCs/>
          <w:noProof/>
          <w:color w:val="000000" w:themeColor="text1"/>
          <w:lang w:val="en-IE"/>
        </w:rPr>
        <w:t xml:space="preserve"> </w:t>
      </w:r>
      <w:hyperlink r:id="rId217">
        <w:r w:rsidRPr="005B4339">
          <w:rPr>
            <w:rFonts w:eastAsia="Times New Roman"/>
            <w:noProof/>
            <w:color w:val="0000FF" w:themeColor="hyperlink"/>
            <w:u w:val="single"/>
            <w:lang w:val="en-IE"/>
          </w:rPr>
          <w:t>ReHubs - EURATEX.</w:t>
        </w:r>
      </w:hyperlink>
    </w:p>
    <w:p w14:paraId="50AC5D7F" w14:textId="11FA1A08" w:rsidR="000B1E6D" w:rsidRPr="005B4339" w:rsidRDefault="000B1E6D" w:rsidP="00FB3D28">
      <w:pPr>
        <w:spacing w:after="120"/>
        <w:rPr>
          <w:noProof/>
          <w:lang w:val="en-IE"/>
        </w:rPr>
      </w:pPr>
      <w:r w:rsidRPr="005B4339">
        <w:rPr>
          <w:noProof/>
          <w:lang w:val="en-IE"/>
        </w:rPr>
        <w:t>European Commission, Climate Action, 2030 Climate Target Plan, https://climate.ec.europa.eu/eu-action/european-green-deal/2030-climate-target-plan_en.</w:t>
      </w:r>
    </w:p>
    <w:p w14:paraId="26E7A651" w14:textId="2C4AE7D3" w:rsidR="00FB3D28" w:rsidRPr="005B4339" w:rsidRDefault="00FB3D28" w:rsidP="00FB3D28">
      <w:pPr>
        <w:spacing w:after="120"/>
        <w:rPr>
          <w:noProof/>
          <w:lang w:val="en-IE"/>
        </w:rPr>
      </w:pPr>
      <w:r w:rsidRPr="005B4339">
        <w:rPr>
          <w:noProof/>
          <w:lang w:val="en-IE"/>
        </w:rPr>
        <w:t xml:space="preserve">European Commission, Directorate-General for Environment, Stahl, H., Merz, C., </w:t>
      </w:r>
      <w:r w:rsidRPr="005B4339">
        <w:rPr>
          <w:i/>
          <w:noProof/>
          <w:lang w:val="en-IE"/>
        </w:rPr>
        <w:t xml:space="preserve">Study to support the Commission in gathering structured information and defining of reporting obligations on waste </w:t>
      </w:r>
      <w:r w:rsidR="00634DBD" w:rsidRPr="005B4339">
        <w:rPr>
          <w:i/>
          <w:noProof/>
          <w:lang w:val="en-IE"/>
        </w:rPr>
        <w:t>oils and other hazardous waste</w:t>
      </w:r>
      <w:r w:rsidRPr="005B4339">
        <w:rPr>
          <w:i/>
          <w:noProof/>
          <w:lang w:val="en-IE"/>
        </w:rPr>
        <w:t>: final report,</w:t>
      </w:r>
      <w:r w:rsidRPr="005B4339">
        <w:rPr>
          <w:noProof/>
          <w:lang w:val="en-IE"/>
        </w:rPr>
        <w:t xml:space="preserve"> Publications Office, 2020, </w:t>
      </w:r>
      <w:hyperlink r:id="rId218" w:history="1">
        <w:r w:rsidRPr="005B4339">
          <w:rPr>
            <w:noProof/>
            <w:color w:val="0000FF" w:themeColor="hyperlink"/>
            <w:u w:val="single"/>
            <w:lang w:val="en-IE"/>
          </w:rPr>
          <w:t>https://data.europa.eu/doi/10.2779/14834</w:t>
        </w:r>
      </w:hyperlink>
      <w:r w:rsidRPr="005B4339">
        <w:rPr>
          <w:noProof/>
          <w:lang w:val="en-IE"/>
        </w:rPr>
        <w:t xml:space="preserve"> </w:t>
      </w:r>
    </w:p>
    <w:p w14:paraId="1FE437B6" w14:textId="092852A2" w:rsidR="00FB3D28" w:rsidRPr="005B4339" w:rsidRDefault="00FB3D28" w:rsidP="00FB3D28">
      <w:pPr>
        <w:spacing w:after="120"/>
        <w:rPr>
          <w:noProof/>
          <w:lang w:val="en-IE"/>
        </w:rPr>
      </w:pPr>
      <w:r w:rsidRPr="005B4339">
        <w:rPr>
          <w:noProof/>
          <w:lang w:val="en-IE"/>
        </w:rPr>
        <w:t>European Commission, Director</w:t>
      </w:r>
      <w:r w:rsidR="00634DBD" w:rsidRPr="005B4339">
        <w:rPr>
          <w:noProof/>
          <w:lang w:val="en-IE"/>
        </w:rPr>
        <w:t>ate-General for Internal Market, Industry,</w:t>
      </w:r>
      <w:r w:rsidRPr="005B4339">
        <w:rPr>
          <w:noProof/>
          <w:lang w:val="en-IE"/>
        </w:rPr>
        <w:t xml:space="preserve"> Entrepreneur</w:t>
      </w:r>
      <w:r w:rsidR="00634DBD" w:rsidRPr="005B4339">
        <w:rPr>
          <w:noProof/>
          <w:lang w:val="en-IE"/>
        </w:rPr>
        <w:t>ship and SMEs, Duhoux, T., Maes, E., Hirschnitz-Garbers, M., et al.,</w:t>
      </w:r>
      <w:r w:rsidRPr="005B4339">
        <w:rPr>
          <w:noProof/>
          <w:lang w:val="en-IE"/>
        </w:rPr>
        <w:t xml:space="preserve"> </w:t>
      </w:r>
      <w:r w:rsidRPr="005B4339">
        <w:rPr>
          <w:i/>
          <w:noProof/>
          <w:lang w:val="en-IE"/>
        </w:rPr>
        <w:t>Study on the technical, regulatory, economic and environmental effectiven</w:t>
      </w:r>
      <w:r w:rsidR="00634DBD" w:rsidRPr="005B4339">
        <w:rPr>
          <w:i/>
          <w:noProof/>
          <w:lang w:val="en-IE"/>
        </w:rPr>
        <w:t>ess of textile fibres recycling</w:t>
      </w:r>
      <w:r w:rsidRPr="005B4339">
        <w:rPr>
          <w:i/>
          <w:noProof/>
          <w:lang w:val="en-IE"/>
        </w:rPr>
        <w:t>: final report</w:t>
      </w:r>
      <w:r w:rsidR="00634DBD" w:rsidRPr="005B4339">
        <w:rPr>
          <w:noProof/>
          <w:lang w:val="en-IE"/>
        </w:rPr>
        <w:t xml:space="preserve">  Publications Office, 2021,</w:t>
      </w:r>
      <w:r w:rsidRPr="005B4339">
        <w:rPr>
          <w:noProof/>
          <w:lang w:val="en-IE"/>
        </w:rPr>
        <w:t xml:space="preserve"> </w:t>
      </w:r>
      <w:hyperlink r:id="rId219" w:history="1">
        <w:r w:rsidRPr="005B4339">
          <w:rPr>
            <w:noProof/>
            <w:color w:val="0000FF" w:themeColor="hyperlink"/>
            <w:u w:val="single"/>
            <w:lang w:val="en-IE"/>
          </w:rPr>
          <w:t>https://op.europa.eu/en/publication-detail/-/publication/739a1cca-6145-11ec-9c6c-01aa75ed71a1</w:t>
        </w:r>
      </w:hyperlink>
      <w:r w:rsidR="00634DBD" w:rsidRPr="005B4339">
        <w:rPr>
          <w:noProof/>
          <w:color w:val="0000FF" w:themeColor="hyperlink"/>
          <w:u w:val="single"/>
          <w:lang w:val="en-IE"/>
        </w:rPr>
        <w:t>.</w:t>
      </w:r>
    </w:p>
    <w:p w14:paraId="513FC668" w14:textId="77777777" w:rsidR="00D00FD7" w:rsidRPr="005B4339" w:rsidRDefault="00634DBD" w:rsidP="00D00FD7">
      <w:pPr>
        <w:spacing w:after="120"/>
        <w:rPr>
          <w:rFonts w:eastAsiaTheme="minorEastAsia"/>
          <w:noProof/>
          <w:lang w:val="en-IE"/>
        </w:rPr>
      </w:pPr>
      <w:r w:rsidRPr="005B4339">
        <w:rPr>
          <w:noProof/>
          <w:lang w:val="en-IE"/>
        </w:rPr>
        <w:t xml:space="preserve">European Commission, Industry, European industrial strategy, Ecosystems, </w:t>
      </w:r>
      <w:r w:rsidRPr="005B4339">
        <w:rPr>
          <w:i/>
          <w:noProof/>
          <w:lang w:val="en-IE"/>
        </w:rPr>
        <w:t>Internal Market, Industry, Entrepreneurship and SMEs</w:t>
      </w:r>
      <w:r w:rsidRPr="005B4339">
        <w:rPr>
          <w:noProof/>
          <w:lang w:val="en-IE"/>
        </w:rPr>
        <w:t>,</w:t>
      </w:r>
      <w:r w:rsidRPr="005B4339">
        <w:rPr>
          <w:i/>
          <w:noProof/>
          <w:color w:val="0000FF" w:themeColor="hyperlink"/>
          <w:lang w:val="en-IE"/>
        </w:rPr>
        <w:t xml:space="preserve"> </w:t>
      </w:r>
      <w:r w:rsidRPr="005B4339">
        <w:rPr>
          <w:noProof/>
          <w:color w:val="0000FF" w:themeColor="hyperlink"/>
          <w:u w:val="single"/>
          <w:lang w:val="en-IE"/>
        </w:rPr>
        <w:t>https://single-market-economy.ec.europa.eu/industry/strategy/ecosystems_en</w:t>
      </w:r>
      <w:r w:rsidR="00D00FD7" w:rsidRPr="005B4339">
        <w:rPr>
          <w:rFonts w:eastAsiaTheme="minorEastAsia"/>
          <w:noProof/>
          <w:lang w:val="en-IE"/>
        </w:rPr>
        <w:t xml:space="preserve"> </w:t>
      </w:r>
    </w:p>
    <w:p w14:paraId="6C89DF59" w14:textId="4FC8465A" w:rsidR="00D00FD7" w:rsidRPr="005B4339" w:rsidRDefault="00D00FD7" w:rsidP="00D00FD7">
      <w:pPr>
        <w:spacing w:after="120"/>
        <w:rPr>
          <w:rFonts w:eastAsiaTheme="minorEastAsia"/>
          <w:noProof/>
          <w:lang w:val="en-IE"/>
        </w:rPr>
      </w:pPr>
      <w:r w:rsidRPr="005B4339">
        <w:rPr>
          <w:rFonts w:eastAsiaTheme="minorEastAsia"/>
          <w:noProof/>
          <w:lang w:val="en-IE"/>
        </w:rPr>
        <w:t xml:space="preserve">European Commission, </w:t>
      </w:r>
      <w:r w:rsidRPr="005B4339">
        <w:rPr>
          <w:rFonts w:eastAsiaTheme="minorEastAsia"/>
          <w:i/>
          <w:noProof/>
          <w:lang w:val="en-IE"/>
        </w:rPr>
        <w:t>Best Environmental Management Practice for the Waste Management Sector, J</w:t>
      </w:r>
      <w:r w:rsidRPr="005B4339">
        <w:rPr>
          <w:rFonts w:eastAsiaTheme="minorEastAsia"/>
          <w:noProof/>
          <w:lang w:val="en-IE"/>
        </w:rPr>
        <w:t xml:space="preserve">RC Publications Repository, 2018, </w:t>
      </w:r>
      <w:hyperlink r:id="rId220" w:history="1">
        <w:r w:rsidRPr="005B4339">
          <w:rPr>
            <w:rFonts w:eastAsiaTheme="minorEastAsia"/>
            <w:noProof/>
            <w:color w:val="0000FF" w:themeColor="hyperlink"/>
            <w:u w:val="single"/>
            <w:lang w:val="en-IE"/>
          </w:rPr>
          <w:t>https://publications.jrc.ec.europa.eu/repository/handle/JRC111059</w:t>
        </w:r>
      </w:hyperlink>
      <w:r w:rsidRPr="005B4339">
        <w:rPr>
          <w:rFonts w:eastAsiaTheme="minorEastAsia"/>
          <w:noProof/>
          <w:lang w:val="en-IE"/>
        </w:rPr>
        <w:t>.</w:t>
      </w:r>
    </w:p>
    <w:p w14:paraId="004A557E" w14:textId="77777777" w:rsidR="00D00FD7" w:rsidRPr="005B4339" w:rsidRDefault="00D00FD7" w:rsidP="00D00FD7">
      <w:pPr>
        <w:spacing w:after="120"/>
        <w:rPr>
          <w:noProof/>
          <w:color w:val="0000FF" w:themeColor="hyperlink"/>
          <w:u w:val="single"/>
          <w:lang w:val="en-IE"/>
        </w:rPr>
      </w:pPr>
      <w:r w:rsidRPr="005B4339">
        <w:rPr>
          <w:noProof/>
          <w:lang w:val="en-IE"/>
        </w:rPr>
        <w:t xml:space="preserve">European Commission, </w:t>
      </w:r>
      <w:r w:rsidRPr="005B4339">
        <w:rPr>
          <w:i/>
          <w:noProof/>
          <w:lang w:val="en-IE"/>
        </w:rPr>
        <w:t xml:space="preserve">Circular Economy Perspectives in the EU Textile sector, </w:t>
      </w:r>
      <w:r w:rsidRPr="005B4339">
        <w:rPr>
          <w:noProof/>
          <w:lang w:val="en-IE"/>
        </w:rPr>
        <w:t xml:space="preserve">JRC Publications Repository, 2021, </w:t>
      </w:r>
      <w:hyperlink r:id="rId221">
        <w:r w:rsidRPr="005B4339">
          <w:rPr>
            <w:noProof/>
            <w:color w:val="0000FF" w:themeColor="hyperlink"/>
            <w:u w:val="single"/>
            <w:lang w:val="en-IE"/>
          </w:rPr>
          <w:t>https://publications.jrc.ec.europa.eu/repository/handle/JRC125110.</w:t>
        </w:r>
      </w:hyperlink>
    </w:p>
    <w:p w14:paraId="3EBE7580" w14:textId="77777777" w:rsidR="00D00FD7" w:rsidRPr="005B4339" w:rsidRDefault="00D00FD7" w:rsidP="00D00FD7">
      <w:pPr>
        <w:spacing w:after="120"/>
        <w:rPr>
          <w:noProof/>
          <w:color w:val="0000FF" w:themeColor="hyperlink"/>
          <w:u w:val="single"/>
          <w:lang w:val="en-IE"/>
        </w:rPr>
      </w:pPr>
      <w:r w:rsidRPr="005B4339">
        <w:rPr>
          <w:noProof/>
          <w:lang w:val="en-IE"/>
        </w:rPr>
        <w:t xml:space="preserve">European Commission, </w:t>
      </w:r>
      <w:hyperlink r:id="rId222" w:history="1">
        <w:r w:rsidRPr="005B4339">
          <w:rPr>
            <w:i/>
            <w:noProof/>
            <w:color w:val="0000FF" w:themeColor="hyperlink"/>
            <w:u w:val="single"/>
            <w:lang w:val="en-IE"/>
          </w:rPr>
          <w:t>EU green public procurement criteria for textiles products and services</w:t>
        </w:r>
      </w:hyperlink>
      <w:r w:rsidRPr="005B4339">
        <w:rPr>
          <w:i/>
          <w:noProof/>
          <w:color w:val="0000FF" w:themeColor="hyperlink"/>
          <w:u w:val="single"/>
          <w:lang w:val="en-IE"/>
        </w:rPr>
        <w:t>,</w:t>
      </w:r>
      <w:r w:rsidRPr="005B4339">
        <w:rPr>
          <w:noProof/>
          <w:lang w:val="en-IE"/>
        </w:rPr>
        <w:t xml:space="preserve"> SWD (2017) 231 final, 2017.</w:t>
      </w:r>
    </w:p>
    <w:p w14:paraId="2BAE8838" w14:textId="77777777" w:rsidR="00D00FD7" w:rsidRPr="005B4339" w:rsidRDefault="00D00FD7" w:rsidP="00D00FD7">
      <w:pPr>
        <w:spacing w:after="120"/>
        <w:rPr>
          <w:rFonts w:eastAsiaTheme="minorEastAsia"/>
          <w:noProof/>
          <w:lang w:val="en-IE"/>
        </w:rPr>
      </w:pPr>
      <w:r w:rsidRPr="005B4339">
        <w:rPr>
          <w:rFonts w:eastAsiaTheme="minorEastAsia"/>
          <w:noProof/>
          <w:lang w:val="en-IE"/>
        </w:rPr>
        <w:t xml:space="preserve">European Commission, Directorate-General for Environment, Dubois, M., Sims, E., Moerman, T., et al.  </w:t>
      </w:r>
      <w:r w:rsidRPr="005B4339">
        <w:rPr>
          <w:rFonts w:eastAsiaTheme="minorEastAsia"/>
          <w:i/>
          <w:noProof/>
          <w:lang w:val="en-IE"/>
        </w:rPr>
        <w:t>Guidance for separate collection of municipal waste</w:t>
      </w:r>
      <w:r w:rsidRPr="005B4339">
        <w:rPr>
          <w:rFonts w:eastAsiaTheme="minorEastAsia"/>
          <w:noProof/>
          <w:lang w:val="en-IE"/>
        </w:rPr>
        <w:t>, Publications Office, 2020.</w:t>
      </w:r>
    </w:p>
    <w:p w14:paraId="61AC909A" w14:textId="77777777" w:rsidR="00D00FD7" w:rsidRPr="005B4339" w:rsidRDefault="00D00FD7" w:rsidP="00D00FD7">
      <w:pPr>
        <w:spacing w:after="120"/>
        <w:rPr>
          <w:rFonts w:eastAsiaTheme="minorEastAsia"/>
          <w:noProof/>
          <w:lang w:val="en-IE"/>
        </w:rPr>
      </w:pPr>
      <w:r w:rsidRPr="005B4339">
        <w:rPr>
          <w:rFonts w:eastAsiaTheme="minorEastAsia"/>
          <w:noProof/>
          <w:lang w:val="en-IE"/>
        </w:rPr>
        <w:t xml:space="preserve">European Commission, Directorate-General for Environment, Weißenbacher, J., Dollhofer, M., Herczeg, M., et al., </w:t>
      </w:r>
      <w:r w:rsidRPr="005B4339">
        <w:rPr>
          <w:rFonts w:eastAsiaTheme="minorEastAsia"/>
          <w:i/>
          <w:noProof/>
          <w:lang w:val="en-IE"/>
        </w:rPr>
        <w:t>Assessment of separate collection schemes in the 28 capitals of the EU: final report</w:t>
      </w:r>
      <w:r w:rsidRPr="005B4339">
        <w:rPr>
          <w:rFonts w:eastAsiaTheme="minorEastAsia"/>
          <w:noProof/>
          <w:lang w:val="en-IE"/>
        </w:rPr>
        <w:t>.</w:t>
      </w:r>
    </w:p>
    <w:p w14:paraId="34344FFE" w14:textId="77777777" w:rsidR="00D00FD7" w:rsidRPr="005B4339" w:rsidRDefault="00D00FD7" w:rsidP="00D00FD7">
      <w:pPr>
        <w:spacing w:after="120"/>
        <w:rPr>
          <w:rFonts w:eastAsiaTheme="minorEastAsia"/>
          <w:noProof/>
          <w:lang w:val="en-IE"/>
        </w:rPr>
      </w:pPr>
      <w:r w:rsidRPr="005B4339">
        <w:rPr>
          <w:rFonts w:eastAsiaTheme="minorEastAsia"/>
          <w:noProof/>
          <w:lang w:val="en-IE"/>
        </w:rPr>
        <w:t xml:space="preserve">European Commission, Directorate-General for Environment, Karigl, B., Neubauer, C., Kral, U., et al., </w:t>
      </w:r>
      <w:r w:rsidRPr="005B4339">
        <w:rPr>
          <w:rFonts w:eastAsiaTheme="minorEastAsia"/>
          <w:i/>
          <w:noProof/>
          <w:lang w:val="en-IE"/>
        </w:rPr>
        <w:t>Scoping study to assess the feasibility of further EU measures on waste prevention: final report</w:t>
      </w:r>
      <w:r w:rsidRPr="005B4339">
        <w:rPr>
          <w:rFonts w:eastAsiaTheme="minorEastAsia"/>
          <w:noProof/>
          <w:lang w:val="en-IE"/>
        </w:rPr>
        <w:t>, Publications Office of the European Union, 2022, https://data.europa.eu/doi/10.2779/21588</w:t>
      </w:r>
    </w:p>
    <w:p w14:paraId="04628DB5" w14:textId="77777777" w:rsidR="00D00FD7" w:rsidRPr="005B4339" w:rsidRDefault="00D00FD7" w:rsidP="00D00FD7">
      <w:pPr>
        <w:spacing w:after="120"/>
        <w:rPr>
          <w:rFonts w:eastAsia="Times New Roman"/>
          <w:noProof/>
          <w:color w:val="000000" w:themeColor="text1"/>
          <w:lang w:val="en-IE"/>
        </w:rPr>
      </w:pPr>
      <w:r w:rsidRPr="005B4339">
        <w:rPr>
          <w:noProof/>
          <w:lang w:val="en-IE"/>
        </w:rPr>
        <w:t xml:space="preserve">European Commission, Directorate-General for Research and Innovation, </w:t>
      </w:r>
      <w:r w:rsidRPr="005B4339">
        <w:rPr>
          <w:i/>
          <w:noProof/>
          <w:lang w:val="en-IE"/>
        </w:rPr>
        <w:t>A sustainable bioeconomy for Europe: strengthening the connection between economy, society and the environment: updated bioeconomy strategy,</w:t>
      </w:r>
      <w:r w:rsidRPr="005B4339">
        <w:rPr>
          <w:noProof/>
          <w:lang w:val="en-IE"/>
        </w:rPr>
        <w:t xml:space="preserve"> Publications Office, 2018, </w:t>
      </w:r>
      <w:hyperlink r:id="rId223">
        <w:r w:rsidRPr="005B4339">
          <w:rPr>
            <w:rFonts w:eastAsia="Times New Roman"/>
            <w:noProof/>
            <w:color w:val="0000FF" w:themeColor="hyperlink"/>
            <w:u w:val="single"/>
            <w:lang w:val="en-IE"/>
          </w:rPr>
          <w:t>A sustainable bioeconomy for Europe - Publications Office of the EU (europa.eu).</w:t>
        </w:r>
      </w:hyperlink>
      <w:r w:rsidRPr="005B4339">
        <w:rPr>
          <w:rFonts w:eastAsia="Times New Roman"/>
          <w:noProof/>
          <w:color w:val="000000" w:themeColor="text1"/>
          <w:lang w:val="en-IE"/>
        </w:rPr>
        <w:t xml:space="preserve"> </w:t>
      </w:r>
    </w:p>
    <w:p w14:paraId="1BAB14A9" w14:textId="4C3ABC9C" w:rsidR="00D00FD7" w:rsidRPr="005B4339" w:rsidRDefault="00D00FD7" w:rsidP="00D00FD7">
      <w:pPr>
        <w:spacing w:after="120"/>
        <w:rPr>
          <w:rFonts w:eastAsia="Times New Roman"/>
          <w:noProof/>
          <w:lang w:val="en-IE"/>
        </w:rPr>
      </w:pPr>
      <w:r w:rsidRPr="005B4339">
        <w:rPr>
          <w:rFonts w:eastAsia="Times New Roman"/>
          <w:noProof/>
          <w:color w:val="000000" w:themeColor="text1"/>
          <w:lang w:val="en-IE"/>
        </w:rPr>
        <w:t xml:space="preserve">European Commission, Directorate-General for Internal Market, Industry, Entrepreneurship and SMEs, </w:t>
      </w:r>
      <w:r w:rsidRPr="005B4339">
        <w:rPr>
          <w:rFonts w:eastAsia="Times New Roman"/>
          <w:i/>
          <w:noProof/>
          <w:color w:val="000000" w:themeColor="text1"/>
          <w:lang w:val="en-IE"/>
        </w:rPr>
        <w:t>Data on the EU textile ecosystem and its competitiveness:</w:t>
      </w:r>
      <w:r w:rsidRPr="005B4339">
        <w:rPr>
          <w:rFonts w:eastAsia="Times New Roman"/>
          <w:noProof/>
          <w:color w:val="000000" w:themeColor="text1"/>
          <w:lang w:val="en-IE"/>
        </w:rPr>
        <w:t xml:space="preserve"> </w:t>
      </w:r>
      <w:r w:rsidRPr="005B4339">
        <w:rPr>
          <w:rFonts w:eastAsia="Times New Roman"/>
          <w:i/>
          <w:noProof/>
          <w:color w:val="000000" w:themeColor="text1"/>
          <w:lang w:val="en-IE"/>
        </w:rPr>
        <w:t>final report</w:t>
      </w:r>
      <w:r w:rsidRPr="005B4339">
        <w:rPr>
          <w:rFonts w:eastAsia="Times New Roman"/>
          <w:noProof/>
          <w:color w:val="000000" w:themeColor="text1"/>
          <w:lang w:val="en-IE"/>
        </w:rPr>
        <w:t xml:space="preserve">, Publications Office of the European Union, 2021, </w:t>
      </w:r>
      <w:hyperlink r:id="rId224">
        <w:r w:rsidRPr="005B4339">
          <w:rPr>
            <w:rFonts w:eastAsia="Times New Roman"/>
            <w:noProof/>
            <w:color w:val="0000FF" w:themeColor="hyperlink"/>
            <w:u w:val="single"/>
            <w:lang w:val="en-IE"/>
          </w:rPr>
          <w:t>https://data.europa.eu/doi/10.2873/23948.</w:t>
        </w:r>
      </w:hyperlink>
    </w:p>
    <w:p w14:paraId="0D4451C4" w14:textId="77777777" w:rsidR="00D00FD7" w:rsidRPr="005B4339" w:rsidRDefault="00D00FD7" w:rsidP="00D00FD7">
      <w:pPr>
        <w:spacing w:after="120"/>
        <w:rPr>
          <w:rFonts w:eastAsia="Times New Roman"/>
          <w:noProof/>
          <w:color w:val="0000FF" w:themeColor="hyperlink"/>
          <w:u w:val="single"/>
          <w:lang w:val="en-IE"/>
        </w:rPr>
      </w:pPr>
      <w:r w:rsidRPr="005B4339">
        <w:rPr>
          <w:rFonts w:eastAsia="Times New Roman"/>
          <w:noProof/>
          <w:lang w:val="en-IE"/>
        </w:rPr>
        <w:t xml:space="preserve">European Commission, Joint Research Centre, Donatello, S., Danneck, J., Löw, C., et al.  </w:t>
      </w:r>
      <w:r w:rsidRPr="005B4339">
        <w:rPr>
          <w:rFonts w:eastAsia="Times New Roman"/>
          <w:i/>
          <w:noProof/>
          <w:lang w:val="en-IE"/>
        </w:rPr>
        <w:t>Circular economy perspectives in the EU textile sector: final report</w:t>
      </w:r>
      <w:r w:rsidRPr="005B4339">
        <w:rPr>
          <w:rFonts w:eastAsia="Times New Roman"/>
          <w:noProof/>
          <w:lang w:val="en-IE"/>
        </w:rPr>
        <w:t>, Publications Office, 2021,</w:t>
      </w:r>
      <w:r w:rsidRPr="005B4339">
        <w:rPr>
          <w:rFonts w:eastAsia="Times New Roman"/>
          <w:noProof/>
          <w:color w:val="000000" w:themeColor="text1"/>
          <w:lang w:val="en-IE"/>
        </w:rPr>
        <w:t xml:space="preserve"> </w:t>
      </w:r>
      <w:hyperlink r:id="rId225">
        <w:r w:rsidRPr="005B4339">
          <w:rPr>
            <w:rFonts w:eastAsia="Times New Roman"/>
            <w:noProof/>
            <w:color w:val="0000FF" w:themeColor="hyperlink"/>
            <w:u w:val="single"/>
            <w:lang w:val="en-IE"/>
          </w:rPr>
          <w:t>https://data.europa.eu/doi/10.2760/858144.</w:t>
        </w:r>
      </w:hyperlink>
    </w:p>
    <w:p w14:paraId="478687F5" w14:textId="77777777" w:rsidR="00D00FD7" w:rsidRPr="005B4339" w:rsidRDefault="00D00FD7" w:rsidP="00D00FD7">
      <w:pPr>
        <w:spacing w:after="120"/>
        <w:rPr>
          <w:rFonts w:eastAsia="Times New Roman"/>
          <w:noProof/>
          <w:color w:val="000000" w:themeColor="text1"/>
          <w:lang w:val="en-IE"/>
        </w:rPr>
      </w:pPr>
      <w:r w:rsidRPr="005B4339">
        <w:rPr>
          <w:noProof/>
          <w:lang w:val="en-IE"/>
        </w:rPr>
        <w:t xml:space="preserve">European Commission, JRC Publications Repository, </w:t>
      </w:r>
      <w:r w:rsidRPr="005B4339">
        <w:rPr>
          <w:i/>
          <w:noProof/>
          <w:lang w:val="en-IE"/>
        </w:rPr>
        <w:t>Best Environmental Management Practice for the Waste Management Sector,</w:t>
      </w:r>
      <w:r w:rsidRPr="005B4339">
        <w:rPr>
          <w:noProof/>
          <w:lang w:val="en-IE"/>
        </w:rPr>
        <w:t xml:space="preserve"> 2018, </w:t>
      </w:r>
      <w:hyperlink r:id="rId226" w:history="1">
        <w:r w:rsidRPr="005B4339">
          <w:rPr>
            <w:noProof/>
            <w:color w:val="0000FF" w:themeColor="hyperlink"/>
            <w:u w:val="single"/>
            <w:lang w:val="en-IE"/>
          </w:rPr>
          <w:t>https://publications.jrc.ec.europa.eu/repository/handle/JRC111059</w:t>
        </w:r>
      </w:hyperlink>
      <w:r w:rsidRPr="005B4339">
        <w:rPr>
          <w:noProof/>
          <w:lang w:val="en-IE"/>
        </w:rPr>
        <w:t>.</w:t>
      </w:r>
      <w:r w:rsidRPr="005B4339">
        <w:rPr>
          <w:rFonts w:eastAsia="Times New Roman"/>
          <w:noProof/>
          <w:color w:val="000000" w:themeColor="text1"/>
          <w:lang w:val="en-IE"/>
        </w:rPr>
        <w:t xml:space="preserve"> </w:t>
      </w:r>
    </w:p>
    <w:p w14:paraId="4EFA9C50" w14:textId="731A0033" w:rsidR="00D00FD7" w:rsidRPr="005B4339" w:rsidRDefault="00D00FD7" w:rsidP="00D00FD7">
      <w:pPr>
        <w:spacing w:after="120"/>
        <w:rPr>
          <w:noProof/>
          <w:lang w:val="en-IE"/>
        </w:rPr>
      </w:pPr>
      <w:r w:rsidRPr="005B4339">
        <w:rPr>
          <w:rFonts w:eastAsia="Times New Roman"/>
          <w:noProof/>
          <w:color w:val="000000" w:themeColor="text1"/>
          <w:lang w:val="en-IE"/>
        </w:rPr>
        <w:t>European</w:t>
      </w:r>
      <w:r w:rsidRPr="005B4339">
        <w:rPr>
          <w:noProof/>
          <w:lang w:val="en-IE"/>
        </w:rPr>
        <w:t xml:space="preserve"> Environment Agency</w:t>
      </w:r>
      <w:r w:rsidRPr="005B4339">
        <w:rPr>
          <w:rFonts w:eastAsia="Times New Roman"/>
          <w:noProof/>
          <w:color w:val="000000" w:themeColor="text1"/>
          <w:lang w:val="en-IE"/>
        </w:rPr>
        <w:t xml:space="preserve">, </w:t>
      </w:r>
      <w:r w:rsidRPr="005B4339">
        <w:rPr>
          <w:rFonts w:eastAsia="Times New Roman"/>
          <w:i/>
          <w:iCs/>
          <w:noProof/>
          <w:color w:val="000000" w:themeColor="text1"/>
          <w:lang w:val="en-IE"/>
        </w:rPr>
        <w:t xml:space="preserve">Progress towards preventing waste in Europe - the case of textile waste prevention, </w:t>
      </w:r>
      <w:r w:rsidRPr="005B4339">
        <w:rPr>
          <w:rFonts w:eastAsia="Times New Roman"/>
          <w:noProof/>
          <w:color w:val="000000" w:themeColor="text1"/>
          <w:lang w:val="en-IE"/>
        </w:rPr>
        <w:t xml:space="preserve">EEA report No.15, 2021, </w:t>
      </w:r>
      <w:hyperlink r:id="rId227">
        <w:r w:rsidRPr="005B4339">
          <w:rPr>
            <w:rFonts w:eastAsia="Times New Roman"/>
            <w:noProof/>
            <w:color w:val="0000FF" w:themeColor="hyperlink"/>
            <w:u w:val="single"/>
            <w:lang w:val="en-IE"/>
          </w:rPr>
          <w:t>https://www.eea.europa.eu/publications/progressing-towards-waste-prevention-in/at_download/file.</w:t>
        </w:r>
      </w:hyperlink>
    </w:p>
    <w:p w14:paraId="7F4B8033" w14:textId="77777777" w:rsidR="00D00FD7" w:rsidRPr="005B4339" w:rsidRDefault="00D00FD7" w:rsidP="00D00FD7">
      <w:pPr>
        <w:spacing w:after="120"/>
        <w:rPr>
          <w:rFonts w:eastAsia="Times New Roman"/>
          <w:noProof/>
          <w:lang w:val="en-IE"/>
        </w:rPr>
      </w:pPr>
      <w:r w:rsidRPr="005B4339">
        <w:rPr>
          <w:rFonts w:eastAsia="Times New Roman"/>
          <w:noProof/>
          <w:color w:val="000000" w:themeColor="text1"/>
          <w:lang w:val="en-IE"/>
        </w:rPr>
        <w:t>E</w:t>
      </w:r>
      <w:r w:rsidRPr="005B4339">
        <w:rPr>
          <w:noProof/>
          <w:lang w:val="en-IE"/>
        </w:rPr>
        <w:t>uropean Environment Agency</w:t>
      </w:r>
      <w:r w:rsidRPr="005B4339">
        <w:rPr>
          <w:rFonts w:eastAsia="Times New Roman"/>
          <w:noProof/>
          <w:color w:val="000000" w:themeColor="text1"/>
          <w:lang w:val="en-IE"/>
        </w:rPr>
        <w:t xml:space="preserve">, </w:t>
      </w:r>
      <w:r w:rsidRPr="005B4339">
        <w:rPr>
          <w:rFonts w:eastAsia="Times New Roman"/>
          <w:i/>
          <w:noProof/>
          <w:color w:val="000000" w:themeColor="text1"/>
          <w:lang w:val="en-IE"/>
        </w:rPr>
        <w:t>Textiles and the Environment – The role of design in Europe’s circular economy,</w:t>
      </w:r>
      <w:r w:rsidRPr="005B4339">
        <w:rPr>
          <w:rFonts w:eastAsia="Times New Roman"/>
          <w:noProof/>
          <w:color w:val="000000" w:themeColor="text1"/>
          <w:lang w:val="en-IE"/>
        </w:rPr>
        <w:t xml:space="preserve"> </w:t>
      </w:r>
      <w:hyperlink r:id="rId228">
        <w:r w:rsidRPr="005B4339">
          <w:rPr>
            <w:rFonts w:eastAsia="Times New Roman"/>
            <w:noProof/>
            <w:color w:val="0000FF" w:themeColor="hyperlink"/>
            <w:u w:val="single"/>
            <w:lang w:val="en-IE"/>
          </w:rPr>
          <w:t>Textiles and the environment: the role of design in Europe’s circular economy — European Environment Agency (europa.eu)</w:t>
        </w:r>
      </w:hyperlink>
      <w:r w:rsidRPr="005B4339">
        <w:rPr>
          <w:rFonts w:eastAsia="Times New Roman"/>
          <w:noProof/>
          <w:color w:val="000000" w:themeColor="text1"/>
          <w:lang w:val="en-IE"/>
        </w:rPr>
        <w:t>, 2022.</w:t>
      </w:r>
    </w:p>
    <w:p w14:paraId="0E822E40" w14:textId="77777777" w:rsidR="00D00FD7" w:rsidRPr="005B4339" w:rsidRDefault="00D00FD7" w:rsidP="00D00FD7">
      <w:pPr>
        <w:spacing w:after="120"/>
        <w:rPr>
          <w:rFonts w:eastAsiaTheme="minorEastAsia"/>
          <w:noProof/>
          <w:color w:val="0000FF" w:themeColor="hyperlink"/>
          <w:u w:val="single"/>
          <w:lang w:val="en-IE"/>
        </w:rPr>
      </w:pPr>
      <w:r w:rsidRPr="005B4339">
        <w:rPr>
          <w:rFonts w:eastAsiaTheme="minorEastAsia"/>
          <w:noProof/>
          <w:lang w:val="en-IE"/>
        </w:rPr>
        <w:t xml:space="preserve">European Environment Agency, </w:t>
      </w:r>
      <w:r w:rsidRPr="005B4339">
        <w:rPr>
          <w:rFonts w:eastAsiaTheme="minorEastAsia"/>
          <w:i/>
          <w:noProof/>
          <w:lang w:val="en-IE"/>
        </w:rPr>
        <w:t xml:space="preserve">Textiles in Europe‘s circular economy, </w:t>
      </w:r>
      <w:r w:rsidRPr="005B4339">
        <w:rPr>
          <w:rFonts w:eastAsiaTheme="minorEastAsia"/>
          <w:noProof/>
          <w:lang w:val="en-IE"/>
        </w:rPr>
        <w:t xml:space="preserve">2019, </w:t>
      </w:r>
      <w:hyperlink r:id="rId229">
        <w:r w:rsidRPr="005B4339">
          <w:rPr>
            <w:rFonts w:eastAsiaTheme="minorEastAsia"/>
            <w:noProof/>
            <w:color w:val="0000FF" w:themeColor="hyperlink"/>
            <w:u w:val="single"/>
            <w:lang w:val="en-IE"/>
          </w:rPr>
          <w:t>Textiles in Europe's circular economy — European Environment Agency.</w:t>
        </w:r>
      </w:hyperlink>
    </w:p>
    <w:p w14:paraId="3334FB55" w14:textId="77777777" w:rsidR="00D00FD7" w:rsidRPr="005B4339" w:rsidRDefault="00D00FD7" w:rsidP="00D00FD7">
      <w:pPr>
        <w:spacing w:after="120"/>
        <w:rPr>
          <w:rFonts w:eastAsiaTheme="minorEastAsia"/>
          <w:noProof/>
          <w:lang w:val="en-IE"/>
        </w:rPr>
      </w:pPr>
      <w:r w:rsidRPr="005B4339">
        <w:rPr>
          <w:rFonts w:eastAsiaTheme="minorEastAsia"/>
          <w:noProof/>
          <w:lang w:val="en-IE"/>
        </w:rPr>
        <w:t xml:space="preserve">European Environment Agency, </w:t>
      </w:r>
      <w:r w:rsidRPr="005B4339">
        <w:rPr>
          <w:rFonts w:eastAsiaTheme="minorEastAsia"/>
          <w:i/>
          <w:noProof/>
          <w:lang w:val="en-IE"/>
        </w:rPr>
        <w:t xml:space="preserve">The use of primary raw materials in the upstream supply chain of EU-27 household consumption domains million tonnes  </w:t>
      </w:r>
      <w:r w:rsidRPr="005B4339">
        <w:rPr>
          <w:rFonts w:eastAsiaTheme="minorEastAsia"/>
          <w:noProof/>
          <w:lang w:val="en-IE"/>
        </w:rPr>
        <w:t xml:space="preserve">2020  </w:t>
      </w:r>
      <w:hyperlink r:id="rId230">
        <w:r w:rsidRPr="005B4339">
          <w:rPr>
            <w:rFonts w:eastAsiaTheme="minorEastAsia"/>
            <w:noProof/>
            <w:color w:val="0000FF" w:themeColor="hyperlink"/>
            <w:u w:val="single"/>
            <w:lang w:val="en-IE"/>
          </w:rPr>
          <w:t>https://www.eea.europa.eu/data-and-maps/figures/the-use-of-primary-raw.</w:t>
        </w:r>
      </w:hyperlink>
    </w:p>
    <w:p w14:paraId="129ABA8F" w14:textId="77777777" w:rsidR="00D00FD7" w:rsidRPr="005B4339" w:rsidRDefault="00D00FD7" w:rsidP="00D00FD7">
      <w:pPr>
        <w:spacing w:after="120"/>
        <w:rPr>
          <w:rFonts w:eastAsiaTheme="minorEastAsia"/>
          <w:noProof/>
          <w:color w:val="0000FF" w:themeColor="hyperlink"/>
          <w:u w:val="single"/>
          <w:lang w:val="en-IE"/>
        </w:rPr>
      </w:pPr>
      <w:r w:rsidRPr="005B4339">
        <w:rPr>
          <w:rFonts w:eastAsiaTheme="minorEastAsia"/>
          <w:noProof/>
          <w:lang w:val="en-IE"/>
        </w:rPr>
        <w:t xml:space="preserve">European Environment Agency, </w:t>
      </w:r>
      <w:r w:rsidRPr="005B4339">
        <w:rPr>
          <w:rFonts w:eastAsiaTheme="minorEastAsia"/>
          <w:i/>
          <w:noProof/>
          <w:lang w:val="en-IE"/>
        </w:rPr>
        <w:t>Textiles and the environment in a circular economy</w:t>
      </w:r>
      <w:r w:rsidRPr="005B4339">
        <w:rPr>
          <w:rFonts w:eastAsiaTheme="minorEastAsia"/>
          <w:noProof/>
          <w:lang w:val="en-IE"/>
        </w:rPr>
        <w:t xml:space="preserve">, 2019, </w:t>
      </w:r>
      <w:hyperlink r:id="rId231" w:history="1">
        <w:r w:rsidRPr="005B4339">
          <w:rPr>
            <w:rFonts w:eastAsiaTheme="minorEastAsia"/>
            <w:noProof/>
            <w:color w:val="0000FF" w:themeColor="hyperlink"/>
            <w:u w:val="single"/>
            <w:lang w:val="en-IE"/>
          </w:rPr>
          <w:t>https://www.eionet.europa.eu/etcs/etc-wmge/products/etc-wmge-reports/textiles-and-the-environment-in-a-circular-economy</w:t>
        </w:r>
      </w:hyperlink>
      <w:r w:rsidRPr="005B4339">
        <w:rPr>
          <w:rFonts w:eastAsiaTheme="minorEastAsia"/>
          <w:noProof/>
          <w:color w:val="0000FF" w:themeColor="hyperlink"/>
          <w:u w:val="single"/>
          <w:lang w:val="en-IE"/>
        </w:rPr>
        <w:t>.</w:t>
      </w:r>
    </w:p>
    <w:p w14:paraId="54F3A8C9" w14:textId="77777777" w:rsidR="00D00FD7" w:rsidRPr="005B4339" w:rsidRDefault="00D00FD7" w:rsidP="00D00FD7">
      <w:pPr>
        <w:spacing w:after="120"/>
        <w:rPr>
          <w:noProof/>
          <w:lang w:val="en-IE"/>
        </w:rPr>
      </w:pPr>
      <w:r w:rsidRPr="005B4339">
        <w:rPr>
          <w:noProof/>
          <w:lang w:val="en-IE"/>
        </w:rPr>
        <w:t xml:space="preserve">European Environment Agency, </w:t>
      </w:r>
      <w:r w:rsidRPr="005B4339">
        <w:rPr>
          <w:i/>
          <w:noProof/>
          <w:lang w:val="en-IE"/>
        </w:rPr>
        <w:t>Plastic in textiles: potentials for circularity and reduced environmental and climate impacts,</w:t>
      </w:r>
      <w:r w:rsidRPr="005B4339">
        <w:rPr>
          <w:noProof/>
          <w:lang w:val="en-IE"/>
        </w:rPr>
        <w:t xml:space="preserve"> 2021, </w:t>
      </w:r>
      <w:r w:rsidRPr="005B4339">
        <w:rPr>
          <w:noProof/>
          <w:color w:val="0000FF" w:themeColor="hyperlink"/>
          <w:u w:val="single"/>
          <w:lang w:val="en-IE"/>
        </w:rPr>
        <w:t>https://www.eea.europa.eu/themes/waste/resource-efficiency/plastic-in-textiles-towards-a</w:t>
      </w:r>
      <w:r w:rsidRPr="005B4339">
        <w:rPr>
          <w:noProof/>
          <w:lang w:val="en-IE"/>
        </w:rPr>
        <w:t>.</w:t>
      </w:r>
    </w:p>
    <w:p w14:paraId="229F00A3" w14:textId="6CAAFFDB" w:rsidR="00D00FD7" w:rsidRPr="005B4339" w:rsidRDefault="00D00FD7" w:rsidP="00D00FD7">
      <w:pPr>
        <w:spacing w:after="120"/>
        <w:rPr>
          <w:noProof/>
          <w:color w:val="0000FF" w:themeColor="hyperlink"/>
          <w:u w:val="single"/>
          <w:lang w:val="en-IE"/>
        </w:rPr>
      </w:pPr>
      <w:r w:rsidRPr="005B4339">
        <w:rPr>
          <w:noProof/>
          <w:lang w:val="en-IE"/>
        </w:rPr>
        <w:t xml:space="preserve">European Environment Agency, </w:t>
      </w:r>
      <w:r w:rsidRPr="005B4339">
        <w:rPr>
          <w:i/>
          <w:iCs/>
          <w:noProof/>
          <w:lang w:val="en-IE"/>
        </w:rPr>
        <w:t xml:space="preserve">Waste prevention in Europe, </w:t>
      </w:r>
      <w:r w:rsidRPr="005B4339">
        <w:rPr>
          <w:noProof/>
          <w:lang w:val="en-IE"/>
        </w:rPr>
        <w:t xml:space="preserve">2021, </w:t>
      </w:r>
      <w:hyperlink r:id="rId232" w:history="1">
        <w:r w:rsidRPr="005B4339">
          <w:rPr>
            <w:noProof/>
            <w:color w:val="0000FF" w:themeColor="hyperlink"/>
            <w:u w:val="single"/>
            <w:lang w:val="en-IE"/>
          </w:rPr>
          <w:t>Waste prevention in Europe — European Environment Agency (europa.eu)</w:t>
        </w:r>
      </w:hyperlink>
      <w:r w:rsidRPr="005B4339">
        <w:rPr>
          <w:noProof/>
          <w:color w:val="0000FF" w:themeColor="hyperlink"/>
          <w:u w:val="single"/>
          <w:lang w:val="en-IE"/>
        </w:rPr>
        <w:t>.</w:t>
      </w:r>
    </w:p>
    <w:p w14:paraId="77265D15" w14:textId="3B4ED04E" w:rsidR="00581F8B" w:rsidRPr="005B4339" w:rsidRDefault="00581F8B" w:rsidP="00D00FD7">
      <w:pPr>
        <w:spacing w:after="120"/>
        <w:rPr>
          <w:noProof/>
          <w:lang w:val="en-IE"/>
        </w:rPr>
      </w:pPr>
      <w:r w:rsidRPr="005B4339">
        <w:rPr>
          <w:noProof/>
          <w:lang w:val="en-IE"/>
        </w:rPr>
        <w:t xml:space="preserve">European Environmental Bureau, </w:t>
      </w:r>
      <w:r w:rsidRPr="005B4339">
        <w:rPr>
          <w:i/>
          <w:noProof/>
          <w:lang w:val="en-IE"/>
        </w:rPr>
        <w:t>Advancing resource efficiency in Europe</w:t>
      </w:r>
      <w:r w:rsidRPr="005B4339">
        <w:rPr>
          <w:noProof/>
          <w:lang w:val="en-IE"/>
        </w:rPr>
        <w:t>, 2014.</w:t>
      </w:r>
    </w:p>
    <w:p w14:paraId="48E829FB" w14:textId="77777777" w:rsidR="00D00FD7" w:rsidRPr="005B4339" w:rsidRDefault="00D00FD7" w:rsidP="00D00FD7">
      <w:pPr>
        <w:spacing w:after="120"/>
        <w:rPr>
          <w:rFonts w:eastAsia="Times New Roman"/>
          <w:noProof/>
          <w:lang w:val="en-IE"/>
        </w:rPr>
      </w:pPr>
      <w:r w:rsidRPr="005B4339">
        <w:rPr>
          <w:rFonts w:eastAsia="Times New Roman"/>
          <w:noProof/>
          <w:color w:val="000000" w:themeColor="text1"/>
          <w:lang w:val="en-IE"/>
        </w:rPr>
        <w:t xml:space="preserve">European Parliament, </w:t>
      </w:r>
      <w:r w:rsidRPr="005B4339">
        <w:rPr>
          <w:rFonts w:eastAsia="Times New Roman"/>
          <w:i/>
          <w:noProof/>
          <w:color w:val="000000" w:themeColor="text1"/>
          <w:lang w:val="en-IE"/>
        </w:rPr>
        <w:t>Environmental impact of the textile and clothing industry: What consumers need to know,</w:t>
      </w:r>
      <w:r w:rsidRPr="005B4339">
        <w:rPr>
          <w:rFonts w:eastAsia="Times New Roman"/>
          <w:noProof/>
          <w:color w:val="000000" w:themeColor="text1"/>
          <w:lang w:val="en-IE"/>
        </w:rPr>
        <w:t xml:space="preserve"> 2019, </w:t>
      </w:r>
      <w:hyperlink r:id="rId233">
        <w:r w:rsidRPr="005B4339">
          <w:rPr>
            <w:rFonts w:eastAsia="Times New Roman"/>
            <w:noProof/>
            <w:color w:val="0000FF" w:themeColor="hyperlink"/>
            <w:u w:val="single"/>
            <w:lang w:val="en-IE"/>
          </w:rPr>
          <w:t>https://www.europarl.europa.eu/thinktank/en/document/EPRS_BRI(2019)633143.</w:t>
        </w:r>
      </w:hyperlink>
    </w:p>
    <w:p w14:paraId="278D03DF" w14:textId="0B12FC8F" w:rsidR="00634DBD" w:rsidRPr="005B4339" w:rsidRDefault="00D00FD7" w:rsidP="00FB3D28">
      <w:pPr>
        <w:spacing w:after="120"/>
        <w:rPr>
          <w:rFonts w:eastAsia="Times New Roman"/>
          <w:noProof/>
          <w:color w:val="0000FF" w:themeColor="hyperlink"/>
          <w:u w:val="single"/>
          <w:lang w:val="en-IE"/>
        </w:rPr>
      </w:pPr>
      <w:r w:rsidRPr="005B4339">
        <w:rPr>
          <w:rFonts w:eastAsia="Times New Roman"/>
          <w:noProof/>
          <w:color w:val="000000" w:themeColor="text1"/>
          <w:lang w:val="en-IE"/>
        </w:rPr>
        <w:t xml:space="preserve">European Parliament, </w:t>
      </w:r>
      <w:r w:rsidRPr="005B4339">
        <w:rPr>
          <w:rFonts w:eastAsia="Times New Roman"/>
          <w:i/>
          <w:noProof/>
          <w:color w:val="000000" w:themeColor="text1"/>
          <w:lang w:val="en-IE"/>
        </w:rPr>
        <w:t>The impact of textile production and waste on the environment,</w:t>
      </w:r>
      <w:r w:rsidRPr="005B4339">
        <w:rPr>
          <w:rFonts w:eastAsia="Times New Roman"/>
          <w:noProof/>
          <w:color w:val="000000" w:themeColor="text1"/>
          <w:lang w:val="en-IE"/>
        </w:rPr>
        <w:t xml:space="preserve"> 2020, </w:t>
      </w:r>
      <w:hyperlink r:id="rId234">
        <w:r w:rsidRPr="005B4339">
          <w:rPr>
            <w:rFonts w:eastAsia="Times New Roman"/>
            <w:noProof/>
            <w:color w:val="0000FF" w:themeColor="hyperlink"/>
            <w:u w:val="single"/>
            <w:lang w:val="en-IE"/>
          </w:rPr>
          <w:t>https://www.europarl.europa.eu/news/en/headlines/society/20201208STO93327/the-impact-of-textile-production-and-waste-on-the-environment-infographic.</w:t>
        </w:r>
      </w:hyperlink>
    </w:p>
    <w:p w14:paraId="6D355941" w14:textId="77777777" w:rsidR="00FB3D28" w:rsidRPr="005B4339" w:rsidRDefault="00FB3D28" w:rsidP="00FB3D28">
      <w:pPr>
        <w:spacing w:after="120"/>
        <w:rPr>
          <w:noProof/>
          <w:lang w:val="en-IE"/>
        </w:rPr>
      </w:pPr>
      <w:r w:rsidRPr="005B4339">
        <w:rPr>
          <w:rFonts w:eastAsia="Times New Roman"/>
          <w:noProof/>
          <w:color w:val="000000" w:themeColor="text1"/>
          <w:lang w:val="en-IE"/>
        </w:rPr>
        <w:t xml:space="preserve">EUROSTAT, </w:t>
      </w:r>
      <w:r w:rsidRPr="005B4339">
        <w:rPr>
          <w:rFonts w:eastAsia="Times New Roman"/>
          <w:i/>
          <w:noProof/>
          <w:color w:val="000000" w:themeColor="text1"/>
          <w:lang w:val="en-IE"/>
        </w:rPr>
        <w:t>Guidance for the compilation and reporting of data on municipal waste according to Commission Implementing Decisions 2019/1004/EC and 2019/1885/EC  and the Joint Questionnaire of Eurostat and OECD, 2021</w:t>
      </w:r>
      <w:r w:rsidRPr="005B4339">
        <w:rPr>
          <w:rFonts w:eastAsia="Times New Roman"/>
          <w:noProof/>
          <w:color w:val="000000" w:themeColor="text1"/>
          <w:lang w:val="en-IE"/>
        </w:rPr>
        <w:t xml:space="preserve">, </w:t>
      </w:r>
      <w:hyperlink r:id="rId235">
        <w:r w:rsidRPr="005B4339">
          <w:rPr>
            <w:rFonts w:eastAsia="Times New Roman"/>
            <w:noProof/>
            <w:color w:val="0000FF" w:themeColor="hyperlink"/>
            <w:u w:val="single"/>
            <w:lang w:val="en-IE"/>
          </w:rPr>
          <w:t>https://ec.europa.eu/eurostat/documents/342366/351811/Guidance+on+municipal+waste+data+collection/.</w:t>
        </w:r>
      </w:hyperlink>
      <w:r w:rsidRPr="005B4339">
        <w:rPr>
          <w:noProof/>
          <w:lang w:val="en-IE"/>
        </w:rPr>
        <w:t xml:space="preserve"> </w:t>
      </w:r>
    </w:p>
    <w:p w14:paraId="32AE0854" w14:textId="77777777" w:rsidR="00FB3D28" w:rsidRPr="005B4339" w:rsidRDefault="00FB3D28" w:rsidP="00FB3D28">
      <w:pPr>
        <w:spacing w:after="120"/>
        <w:rPr>
          <w:noProof/>
          <w:lang w:val="en-IE"/>
        </w:rPr>
      </w:pPr>
      <w:r w:rsidRPr="005B4339">
        <w:rPr>
          <w:noProof/>
          <w:lang w:val="en-IE"/>
        </w:rPr>
        <w:t xml:space="preserve">EUROSTAT, </w:t>
      </w:r>
      <w:r w:rsidRPr="005B4339">
        <w:rPr>
          <w:i/>
          <w:noProof/>
          <w:lang w:val="en-IE"/>
        </w:rPr>
        <w:t>Guidance on classification of waste according to EWC-Stat categories</w:t>
      </w:r>
      <w:r w:rsidRPr="005B4339">
        <w:rPr>
          <w:i/>
          <w:iCs/>
          <w:noProof/>
          <w:lang w:val="en-IE"/>
        </w:rPr>
        <w:t xml:space="preserve">, </w:t>
      </w:r>
      <w:r w:rsidRPr="005B4339">
        <w:rPr>
          <w:noProof/>
          <w:lang w:val="en-IE"/>
        </w:rPr>
        <w:t xml:space="preserve">2010, </w:t>
      </w:r>
      <w:hyperlink r:id="rId236" w:history="1">
        <w:r w:rsidRPr="005B4339">
          <w:rPr>
            <w:noProof/>
            <w:color w:val="0000FF" w:themeColor="hyperlink"/>
            <w:u w:val="single"/>
            <w:lang w:val="en-IE"/>
          </w:rPr>
          <w:t>https://ec.europa.eu/eurostat/documents/342366/351806/Guidance-on-EWCStat-categories-2010.pdf/0e7cd3fc-c05c-47a7-818f-1c2421e55604.</w:t>
        </w:r>
      </w:hyperlink>
    </w:p>
    <w:p w14:paraId="598256B4" w14:textId="77777777" w:rsidR="00FB3D28" w:rsidRPr="005B4339" w:rsidRDefault="00FB3D28" w:rsidP="00FB3D28">
      <w:pPr>
        <w:spacing w:after="120"/>
        <w:rPr>
          <w:rFonts w:eastAsiaTheme="minorEastAsia"/>
          <w:noProof/>
          <w:color w:val="0000FF" w:themeColor="hyperlink"/>
          <w:u w:val="single"/>
          <w:lang w:val="en-IE"/>
        </w:rPr>
      </w:pPr>
      <w:r w:rsidRPr="005B4339">
        <w:rPr>
          <w:rFonts w:eastAsiaTheme="minorEastAsia"/>
          <w:noProof/>
          <w:lang w:val="en-IE"/>
        </w:rPr>
        <w:t xml:space="preserve">EUROSTAT, </w:t>
      </w:r>
      <w:r w:rsidRPr="005B4339">
        <w:rPr>
          <w:rFonts w:eastAsiaTheme="minorEastAsia"/>
          <w:i/>
          <w:noProof/>
          <w:lang w:val="en-IE"/>
        </w:rPr>
        <w:t>E-commerce statistics for individuals,</w:t>
      </w:r>
      <w:r w:rsidRPr="005B4339">
        <w:rPr>
          <w:rFonts w:eastAsiaTheme="minorEastAsia"/>
          <w:noProof/>
          <w:lang w:val="en-IE"/>
        </w:rPr>
        <w:t xml:space="preserve"> 2022, </w:t>
      </w:r>
      <w:hyperlink r:id="rId237">
        <w:r w:rsidRPr="005B4339">
          <w:rPr>
            <w:rFonts w:eastAsiaTheme="minorEastAsia"/>
            <w:noProof/>
            <w:color w:val="0000FF" w:themeColor="hyperlink"/>
            <w:u w:val="single"/>
            <w:lang w:val="en-IE"/>
          </w:rPr>
          <w:t>E-commerce statistics for individuals - Statistics Explained (europa.eu).</w:t>
        </w:r>
      </w:hyperlink>
    </w:p>
    <w:p w14:paraId="78452F93" w14:textId="77777777" w:rsidR="00FB3D28" w:rsidRPr="005B4339" w:rsidRDefault="00FB3D28" w:rsidP="00FB3D28">
      <w:pPr>
        <w:spacing w:after="120"/>
        <w:rPr>
          <w:noProof/>
          <w:lang w:val="en-IE"/>
        </w:rPr>
      </w:pPr>
      <w:r w:rsidRPr="005B4339">
        <w:rPr>
          <w:noProof/>
          <w:lang w:val="en-IE"/>
        </w:rPr>
        <w:t xml:space="preserve">EUROSTAT, </w:t>
      </w:r>
      <w:r w:rsidRPr="005B4339">
        <w:rPr>
          <w:i/>
          <w:iCs/>
          <w:noProof/>
          <w:lang w:val="en-IE"/>
        </w:rPr>
        <w:t>Prodcom - Statistics by products – Overview</w:t>
      </w:r>
      <w:r w:rsidRPr="005B4339">
        <w:rPr>
          <w:noProof/>
          <w:lang w:val="en-IE"/>
        </w:rPr>
        <w:t xml:space="preserve">, </w:t>
      </w:r>
      <w:hyperlink r:id="rId238" w:history="1">
        <w:r w:rsidRPr="005B4339">
          <w:rPr>
            <w:noProof/>
            <w:color w:val="0000FF" w:themeColor="hyperlink"/>
            <w:u w:val="single"/>
            <w:lang w:val="en-IE"/>
          </w:rPr>
          <w:t>Overview - Prodcom - statistics by product - Eurostat (europa.eu)</w:t>
        </w:r>
      </w:hyperlink>
      <w:r w:rsidRPr="005B4339">
        <w:rPr>
          <w:noProof/>
          <w:color w:val="0000FF" w:themeColor="hyperlink"/>
          <w:u w:val="single"/>
          <w:lang w:val="en-IE"/>
        </w:rPr>
        <w:t>.</w:t>
      </w:r>
    </w:p>
    <w:p w14:paraId="49E6A6F7" w14:textId="5C765DBB" w:rsidR="00FB3D28" w:rsidRPr="005B4339" w:rsidRDefault="00FB3D28" w:rsidP="00FB3D28">
      <w:pPr>
        <w:spacing w:after="120"/>
        <w:rPr>
          <w:rFonts w:eastAsia="Times New Roman"/>
          <w:noProof/>
          <w:color w:val="0000FF" w:themeColor="hyperlink"/>
          <w:u w:val="single"/>
          <w:lang w:val="en-IE"/>
        </w:rPr>
      </w:pPr>
      <w:r w:rsidRPr="005B4339">
        <w:rPr>
          <w:rFonts w:eastAsia="Times New Roman"/>
          <w:noProof/>
          <w:color w:val="000000" w:themeColor="text1"/>
          <w:lang w:val="en-IE"/>
        </w:rPr>
        <w:t xml:space="preserve">Farrant, L., Olsen, S.I. &amp; Wangel, A., </w:t>
      </w:r>
      <w:r w:rsidRPr="005B4339">
        <w:rPr>
          <w:rFonts w:eastAsia="Times New Roman"/>
          <w:i/>
          <w:noProof/>
          <w:color w:val="000000" w:themeColor="text1"/>
          <w:lang w:val="en-IE"/>
        </w:rPr>
        <w:t>Environmental benefits from reusing clothes,</w:t>
      </w:r>
      <w:r w:rsidRPr="005B4339">
        <w:rPr>
          <w:rFonts w:eastAsia="Times New Roman"/>
          <w:noProof/>
          <w:color w:val="000000" w:themeColor="text1"/>
          <w:lang w:val="en-IE"/>
        </w:rPr>
        <w:t xml:space="preserve"> The International Journal of Life Cycle Assessment 15, 726–736  2010  </w:t>
      </w:r>
      <w:hyperlink r:id="rId239">
        <w:r w:rsidRPr="005B4339">
          <w:rPr>
            <w:rFonts w:eastAsia="Times New Roman"/>
            <w:noProof/>
            <w:color w:val="0000FF" w:themeColor="hyperlink"/>
            <w:u w:val="single"/>
            <w:lang w:val="en-IE"/>
          </w:rPr>
          <w:t>https://doi.org/10.1007/s11367-010-0197-y.</w:t>
        </w:r>
      </w:hyperlink>
    </w:p>
    <w:p w14:paraId="43F6BA28" w14:textId="13B2B1EC" w:rsidR="004B1271" w:rsidRPr="005B4339" w:rsidRDefault="004B1271" w:rsidP="00FB3D28">
      <w:pPr>
        <w:spacing w:after="120"/>
        <w:rPr>
          <w:rFonts w:eastAsia="Times New Roman"/>
          <w:noProof/>
          <w:lang w:val="en-IE"/>
        </w:rPr>
      </w:pPr>
      <w:r w:rsidRPr="005B4339">
        <w:rPr>
          <w:rFonts w:eastAsia="Times New Roman"/>
          <w:noProof/>
          <w:lang w:val="en-IE"/>
        </w:rPr>
        <w:t xml:space="preserve">Fashion for Good, </w:t>
      </w:r>
      <w:r w:rsidRPr="005B4339">
        <w:rPr>
          <w:rFonts w:eastAsia="Times New Roman"/>
          <w:i/>
          <w:noProof/>
          <w:lang w:val="en-IE"/>
        </w:rPr>
        <w:t>Sorting for Circularity Europe. An evaluation and commercial assessment of textile waste across Europe</w:t>
      </w:r>
      <w:r w:rsidRPr="005B4339">
        <w:rPr>
          <w:rFonts w:eastAsia="Times New Roman"/>
          <w:noProof/>
          <w:lang w:val="en-IE"/>
        </w:rPr>
        <w:t>, 2022.</w:t>
      </w:r>
    </w:p>
    <w:p w14:paraId="30A0347D" w14:textId="77777777" w:rsidR="00FB3D28" w:rsidRPr="005B4339" w:rsidRDefault="00FB3D28" w:rsidP="00FB3D28">
      <w:pPr>
        <w:spacing w:after="120"/>
        <w:rPr>
          <w:noProof/>
          <w:lang w:val="en-IE"/>
        </w:rPr>
      </w:pPr>
      <w:r w:rsidRPr="005B4339">
        <w:rPr>
          <w:noProof/>
          <w:lang w:val="en-IE"/>
        </w:rPr>
        <w:t xml:space="preserve">Fortuna and Diyamandoglu, 2017 in Gustav Sandin and Greg M., Peters, </w:t>
      </w:r>
      <w:r w:rsidRPr="005B4339">
        <w:rPr>
          <w:i/>
          <w:noProof/>
          <w:lang w:val="en-IE"/>
        </w:rPr>
        <w:t>“</w:t>
      </w:r>
      <w:r w:rsidRPr="005B4339">
        <w:rPr>
          <w:noProof/>
          <w:lang w:val="en-IE"/>
        </w:rPr>
        <w:t>Environmental impact of textile reuse and recycling – A review”</w:t>
      </w:r>
      <w:r w:rsidRPr="005B4339">
        <w:rPr>
          <w:i/>
          <w:noProof/>
          <w:lang w:val="en-IE"/>
        </w:rPr>
        <w:t>,</w:t>
      </w:r>
      <w:r w:rsidRPr="005B4339">
        <w:rPr>
          <w:noProof/>
          <w:lang w:val="en-IE"/>
        </w:rPr>
        <w:t xml:space="preserve"> </w:t>
      </w:r>
      <w:r w:rsidRPr="005B4339">
        <w:rPr>
          <w:i/>
          <w:noProof/>
          <w:lang w:val="en-IE"/>
        </w:rPr>
        <w:t>Journal of Cleaner Production,</w:t>
      </w:r>
      <w:r w:rsidRPr="005B4339">
        <w:rPr>
          <w:noProof/>
          <w:lang w:val="en-IE"/>
        </w:rPr>
        <w:t xml:space="preserve"> Vol. 184,</w:t>
      </w:r>
      <w:r w:rsidRPr="005B4339">
        <w:rPr>
          <w:i/>
          <w:iCs/>
          <w:noProof/>
          <w:lang w:val="en-IE"/>
        </w:rPr>
        <w:t xml:space="preserve"> </w:t>
      </w:r>
      <w:r w:rsidRPr="005B4339">
        <w:rPr>
          <w:noProof/>
          <w:lang w:val="en-IE"/>
        </w:rPr>
        <w:t xml:space="preserve">2018, </w:t>
      </w:r>
      <w:hyperlink r:id="rId240" w:anchor="bib21" w:history="1">
        <w:r w:rsidRPr="005B4339">
          <w:rPr>
            <w:noProof/>
            <w:color w:val="0000FF" w:themeColor="hyperlink"/>
            <w:u w:val="single"/>
            <w:lang w:val="en-IE"/>
          </w:rPr>
          <w:t>https://www.sciencedirect.com/science/article/pii/S0959652618305985#bib21</w:t>
        </w:r>
      </w:hyperlink>
      <w:r w:rsidRPr="005B4339">
        <w:rPr>
          <w:noProof/>
          <w:lang w:val="en-IE"/>
        </w:rPr>
        <w:t>.</w:t>
      </w:r>
    </w:p>
    <w:p w14:paraId="0D0A6253" w14:textId="77777777" w:rsidR="00FB3D28" w:rsidRPr="005B4339" w:rsidRDefault="00FB3D28" w:rsidP="00FB3D28">
      <w:pPr>
        <w:spacing w:after="120"/>
        <w:rPr>
          <w:noProof/>
          <w:lang w:val="en-IE"/>
        </w:rPr>
      </w:pPr>
      <w:r w:rsidRPr="005B4339">
        <w:rPr>
          <w:noProof/>
          <w:lang w:val="en-IE"/>
        </w:rPr>
        <w:t xml:space="preserve">Global Fashion Agenda &amp; The Boston Consulting Group, </w:t>
      </w:r>
      <w:hyperlink r:id="rId241" w:history="1">
        <w:r w:rsidRPr="005B4339">
          <w:rPr>
            <w:i/>
            <w:noProof/>
            <w:color w:val="0000FF" w:themeColor="hyperlink"/>
            <w:u w:val="single"/>
            <w:lang w:val="en-IE"/>
          </w:rPr>
          <w:t>Pulse of the fashion industry</w:t>
        </w:r>
      </w:hyperlink>
      <w:r w:rsidRPr="005B4339">
        <w:rPr>
          <w:noProof/>
          <w:lang w:val="en-IE"/>
        </w:rPr>
        <w:t>, 2017.</w:t>
      </w:r>
    </w:p>
    <w:p w14:paraId="626AC57E" w14:textId="77777777" w:rsidR="00FB3D28" w:rsidRPr="005B4339" w:rsidRDefault="00FB3D28" w:rsidP="00FB3D28">
      <w:pPr>
        <w:spacing w:after="120"/>
        <w:rPr>
          <w:rFonts w:eastAsiaTheme="minorEastAsia"/>
          <w:noProof/>
          <w:lang w:val="en-IE"/>
        </w:rPr>
      </w:pPr>
      <w:r w:rsidRPr="005B4339">
        <w:rPr>
          <w:rFonts w:eastAsiaTheme="minorEastAsia"/>
          <w:noProof/>
          <w:lang w:val="en-IE"/>
        </w:rPr>
        <w:t xml:space="preserve">Greenpeace, </w:t>
      </w:r>
      <w:r w:rsidRPr="005B4339">
        <w:rPr>
          <w:rFonts w:eastAsiaTheme="minorEastAsia"/>
          <w:i/>
          <w:iCs/>
          <w:noProof/>
          <w:lang w:val="en-IE"/>
        </w:rPr>
        <w:t>Poisoned Gifts. From donations to the dumpsite: textiles waste disguised as second-hand clothes exported to East Africa</w:t>
      </w:r>
      <w:r w:rsidRPr="005B4339">
        <w:rPr>
          <w:rFonts w:eastAsiaTheme="minorEastAsia"/>
          <w:noProof/>
          <w:lang w:val="en-IE"/>
        </w:rPr>
        <w:t xml:space="preserve">, 2022, </w:t>
      </w:r>
      <w:hyperlink r:id="rId242" w:history="1">
        <w:r w:rsidRPr="005B4339">
          <w:rPr>
            <w:rFonts w:eastAsiaTheme="minorEastAsia"/>
            <w:noProof/>
            <w:color w:val="0000FF" w:themeColor="hyperlink"/>
            <w:u w:val="single"/>
            <w:lang w:val="en-IE"/>
          </w:rPr>
          <w:t>https://www.greenpeace.org/static/planet4-international-stateless/2022/04/9f50d3de-greenpeace-germany-poisoned-fast-fashion-briefing-factsheet-april-2022.pdf.</w:t>
        </w:r>
      </w:hyperlink>
    </w:p>
    <w:p w14:paraId="35276D95" w14:textId="77777777" w:rsidR="00FB3D28" w:rsidRPr="005B4339" w:rsidRDefault="00FB3D28" w:rsidP="00FB3D28">
      <w:pPr>
        <w:spacing w:after="120"/>
        <w:rPr>
          <w:rFonts w:eastAsiaTheme="minorEastAsia"/>
          <w:noProof/>
          <w:color w:val="0000FF" w:themeColor="hyperlink"/>
          <w:u w:val="single"/>
          <w:lang w:val="en-IE"/>
        </w:rPr>
      </w:pPr>
      <w:r w:rsidRPr="005B4339">
        <w:rPr>
          <w:rFonts w:eastAsiaTheme="minorEastAsia"/>
          <w:noProof/>
          <w:lang w:val="en-IE"/>
        </w:rPr>
        <w:t xml:space="preserve">Greer, L., Keane, S., Lin, C., Zhou, A., Yiliqi Tong, T., Natural Resources Defense Council, </w:t>
      </w:r>
      <w:hyperlink r:id="rId243" w:history="1">
        <w:r w:rsidRPr="005B4339">
          <w:rPr>
            <w:rFonts w:eastAsiaTheme="minorEastAsia"/>
            <w:i/>
            <w:noProof/>
            <w:color w:val="0000FF" w:themeColor="hyperlink"/>
            <w:u w:val="single"/>
            <w:lang w:val="en-IE"/>
          </w:rPr>
          <w:t>The Textile Industry Leaps Forward with Clean by Design: less environmental impact with bigger profits</w:t>
        </w:r>
      </w:hyperlink>
      <w:r w:rsidRPr="005B4339">
        <w:rPr>
          <w:rFonts w:eastAsiaTheme="minorEastAsia"/>
          <w:i/>
          <w:noProof/>
          <w:color w:val="0000FF" w:themeColor="hyperlink"/>
          <w:u w:val="single"/>
          <w:lang w:val="en-IE"/>
        </w:rPr>
        <w:t>,</w:t>
      </w:r>
      <w:r w:rsidRPr="005B4339">
        <w:rPr>
          <w:rFonts w:eastAsiaTheme="minorEastAsia"/>
          <w:noProof/>
          <w:lang w:val="en-IE"/>
        </w:rPr>
        <w:t xml:space="preserve"> 2015.</w:t>
      </w:r>
    </w:p>
    <w:p w14:paraId="44A3BBCE" w14:textId="77777777" w:rsidR="00FB3D28" w:rsidRPr="005B4339" w:rsidRDefault="00FB3D28" w:rsidP="00FB3D28">
      <w:pPr>
        <w:spacing w:after="120"/>
        <w:rPr>
          <w:rFonts w:eastAsiaTheme="minorEastAsia"/>
          <w:noProof/>
          <w:lang w:val="en-IE"/>
        </w:rPr>
      </w:pPr>
      <w:r w:rsidRPr="005B4339">
        <w:rPr>
          <w:rFonts w:eastAsiaTheme="minorEastAsia"/>
          <w:noProof/>
          <w:lang w:val="en-IE"/>
        </w:rPr>
        <w:t xml:space="preserve">H&amp;M group, IKEA, Adidas, Bestseller, PVH, Gap Inc, Kingfisher, </w:t>
      </w:r>
      <w:r w:rsidRPr="005B4339">
        <w:rPr>
          <w:rFonts w:eastAsiaTheme="minorEastAsia"/>
          <w:i/>
          <w:noProof/>
          <w:lang w:val="en-IE"/>
        </w:rPr>
        <w:t>Collaborative study on chemicals in recycled textiles,</w:t>
      </w:r>
      <w:r w:rsidRPr="005B4339">
        <w:rPr>
          <w:rFonts w:eastAsiaTheme="minorEastAsia"/>
          <w:noProof/>
          <w:lang w:val="en-IE"/>
        </w:rPr>
        <w:t xml:space="preserve"> 2021, </w:t>
      </w:r>
      <w:hyperlink r:id="rId244">
        <w:r w:rsidRPr="005B4339">
          <w:rPr>
            <w:rFonts w:eastAsiaTheme="minorEastAsia"/>
            <w:noProof/>
            <w:color w:val="0000FF" w:themeColor="hyperlink"/>
            <w:u w:val="single"/>
            <w:lang w:val="en-IE"/>
          </w:rPr>
          <w:t>https://www.naturvardsverket.se/contentassets/be04327b5a874955a5402d4f663d1632/webinar-collaborative-study-chemicals-recycled-textiles-hm-ikea.pdf.</w:t>
        </w:r>
      </w:hyperlink>
    </w:p>
    <w:p w14:paraId="58689D09" w14:textId="77777777" w:rsidR="00FB3D28" w:rsidRPr="005B4339" w:rsidRDefault="004928CC" w:rsidP="00FB3D28">
      <w:pPr>
        <w:spacing w:after="120"/>
        <w:rPr>
          <w:rFonts w:eastAsia="Times New Roman"/>
          <w:noProof/>
          <w:lang w:val="en-IE"/>
        </w:rPr>
      </w:pPr>
      <w:hyperlink r:id="rId245">
        <w:r w:rsidR="00FB3D28" w:rsidRPr="005B4339">
          <w:rPr>
            <w:rFonts w:eastAsia="Times New Roman"/>
            <w:noProof/>
            <w:color w:val="0000FF" w:themeColor="hyperlink"/>
            <w:u w:val="single"/>
            <w:lang w:val="en-IE"/>
          </w:rPr>
          <w:t>Dumped in the Atacama desert  the mountain of discarded cheap clothes from the West | Daily Mail Online.</w:t>
        </w:r>
      </w:hyperlink>
    </w:p>
    <w:p w14:paraId="405D3BE2" w14:textId="77777777" w:rsidR="00FB3D28" w:rsidRPr="005B4339" w:rsidRDefault="00FB3D28" w:rsidP="00FB3D28">
      <w:pPr>
        <w:spacing w:after="120"/>
        <w:rPr>
          <w:noProof/>
          <w:lang w:val="en-IE"/>
        </w:rPr>
      </w:pPr>
      <w:r w:rsidRPr="005B4339">
        <w:rPr>
          <w:noProof/>
          <w:lang w:val="en-IE"/>
        </w:rPr>
        <w:t xml:space="preserve">Herjanto, H., &amp; Scheller-Sampson, J., &amp; Erickson, E., “the increasing phenomenon of second-hand clothes purchase: insights from the literature” </w:t>
      </w:r>
      <w:r w:rsidRPr="005B4339">
        <w:rPr>
          <w:i/>
          <w:noProof/>
          <w:lang w:val="en-IE"/>
        </w:rPr>
        <w:t>Jurnal Manajemen dan Kewirausahaan</w:t>
      </w:r>
      <w:r w:rsidRPr="005B4339">
        <w:rPr>
          <w:noProof/>
          <w:lang w:val="en-IE"/>
        </w:rPr>
        <w:t>, 18. 10.9744/jmk.18.1.1-15, 2019.</w:t>
      </w:r>
    </w:p>
    <w:p w14:paraId="53CF303B" w14:textId="77777777" w:rsidR="00FB3D28" w:rsidRPr="005B4339" w:rsidRDefault="00FB3D28" w:rsidP="00FB3D28">
      <w:pPr>
        <w:spacing w:after="120"/>
        <w:rPr>
          <w:noProof/>
          <w:color w:val="0000FF" w:themeColor="hyperlink"/>
          <w:u w:val="single"/>
          <w:lang w:val="en-IE"/>
        </w:rPr>
      </w:pPr>
      <w:r w:rsidRPr="005B4339">
        <w:rPr>
          <w:noProof/>
          <w:lang w:val="en-IE"/>
        </w:rPr>
        <w:t xml:space="preserve">Hur, E.  “Rebirth Fashion: Secondhand clothing consumption values and perceived risks“ </w:t>
      </w:r>
      <w:r w:rsidRPr="005B4339">
        <w:rPr>
          <w:i/>
          <w:noProof/>
          <w:lang w:val="en-IE"/>
        </w:rPr>
        <w:t xml:space="preserve"> Journal of Cleaner Production</w:t>
      </w:r>
      <w:r w:rsidRPr="005B4339">
        <w:rPr>
          <w:noProof/>
          <w:lang w:val="en-IE"/>
        </w:rPr>
        <w:t xml:space="preserve">  Vol. 273  p.122951  2020  </w:t>
      </w:r>
      <w:hyperlink r:id="rId246">
        <w:r w:rsidRPr="005B4339">
          <w:rPr>
            <w:noProof/>
            <w:color w:val="0000FF" w:themeColor="hyperlink"/>
            <w:u w:val="single"/>
            <w:lang w:val="en-IE"/>
          </w:rPr>
          <w:t>https://doi.org/10.1016/j.jclepro.2020.122951.</w:t>
        </w:r>
      </w:hyperlink>
    </w:p>
    <w:p w14:paraId="4E7A2D30" w14:textId="77777777" w:rsidR="00FB3D28" w:rsidRPr="005B4339" w:rsidRDefault="00FB3D28" w:rsidP="00FB3D28">
      <w:pPr>
        <w:spacing w:after="120"/>
        <w:rPr>
          <w:noProof/>
          <w:lang w:val="en-IE"/>
        </w:rPr>
      </w:pPr>
      <w:r w:rsidRPr="005B4339">
        <w:rPr>
          <w:noProof/>
          <w:lang w:val="en-IE"/>
        </w:rPr>
        <w:t xml:space="preserve">ISO, ISO 14040:2006, </w:t>
      </w:r>
      <w:r w:rsidRPr="005B4339">
        <w:rPr>
          <w:i/>
          <w:noProof/>
          <w:lang w:val="en-IE"/>
        </w:rPr>
        <w:t>Environmental management — Life cycle assessment — Principles and framework</w:t>
      </w:r>
      <w:r w:rsidRPr="005B4339">
        <w:rPr>
          <w:noProof/>
          <w:lang w:val="en-IE"/>
        </w:rPr>
        <w:t>, 2006, rev 2022</w:t>
      </w:r>
    </w:p>
    <w:p w14:paraId="4024578A" w14:textId="77777777" w:rsidR="00FB3D28" w:rsidRPr="005B4339" w:rsidRDefault="00FB3D28" w:rsidP="00FB3D28">
      <w:pPr>
        <w:spacing w:after="120"/>
        <w:rPr>
          <w:noProof/>
          <w:lang w:val="en-IE"/>
        </w:rPr>
      </w:pPr>
      <w:r w:rsidRPr="005B4339">
        <w:rPr>
          <w:noProof/>
          <w:lang w:val="en-IE"/>
        </w:rPr>
        <w:t xml:space="preserve">JRC, </w:t>
      </w:r>
      <w:r w:rsidRPr="005B4339">
        <w:rPr>
          <w:i/>
          <w:noProof/>
          <w:lang w:val="en-IE"/>
        </w:rPr>
        <w:t>Best Environmental Management Practice – Treatment of mattresses for improved recycling of materials</w:t>
      </w:r>
      <w:r w:rsidRPr="005B4339">
        <w:rPr>
          <w:noProof/>
          <w:lang w:val="en-IE"/>
        </w:rPr>
        <w:t>, 2016.</w:t>
      </w:r>
    </w:p>
    <w:p w14:paraId="4D3F1F73" w14:textId="77777777" w:rsidR="00FB3D28" w:rsidRPr="005B4339" w:rsidRDefault="00FB3D28" w:rsidP="00FB3D28">
      <w:pPr>
        <w:spacing w:after="120"/>
        <w:rPr>
          <w:noProof/>
          <w:lang w:val="en-IE"/>
        </w:rPr>
      </w:pPr>
      <w:r w:rsidRPr="005B4339">
        <w:rPr>
          <w:noProof/>
          <w:lang w:val="en-IE"/>
        </w:rPr>
        <w:t xml:space="preserve">Köhler, A., Watson, D., Trzepacz, S., Löw, C., Liu, R., Danneck, J., Konstantas, A., Donatello, S., Faraca, G., </w:t>
      </w:r>
      <w:hyperlink r:id="rId247" w:history="1">
        <w:r w:rsidRPr="005B4339">
          <w:rPr>
            <w:i/>
            <w:noProof/>
            <w:color w:val="0000FF" w:themeColor="hyperlink"/>
            <w:u w:val="single"/>
            <w:lang w:val="en-IE"/>
          </w:rPr>
          <w:t>Circular Economy Perspectives in the EU Textile sector</w:t>
        </w:r>
      </w:hyperlink>
      <w:r w:rsidRPr="005B4339">
        <w:rPr>
          <w:noProof/>
          <w:lang w:val="en-IE"/>
        </w:rPr>
        <w:t>, Publications Office of the European Union, 2021.</w:t>
      </w:r>
    </w:p>
    <w:p w14:paraId="09A66236" w14:textId="77777777" w:rsidR="00FB3D28" w:rsidRPr="005B4339" w:rsidRDefault="00FB3D28" w:rsidP="00FB3D28">
      <w:pPr>
        <w:spacing w:after="120"/>
        <w:rPr>
          <w:noProof/>
          <w:lang w:val="fr-BE"/>
        </w:rPr>
      </w:pPr>
      <w:r w:rsidRPr="005B4339">
        <w:rPr>
          <w:noProof/>
          <w:lang w:val="fr-BE"/>
        </w:rPr>
        <w:t>Les joyeux recycleurs</w:t>
      </w:r>
      <w:r w:rsidRPr="005B4339">
        <w:rPr>
          <w:i/>
          <w:noProof/>
          <w:lang w:val="fr-BE"/>
        </w:rPr>
        <w:t>, Recyclage de vos tapis et moquettes  mode d’emploi</w:t>
      </w:r>
      <w:r w:rsidRPr="005B4339">
        <w:rPr>
          <w:noProof/>
          <w:lang w:val="fr-BE"/>
        </w:rPr>
        <w:t xml:space="preserve">, 2018, </w:t>
      </w:r>
      <w:hyperlink r:id="rId248" w:history="1">
        <w:r w:rsidRPr="005B4339">
          <w:rPr>
            <w:noProof/>
            <w:color w:val="0000FF" w:themeColor="hyperlink"/>
            <w:u w:val="single"/>
            <w:lang w:val="fr-BE"/>
          </w:rPr>
          <w:t>Recyclage de vos tapis et moquettes  mode d'emploi - Les joyeux recycleurs</w:t>
        </w:r>
      </w:hyperlink>
      <w:r w:rsidRPr="005B4339">
        <w:rPr>
          <w:noProof/>
          <w:lang w:val="fr-BE"/>
        </w:rPr>
        <w:t>.</w:t>
      </w:r>
    </w:p>
    <w:p w14:paraId="4F126684" w14:textId="77777777" w:rsidR="00FB3D28" w:rsidRPr="005B4339" w:rsidRDefault="00FB3D28" w:rsidP="00FB3D28">
      <w:pPr>
        <w:spacing w:after="120"/>
        <w:rPr>
          <w:noProof/>
          <w:lang w:val="en-IE"/>
        </w:rPr>
      </w:pPr>
      <w:r w:rsidRPr="005B4339">
        <w:rPr>
          <w:noProof/>
          <w:lang w:val="en-IE"/>
        </w:rPr>
        <w:t xml:space="preserve">Lai, O., </w:t>
      </w:r>
      <w:r w:rsidRPr="005B4339">
        <w:rPr>
          <w:i/>
          <w:noProof/>
          <w:lang w:val="en-IE"/>
        </w:rPr>
        <w:t>What is fast fashion</w:t>
      </w:r>
      <w:r w:rsidRPr="005B4339">
        <w:rPr>
          <w:noProof/>
          <w:lang w:val="en-IE"/>
        </w:rPr>
        <w:t>, Earth.org, 2021.</w:t>
      </w:r>
    </w:p>
    <w:p w14:paraId="0FF3B8F0" w14:textId="77777777" w:rsidR="00FB3D28" w:rsidRPr="005B4339" w:rsidRDefault="00FB3D28" w:rsidP="00FB3D28">
      <w:pPr>
        <w:spacing w:after="120"/>
        <w:rPr>
          <w:noProof/>
          <w:lang w:val="en-IE"/>
        </w:rPr>
      </w:pPr>
      <w:r w:rsidRPr="005B4339">
        <w:rPr>
          <w:noProof/>
          <w:lang w:val="en-IE"/>
        </w:rPr>
        <w:t xml:space="preserve">Maletic, M., </w:t>
      </w:r>
      <w:r w:rsidRPr="005B4339">
        <w:rPr>
          <w:i/>
          <w:noProof/>
          <w:lang w:val="en-IE"/>
        </w:rPr>
        <w:t xml:space="preserve">Shoe Recycling Guide: Recycle Your Footwear Responsibly  </w:t>
      </w:r>
      <w:r w:rsidRPr="005B4339">
        <w:rPr>
          <w:noProof/>
          <w:lang w:val="en-IE"/>
        </w:rPr>
        <w:t xml:space="preserve">Green Citizen, 2022  </w:t>
      </w:r>
      <w:hyperlink r:id="rId249">
        <w:r w:rsidRPr="005B4339">
          <w:rPr>
            <w:rFonts w:eastAsia="Times New Roman"/>
            <w:noProof/>
            <w:color w:val="0000FF" w:themeColor="hyperlink"/>
            <w:u w:val="single"/>
            <w:lang w:val="en-IE"/>
          </w:rPr>
          <w:t>Shoe Recycling Guide: Recycle Your Footwear Responsibly (greencitizen.com).</w:t>
        </w:r>
      </w:hyperlink>
    </w:p>
    <w:p w14:paraId="140A80A5" w14:textId="77777777" w:rsidR="00FB3D28" w:rsidRPr="005B4339" w:rsidRDefault="00FB3D28" w:rsidP="00FB3D28">
      <w:pPr>
        <w:spacing w:after="120"/>
        <w:rPr>
          <w:rFonts w:eastAsia="Times New Roman"/>
          <w:noProof/>
          <w:color w:val="000000" w:themeColor="text1"/>
          <w:lang w:val="en-IE"/>
        </w:rPr>
      </w:pPr>
      <w:r w:rsidRPr="005B4339">
        <w:rPr>
          <w:rFonts w:eastAsia="Times New Roman"/>
          <w:noProof/>
          <w:color w:val="000000" w:themeColor="text1"/>
          <w:lang w:val="en-IE"/>
        </w:rPr>
        <w:t xml:space="preserve">McKinsey, Global Fashion Agenda </w:t>
      </w:r>
      <w:hyperlink r:id="rId250" w:history="1">
        <w:r w:rsidRPr="005B4339">
          <w:rPr>
            <w:rFonts w:eastAsia="Times New Roman"/>
            <w:i/>
            <w:noProof/>
            <w:color w:val="0000FF" w:themeColor="hyperlink"/>
            <w:u w:val="single"/>
            <w:lang w:val="en-IE"/>
          </w:rPr>
          <w:t>Fashion on climate</w:t>
        </w:r>
      </w:hyperlink>
      <w:r w:rsidRPr="005B4339">
        <w:rPr>
          <w:rFonts w:eastAsia="Times New Roman"/>
          <w:i/>
          <w:noProof/>
          <w:color w:val="000000" w:themeColor="text1"/>
          <w:lang w:val="en-IE"/>
        </w:rPr>
        <w:t>. How the fashion industry can urgently act to reduce its greenhouse gas emissions</w:t>
      </w:r>
      <w:r w:rsidRPr="005B4339">
        <w:rPr>
          <w:rFonts w:eastAsia="Times New Roman"/>
          <w:noProof/>
          <w:color w:val="000000" w:themeColor="text1"/>
          <w:lang w:val="en-IE"/>
        </w:rPr>
        <w:t>, 2020.</w:t>
      </w:r>
    </w:p>
    <w:p w14:paraId="71F5E8EB" w14:textId="77777777" w:rsidR="00FB3D28" w:rsidRPr="005B4339" w:rsidRDefault="00FB3D28" w:rsidP="00FB3D28">
      <w:pPr>
        <w:spacing w:after="120"/>
        <w:rPr>
          <w:rFonts w:eastAsia="Times New Roman"/>
          <w:noProof/>
          <w:lang w:val="en-IE"/>
        </w:rPr>
      </w:pPr>
      <w:r w:rsidRPr="005B4339">
        <w:rPr>
          <w:rFonts w:eastAsia="Times New Roman"/>
          <w:noProof/>
          <w:color w:val="000000" w:themeColor="text1"/>
          <w:lang w:val="en-IE"/>
        </w:rPr>
        <w:t xml:space="preserve">McKinsey &amp; Company, </w:t>
      </w:r>
      <w:r w:rsidRPr="005B4339">
        <w:rPr>
          <w:rFonts w:eastAsia="Times New Roman"/>
          <w:i/>
          <w:noProof/>
          <w:color w:val="000000" w:themeColor="text1"/>
          <w:lang w:val="en-IE"/>
        </w:rPr>
        <w:t>Apparel, Fashion &amp; Luxury Group  Scaling textile recycling in Europe–turning waste into value</w:t>
      </w:r>
      <w:r w:rsidRPr="005B4339">
        <w:rPr>
          <w:rFonts w:eastAsia="Times New Roman"/>
          <w:noProof/>
          <w:color w:val="000000" w:themeColor="text1"/>
          <w:lang w:val="en-IE"/>
        </w:rPr>
        <w:t xml:space="preserve">  2022.</w:t>
      </w:r>
    </w:p>
    <w:p w14:paraId="01F57B4E" w14:textId="77777777" w:rsidR="00FB3D28" w:rsidRPr="005B4339" w:rsidRDefault="00FB3D28" w:rsidP="00FB3D28">
      <w:pPr>
        <w:spacing w:after="120"/>
        <w:rPr>
          <w:rFonts w:eastAsiaTheme="minorEastAsia"/>
          <w:noProof/>
          <w:lang w:val="en-IE"/>
        </w:rPr>
      </w:pPr>
      <w:r w:rsidRPr="005B4339">
        <w:rPr>
          <w:rFonts w:eastAsiaTheme="minorEastAsia"/>
          <w:noProof/>
          <w:lang w:val="en-IE"/>
        </w:rPr>
        <w:t xml:space="preserve">McKinsey &amp; Company, </w:t>
      </w:r>
      <w:r w:rsidRPr="005B4339">
        <w:rPr>
          <w:rFonts w:eastAsiaTheme="minorEastAsia"/>
          <w:i/>
          <w:noProof/>
          <w:lang w:val="en-IE"/>
        </w:rPr>
        <w:t>Scaling textile recycling in Europe–turning waste into value</w:t>
      </w:r>
      <w:r w:rsidRPr="005B4339">
        <w:rPr>
          <w:rFonts w:eastAsiaTheme="minorEastAsia"/>
          <w:noProof/>
          <w:lang w:val="en-IE"/>
        </w:rPr>
        <w:t>, 2022.</w:t>
      </w:r>
    </w:p>
    <w:p w14:paraId="41882399" w14:textId="77777777" w:rsidR="00FB3D28" w:rsidRPr="005B4339" w:rsidRDefault="00FB3D28" w:rsidP="00FB3D28">
      <w:pPr>
        <w:spacing w:after="120"/>
        <w:rPr>
          <w:noProof/>
          <w:lang w:val="en-IE"/>
        </w:rPr>
      </w:pPr>
      <w:r w:rsidRPr="005B4339">
        <w:rPr>
          <w:noProof/>
          <w:lang w:val="en-IE"/>
        </w:rPr>
        <w:t xml:space="preserve">MDPI, </w:t>
      </w:r>
      <w:r w:rsidRPr="005B4339">
        <w:rPr>
          <w:i/>
          <w:noProof/>
          <w:lang w:val="en-IE"/>
        </w:rPr>
        <w:t>A Systematic Literature Review for the Recycling and Reuse of Wasted Clothing</w:t>
      </w:r>
      <w:r w:rsidRPr="005B4339">
        <w:rPr>
          <w:noProof/>
          <w:lang w:val="en-IE"/>
        </w:rPr>
        <w:t xml:space="preserve">  2021  </w:t>
      </w:r>
      <w:hyperlink r:id="rId251" w:history="1">
        <w:r w:rsidRPr="005B4339">
          <w:rPr>
            <w:noProof/>
            <w:color w:val="0000FF" w:themeColor="hyperlink"/>
            <w:u w:val="single"/>
            <w:lang w:val="en-IE"/>
          </w:rPr>
          <w:t>https://www.mdpi.com/2071-1050/13/24/13732/pdf</w:t>
        </w:r>
      </w:hyperlink>
      <w:r w:rsidRPr="005B4339">
        <w:rPr>
          <w:noProof/>
          <w:lang w:val="en-IE"/>
        </w:rPr>
        <w:t>.</w:t>
      </w:r>
    </w:p>
    <w:p w14:paraId="1ECA6A45" w14:textId="77777777" w:rsidR="00FB3D28" w:rsidRPr="005B4339" w:rsidRDefault="00FB3D28" w:rsidP="00FB3D28">
      <w:pPr>
        <w:spacing w:after="0"/>
        <w:rPr>
          <w:rFonts w:eastAsia="Times New Roman"/>
          <w:noProof/>
          <w:lang w:val="en-IE"/>
        </w:rPr>
      </w:pPr>
      <w:r w:rsidRPr="005B4339">
        <w:rPr>
          <w:rFonts w:eastAsia="Times New Roman"/>
          <w:noProof/>
          <w:lang w:val="en-IE"/>
        </w:rPr>
        <w:t xml:space="preserve">Migiro, G., </w:t>
      </w:r>
      <w:r w:rsidRPr="005B4339">
        <w:rPr>
          <w:rFonts w:eastAsia="Times New Roman"/>
          <w:i/>
          <w:noProof/>
          <w:lang w:val="en-IE"/>
        </w:rPr>
        <w:t>Top 10 Textile Importing Countries In The World</w:t>
      </w:r>
      <w:r w:rsidRPr="005B4339">
        <w:rPr>
          <w:rFonts w:eastAsia="Times New Roman"/>
          <w:noProof/>
          <w:lang w:val="en-IE"/>
        </w:rPr>
        <w:t xml:space="preserve">, WorldAtlas  in Economics  2020. </w:t>
      </w:r>
    </w:p>
    <w:p w14:paraId="565BA0B2" w14:textId="77777777" w:rsidR="00FB3D28" w:rsidRPr="005B4339" w:rsidRDefault="004928CC" w:rsidP="00FB3D28">
      <w:pPr>
        <w:spacing w:after="120"/>
        <w:rPr>
          <w:rFonts w:eastAsia="Times New Roman"/>
          <w:noProof/>
          <w:color w:val="0000FF" w:themeColor="hyperlink"/>
          <w:u w:val="single"/>
          <w:lang w:val="en-IE"/>
        </w:rPr>
      </w:pPr>
      <w:hyperlink r:id="rId252">
        <w:r w:rsidR="00FB3D28" w:rsidRPr="005B4339">
          <w:rPr>
            <w:rFonts w:eastAsia="Times New Roman"/>
            <w:noProof/>
            <w:color w:val="0000FF" w:themeColor="hyperlink"/>
            <w:u w:val="single"/>
            <w:lang w:val="en-IE"/>
          </w:rPr>
          <w:t>https://www.worldatlas.com/articles/top-10-textile-importing-countries-in-the-world.html.</w:t>
        </w:r>
      </w:hyperlink>
    </w:p>
    <w:p w14:paraId="1430BF62" w14:textId="77777777" w:rsidR="00FB3D28" w:rsidRPr="005B4339" w:rsidRDefault="00FB3D28" w:rsidP="00FB3D28">
      <w:pPr>
        <w:spacing w:after="120"/>
        <w:rPr>
          <w:rFonts w:eastAsia="Times New Roman"/>
          <w:noProof/>
          <w:color w:val="0000FF" w:themeColor="hyperlink"/>
          <w:u w:val="single"/>
          <w:lang w:val="en-IE"/>
        </w:rPr>
      </w:pPr>
      <w:r w:rsidRPr="005B4339">
        <w:rPr>
          <w:noProof/>
          <w:lang w:val="en-IE"/>
        </w:rPr>
        <w:t xml:space="preserve">NRDC, </w:t>
      </w:r>
      <w:hyperlink r:id="rId253" w:history="1">
        <w:r w:rsidRPr="005B4339">
          <w:rPr>
            <w:rFonts w:eastAsia="Times New Roman"/>
            <w:i/>
            <w:noProof/>
            <w:color w:val="0000FF" w:themeColor="hyperlink"/>
            <w:u w:val="single"/>
            <w:lang w:val="en-IE"/>
          </w:rPr>
          <w:t>Encourage Textile Manufacturers to Reduce Pollution</w:t>
        </w:r>
      </w:hyperlink>
      <w:r w:rsidRPr="005B4339">
        <w:rPr>
          <w:noProof/>
          <w:color w:val="0563C1"/>
          <w:u w:val="single"/>
          <w:lang w:val="en-IE"/>
        </w:rPr>
        <w:t xml:space="preserve">  </w:t>
      </w:r>
      <w:r w:rsidRPr="005B4339">
        <w:rPr>
          <w:noProof/>
          <w:lang w:val="en-IE"/>
        </w:rPr>
        <w:t>2022.</w:t>
      </w:r>
    </w:p>
    <w:p w14:paraId="2D2AC99A" w14:textId="698632FF" w:rsidR="00FB3D28" w:rsidRPr="005B4339" w:rsidRDefault="00FB3D28" w:rsidP="00FB3D28">
      <w:pPr>
        <w:spacing w:after="120"/>
        <w:rPr>
          <w:rFonts w:eastAsia="Times New Roman"/>
          <w:noProof/>
          <w:color w:val="0000FF" w:themeColor="hyperlink"/>
          <w:u w:val="single"/>
          <w:lang w:val="en-IE"/>
        </w:rPr>
      </w:pPr>
      <w:r w:rsidRPr="005B4339">
        <w:rPr>
          <w:rFonts w:eastAsia="Times New Roman"/>
          <w:noProof/>
          <w:color w:val="000000" w:themeColor="text1"/>
          <w:lang w:val="en-IE"/>
        </w:rPr>
        <w:t xml:space="preserve">OECD, </w:t>
      </w:r>
      <w:r w:rsidRPr="005B4339">
        <w:rPr>
          <w:rFonts w:eastAsia="Times New Roman"/>
          <w:i/>
          <w:noProof/>
          <w:color w:val="000000" w:themeColor="text1"/>
          <w:lang w:val="en-IE"/>
        </w:rPr>
        <w:t xml:space="preserve">Germany supports sustainable textile production, </w:t>
      </w:r>
      <w:r w:rsidRPr="005B4339">
        <w:rPr>
          <w:rFonts w:eastAsia="Times New Roman"/>
          <w:noProof/>
          <w:color w:val="000000" w:themeColor="text1"/>
          <w:lang w:val="en-IE"/>
        </w:rPr>
        <w:t xml:space="preserve">Development co-operation tips tools insights practices in practice 2022, </w:t>
      </w:r>
      <w:hyperlink r:id="rId254">
        <w:r w:rsidRPr="005B4339">
          <w:rPr>
            <w:rFonts w:eastAsia="Times New Roman"/>
            <w:noProof/>
            <w:color w:val="0000FF" w:themeColor="hyperlink"/>
            <w:u w:val="single"/>
            <w:lang w:val="en-IE"/>
          </w:rPr>
          <w:t>Germany supports sustainable textile production - OECD.</w:t>
        </w:r>
      </w:hyperlink>
    </w:p>
    <w:p w14:paraId="5C5F55C0" w14:textId="4D6D2BD6" w:rsidR="00A45413" w:rsidRPr="005B4339" w:rsidRDefault="00A45413" w:rsidP="00FB3D28">
      <w:pPr>
        <w:spacing w:after="120"/>
        <w:rPr>
          <w:rFonts w:eastAsia="Times New Roman"/>
          <w:noProof/>
          <w:color w:val="000000" w:themeColor="text1"/>
          <w:lang w:val="en-IE"/>
        </w:rPr>
      </w:pPr>
      <w:r w:rsidRPr="005B4339">
        <w:rPr>
          <w:rFonts w:eastAsia="Times New Roman"/>
          <w:noProof/>
          <w:color w:val="000000" w:themeColor="text1"/>
          <w:lang w:val="en-IE"/>
        </w:rPr>
        <w:t xml:space="preserve">OECD, </w:t>
      </w:r>
      <w:r w:rsidRPr="005B4339">
        <w:rPr>
          <w:rFonts w:eastAsia="Times New Roman"/>
          <w:i/>
          <w:noProof/>
          <w:color w:val="000000" w:themeColor="text1"/>
          <w:lang w:val="en-IE"/>
        </w:rPr>
        <w:t>Understanding the Spillovers and Transboundary Impacts of Public Policies, Implementing the 2030 Agenda for More Resilient Societies,</w:t>
      </w:r>
      <w:r w:rsidRPr="005B4339">
        <w:rPr>
          <w:rFonts w:eastAsia="Times New Roman"/>
          <w:noProof/>
          <w:color w:val="000000" w:themeColor="text1"/>
          <w:lang w:val="en-IE"/>
        </w:rPr>
        <w:t xml:space="preserve"> 2021, https://www.oecd.org/gov/pcsd/understanding-the-spillovers-and-transboundary-impacts-of-public-policies-862c0db7-en.htm.</w:t>
      </w:r>
    </w:p>
    <w:p w14:paraId="5D84D8DC" w14:textId="77777777" w:rsidR="00FB3D28" w:rsidRPr="005B4339" w:rsidRDefault="00FB3D28" w:rsidP="00FB3D28">
      <w:pPr>
        <w:spacing w:after="120"/>
        <w:rPr>
          <w:rFonts w:eastAsiaTheme="minorEastAsia"/>
          <w:noProof/>
          <w:color w:val="0000FF" w:themeColor="hyperlink"/>
          <w:u w:val="single"/>
          <w:lang w:val="en-IE"/>
        </w:rPr>
      </w:pPr>
      <w:r w:rsidRPr="005B4339">
        <w:rPr>
          <w:rFonts w:eastAsiaTheme="minorEastAsia"/>
          <w:noProof/>
          <w:lang w:val="en-IE"/>
        </w:rPr>
        <w:t xml:space="preserve">Recycling Magazine, </w:t>
      </w:r>
      <w:r w:rsidRPr="005B4339">
        <w:rPr>
          <w:rFonts w:eastAsiaTheme="minorEastAsia"/>
          <w:i/>
          <w:iCs/>
          <w:noProof/>
          <w:lang w:val="en-IE"/>
        </w:rPr>
        <w:t>World’s first fully automated textile sorting plant in Malmö</w:t>
      </w:r>
      <w:r w:rsidRPr="005B4339">
        <w:rPr>
          <w:rFonts w:eastAsiaTheme="minorEastAsia"/>
          <w:noProof/>
          <w:lang w:val="en-IE"/>
        </w:rPr>
        <w:t xml:space="preserve">, 2021, </w:t>
      </w:r>
      <w:hyperlink r:id="rId255" w:history="1">
        <w:r w:rsidRPr="005B4339">
          <w:rPr>
            <w:rFonts w:eastAsiaTheme="minorEastAsia"/>
            <w:noProof/>
            <w:color w:val="0000FF" w:themeColor="hyperlink"/>
            <w:u w:val="single"/>
            <w:lang w:val="en-IE"/>
          </w:rPr>
          <w:t>World’s first fully automated textile sorting plant in Malmö - RECYCLING magazine (recycling-magazine.com).</w:t>
        </w:r>
      </w:hyperlink>
    </w:p>
    <w:p w14:paraId="4C804770" w14:textId="77777777" w:rsidR="00FB3D28" w:rsidRPr="005B4339" w:rsidRDefault="00FB3D28" w:rsidP="00FB3D28">
      <w:pPr>
        <w:spacing w:after="120"/>
        <w:rPr>
          <w:noProof/>
          <w:lang w:val="en-IE"/>
        </w:rPr>
      </w:pPr>
      <w:r w:rsidRPr="005B4339">
        <w:rPr>
          <w:noProof/>
          <w:lang w:val="en-IE"/>
        </w:rPr>
        <w:t xml:space="preserve">Refashion press release, </w:t>
      </w:r>
      <w:r w:rsidRPr="005B4339">
        <w:rPr>
          <w:i/>
          <w:iCs/>
          <w:noProof/>
          <w:lang w:val="en-IE"/>
        </w:rPr>
        <w:t>Lauch of RECYCLE by Refashion,</w:t>
      </w:r>
      <w:r w:rsidRPr="005B4339">
        <w:rPr>
          <w:noProof/>
          <w:lang w:val="en-IE"/>
        </w:rPr>
        <w:t xml:space="preserve"> 2021, </w:t>
      </w:r>
      <w:hyperlink r:id="rId256" w:history="1">
        <w:r w:rsidRPr="005B4339">
          <w:rPr>
            <w:noProof/>
            <w:color w:val="0000FF" w:themeColor="hyperlink"/>
            <w:u w:val="single"/>
            <w:lang w:val="en-IE"/>
          </w:rPr>
          <w:t>https://refashion.fr/pro/en/press-releases</w:t>
        </w:r>
      </w:hyperlink>
      <w:r w:rsidRPr="005B4339">
        <w:rPr>
          <w:noProof/>
          <w:lang w:val="en-IE"/>
        </w:rPr>
        <w:t xml:space="preserve"> ; </w:t>
      </w:r>
      <w:hyperlink r:id="rId257" w:history="1">
        <w:r w:rsidRPr="005B4339">
          <w:rPr>
            <w:noProof/>
            <w:color w:val="0000FF" w:themeColor="hyperlink"/>
            <w:u w:val="single"/>
            <w:lang w:val="en-IE"/>
          </w:rPr>
          <w:t>https://www.textile.fr/actualite/recycle-plateforme-digitale-de-mise-en-relation-des-acteurs-du-recyclage-de-refashion</w:t>
        </w:r>
      </w:hyperlink>
      <w:r w:rsidRPr="005B4339">
        <w:rPr>
          <w:noProof/>
          <w:lang w:val="en-IE"/>
        </w:rPr>
        <w:t>.</w:t>
      </w:r>
    </w:p>
    <w:p w14:paraId="19F99B5F" w14:textId="77777777" w:rsidR="00FB3D28" w:rsidRPr="005B4339" w:rsidRDefault="00FB3D28" w:rsidP="00FB3D28">
      <w:pPr>
        <w:spacing w:after="120"/>
        <w:rPr>
          <w:noProof/>
          <w:lang w:val="en-IE"/>
        </w:rPr>
      </w:pPr>
      <w:r w:rsidRPr="005B4339">
        <w:rPr>
          <w:noProof/>
          <w:lang w:val="en-IE"/>
        </w:rPr>
        <w:t xml:space="preserve">RREUSE, </w:t>
      </w:r>
      <w:r w:rsidRPr="005B4339">
        <w:rPr>
          <w:i/>
          <w:noProof/>
          <w:lang w:val="en-IE"/>
        </w:rPr>
        <w:t xml:space="preserve">Job creation in the reuse sector: data insights from social enterprises, </w:t>
      </w:r>
      <w:r w:rsidRPr="005B4339">
        <w:rPr>
          <w:noProof/>
          <w:lang w:val="en-IE"/>
        </w:rPr>
        <w:t>2021.</w:t>
      </w:r>
    </w:p>
    <w:p w14:paraId="17CA4E47" w14:textId="77777777" w:rsidR="00FB3D28" w:rsidRPr="005B4339" w:rsidRDefault="00FB3D28" w:rsidP="00FB3D28">
      <w:pPr>
        <w:spacing w:after="120"/>
        <w:rPr>
          <w:noProof/>
          <w:lang w:val="en-IE"/>
        </w:rPr>
      </w:pPr>
      <w:r w:rsidRPr="005B4339">
        <w:rPr>
          <w:noProof/>
          <w:lang w:val="en-IE"/>
        </w:rPr>
        <w:t xml:space="preserve">RREUSE, </w:t>
      </w:r>
      <w:r w:rsidRPr="005B4339">
        <w:rPr>
          <w:i/>
          <w:noProof/>
          <w:lang w:val="en-IE"/>
        </w:rPr>
        <w:t>Vision for a new fashion season: social and circular stakeholder workshop</w:t>
      </w:r>
      <w:r w:rsidRPr="005B4339">
        <w:rPr>
          <w:noProof/>
          <w:lang w:val="en-IE"/>
        </w:rPr>
        <w:t xml:space="preserve"> The Policy hub – response to interview questionnaire. </w:t>
      </w:r>
    </w:p>
    <w:p w14:paraId="4729A733" w14:textId="77777777" w:rsidR="00FB3D28" w:rsidRPr="005B4339" w:rsidRDefault="00FB3D28" w:rsidP="00FB3D28">
      <w:pPr>
        <w:spacing w:after="120"/>
        <w:rPr>
          <w:noProof/>
          <w:lang w:val="en-IE"/>
        </w:rPr>
      </w:pPr>
      <w:r w:rsidRPr="005B4339">
        <w:rPr>
          <w:noProof/>
          <w:lang w:val="en-IE"/>
        </w:rPr>
        <w:t xml:space="preserve">RREUSE, </w:t>
      </w:r>
      <w:r w:rsidRPr="005B4339">
        <w:rPr>
          <w:i/>
          <w:noProof/>
          <w:lang w:val="en-IE"/>
        </w:rPr>
        <w:t xml:space="preserve">Research study on developing reuse networks in Europe, </w:t>
      </w:r>
      <w:r w:rsidRPr="005B4339">
        <w:rPr>
          <w:noProof/>
          <w:lang w:val="en-IE"/>
        </w:rPr>
        <w:t>2022</w:t>
      </w:r>
    </w:p>
    <w:p w14:paraId="24002C37" w14:textId="77777777" w:rsidR="00FB3D28" w:rsidRPr="005B4339" w:rsidRDefault="00FB3D28" w:rsidP="00FB3D28">
      <w:pPr>
        <w:spacing w:after="120"/>
        <w:rPr>
          <w:noProof/>
          <w:lang w:val="en-IE"/>
        </w:rPr>
      </w:pPr>
      <w:r w:rsidRPr="005B4339">
        <w:rPr>
          <w:noProof/>
          <w:lang w:val="en-IE"/>
        </w:rPr>
        <w:t xml:space="preserve">Sandin, G., and M. Peters, G., </w:t>
      </w:r>
      <w:r w:rsidRPr="005B4339">
        <w:rPr>
          <w:i/>
          <w:noProof/>
          <w:lang w:val="en-IE"/>
        </w:rPr>
        <w:t>Environmental impact of textile reuse and recycling – A review</w:t>
      </w:r>
      <w:r w:rsidRPr="005B4339">
        <w:rPr>
          <w:noProof/>
          <w:lang w:val="en-IE"/>
        </w:rPr>
        <w:t xml:space="preserve">, 2018, </w:t>
      </w:r>
      <w:hyperlink r:id="rId258" w:anchor="bib21">
        <w:r w:rsidRPr="005B4339">
          <w:rPr>
            <w:noProof/>
            <w:color w:val="0000FF" w:themeColor="hyperlink"/>
            <w:u w:val="single"/>
            <w:lang w:val="en-IE"/>
          </w:rPr>
          <w:t>https://www.sciencedirect.com/science/article/pii/S0959652618305985#bib21</w:t>
        </w:r>
      </w:hyperlink>
      <w:r w:rsidRPr="005B4339">
        <w:rPr>
          <w:noProof/>
          <w:lang w:val="en-IE"/>
        </w:rPr>
        <w:t>.</w:t>
      </w:r>
    </w:p>
    <w:p w14:paraId="35AD07E8" w14:textId="77777777" w:rsidR="00FB3D28" w:rsidRPr="005B4339" w:rsidRDefault="004928CC" w:rsidP="00FB3D28">
      <w:pPr>
        <w:spacing w:after="120"/>
        <w:rPr>
          <w:noProof/>
          <w:lang w:val="en-IE"/>
        </w:rPr>
      </w:pPr>
      <w:hyperlink r:id="rId259" w:anchor="section-cited-by">
        <w:r w:rsidR="00FB3D28" w:rsidRPr="005B4339">
          <w:rPr>
            <w:noProof/>
            <w:lang w:val="en-IE"/>
          </w:rPr>
          <w:t xml:space="preserve">Scheffer, M.R. </w:t>
        </w:r>
      </w:hyperlink>
      <w:r w:rsidR="00FB3D28" w:rsidRPr="005B4339">
        <w:rPr>
          <w:noProof/>
          <w:lang w:val="en-IE"/>
        </w:rPr>
        <w:t>’Shishoo R. (ed.). The global textile and clothing industry</w:t>
      </w:r>
      <w:r w:rsidR="00FB3D28" w:rsidRPr="005B4339">
        <w:rPr>
          <w:i/>
          <w:noProof/>
          <w:lang w:val="en-IE"/>
        </w:rPr>
        <w:t xml:space="preserve"> </w:t>
      </w:r>
      <w:r w:rsidR="00FB3D28" w:rsidRPr="005B4339">
        <w:rPr>
          <w:noProof/>
          <w:lang w:val="en-IE"/>
        </w:rPr>
        <w:t xml:space="preserve">Technological advances and future challenges  </w:t>
      </w:r>
      <w:r w:rsidR="00FB3D28" w:rsidRPr="005B4339">
        <w:rPr>
          <w:i/>
          <w:noProof/>
          <w:lang w:val="en-IE"/>
        </w:rPr>
        <w:t xml:space="preserve">Trends in textile markets and their implications for textile products and processes </w:t>
      </w:r>
      <w:r w:rsidR="00FB3D28" w:rsidRPr="005B4339">
        <w:rPr>
          <w:noProof/>
          <w:lang w:val="en-IE"/>
        </w:rPr>
        <w:t xml:space="preserve"> Cambridge: Woodhead Publishing Ltd  2012  pp. 8– 28.</w:t>
      </w:r>
    </w:p>
    <w:p w14:paraId="4A152586" w14:textId="77777777" w:rsidR="00FB3D28" w:rsidRPr="005B4339" w:rsidRDefault="00FB3D28" w:rsidP="00FB3D28">
      <w:pPr>
        <w:spacing w:after="120"/>
        <w:rPr>
          <w:noProof/>
          <w:lang w:val="en-IE"/>
        </w:rPr>
      </w:pPr>
      <w:r w:rsidRPr="005B4339">
        <w:rPr>
          <w:noProof/>
          <w:lang w:val="en-IE"/>
        </w:rPr>
        <w:t xml:space="preserve">Shaikh, M.A., </w:t>
      </w:r>
      <w:hyperlink r:id="rId260" w:history="1">
        <w:r w:rsidRPr="005B4339">
          <w:rPr>
            <w:i/>
            <w:noProof/>
            <w:color w:val="0000FF" w:themeColor="hyperlink"/>
            <w:u w:val="single"/>
            <w:lang w:val="en-IE"/>
          </w:rPr>
          <w:t>Water conservation in textile industry</w:t>
        </w:r>
      </w:hyperlink>
      <w:r w:rsidRPr="005B4339">
        <w:rPr>
          <w:i/>
          <w:noProof/>
          <w:lang w:val="en-IE"/>
        </w:rPr>
        <w:t>,</w:t>
      </w:r>
      <w:r w:rsidRPr="005B4339">
        <w:rPr>
          <w:noProof/>
          <w:lang w:val="en-IE"/>
        </w:rPr>
        <w:t xml:space="preserve"> College of Textile Engineering, SFDAC, 2009.</w:t>
      </w:r>
    </w:p>
    <w:p w14:paraId="284D6225" w14:textId="77777777" w:rsidR="00FB3D28" w:rsidRPr="005B4339" w:rsidRDefault="00FB3D28" w:rsidP="00FB3D28">
      <w:pPr>
        <w:spacing w:after="120"/>
        <w:rPr>
          <w:rFonts w:eastAsia="Times New Roman"/>
          <w:noProof/>
          <w:color w:val="0000FF" w:themeColor="hyperlink"/>
          <w:u w:val="single"/>
          <w:lang w:val="en-IE"/>
        </w:rPr>
      </w:pPr>
      <w:r w:rsidRPr="005B4339">
        <w:rPr>
          <w:rFonts w:eastAsia="Times New Roman"/>
          <w:noProof/>
          <w:color w:val="000000" w:themeColor="text1"/>
          <w:lang w:val="en-IE"/>
        </w:rPr>
        <w:t xml:space="preserve">Statista, </w:t>
      </w:r>
      <w:r w:rsidRPr="005B4339">
        <w:rPr>
          <w:rFonts w:eastAsia="Times New Roman"/>
          <w:i/>
          <w:iCs/>
          <w:noProof/>
          <w:color w:val="000000" w:themeColor="text1"/>
          <w:lang w:val="en-IE"/>
        </w:rPr>
        <w:t xml:space="preserve">Fashion e-commerce revenue forecast in Europe from 2017 to 2025, by segment, </w:t>
      </w:r>
      <w:r w:rsidRPr="005B4339">
        <w:rPr>
          <w:rFonts w:eastAsia="Times New Roman"/>
          <w:noProof/>
          <w:color w:val="000000" w:themeColor="text1"/>
          <w:lang w:val="en-IE"/>
        </w:rPr>
        <w:t xml:space="preserve">2022 </w:t>
      </w:r>
      <w:hyperlink r:id="rId261">
        <w:r w:rsidRPr="005B4339">
          <w:rPr>
            <w:rFonts w:eastAsia="Times New Roman"/>
            <w:noProof/>
            <w:color w:val="0000FF" w:themeColor="hyperlink"/>
            <w:u w:val="single"/>
            <w:lang w:val="en-IE"/>
          </w:rPr>
          <w:t>Europe: e-commerce fashion segment revenue | Statista.</w:t>
        </w:r>
      </w:hyperlink>
    </w:p>
    <w:p w14:paraId="3BBADE76" w14:textId="77777777" w:rsidR="00FB3D28" w:rsidRPr="005B4339" w:rsidRDefault="00FB3D28" w:rsidP="00FB3D28">
      <w:pPr>
        <w:spacing w:after="120"/>
        <w:rPr>
          <w:noProof/>
          <w:lang w:val="en-IE"/>
        </w:rPr>
      </w:pPr>
      <w:r w:rsidRPr="005B4339">
        <w:rPr>
          <w:noProof/>
          <w:lang w:val="en-IE"/>
        </w:rPr>
        <w:t xml:space="preserve">STATISTA, </w:t>
      </w:r>
      <w:r w:rsidRPr="005B4339">
        <w:rPr>
          <w:i/>
          <w:noProof/>
          <w:lang w:val="en-IE"/>
        </w:rPr>
        <w:t xml:space="preserve">Household consumption of textiles and clothing in the European Union from 2009 to 2020, </w:t>
      </w:r>
      <w:r w:rsidRPr="005B4339">
        <w:rPr>
          <w:noProof/>
          <w:lang w:val="en-IE"/>
        </w:rPr>
        <w:t>2022.</w:t>
      </w:r>
    </w:p>
    <w:p w14:paraId="0AF5377A" w14:textId="0329725B" w:rsidR="00FB3D28" w:rsidRPr="005B4339" w:rsidRDefault="004928CC" w:rsidP="00FB3D28">
      <w:pPr>
        <w:spacing w:after="120"/>
        <w:rPr>
          <w:noProof/>
          <w:color w:val="0000FF" w:themeColor="hyperlink"/>
          <w:u w:val="single"/>
          <w:lang w:val="en-IE"/>
        </w:rPr>
      </w:pPr>
      <w:hyperlink r:id="rId262" w:history="1">
        <w:r w:rsidR="00FB3D28" w:rsidRPr="005B4339">
          <w:rPr>
            <w:noProof/>
            <w:color w:val="0000FF" w:themeColor="hyperlink"/>
            <w:u w:val="single"/>
            <w:lang w:val="en-IE"/>
          </w:rPr>
          <w:t>Textile &amp; clothing EU household consumption 2009-2020 | Statista.</w:t>
        </w:r>
      </w:hyperlink>
    </w:p>
    <w:p w14:paraId="7C5DF84B" w14:textId="77777777" w:rsidR="00FB3D28" w:rsidRPr="005B4339" w:rsidRDefault="00FB3D28" w:rsidP="00FB3D28">
      <w:pPr>
        <w:spacing w:after="120"/>
        <w:rPr>
          <w:noProof/>
          <w:lang w:val="en-IE"/>
        </w:rPr>
      </w:pPr>
      <w:r w:rsidRPr="005B4339">
        <w:rPr>
          <w:noProof/>
          <w:lang w:val="en-IE"/>
        </w:rPr>
        <w:t xml:space="preserve">Swedish Environmental Protection Agency, </w:t>
      </w:r>
      <w:r w:rsidRPr="005B4339">
        <w:rPr>
          <w:i/>
          <w:noProof/>
          <w:lang w:val="en-IE"/>
        </w:rPr>
        <w:t>Response to interview questionnaire</w:t>
      </w:r>
      <w:r w:rsidRPr="005B4339">
        <w:rPr>
          <w:noProof/>
          <w:lang w:val="en-IE"/>
        </w:rPr>
        <w:t>, 2022.</w:t>
      </w:r>
    </w:p>
    <w:p w14:paraId="3C0B3F32" w14:textId="77777777" w:rsidR="00FB3D28" w:rsidRPr="005B4339" w:rsidRDefault="00FB3D28" w:rsidP="00FB3D28">
      <w:pPr>
        <w:spacing w:after="0"/>
        <w:rPr>
          <w:rFonts w:eastAsia="Times New Roman"/>
          <w:noProof/>
          <w:color w:val="000000" w:themeColor="text1"/>
          <w:lang w:val="en-IE"/>
        </w:rPr>
      </w:pPr>
      <w:r w:rsidRPr="005B4339">
        <w:rPr>
          <w:rFonts w:eastAsia="Times New Roman"/>
          <w:noProof/>
          <w:color w:val="000000" w:themeColor="text1"/>
          <w:lang w:val="en-IE"/>
        </w:rPr>
        <w:t xml:space="preserve">The Conversation, </w:t>
      </w:r>
      <w:r w:rsidRPr="005B4339">
        <w:rPr>
          <w:rFonts w:eastAsia="Times New Roman"/>
          <w:i/>
          <w:noProof/>
          <w:color w:val="000000" w:themeColor="text1"/>
          <w:lang w:val="en-IE"/>
        </w:rPr>
        <w:t xml:space="preserve">Do you shop for second-hand clothes? You’re likely to be more stylish, </w:t>
      </w:r>
      <w:r w:rsidRPr="005B4339">
        <w:rPr>
          <w:rFonts w:eastAsia="Times New Roman"/>
          <w:noProof/>
          <w:color w:val="000000" w:themeColor="text1"/>
          <w:lang w:val="en-IE"/>
        </w:rPr>
        <w:t>2022.</w:t>
      </w:r>
    </w:p>
    <w:p w14:paraId="16843503" w14:textId="77777777" w:rsidR="00FB3D28" w:rsidRPr="005B4339" w:rsidRDefault="004928CC" w:rsidP="00FB3D28">
      <w:pPr>
        <w:spacing w:after="120"/>
        <w:rPr>
          <w:rFonts w:eastAsia="Times New Roman"/>
          <w:noProof/>
          <w:color w:val="000000" w:themeColor="text1"/>
          <w:lang w:val="en-IE"/>
        </w:rPr>
      </w:pPr>
      <w:hyperlink r:id="rId263">
        <w:r w:rsidR="00FB3D28" w:rsidRPr="005B4339">
          <w:rPr>
            <w:rFonts w:eastAsia="Times New Roman"/>
            <w:noProof/>
            <w:color w:val="0000FF" w:themeColor="hyperlink"/>
            <w:u w:val="single"/>
            <w:lang w:val="en-IE"/>
          </w:rPr>
          <w:t>Do you shop for second-hand clothes? You're likely to be more stylish (theconversation.com).</w:t>
        </w:r>
      </w:hyperlink>
      <w:r w:rsidR="00FB3D28" w:rsidRPr="005B4339">
        <w:rPr>
          <w:noProof/>
          <w:lang w:val="en-IE"/>
        </w:rPr>
        <w:t xml:space="preserve"> </w:t>
      </w:r>
    </w:p>
    <w:p w14:paraId="68F27161" w14:textId="77777777" w:rsidR="00FB3D28" w:rsidRPr="005B4339" w:rsidRDefault="00FB3D28" w:rsidP="00FB3D28">
      <w:pPr>
        <w:spacing w:after="120"/>
        <w:rPr>
          <w:noProof/>
          <w:color w:val="0000FF" w:themeColor="hyperlink"/>
          <w:u w:val="single"/>
          <w:lang w:val="en-IE"/>
        </w:rPr>
      </w:pPr>
      <w:r w:rsidRPr="005B4339">
        <w:rPr>
          <w:noProof/>
          <w:lang w:val="en-IE"/>
        </w:rPr>
        <w:t xml:space="preserve">The Exchange, </w:t>
      </w:r>
      <w:r w:rsidRPr="005B4339">
        <w:rPr>
          <w:i/>
          <w:noProof/>
          <w:lang w:val="en-IE"/>
        </w:rPr>
        <w:t>Africa is fighting a losing battle banning used apparel</w:t>
      </w:r>
      <w:r w:rsidRPr="005B4339">
        <w:rPr>
          <w:noProof/>
          <w:lang w:val="en-IE"/>
        </w:rPr>
        <w:t xml:space="preserve">, 2021, </w:t>
      </w:r>
      <w:hyperlink r:id="rId264">
        <w:r w:rsidRPr="005B4339">
          <w:rPr>
            <w:noProof/>
            <w:color w:val="0000FF" w:themeColor="hyperlink"/>
            <w:u w:val="single"/>
            <w:lang w:val="en-IE"/>
          </w:rPr>
          <w:t>https://theexchange.africa/industry-and-trade/africa-second-hand-clothes-imports-ban/.</w:t>
        </w:r>
      </w:hyperlink>
    </w:p>
    <w:p w14:paraId="37F48668" w14:textId="77777777" w:rsidR="00FB3D28" w:rsidRPr="005B4339" w:rsidRDefault="00FB3D28" w:rsidP="00FB3D28">
      <w:pPr>
        <w:spacing w:after="120"/>
        <w:rPr>
          <w:noProof/>
          <w:lang w:val="en-IE"/>
        </w:rPr>
      </w:pPr>
      <w:r w:rsidRPr="005B4339">
        <w:rPr>
          <w:noProof/>
          <w:lang w:val="en-IE"/>
        </w:rPr>
        <w:t xml:space="preserve">The Policy Hub, </w:t>
      </w:r>
      <w:r w:rsidRPr="005B4339">
        <w:rPr>
          <w:i/>
          <w:noProof/>
          <w:lang w:val="en-IE"/>
        </w:rPr>
        <w:t>Circularity for Apparel and Footwear</w:t>
      </w:r>
      <w:r w:rsidRPr="005B4339">
        <w:rPr>
          <w:noProof/>
          <w:lang w:val="en-IE"/>
        </w:rPr>
        <w:t>, Response to interview questionnaire, 2022.</w:t>
      </w:r>
    </w:p>
    <w:p w14:paraId="3AD51A66" w14:textId="77777777" w:rsidR="00FB3D28" w:rsidRPr="005B4339" w:rsidRDefault="00FB3D28" w:rsidP="00FB3D28">
      <w:pPr>
        <w:spacing w:after="120"/>
        <w:rPr>
          <w:noProof/>
          <w:lang w:val="en-IE"/>
        </w:rPr>
      </w:pPr>
      <w:r w:rsidRPr="005B4339">
        <w:rPr>
          <w:noProof/>
          <w:lang w:val="en-IE"/>
        </w:rPr>
        <w:t xml:space="preserve">Tojo, N., Kogg, B., Kiørboe, N., Kjær B. and Aalto K., </w:t>
      </w:r>
      <w:r w:rsidRPr="005B4339">
        <w:rPr>
          <w:i/>
          <w:noProof/>
          <w:lang w:val="en-IE"/>
        </w:rPr>
        <w:t>Prevention of Textile Waste. Material flows of textiles in three Nordic countries and suggestions on policy instruments</w:t>
      </w:r>
      <w:r w:rsidRPr="005B4339">
        <w:rPr>
          <w:noProof/>
          <w:lang w:val="en-IE"/>
        </w:rPr>
        <w:t>, NORDEN, http://dx.doi.org/10.6027/TN2012-545</w:t>
      </w:r>
    </w:p>
    <w:p w14:paraId="7893A967" w14:textId="3B388798" w:rsidR="00F01646" w:rsidRPr="005B4339" w:rsidRDefault="007F5D80" w:rsidP="003D4074">
      <w:pPr>
        <w:spacing w:after="120"/>
        <w:rPr>
          <w:rFonts w:eastAsia="Times New Roman"/>
          <w:noProof/>
          <w:lang w:val="en-IE"/>
        </w:rPr>
      </w:pPr>
      <w:r w:rsidRPr="005B4339">
        <w:rPr>
          <w:noProof/>
          <w:lang w:val="en-IE"/>
        </w:rPr>
        <w:t>United Nations,</w:t>
      </w:r>
      <w:r w:rsidR="003D4074" w:rsidRPr="005B4339">
        <w:rPr>
          <w:noProof/>
          <w:lang w:val="en-IE"/>
        </w:rPr>
        <w:t xml:space="preserve"> Kuwonu, F.,</w:t>
      </w:r>
      <w:r w:rsidRPr="005B4339">
        <w:rPr>
          <w:noProof/>
          <w:lang w:val="en-IE"/>
        </w:rPr>
        <w:t xml:space="preserve"> </w:t>
      </w:r>
      <w:hyperlink r:id="rId265" w:history="1">
        <w:r w:rsidR="00F01646" w:rsidRPr="005B4339">
          <w:rPr>
            <w:rStyle w:val="Hyperlink"/>
            <w:noProof/>
            <w:lang w:val="en-IE"/>
          </w:rPr>
          <w:t>Protectionist ban on imported used clothing | Africa Renewal (un.org)</w:t>
        </w:r>
      </w:hyperlink>
      <w:r w:rsidRPr="005B4339">
        <w:rPr>
          <w:noProof/>
          <w:lang w:val="en-IE"/>
        </w:rPr>
        <w:t xml:space="preserve">, </w:t>
      </w:r>
      <w:r w:rsidR="003D4074" w:rsidRPr="005B4339">
        <w:rPr>
          <w:noProof/>
          <w:lang w:val="en-IE"/>
        </w:rPr>
        <w:t>December 2017 - March 2018</w:t>
      </w:r>
    </w:p>
    <w:p w14:paraId="1C6293FF" w14:textId="21C0B2AF" w:rsidR="00FB3D28" w:rsidRPr="005B4339" w:rsidRDefault="00FB3D28" w:rsidP="00FB3D28">
      <w:pPr>
        <w:spacing w:after="120"/>
        <w:rPr>
          <w:rFonts w:eastAsia="Times New Roman"/>
          <w:noProof/>
          <w:lang w:val="en-IE"/>
        </w:rPr>
      </w:pPr>
      <w:r w:rsidRPr="005B4339">
        <w:rPr>
          <w:rFonts w:eastAsia="Times New Roman"/>
          <w:noProof/>
          <w:lang w:val="en-IE"/>
        </w:rPr>
        <w:t xml:space="preserve">Watson, D., Kant Hvass, K., Moora, H., Martin, K., Nausėdė, V., Gurauskiene, I., &amp; Akule, D., </w:t>
      </w:r>
      <w:r w:rsidRPr="005B4339">
        <w:rPr>
          <w:rFonts w:eastAsia="Times New Roman"/>
          <w:i/>
          <w:noProof/>
          <w:lang w:val="en-IE"/>
        </w:rPr>
        <w:t xml:space="preserve">Textile circularity in the Baltic countries: current status and recommendations for the future </w:t>
      </w:r>
      <w:r w:rsidRPr="005B4339">
        <w:rPr>
          <w:rFonts w:eastAsia="Times New Roman"/>
          <w:noProof/>
          <w:lang w:val="en-IE"/>
        </w:rPr>
        <w:t xml:space="preserve"> Nordic Council of Ministers TemaNord Report  2020b.</w:t>
      </w:r>
    </w:p>
    <w:p w14:paraId="0CD4686B" w14:textId="4731701A" w:rsidR="00FB3D28" w:rsidRPr="005B4339" w:rsidRDefault="00FB3D28" w:rsidP="00FB3D28">
      <w:pPr>
        <w:spacing w:after="120"/>
        <w:rPr>
          <w:rFonts w:eastAsia="Times New Roman"/>
          <w:noProof/>
          <w:lang w:val="en-IE"/>
        </w:rPr>
      </w:pPr>
      <w:r w:rsidRPr="005B4339">
        <w:rPr>
          <w:rFonts w:eastAsia="Times New Roman"/>
          <w:noProof/>
          <w:lang w:val="en-IE"/>
        </w:rPr>
        <w:t xml:space="preserve">Watson, D., Trzepacz, S., Kiørboe, N., Elander, M., Ljungkvist Nordin, H., Lander Svendsen N., &amp; Wittus Skottfelt, S., </w:t>
      </w:r>
      <w:r w:rsidRPr="005B4339">
        <w:rPr>
          <w:rFonts w:eastAsia="Times New Roman"/>
          <w:i/>
          <w:noProof/>
          <w:lang w:val="en-IE"/>
        </w:rPr>
        <w:t>Towards 2025: Separate Collection and Treatment of Used Textiles in 6 EU countries</w:t>
      </w:r>
      <w:r w:rsidRPr="005B4339">
        <w:rPr>
          <w:rFonts w:eastAsia="Times New Roman"/>
          <w:noProof/>
          <w:lang w:val="en-IE"/>
        </w:rPr>
        <w:t xml:space="preserve">  2020a.</w:t>
      </w:r>
    </w:p>
    <w:p w14:paraId="4BB68EFC" w14:textId="77777777" w:rsidR="00FB3D28" w:rsidRPr="005B4339" w:rsidRDefault="00FB3D28" w:rsidP="00FB3D28">
      <w:pPr>
        <w:spacing w:after="120"/>
        <w:rPr>
          <w:rFonts w:eastAsia="Times New Roman"/>
          <w:noProof/>
          <w:lang w:val="en-IE"/>
        </w:rPr>
      </w:pPr>
      <w:r w:rsidRPr="005B4339">
        <w:rPr>
          <w:rFonts w:eastAsia="Times New Roman"/>
          <w:noProof/>
          <w:lang w:val="en-IE"/>
        </w:rPr>
        <w:t xml:space="preserve">Watson, D., Aare, A., K., Trzepacz, S., and Dahl Petersen, C., </w:t>
      </w:r>
      <w:r w:rsidRPr="005B4339">
        <w:rPr>
          <w:rFonts w:eastAsia="Times New Roman"/>
          <w:i/>
          <w:noProof/>
          <w:lang w:val="en-IE"/>
        </w:rPr>
        <w:t>Used Textile Collection in European Cities,</w:t>
      </w:r>
      <w:r w:rsidRPr="005B4339">
        <w:rPr>
          <w:rFonts w:eastAsia="Times New Roman"/>
          <w:noProof/>
          <w:lang w:val="en-IE"/>
        </w:rPr>
        <w:t xml:space="preserve"> Study commissioned by Rijkswaterstaat under the European Clothing Action Plan (ECAP)  2018a.</w:t>
      </w:r>
    </w:p>
    <w:p w14:paraId="359849A4" w14:textId="77777777" w:rsidR="00FB3D28" w:rsidRPr="005B4339" w:rsidRDefault="00FB3D28" w:rsidP="00FB3D28">
      <w:pPr>
        <w:spacing w:before="120" w:after="120"/>
        <w:jc w:val="center"/>
        <w:rPr>
          <w:rFonts w:eastAsia="Calibri"/>
          <w:b/>
          <w:noProof/>
          <w:lang w:val="en-IE"/>
        </w:rPr>
      </w:pPr>
    </w:p>
    <w:p w14:paraId="2E4DE83A" w14:textId="3CF7DC42" w:rsidR="00FB3D28" w:rsidRPr="005B4339" w:rsidRDefault="00101833" w:rsidP="00A8561A">
      <w:pPr>
        <w:pStyle w:val="Heading2"/>
        <w:rPr>
          <w:rFonts w:eastAsia="Calibri"/>
          <w:noProof/>
          <w:lang w:val="en-IE"/>
        </w:rPr>
      </w:pPr>
      <w:bookmarkStart w:id="1097" w:name="_Toc139032157"/>
      <w:r w:rsidRPr="005B4339">
        <w:rPr>
          <w:noProof/>
          <w:lang w:val="en-IE"/>
        </w:rPr>
        <w:t>B</w:t>
      </w:r>
      <w:r w:rsidR="00635164" w:rsidRPr="005B4339">
        <w:rPr>
          <w:noProof/>
          <w:lang w:val="en-IE"/>
        </w:rPr>
        <w:t>ibliography for food waste</w:t>
      </w:r>
      <w:bookmarkEnd w:id="1097"/>
    </w:p>
    <w:p w14:paraId="7DD2D621" w14:textId="2BBEDD1E" w:rsidR="00FB3D28" w:rsidRPr="005B4339" w:rsidRDefault="00FB3D28" w:rsidP="00FB3D28">
      <w:pPr>
        <w:widowControl w:val="0"/>
        <w:autoSpaceDE w:val="0"/>
        <w:autoSpaceDN w:val="0"/>
        <w:adjustRightInd w:val="0"/>
        <w:ind w:left="480" w:hanging="480"/>
        <w:rPr>
          <w:noProof/>
          <w:lang w:val="en-IE"/>
        </w:rPr>
      </w:pPr>
      <w:r w:rsidRPr="005B4339">
        <w:rPr>
          <w:noProof/>
          <w:lang w:val="en-IE"/>
        </w:rPr>
        <w:t>Aguiar, A., Chepeliev, M., Corong, E., Mcdougal, R., Van der Mensbrugghe, D., The gtap data base: Version 10. J. Glob. Econ. Anal. 4 1–27, 2019a, https://doi.org/10.21642/JGEA.040101AF</w:t>
      </w:r>
    </w:p>
    <w:p w14:paraId="1C6DA0C2" w14:textId="2F6254C5" w:rsidR="00FB3D28" w:rsidRPr="005B4339" w:rsidRDefault="00FB3D28" w:rsidP="00FB3D28">
      <w:pPr>
        <w:widowControl w:val="0"/>
        <w:autoSpaceDE w:val="0"/>
        <w:autoSpaceDN w:val="0"/>
        <w:adjustRightInd w:val="0"/>
        <w:ind w:left="480" w:hanging="480"/>
        <w:rPr>
          <w:noProof/>
          <w:lang w:val="en-IE"/>
        </w:rPr>
      </w:pPr>
      <w:r w:rsidRPr="005B4339">
        <w:rPr>
          <w:noProof/>
          <w:lang w:val="en-IE"/>
        </w:rPr>
        <w:t>Aguiar A Corong E.L an der Mensbrugghe D Bekkers E Koopman R Teh R 2019b. The WTO Global Trade Model: Technical documentation WTO Staff Working Papers.</w:t>
      </w:r>
    </w:p>
    <w:p w14:paraId="4C1F64A2" w14:textId="77777777" w:rsidR="00073432" w:rsidRPr="005B4339" w:rsidRDefault="00073432" w:rsidP="00073432">
      <w:pPr>
        <w:widowControl w:val="0"/>
        <w:autoSpaceDE w:val="0"/>
        <w:autoSpaceDN w:val="0"/>
        <w:adjustRightInd w:val="0"/>
        <w:ind w:left="480" w:hanging="480"/>
        <w:rPr>
          <w:noProof/>
        </w:rPr>
      </w:pPr>
      <w:r w:rsidRPr="00641A5B">
        <w:rPr>
          <w:noProof/>
          <w:lang w:val="pt-PT"/>
        </w:rPr>
        <w:t xml:space="preserve">Amadei, A.M., Laurentiis, V. De, Sala, S., 2021. </w:t>
      </w:r>
      <w:r w:rsidRPr="005B4339">
        <w:rPr>
          <w:noProof/>
        </w:rPr>
        <w:t>A review of monetary valuation in life cycle assessment : State of the art and future needs. J. Clean. Prod. 329, 129668. https://doi.org/10.1016/j.jclepro.2021.129668</w:t>
      </w:r>
    </w:p>
    <w:p w14:paraId="041E0140" w14:textId="2CB5402B" w:rsidR="006D0C68" w:rsidRPr="005B4339" w:rsidRDefault="006D0C68" w:rsidP="00FB3D28">
      <w:pPr>
        <w:widowControl w:val="0"/>
        <w:autoSpaceDE w:val="0"/>
        <w:autoSpaceDN w:val="0"/>
        <w:adjustRightInd w:val="0"/>
        <w:ind w:left="480" w:hanging="480"/>
        <w:rPr>
          <w:noProof/>
          <w:lang w:val="en-IE"/>
        </w:rPr>
      </w:pPr>
      <w:r w:rsidRPr="005B4339">
        <w:rPr>
          <w:noProof/>
          <w:lang w:val="en-IE"/>
        </w:rPr>
        <w:t>Andreasi Bassi, S., Biganzoli, F., Ferrara, N., Amadei, A., Valente, A., Sala, S. and Ardente, F. (2023) Updated characterisation and normalisation factors for the Environmental Footprint 3.1 method, EUR 31414 EN, Publications Office of the European Union, Luxembourg, ISBN 978-92-76-99069-7, doi:10.2760/798894, JRC130796.</w:t>
      </w:r>
    </w:p>
    <w:p w14:paraId="34BCF431"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it-IT"/>
        </w:rPr>
        <w:t xml:space="preserve">Barba Navaretti G Castellani D Pieri F 2014. </w:t>
      </w:r>
      <w:r w:rsidRPr="005B4339">
        <w:rPr>
          <w:noProof/>
          <w:lang w:val="en-IE"/>
        </w:rPr>
        <w:t>Age and firm growth: evidence from three European countries. Small Bus. Econ. 43 823–837. https://doi.org/10.1007/s11187-014-9564-6</w:t>
      </w:r>
    </w:p>
    <w:p w14:paraId="4FF0BABD" w14:textId="3818ED99" w:rsidR="00FB3D28" w:rsidRPr="005B4339" w:rsidRDefault="00FB3D28" w:rsidP="00FB3D28">
      <w:pPr>
        <w:widowControl w:val="0"/>
        <w:autoSpaceDE w:val="0"/>
        <w:autoSpaceDN w:val="0"/>
        <w:adjustRightInd w:val="0"/>
        <w:ind w:left="480" w:hanging="480"/>
        <w:rPr>
          <w:noProof/>
          <w:lang w:val="en-IE"/>
        </w:rPr>
      </w:pPr>
      <w:r w:rsidRPr="005B4339">
        <w:rPr>
          <w:noProof/>
          <w:lang w:val="en-IE"/>
        </w:rPr>
        <w:t>Bartelings H Verma M Boysen K 2021. Waste management and circular economy in a CGE framework Heleen Bartelings. 24th Annual Conference on Global Economic Analysis p. 14.</w:t>
      </w:r>
    </w:p>
    <w:p w14:paraId="04285FA8" w14:textId="77777777" w:rsidR="00073432" w:rsidRPr="005B4339" w:rsidRDefault="00073432" w:rsidP="00073432">
      <w:pPr>
        <w:widowControl w:val="0"/>
        <w:autoSpaceDE w:val="0"/>
        <w:autoSpaceDN w:val="0"/>
        <w:adjustRightInd w:val="0"/>
        <w:ind w:left="480" w:hanging="480"/>
        <w:rPr>
          <w:rFonts w:ascii="EC Square Sans Pro" w:hAnsi="EC Square Sans Pro"/>
          <w:noProof/>
        </w:rPr>
      </w:pPr>
      <w:r w:rsidRPr="005B4339">
        <w:rPr>
          <w:rFonts w:ascii="EC Square Sans Pro" w:hAnsi="EC Square Sans Pro"/>
          <w:noProof/>
        </w:rPr>
        <w:t>B</w:t>
      </w:r>
      <w:r w:rsidRPr="005B4339">
        <w:rPr>
          <w:noProof/>
        </w:rPr>
        <w:t>eck, T., Demirgüç-Kunt, A., Maksimovic, V., 2005. Financial and Legal Constraints to Growth: Does Firm Size Matter? J. Finance 60, 137–177. https://doi.org/10.1111/j.1540-6261.2005.00727.x</w:t>
      </w:r>
    </w:p>
    <w:p w14:paraId="32F10F03"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Boulanger P Boysen-Urban K Philippidis G 2021. European union agricultural support ‘coupling’ in simulation modelling: Measuring the sustainability impacts. Sustainability 13 1–17. https://doi.org/10.3390/su13063264</w:t>
      </w:r>
    </w:p>
    <w:p w14:paraId="64D9B01E"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Boulanger P Philippidis G 2015. The EU budget battle: Assessing the trade and welfare impacts of CAP budgetary reform. Food Policy 51 119–130. https://doi.org/10.1016/j.foodpol.2015.01.004</w:t>
      </w:r>
    </w:p>
    <w:p w14:paraId="0E465A6D"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Boysen-Urban K M’barek R Philippidis G ferrer Perez H 2022. Exploring changing food attitudes to respect planetary boundaries - A global model-based analysis. https://doi.org/10.2760/744504</w:t>
      </w:r>
    </w:p>
    <w:p w14:paraId="3C07ADD0" w14:textId="77777777" w:rsidR="00FB3D28" w:rsidRPr="00641A5B" w:rsidRDefault="00FB3D28" w:rsidP="00FB3D28">
      <w:pPr>
        <w:widowControl w:val="0"/>
        <w:autoSpaceDE w:val="0"/>
        <w:autoSpaceDN w:val="0"/>
        <w:adjustRightInd w:val="0"/>
        <w:ind w:left="480" w:hanging="480"/>
        <w:rPr>
          <w:noProof/>
        </w:rPr>
      </w:pPr>
      <w:r w:rsidRPr="00641A5B">
        <w:rPr>
          <w:noProof/>
          <w:lang w:val="pt-PT"/>
        </w:rPr>
        <w:t xml:space="preserve">Caldeira C De Laurentiis V Ghose A Corrado S Sala S 2021. </w:t>
      </w:r>
      <w:r w:rsidRPr="005B4339">
        <w:rPr>
          <w:noProof/>
          <w:lang w:val="en-IE"/>
        </w:rPr>
        <w:t xml:space="preserve">Grown and thrown: Exploring approaches to estimate food waste in EU countries. </w:t>
      </w:r>
      <w:r w:rsidRPr="00641A5B">
        <w:rPr>
          <w:noProof/>
        </w:rPr>
        <w:t>Resour. Conserv. Recycl. 168 105426. https://doi.org/10.1016/j.resconrec.2021.105426</w:t>
      </w:r>
    </w:p>
    <w:p w14:paraId="0DA3D078" w14:textId="77777777" w:rsidR="00FB3D28" w:rsidRPr="005B4339" w:rsidRDefault="00FB3D28" w:rsidP="00FB3D28">
      <w:pPr>
        <w:widowControl w:val="0"/>
        <w:autoSpaceDE w:val="0"/>
        <w:autoSpaceDN w:val="0"/>
        <w:adjustRightInd w:val="0"/>
        <w:ind w:left="480" w:hanging="480"/>
        <w:rPr>
          <w:noProof/>
          <w:lang w:val="en-IE"/>
        </w:rPr>
      </w:pPr>
      <w:r w:rsidRPr="00641A5B">
        <w:rPr>
          <w:noProof/>
        </w:rPr>
        <w:t xml:space="preserve">Castellani V Fusi A Sala S 2017. </w:t>
      </w:r>
      <w:r w:rsidRPr="005B4339">
        <w:rPr>
          <w:noProof/>
          <w:lang w:val="en-IE"/>
        </w:rPr>
        <w:t>Consumer Footprint Basket of Products indicator on Food. https://doi.org/10.2760/668763</w:t>
      </w:r>
    </w:p>
    <w:p w14:paraId="60813F25"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Champions 12.3 2017. The Business Case for Reducing Food Loss and Waste.</w:t>
      </w:r>
    </w:p>
    <w:p w14:paraId="59604715" w14:textId="77777777" w:rsidR="00FB3D28" w:rsidRPr="005B4339" w:rsidRDefault="00FB3D28" w:rsidP="00FB3D28">
      <w:pPr>
        <w:widowControl w:val="0"/>
        <w:autoSpaceDE w:val="0"/>
        <w:autoSpaceDN w:val="0"/>
        <w:adjustRightInd w:val="0"/>
        <w:ind w:left="480" w:hanging="480"/>
        <w:rPr>
          <w:noProof/>
          <w:lang w:val="de-DE"/>
        </w:rPr>
      </w:pPr>
      <w:r w:rsidRPr="005B4339">
        <w:rPr>
          <w:noProof/>
          <w:lang w:val="en-IE"/>
        </w:rPr>
        <w:t xml:space="preserve">Christopherson S 2015. How does financialization affect manufacturing investment? Preliminary evidence from the US and UK in: J. R. Bryson J. Clark V. Vanchan (Eds Handbook of Manufacturing Industries in the World Economy. </w:t>
      </w:r>
      <w:r w:rsidRPr="005B4339">
        <w:rPr>
          <w:noProof/>
          <w:lang w:val="de-DE"/>
        </w:rPr>
        <w:t>Edward Elgar Cheltenham pp. 42–57.</w:t>
      </w:r>
    </w:p>
    <w:p w14:paraId="5D93C5E5" w14:textId="77777777" w:rsidR="00FB3D28" w:rsidRPr="00641A5B" w:rsidRDefault="00FB3D28" w:rsidP="00FB3D28">
      <w:pPr>
        <w:widowControl w:val="0"/>
        <w:autoSpaceDE w:val="0"/>
        <w:autoSpaceDN w:val="0"/>
        <w:adjustRightInd w:val="0"/>
        <w:ind w:left="480" w:hanging="480"/>
        <w:rPr>
          <w:noProof/>
        </w:rPr>
      </w:pPr>
      <w:r w:rsidRPr="005B4339">
        <w:rPr>
          <w:noProof/>
          <w:lang w:val="de-DE"/>
        </w:rPr>
        <w:t xml:space="preserve">Corong E 2017. The Standard GTAP Model: Version 7. </w:t>
      </w:r>
      <w:r w:rsidRPr="00641A5B">
        <w:rPr>
          <w:noProof/>
          <w:lang w:val="de-DE"/>
        </w:rPr>
        <w:t xml:space="preserve">J. Glob. </w:t>
      </w:r>
      <w:r w:rsidRPr="00641A5B">
        <w:rPr>
          <w:noProof/>
        </w:rPr>
        <w:t>Econ. Anal. 2 1–118. https://doi.org/10.21642/jgea.0201xxad</w:t>
      </w:r>
    </w:p>
    <w:p w14:paraId="091BD728" w14:textId="77777777" w:rsidR="00FB3D28" w:rsidRPr="005B4339" w:rsidRDefault="00FB3D28" w:rsidP="00FB3D28">
      <w:pPr>
        <w:widowControl w:val="0"/>
        <w:autoSpaceDE w:val="0"/>
        <w:autoSpaceDN w:val="0"/>
        <w:adjustRightInd w:val="0"/>
        <w:ind w:left="480" w:hanging="480"/>
        <w:rPr>
          <w:noProof/>
          <w:lang w:val="it-IT"/>
        </w:rPr>
      </w:pPr>
      <w:r w:rsidRPr="00641A5B">
        <w:rPr>
          <w:noProof/>
        </w:rPr>
        <w:t xml:space="preserve">Crenna E Sinkko T Sala S 2019. </w:t>
      </w:r>
      <w:r w:rsidRPr="005B4339">
        <w:rPr>
          <w:noProof/>
          <w:lang w:val="en-IE"/>
        </w:rPr>
        <w:t xml:space="preserve">Biodiversity impacts due to food consumption in Europe. </w:t>
      </w:r>
      <w:r w:rsidRPr="005B4339">
        <w:rPr>
          <w:noProof/>
          <w:lang w:val="it-IT"/>
        </w:rPr>
        <w:t>J. Clean. Prod. 227 378–391. https://doi.org/10.1016/J.JCLEPRO.2019.04.054</w:t>
      </w:r>
    </w:p>
    <w:p w14:paraId="0C19E1C4"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it-IT"/>
        </w:rPr>
        <w:t xml:space="preserve">Crippa M Solazzo E Guizzardi D Monforti-Ferrario F Tubiello F.N Leip A 2021. </w:t>
      </w:r>
      <w:r w:rsidRPr="005B4339">
        <w:rPr>
          <w:noProof/>
          <w:lang w:val="en-IE"/>
        </w:rPr>
        <w:t>Food systems are responsible for a third of global anthropogenic GHG emissions. Nat. Food 2 198–209. https://doi.org/10.1038/s43016-021-00225-9</w:t>
      </w:r>
    </w:p>
    <w:p w14:paraId="57F6D393" w14:textId="5964FD62" w:rsidR="00FB3D28" w:rsidRPr="000F1D8A" w:rsidRDefault="00FB3D28" w:rsidP="00FB3D28">
      <w:pPr>
        <w:widowControl w:val="0"/>
        <w:autoSpaceDE w:val="0"/>
        <w:autoSpaceDN w:val="0"/>
        <w:adjustRightInd w:val="0"/>
        <w:ind w:left="480" w:hanging="480"/>
        <w:rPr>
          <w:noProof/>
          <w:lang w:val="en-IE"/>
        </w:rPr>
      </w:pPr>
      <w:r w:rsidRPr="005B4339">
        <w:rPr>
          <w:noProof/>
          <w:lang w:val="en-IE"/>
        </w:rPr>
        <w:t xml:space="preserve">Daioglou V Stehfest E Wicke B Faaij A van Vuuren D.P 2016. Projections of the availability and cost of residues from agriculture and forestry. </w:t>
      </w:r>
      <w:r w:rsidRPr="000F1D8A">
        <w:rPr>
          <w:noProof/>
          <w:lang w:val="en-IE"/>
        </w:rPr>
        <w:t>GCB Bioenergy 8 456–470. https://doi.org/10.1111/gcbb.12285</w:t>
      </w:r>
    </w:p>
    <w:p w14:paraId="4CDDE6FB" w14:textId="16CC1DAB" w:rsidR="00B2642D" w:rsidRPr="005B4339" w:rsidRDefault="00B2642D" w:rsidP="00B2642D">
      <w:pPr>
        <w:widowControl w:val="0"/>
        <w:autoSpaceDE w:val="0"/>
        <w:autoSpaceDN w:val="0"/>
        <w:adjustRightInd w:val="0"/>
        <w:ind w:left="480" w:hanging="480"/>
        <w:rPr>
          <w:noProof/>
        </w:rPr>
      </w:pPr>
      <w:r w:rsidRPr="000F1D8A">
        <w:rPr>
          <w:noProof/>
          <w:lang w:val="en-IE"/>
        </w:rPr>
        <w:t xml:space="preserve">De Jong B Boysen-Urban K De Laurentiis V Philippidis G Bartelings  H Mancini L Biganzoli F Sanyé Mengual E Sala S Lasarte-López J Rokicki B M’barek R. </w:t>
      </w:r>
      <w:r w:rsidRPr="000F1D8A">
        <w:rPr>
          <w:i/>
          <w:noProof/>
          <w:lang w:val="en-IE"/>
        </w:rPr>
        <w:t xml:space="preserve">Assessing the economic, social and environmental impacts of food waste reduction targets. </w:t>
      </w:r>
      <w:r w:rsidRPr="005B4339">
        <w:rPr>
          <w:i/>
          <w:noProof/>
        </w:rPr>
        <w:t xml:space="preserve">A model-based analysis. </w:t>
      </w:r>
      <w:r w:rsidRPr="005B4339">
        <w:rPr>
          <w:noProof/>
        </w:rPr>
        <w:t>Publications Office of the European Union, Luxembourg, 2023, doi:10.2760/77251, JRC133971.</w:t>
      </w:r>
    </w:p>
    <w:p w14:paraId="331F9129" w14:textId="212ED771" w:rsidR="00FB3D28" w:rsidRPr="00641A5B" w:rsidRDefault="00D664D5" w:rsidP="00FB3D28">
      <w:pPr>
        <w:widowControl w:val="0"/>
        <w:autoSpaceDE w:val="0"/>
        <w:autoSpaceDN w:val="0"/>
        <w:adjustRightInd w:val="0"/>
        <w:ind w:left="480" w:hanging="480"/>
        <w:rPr>
          <w:noProof/>
          <w:lang w:val="pt-PT"/>
        </w:rPr>
      </w:pPr>
      <w:r w:rsidRPr="000F1D8A">
        <w:rPr>
          <w:noProof/>
          <w:lang w:val="en-IE"/>
        </w:rPr>
        <w:t>De Laurentiis, V, Mancini, L, Casonato, C, Boysen-Urban, K, De Jong, B, M’Barek, R, Sanyé Mengual, E, Sala, S.</w:t>
      </w:r>
      <w:r w:rsidRPr="000F1D8A">
        <w:rPr>
          <w:i/>
          <w:iCs/>
          <w:noProof/>
          <w:lang w:val="en-IE"/>
        </w:rPr>
        <w:t xml:space="preserve"> Setting the scene for an EU initiative on food waste reduction targets</w:t>
      </w:r>
      <w:r w:rsidRPr="000F1D8A">
        <w:rPr>
          <w:noProof/>
          <w:lang w:val="en-IE"/>
        </w:rPr>
        <w:t>. Publication Office of the European Union, Luxembourg,</w:t>
      </w:r>
      <w:r w:rsidR="00835AEF" w:rsidRPr="000F1D8A">
        <w:rPr>
          <w:noProof/>
          <w:lang w:val="en-IE"/>
        </w:rPr>
        <w:t xml:space="preserve"> 2023,</w:t>
      </w:r>
      <w:r w:rsidRPr="000F1D8A">
        <w:rPr>
          <w:noProof/>
          <w:lang w:val="en-IE"/>
        </w:rPr>
        <w:t xml:space="preserve"> doi: 10.2760/13859, JRC133967</w:t>
      </w:r>
      <w:r w:rsidR="00FB3D28" w:rsidRPr="000F1D8A">
        <w:rPr>
          <w:noProof/>
          <w:lang w:val="en-IE"/>
        </w:rPr>
        <w:t xml:space="preserve">De Laurentiis V Caldeira C Biganzoli F Serenella S European Commission. Joint Research Centre 2021. </w:t>
      </w:r>
      <w:r w:rsidR="00FB3D28" w:rsidRPr="005B4339">
        <w:rPr>
          <w:noProof/>
          <w:lang w:val="en-IE"/>
        </w:rPr>
        <w:t xml:space="preserve">Building a balancing system for food waste accounting at national level. </w:t>
      </w:r>
      <w:r w:rsidR="00FB3D28" w:rsidRPr="00641A5B">
        <w:rPr>
          <w:noProof/>
          <w:lang w:val="pt-PT"/>
        </w:rPr>
        <w:t>Luxembourg. https://doi.org/10.2760/316306</w:t>
      </w:r>
    </w:p>
    <w:p w14:paraId="5D1094CE" w14:textId="77777777" w:rsidR="00FB3D28" w:rsidRPr="00641A5B" w:rsidRDefault="00FB3D28" w:rsidP="00FB3D28">
      <w:pPr>
        <w:widowControl w:val="0"/>
        <w:autoSpaceDE w:val="0"/>
        <w:autoSpaceDN w:val="0"/>
        <w:adjustRightInd w:val="0"/>
        <w:ind w:left="480" w:hanging="480"/>
        <w:rPr>
          <w:noProof/>
          <w:lang w:val="fr-BE"/>
        </w:rPr>
      </w:pPr>
      <w:r w:rsidRPr="00641A5B">
        <w:rPr>
          <w:noProof/>
          <w:lang w:val="pt-PT"/>
        </w:rPr>
        <w:t xml:space="preserve">De Laurentiis V Caldeira C Sala S 2020. </w:t>
      </w:r>
      <w:r w:rsidRPr="005B4339">
        <w:rPr>
          <w:noProof/>
          <w:lang w:val="en-IE"/>
        </w:rPr>
        <w:t xml:space="preserve">No time to waste: assessing the performance of food waste prevention actions. </w:t>
      </w:r>
      <w:r w:rsidRPr="00641A5B">
        <w:rPr>
          <w:noProof/>
          <w:lang w:val="fr-BE"/>
        </w:rPr>
        <w:t>Resour. Conserv. Recycl. 161 104946. https://doi.org/https://doi.org/10.1016/j.resconrec.2020.104946</w:t>
      </w:r>
    </w:p>
    <w:p w14:paraId="6029848A"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Demirel P Danisman G.O 2019. Eco‐innovation and firm growth in the circular economy: Evidence from European small‐ and medium‐sized enterprises. Bus. Strateg. Environ. 28 1608–1618. https://doi.org/10.1002/bse.2336</w:t>
      </w:r>
    </w:p>
    <w:p w14:paraId="33CE9CF1"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EC - Joint Research Centre, 2022. European Platform on Life Cycle Assessment. Consumption Footprint Platform [WWW Document]. URL https://eplca.jrc.ec.europa.eu/ConsumptionFootprintPlatform.html</w:t>
      </w:r>
    </w:p>
    <w:p w14:paraId="1867983A"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EC - European Commission 2021. Commission recommendation of 16.12.2021 on the use of the Environmental Footprint methods to measure and communicate the life cycle environmental performance of products and organisations. (2021) 9332 final.</w:t>
      </w:r>
    </w:p>
    <w:p w14:paraId="5947B845"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EC - European Commission 2020. A Farm to Fork Strategy for a fair healthy and environmentally-friendly food system. COM/2020/381 final.</w:t>
      </w:r>
    </w:p>
    <w:p w14:paraId="2F7508AF"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EEA 2022. Annual European Union greenhouse gas inventory 1990–2020 and inventory report 2022 Submission to the UNFCCC Secretariat.</w:t>
      </w:r>
    </w:p>
    <w:p w14:paraId="37DADE58" w14:textId="1D0BCD1D" w:rsidR="00FB3D28" w:rsidRPr="005B4339" w:rsidRDefault="00FB3D28" w:rsidP="00FB3D28">
      <w:pPr>
        <w:widowControl w:val="0"/>
        <w:autoSpaceDE w:val="0"/>
        <w:autoSpaceDN w:val="0"/>
        <w:adjustRightInd w:val="0"/>
        <w:ind w:left="480" w:hanging="480"/>
        <w:rPr>
          <w:noProof/>
          <w:lang w:val="en-IE"/>
        </w:rPr>
      </w:pPr>
      <w:r w:rsidRPr="005B4339">
        <w:rPr>
          <w:noProof/>
          <w:lang w:val="en-IE"/>
        </w:rPr>
        <w:t>ESTAT 2022. Food waste and food waste prevention by NACE Rev. 2 activity - tonnes of fresh mass  Eur. Comm.</w:t>
      </w:r>
    </w:p>
    <w:p w14:paraId="4AB83C61" w14:textId="77777777" w:rsidR="00073432" w:rsidRPr="005B4339" w:rsidRDefault="00073432" w:rsidP="00073432">
      <w:pPr>
        <w:widowControl w:val="0"/>
        <w:autoSpaceDE w:val="0"/>
        <w:autoSpaceDN w:val="0"/>
        <w:adjustRightInd w:val="0"/>
        <w:ind w:left="480" w:hanging="480"/>
        <w:rPr>
          <w:noProof/>
        </w:rPr>
      </w:pPr>
      <w:r w:rsidRPr="005B4339">
        <w:rPr>
          <w:noProof/>
        </w:rPr>
        <w:t xml:space="preserve">European Commission, </w:t>
      </w:r>
      <w:r w:rsidRPr="005B4339">
        <w:rPr>
          <w:noProof/>
          <w:color w:val="000000" w:themeColor="text1"/>
          <w:szCs w:val="20"/>
          <w:shd w:val="clear" w:color="auto" w:fill="FFFFFF"/>
        </w:rPr>
        <w:t>Directorate-General for Research and Innovation</w:t>
      </w:r>
      <w:r w:rsidRPr="005B4339">
        <w:rPr>
          <w:noProof/>
          <w:color w:val="000000" w:themeColor="text1"/>
        </w:rPr>
        <w:t>,</w:t>
      </w:r>
      <w:r w:rsidRPr="005B4339">
        <w:rPr>
          <w:noProof/>
        </w:rPr>
        <w:t xml:space="preserve"> Borzęcka, M., Oberč, B., Haffner, R.,  et al, 2018a. Research and innovation perspective of the mid-and long-term potential for advanced biofuels in Europe : final report. Publications Office. https://doi.org/https://data.europa.eu/doi/10.2777/557801</w:t>
      </w:r>
    </w:p>
    <w:p w14:paraId="18F13693" w14:textId="77777777" w:rsidR="00073432" w:rsidRPr="00641A5B" w:rsidRDefault="00073432" w:rsidP="00073432">
      <w:pPr>
        <w:widowControl w:val="0"/>
        <w:autoSpaceDE w:val="0"/>
        <w:autoSpaceDN w:val="0"/>
        <w:adjustRightInd w:val="0"/>
        <w:ind w:left="480" w:hanging="480"/>
        <w:rPr>
          <w:noProof/>
        </w:rPr>
      </w:pPr>
      <w:r w:rsidRPr="005B4339">
        <w:rPr>
          <w:noProof/>
        </w:rPr>
        <w:t xml:space="preserve">European Commission, </w:t>
      </w:r>
      <w:r w:rsidRPr="005B4339">
        <w:rPr>
          <w:noProof/>
          <w:color w:val="000000" w:themeColor="text1"/>
          <w:szCs w:val="20"/>
          <w:shd w:val="clear" w:color="auto" w:fill="FFFFFF"/>
        </w:rPr>
        <w:t>Directorate-General for Research and Innovation</w:t>
      </w:r>
      <w:r w:rsidRPr="005B4339">
        <w:rPr>
          <w:noProof/>
          <w:color w:val="000000" w:themeColor="text1"/>
        </w:rPr>
        <w:t>,</w:t>
      </w:r>
      <w:r w:rsidRPr="005B4339">
        <w:rPr>
          <w:noProof/>
        </w:rPr>
        <w:t xml:space="preserve"> Witzke, P., Zazias, G., Dzene, I. e. al, 2018b. Research and innovation perspective of the mid-and long-term potential for advanced biofuels in Europe – D1.2 Research and innovation scenarios for biomass potential. </w:t>
      </w:r>
      <w:r w:rsidRPr="00641A5B">
        <w:rPr>
          <w:noProof/>
        </w:rPr>
        <w:t>Publications Office. https://doi.org/https://data.europa.eu/doi/10.2777/557801</w:t>
      </w:r>
    </w:p>
    <w:p w14:paraId="5FBEB785" w14:textId="7E8011F8" w:rsidR="00FB3D28" w:rsidRPr="00641A5B" w:rsidRDefault="00FB3D28" w:rsidP="00FB3D28">
      <w:pPr>
        <w:widowControl w:val="0"/>
        <w:autoSpaceDE w:val="0"/>
        <w:autoSpaceDN w:val="0"/>
        <w:adjustRightInd w:val="0"/>
        <w:ind w:left="480" w:hanging="480"/>
        <w:rPr>
          <w:noProof/>
          <w:lang w:val="pt-PT"/>
        </w:rPr>
      </w:pPr>
      <w:r w:rsidRPr="00641A5B">
        <w:rPr>
          <w:noProof/>
        </w:rPr>
        <w:t xml:space="preserve">Ferrari E Chatzopoulos T Perez-Dominguez I Boulanger P Boysen-Urban K Himics M Robert M 2021. </w:t>
      </w:r>
      <w:r w:rsidRPr="005B4339">
        <w:rPr>
          <w:noProof/>
          <w:lang w:val="en-IE"/>
        </w:rPr>
        <w:t xml:space="preserve">Cumulative economic impact of trade agreements on EU agriculture – 2021 update. </w:t>
      </w:r>
      <w:r w:rsidRPr="00641A5B">
        <w:rPr>
          <w:noProof/>
          <w:lang w:val="pt-PT"/>
        </w:rPr>
        <w:t>Luxembourg. https://doi.org/10.2760/501873</w:t>
      </w:r>
    </w:p>
    <w:p w14:paraId="7C87A9FD" w14:textId="77777777" w:rsidR="00073432" w:rsidRPr="00641A5B" w:rsidRDefault="00073432" w:rsidP="00073432">
      <w:pPr>
        <w:widowControl w:val="0"/>
        <w:autoSpaceDE w:val="0"/>
        <w:autoSpaceDN w:val="0"/>
        <w:adjustRightInd w:val="0"/>
        <w:ind w:left="480" w:hanging="480"/>
        <w:rPr>
          <w:noProof/>
        </w:rPr>
      </w:pPr>
      <w:r w:rsidRPr="00641A5B">
        <w:rPr>
          <w:rStyle w:val="ui-provider"/>
          <w:noProof/>
          <w:lang w:val="pt-PT"/>
        </w:rPr>
        <w:t xml:space="preserve">García Herrero, L., Casonato, C., Caldeira, C., De Laurentiis, V., Bruns, H., Nohlen, H., Sala, S., 2023. </w:t>
      </w:r>
      <w:r w:rsidRPr="005B4339">
        <w:rPr>
          <w:rStyle w:val="ui-provider"/>
          <w:noProof/>
        </w:rPr>
        <w:t>Scoping consumer food waste: an evaluation framework of prevention interventions. JRC Interim report.</w:t>
      </w:r>
    </w:p>
    <w:p w14:paraId="32936600"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FΑΟ 2013. Food wastage footprint Fao.</w:t>
      </w:r>
    </w:p>
    <w:p w14:paraId="5BBCCB11" w14:textId="77777777" w:rsidR="00FB3D28" w:rsidRPr="005B4339" w:rsidRDefault="00FB3D28" w:rsidP="00FB3D28">
      <w:pPr>
        <w:widowControl w:val="0"/>
        <w:autoSpaceDE w:val="0"/>
        <w:autoSpaceDN w:val="0"/>
        <w:adjustRightInd w:val="0"/>
        <w:ind w:left="480" w:hanging="480"/>
        <w:rPr>
          <w:noProof/>
          <w:lang w:val="en-IE"/>
        </w:rPr>
      </w:pPr>
      <w:r w:rsidRPr="00641A5B">
        <w:rPr>
          <w:noProof/>
        </w:rPr>
        <w:t xml:space="preserve">Ipinnaiye O Dineen D Lenihan H 2017. </w:t>
      </w:r>
      <w:r w:rsidRPr="005B4339">
        <w:rPr>
          <w:noProof/>
          <w:lang w:val="en-IE"/>
        </w:rPr>
        <w:t>Drivers of SME performance: a holistic and multivariate approach. Small Bus. Econ. 48 883–911. https://doi.org/10.1007/s11187-016-9819-5</w:t>
      </w:r>
    </w:p>
    <w:p w14:paraId="74C7266F"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Kaza S Yao L.C Bhada-Tata P Van Woerden F 2018. What a Waste 2.0 : A Global Snapshot of Solid Waste Management to 2050 Urban Development. Washington DC.</w:t>
      </w:r>
    </w:p>
    <w:p w14:paraId="171A79AC"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Keramidas K Fosse F Diaz-Vazquez A Schade B Tchung-Ming S Weitzel M Vandyck T Wojtowicz K 2021. Global Energy and Climate Outlook 2020: A New Normal Beyond Covid-19 Luxembourg: Publications Office of the European Union. https://doi.org/10.2760/608429</w:t>
      </w:r>
    </w:p>
    <w:p w14:paraId="6DBA6D02"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it-IT"/>
        </w:rPr>
        <w:t xml:space="preserve">Kuiper M Cui H.D 2021. </w:t>
      </w:r>
      <w:r w:rsidRPr="005B4339">
        <w:rPr>
          <w:noProof/>
          <w:lang w:val="en-IE"/>
        </w:rPr>
        <w:t>Using food loss reduction to reach food security and environmental objectives – A search for promising leverage points. Food Policy 98 101915. https://doi.org/10.1016/j.foodpol.2020.101915</w:t>
      </w:r>
    </w:p>
    <w:p w14:paraId="23F4E867" w14:textId="77777777" w:rsidR="00FB3D28" w:rsidRPr="00641A5B" w:rsidRDefault="00FB3D28" w:rsidP="00FB3D28">
      <w:pPr>
        <w:widowControl w:val="0"/>
        <w:autoSpaceDE w:val="0"/>
        <w:autoSpaceDN w:val="0"/>
        <w:adjustRightInd w:val="0"/>
        <w:ind w:left="480" w:hanging="480"/>
        <w:rPr>
          <w:noProof/>
          <w:lang w:val="nl-NL"/>
        </w:rPr>
      </w:pPr>
      <w:r w:rsidRPr="005B4339">
        <w:rPr>
          <w:noProof/>
          <w:lang w:val="en-IE"/>
        </w:rPr>
        <w:t xml:space="preserve">Lai Y Saridakis G Blackburn R Johnstone S 2016. Are the HR responses of small firms different from large firms in times of recession? </w:t>
      </w:r>
      <w:r w:rsidRPr="00641A5B">
        <w:rPr>
          <w:noProof/>
          <w:lang w:val="nl-NL"/>
        </w:rPr>
        <w:t>J. Bus. Ventur. 31 113–131. https://doi.org/10.1016/j.jbusvent.2015.04.005</w:t>
      </w:r>
    </w:p>
    <w:p w14:paraId="058488DE" w14:textId="77777777" w:rsidR="00FB3D28" w:rsidRPr="005B4339" w:rsidRDefault="00FB3D28" w:rsidP="00FB3D28">
      <w:pPr>
        <w:widowControl w:val="0"/>
        <w:autoSpaceDE w:val="0"/>
        <w:autoSpaceDN w:val="0"/>
        <w:adjustRightInd w:val="0"/>
        <w:ind w:left="480" w:hanging="480"/>
        <w:rPr>
          <w:noProof/>
          <w:lang w:val="en-IE"/>
        </w:rPr>
      </w:pPr>
      <w:r w:rsidRPr="00641A5B">
        <w:rPr>
          <w:noProof/>
          <w:lang w:val="nl-NL"/>
        </w:rPr>
        <w:t xml:space="preserve">Lasarte-López. J Ronzon T Van Leeuwen M Rossi W M’barek R 2022. </w:t>
      </w:r>
      <w:r w:rsidRPr="005B4339">
        <w:rPr>
          <w:noProof/>
          <w:lang w:val="en-IE"/>
        </w:rPr>
        <w:t>Estimating employment and value added in the bioeconomy of EU regions. https://doi.org/http://dx.doi.org/10.2760/850726</w:t>
      </w:r>
    </w:p>
    <w:p w14:paraId="48837122" w14:textId="6600E3B0" w:rsidR="00FB3D28" w:rsidRPr="005B4339" w:rsidRDefault="00FB3D28" w:rsidP="00FB3D28">
      <w:pPr>
        <w:widowControl w:val="0"/>
        <w:autoSpaceDE w:val="0"/>
        <w:autoSpaceDN w:val="0"/>
        <w:adjustRightInd w:val="0"/>
        <w:ind w:left="480" w:hanging="480"/>
        <w:rPr>
          <w:noProof/>
          <w:lang w:val="en-IE"/>
        </w:rPr>
      </w:pPr>
      <w:r w:rsidRPr="005B4339">
        <w:rPr>
          <w:noProof/>
          <w:lang w:val="en-IE"/>
        </w:rPr>
        <w:t>M’barek R 2012. An integrated modelling platform for agro-economic commodity and policy analysis (iMAP) : a look back and the way forward. https://doi.org/10.2791/78367</w:t>
      </w:r>
    </w:p>
    <w:p w14:paraId="6D74DE7B" w14:textId="77777777" w:rsidR="00073432" w:rsidRPr="005B4339" w:rsidRDefault="00073432" w:rsidP="00073432">
      <w:pPr>
        <w:widowControl w:val="0"/>
        <w:autoSpaceDE w:val="0"/>
        <w:autoSpaceDN w:val="0"/>
        <w:adjustRightInd w:val="0"/>
        <w:ind w:left="480" w:hanging="480"/>
        <w:rPr>
          <w:noProof/>
        </w:rPr>
      </w:pPr>
      <w:r w:rsidRPr="005B4339">
        <w:rPr>
          <w:noProof/>
        </w:rPr>
        <w:t>M’barek, R., Barreiro-Hurle, J., Boulanger, P., Caivano, A., P. Ciaian, Dudu, H., Espinosa, N., Fellmann, T., Ferrari, E., Gomez y Paloma, S., Gorrin Gonzalez, C., Himics, M., Louchini, K., Pemi, G., Philippidis, G., Salputra, G., Witzke, P., Genovese, G., 2017. Scenar 2030 - Pathways for the European agriculture and food sector beyond 2020 (re-edition). Luxembourg. https://doi.org/10.2760/43791</w:t>
      </w:r>
    </w:p>
    <w:p w14:paraId="4B2BC2AF" w14:textId="77777777" w:rsidR="00073432" w:rsidRPr="005B4339" w:rsidRDefault="00073432" w:rsidP="00FB3D28">
      <w:pPr>
        <w:widowControl w:val="0"/>
        <w:autoSpaceDE w:val="0"/>
        <w:autoSpaceDN w:val="0"/>
        <w:adjustRightInd w:val="0"/>
        <w:ind w:left="480" w:hanging="480"/>
        <w:rPr>
          <w:noProof/>
          <w:lang w:val="en-IE"/>
        </w:rPr>
      </w:pPr>
    </w:p>
    <w:p w14:paraId="7597FFF0"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M’barek R Delincé J 2015. iMAP an integrated Modelling Platform for Agro-economic Commodity and Policy Analysis: New developments and policy support 2012-14. Joint Research Centre Institute for Prospective Technological Studies. https://doi.org/10.2791/651649</w:t>
      </w:r>
    </w:p>
    <w:p w14:paraId="2F185B9F" w14:textId="08C78DC9" w:rsidR="00073432" w:rsidRPr="00641A5B" w:rsidRDefault="00073432" w:rsidP="00034A4B">
      <w:pPr>
        <w:widowControl w:val="0"/>
        <w:autoSpaceDE w:val="0"/>
        <w:autoSpaceDN w:val="0"/>
        <w:adjustRightInd w:val="0"/>
        <w:ind w:left="480" w:hanging="480"/>
        <w:rPr>
          <w:noProof/>
          <w:lang w:val="fr-BE"/>
        </w:rPr>
      </w:pPr>
      <w:r w:rsidRPr="00641A5B">
        <w:rPr>
          <w:noProof/>
          <w:lang w:val="fr-BE"/>
        </w:rPr>
        <w:t>MAGNET, 2023. MAGNET model description, https://www.magnet-model.eu/model/ (accessed 15.04.2023).</w:t>
      </w:r>
    </w:p>
    <w:p w14:paraId="0AE23A42"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Mateev M Anastasov Y 2011. On the Growth of Micro Small and Medium-Sized Firms in Central and Eastern Europe: A Dynamic Panel Analysis. Bank. Financ. Rev. 3 81–104.</w:t>
      </w:r>
    </w:p>
    <w:p w14:paraId="23E1A196" w14:textId="77777777" w:rsidR="00FB3D28" w:rsidRPr="00641A5B" w:rsidRDefault="00FB3D28" w:rsidP="00FB3D28">
      <w:pPr>
        <w:widowControl w:val="0"/>
        <w:autoSpaceDE w:val="0"/>
        <w:autoSpaceDN w:val="0"/>
        <w:adjustRightInd w:val="0"/>
        <w:ind w:left="480" w:hanging="480"/>
        <w:rPr>
          <w:noProof/>
          <w:lang w:val="sv-SE"/>
        </w:rPr>
      </w:pPr>
      <w:r w:rsidRPr="005B4339">
        <w:rPr>
          <w:noProof/>
          <w:lang w:val="en-IE"/>
        </w:rPr>
        <w:t xml:space="preserve">Mazzucato M Parris S 2015. High-growth firms in changing competitive environments: the US pharmaceutical industry (1963 to 2002). </w:t>
      </w:r>
      <w:r w:rsidRPr="00641A5B">
        <w:rPr>
          <w:noProof/>
          <w:lang w:val="sv-SE"/>
        </w:rPr>
        <w:t>Small Bus. Econ. 44 145–170. https://doi.org/10.1007/s11187-014-9583-3</w:t>
      </w:r>
    </w:p>
    <w:p w14:paraId="2200C665" w14:textId="77777777" w:rsidR="00FB3D28" w:rsidRPr="00641A5B" w:rsidRDefault="00FB3D28" w:rsidP="00FB3D28">
      <w:pPr>
        <w:widowControl w:val="0"/>
        <w:autoSpaceDE w:val="0"/>
        <w:autoSpaceDN w:val="0"/>
        <w:adjustRightInd w:val="0"/>
        <w:ind w:left="480" w:hanging="480"/>
        <w:rPr>
          <w:noProof/>
          <w:lang w:val="sv-SE"/>
        </w:rPr>
      </w:pPr>
      <w:r w:rsidRPr="00641A5B">
        <w:rPr>
          <w:noProof/>
          <w:lang w:val="sv-SE"/>
        </w:rPr>
        <w:t>Naturvårdsverket 2022. Livsmedelsavfall i Sverige 2020.</w:t>
      </w:r>
    </w:p>
    <w:p w14:paraId="12C7CE6F"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it-IT"/>
        </w:rPr>
        <w:t xml:space="preserve">Notarnicola B Tassielli G Renzulli P.A Castellani V Sala S 2017. </w:t>
      </w:r>
      <w:r w:rsidRPr="005B4339">
        <w:rPr>
          <w:noProof/>
          <w:lang w:val="en-IE"/>
        </w:rPr>
        <w:t>Environmental impacts of food consumption in Europe. J. Clean. Prod. 140 753–765. https://doi.org/10.1016/j.jclepro.2016.06.080</w:t>
      </w:r>
    </w:p>
    <w:p w14:paraId="16474594"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OECD-FAO 2021. OECD-FAO agricultural outlook 2021-2030.</w:t>
      </w:r>
    </w:p>
    <w:p w14:paraId="4744FCA8" w14:textId="17671650" w:rsidR="00FB3D28" w:rsidRPr="00641A5B" w:rsidRDefault="00FB3D28" w:rsidP="00FB3D28">
      <w:pPr>
        <w:widowControl w:val="0"/>
        <w:autoSpaceDE w:val="0"/>
        <w:autoSpaceDN w:val="0"/>
        <w:adjustRightInd w:val="0"/>
        <w:ind w:left="480" w:hanging="480"/>
        <w:rPr>
          <w:noProof/>
          <w:lang w:val="nl-NL"/>
        </w:rPr>
      </w:pPr>
      <w:r w:rsidRPr="005B4339">
        <w:rPr>
          <w:noProof/>
          <w:lang w:val="en-IE"/>
        </w:rPr>
        <w:t xml:space="preserve">OECD 2021. OECD SME and Entrepreneurship Outlook 2021. </w:t>
      </w:r>
      <w:r w:rsidRPr="00641A5B">
        <w:rPr>
          <w:noProof/>
          <w:lang w:val="nl-NL"/>
        </w:rPr>
        <w:t>OECD. https://doi.org/10.1787/97a5bbfe-en</w:t>
      </w:r>
    </w:p>
    <w:p w14:paraId="5F2DE91F" w14:textId="77777777" w:rsidR="00073432" w:rsidRPr="005B4339" w:rsidRDefault="00073432" w:rsidP="00073432">
      <w:pPr>
        <w:widowControl w:val="0"/>
        <w:autoSpaceDE w:val="0"/>
        <w:autoSpaceDN w:val="0"/>
        <w:adjustRightInd w:val="0"/>
        <w:ind w:left="480" w:hanging="480"/>
        <w:rPr>
          <w:noProof/>
        </w:rPr>
      </w:pPr>
      <w:r w:rsidRPr="00641A5B">
        <w:rPr>
          <w:noProof/>
          <w:lang w:val="nl-NL"/>
        </w:rPr>
        <w:t xml:space="preserve">Philippidis, G., M'barek, R., Urban-Boysen, K., Van Zeist, WJ., 2023. </w:t>
      </w:r>
      <w:r w:rsidRPr="005B4339">
        <w:rPr>
          <w:noProof/>
        </w:rPr>
        <w:t>Exploring economy-wide sustainable conditions for EU bio-chemical activities, Ecological Economics, Volume 210, 107857, https://doi.org/10.1016/j.ecolecon.2023.107857</w:t>
      </w:r>
    </w:p>
    <w:p w14:paraId="7F5542BE" w14:textId="77777777" w:rsidR="00073432" w:rsidRPr="005B4339" w:rsidRDefault="00073432" w:rsidP="00073432">
      <w:pPr>
        <w:widowControl w:val="0"/>
        <w:autoSpaceDE w:val="0"/>
        <w:autoSpaceDN w:val="0"/>
        <w:adjustRightInd w:val="0"/>
        <w:ind w:left="480" w:hanging="480"/>
        <w:rPr>
          <w:noProof/>
        </w:rPr>
      </w:pPr>
      <w:r w:rsidRPr="005B4339">
        <w:rPr>
          <w:noProof/>
        </w:rPr>
        <w:t>Philippidis, G., Di Lucia, L., Sevigne, E., Panoutsou, C., Verkerk, H., Moiseyev, A., Van Leeuwen, M., Sturm, V., M’barek, R., Martinez Gonzalez, A., Alvarez, R., Hermoso Gonzalez, H., 2022. Scenario analysis and related policy recommendations, Deliverable 6.2, Work Package 6, BioMonitor: Monitoring the BioEconomy.</w:t>
      </w:r>
    </w:p>
    <w:p w14:paraId="3C9D9438" w14:textId="77777777" w:rsidR="00FB3D28" w:rsidRPr="005B4339" w:rsidRDefault="00FB3D28" w:rsidP="00FB3D28">
      <w:pPr>
        <w:widowControl w:val="0"/>
        <w:autoSpaceDE w:val="0"/>
        <w:autoSpaceDN w:val="0"/>
        <w:adjustRightInd w:val="0"/>
        <w:ind w:left="480" w:hanging="480"/>
        <w:rPr>
          <w:noProof/>
          <w:lang w:val="en-IE"/>
        </w:rPr>
      </w:pPr>
      <w:r w:rsidRPr="005B4339">
        <w:rPr>
          <w:noProof/>
        </w:rPr>
        <w:t xml:space="preserve">Philippidis G Bartelings H Helming J M’barek R Ronzon T Smeets E van Meijl H Schutes L 2018. </w:t>
      </w:r>
      <w:r w:rsidRPr="005B4339">
        <w:rPr>
          <w:noProof/>
          <w:lang w:val="en-IE"/>
        </w:rPr>
        <w:t>The MAGNET model framework for assessing policy coherence and SDGs - Application to the bioeconomy. Publications Office of the European Union Luxembourg. https://doi.org/10.2760/560977</w:t>
      </w:r>
    </w:p>
    <w:p w14:paraId="387AD744" w14:textId="77777777" w:rsidR="000B57F3" w:rsidRPr="005B4339" w:rsidRDefault="000B57F3" w:rsidP="00FB3D28">
      <w:pPr>
        <w:widowControl w:val="0"/>
        <w:autoSpaceDE w:val="0"/>
        <w:autoSpaceDN w:val="0"/>
        <w:adjustRightInd w:val="0"/>
        <w:ind w:left="480" w:hanging="480"/>
        <w:rPr>
          <w:noProof/>
          <w:lang w:val="en-IE"/>
        </w:rPr>
      </w:pPr>
    </w:p>
    <w:p w14:paraId="044C045C" w14:textId="77777777" w:rsidR="00FB3D28" w:rsidRPr="005B4339" w:rsidRDefault="00FB3D28" w:rsidP="00FB3D28">
      <w:pPr>
        <w:widowControl w:val="0"/>
        <w:autoSpaceDE w:val="0"/>
        <w:autoSpaceDN w:val="0"/>
        <w:adjustRightInd w:val="0"/>
        <w:ind w:left="480" w:hanging="480"/>
        <w:rPr>
          <w:noProof/>
          <w:lang w:val="it-IT"/>
        </w:rPr>
      </w:pPr>
      <w:r w:rsidRPr="00641A5B">
        <w:rPr>
          <w:noProof/>
          <w:lang w:val="en-IE"/>
        </w:rPr>
        <w:t xml:space="preserve">Philippidis G Ferrer Pérez H Gracia de Rentería P M’barek R Sanjuán López A.I 2021. </w:t>
      </w:r>
      <w:r w:rsidRPr="005B4339">
        <w:rPr>
          <w:noProof/>
          <w:lang w:val="en-IE"/>
        </w:rPr>
        <w:t xml:space="preserve">Eating your greens: a global sustainability assessment. </w:t>
      </w:r>
      <w:r w:rsidRPr="00641A5B">
        <w:rPr>
          <w:noProof/>
          <w:lang w:val="it-IT"/>
        </w:rPr>
        <w:t xml:space="preserve">Resour. Conserv. Recycl. </w:t>
      </w:r>
      <w:r w:rsidRPr="005B4339">
        <w:rPr>
          <w:noProof/>
          <w:lang w:val="it-IT"/>
        </w:rPr>
        <w:t>168. https://doi.org/10.1016/j.resconrec.2021.105460</w:t>
      </w:r>
    </w:p>
    <w:p w14:paraId="734FF2FE" w14:textId="77777777" w:rsidR="00FB3D28" w:rsidRPr="00641A5B" w:rsidRDefault="00FB3D28" w:rsidP="00FB3D28">
      <w:pPr>
        <w:widowControl w:val="0"/>
        <w:autoSpaceDE w:val="0"/>
        <w:autoSpaceDN w:val="0"/>
        <w:adjustRightInd w:val="0"/>
        <w:ind w:left="480" w:hanging="480"/>
        <w:rPr>
          <w:noProof/>
          <w:lang w:val="en-IE"/>
        </w:rPr>
      </w:pPr>
      <w:r w:rsidRPr="005B4339">
        <w:rPr>
          <w:noProof/>
          <w:lang w:val="it-IT"/>
        </w:rPr>
        <w:t xml:space="preserve">Philippidis G Sartori M Ferrari E M’Barek R 2019. </w:t>
      </w:r>
      <w:r w:rsidRPr="005B4339">
        <w:rPr>
          <w:noProof/>
          <w:lang w:val="en-IE"/>
        </w:rPr>
        <w:t xml:space="preserve">Waste not want not: A bio-economic impact assessment of household food waste reductions in the EU. </w:t>
      </w:r>
      <w:r w:rsidRPr="00641A5B">
        <w:rPr>
          <w:noProof/>
          <w:lang w:val="en-IE"/>
        </w:rPr>
        <w:t>Resour. Conserv. Recycl. 146 514–522. https://doi.org/10.1016/j.resconrec.2019.04.016</w:t>
      </w:r>
    </w:p>
    <w:p w14:paraId="5D29F59B" w14:textId="77777777" w:rsidR="00FB3D28" w:rsidRPr="005B4339" w:rsidRDefault="00FB3D28" w:rsidP="00FB3D28">
      <w:pPr>
        <w:widowControl w:val="0"/>
        <w:autoSpaceDE w:val="0"/>
        <w:autoSpaceDN w:val="0"/>
        <w:adjustRightInd w:val="0"/>
        <w:ind w:left="480" w:hanging="480"/>
        <w:rPr>
          <w:noProof/>
          <w:lang w:val="it-IT"/>
        </w:rPr>
      </w:pPr>
      <w:r w:rsidRPr="00641A5B">
        <w:rPr>
          <w:noProof/>
          <w:lang w:val="en-IE"/>
        </w:rPr>
        <w:t xml:space="preserve">Philippidis G Shutes L M’barek R Ronzon T Tabeau A van Meijl H 2020. </w:t>
      </w:r>
      <w:r w:rsidRPr="005B4339">
        <w:rPr>
          <w:noProof/>
          <w:lang w:val="en-IE"/>
        </w:rPr>
        <w:t xml:space="preserve">Snakes and ladders: World development pathways’ synergies and trade-offs through the lens of the Sustainable Development Goals. </w:t>
      </w:r>
      <w:r w:rsidRPr="005B4339">
        <w:rPr>
          <w:noProof/>
          <w:lang w:val="it-IT"/>
        </w:rPr>
        <w:t>J. Clean. Prod. 267. https://doi.org/10.1016/j.jclepro.2020.122147</w:t>
      </w:r>
    </w:p>
    <w:p w14:paraId="2DC0148D"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it-IT"/>
        </w:rPr>
        <w:t xml:space="preserve">Polizzi di Sorrentino E Woelbert E Sala S 2016. </w:t>
      </w:r>
      <w:r w:rsidRPr="005B4339">
        <w:rPr>
          <w:noProof/>
          <w:lang w:val="en-IE"/>
        </w:rPr>
        <w:t>Consumers and their behavior: state of the art in behavioral science supporting use phase modeling in LCA and ecodesign. Int. J. Life Cycle Assess. 21 237–251. https://doi.org/10.1007/s11367-015-1016-2</w:t>
      </w:r>
    </w:p>
    <w:p w14:paraId="3CE12583"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Rigtering J.P.C Kraus S Eggers F Jensen S.H 2014. A comparative analysis of the entrepreneurial orientation/growth relationship in service firms and manufacturing firms. Serv. Ind. J. 34 275–294. https://doi.org/10.1080/02642069.2013.778978</w:t>
      </w:r>
    </w:p>
    <w:p w14:paraId="2468E696" w14:textId="77777777" w:rsidR="00FB3D28" w:rsidRPr="00641A5B" w:rsidRDefault="00FB3D28" w:rsidP="00FB3D28">
      <w:pPr>
        <w:widowControl w:val="0"/>
        <w:autoSpaceDE w:val="0"/>
        <w:autoSpaceDN w:val="0"/>
        <w:adjustRightInd w:val="0"/>
        <w:ind w:left="480" w:hanging="480"/>
        <w:rPr>
          <w:noProof/>
        </w:rPr>
      </w:pPr>
      <w:r w:rsidRPr="005B4339">
        <w:rPr>
          <w:noProof/>
          <w:lang w:val="en-IE"/>
        </w:rPr>
        <w:t xml:space="preserve">Sala S Castellani V 2019. The consumer footprint: Monitoring sustainable development goal 12 with process-based life cycle assessment. </w:t>
      </w:r>
      <w:r w:rsidRPr="00641A5B">
        <w:rPr>
          <w:noProof/>
        </w:rPr>
        <w:t>J. Clean. Prod. 240 118050.</w:t>
      </w:r>
    </w:p>
    <w:p w14:paraId="6762D3B8" w14:textId="77777777" w:rsidR="00FB3D28" w:rsidRPr="00641A5B" w:rsidRDefault="00FB3D28" w:rsidP="00FB3D28">
      <w:pPr>
        <w:widowControl w:val="0"/>
        <w:autoSpaceDE w:val="0"/>
        <w:autoSpaceDN w:val="0"/>
        <w:adjustRightInd w:val="0"/>
        <w:ind w:left="480" w:hanging="480"/>
        <w:rPr>
          <w:noProof/>
          <w:lang w:val="pt-PT"/>
        </w:rPr>
      </w:pPr>
      <w:r w:rsidRPr="00641A5B">
        <w:rPr>
          <w:noProof/>
        </w:rPr>
        <w:t xml:space="preserve">Sala S Crenna E Secchi M Sanyé-Mengual E 2020. </w:t>
      </w:r>
      <w:r w:rsidRPr="005B4339">
        <w:rPr>
          <w:noProof/>
          <w:lang w:val="en-IE"/>
        </w:rPr>
        <w:t xml:space="preserve">Environmental sustainability of European production and consumption assessed against planetary boundaries. </w:t>
      </w:r>
      <w:r w:rsidRPr="00641A5B">
        <w:rPr>
          <w:noProof/>
          <w:lang w:val="pt-PT"/>
        </w:rPr>
        <w:t>J. Environ. Manage. 269 110686. https://doi.org/10.1016/j.jenvman.2020.110686</w:t>
      </w:r>
    </w:p>
    <w:p w14:paraId="556121C5" w14:textId="77777777" w:rsidR="00FB3D28" w:rsidRPr="005B4339" w:rsidRDefault="00FB3D28" w:rsidP="00FB3D28">
      <w:pPr>
        <w:widowControl w:val="0"/>
        <w:autoSpaceDE w:val="0"/>
        <w:autoSpaceDN w:val="0"/>
        <w:adjustRightInd w:val="0"/>
        <w:ind w:left="480" w:hanging="480"/>
        <w:rPr>
          <w:noProof/>
          <w:lang w:val="en-IE"/>
        </w:rPr>
      </w:pPr>
      <w:r w:rsidRPr="00641A5B">
        <w:rPr>
          <w:noProof/>
          <w:lang w:val="pt-PT"/>
        </w:rPr>
        <w:t xml:space="preserve">Sala S Sanye Mengual E 2022. </w:t>
      </w:r>
      <w:r w:rsidRPr="005B4339">
        <w:rPr>
          <w:noProof/>
          <w:lang w:val="en-IE"/>
        </w:rPr>
        <w:t>Consumption Footprint: assessing the environmental impacts of EU consumption, European Commission, JRC126257.</w:t>
      </w:r>
    </w:p>
    <w:p w14:paraId="0A5959F0"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Sanye Mengual, E., and Sala, S., Consumption Footprint and Domestic Footprint: Assessing the environmental impacts of EU consumption and production, EUR 31390 EN, Publications Office of the European Union, Luxembourg, 2023, ISBN 978-92-76-61754-9, doi:10.2760/218540, JRC128571.</w:t>
      </w:r>
    </w:p>
    <w:p w14:paraId="20DBF7B9" w14:textId="703B837D" w:rsidR="00FB3D28" w:rsidRPr="005B4339" w:rsidRDefault="00FB3D28" w:rsidP="00FB3D28">
      <w:pPr>
        <w:widowControl w:val="0"/>
        <w:autoSpaceDE w:val="0"/>
        <w:autoSpaceDN w:val="0"/>
        <w:adjustRightInd w:val="0"/>
        <w:ind w:left="480" w:hanging="480"/>
        <w:rPr>
          <w:noProof/>
          <w:lang w:val="en-IE"/>
        </w:rPr>
      </w:pPr>
      <w:r w:rsidRPr="00641A5B">
        <w:rPr>
          <w:noProof/>
        </w:rPr>
        <w:t xml:space="preserve">Sanyé-Mengual, E., Secchi, M., Corrado, S., Beylot, A., &amp; Sala, S. (2019). </w:t>
      </w:r>
      <w:r w:rsidRPr="005B4339">
        <w:rPr>
          <w:noProof/>
          <w:lang w:val="en-IE"/>
        </w:rPr>
        <w:t>Assessing the decoupling of economic growth from environmental impacts in the European Union: A consumption-based approach. Journal of cleaner production, 236, 117535.</w:t>
      </w:r>
    </w:p>
    <w:p w14:paraId="36304640" w14:textId="6EC09E49" w:rsidR="00231272" w:rsidRPr="005B4339" w:rsidRDefault="006D0C68" w:rsidP="00FB3D28">
      <w:pPr>
        <w:widowControl w:val="0"/>
        <w:autoSpaceDE w:val="0"/>
        <w:autoSpaceDN w:val="0"/>
        <w:adjustRightInd w:val="0"/>
        <w:ind w:left="480" w:hanging="480"/>
        <w:rPr>
          <w:noProof/>
          <w:lang w:val="en-IE"/>
        </w:rPr>
      </w:pPr>
      <w:r w:rsidRPr="005B4339">
        <w:rPr>
          <w:noProof/>
          <w:lang w:val="en-IE"/>
        </w:rPr>
        <w:t>Sanyé Mengual E, Foschi J, Orza V, Sinkko T, Wierzgala P, Sala S. (2023a) Consumption Footprint: methodological overview, A life cycle assessment-based model to assess environmental impacts of consumption, Publications Office of the European Union, Luxembourg, doi:10.2760/413081, JRC132734</w:t>
      </w:r>
    </w:p>
    <w:p w14:paraId="6E855ABA" w14:textId="5E57C699" w:rsidR="006D0C68" w:rsidRPr="00641A5B" w:rsidRDefault="006D0C68" w:rsidP="00FB3D28">
      <w:pPr>
        <w:widowControl w:val="0"/>
        <w:autoSpaceDE w:val="0"/>
        <w:autoSpaceDN w:val="0"/>
        <w:adjustRightInd w:val="0"/>
        <w:ind w:left="480" w:hanging="480"/>
        <w:rPr>
          <w:noProof/>
          <w:lang w:val="en-IE"/>
        </w:rPr>
      </w:pPr>
      <w:r w:rsidRPr="00641A5B">
        <w:rPr>
          <w:noProof/>
          <w:lang w:val="en-IE"/>
        </w:rPr>
        <w:t xml:space="preserve">Sanyé-Mengual, E., Biganzoli, F., Valente, A., Pfister, S., &amp; Sala, S. (2023b). </w:t>
      </w:r>
      <w:r w:rsidRPr="005B4339">
        <w:rPr>
          <w:noProof/>
          <w:lang w:val="en-IE"/>
        </w:rPr>
        <w:t xml:space="preserve">What are the main environmental impacts and products contributing to the biodiversity footprint of EU consumption? A comparison of life cycle impact assessment methods and models. </w:t>
      </w:r>
      <w:r w:rsidRPr="00641A5B">
        <w:rPr>
          <w:noProof/>
          <w:lang w:val="en-IE"/>
        </w:rPr>
        <w:t>The International Journal of Life Cycle Assessment, 1-17.</w:t>
      </w:r>
    </w:p>
    <w:p w14:paraId="31BB3C24" w14:textId="409BCAC2" w:rsidR="00FB3D28" w:rsidRPr="005B4339" w:rsidRDefault="00FB3D28" w:rsidP="00FB3D28">
      <w:pPr>
        <w:widowControl w:val="0"/>
        <w:autoSpaceDE w:val="0"/>
        <w:autoSpaceDN w:val="0"/>
        <w:adjustRightInd w:val="0"/>
        <w:ind w:left="480" w:hanging="480"/>
        <w:rPr>
          <w:noProof/>
          <w:lang w:val="en-IE"/>
        </w:rPr>
      </w:pPr>
      <w:r w:rsidRPr="00641A5B">
        <w:rPr>
          <w:noProof/>
          <w:lang w:val="en-IE"/>
        </w:rPr>
        <w:t xml:space="preserve">Sartori M Philippidis G Ferrari E Borrelli P Lugato E Montanarella L Panagos P 2019. </w:t>
      </w:r>
      <w:r w:rsidRPr="005B4339">
        <w:rPr>
          <w:noProof/>
          <w:lang w:val="en-IE"/>
        </w:rPr>
        <w:t>A linkage between the biophysical and the economic: Assessing the global market impacts of soil erosion. Land use policy 86 299–312. https://doi.org/10.1016/j.landusepol.2019.05.014</w:t>
      </w:r>
    </w:p>
    <w:p w14:paraId="18964F78" w14:textId="77777777" w:rsidR="00073432" w:rsidRPr="005B4339" w:rsidRDefault="00073432" w:rsidP="00073432">
      <w:pPr>
        <w:widowControl w:val="0"/>
        <w:autoSpaceDE w:val="0"/>
        <w:autoSpaceDN w:val="0"/>
        <w:adjustRightInd w:val="0"/>
        <w:ind w:left="480" w:hanging="480"/>
        <w:rPr>
          <w:noProof/>
        </w:rPr>
      </w:pPr>
      <w:r w:rsidRPr="005B4339">
        <w:rPr>
          <w:noProof/>
        </w:rPr>
        <w:t>Sasaki, Y., Orikasa, T., Nakamura, N., Hayashi, K., Yasaka, Y., Makino, N., Shobatake, K., Koide, S., Shiina, T., 2021. Dataset for life cycle assessment of strawberry-package supply chain with considering food loss during transportation. Data Br. 39, 107473. https://doi.org/10.1016/j.dib.2021.107473</w:t>
      </w:r>
    </w:p>
    <w:p w14:paraId="33BE4387" w14:textId="77777777" w:rsidR="00073432" w:rsidRPr="005B4339" w:rsidRDefault="00073432" w:rsidP="00034A4B">
      <w:pPr>
        <w:widowControl w:val="0"/>
        <w:autoSpaceDE w:val="0"/>
        <w:autoSpaceDN w:val="0"/>
        <w:adjustRightInd w:val="0"/>
        <w:rPr>
          <w:noProof/>
          <w:lang w:val="en-IE"/>
        </w:rPr>
      </w:pPr>
    </w:p>
    <w:p w14:paraId="76FEF2F0"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The Netherlands Nutrition Centre Foundation 2019. Synthesis report on Food Waste in Dutch Households in 2019.</w:t>
      </w:r>
    </w:p>
    <w:p w14:paraId="2DBAD46E" w14:textId="185BB02B" w:rsidR="00FB3D28" w:rsidRPr="005B4339" w:rsidRDefault="00FB3D28" w:rsidP="00FB3D28">
      <w:pPr>
        <w:widowControl w:val="0"/>
        <w:autoSpaceDE w:val="0"/>
        <w:autoSpaceDN w:val="0"/>
        <w:adjustRightInd w:val="0"/>
        <w:ind w:left="480" w:hanging="480"/>
        <w:rPr>
          <w:noProof/>
          <w:lang w:val="en-IE"/>
        </w:rPr>
      </w:pPr>
      <w:r w:rsidRPr="005B4339">
        <w:rPr>
          <w:noProof/>
          <w:lang w:val="en-IE"/>
        </w:rPr>
        <w:t>UN General Assembly 2015. Transforming our world: the 2030 Agenda for Sustainable Development. New York United Nations.</w:t>
      </w:r>
    </w:p>
    <w:p w14:paraId="7D0C73E5" w14:textId="77777777" w:rsidR="00073432" w:rsidRPr="005B4339" w:rsidRDefault="00073432" w:rsidP="00073432">
      <w:pPr>
        <w:widowControl w:val="0"/>
        <w:autoSpaceDE w:val="0"/>
        <w:autoSpaceDN w:val="0"/>
        <w:adjustRightInd w:val="0"/>
        <w:ind w:left="480" w:hanging="480"/>
        <w:rPr>
          <w:noProof/>
        </w:rPr>
      </w:pPr>
      <w:r w:rsidRPr="005B4339">
        <w:rPr>
          <w:noProof/>
        </w:rPr>
        <w:t>Verma MvdB, M., de Vreede, L., Achterbosch, T., Rutten, M.M., 2020. Consumers discard a lot more food than widely believed: Estimates of global food waste using an energy gap approach and affluence elasticity of food waste. PLoS One 15, 1–14. https://doi.org/10.1371/journal.pone.0228369</w:t>
      </w:r>
    </w:p>
    <w:p w14:paraId="61C72129" w14:textId="77777777" w:rsidR="00073432" w:rsidRPr="00641A5B" w:rsidRDefault="00073432" w:rsidP="00073432">
      <w:pPr>
        <w:widowControl w:val="0"/>
        <w:autoSpaceDE w:val="0"/>
        <w:autoSpaceDN w:val="0"/>
        <w:adjustRightInd w:val="0"/>
        <w:ind w:left="480" w:hanging="480"/>
        <w:rPr>
          <w:noProof/>
          <w:lang w:val="sv-SE"/>
        </w:rPr>
      </w:pPr>
      <w:r w:rsidRPr="005B4339">
        <w:rPr>
          <w:noProof/>
        </w:rPr>
        <w:t xml:space="preserve">White, A., Lockyer, S., 2020. Removing plastic packaging from fresh produce – what’s the impact? </w:t>
      </w:r>
      <w:r w:rsidRPr="00641A5B">
        <w:rPr>
          <w:noProof/>
          <w:lang w:val="sv-SE"/>
        </w:rPr>
        <w:t>Nutr. Bull. 45, 35–50. https://doi.org/10.1111/nbu.12420</w:t>
      </w:r>
    </w:p>
    <w:p w14:paraId="10822463" w14:textId="77777777" w:rsidR="00073432" w:rsidRPr="00641A5B" w:rsidRDefault="00073432" w:rsidP="00034A4B">
      <w:pPr>
        <w:widowControl w:val="0"/>
        <w:autoSpaceDE w:val="0"/>
        <w:autoSpaceDN w:val="0"/>
        <w:adjustRightInd w:val="0"/>
        <w:rPr>
          <w:noProof/>
          <w:lang w:val="sv-SE"/>
        </w:rPr>
      </w:pPr>
    </w:p>
    <w:p w14:paraId="73744185" w14:textId="77777777" w:rsidR="00FB3D28" w:rsidRPr="005B4339" w:rsidRDefault="00FB3D28" w:rsidP="00FB3D28">
      <w:pPr>
        <w:widowControl w:val="0"/>
        <w:autoSpaceDE w:val="0"/>
        <w:autoSpaceDN w:val="0"/>
        <w:adjustRightInd w:val="0"/>
        <w:ind w:left="480" w:hanging="480"/>
        <w:rPr>
          <w:noProof/>
          <w:lang w:val="en-IE"/>
        </w:rPr>
      </w:pPr>
      <w:r w:rsidRPr="00641A5B">
        <w:rPr>
          <w:noProof/>
          <w:lang w:val="sv-SE"/>
        </w:rPr>
        <w:t xml:space="preserve">Woltjer G Kuiper M 2014. </w:t>
      </w:r>
      <w:r w:rsidRPr="005B4339">
        <w:rPr>
          <w:noProof/>
          <w:lang w:val="en-IE"/>
        </w:rPr>
        <w:t>The MAGNET model: Module description. Wageningen UR. 144.</w:t>
      </w:r>
    </w:p>
    <w:p w14:paraId="4E02890C"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WRAP, 2020, Banbury, UK progress against Courtauld 2025 targets and Sustainable Development Goal 12.3, Prepared by Andrew Parry, Billy Harris, Karen Fisher and Hamish Forbes</w:t>
      </w:r>
    </w:p>
    <w:p w14:paraId="52506368" w14:textId="77777777" w:rsidR="00FB3D28" w:rsidRPr="005B4339" w:rsidRDefault="00FB3D28" w:rsidP="00FB3D28">
      <w:pPr>
        <w:widowControl w:val="0"/>
        <w:autoSpaceDE w:val="0"/>
        <w:autoSpaceDN w:val="0"/>
        <w:adjustRightInd w:val="0"/>
        <w:ind w:left="480" w:hanging="480"/>
        <w:rPr>
          <w:noProof/>
          <w:lang w:val="en-IE"/>
        </w:rPr>
      </w:pPr>
      <w:r w:rsidRPr="005B4339">
        <w:rPr>
          <w:noProof/>
          <w:lang w:val="en-IE"/>
        </w:rPr>
        <w:t>WRAP 2022. The Food Waste Reduction Roadmap Progress Report 2022.</w:t>
      </w:r>
    </w:p>
    <w:p w14:paraId="710262A5" w14:textId="77777777" w:rsidR="00FB3D28" w:rsidRPr="00641A5B" w:rsidRDefault="00FB3D28" w:rsidP="00FB3D28">
      <w:pPr>
        <w:widowControl w:val="0"/>
        <w:autoSpaceDE w:val="0"/>
        <w:autoSpaceDN w:val="0"/>
        <w:adjustRightInd w:val="0"/>
        <w:ind w:left="480" w:hanging="480"/>
        <w:rPr>
          <w:noProof/>
          <w:lang w:val="nl-NL"/>
        </w:rPr>
      </w:pPr>
      <w:r w:rsidRPr="00641A5B">
        <w:rPr>
          <w:noProof/>
          <w:lang w:val="nl-NL"/>
        </w:rPr>
        <w:t>WUR 2022. Minder voedselverspilling in supermarkten.</w:t>
      </w:r>
    </w:p>
    <w:p w14:paraId="4E87E114" w14:textId="448E8CDD" w:rsidR="000F1D8A" w:rsidRPr="00641A5B" w:rsidRDefault="00FB3D28" w:rsidP="00FB3D28">
      <w:pPr>
        <w:keepNext/>
        <w:pageBreakBefore/>
        <w:spacing w:after="120"/>
        <w:jc w:val="left"/>
        <w:outlineLvl w:val="0"/>
        <w:rPr>
          <w:noProof/>
          <w:lang w:val="nl-NL"/>
        </w:rPr>
      </w:pPr>
      <w:r w:rsidRPr="00641A5B">
        <w:rPr>
          <w:rFonts w:ascii="EC Square Sans Pro" w:eastAsia="Verdana" w:hAnsi="EC Square Sans Pro" w:cs="Verdana"/>
          <w:b/>
          <w:noProof/>
          <w:lang w:val="nl-NL" w:eastAsia="en-GB"/>
        </w:rPr>
        <w:t xml:space="preserve"> </w:t>
      </w:r>
      <w:bookmarkStart w:id="1098" w:name="_Toc127379870"/>
      <w:bookmarkStart w:id="1099" w:name="_Toc139032158"/>
      <w:r w:rsidRPr="00641A5B">
        <w:rPr>
          <w:rFonts w:ascii="EC Square Sans Pro" w:eastAsia="Verdana" w:hAnsi="EC Square Sans Pro" w:cs="Verdana"/>
          <w:b/>
          <w:noProof/>
          <w:lang w:val="nl-NL" w:eastAsia="en-GB"/>
        </w:rPr>
        <w:t>List of figures</w:t>
      </w:r>
      <w:bookmarkEnd w:id="1098"/>
      <w:bookmarkEnd w:id="1099"/>
      <w:r w:rsidRPr="005B4339">
        <w:rPr>
          <w:rFonts w:eastAsia="Verdana"/>
          <w:b/>
          <w:noProof/>
          <w:sz w:val="20"/>
          <w:szCs w:val="20"/>
          <w:lang w:val="en-IE" w:eastAsia="en-GB"/>
        </w:rPr>
        <w:fldChar w:fldCharType="begin"/>
      </w:r>
      <w:r w:rsidRPr="00641A5B">
        <w:rPr>
          <w:rFonts w:eastAsia="Verdana"/>
          <w:b/>
          <w:noProof/>
          <w:sz w:val="20"/>
          <w:szCs w:val="20"/>
          <w:lang w:val="nl-NL" w:eastAsia="en-GB"/>
        </w:rPr>
        <w:instrText xml:space="preserve"> TOC \f f \h \z \t "JRC_Figure_caption;1" \c "Figure" </w:instrText>
      </w:r>
      <w:r w:rsidRPr="005B4339">
        <w:rPr>
          <w:rFonts w:eastAsia="Verdana"/>
          <w:b/>
          <w:noProof/>
          <w:sz w:val="20"/>
          <w:szCs w:val="20"/>
          <w:lang w:val="en-IE" w:eastAsia="en-GB"/>
        </w:rPr>
        <w:fldChar w:fldCharType="separate"/>
      </w:r>
    </w:p>
    <w:p w14:paraId="4DD2A431" w14:textId="26265CE1"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36" w:history="1">
        <w:r w:rsidR="000F1D8A" w:rsidRPr="000F1D8A">
          <w:rPr>
            <w:rStyle w:val="Hyperlink"/>
            <w:rFonts w:ascii="Times New Roman" w:hAnsi="Times New Roman" w:cs="Times New Roman"/>
            <w:i/>
            <w:iCs/>
            <w:noProof/>
            <w:sz w:val="22"/>
            <w:lang w:val="en-IE"/>
          </w:rPr>
          <w:t>Figure 1 – Total EU27 food waste quantities in the baselines and the three options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114</w:t>
        </w:r>
      </w:hyperlink>
    </w:p>
    <w:p w14:paraId="24F1C32B" w14:textId="4DDD511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37" w:history="1">
        <w:r w:rsidR="000F1D8A" w:rsidRPr="000F1D8A">
          <w:rPr>
            <w:rStyle w:val="Hyperlink"/>
            <w:rFonts w:ascii="Times New Roman" w:hAnsi="Times New Roman" w:cs="Times New Roman"/>
            <w:i/>
            <w:iCs/>
            <w:noProof/>
            <w:sz w:val="22"/>
            <w:lang w:val="en-IE"/>
          </w:rPr>
          <w:t xml:space="preserve">Figure 2 – Deviations in EU27 food waste quantities at the </w:t>
        </w:r>
        <w:r w:rsidR="000F1D8A" w:rsidRPr="000F1D8A">
          <w:rPr>
            <w:rStyle w:val="Hyperlink"/>
            <w:rFonts w:ascii="Times New Roman" w:eastAsia="Times New Roman" w:hAnsi="Times New Roman" w:cs="Times New Roman"/>
            <w:i/>
            <w:iCs/>
            <w:noProof/>
            <w:sz w:val="22"/>
            <w:lang w:val="en-IE"/>
          </w:rPr>
          <w:t>industry and consumption stage, Options</w:t>
        </w:r>
        <w:r w:rsidR="000F1D8A" w:rsidRPr="000F1D8A">
          <w:rPr>
            <w:rStyle w:val="Hyperlink"/>
            <w:rFonts w:ascii="Times New Roman" w:eastAsia="Times New Roman" w:hAnsi="Times New Roman" w:cs="Times New Roman"/>
            <w:i/>
            <w:noProof/>
            <w:sz w:val="22"/>
            <w:lang w:val="en-IE"/>
          </w:rPr>
          <w:t xml:space="preserve">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115</w:t>
        </w:r>
      </w:hyperlink>
    </w:p>
    <w:p w14:paraId="69D91A84" w14:textId="6429D1E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3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3</w:t>
        </w:r>
        <w:r w:rsidR="000F1D8A" w:rsidRPr="000F1D8A">
          <w:rPr>
            <w:rStyle w:val="Hyperlink"/>
            <w:rFonts w:ascii="Times New Roman" w:hAnsi="Times New Roman" w:cs="Times New Roman"/>
            <w:noProof/>
            <w:sz w:val="22"/>
            <w:lang w:val="en-IE"/>
          </w:rPr>
          <w:t xml:space="preserve"> – Change deviations in household food waste quantities per commodity group for EU27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115</w:t>
        </w:r>
      </w:hyperlink>
    </w:p>
    <w:p w14:paraId="48DB283F" w14:textId="7EB4E449"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39"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w:t>
        </w:r>
        <w:r w:rsidR="000F1D8A" w:rsidRPr="000F1D8A">
          <w:rPr>
            <w:rStyle w:val="Hyperlink"/>
            <w:rFonts w:ascii="Times New Roman" w:hAnsi="Times New Roman" w:cs="Times New Roman"/>
            <w:noProof/>
            <w:sz w:val="22"/>
            <w:lang w:val="en-IE"/>
          </w:rPr>
          <w:t xml:space="preserve"> – Absolute deviation of direct emissions in the EU27 (mt CO2 equivalent)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116</w:t>
        </w:r>
      </w:hyperlink>
    </w:p>
    <w:p w14:paraId="1AA3E11D" w14:textId="245464D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5</w:t>
        </w:r>
        <w:r w:rsidR="000F1D8A" w:rsidRPr="000F1D8A">
          <w:rPr>
            <w:rStyle w:val="Hyperlink"/>
            <w:rFonts w:ascii="Times New Roman" w:hAnsi="Times New Roman" w:cs="Times New Roman"/>
            <w:noProof/>
            <w:sz w:val="22"/>
            <w:lang w:val="en-IE"/>
          </w:rPr>
          <w:t>–Absolute deviation of direct emissions associated with agri-food (mt CO2 equivalent)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116</w:t>
        </w:r>
      </w:hyperlink>
    </w:p>
    <w:p w14:paraId="1BFFE26A" w14:textId="27C035B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w:t>
        </w:r>
        <w:r w:rsidR="000F1D8A" w:rsidRPr="000F1D8A">
          <w:rPr>
            <w:rStyle w:val="Hyperlink"/>
            <w:rFonts w:ascii="Times New Roman" w:hAnsi="Times New Roman" w:cs="Times New Roman"/>
            <w:noProof/>
            <w:sz w:val="22"/>
            <w:lang w:val="en-IE"/>
          </w:rPr>
          <w:t>: Absolute deviation in land use in the EU (thousand hectares)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117</w:t>
        </w:r>
      </w:hyperlink>
    </w:p>
    <w:p w14:paraId="429DBDEC" w14:textId="418A2C6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7</w:t>
        </w:r>
        <w:r w:rsidR="000F1D8A" w:rsidRPr="000F1D8A">
          <w:rPr>
            <w:rStyle w:val="Hyperlink"/>
            <w:rFonts w:ascii="Times New Roman" w:hAnsi="Times New Roman" w:cs="Times New Roman"/>
            <w:noProof/>
            <w:sz w:val="22"/>
            <w:lang w:val="en-IE"/>
          </w:rPr>
          <w:t>: Deviation in land use in the EU (% change) options vs baseline 2030 (baseline in 2020 =100)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117</w:t>
        </w:r>
      </w:hyperlink>
    </w:p>
    <w:p w14:paraId="388BD02A" w14:textId="14A1C54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8</w:t>
        </w:r>
        <w:r w:rsidR="000F1D8A" w:rsidRPr="000F1D8A">
          <w:rPr>
            <w:rStyle w:val="Hyperlink"/>
            <w:rFonts w:ascii="Times New Roman" w:hAnsi="Times New Roman" w:cs="Times New Roman"/>
            <w:noProof/>
            <w:sz w:val="22"/>
            <w:lang w:val="en-IE"/>
          </w:rPr>
          <w:t>: Land footprint associated with household food consumption (m² per capita per year) – baseline 2020 and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118</w:t>
        </w:r>
      </w:hyperlink>
    </w:p>
    <w:p w14:paraId="66BDB565" w14:textId="6E3981D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9</w:t>
        </w:r>
        <w:r w:rsidR="000F1D8A" w:rsidRPr="000F1D8A">
          <w:rPr>
            <w:rStyle w:val="Hyperlink"/>
            <w:rFonts w:ascii="Times New Roman" w:hAnsi="Times New Roman" w:cs="Times New Roman"/>
            <w:noProof/>
            <w:sz w:val="22"/>
            <w:lang w:val="en-IE"/>
          </w:rPr>
          <w:t>: Land footprint associated with household food consumption (m² per capita per year) – savings,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119</w:t>
        </w:r>
      </w:hyperlink>
    </w:p>
    <w:p w14:paraId="16E4D13D" w14:textId="1C6E00C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10</w:t>
        </w:r>
        <w:r w:rsidR="000F1D8A" w:rsidRPr="000F1D8A">
          <w:rPr>
            <w:rStyle w:val="Hyperlink"/>
            <w:rFonts w:ascii="Times New Roman" w:hAnsi="Times New Roman" w:cs="Times New Roman"/>
            <w:noProof/>
            <w:sz w:val="22"/>
            <w:lang w:val="en-IE"/>
          </w:rPr>
          <w:t>: Emission footprint associated with household food consumption (kg CO2 equivalent per capita per year) –baseline 2020 and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120</w:t>
        </w:r>
      </w:hyperlink>
    </w:p>
    <w:p w14:paraId="633BDA10" w14:textId="5B6F185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6"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11</w:t>
        </w:r>
        <w:r w:rsidR="000F1D8A" w:rsidRPr="000F1D8A">
          <w:rPr>
            <w:rStyle w:val="Hyperlink"/>
            <w:rFonts w:ascii="Times New Roman" w:hAnsi="Times New Roman" w:cs="Times New Roman"/>
            <w:noProof/>
            <w:sz w:val="22"/>
            <w:lang w:val="en-IE"/>
          </w:rPr>
          <w:t>: Emission footprint associated with household food consumption (kg CO2 equivalent per capita per year) – savings per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120</w:t>
        </w:r>
      </w:hyperlink>
    </w:p>
    <w:p w14:paraId="0A298DE7" w14:textId="308BBFD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7"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12</w:t>
        </w:r>
        <w:r w:rsidR="000F1D8A" w:rsidRPr="000F1D8A">
          <w:rPr>
            <w:rStyle w:val="Hyperlink"/>
            <w:rFonts w:ascii="Times New Roman" w:hAnsi="Times New Roman" w:cs="Times New Roman"/>
            <w:noProof/>
            <w:sz w:val="22"/>
            <w:lang w:val="en-IE"/>
          </w:rPr>
          <w:t>: Energy footprint associated with household food consumption (MJ per capita per year) – baseline 2020 and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121</w:t>
        </w:r>
      </w:hyperlink>
    </w:p>
    <w:p w14:paraId="77359495" w14:textId="77228A74"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13</w:t>
        </w:r>
        <w:r w:rsidR="000F1D8A" w:rsidRPr="000F1D8A">
          <w:rPr>
            <w:rStyle w:val="Hyperlink"/>
            <w:rFonts w:ascii="Times New Roman" w:hAnsi="Times New Roman" w:cs="Times New Roman"/>
            <w:noProof/>
            <w:sz w:val="22"/>
            <w:lang w:val="en-IE"/>
          </w:rPr>
          <w:t>: Energy footprint associated with household food consumption (MJ per capita per year) – savings per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122</w:t>
        </w:r>
      </w:hyperlink>
    </w:p>
    <w:p w14:paraId="5D9204C6" w14:textId="745D1BF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49"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14</w:t>
        </w:r>
        <w:r w:rsidR="000F1D8A" w:rsidRPr="000F1D8A">
          <w:rPr>
            <w:rStyle w:val="Hyperlink"/>
            <w:rFonts w:ascii="Times New Roman" w:hAnsi="Times New Roman" w:cs="Times New Roman"/>
            <w:noProof/>
            <w:sz w:val="22"/>
            <w:lang w:val="en-IE"/>
          </w:rPr>
          <w:t>: EU virtual emission trade flows (mt CO2 equivalents) in the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122</w:t>
        </w:r>
      </w:hyperlink>
    </w:p>
    <w:p w14:paraId="45CE0874" w14:textId="4FE4564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15</w:t>
        </w:r>
        <w:r w:rsidR="000F1D8A" w:rsidRPr="000F1D8A">
          <w:rPr>
            <w:rStyle w:val="Hyperlink"/>
            <w:rFonts w:ascii="Times New Roman" w:hAnsi="Times New Roman" w:cs="Times New Roman"/>
            <w:noProof/>
            <w:sz w:val="22"/>
            <w:lang w:val="en-IE"/>
          </w:rPr>
          <w:t>: Absolute deviation of EU virtual emission trade flows (mt CO2 equivalents)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123</w:t>
        </w:r>
      </w:hyperlink>
    </w:p>
    <w:p w14:paraId="0C2732E5" w14:textId="5A1FFBD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16</w:t>
        </w:r>
        <w:r w:rsidR="000F1D8A" w:rsidRPr="000F1D8A">
          <w:rPr>
            <w:rStyle w:val="Hyperlink"/>
            <w:rFonts w:ascii="Times New Roman" w:hAnsi="Times New Roman" w:cs="Times New Roman"/>
            <w:noProof/>
            <w:sz w:val="22"/>
            <w:lang w:val="en-IE"/>
          </w:rPr>
          <w:t>: EU virtual land trade flows (million hectares) in the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124</w:t>
        </w:r>
      </w:hyperlink>
    </w:p>
    <w:p w14:paraId="56D82C1E" w14:textId="6D681D3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17</w:t>
        </w:r>
        <w:r w:rsidR="000F1D8A" w:rsidRPr="000F1D8A">
          <w:rPr>
            <w:rStyle w:val="Hyperlink"/>
            <w:rFonts w:ascii="Times New Roman" w:hAnsi="Times New Roman" w:cs="Times New Roman"/>
            <w:noProof/>
            <w:sz w:val="22"/>
            <w:lang w:val="en-IE"/>
          </w:rPr>
          <w:t>: Absolute deviation of EU virtual land trade flows (thousand hectares)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125</w:t>
        </w:r>
      </w:hyperlink>
    </w:p>
    <w:p w14:paraId="3E216C31" w14:textId="5778DC4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18</w:t>
        </w:r>
        <w:r w:rsidR="000F1D8A" w:rsidRPr="000F1D8A">
          <w:rPr>
            <w:rStyle w:val="Hyperlink"/>
            <w:rFonts w:ascii="Times New Roman" w:hAnsi="Times New Roman" w:cs="Times New Roman"/>
            <w:noProof/>
            <w:sz w:val="22"/>
            <w:lang w:val="en-IE"/>
          </w:rPr>
          <w:t>: Relative differences in climate change impact between the three policy options.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127</w:t>
        </w:r>
      </w:hyperlink>
    </w:p>
    <w:p w14:paraId="23405FDB" w14:textId="1390C8E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19</w:t>
        </w:r>
        <w:r w:rsidR="000F1D8A" w:rsidRPr="000F1D8A">
          <w:rPr>
            <w:rStyle w:val="Hyperlink"/>
            <w:rFonts w:ascii="Times New Roman" w:hAnsi="Times New Roman" w:cs="Times New Roman"/>
            <w:noProof/>
            <w:sz w:val="22"/>
            <w:lang w:val="en-IE"/>
          </w:rPr>
          <w:t>: Avoided climate change impact obtained with the three policy options considering the various steps of the supply chain.</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128</w:t>
        </w:r>
      </w:hyperlink>
    </w:p>
    <w:p w14:paraId="77AA160B" w14:textId="7520FD7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20</w:t>
        </w:r>
        <w:r w:rsidR="000F1D8A" w:rsidRPr="000F1D8A">
          <w:rPr>
            <w:rStyle w:val="Hyperlink"/>
            <w:rFonts w:ascii="Times New Roman" w:hAnsi="Times New Roman" w:cs="Times New Roman"/>
            <w:noProof/>
            <w:sz w:val="22"/>
            <w:lang w:val="en-IE"/>
          </w:rPr>
          <w:t>: Avoided climate change impact due to food production and waste treatment in the three policy options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128</w:t>
        </w:r>
      </w:hyperlink>
    </w:p>
    <w:p w14:paraId="531C9AC2" w14:textId="3078C10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6"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21</w:t>
        </w:r>
        <w:r w:rsidR="000F1D8A" w:rsidRPr="000F1D8A">
          <w:rPr>
            <w:rStyle w:val="Hyperlink"/>
            <w:rFonts w:ascii="Times New Roman" w:hAnsi="Times New Roman" w:cs="Times New Roman"/>
            <w:noProof/>
            <w:sz w:val="22"/>
            <w:lang w:val="en-IE"/>
          </w:rPr>
          <w:t>: Avoided impact on water use due to food production and waste treatment in the various policy option</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129</w:t>
        </w:r>
      </w:hyperlink>
    </w:p>
    <w:p w14:paraId="0B69DA93" w14:textId="16CB83F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7"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22</w:t>
        </w:r>
        <w:r w:rsidR="000F1D8A" w:rsidRPr="000F1D8A">
          <w:rPr>
            <w:rStyle w:val="Hyperlink"/>
            <w:rFonts w:ascii="Times New Roman" w:hAnsi="Times New Roman" w:cs="Times New Roman"/>
            <w:noProof/>
            <w:sz w:val="22"/>
            <w:lang w:val="en-IE"/>
          </w:rPr>
          <w:t xml:space="preserve">: </w:t>
        </w:r>
        <w:r w:rsidR="000F1D8A" w:rsidRPr="000F1D8A">
          <w:rPr>
            <w:rStyle w:val="Hyperlink"/>
            <w:rFonts w:ascii="Times New Roman" w:hAnsi="Times New Roman" w:cs="Times New Roman"/>
            <w:noProof/>
            <w:sz w:val="22"/>
            <w:shd w:val="clear" w:color="auto" w:fill="FFFFFF"/>
            <w:lang w:val="en-IE"/>
          </w:rPr>
          <w:t>Avoided climate change impact in the Member States with option 3</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129</w:t>
        </w:r>
      </w:hyperlink>
    </w:p>
    <w:p w14:paraId="76F2E190" w14:textId="70D2446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23</w:t>
        </w:r>
        <w:r w:rsidR="000F1D8A" w:rsidRPr="000F1D8A">
          <w:rPr>
            <w:rStyle w:val="Hyperlink"/>
            <w:rFonts w:ascii="Times New Roman" w:hAnsi="Times New Roman" w:cs="Times New Roman"/>
            <w:noProof/>
            <w:sz w:val="22"/>
            <w:lang w:val="en-IE"/>
          </w:rPr>
          <w: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130</w:t>
        </w:r>
      </w:hyperlink>
    </w:p>
    <w:p w14:paraId="5EC438F0" w14:textId="4C04AFD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59" w:history="1">
        <w:r w:rsidR="000F1D8A" w:rsidRPr="000F1D8A">
          <w:rPr>
            <w:rStyle w:val="Hyperlink"/>
            <w:rFonts w:ascii="Times New Roman" w:hAnsi="Times New Roman" w:cs="Times New Roman"/>
            <w:noProof/>
            <w:sz w:val="22"/>
          </w:rPr>
          <w:t>Reductions in climate change impact due to the application of food waste targets, in the context of the global impact of the EU 27 system and the impact due to food systems. All amounts are million tonnes of CO</w:t>
        </w:r>
        <w:r w:rsidR="000F1D8A" w:rsidRPr="000F1D8A">
          <w:rPr>
            <w:rStyle w:val="Hyperlink"/>
            <w:rFonts w:ascii="Times New Roman" w:hAnsi="Times New Roman" w:cs="Times New Roman"/>
            <w:noProof/>
            <w:sz w:val="22"/>
            <w:vertAlign w:val="subscript"/>
          </w:rPr>
          <w:t>2</w:t>
        </w:r>
        <w:r w:rsidR="000F1D8A" w:rsidRPr="000F1D8A">
          <w:rPr>
            <w:rStyle w:val="Hyperlink"/>
            <w:rFonts w:ascii="Times New Roman" w:hAnsi="Times New Roman" w:cs="Times New Roman"/>
            <w:noProof/>
            <w:sz w:val="22"/>
          </w:rPr>
          <w:t xml:space="preserve"> eq.</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130</w:t>
        </w:r>
      </w:hyperlink>
    </w:p>
    <w:p w14:paraId="28C9311F" w14:textId="7F72EA7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24</w:t>
        </w:r>
        <w:r w:rsidR="000F1D8A" w:rsidRPr="000F1D8A">
          <w:rPr>
            <w:rStyle w:val="Hyperlink"/>
            <w:rFonts w:ascii="Times New Roman" w:hAnsi="Times New Roman" w:cs="Times New Roman"/>
            <w:noProof/>
            <w:sz w:val="22"/>
            <w:lang w:val="en-IE"/>
          </w:rPr>
          <w:t>: Overview of different emission calculations within MAGNET range of reduction in Mio CO2eq from Option 1 to Option 3</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131</w:t>
        </w:r>
      </w:hyperlink>
    </w:p>
    <w:p w14:paraId="496E353F" w14:textId="031EFAC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shd w:val="clear" w:color="auto" w:fill="FFFFFF"/>
          </w:rPr>
          <w:t>25</w:t>
        </w:r>
        <w:r w:rsidR="000F1D8A" w:rsidRPr="000F1D8A">
          <w:rPr>
            <w:rStyle w:val="Hyperlink"/>
            <w:rFonts w:ascii="Times New Roman" w:hAnsi="Times New Roman" w:cs="Times New Roman"/>
            <w:noProof/>
            <w:sz w:val="22"/>
            <w:lang w:val="en-IE"/>
          </w:rPr>
          <w:t>: Overview of different emission calculations by Consumption Footprint (life cycle assessment based) and within MAGNET range of reduction in Mio CO2eq from Option 1 to Option 3</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132</w:t>
        </w:r>
      </w:hyperlink>
    </w:p>
    <w:p w14:paraId="23FD9A90" w14:textId="2F818E0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26</w:t>
        </w:r>
        <w:r w:rsidR="000F1D8A" w:rsidRPr="000F1D8A">
          <w:rPr>
            <w:rStyle w:val="Hyperlink"/>
            <w:rFonts w:ascii="Times New Roman" w:hAnsi="Times New Roman" w:cs="Times New Roman"/>
            <w:noProof/>
            <w:sz w:val="22"/>
            <w:lang w:val="en-IE"/>
          </w:rPr>
          <w:t>: Changes of EU27 consumer demand (%) for selected commodities,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134</w:t>
        </w:r>
      </w:hyperlink>
    </w:p>
    <w:p w14:paraId="531F56A3" w14:textId="36CB344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27</w:t>
        </w:r>
        <w:r w:rsidR="000F1D8A" w:rsidRPr="000F1D8A">
          <w:rPr>
            <w:rStyle w:val="Hyperlink"/>
            <w:rFonts w:ascii="Times New Roman" w:hAnsi="Times New Roman" w:cs="Times New Roman"/>
            <w:noProof/>
            <w:sz w:val="22"/>
            <w:lang w:val="en-IE"/>
          </w:rPr>
          <w:t>: Changes in consumer demand (%) in EU MS for selected commodities,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134</w:t>
        </w:r>
      </w:hyperlink>
    </w:p>
    <w:p w14:paraId="744B7A43" w14:textId="29D6FBD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4" w:history="1">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135</w:t>
        </w:r>
      </w:hyperlink>
    </w:p>
    <w:p w14:paraId="0E9E4E62" w14:textId="5906442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28</w:t>
        </w:r>
        <w:r w:rsidR="000F1D8A" w:rsidRPr="000F1D8A">
          <w:rPr>
            <w:rStyle w:val="Hyperlink"/>
            <w:rFonts w:ascii="Times New Roman" w:hAnsi="Times New Roman" w:cs="Times New Roman"/>
            <w:noProof/>
            <w:sz w:val="22"/>
            <w:lang w:val="en-IE"/>
          </w:rPr>
          <w:t>: Changes of EU27 market prices (%) for selected commodities,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135</w:t>
        </w:r>
      </w:hyperlink>
    </w:p>
    <w:p w14:paraId="6A31CAC2" w14:textId="28BCEB0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6"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29</w:t>
        </w:r>
        <w:r w:rsidR="000F1D8A" w:rsidRPr="000F1D8A">
          <w:rPr>
            <w:rStyle w:val="Hyperlink"/>
            <w:rFonts w:ascii="Times New Roman" w:hAnsi="Times New Roman" w:cs="Times New Roman"/>
            <w:noProof/>
            <w:sz w:val="22"/>
            <w:lang w:val="en-IE"/>
          </w:rPr>
          <w:t>: Changes of market prices (%) in EU MS for selected commodities,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136</w:t>
        </w:r>
      </w:hyperlink>
    </w:p>
    <w:p w14:paraId="133C676B" w14:textId="4FD0F0B4"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7"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30</w:t>
        </w:r>
        <w:r w:rsidR="000F1D8A" w:rsidRPr="000F1D8A">
          <w:rPr>
            <w:rStyle w:val="Hyperlink"/>
            <w:rFonts w:ascii="Times New Roman" w:hAnsi="Times New Roman" w:cs="Times New Roman"/>
            <w:noProof/>
            <w:sz w:val="22"/>
            <w:lang w:val="en-IE"/>
          </w:rPr>
          <w:t>: Changes in EU27 consumer prices (%) for selected commodities,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136</w:t>
        </w:r>
      </w:hyperlink>
    </w:p>
    <w:p w14:paraId="0F583FC7" w14:textId="6123DD3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31</w:t>
        </w:r>
        <w:r w:rsidR="000F1D8A" w:rsidRPr="000F1D8A">
          <w:rPr>
            <w:rStyle w:val="Hyperlink"/>
            <w:rFonts w:ascii="Times New Roman" w:hAnsi="Times New Roman" w:cs="Times New Roman"/>
            <w:noProof/>
            <w:sz w:val="22"/>
            <w:lang w:val="en-IE"/>
          </w:rPr>
          <w:t>: Changes in consumer prices (%) in EU MS for selected commodities,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137</w:t>
        </w:r>
      </w:hyperlink>
    </w:p>
    <w:p w14:paraId="479368D8" w14:textId="0D3BFA81"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69"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32</w:t>
        </w:r>
        <w:r w:rsidR="000F1D8A" w:rsidRPr="000F1D8A">
          <w:rPr>
            <w:rStyle w:val="Hyperlink"/>
            <w:rFonts w:ascii="Times New Roman" w:hAnsi="Times New Roman" w:cs="Times New Roman"/>
            <w:noProof/>
            <w:sz w:val="22"/>
            <w:lang w:val="en-IE"/>
          </w:rPr>
          <w:t>: Change in land prices in EU (% change,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137</w:t>
        </w:r>
      </w:hyperlink>
    </w:p>
    <w:p w14:paraId="7D29FF1B" w14:textId="67B5D75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33</w:t>
        </w:r>
        <w:r w:rsidR="000F1D8A" w:rsidRPr="000F1D8A">
          <w:rPr>
            <w:rStyle w:val="Hyperlink"/>
            <w:rFonts w:ascii="Times New Roman" w:hAnsi="Times New Roman" w:cs="Times New Roman"/>
            <w:noProof/>
            <w:sz w:val="22"/>
            <w:lang w:val="en-IE"/>
          </w:rPr>
          <w:t>: Change in EU27 agricultural production for selected commodities, options vs baseline in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138</w:t>
        </w:r>
      </w:hyperlink>
    </w:p>
    <w:p w14:paraId="4F2CAA71" w14:textId="0653077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34</w:t>
        </w:r>
        <w:r w:rsidR="000F1D8A" w:rsidRPr="000F1D8A">
          <w:rPr>
            <w:rStyle w:val="Hyperlink"/>
            <w:rFonts w:ascii="Times New Roman" w:hAnsi="Times New Roman" w:cs="Times New Roman"/>
            <w:noProof/>
            <w:sz w:val="22"/>
            <w:lang w:val="en-IE"/>
          </w:rPr>
          <w:t>: Changes in EU27 agricultural production compared to the baseline in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138</w:t>
        </w:r>
      </w:hyperlink>
    </w:p>
    <w:p w14:paraId="7F937FCC" w14:textId="1B1898D9"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35</w:t>
        </w:r>
        <w:r w:rsidR="000F1D8A" w:rsidRPr="000F1D8A">
          <w:rPr>
            <w:rStyle w:val="Hyperlink"/>
            <w:rFonts w:ascii="Times New Roman" w:hAnsi="Times New Roman" w:cs="Times New Roman"/>
            <w:noProof/>
            <w:sz w:val="22"/>
            <w:lang w:val="en-IE"/>
          </w:rPr>
          <w:t>: Changes in agricultural production (kton) in EU MS for agri-food commodities,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139</w:t>
        </w:r>
      </w:hyperlink>
    </w:p>
    <w:p w14:paraId="589AB1A4" w14:textId="09853F8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36</w:t>
        </w:r>
        <w:r w:rsidR="000F1D8A" w:rsidRPr="000F1D8A">
          <w:rPr>
            <w:rStyle w:val="Hyperlink"/>
            <w:rFonts w:ascii="Times New Roman" w:hAnsi="Times New Roman" w:cs="Times New Roman"/>
            <w:noProof/>
            <w:sz w:val="22"/>
            <w:lang w:val="en-IE"/>
          </w:rPr>
          <w:t>: Changes in agricultural production (thousand tonnes) in EU MS for selected commodities,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139</w:t>
        </w:r>
      </w:hyperlink>
    </w:p>
    <w:p w14:paraId="419DB639" w14:textId="4CA24C1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37</w:t>
        </w:r>
        <w:r w:rsidR="000F1D8A" w:rsidRPr="000F1D8A">
          <w:rPr>
            <w:rStyle w:val="Hyperlink"/>
            <w:rFonts w:ascii="Times New Roman" w:hAnsi="Times New Roman" w:cs="Times New Roman"/>
            <w:noProof/>
            <w:sz w:val="22"/>
            <w:lang w:val="en-IE"/>
          </w:rPr>
          <w:t>: Vegetables: Changes in agricultural production and consumer demand in EU MS (%),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140</w:t>
        </w:r>
      </w:hyperlink>
    </w:p>
    <w:p w14:paraId="5A6473C9" w14:textId="75DE202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bCs/>
            <w:noProof/>
            <w:sz w:val="22"/>
          </w:rPr>
          <w:t>38</w:t>
        </w:r>
        <w:r w:rsidR="000F1D8A" w:rsidRPr="000F1D8A">
          <w:rPr>
            <w:rStyle w:val="Hyperlink"/>
            <w:rFonts w:ascii="Times New Roman" w:hAnsi="Times New Roman" w:cs="Times New Roman"/>
            <w:noProof/>
            <w:sz w:val="22"/>
            <w:lang w:val="en-IE"/>
          </w:rPr>
          <w:t>: Fruits: Changes in agricultural production and consumer demand in EU MS (%),,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140</w:t>
        </w:r>
      </w:hyperlink>
    </w:p>
    <w:p w14:paraId="5ABAC002" w14:textId="45FF763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6" w:history="1">
        <w:r w:rsidR="000F1D8A" w:rsidRPr="000F1D8A">
          <w:rPr>
            <w:rStyle w:val="Hyperlink"/>
            <w:rFonts w:ascii="Times New Roman" w:hAnsi="Times New Roman" w:cs="Times New Roman"/>
            <w:noProof/>
            <w:sz w:val="22"/>
            <w:lang w:val="fr-BE"/>
          </w:rPr>
          <w:t>Figure 39: Percentage change deviation in extra-EU exports,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141</w:t>
        </w:r>
      </w:hyperlink>
    </w:p>
    <w:p w14:paraId="4964EC56" w14:textId="12C4D86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7" w:history="1">
        <w:r w:rsidR="000F1D8A" w:rsidRPr="000F1D8A">
          <w:rPr>
            <w:rStyle w:val="Hyperlink"/>
            <w:rFonts w:ascii="Times New Roman" w:hAnsi="Times New Roman" w:cs="Times New Roman"/>
            <w:noProof/>
            <w:sz w:val="22"/>
            <w:lang w:val="fr-BE"/>
          </w:rPr>
          <w:t>Figure 40: Percentage change deviation in extra-EU imports,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142</w:t>
        </w:r>
      </w:hyperlink>
    </w:p>
    <w:p w14:paraId="3FCB7064" w14:textId="7876AFE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41</w:t>
        </w:r>
        <w:r w:rsidR="000F1D8A" w:rsidRPr="000F1D8A">
          <w:rPr>
            <w:rStyle w:val="Hyperlink"/>
            <w:rFonts w:ascii="Times New Roman" w:hAnsi="Times New Roman" w:cs="Times New Roman"/>
            <w:noProof/>
            <w:sz w:val="22"/>
            <w:lang w:val="en-IE"/>
          </w:rPr>
          <w:t>: Change in EU’s agri-food trade balance by food groups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142</w:t>
        </w:r>
      </w:hyperlink>
    </w:p>
    <w:p w14:paraId="7AA37B4D" w14:textId="6C18D9C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79"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42</w:t>
        </w:r>
        <w:r w:rsidR="000F1D8A" w:rsidRPr="000F1D8A">
          <w:rPr>
            <w:rStyle w:val="Hyperlink"/>
            <w:rFonts w:ascii="Times New Roman" w:hAnsi="Times New Roman" w:cs="Times New Roman"/>
            <w:noProof/>
            <w:sz w:val="22"/>
            <w:lang w:val="en-IE"/>
          </w:rPr>
          <w:t>: Change deviation in agri-food trade balance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143</w:t>
        </w:r>
      </w:hyperlink>
    </w:p>
    <w:p w14:paraId="6CBE240B" w14:textId="7632269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43</w:t>
        </w:r>
        <w:r w:rsidR="000F1D8A" w:rsidRPr="000F1D8A">
          <w:rPr>
            <w:rStyle w:val="Hyperlink"/>
            <w:rFonts w:ascii="Times New Roman" w:hAnsi="Times New Roman" w:cs="Times New Roman"/>
            <w:noProof/>
            <w:sz w:val="22"/>
            <w:lang w:val="en-IE"/>
          </w:rPr>
          <w:t>: Change deviation in real GDP for EU and non-EU,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143</w:t>
        </w:r>
      </w:hyperlink>
    </w:p>
    <w:p w14:paraId="5579A990" w14:textId="16C3726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44</w:t>
        </w:r>
        <w:r w:rsidR="000F1D8A" w:rsidRPr="000F1D8A">
          <w:rPr>
            <w:rStyle w:val="Hyperlink"/>
            <w:rFonts w:ascii="Times New Roman" w:hAnsi="Times New Roman" w:cs="Times New Roman"/>
            <w:noProof/>
            <w:sz w:val="22"/>
            <w:lang w:val="en-IE"/>
          </w:rPr>
          <w:t>: Change deviation in real GDP at MS level,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144</w:t>
        </w:r>
      </w:hyperlink>
    </w:p>
    <w:p w14:paraId="376AE4FC" w14:textId="77C228E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45</w:t>
        </w:r>
        <w:r w:rsidR="000F1D8A" w:rsidRPr="000F1D8A">
          <w:rPr>
            <w:rStyle w:val="Hyperlink"/>
            <w:rFonts w:ascii="Times New Roman" w:hAnsi="Times New Roman" w:cs="Times New Roman"/>
            <w:noProof/>
            <w:sz w:val="22"/>
            <w:lang w:val="en-IE"/>
          </w:rPr>
          <w:t>: Changes in total income in EU27, options compared to baseline (2030) for different actors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144</w:t>
        </w:r>
      </w:hyperlink>
    </w:p>
    <w:p w14:paraId="1ADF7210" w14:textId="60563C4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46</w:t>
        </w:r>
        <w:r w:rsidR="000F1D8A" w:rsidRPr="000F1D8A">
          <w:rPr>
            <w:rStyle w:val="Hyperlink"/>
            <w:rFonts w:ascii="Times New Roman" w:hAnsi="Times New Roman" w:cs="Times New Roman"/>
            <w:noProof/>
            <w:sz w:val="22"/>
            <w:lang w:val="en-IE"/>
          </w:rPr>
          <w:t>: Changes in income in EU MS,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145</w:t>
        </w:r>
      </w:hyperlink>
    </w:p>
    <w:p w14:paraId="0927937A" w14:textId="6AD8DF6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47</w:t>
        </w:r>
        <w:r w:rsidR="000F1D8A" w:rsidRPr="000F1D8A">
          <w:rPr>
            <w:rStyle w:val="Hyperlink"/>
            <w:rFonts w:ascii="Times New Roman" w:hAnsi="Times New Roman" w:cs="Times New Roman"/>
            <w:noProof/>
            <w:sz w:val="22"/>
            <w:lang w:val="en-IE"/>
          </w:rPr>
          <w:t>: Estimated adjustment costs associated with food waste reduction per stage of food supply chain, EU27 –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146</w:t>
        </w:r>
      </w:hyperlink>
    </w:p>
    <w:p w14:paraId="4E51639F" w14:textId="0471878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5" w:history="1">
        <w:r w:rsidR="000F1D8A" w:rsidRPr="000F1D8A">
          <w:rPr>
            <w:rStyle w:val="Hyperlink"/>
            <w:rFonts w:ascii="Times New Roman" w:hAnsi="Times New Roman" w:cs="Times New Roman"/>
            <w:noProof/>
            <w:sz w:val="22"/>
            <w:lang w:val="en-IE"/>
          </w:rPr>
          <w:t>Figure 49: Adjustment costs of food waste reduction per ton of food waste reduced, EU27 –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147</w:t>
        </w:r>
      </w:hyperlink>
    </w:p>
    <w:p w14:paraId="23679C5C" w14:textId="5F675E6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6" w:history="1">
        <w:r w:rsidR="000F1D8A" w:rsidRPr="000F1D8A">
          <w:rPr>
            <w:rStyle w:val="Hyperlink"/>
            <w:rFonts w:ascii="Times New Roman" w:hAnsi="Times New Roman" w:cs="Times New Roman"/>
            <w:noProof/>
            <w:sz w:val="22"/>
            <w:lang w:val="en-IE"/>
          </w:rPr>
          <w:t>Figure 50: Adjustment costs associated with 10% food waste reduction at the primary production stage, EU27, Option 3 vs baseline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148</w:t>
        </w:r>
      </w:hyperlink>
    </w:p>
    <w:p w14:paraId="58E647D8" w14:textId="2906246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7" w:history="1">
        <w:r w:rsidR="000F1D8A" w:rsidRPr="000F1D8A">
          <w:rPr>
            <w:rStyle w:val="Hyperlink"/>
            <w:rFonts w:ascii="Times New Roman" w:hAnsi="Times New Roman" w:cs="Times New Roman"/>
            <w:noProof/>
            <w:sz w:val="22"/>
            <w:lang w:val="en-IE"/>
          </w:rPr>
          <w:t>Figure 51: Cost associated with food waste reduction at the processing stage across Member States,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148</w:t>
        </w:r>
      </w:hyperlink>
    </w:p>
    <w:p w14:paraId="155EFBD1" w14:textId="38058CF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8" w:history="1">
        <w:r w:rsidR="000F1D8A" w:rsidRPr="000F1D8A">
          <w:rPr>
            <w:rStyle w:val="Hyperlink"/>
            <w:rFonts w:ascii="Times New Roman" w:hAnsi="Times New Roman" w:cs="Times New Roman"/>
            <w:noProof/>
            <w:sz w:val="22"/>
            <w:lang w:val="en-IE"/>
          </w:rPr>
          <w:t>Figure 52: Adjustment costs associated with food waste reduction at the retail stage EUR/ton, EU27,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149</w:t>
        </w:r>
      </w:hyperlink>
    </w:p>
    <w:p w14:paraId="77EF4C4D" w14:textId="699740C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89" w:history="1">
        <w:r w:rsidR="000F1D8A" w:rsidRPr="000F1D8A">
          <w:rPr>
            <w:rStyle w:val="Hyperlink"/>
            <w:rFonts w:ascii="Times New Roman" w:hAnsi="Times New Roman" w:cs="Times New Roman"/>
            <w:noProof/>
            <w:sz w:val="22"/>
            <w:lang w:val="en-IE"/>
          </w:rPr>
          <w:t>Figure 53: Average costs associated with food waste reduction at the retail stage across MSs,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150</w:t>
        </w:r>
      </w:hyperlink>
    </w:p>
    <w:p w14:paraId="324F1BD6" w14:textId="429D241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0" w:history="1">
        <w:r w:rsidR="000F1D8A" w:rsidRPr="000F1D8A">
          <w:rPr>
            <w:rStyle w:val="Hyperlink"/>
            <w:rFonts w:ascii="Times New Roman" w:hAnsi="Times New Roman" w:cs="Times New Roman"/>
            <w:noProof/>
            <w:sz w:val="22"/>
            <w:lang w:val="en-IE"/>
          </w:rPr>
          <w:t>Figure 54: Adjustment costs associated with household food waste reduction, EU27,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150</w:t>
        </w:r>
      </w:hyperlink>
    </w:p>
    <w:p w14:paraId="1FEBAFF2" w14:textId="2D45455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1" w:history="1">
        <w:r w:rsidR="000F1D8A" w:rsidRPr="000F1D8A">
          <w:rPr>
            <w:rStyle w:val="Hyperlink"/>
            <w:rFonts w:ascii="Times New Roman" w:hAnsi="Times New Roman" w:cs="Times New Roman"/>
            <w:noProof/>
            <w:sz w:val="22"/>
            <w:lang w:val="en-IE"/>
          </w:rPr>
          <w:t>Figure 55: Average adjustment costs associated with household food waste reduction,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151</w:t>
        </w:r>
      </w:hyperlink>
    </w:p>
    <w:p w14:paraId="2FC98A2B" w14:textId="5723694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2" w:history="1">
        <w:r w:rsidR="000F1D8A" w:rsidRPr="000F1D8A">
          <w:rPr>
            <w:rStyle w:val="Hyperlink"/>
            <w:rFonts w:ascii="Times New Roman" w:hAnsi="Times New Roman" w:cs="Times New Roman"/>
            <w:noProof/>
            <w:sz w:val="22"/>
            <w:lang w:val="en-IE"/>
          </w:rPr>
          <w:t>Figure 56: Change in employment in the EU (% change)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153</w:t>
        </w:r>
      </w:hyperlink>
    </w:p>
    <w:p w14:paraId="61C65063" w14:textId="7765ACB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3" w:history="1">
        <w:r w:rsidR="000F1D8A" w:rsidRPr="000F1D8A">
          <w:rPr>
            <w:rStyle w:val="Hyperlink"/>
            <w:rFonts w:ascii="Times New Roman" w:hAnsi="Times New Roman" w:cs="Times New Roman"/>
            <w:noProof/>
            <w:sz w:val="22"/>
            <w:lang w:val="en-IE"/>
          </w:rPr>
          <w:t>Figure 57: Change in employment in the EU in selected sectors (thousand heads)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153</w:t>
        </w:r>
      </w:hyperlink>
    </w:p>
    <w:p w14:paraId="1006CBB9" w14:textId="33EF3BF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4" w:history="1">
        <w:r w:rsidR="000F1D8A" w:rsidRPr="000F1D8A">
          <w:rPr>
            <w:rStyle w:val="Hyperlink"/>
            <w:rFonts w:ascii="Times New Roman" w:hAnsi="Times New Roman" w:cs="Times New Roman"/>
            <w:noProof/>
            <w:sz w:val="22"/>
            <w:lang w:val="en-IE"/>
          </w:rPr>
          <w:t>Figure 58: Change in agri-food employment in EU MSs,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154</w:t>
        </w:r>
      </w:hyperlink>
    </w:p>
    <w:p w14:paraId="6FC21EF1" w14:textId="5F7D9EE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5" w:history="1">
        <w:r w:rsidR="000F1D8A" w:rsidRPr="000F1D8A">
          <w:rPr>
            <w:rStyle w:val="Hyperlink"/>
            <w:rFonts w:ascii="Times New Roman" w:hAnsi="Times New Roman" w:cs="Times New Roman"/>
            <w:noProof/>
            <w:sz w:val="22"/>
            <w:lang w:val="en-IE"/>
          </w:rPr>
          <w:t>Figure 59: Change deviation in farm income (primary agriculture) EU27,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155</w:t>
        </w:r>
      </w:hyperlink>
    </w:p>
    <w:p w14:paraId="052A003C" w14:textId="05B1202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6" w:history="1">
        <w:r w:rsidR="000F1D8A" w:rsidRPr="000F1D8A">
          <w:rPr>
            <w:rStyle w:val="Hyperlink"/>
            <w:rFonts w:ascii="Times New Roman" w:hAnsi="Times New Roman" w:cs="Times New Roman"/>
            <w:noProof/>
            <w:sz w:val="22"/>
            <w:lang w:val="en-IE"/>
          </w:rPr>
          <w:t>Figure 60: Change deviation in farm income (primary agriculture),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156</w:t>
        </w:r>
      </w:hyperlink>
    </w:p>
    <w:p w14:paraId="3757BADD" w14:textId="6B005F0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7" w:history="1">
        <w:r w:rsidR="000F1D8A" w:rsidRPr="000F1D8A">
          <w:rPr>
            <w:rStyle w:val="Hyperlink"/>
            <w:rFonts w:ascii="Times New Roman" w:hAnsi="Times New Roman" w:cs="Times New Roman"/>
            <w:noProof/>
            <w:sz w:val="22"/>
            <w:lang w:val="en-IE"/>
          </w:rPr>
          <w:t>Figure 61: Change deviation in income (food sector), advanced Option 3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156</w:t>
        </w:r>
      </w:hyperlink>
    </w:p>
    <w:p w14:paraId="3BA88B8C" w14:textId="21760589"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8" w:history="1">
        <w:r w:rsidR="000F1D8A" w:rsidRPr="000F1D8A">
          <w:rPr>
            <w:rStyle w:val="Hyperlink"/>
            <w:rFonts w:ascii="Times New Roman" w:hAnsi="Times New Roman" w:cs="Times New Roman"/>
            <w:noProof/>
            <w:sz w:val="22"/>
            <w:lang w:val="en-IE"/>
          </w:rPr>
          <w:t>Figure 62: Percentage share of food expenditure in total household expenditure, (Baseline 2020 and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157</w:t>
        </w:r>
      </w:hyperlink>
    </w:p>
    <w:p w14:paraId="4BFE5CD7" w14:textId="089BAF2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1999" w:history="1">
        <w:r w:rsidR="000F1D8A" w:rsidRPr="000F1D8A">
          <w:rPr>
            <w:rStyle w:val="Hyperlink"/>
            <w:rFonts w:ascii="Times New Roman" w:hAnsi="Times New Roman" w:cs="Times New Roman"/>
            <w:noProof/>
            <w:sz w:val="22"/>
            <w:lang w:val="en-IE"/>
          </w:rPr>
          <w:t>Figure 63: Food expenditure shares and percentage change deviations in food expenditure share,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158</w:t>
        </w:r>
      </w:hyperlink>
    </w:p>
    <w:p w14:paraId="783C7BEB" w14:textId="12DFF8F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0" w:history="1">
        <w:r w:rsidR="000F1D8A" w:rsidRPr="000F1D8A">
          <w:rPr>
            <w:rStyle w:val="Hyperlink"/>
            <w:rFonts w:ascii="Times New Roman" w:hAnsi="Times New Roman" w:cs="Times New Roman"/>
            <w:noProof/>
            <w:sz w:val="22"/>
            <w:lang w:val="en-IE"/>
          </w:rPr>
          <w:t>Figure 64: Percentage change deviations in food expenditure share in total household expenditure,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158</w:t>
        </w:r>
      </w:hyperlink>
    </w:p>
    <w:p w14:paraId="436AE214" w14:textId="0F93A93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65</w:t>
        </w:r>
        <w:r w:rsidR="000F1D8A" w:rsidRPr="000F1D8A">
          <w:rPr>
            <w:rStyle w:val="Hyperlink"/>
            <w:rFonts w:ascii="Times New Roman" w:hAnsi="Times New Roman" w:cs="Times New Roman"/>
            <w:noProof/>
            <w:sz w:val="22"/>
            <w:lang w:val="en-IE"/>
          </w:rPr>
          <w:t>: Percentage changes of selected direct or indirect SDG indicators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160</w:t>
        </w:r>
      </w:hyperlink>
    </w:p>
    <w:p w14:paraId="766FEEE8" w14:textId="4C2D016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66</w:t>
        </w:r>
        <w:r w:rsidR="000F1D8A" w:rsidRPr="000F1D8A">
          <w:rPr>
            <w:rStyle w:val="Hyperlink"/>
            <w:rFonts w:ascii="Times New Roman" w:hAnsi="Times New Roman" w:cs="Times New Roman"/>
            <w:noProof/>
            <w:sz w:val="22"/>
            <w:lang w:val="en-IE"/>
          </w:rPr>
          <w:t>: Absolute changes of selected direct or indirect SDG indicators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161</w:t>
        </w:r>
      </w:hyperlink>
    </w:p>
    <w:p w14:paraId="3F2D2BB9" w14:textId="0DCDC404"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67</w:t>
        </w:r>
        <w:r w:rsidR="000F1D8A" w:rsidRPr="000F1D8A">
          <w:rPr>
            <w:rStyle w:val="Hyperlink"/>
            <w:rFonts w:ascii="Times New Roman" w:hAnsi="Times New Roman" w:cs="Times New Roman"/>
            <w:noProof/>
            <w:sz w:val="22"/>
            <w:lang w:val="en-IE"/>
          </w:rPr>
          <w:t>: Percentage changes of selected direct or indirect SDG indicators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162</w:t>
        </w:r>
      </w:hyperlink>
    </w:p>
    <w:p w14:paraId="42F33259" w14:textId="640BC214"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68</w:t>
        </w:r>
        <w:r w:rsidR="000F1D8A" w:rsidRPr="000F1D8A">
          <w:rPr>
            <w:rStyle w:val="Hyperlink"/>
            <w:rFonts w:ascii="Times New Roman" w:hAnsi="Times New Roman" w:cs="Times New Roman"/>
            <w:noProof/>
            <w:sz w:val="22"/>
            <w:lang w:val="en-IE"/>
          </w:rPr>
          <w:t>: Absolute changes of selected direct or indirect SDG indicators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162</w:t>
        </w:r>
      </w:hyperlink>
    </w:p>
    <w:p w14:paraId="06DF4785" w14:textId="48D646E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69</w:t>
        </w:r>
        <w:r w:rsidR="000F1D8A" w:rsidRPr="000F1D8A">
          <w:rPr>
            <w:rStyle w:val="Hyperlink"/>
            <w:rFonts w:ascii="Times New Roman" w:hAnsi="Times New Roman" w:cs="Times New Roman"/>
            <w:noProof/>
            <w:sz w:val="22"/>
            <w:lang w:val="en-IE"/>
          </w:rPr>
          <w:t>: Regional impact on agriculture sector. Percentage of deviation over total employment (left) and value added (right) in baseline by NUTS2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167</w:t>
        </w:r>
      </w:hyperlink>
    </w:p>
    <w:p w14:paraId="3EC75BDC" w14:textId="3EE713A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6"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70</w:t>
        </w:r>
        <w:r w:rsidR="000F1D8A" w:rsidRPr="000F1D8A">
          <w:rPr>
            <w:rStyle w:val="Hyperlink"/>
            <w:rFonts w:ascii="Times New Roman" w:hAnsi="Times New Roman" w:cs="Times New Roman"/>
            <w:noProof/>
            <w:sz w:val="22"/>
            <w:lang w:val="en-IE"/>
          </w:rPr>
          <w:t>: Regional impact on the food manufacturing. Percentage of deviation over total employment (left) and value added (right) in baseline by NUTS2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168</w:t>
        </w:r>
      </w:hyperlink>
    </w:p>
    <w:p w14:paraId="011BD6A6" w14:textId="34BC207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7"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71</w:t>
        </w:r>
        <w:r w:rsidR="000F1D8A" w:rsidRPr="000F1D8A">
          <w:rPr>
            <w:rStyle w:val="Hyperlink"/>
            <w:rFonts w:ascii="Times New Roman" w:hAnsi="Times New Roman" w:cs="Times New Roman"/>
            <w:noProof/>
            <w:sz w:val="22"/>
            <w:lang w:val="en-IE"/>
          </w:rPr>
          <w:t>: Regional impact on the Waste Collection. Percentage of deviation over total employment (left) and value added (right) in baseline by NUTS2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169</w:t>
        </w:r>
      </w:hyperlink>
    </w:p>
    <w:p w14:paraId="24065BF9" w14:textId="30F6DB0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8"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72</w:t>
        </w:r>
        <w:r w:rsidR="000F1D8A" w:rsidRPr="000F1D8A">
          <w:rPr>
            <w:rStyle w:val="Hyperlink"/>
            <w:rFonts w:ascii="Times New Roman" w:hAnsi="Times New Roman" w:cs="Times New Roman"/>
            <w:noProof/>
            <w:sz w:val="22"/>
            <w:lang w:val="en-IE"/>
          </w:rPr>
          <w:t>: Regional impact on Manufactures (excluding food manufacturing). Percentage of deviation over total employment (left) and value added (right) in baseline by NUTS2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170</w:t>
        </w:r>
      </w:hyperlink>
    </w:p>
    <w:p w14:paraId="230325BE" w14:textId="07D52329"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09"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73</w:t>
        </w:r>
        <w:r w:rsidR="000F1D8A" w:rsidRPr="000F1D8A">
          <w:rPr>
            <w:rStyle w:val="Hyperlink"/>
            <w:rFonts w:ascii="Times New Roman" w:hAnsi="Times New Roman" w:cs="Times New Roman"/>
            <w:noProof/>
            <w:sz w:val="22"/>
            <w:lang w:val="en-IE"/>
          </w:rPr>
          <w:t>: Regional impact on Services (including Accommodation and Food services activities). Percentage of deviation over total value added (right) in baseline by NUTS2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171</w:t>
        </w:r>
      </w:hyperlink>
    </w:p>
    <w:p w14:paraId="4ACBB789" w14:textId="59055A4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0"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74</w:t>
        </w:r>
        <w:r w:rsidR="000F1D8A" w:rsidRPr="000F1D8A">
          <w:rPr>
            <w:rStyle w:val="Hyperlink"/>
            <w:rFonts w:ascii="Times New Roman" w:hAnsi="Times New Roman" w:cs="Times New Roman"/>
            <w:noProof/>
            <w:sz w:val="22"/>
            <w:lang w:val="en-IE"/>
          </w:rPr>
          <w:t>: Potential impact on value added for most negatively affected regions (share over total value added)</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172</w:t>
        </w:r>
      </w:hyperlink>
    </w:p>
    <w:p w14:paraId="044CEC3C" w14:textId="6724791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1"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75</w:t>
        </w:r>
        <w:r w:rsidR="000F1D8A" w:rsidRPr="000F1D8A">
          <w:rPr>
            <w:rStyle w:val="Hyperlink"/>
            <w:rFonts w:ascii="Times New Roman" w:hAnsi="Times New Roman" w:cs="Times New Roman"/>
            <w:noProof/>
            <w:sz w:val="22"/>
            <w:lang w:val="en-IE"/>
          </w:rPr>
          <w:t>: Potential impact on value added for most positively affected regions (share over total value added)</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172</w:t>
        </w:r>
      </w:hyperlink>
    </w:p>
    <w:p w14:paraId="160F7358" w14:textId="3607C01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2"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76</w:t>
        </w:r>
        <w:r w:rsidR="000F1D8A" w:rsidRPr="000F1D8A">
          <w:rPr>
            <w:rStyle w:val="Hyperlink"/>
            <w:rFonts w:ascii="Times New Roman" w:hAnsi="Times New Roman" w:cs="Times New Roman"/>
            <w:noProof/>
            <w:sz w:val="22"/>
            <w:lang w:val="en-IE"/>
          </w:rPr>
          <w:t>: Employment by enterprise size EU27</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174</w:t>
        </w:r>
      </w:hyperlink>
    </w:p>
    <w:p w14:paraId="69C8BDA0" w14:textId="5573361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3"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77</w:t>
        </w:r>
        <w:r w:rsidR="000F1D8A" w:rsidRPr="000F1D8A">
          <w:rPr>
            <w:rStyle w:val="Hyperlink"/>
            <w:rFonts w:ascii="Times New Roman" w:hAnsi="Times New Roman" w:cs="Times New Roman"/>
            <w:noProof/>
            <w:sz w:val="22"/>
            <w:lang w:val="en-IE"/>
          </w:rPr>
          <w:t>: SMEs employment in food manufacturing waste and food services by member state in 2020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175</w:t>
        </w:r>
      </w:hyperlink>
    </w:p>
    <w:p w14:paraId="551F87FA" w14:textId="7332C9D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4"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78</w:t>
        </w:r>
        <w:r w:rsidR="000F1D8A" w:rsidRPr="000F1D8A">
          <w:rPr>
            <w:rStyle w:val="Hyperlink"/>
            <w:rFonts w:ascii="Times New Roman" w:hAnsi="Times New Roman" w:cs="Times New Roman"/>
            <w:noProof/>
            <w:sz w:val="22"/>
            <w:lang w:val="en-IE"/>
          </w:rPr>
          <w:t>: Share of SMEs employment in total employment by member state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176</w:t>
        </w:r>
      </w:hyperlink>
    </w:p>
    <w:p w14:paraId="35B06E64" w14:textId="091D899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5"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79</w:t>
        </w:r>
        <w:r w:rsidR="000F1D8A" w:rsidRPr="000F1D8A">
          <w:rPr>
            <w:rStyle w:val="Hyperlink"/>
            <w:rFonts w:ascii="Times New Roman" w:hAnsi="Times New Roman" w:cs="Times New Roman"/>
            <w:noProof/>
            <w:sz w:val="22"/>
            <w:lang w:val="en-IE"/>
          </w:rPr>
          <w:t>: Reduction in SMEs employment in food manufacturing and waste services by member state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177</w:t>
        </w:r>
      </w:hyperlink>
    </w:p>
    <w:p w14:paraId="4C87D3BC" w14:textId="004A4F2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6" w:history="1">
        <w:r w:rsidR="000F1D8A" w:rsidRPr="000F1D8A">
          <w:rPr>
            <w:rStyle w:val="Hyperlink"/>
            <w:rFonts w:ascii="Times New Roman" w:hAnsi="Times New Roman" w:cs="Times New Roman"/>
            <w:noProof/>
            <w:sz w:val="22"/>
            <w:lang w:val="en-IE"/>
          </w:rPr>
          <w:t xml:space="preserve">Figure </w:t>
        </w:r>
        <w:r w:rsidR="000F1D8A" w:rsidRPr="000F1D8A">
          <w:rPr>
            <w:rStyle w:val="Hyperlink"/>
            <w:rFonts w:ascii="Times New Roman" w:hAnsi="Times New Roman" w:cs="Times New Roman"/>
            <w:noProof/>
            <w:sz w:val="22"/>
          </w:rPr>
          <w:t>80</w:t>
        </w:r>
        <w:r w:rsidR="000F1D8A" w:rsidRPr="000F1D8A">
          <w:rPr>
            <w:rStyle w:val="Hyperlink"/>
            <w:rFonts w:ascii="Times New Roman" w:hAnsi="Times New Roman" w:cs="Times New Roman"/>
            <w:noProof/>
            <w:sz w:val="22"/>
            <w:lang w:val="en-IE"/>
          </w:rPr>
          <w:t>: Change in household glass and paper waste (food purchases) for EU27, options vs baseline 2030</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179</w:t>
        </w:r>
      </w:hyperlink>
    </w:p>
    <w:p w14:paraId="4B17A158" w14:textId="5BCF23E3" w:rsidR="004C6084" w:rsidRPr="005B4339" w:rsidRDefault="00FB3D28" w:rsidP="004F3D0D">
      <w:pPr>
        <w:spacing w:after="120"/>
        <w:rPr>
          <w:noProof/>
          <w:sz w:val="20"/>
          <w:lang w:val="en-IE"/>
        </w:rPr>
      </w:pPr>
      <w:r w:rsidRPr="005B4339">
        <w:rPr>
          <w:noProof/>
          <w:sz w:val="20"/>
          <w:lang w:val="en-IE"/>
        </w:rPr>
        <w:fldChar w:fldCharType="end"/>
      </w:r>
    </w:p>
    <w:p w14:paraId="25D87947" w14:textId="77777777" w:rsidR="004C6084" w:rsidRPr="005B4339" w:rsidRDefault="004C6084">
      <w:pPr>
        <w:pStyle w:val="TableofFigures"/>
        <w:rPr>
          <w:rFonts w:ascii="Times New Roman" w:hAnsi="Times New Roman" w:cs="Times New Roman"/>
          <w:b/>
          <w:noProof/>
          <w:sz w:val="24"/>
          <w:szCs w:val="24"/>
          <w:lang w:val="en-IE"/>
        </w:rPr>
      </w:pPr>
    </w:p>
    <w:p w14:paraId="59E8FFFC" w14:textId="0C6BFD13" w:rsidR="00795D3D" w:rsidRPr="005B4339" w:rsidRDefault="00795D3D">
      <w:pPr>
        <w:pStyle w:val="TableofFigures"/>
        <w:rPr>
          <w:rFonts w:ascii="Times New Roman" w:hAnsi="Times New Roman" w:cs="Times New Roman"/>
          <w:b/>
          <w:noProof/>
          <w:sz w:val="24"/>
          <w:szCs w:val="24"/>
          <w:lang w:val="en-IE"/>
        </w:rPr>
      </w:pPr>
      <w:r w:rsidRPr="005B4339">
        <w:rPr>
          <w:rFonts w:ascii="Times New Roman" w:hAnsi="Times New Roman" w:cs="Times New Roman"/>
          <w:b/>
          <w:noProof/>
          <w:sz w:val="24"/>
          <w:szCs w:val="24"/>
          <w:lang w:val="en-IE"/>
        </w:rPr>
        <w:t>List of tables</w:t>
      </w:r>
    </w:p>
    <w:p w14:paraId="23F050F9" w14:textId="51A3B7F1" w:rsidR="000F1D8A" w:rsidRPr="000F1D8A" w:rsidRDefault="00795D3D">
      <w:pPr>
        <w:pStyle w:val="TableofFigures"/>
        <w:rPr>
          <w:rFonts w:ascii="Times New Roman" w:eastAsiaTheme="minorEastAsia" w:hAnsi="Times New Roman" w:cs="Times New Roman"/>
          <w:noProof/>
          <w:color w:val="auto"/>
          <w:sz w:val="22"/>
          <w:lang w:val="en-IE" w:eastAsia="en-IE"/>
        </w:rPr>
      </w:pPr>
      <w:r w:rsidRPr="000F1D8A">
        <w:rPr>
          <w:rStyle w:val="Hyperlink"/>
          <w:rFonts w:ascii="Times New Roman" w:hAnsi="Times New Roman" w:cs="Times New Roman"/>
          <w:noProof/>
          <w:sz w:val="22"/>
        </w:rPr>
        <w:fldChar w:fldCharType="begin"/>
      </w:r>
      <w:r w:rsidRPr="000F1D8A">
        <w:rPr>
          <w:rStyle w:val="Hyperlink"/>
          <w:rFonts w:ascii="Times New Roman" w:hAnsi="Times New Roman" w:cs="Times New Roman"/>
          <w:noProof/>
          <w:sz w:val="22"/>
          <w:lang w:val="en-IE"/>
        </w:rPr>
        <w:instrText xml:space="preserve"> TOC \h \z \c "Table" </w:instrText>
      </w:r>
      <w:r w:rsidRPr="000F1D8A">
        <w:rPr>
          <w:rStyle w:val="Hyperlink"/>
          <w:rFonts w:ascii="Times New Roman" w:hAnsi="Times New Roman" w:cs="Times New Roman"/>
          <w:noProof/>
          <w:sz w:val="22"/>
        </w:rPr>
        <w:fldChar w:fldCharType="separate"/>
      </w:r>
      <w:hyperlink w:anchor="_Toc139032017"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noProof/>
            <w:sz w:val="22"/>
          </w:rPr>
          <w:t>1</w:t>
        </w:r>
        <w:r w:rsidR="000F1D8A" w:rsidRPr="000F1D8A">
          <w:rPr>
            <w:rStyle w:val="Hyperlink"/>
            <w:rFonts w:ascii="Times New Roman" w:hAnsi="Times New Roman" w:cs="Times New Roman"/>
            <w:noProof/>
            <w:sz w:val="22"/>
            <w:lang w:val="en-IE"/>
          </w:rPr>
          <w:t>:</w:t>
        </w:r>
        <w:r w:rsidR="000F1D8A" w:rsidRPr="000F1D8A">
          <w:rPr>
            <w:rStyle w:val="Hyperlink"/>
            <w:rFonts w:ascii="Times New Roman" w:hAnsi="Times New Roman" w:cs="Times New Roman"/>
            <w:noProof/>
            <w:sz w:val="22"/>
          </w:rPr>
          <w:t xml:space="preserve"> </w:t>
        </w:r>
        <w:r w:rsidR="000F1D8A" w:rsidRPr="000F1D8A">
          <w:rPr>
            <w:rStyle w:val="Hyperlink"/>
            <w:rFonts w:ascii="Times New Roman" w:hAnsi="Times New Roman" w:cs="Times New Roman"/>
            <w:i/>
            <w:iCs/>
            <w:noProof/>
            <w:sz w:val="22"/>
          </w:rPr>
          <w:t>Scope of the three alternatives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w:t>
        </w:r>
      </w:hyperlink>
    </w:p>
    <w:p w14:paraId="555F1CD9" w14:textId="437F9D9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8"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2</w:t>
        </w:r>
        <w:r w:rsidR="000F1D8A" w:rsidRPr="000F1D8A">
          <w:rPr>
            <w:rStyle w:val="Hyperlink"/>
            <w:rFonts w:ascii="Times New Roman" w:hAnsi="Times New Roman" w:cs="Times New Roman"/>
            <w:noProof/>
            <w:sz w:val="22"/>
            <w:lang w:val="en-IE"/>
          </w:rPr>
          <w:t>: Summary of impacts for measure 1.1 – Alternatives 1-3 definition of ‘textiles’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17</w:t>
        </w:r>
      </w:hyperlink>
    </w:p>
    <w:p w14:paraId="3CE29A1B" w14:textId="3CED80E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19"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w:t>
        </w:r>
        <w:r w:rsidR="000F1D8A" w:rsidRPr="000F1D8A">
          <w:rPr>
            <w:rStyle w:val="Hyperlink"/>
            <w:rFonts w:ascii="Times New Roman" w:hAnsi="Times New Roman" w:cs="Times New Roman"/>
            <w:i/>
            <w:noProof/>
            <w:sz w:val="22"/>
            <w:lang w:val="en-IE"/>
          </w:rPr>
          <w:t xml:space="preserve"> : Summary of impacts for measure 1.1 – Alternatives 1-2 definition ‘waste’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23</w:t>
        </w:r>
      </w:hyperlink>
    </w:p>
    <w:p w14:paraId="5C3EDF84" w14:textId="4B809C7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0"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4</w:t>
        </w:r>
        <w:r w:rsidR="000F1D8A" w:rsidRPr="000F1D8A">
          <w:rPr>
            <w:rStyle w:val="Hyperlink"/>
            <w:rFonts w:ascii="Times New Roman" w:hAnsi="Times New Roman" w:cs="Times New Roman"/>
            <w:i/>
            <w:noProof/>
            <w:sz w:val="22"/>
            <w:lang w:val="en-IE"/>
          </w:rPr>
          <w:t xml:space="preserve"> - competitiveness impacts of measure 1.1</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25</w:t>
        </w:r>
      </w:hyperlink>
    </w:p>
    <w:p w14:paraId="73119F65" w14:textId="512DF7AA"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1"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5</w:t>
        </w:r>
        <w:r w:rsidR="000F1D8A" w:rsidRPr="000F1D8A">
          <w:rPr>
            <w:rStyle w:val="Hyperlink"/>
            <w:rFonts w:ascii="Times New Roman" w:hAnsi="Times New Roman" w:cs="Times New Roman"/>
            <w:i/>
            <w:noProof/>
            <w:sz w:val="22"/>
            <w:lang w:val="en-IE"/>
          </w:rPr>
          <w:t xml:space="preserve"> : Examples of textile waste prevention measures listed in national waste prevention programmes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28</w:t>
        </w:r>
      </w:hyperlink>
    </w:p>
    <w:p w14:paraId="061CDABC" w14:textId="1CD120E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2"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6</w:t>
        </w:r>
        <w:r w:rsidR="000F1D8A" w:rsidRPr="000F1D8A">
          <w:rPr>
            <w:rStyle w:val="Hyperlink"/>
            <w:rFonts w:ascii="Times New Roman" w:hAnsi="Times New Roman" w:cs="Times New Roman"/>
            <w:i/>
            <w:noProof/>
            <w:sz w:val="22"/>
            <w:lang w:val="en-IE"/>
          </w:rPr>
          <w:t xml:space="preserve"> : Summary of impacts for measure 1.2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30</w:t>
        </w:r>
      </w:hyperlink>
    </w:p>
    <w:p w14:paraId="1C000749" w14:textId="5E6ADA5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3"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noProof/>
            <w:sz w:val="22"/>
          </w:rPr>
          <w:t>7</w:t>
        </w:r>
        <w:r w:rsidR="000F1D8A" w:rsidRPr="000F1D8A">
          <w:rPr>
            <w:rStyle w:val="Hyperlink"/>
            <w:rFonts w:ascii="Times New Roman" w:hAnsi="Times New Roman" w:cs="Times New Roman"/>
            <w:i/>
            <w:noProof/>
            <w:sz w:val="22"/>
            <w:lang w:val="en-IE"/>
          </w:rPr>
          <w:t xml:space="preserve"> - impacts on competitiveness of measure 1.2</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32</w:t>
        </w:r>
      </w:hyperlink>
    </w:p>
    <w:p w14:paraId="48243CB5" w14:textId="75734F11"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4"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8</w:t>
        </w:r>
        <w:r w:rsidR="000F1D8A" w:rsidRPr="000F1D8A">
          <w:rPr>
            <w:rStyle w:val="Hyperlink"/>
            <w:rFonts w:ascii="Times New Roman" w:hAnsi="Times New Roman" w:cs="Times New Roman"/>
            <w:i/>
            <w:noProof/>
            <w:sz w:val="22"/>
            <w:lang w:val="en-IE"/>
          </w:rPr>
          <w:t xml:space="preserve"> : Summary of impacts for measure 1.3</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35</w:t>
        </w:r>
      </w:hyperlink>
    </w:p>
    <w:p w14:paraId="3139C6A5" w14:textId="072ECBF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5"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9</w:t>
        </w:r>
        <w:r w:rsidR="000F1D8A" w:rsidRPr="000F1D8A">
          <w:rPr>
            <w:rStyle w:val="Hyperlink"/>
            <w:rFonts w:ascii="Times New Roman" w:hAnsi="Times New Roman" w:cs="Times New Roman"/>
            <w:i/>
            <w:noProof/>
            <w:sz w:val="22"/>
            <w:lang w:val="en-IE"/>
          </w:rPr>
          <w:t xml:space="preserve"> - impacts on competitiveness of measure 1.3</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36</w:t>
        </w:r>
      </w:hyperlink>
    </w:p>
    <w:p w14:paraId="10866815" w14:textId="751AD47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6"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10</w:t>
        </w:r>
        <w:r w:rsidR="000F1D8A" w:rsidRPr="000F1D8A">
          <w:rPr>
            <w:rStyle w:val="Hyperlink"/>
            <w:rFonts w:ascii="Times New Roman" w:hAnsi="Times New Roman" w:cs="Times New Roman"/>
            <w:i/>
            <w:noProof/>
            <w:sz w:val="22"/>
            <w:lang w:val="en-IE"/>
          </w:rPr>
          <w:t xml:space="preserve"> : Summary of impacts for measure 2.5</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44</w:t>
        </w:r>
      </w:hyperlink>
    </w:p>
    <w:p w14:paraId="0F53B3B1" w14:textId="0FB57B4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7"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11</w:t>
        </w:r>
        <w:r w:rsidR="000F1D8A" w:rsidRPr="000F1D8A">
          <w:rPr>
            <w:rStyle w:val="Hyperlink"/>
            <w:rFonts w:ascii="Times New Roman" w:hAnsi="Times New Roman" w:cs="Times New Roman"/>
            <w:i/>
            <w:noProof/>
            <w:sz w:val="22"/>
            <w:lang w:val="en-IE"/>
          </w:rPr>
          <w:t xml:space="preserve"> - impacts on competitiveness of measure 2.5</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46</w:t>
        </w:r>
      </w:hyperlink>
    </w:p>
    <w:p w14:paraId="19213A69" w14:textId="07AD1BD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8"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12</w:t>
        </w:r>
        <w:r w:rsidR="000F1D8A" w:rsidRPr="000F1D8A">
          <w:rPr>
            <w:rStyle w:val="Hyperlink"/>
            <w:rFonts w:ascii="Times New Roman" w:hAnsi="Times New Roman" w:cs="Times New Roman"/>
            <w:i/>
            <w:noProof/>
            <w:sz w:val="22"/>
            <w:lang w:val="en-IE"/>
          </w:rPr>
          <w:t xml:space="preserve"> : Summary of impacts for measure 2.6</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50</w:t>
        </w:r>
      </w:hyperlink>
    </w:p>
    <w:p w14:paraId="2ACA8EF6" w14:textId="09E5817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29"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13</w:t>
        </w:r>
        <w:r w:rsidR="000F1D8A" w:rsidRPr="000F1D8A">
          <w:rPr>
            <w:rStyle w:val="Hyperlink"/>
            <w:rFonts w:ascii="Times New Roman" w:hAnsi="Times New Roman" w:cs="Times New Roman"/>
            <w:i/>
            <w:noProof/>
            <w:sz w:val="22"/>
            <w:lang w:val="en-IE"/>
          </w:rPr>
          <w:t xml:space="preserve"> - impacts on competitiveness of measure 2.6</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51</w:t>
        </w:r>
      </w:hyperlink>
    </w:p>
    <w:p w14:paraId="37DB2B6A" w14:textId="206F2A1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0" w:history="1">
        <w:r w:rsidR="000F1D8A" w:rsidRPr="000F1D8A">
          <w:rPr>
            <w:rStyle w:val="Hyperlink"/>
            <w:rFonts w:ascii="Times New Roman" w:hAnsi="Times New Roman" w:cs="Times New Roman"/>
            <w:i/>
            <w:iCs/>
            <w:noProof/>
            <w:sz w:val="22"/>
            <w:lang w:val="en-IE"/>
          </w:rPr>
          <w:t>Table 14 : Destination countries for EU exports of used textiles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53</w:t>
        </w:r>
      </w:hyperlink>
    </w:p>
    <w:p w14:paraId="6E1D5640" w14:textId="5A3ED90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1"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15</w:t>
        </w:r>
        <w:r w:rsidR="000F1D8A" w:rsidRPr="000F1D8A">
          <w:rPr>
            <w:rStyle w:val="Hyperlink"/>
            <w:rFonts w:ascii="Times New Roman" w:hAnsi="Times New Roman" w:cs="Times New Roman"/>
            <w:i/>
            <w:noProof/>
            <w:sz w:val="22"/>
            <w:lang w:val="en-IE"/>
          </w:rPr>
          <w:t xml:space="preserve"> : Waste management practices in importing third countries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54</w:t>
        </w:r>
      </w:hyperlink>
    </w:p>
    <w:p w14:paraId="7682BFCC" w14:textId="0AD2DE9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2"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16</w:t>
        </w:r>
        <w:r w:rsidR="000F1D8A" w:rsidRPr="000F1D8A">
          <w:rPr>
            <w:rStyle w:val="Hyperlink"/>
            <w:rFonts w:ascii="Times New Roman" w:hAnsi="Times New Roman" w:cs="Times New Roman"/>
            <w:i/>
            <w:noProof/>
            <w:sz w:val="22"/>
            <w:lang w:val="en-IE"/>
          </w:rPr>
          <w:t xml:space="preserve"> : Summary of impacts for measure 2.8</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57</w:t>
        </w:r>
      </w:hyperlink>
    </w:p>
    <w:p w14:paraId="1104DA57" w14:textId="7D3D985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3"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17</w:t>
        </w:r>
        <w:r w:rsidR="000F1D8A" w:rsidRPr="000F1D8A">
          <w:rPr>
            <w:rStyle w:val="Hyperlink"/>
            <w:rFonts w:ascii="Times New Roman" w:hAnsi="Times New Roman" w:cs="Times New Roman"/>
            <w:i/>
            <w:noProof/>
            <w:sz w:val="22"/>
            <w:lang w:val="en-IE"/>
          </w:rPr>
          <w:t xml:space="preserve"> - impacts on competitiveness of measure 2.8</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59</w:t>
        </w:r>
      </w:hyperlink>
    </w:p>
    <w:p w14:paraId="0238FE5F" w14:textId="23DFCDB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4"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18</w:t>
        </w:r>
        <w:r w:rsidR="000F1D8A" w:rsidRPr="000F1D8A">
          <w:rPr>
            <w:rStyle w:val="Hyperlink"/>
            <w:rFonts w:ascii="Times New Roman" w:hAnsi="Times New Roman" w:cs="Times New Roman"/>
            <w:i/>
            <w:noProof/>
            <w:sz w:val="22"/>
            <w:lang w:val="en-IE"/>
          </w:rPr>
          <w:t xml:space="preserve"> : Indicative one-off costs for registering in a national producer register</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62</w:t>
        </w:r>
      </w:hyperlink>
    </w:p>
    <w:p w14:paraId="5F832FEB" w14:textId="640E8001"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5"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19</w:t>
        </w:r>
        <w:r w:rsidR="000F1D8A" w:rsidRPr="000F1D8A">
          <w:rPr>
            <w:rStyle w:val="Hyperlink"/>
            <w:rFonts w:ascii="Times New Roman" w:hAnsi="Times New Roman" w:cs="Times New Roman"/>
            <w:i/>
            <w:noProof/>
            <w:sz w:val="22"/>
            <w:lang w:val="en-IE"/>
          </w:rPr>
          <w:t xml:space="preserve"> : Indicative annual costs of reporting total quantities of goods placed on the market as well as data on eco-modulation for EU manufacturers of textiles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64</w:t>
        </w:r>
      </w:hyperlink>
    </w:p>
    <w:p w14:paraId="46D2270F" w14:textId="20F7F955"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6"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20</w:t>
        </w:r>
        <w:r w:rsidR="000F1D8A" w:rsidRPr="000F1D8A">
          <w:rPr>
            <w:rStyle w:val="Hyperlink"/>
            <w:rFonts w:ascii="Times New Roman" w:hAnsi="Times New Roman" w:cs="Times New Roman"/>
            <w:i/>
            <w:noProof/>
            <w:sz w:val="22"/>
            <w:lang w:val="en-IE"/>
          </w:rPr>
          <w:t xml:space="preserve"> : Total percentage of EU turnover and average turnover per enterprise resulting from the manufacture of wearing apparel in the EU</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65</w:t>
        </w:r>
      </w:hyperlink>
    </w:p>
    <w:p w14:paraId="07314F62" w14:textId="783D31A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7"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21</w:t>
        </w:r>
        <w:r w:rsidR="000F1D8A" w:rsidRPr="000F1D8A">
          <w:rPr>
            <w:rStyle w:val="Hyperlink"/>
            <w:rFonts w:ascii="Times New Roman" w:hAnsi="Times New Roman" w:cs="Times New Roman"/>
            <w:i/>
            <w:noProof/>
            <w:sz w:val="22"/>
            <w:lang w:val="en-IE"/>
          </w:rPr>
          <w:t xml:space="preserve"> : Cost shifting to the exemption of micro-enterprises to larger enterprises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66</w:t>
        </w:r>
      </w:hyperlink>
    </w:p>
    <w:p w14:paraId="09BF096B" w14:textId="6B4A5DC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8"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22</w:t>
        </w:r>
        <w:r w:rsidR="000F1D8A" w:rsidRPr="000F1D8A">
          <w:rPr>
            <w:rStyle w:val="Hyperlink"/>
            <w:rFonts w:ascii="Times New Roman" w:hAnsi="Times New Roman" w:cs="Times New Roman"/>
            <w:i/>
            <w:noProof/>
            <w:sz w:val="22"/>
            <w:lang w:val="en-IE"/>
          </w:rPr>
          <w:t xml:space="preserve"> - EPR and modulated fees for textiles in France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67</w:t>
        </w:r>
      </w:hyperlink>
    </w:p>
    <w:p w14:paraId="00D904CC" w14:textId="00B7A0E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39"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23</w:t>
        </w:r>
        <w:r w:rsidR="000F1D8A" w:rsidRPr="000F1D8A">
          <w:rPr>
            <w:rStyle w:val="Hyperlink"/>
            <w:rFonts w:ascii="Times New Roman" w:hAnsi="Times New Roman" w:cs="Times New Roman"/>
            <w:i/>
            <w:noProof/>
            <w:sz w:val="22"/>
            <w:lang w:val="en-IE"/>
          </w:rPr>
          <w:t xml:space="preserve"> : Summary of impacts for measure 2.9</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74</w:t>
        </w:r>
      </w:hyperlink>
    </w:p>
    <w:p w14:paraId="2099BF0F" w14:textId="034899B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0"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24</w:t>
        </w:r>
        <w:r w:rsidR="000F1D8A" w:rsidRPr="000F1D8A">
          <w:rPr>
            <w:rStyle w:val="Hyperlink"/>
            <w:rFonts w:ascii="Times New Roman" w:hAnsi="Times New Roman" w:cs="Times New Roman"/>
            <w:i/>
            <w:noProof/>
            <w:sz w:val="22"/>
            <w:lang w:val="en-IE"/>
          </w:rPr>
          <w:t xml:space="preserve"> - impacts on competitiveness of measure 2.9</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78</w:t>
        </w:r>
      </w:hyperlink>
    </w:p>
    <w:p w14:paraId="454357B9" w14:textId="638912A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1"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25</w:t>
        </w:r>
        <w:r w:rsidR="000F1D8A" w:rsidRPr="000F1D8A">
          <w:rPr>
            <w:rStyle w:val="Hyperlink"/>
            <w:rFonts w:ascii="Times New Roman" w:hAnsi="Times New Roman" w:cs="Times New Roman"/>
            <w:i/>
            <w:noProof/>
            <w:sz w:val="22"/>
            <w:lang w:val="en-IE"/>
          </w:rPr>
          <w:t xml:space="preserve"> : Summary of impacts for measure 2.14</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83</w:t>
        </w:r>
      </w:hyperlink>
    </w:p>
    <w:p w14:paraId="43893F2B" w14:textId="10CB167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2"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26</w:t>
        </w:r>
        <w:r w:rsidR="000F1D8A" w:rsidRPr="000F1D8A">
          <w:rPr>
            <w:rStyle w:val="Hyperlink"/>
            <w:rFonts w:ascii="Times New Roman" w:hAnsi="Times New Roman" w:cs="Times New Roman"/>
            <w:i/>
            <w:noProof/>
            <w:sz w:val="22"/>
            <w:lang w:val="en-IE"/>
          </w:rPr>
          <w:t xml:space="preserve"> - impacts on competitiveness of measure 2.14</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84</w:t>
        </w:r>
      </w:hyperlink>
    </w:p>
    <w:p w14:paraId="03492672" w14:textId="7281017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3"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27</w:t>
        </w:r>
        <w:r w:rsidR="000F1D8A" w:rsidRPr="000F1D8A">
          <w:rPr>
            <w:rStyle w:val="Hyperlink"/>
            <w:rFonts w:ascii="Times New Roman" w:hAnsi="Times New Roman" w:cs="Times New Roman"/>
            <w:i/>
            <w:noProof/>
            <w:sz w:val="22"/>
            <w:lang w:val="en-IE"/>
          </w:rPr>
          <w:t xml:space="preserve"> - impacts on competitivenss of measure 3.1, 3.4, 3.5 and 3.8</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87</w:t>
        </w:r>
      </w:hyperlink>
    </w:p>
    <w:p w14:paraId="2854A461" w14:textId="0855A2C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4"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28</w:t>
        </w:r>
        <w:r w:rsidR="000F1D8A" w:rsidRPr="000F1D8A">
          <w:rPr>
            <w:rStyle w:val="Hyperlink"/>
            <w:rFonts w:ascii="Times New Roman" w:hAnsi="Times New Roman" w:cs="Times New Roman"/>
            <w:i/>
            <w:noProof/>
            <w:sz w:val="22"/>
            <w:lang w:val="en-IE"/>
          </w:rPr>
          <w:t xml:space="preserve"> : Summary of impacts for measure 3.1</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89</w:t>
        </w:r>
      </w:hyperlink>
    </w:p>
    <w:p w14:paraId="5232E339" w14:textId="6CC6280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5"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29</w:t>
        </w:r>
        <w:r w:rsidR="000F1D8A" w:rsidRPr="000F1D8A">
          <w:rPr>
            <w:rStyle w:val="Hyperlink"/>
            <w:rFonts w:ascii="Times New Roman" w:hAnsi="Times New Roman" w:cs="Times New Roman"/>
            <w:i/>
            <w:noProof/>
            <w:sz w:val="22"/>
            <w:lang w:val="en-IE"/>
          </w:rPr>
          <w:t xml:space="preserve"> : Summary of impacts for measure 3.4</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90</w:t>
        </w:r>
      </w:hyperlink>
    </w:p>
    <w:p w14:paraId="0543E537" w14:textId="67022F3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6"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30</w:t>
        </w:r>
        <w:r w:rsidR="000F1D8A" w:rsidRPr="000F1D8A">
          <w:rPr>
            <w:rStyle w:val="Hyperlink"/>
            <w:rFonts w:ascii="Times New Roman" w:hAnsi="Times New Roman" w:cs="Times New Roman"/>
            <w:i/>
            <w:noProof/>
            <w:sz w:val="22"/>
            <w:lang w:val="en-IE"/>
          </w:rPr>
          <w:t xml:space="preserve"> : Summary of impacts for measure 3.5</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94</w:t>
        </w:r>
      </w:hyperlink>
    </w:p>
    <w:p w14:paraId="18BD2ADA" w14:textId="79B8F7F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7"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31</w:t>
        </w:r>
        <w:r w:rsidR="000F1D8A" w:rsidRPr="000F1D8A">
          <w:rPr>
            <w:rStyle w:val="Hyperlink"/>
            <w:rFonts w:ascii="Times New Roman" w:hAnsi="Times New Roman" w:cs="Times New Roman"/>
            <w:i/>
            <w:noProof/>
            <w:sz w:val="22"/>
            <w:lang w:val="en-IE"/>
          </w:rPr>
          <w:t xml:space="preserve"> - Additional tonnes to be collected to achieve a 50% collection target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95</w:t>
        </w:r>
      </w:hyperlink>
    </w:p>
    <w:p w14:paraId="2C21A5B1" w14:textId="58A3C07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8"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32</w:t>
        </w:r>
        <w:r w:rsidR="000F1D8A" w:rsidRPr="000F1D8A">
          <w:rPr>
            <w:rStyle w:val="Hyperlink"/>
            <w:rFonts w:ascii="Times New Roman" w:hAnsi="Times New Roman" w:cs="Times New Roman"/>
            <w:i/>
            <w:noProof/>
            <w:sz w:val="22"/>
            <w:lang w:val="en-IE"/>
          </w:rPr>
          <w:t xml:space="preserve"> - Additional costs to achieve a 50% collection target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97</w:t>
        </w:r>
      </w:hyperlink>
    </w:p>
    <w:p w14:paraId="21DE4F7E" w14:textId="3BA42F36"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49"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33</w:t>
        </w:r>
        <w:r w:rsidR="000F1D8A" w:rsidRPr="000F1D8A">
          <w:rPr>
            <w:rStyle w:val="Hyperlink"/>
            <w:rFonts w:ascii="Times New Roman" w:hAnsi="Times New Roman" w:cs="Times New Roman"/>
            <w:i/>
            <w:noProof/>
            <w:sz w:val="22"/>
            <w:lang w:val="en-IE"/>
          </w:rPr>
          <w:t xml:space="preserve"> : Summary of impacts for measure 3.6</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100</w:t>
        </w:r>
      </w:hyperlink>
    </w:p>
    <w:p w14:paraId="689C6698" w14:textId="263ECF28"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0"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34</w:t>
        </w:r>
        <w:r w:rsidR="000F1D8A" w:rsidRPr="000F1D8A">
          <w:rPr>
            <w:rStyle w:val="Hyperlink"/>
            <w:rFonts w:ascii="Times New Roman" w:hAnsi="Times New Roman" w:cs="Times New Roman"/>
            <w:i/>
            <w:noProof/>
            <w:sz w:val="22"/>
            <w:lang w:val="en-IE"/>
          </w:rPr>
          <w:t xml:space="preserve"> : Summary of impacts for measure 3.8</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102</w:t>
        </w:r>
      </w:hyperlink>
    </w:p>
    <w:p w14:paraId="5318BC8B" w14:textId="1097D62F"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1"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35</w:t>
        </w:r>
        <w:r w:rsidR="000F1D8A" w:rsidRPr="000F1D8A">
          <w:rPr>
            <w:rStyle w:val="Hyperlink"/>
            <w:rFonts w:ascii="Times New Roman" w:hAnsi="Times New Roman" w:cs="Times New Roman"/>
            <w:i/>
            <w:noProof/>
            <w:sz w:val="22"/>
            <w:lang w:val="en-IE"/>
          </w:rPr>
          <w:t xml:space="preserve"> : Overview of the economic environmental and social impacts of the measures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105</w:t>
        </w:r>
      </w:hyperlink>
    </w:p>
    <w:p w14:paraId="77060CD7" w14:textId="29F35C2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2" w:history="1">
        <w:r w:rsidR="000F1D8A" w:rsidRPr="000F1D8A">
          <w:rPr>
            <w:rStyle w:val="Hyperlink"/>
            <w:rFonts w:ascii="Times New Roman" w:hAnsi="Times New Roman" w:cs="Times New Roman"/>
            <w:i/>
            <w:noProof/>
            <w:sz w:val="22"/>
            <w:lang w:val="en-IE"/>
          </w:rPr>
          <w:t xml:space="preserve">Table </w:t>
        </w:r>
        <w:r w:rsidR="000F1D8A" w:rsidRPr="000F1D8A">
          <w:rPr>
            <w:rStyle w:val="Hyperlink"/>
            <w:rFonts w:ascii="Times New Roman" w:hAnsi="Times New Roman" w:cs="Times New Roman"/>
            <w:i/>
            <w:iCs/>
            <w:noProof/>
            <w:sz w:val="22"/>
          </w:rPr>
          <w:t>36</w:t>
        </w:r>
        <w:r w:rsidR="000F1D8A" w:rsidRPr="000F1D8A">
          <w:rPr>
            <w:rStyle w:val="Hyperlink"/>
            <w:rFonts w:ascii="Times New Roman" w:hAnsi="Times New Roman" w:cs="Times New Roman"/>
            <w:i/>
            <w:noProof/>
            <w:sz w:val="22"/>
            <w:lang w:val="en-IE"/>
          </w:rPr>
          <w:t xml:space="preserve"> : Overview of the costs and benefits and overall balance of the measures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113</w:t>
        </w:r>
      </w:hyperlink>
    </w:p>
    <w:p w14:paraId="3E2786F9" w14:textId="1CF7669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3"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37</w:t>
        </w:r>
        <w:r w:rsidR="000F1D8A" w:rsidRPr="000F1D8A">
          <w:rPr>
            <w:rStyle w:val="Hyperlink"/>
            <w:rFonts w:ascii="Times New Roman" w:hAnsi="Times New Roman" w:cs="Times New Roman"/>
            <w:noProof/>
            <w:sz w:val="22"/>
            <w:lang w:val="en-IE"/>
          </w:rPr>
          <w:t>- Environmental impacts of food waste in the baseline used for the impact assessment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126</w:t>
        </w:r>
      </w:hyperlink>
    </w:p>
    <w:p w14:paraId="0D71C378" w14:textId="5A832C7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4"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38</w:t>
        </w:r>
        <w:r w:rsidR="000F1D8A" w:rsidRPr="000F1D8A">
          <w:rPr>
            <w:rStyle w:val="Hyperlink"/>
            <w:rFonts w:ascii="Times New Roman" w:hAnsi="Times New Roman" w:cs="Times New Roman"/>
            <w:noProof/>
            <w:sz w:val="22"/>
            <w:lang w:val="en-IE"/>
          </w:rPr>
          <w:t xml:space="preserve"> - Overview of results on environmental savings associated to the policy options and their equivalent estimated monetary values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126</w:t>
        </w:r>
      </w:hyperlink>
    </w:p>
    <w:p w14:paraId="6064913B" w14:textId="237F6790"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5"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39</w:t>
        </w:r>
        <w:r w:rsidR="000F1D8A" w:rsidRPr="000F1D8A">
          <w:rPr>
            <w:rStyle w:val="Hyperlink"/>
            <w:rFonts w:ascii="Times New Roman" w:hAnsi="Times New Roman" w:cs="Times New Roman"/>
            <w:noProof/>
            <w:sz w:val="22"/>
            <w:lang w:val="en-IE"/>
          </w:rPr>
          <w:t>: Selected indicators and data sources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163</w:t>
        </w:r>
      </w:hyperlink>
    </w:p>
    <w:p w14:paraId="0D247EF2" w14:textId="5691A62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6"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40</w:t>
        </w:r>
        <w:r w:rsidR="000F1D8A" w:rsidRPr="000F1D8A">
          <w:rPr>
            <w:rStyle w:val="Hyperlink"/>
            <w:rFonts w:ascii="Times New Roman" w:hAnsi="Times New Roman" w:cs="Times New Roman"/>
            <w:noProof/>
            <w:sz w:val="22"/>
            <w:lang w:val="en-IE"/>
          </w:rPr>
          <w:t xml:space="preserve"> - Potential impact on total regional employment by group of regions according to their level of development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164</w:t>
        </w:r>
      </w:hyperlink>
    </w:p>
    <w:p w14:paraId="4C26BCB7" w14:textId="14E1B3B9"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7"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41</w:t>
        </w:r>
        <w:r w:rsidR="000F1D8A" w:rsidRPr="000F1D8A">
          <w:rPr>
            <w:rStyle w:val="Hyperlink"/>
            <w:rFonts w:ascii="Times New Roman" w:hAnsi="Times New Roman" w:cs="Times New Roman"/>
            <w:noProof/>
            <w:sz w:val="22"/>
            <w:lang w:val="en-IE"/>
          </w:rPr>
          <w:t xml:space="preserve"> - Potential impact on total regional value added by group of regions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164</w:t>
        </w:r>
      </w:hyperlink>
    </w:p>
    <w:p w14:paraId="0522982B" w14:textId="0F542E8E"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8"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42</w:t>
        </w:r>
        <w:r w:rsidR="000F1D8A" w:rsidRPr="000F1D8A">
          <w:rPr>
            <w:rStyle w:val="Hyperlink"/>
            <w:rFonts w:ascii="Times New Roman" w:hAnsi="Times New Roman" w:cs="Times New Roman"/>
            <w:noProof/>
            <w:sz w:val="22"/>
            <w:lang w:val="en-IE"/>
          </w:rPr>
          <w:t xml:space="preserve"> - Reported levels of food waste reduction achieved in selected countries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180</w:t>
        </w:r>
      </w:hyperlink>
    </w:p>
    <w:p w14:paraId="1B345B60" w14:textId="04ABADFC"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59"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43</w:t>
        </w:r>
        <w:r w:rsidR="000F1D8A" w:rsidRPr="000F1D8A">
          <w:rPr>
            <w:rStyle w:val="Hyperlink"/>
            <w:rFonts w:ascii="Times New Roman" w:hAnsi="Times New Roman" w:cs="Times New Roman"/>
            <w:noProof/>
            <w:sz w:val="22"/>
            <w:lang w:val="en-IE"/>
          </w:rPr>
          <w:t xml:space="preserve"> - Balance of costs and benefits for the three options and measures considered in this assessment</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186</w:t>
        </w:r>
      </w:hyperlink>
    </w:p>
    <w:p w14:paraId="42A23CBB" w14:textId="7845B431"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0"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44</w:t>
        </w:r>
        <w:r w:rsidR="000F1D8A" w:rsidRPr="000F1D8A">
          <w:rPr>
            <w:rStyle w:val="Hyperlink"/>
            <w:rFonts w:ascii="Times New Roman" w:hAnsi="Times New Roman" w:cs="Times New Roman"/>
            <w:noProof/>
            <w:sz w:val="22"/>
            <w:lang w:val="en-IE"/>
          </w:rPr>
          <w:t xml:space="preserve"> – Impacts of textile policy measures in the preferred option</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194</w:t>
        </w:r>
      </w:hyperlink>
    </w:p>
    <w:p w14:paraId="65009704" w14:textId="252B1A9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1"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45</w:t>
        </w:r>
        <w:r w:rsidR="000F1D8A" w:rsidRPr="000F1D8A">
          <w:rPr>
            <w:rStyle w:val="Hyperlink"/>
            <w:rFonts w:ascii="Times New Roman" w:hAnsi="Times New Roman" w:cs="Times New Roman"/>
            <w:noProof/>
            <w:sz w:val="22"/>
            <w:lang w:val="en-IE"/>
          </w:rPr>
          <w:t xml:space="preserve"> – Impacts of textiles preferred option</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196</w:t>
        </w:r>
      </w:hyperlink>
    </w:p>
    <w:p w14:paraId="62AE606C" w14:textId="43E2963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2"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46</w:t>
        </w:r>
        <w:r w:rsidR="000F1D8A" w:rsidRPr="000F1D8A">
          <w:rPr>
            <w:rStyle w:val="Hyperlink"/>
            <w:rFonts w:ascii="Times New Roman" w:hAnsi="Times New Roman" w:cs="Times New Roman"/>
            <w:noProof/>
            <w:sz w:val="22"/>
            <w:lang w:val="en-IE"/>
          </w:rPr>
          <w:t xml:space="preserve"> – Impacts on competitiveness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197</w:t>
        </w:r>
      </w:hyperlink>
    </w:p>
    <w:p w14:paraId="56B6059F" w14:textId="27AE270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3"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47</w:t>
        </w:r>
        <w:r w:rsidR="000F1D8A" w:rsidRPr="000F1D8A">
          <w:rPr>
            <w:rStyle w:val="Hyperlink"/>
            <w:rFonts w:ascii="Times New Roman" w:hAnsi="Times New Roman" w:cs="Times New Roman"/>
            <w:noProof/>
            <w:sz w:val="22"/>
            <w:lang w:val="en-IE"/>
          </w:rPr>
          <w:t xml:space="preserve"> – Main food environmental impacts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200</w:t>
        </w:r>
      </w:hyperlink>
    </w:p>
    <w:p w14:paraId="20027E4E" w14:textId="697C694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4"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48</w:t>
        </w:r>
        <w:r w:rsidR="000F1D8A" w:rsidRPr="000F1D8A">
          <w:rPr>
            <w:rStyle w:val="Hyperlink"/>
            <w:rFonts w:ascii="Times New Roman" w:hAnsi="Times New Roman" w:cs="Times New Roman"/>
            <w:noProof/>
            <w:sz w:val="22"/>
            <w:lang w:val="en-IE"/>
          </w:rPr>
          <w:t xml:space="preserve"> - </w:t>
        </w:r>
        <w:r w:rsidR="000F1D8A" w:rsidRPr="000F1D8A">
          <w:rPr>
            <w:rStyle w:val="Hyperlink"/>
            <w:rFonts w:ascii="Times New Roman" w:eastAsia="Calibri" w:hAnsi="Times New Roman" w:cs="Times New Roman"/>
            <w:noProof/>
            <w:sz w:val="22"/>
            <w:lang w:val="en-IE"/>
          </w:rPr>
          <w:t>Main food economic impacts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200</w:t>
        </w:r>
      </w:hyperlink>
    </w:p>
    <w:p w14:paraId="1AB42C23" w14:textId="0AA45BB3"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5"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49</w:t>
        </w:r>
        <w:r w:rsidR="000F1D8A" w:rsidRPr="000F1D8A">
          <w:rPr>
            <w:rStyle w:val="Hyperlink"/>
            <w:rFonts w:ascii="Times New Roman" w:hAnsi="Times New Roman" w:cs="Times New Roman"/>
            <w:noProof/>
            <w:sz w:val="22"/>
            <w:lang w:val="en-IE"/>
          </w:rPr>
          <w:t xml:space="preserve"> - </w:t>
        </w:r>
        <w:r w:rsidR="000F1D8A" w:rsidRPr="000F1D8A">
          <w:rPr>
            <w:rStyle w:val="Hyperlink"/>
            <w:rFonts w:ascii="Times New Roman" w:eastAsia="Calibri" w:hAnsi="Times New Roman" w:cs="Times New Roman"/>
            <w:noProof/>
            <w:sz w:val="22"/>
            <w:lang w:val="en-IE"/>
          </w:rPr>
          <w:t>Main food social impacts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201</w:t>
        </w:r>
      </w:hyperlink>
    </w:p>
    <w:p w14:paraId="0D0DFE3B" w14:textId="6FD36DED"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6"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50</w:t>
        </w:r>
        <w:r w:rsidR="000F1D8A" w:rsidRPr="000F1D8A">
          <w:rPr>
            <w:rStyle w:val="Hyperlink"/>
            <w:rFonts w:ascii="Times New Roman" w:hAnsi="Times New Roman" w:cs="Times New Roman"/>
            <w:noProof/>
            <w:sz w:val="22"/>
            <w:lang w:val="en-IE"/>
          </w:rPr>
          <w:t xml:space="preserve"> - Overview of impacts on competitiveness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201</w:t>
        </w:r>
      </w:hyperlink>
    </w:p>
    <w:p w14:paraId="6CDEC3CB" w14:textId="652BF757"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7"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51</w:t>
        </w:r>
        <w:r w:rsidR="000F1D8A" w:rsidRPr="000F1D8A">
          <w:rPr>
            <w:rStyle w:val="Hyperlink"/>
            <w:rFonts w:ascii="Times New Roman" w:hAnsi="Times New Roman" w:cs="Times New Roman"/>
            <w:noProof/>
            <w:sz w:val="22"/>
            <w:lang w:val="en-IE"/>
          </w:rPr>
          <w:t xml:space="preserve"> – Combined impacts of the preferred measures on textiles and food waste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202</w:t>
        </w:r>
      </w:hyperlink>
    </w:p>
    <w:p w14:paraId="390A42F3" w14:textId="7CC342CB"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8"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52</w:t>
        </w:r>
        <w:r w:rsidR="000F1D8A" w:rsidRPr="000F1D8A">
          <w:rPr>
            <w:rStyle w:val="Hyperlink"/>
            <w:rFonts w:ascii="Times New Roman" w:hAnsi="Times New Roman" w:cs="Times New Roman"/>
            <w:noProof/>
            <w:sz w:val="22"/>
            <w:lang w:val="en-IE"/>
          </w:rPr>
          <w:t xml:space="preserve"> – Monitoring by objective</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206</w:t>
        </w:r>
      </w:hyperlink>
    </w:p>
    <w:p w14:paraId="59B73606" w14:textId="4615D622" w:rsidR="000F1D8A" w:rsidRPr="000F1D8A" w:rsidRDefault="004928CC">
      <w:pPr>
        <w:pStyle w:val="TableofFigures"/>
        <w:rPr>
          <w:rFonts w:ascii="Times New Roman" w:eastAsiaTheme="minorEastAsia" w:hAnsi="Times New Roman" w:cs="Times New Roman"/>
          <w:noProof/>
          <w:color w:val="auto"/>
          <w:sz w:val="22"/>
          <w:lang w:val="en-IE" w:eastAsia="en-IE"/>
        </w:rPr>
      </w:pPr>
      <w:hyperlink w:anchor="_Toc139032069" w:history="1">
        <w:r w:rsidR="000F1D8A" w:rsidRPr="000F1D8A">
          <w:rPr>
            <w:rStyle w:val="Hyperlink"/>
            <w:rFonts w:ascii="Times New Roman" w:hAnsi="Times New Roman" w:cs="Times New Roman"/>
            <w:noProof/>
            <w:sz w:val="22"/>
            <w:lang w:val="en-IE"/>
          </w:rPr>
          <w:t xml:space="preserve">Table </w:t>
        </w:r>
        <w:r w:rsidR="000F1D8A" w:rsidRPr="000F1D8A">
          <w:rPr>
            <w:rStyle w:val="Hyperlink"/>
            <w:rFonts w:ascii="Times New Roman" w:hAnsi="Times New Roman" w:cs="Times New Roman"/>
            <w:noProof/>
            <w:sz w:val="22"/>
          </w:rPr>
          <w:t>53</w:t>
        </w:r>
        <w:r w:rsidR="000F1D8A" w:rsidRPr="000F1D8A">
          <w:rPr>
            <w:rStyle w:val="Hyperlink"/>
            <w:rFonts w:ascii="Times New Roman" w:hAnsi="Times New Roman" w:cs="Times New Roman"/>
            <w:noProof/>
            <w:sz w:val="22"/>
            <w:lang w:val="en-IE"/>
          </w:rPr>
          <w:t xml:space="preserve"> Services by employment size class</w:t>
        </w:r>
        <w:r w:rsidR="000F1D8A" w:rsidRPr="000F1D8A">
          <w:rPr>
            <w:rFonts w:ascii="Times New Roman" w:hAnsi="Times New Roman" w:cs="Times New Roman"/>
            <w:noProof/>
            <w:webHidden/>
            <w:sz w:val="22"/>
          </w:rPr>
          <w:tab/>
        </w:r>
        <w:r w:rsidR="00393DFA">
          <w:rPr>
            <w:rFonts w:ascii="Times New Roman" w:hAnsi="Times New Roman" w:cs="Times New Roman"/>
            <w:noProof/>
            <w:webHidden/>
            <w:sz w:val="22"/>
          </w:rPr>
          <w:t>213</w:t>
        </w:r>
      </w:hyperlink>
    </w:p>
    <w:p w14:paraId="453198BA" w14:textId="64A06489" w:rsidR="00795D3D" w:rsidRPr="000F1D8A" w:rsidRDefault="00795D3D" w:rsidP="00997D2E">
      <w:pPr>
        <w:pStyle w:val="TableofFigures"/>
        <w:rPr>
          <w:rFonts w:ascii="Times New Roman" w:hAnsi="Times New Roman" w:cs="Times New Roman"/>
          <w:noProof/>
          <w:sz w:val="22"/>
          <w:lang w:val="en-IE"/>
        </w:rPr>
      </w:pPr>
      <w:r w:rsidRPr="000F1D8A">
        <w:rPr>
          <w:rStyle w:val="Hyperlink"/>
          <w:rFonts w:ascii="Times New Roman" w:hAnsi="Times New Roman" w:cs="Times New Roman"/>
          <w:noProof/>
          <w:sz w:val="22"/>
        </w:rPr>
        <w:fldChar w:fldCharType="end"/>
      </w:r>
    </w:p>
    <w:sectPr w:rsidR="00795D3D" w:rsidRPr="000F1D8A">
      <w:headerReference w:type="even" r:id="rId266"/>
      <w:headerReference w:type="default" r:id="rId267"/>
      <w:footerReference w:type="even" r:id="rId268"/>
      <w:footerReference w:type="default" r:id="rId269"/>
      <w:headerReference w:type="first" r:id="rId270"/>
      <w:footerReference w:type="first" r:id="rId27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6D33" w14:textId="77777777" w:rsidR="00C5309D" w:rsidRDefault="00C5309D" w:rsidP="000E3086">
      <w:r>
        <w:separator/>
      </w:r>
    </w:p>
  </w:endnote>
  <w:endnote w:type="continuationSeparator" w:id="0">
    <w:p w14:paraId="7E0AF702" w14:textId="77777777" w:rsidR="00C5309D" w:rsidRDefault="00C5309D" w:rsidP="000E3086">
      <w:r>
        <w:continuationSeparator/>
      </w:r>
    </w:p>
  </w:endnote>
  <w:endnote w:type="continuationNotice" w:id="1">
    <w:p w14:paraId="3FCE2C96" w14:textId="77777777" w:rsidR="00C5309D" w:rsidRDefault="00C530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quot;Calibri&quot;,sans-serif">
    <w:altName w:val="Cambria"/>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uli Light">
    <w:altName w:val="Cambria"/>
    <w:panose1 w:val="00000000000000000000"/>
    <w:charset w:val="00"/>
    <w:family w:val="roman"/>
    <w:notTrueType/>
    <w:pitch w:val="default"/>
  </w:font>
  <w:font w:name="EC Square Sans Pro">
    <w:altName w:val="Calibri"/>
    <w:charset w:val="00"/>
    <w:family w:val="swiss"/>
    <w:pitch w:val="variable"/>
    <w:sig w:usb0="00000001"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35D3" w14:textId="77777777" w:rsidR="00641A5B" w:rsidRDefault="00641A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D07C" w14:textId="77777777" w:rsidR="00603581" w:rsidRDefault="00603581" w:rsidP="000E308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308177"/>
      <w:docPartObj>
        <w:docPartGallery w:val="Page Numbers (Bottom of Page)"/>
        <w:docPartUnique/>
      </w:docPartObj>
    </w:sdtPr>
    <w:sdtEndPr>
      <w:rPr>
        <w:noProof/>
      </w:rPr>
    </w:sdtEndPr>
    <w:sdtContent>
      <w:p w14:paraId="412D96EA" w14:textId="25B16886" w:rsidR="00603581" w:rsidRDefault="00603581">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15087B">
          <w:rPr>
            <w:noProof/>
          </w:rPr>
          <w:t>11</w:t>
        </w:r>
        <w:r>
          <w:rPr>
            <w:color w:val="2B579A"/>
            <w:shd w:val="clear" w:color="auto" w:fill="E6E6E6"/>
          </w:rPr>
          <w:fldChar w:fldCharType="end"/>
        </w:r>
      </w:p>
    </w:sdtContent>
  </w:sdt>
  <w:p w14:paraId="4C0197AB" w14:textId="4827FD4F" w:rsidR="00603581" w:rsidRDefault="00603581" w:rsidP="00F92EAE">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DB13" w14:textId="79A7DFE8" w:rsidR="00603581" w:rsidRDefault="00603581" w:rsidP="00962F94">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325</w:t>
    </w:r>
    <w:r>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B9AA" w14:textId="77777777" w:rsidR="00603581" w:rsidRDefault="00603581" w:rsidP="000E308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747711"/>
      <w:docPartObj>
        <w:docPartGallery w:val="Page Numbers (Bottom of Page)"/>
        <w:docPartUnique/>
      </w:docPartObj>
    </w:sdtPr>
    <w:sdtEndPr>
      <w:rPr>
        <w:noProof/>
      </w:rPr>
    </w:sdtEndPr>
    <w:sdtContent>
      <w:p w14:paraId="60D54956" w14:textId="1469A4FA" w:rsidR="00603581" w:rsidRDefault="00603581">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73C63">
          <w:rPr>
            <w:noProof/>
          </w:rPr>
          <w:t>117</w:t>
        </w:r>
        <w:r>
          <w:rPr>
            <w:color w:val="2B579A"/>
            <w:shd w:val="clear" w:color="auto" w:fill="E6E6E6"/>
          </w:rPr>
          <w:fldChar w:fldCharType="end"/>
        </w:r>
      </w:p>
    </w:sdtContent>
  </w:sdt>
  <w:p w14:paraId="716B4C58" w14:textId="77777777" w:rsidR="00603581" w:rsidRDefault="00603581" w:rsidP="00F92EAE">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D9A0" w14:textId="77777777" w:rsidR="00603581" w:rsidRDefault="00603581" w:rsidP="00962F94">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325</w:t>
    </w:r>
    <w:r>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F6DE" w14:textId="77777777" w:rsidR="00603581" w:rsidRDefault="006035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4318" w14:textId="77777777" w:rsidR="00603581" w:rsidRDefault="0060358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D8DD" w14:textId="77777777" w:rsidR="00603581" w:rsidRDefault="006035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4A94" w14:textId="77777777" w:rsidR="00603581" w:rsidRDefault="0060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641A5B" w:rsidRPr="00D94637" w14:paraId="12B21C78" w14:textId="77777777" w:rsidTr="00641A5B">
      <w:trPr>
        <w:jc w:val="center"/>
      </w:trPr>
      <w:tc>
        <w:tcPr>
          <w:tcW w:w="5000" w:type="pct"/>
          <w:gridSpan w:val="7"/>
          <w:shd w:val="clear" w:color="auto" w:fill="auto"/>
          <w:tcMar>
            <w:top w:w="57" w:type="dxa"/>
          </w:tcMar>
        </w:tcPr>
        <w:p w14:paraId="322A0FEF" w14:textId="77777777" w:rsidR="00641A5B" w:rsidRPr="00D94637" w:rsidRDefault="00641A5B" w:rsidP="00D94637">
          <w:pPr>
            <w:pStyle w:val="FooterText"/>
            <w:pBdr>
              <w:top w:val="single" w:sz="4" w:space="1" w:color="auto"/>
            </w:pBdr>
            <w:spacing w:before="200"/>
            <w:rPr>
              <w:sz w:val="2"/>
              <w:szCs w:val="2"/>
            </w:rPr>
          </w:pPr>
          <w:bookmarkStart w:id="2" w:name="FOOTER_STANDARD"/>
        </w:p>
      </w:tc>
    </w:tr>
    <w:tr w:rsidR="00641A5B" w:rsidRPr="00B310DC" w14:paraId="473214E2" w14:textId="77777777" w:rsidTr="00641A5B">
      <w:trPr>
        <w:jc w:val="center"/>
      </w:trPr>
      <w:tc>
        <w:tcPr>
          <w:tcW w:w="2500" w:type="pct"/>
          <w:gridSpan w:val="2"/>
          <w:shd w:val="clear" w:color="auto" w:fill="auto"/>
          <w:tcMar>
            <w:top w:w="0" w:type="dxa"/>
          </w:tcMar>
        </w:tcPr>
        <w:p w14:paraId="55FAD67F" w14:textId="3A596047" w:rsidR="00641A5B" w:rsidRPr="00AD7BF2" w:rsidRDefault="00641A5B" w:rsidP="004F54B2">
          <w:pPr>
            <w:pStyle w:val="FooterText"/>
          </w:pPr>
          <w:r>
            <w:t>11624/23</w:t>
          </w:r>
          <w:r w:rsidRPr="002511D8">
            <w:t xml:space="preserve"> </w:t>
          </w:r>
          <w:r>
            <w:t>ADD 6</w:t>
          </w:r>
        </w:p>
      </w:tc>
      <w:tc>
        <w:tcPr>
          <w:tcW w:w="625" w:type="pct"/>
          <w:shd w:val="clear" w:color="auto" w:fill="auto"/>
          <w:tcMar>
            <w:top w:w="0" w:type="dxa"/>
          </w:tcMar>
        </w:tcPr>
        <w:p w14:paraId="1303BB1A" w14:textId="77777777" w:rsidR="00641A5B" w:rsidRPr="00AD7BF2" w:rsidRDefault="00641A5B" w:rsidP="00D94637">
          <w:pPr>
            <w:pStyle w:val="FooterText"/>
            <w:jc w:val="center"/>
          </w:pPr>
        </w:p>
      </w:tc>
      <w:tc>
        <w:tcPr>
          <w:tcW w:w="1286" w:type="pct"/>
          <w:gridSpan w:val="3"/>
          <w:shd w:val="clear" w:color="auto" w:fill="auto"/>
          <w:tcMar>
            <w:top w:w="0" w:type="dxa"/>
          </w:tcMar>
        </w:tcPr>
        <w:p w14:paraId="112D9CAE" w14:textId="414EE033" w:rsidR="00641A5B" w:rsidRPr="002511D8" w:rsidRDefault="00641A5B" w:rsidP="00D94637">
          <w:pPr>
            <w:pStyle w:val="FooterText"/>
            <w:jc w:val="center"/>
          </w:pPr>
          <w:r>
            <w:t>PHL/bsl</w:t>
          </w:r>
        </w:p>
      </w:tc>
      <w:tc>
        <w:tcPr>
          <w:tcW w:w="589" w:type="pct"/>
          <w:shd w:val="clear" w:color="auto" w:fill="auto"/>
          <w:tcMar>
            <w:top w:w="0" w:type="dxa"/>
          </w:tcMar>
        </w:tcPr>
        <w:p w14:paraId="1DE07696" w14:textId="6E8A332D" w:rsidR="00641A5B" w:rsidRPr="00B310DC" w:rsidRDefault="00641A5B" w:rsidP="00D94637">
          <w:pPr>
            <w:pStyle w:val="FooterText"/>
            <w:jc w:val="right"/>
          </w:pPr>
          <w:r>
            <w:fldChar w:fldCharType="begin"/>
          </w:r>
          <w:r>
            <w:instrText xml:space="preserve"> PAGE  \* MERGEFORMAT </w:instrText>
          </w:r>
          <w:r>
            <w:fldChar w:fldCharType="separate"/>
          </w:r>
          <w:r>
            <w:rPr>
              <w:noProof/>
            </w:rPr>
            <w:t>2</w:t>
          </w:r>
          <w:r>
            <w:fldChar w:fldCharType="end"/>
          </w:r>
        </w:p>
      </w:tc>
    </w:tr>
    <w:tr w:rsidR="00641A5B" w:rsidRPr="00D94637" w14:paraId="49944377" w14:textId="77777777" w:rsidTr="00641A5B">
      <w:trPr>
        <w:jc w:val="center"/>
      </w:trPr>
      <w:tc>
        <w:tcPr>
          <w:tcW w:w="1774" w:type="pct"/>
          <w:shd w:val="clear" w:color="auto" w:fill="auto"/>
        </w:tcPr>
        <w:p w14:paraId="67580B60" w14:textId="09821CC0" w:rsidR="00641A5B" w:rsidRPr="00AD7BF2" w:rsidRDefault="00641A5B" w:rsidP="00D94637">
          <w:pPr>
            <w:pStyle w:val="FooterText"/>
            <w:spacing w:before="40"/>
          </w:pPr>
        </w:p>
      </w:tc>
      <w:tc>
        <w:tcPr>
          <w:tcW w:w="1455" w:type="pct"/>
          <w:gridSpan w:val="3"/>
          <w:shd w:val="clear" w:color="auto" w:fill="auto"/>
        </w:tcPr>
        <w:p w14:paraId="37B94395" w14:textId="6F8225DB" w:rsidR="00641A5B" w:rsidRPr="00AD7BF2" w:rsidRDefault="00641A5B" w:rsidP="00D204D6">
          <w:pPr>
            <w:pStyle w:val="FooterText"/>
            <w:spacing w:before="40"/>
            <w:jc w:val="center"/>
          </w:pPr>
          <w:r>
            <w:t>TREE.1.A</w:t>
          </w:r>
        </w:p>
      </w:tc>
      <w:tc>
        <w:tcPr>
          <w:tcW w:w="742" w:type="pct"/>
          <w:shd w:val="clear" w:color="auto" w:fill="auto"/>
        </w:tcPr>
        <w:p w14:paraId="59627F92" w14:textId="445F469B" w:rsidR="00641A5B" w:rsidRPr="00D94637" w:rsidRDefault="00641A5B" w:rsidP="002F0099">
          <w:pPr>
            <w:pStyle w:val="FooterText"/>
            <w:jc w:val="center"/>
            <w:rPr>
              <w:b/>
              <w:position w:val="-4"/>
              <w:sz w:val="36"/>
            </w:rPr>
          </w:pPr>
        </w:p>
      </w:tc>
      <w:tc>
        <w:tcPr>
          <w:tcW w:w="1029" w:type="pct"/>
          <w:gridSpan w:val="2"/>
          <w:shd w:val="clear" w:color="auto" w:fill="auto"/>
        </w:tcPr>
        <w:p w14:paraId="32C4F914" w14:textId="7091E4CD" w:rsidR="00641A5B" w:rsidRPr="000310C2" w:rsidRDefault="00641A5B" w:rsidP="00D94637">
          <w:pPr>
            <w:pStyle w:val="FooterText"/>
            <w:jc w:val="right"/>
            <w:rPr>
              <w:spacing w:val="-20"/>
              <w:sz w:val="16"/>
            </w:rPr>
          </w:pPr>
          <w:r>
            <w:rPr>
              <w:b/>
              <w:spacing w:val="-20"/>
              <w:position w:val="-4"/>
              <w:sz w:val="36"/>
            </w:rPr>
            <w:t>EN</w:t>
          </w:r>
        </w:p>
      </w:tc>
    </w:tr>
    <w:bookmarkEnd w:id="2"/>
  </w:tbl>
  <w:p w14:paraId="5B5E0FB9" w14:textId="693416EF" w:rsidR="002935A4" w:rsidRPr="00641A5B" w:rsidRDefault="002935A4" w:rsidP="00641A5B">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F7C6" w14:textId="77777777" w:rsidR="00603581" w:rsidRDefault="0060358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D56B" w14:textId="77777777" w:rsidR="00603581" w:rsidRDefault="0060358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CDB3" w14:textId="77777777" w:rsidR="00603581" w:rsidRDefault="00603581" w:rsidP="000E30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46950069"/>
      <w:docPartObj>
        <w:docPartGallery w:val="Page Numbers (Bottom of Page)"/>
        <w:docPartUnique/>
      </w:docPartObj>
    </w:sdtPr>
    <w:sdtEndPr/>
    <w:sdtContent>
      <w:p w14:paraId="581AA43B" w14:textId="16E634E6" w:rsidR="00603581" w:rsidRPr="00664255" w:rsidRDefault="00603581" w:rsidP="00F92EAE">
        <w:pPr>
          <w:pStyle w:val="Footer"/>
          <w:jc w:val="center"/>
          <w:rPr>
            <w:sz w:val="22"/>
            <w:szCs w:val="22"/>
          </w:rPr>
        </w:pPr>
        <w:r w:rsidRPr="7E008321">
          <w:rPr>
            <w:color w:val="2B579A"/>
            <w:sz w:val="22"/>
            <w:szCs w:val="22"/>
          </w:rPr>
          <w:fldChar w:fldCharType="begin"/>
        </w:r>
        <w:r>
          <w:instrText xml:space="preserve"> PAGE   \* MERGEFORMAT </w:instrText>
        </w:r>
        <w:r w:rsidRPr="7E008321">
          <w:rPr>
            <w:color w:val="2B579A"/>
            <w:sz w:val="22"/>
            <w:szCs w:val="22"/>
          </w:rPr>
          <w:fldChar w:fldCharType="separate"/>
        </w:r>
        <w:r w:rsidR="00B2642D" w:rsidRPr="00B2642D">
          <w:rPr>
            <w:noProof/>
            <w:sz w:val="22"/>
            <w:szCs w:val="22"/>
          </w:rPr>
          <w:t>190</w:t>
        </w:r>
        <w:r w:rsidRPr="7E008321">
          <w:rPr>
            <w:color w:val="2B579A"/>
            <w:sz w:val="22"/>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922D" w14:textId="513A04AA" w:rsidR="00603581" w:rsidRDefault="00603581" w:rsidP="00FC3AFB">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325</w:t>
    </w:r>
    <w:r>
      <w:rPr>
        <w:color w:val="2B579A"/>
        <w:shd w:val="clear" w:color="auto" w:fill="E6E6E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A563" w14:textId="77777777" w:rsidR="00603581" w:rsidRDefault="00603581" w:rsidP="000E30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2013286823"/>
      <w:docPartObj>
        <w:docPartGallery w:val="Page Numbers (Bottom of Page)"/>
        <w:docPartUnique/>
      </w:docPartObj>
    </w:sdtPr>
    <w:sdtEndPr/>
    <w:sdtContent>
      <w:p w14:paraId="70AE55BC" w14:textId="6DEBA043" w:rsidR="00603581" w:rsidRPr="00664255" w:rsidRDefault="00603581" w:rsidP="00F92EAE">
        <w:pPr>
          <w:pStyle w:val="Footer"/>
          <w:jc w:val="center"/>
          <w:rPr>
            <w:sz w:val="22"/>
            <w:szCs w:val="22"/>
          </w:rPr>
        </w:pPr>
        <w:r w:rsidRPr="7E008321">
          <w:rPr>
            <w:color w:val="2B579A"/>
            <w:sz w:val="22"/>
            <w:szCs w:val="22"/>
          </w:rPr>
          <w:fldChar w:fldCharType="begin"/>
        </w:r>
        <w:r>
          <w:instrText xml:space="preserve"> PAGE   \* MERGEFORMAT </w:instrText>
        </w:r>
        <w:r w:rsidRPr="7E008321">
          <w:rPr>
            <w:color w:val="2B579A"/>
            <w:sz w:val="22"/>
            <w:szCs w:val="22"/>
          </w:rPr>
          <w:fldChar w:fldCharType="separate"/>
        </w:r>
        <w:r w:rsidR="00B2642D" w:rsidRPr="00B2642D">
          <w:rPr>
            <w:noProof/>
            <w:sz w:val="22"/>
            <w:szCs w:val="22"/>
          </w:rPr>
          <w:t>197</w:t>
        </w:r>
        <w:r w:rsidRPr="7E008321">
          <w:rPr>
            <w:color w:val="2B579A"/>
            <w:sz w:val="22"/>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B0CA" w14:textId="77777777" w:rsidR="00603581" w:rsidRDefault="00603581" w:rsidP="00FC3AFB">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325</w:t>
    </w:r>
    <w:r>
      <w:rPr>
        <w:color w:val="2B579A"/>
        <w:shd w:val="clear" w:color="auto" w:fill="E6E6E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17B3" w14:textId="77777777" w:rsidR="00603581" w:rsidRDefault="00603581" w:rsidP="000E30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250785147"/>
      <w:docPartObj>
        <w:docPartGallery w:val="Page Numbers (Bottom of Page)"/>
        <w:docPartUnique/>
      </w:docPartObj>
    </w:sdtPr>
    <w:sdtEndPr/>
    <w:sdtContent>
      <w:p w14:paraId="560CFACC" w14:textId="163A149F" w:rsidR="00603581" w:rsidRPr="00664255" w:rsidRDefault="00603581" w:rsidP="00F92EAE">
        <w:pPr>
          <w:pStyle w:val="Footer"/>
          <w:jc w:val="center"/>
          <w:rPr>
            <w:sz w:val="22"/>
            <w:szCs w:val="22"/>
          </w:rPr>
        </w:pPr>
        <w:r w:rsidRPr="7E008321">
          <w:rPr>
            <w:color w:val="2B579A"/>
            <w:sz w:val="22"/>
            <w:szCs w:val="22"/>
          </w:rPr>
          <w:fldChar w:fldCharType="begin"/>
        </w:r>
        <w:r>
          <w:instrText xml:space="preserve"> PAGE   \* MERGEFORMAT </w:instrText>
        </w:r>
        <w:r w:rsidRPr="7E008321">
          <w:rPr>
            <w:color w:val="2B579A"/>
            <w:sz w:val="22"/>
            <w:szCs w:val="22"/>
          </w:rPr>
          <w:fldChar w:fldCharType="separate"/>
        </w:r>
        <w:r w:rsidR="00B2642D" w:rsidRPr="00B2642D">
          <w:rPr>
            <w:noProof/>
            <w:sz w:val="22"/>
            <w:szCs w:val="22"/>
          </w:rPr>
          <w:t>212</w:t>
        </w:r>
        <w:r w:rsidRPr="7E008321">
          <w:rPr>
            <w:color w:val="2B579A"/>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641A5B" w:rsidRPr="00D94637" w14:paraId="024E4606" w14:textId="77777777" w:rsidTr="00641A5B">
      <w:trPr>
        <w:jc w:val="center"/>
      </w:trPr>
      <w:tc>
        <w:tcPr>
          <w:tcW w:w="5000" w:type="pct"/>
          <w:gridSpan w:val="7"/>
          <w:shd w:val="clear" w:color="auto" w:fill="auto"/>
          <w:tcMar>
            <w:top w:w="57" w:type="dxa"/>
          </w:tcMar>
        </w:tcPr>
        <w:p w14:paraId="3C541FA1" w14:textId="77777777" w:rsidR="00641A5B" w:rsidRPr="00D94637" w:rsidRDefault="00641A5B" w:rsidP="00D94637">
          <w:pPr>
            <w:pStyle w:val="FooterText"/>
            <w:pBdr>
              <w:top w:val="single" w:sz="4" w:space="1" w:color="auto"/>
            </w:pBdr>
            <w:spacing w:before="200"/>
            <w:rPr>
              <w:sz w:val="2"/>
              <w:szCs w:val="2"/>
            </w:rPr>
          </w:pPr>
        </w:p>
      </w:tc>
    </w:tr>
    <w:tr w:rsidR="00641A5B" w:rsidRPr="00B310DC" w14:paraId="04B3B981" w14:textId="77777777" w:rsidTr="00641A5B">
      <w:trPr>
        <w:jc w:val="center"/>
      </w:trPr>
      <w:tc>
        <w:tcPr>
          <w:tcW w:w="2500" w:type="pct"/>
          <w:gridSpan w:val="2"/>
          <w:shd w:val="clear" w:color="auto" w:fill="auto"/>
          <w:tcMar>
            <w:top w:w="0" w:type="dxa"/>
          </w:tcMar>
        </w:tcPr>
        <w:p w14:paraId="0FE10230" w14:textId="6473FD5E" w:rsidR="00641A5B" w:rsidRPr="00AD7BF2" w:rsidRDefault="00641A5B" w:rsidP="004F54B2">
          <w:pPr>
            <w:pStyle w:val="FooterText"/>
          </w:pPr>
          <w:r>
            <w:t>11624/23</w:t>
          </w:r>
          <w:r w:rsidRPr="002511D8">
            <w:t xml:space="preserve"> </w:t>
          </w:r>
          <w:r>
            <w:t>ADD 6</w:t>
          </w:r>
        </w:p>
      </w:tc>
      <w:tc>
        <w:tcPr>
          <w:tcW w:w="625" w:type="pct"/>
          <w:shd w:val="clear" w:color="auto" w:fill="auto"/>
          <w:tcMar>
            <w:top w:w="0" w:type="dxa"/>
          </w:tcMar>
        </w:tcPr>
        <w:p w14:paraId="461DB325" w14:textId="77777777" w:rsidR="00641A5B" w:rsidRPr="00AD7BF2" w:rsidRDefault="00641A5B" w:rsidP="00D94637">
          <w:pPr>
            <w:pStyle w:val="FooterText"/>
            <w:jc w:val="center"/>
          </w:pPr>
        </w:p>
      </w:tc>
      <w:tc>
        <w:tcPr>
          <w:tcW w:w="1286" w:type="pct"/>
          <w:gridSpan w:val="3"/>
          <w:shd w:val="clear" w:color="auto" w:fill="auto"/>
          <w:tcMar>
            <w:top w:w="0" w:type="dxa"/>
          </w:tcMar>
        </w:tcPr>
        <w:p w14:paraId="7C6E7CC3" w14:textId="06212D4D" w:rsidR="00641A5B" w:rsidRPr="002511D8" w:rsidRDefault="00641A5B" w:rsidP="00D94637">
          <w:pPr>
            <w:pStyle w:val="FooterText"/>
            <w:jc w:val="center"/>
          </w:pPr>
          <w:r>
            <w:t>PHL/bsl</w:t>
          </w:r>
        </w:p>
      </w:tc>
      <w:tc>
        <w:tcPr>
          <w:tcW w:w="589" w:type="pct"/>
          <w:shd w:val="clear" w:color="auto" w:fill="auto"/>
          <w:tcMar>
            <w:top w:w="0" w:type="dxa"/>
          </w:tcMar>
        </w:tcPr>
        <w:p w14:paraId="35B53B61" w14:textId="7E90F3C5" w:rsidR="00641A5B" w:rsidRPr="00B310DC" w:rsidRDefault="00641A5B" w:rsidP="00D94637">
          <w:pPr>
            <w:pStyle w:val="FooterText"/>
            <w:jc w:val="right"/>
          </w:pPr>
        </w:p>
      </w:tc>
    </w:tr>
    <w:tr w:rsidR="00641A5B" w:rsidRPr="00D94637" w14:paraId="4EF4D219" w14:textId="77777777" w:rsidTr="00641A5B">
      <w:trPr>
        <w:jc w:val="center"/>
      </w:trPr>
      <w:tc>
        <w:tcPr>
          <w:tcW w:w="1774" w:type="pct"/>
          <w:shd w:val="clear" w:color="auto" w:fill="auto"/>
        </w:tcPr>
        <w:p w14:paraId="7DE0455A" w14:textId="52D9321A" w:rsidR="00641A5B" w:rsidRPr="00AD7BF2" w:rsidRDefault="00641A5B" w:rsidP="00D94637">
          <w:pPr>
            <w:pStyle w:val="FooterText"/>
            <w:spacing w:before="40"/>
          </w:pPr>
        </w:p>
      </w:tc>
      <w:tc>
        <w:tcPr>
          <w:tcW w:w="1455" w:type="pct"/>
          <w:gridSpan w:val="3"/>
          <w:shd w:val="clear" w:color="auto" w:fill="auto"/>
        </w:tcPr>
        <w:p w14:paraId="1FD19671" w14:textId="038E85C4" w:rsidR="00641A5B" w:rsidRPr="00AD7BF2" w:rsidRDefault="00641A5B" w:rsidP="00D204D6">
          <w:pPr>
            <w:pStyle w:val="FooterText"/>
            <w:spacing w:before="40"/>
            <w:jc w:val="center"/>
          </w:pPr>
          <w:r>
            <w:t>TREE.1.A</w:t>
          </w:r>
        </w:p>
      </w:tc>
      <w:tc>
        <w:tcPr>
          <w:tcW w:w="742" w:type="pct"/>
          <w:shd w:val="clear" w:color="auto" w:fill="auto"/>
        </w:tcPr>
        <w:p w14:paraId="4685338F" w14:textId="6481EF71" w:rsidR="00641A5B" w:rsidRPr="00D94637" w:rsidRDefault="00641A5B" w:rsidP="002F0099">
          <w:pPr>
            <w:pStyle w:val="FooterText"/>
            <w:jc w:val="center"/>
            <w:rPr>
              <w:b/>
              <w:position w:val="-4"/>
              <w:sz w:val="36"/>
            </w:rPr>
          </w:pPr>
        </w:p>
      </w:tc>
      <w:tc>
        <w:tcPr>
          <w:tcW w:w="1029" w:type="pct"/>
          <w:gridSpan w:val="2"/>
          <w:shd w:val="clear" w:color="auto" w:fill="auto"/>
        </w:tcPr>
        <w:p w14:paraId="7F17CBDD" w14:textId="0DA6D4C0" w:rsidR="00641A5B" w:rsidRPr="000310C2" w:rsidRDefault="00641A5B" w:rsidP="00D94637">
          <w:pPr>
            <w:pStyle w:val="FooterText"/>
            <w:jc w:val="right"/>
            <w:rPr>
              <w:spacing w:val="-20"/>
              <w:sz w:val="16"/>
            </w:rPr>
          </w:pPr>
          <w:r>
            <w:rPr>
              <w:b/>
              <w:spacing w:val="-20"/>
              <w:position w:val="-4"/>
              <w:sz w:val="36"/>
            </w:rPr>
            <w:t>EN</w:t>
          </w:r>
        </w:p>
      </w:tc>
    </w:tr>
  </w:tbl>
  <w:p w14:paraId="3135629D" w14:textId="77777777" w:rsidR="00641A5B" w:rsidRPr="00641A5B" w:rsidRDefault="00641A5B" w:rsidP="00641A5B">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503C" w14:textId="77777777" w:rsidR="00603581" w:rsidRDefault="00603581" w:rsidP="00FC3AFB">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325</w:t>
    </w:r>
    <w:r>
      <w:rPr>
        <w:color w:val="2B579A"/>
        <w:shd w:val="clear" w:color="auto" w:fill="E6E6E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D704" w14:textId="77777777" w:rsidR="00603581" w:rsidRDefault="00603581" w:rsidP="000E308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470297695"/>
      <w:docPartObj>
        <w:docPartGallery w:val="Page Numbers (Bottom of Page)"/>
        <w:docPartUnique/>
      </w:docPartObj>
    </w:sdtPr>
    <w:sdtEndPr>
      <w:rPr>
        <w:noProof/>
      </w:rPr>
    </w:sdtEndPr>
    <w:sdtContent>
      <w:p w14:paraId="1454E520" w14:textId="21E1F5FE" w:rsidR="00603581" w:rsidRPr="008E5141" w:rsidRDefault="00603581" w:rsidP="008E5141">
        <w:pPr>
          <w:pStyle w:val="Footer"/>
          <w:jc w:val="center"/>
          <w:rPr>
            <w:sz w:val="22"/>
            <w:szCs w:val="22"/>
          </w:rPr>
        </w:pPr>
        <w:r w:rsidRPr="008E5141">
          <w:rPr>
            <w:sz w:val="22"/>
            <w:szCs w:val="22"/>
          </w:rPr>
          <w:fldChar w:fldCharType="begin"/>
        </w:r>
        <w:r w:rsidRPr="008E5141">
          <w:rPr>
            <w:sz w:val="22"/>
            <w:szCs w:val="22"/>
          </w:rPr>
          <w:instrText xml:space="preserve"> PAGE   \* MERGEFORMAT </w:instrText>
        </w:r>
        <w:r w:rsidRPr="008E5141">
          <w:rPr>
            <w:sz w:val="22"/>
            <w:szCs w:val="22"/>
          </w:rPr>
          <w:fldChar w:fldCharType="separate"/>
        </w:r>
        <w:r w:rsidR="00B2642D">
          <w:rPr>
            <w:noProof/>
            <w:sz w:val="22"/>
            <w:szCs w:val="22"/>
          </w:rPr>
          <w:t>254</w:t>
        </w:r>
        <w:r w:rsidRPr="008E5141">
          <w:rPr>
            <w:noProof/>
            <w:sz w:val="22"/>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00F0" w14:textId="77777777" w:rsidR="00603581" w:rsidRDefault="00603581" w:rsidP="000E30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F13B" w14:textId="77777777" w:rsidR="00641A5B" w:rsidRDefault="00641A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6DC0" w14:textId="77777777" w:rsidR="00641A5B" w:rsidRPr="0015087B" w:rsidRDefault="00641A5B" w:rsidP="0015087B">
    <w:pPr>
      <w:pStyle w:val="FooterCoverPage"/>
      <w:rPr>
        <w:rFonts w:ascii="Arial" w:hAnsi="Arial" w:cs="Arial"/>
        <w:b/>
        <w:sz w:val="48"/>
      </w:rPr>
    </w:pPr>
    <w:r w:rsidRPr="0015087B">
      <w:rPr>
        <w:rFonts w:ascii="Arial" w:hAnsi="Arial" w:cs="Arial"/>
        <w:b/>
        <w:sz w:val="48"/>
      </w:rPr>
      <w:t>EN</w:t>
    </w:r>
    <w:r w:rsidRPr="0015087B">
      <w:rPr>
        <w:rFonts w:ascii="Arial" w:hAnsi="Arial" w:cs="Arial"/>
        <w:b/>
        <w:sz w:val="48"/>
      </w:rPr>
      <w:tab/>
    </w:r>
    <w:r w:rsidRPr="0015087B">
      <w:rPr>
        <w:rFonts w:ascii="Arial" w:hAnsi="Arial" w:cs="Arial"/>
        <w:b/>
        <w:sz w:val="48"/>
      </w:rPr>
      <w:tab/>
    </w:r>
    <w:r w:rsidRPr="0015087B">
      <w:tab/>
    </w:r>
    <w:r w:rsidRPr="0015087B">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428" w14:textId="77777777" w:rsidR="00641A5B" w:rsidRDefault="00641A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C0EB" w14:textId="77777777" w:rsidR="00603581" w:rsidRDefault="00603581">
    <w:r>
      <w:cr/>
    </w:r>
  </w:p>
  <w:p w14:paraId="1CF4C66C" w14:textId="77777777" w:rsidR="00603581" w:rsidRDefault="0060358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110272769"/>
      <w:docPartObj>
        <w:docPartGallery w:val="Page Numbers (Bottom of Page)"/>
        <w:docPartUnique/>
      </w:docPartObj>
    </w:sdtPr>
    <w:sdtEndPr/>
    <w:sdtContent>
      <w:p w14:paraId="277D58B9" w14:textId="09509D15" w:rsidR="00603581" w:rsidRPr="006126D3" w:rsidRDefault="00603581"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15087B">
          <w:rPr>
            <w:noProof/>
          </w:rPr>
          <w:t>2</w:t>
        </w:r>
        <w:r w:rsidRPr="006126D3">
          <w:rPr>
            <w:sz w:val="22"/>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960A" w14:textId="6396EA04" w:rsidR="00603581" w:rsidRPr="006126D3" w:rsidRDefault="00603581"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15087B">
      <w:rPr>
        <w:noProof/>
      </w:rPr>
      <w:t>1</w:t>
    </w:r>
    <w:r w:rsidRPr="006126D3">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5B44D" w14:textId="77777777" w:rsidR="00C5309D" w:rsidRDefault="00C5309D" w:rsidP="000E3086">
      <w:r>
        <w:separator/>
      </w:r>
    </w:p>
  </w:footnote>
  <w:footnote w:type="continuationSeparator" w:id="0">
    <w:p w14:paraId="5C2F519A" w14:textId="77777777" w:rsidR="00C5309D" w:rsidRDefault="00C5309D" w:rsidP="000E3086">
      <w:r>
        <w:continuationSeparator/>
      </w:r>
    </w:p>
  </w:footnote>
  <w:footnote w:type="continuationNotice" w:id="1">
    <w:p w14:paraId="0C707626" w14:textId="77777777" w:rsidR="00C5309D" w:rsidRDefault="00C5309D">
      <w:pPr>
        <w:spacing w:after="0"/>
      </w:pPr>
    </w:p>
  </w:footnote>
  <w:footnote w:id="2">
    <w:p w14:paraId="55B95236" w14:textId="77777777" w:rsidR="00603581" w:rsidRPr="00941395" w:rsidRDefault="00603581" w:rsidP="00105201">
      <w:pPr>
        <w:pStyle w:val="FootnoteText"/>
        <w:rPr>
          <w:lang w:val="en-IE"/>
        </w:rPr>
      </w:pPr>
      <w:r w:rsidRPr="00941395">
        <w:rPr>
          <w:rStyle w:val="FootnoteReference"/>
          <w:lang w:val="en-IE"/>
        </w:rPr>
        <w:footnoteRef/>
      </w:r>
      <w:r w:rsidRPr="00941395">
        <w:rPr>
          <w:lang w:val="en-IE"/>
        </w:rPr>
        <w:t xml:space="preserve"> OJ L 100, 19.4.1994, p.37</w:t>
      </w:r>
    </w:p>
  </w:footnote>
  <w:footnote w:id="3">
    <w:p w14:paraId="447F6243" w14:textId="257F9DF1" w:rsidR="00603581" w:rsidRPr="00941395" w:rsidRDefault="00603581">
      <w:pPr>
        <w:pStyle w:val="FootnoteText"/>
        <w:rPr>
          <w:lang w:val="en-IE"/>
        </w:rPr>
      </w:pPr>
      <w:r w:rsidRPr="00941395">
        <w:rPr>
          <w:rStyle w:val="FootnoteReference"/>
          <w:lang w:val="en-IE"/>
        </w:rPr>
        <w:footnoteRef/>
      </w:r>
      <w:r w:rsidRPr="00941395">
        <w:rPr>
          <w:lang w:val="en-IE"/>
        </w:rPr>
        <w:t xml:space="preserve"> Norion consult for EuRIC, LCA-based assessment of the management of European used textiles, 2023.  </w:t>
      </w:r>
    </w:p>
  </w:footnote>
  <w:footnote w:id="4">
    <w:p w14:paraId="21C58EDA" w14:textId="77777777" w:rsidR="00603581" w:rsidRPr="00941395" w:rsidRDefault="00603581" w:rsidP="00E66689">
      <w:pPr>
        <w:pStyle w:val="FootnoteText"/>
        <w:rPr>
          <w:lang w:val="en-IE"/>
        </w:rPr>
      </w:pPr>
      <w:r w:rsidRPr="00941395">
        <w:rPr>
          <w:rStyle w:val="FootnoteReference"/>
          <w:lang w:val="en-IE"/>
        </w:rPr>
        <w:footnoteRef/>
      </w:r>
      <w:r w:rsidRPr="00941395">
        <w:rPr>
          <w:lang w:val="en-IE"/>
        </w:rPr>
        <w:t xml:space="preserve"> The Regulation does not apply to textile products which are contracted out to persons working in their own homes or to independent firms that carry out work from materials supplied without the property therein being transferred for consideration.  It also does not apply to customised textile products made up by self-employed tailors.</w:t>
      </w:r>
    </w:p>
  </w:footnote>
  <w:footnote w:id="5">
    <w:p w14:paraId="61060CC1" w14:textId="77777777" w:rsidR="00603581" w:rsidRPr="00941395" w:rsidRDefault="00603581" w:rsidP="00105201">
      <w:pPr>
        <w:pStyle w:val="FootnoteText"/>
        <w:jc w:val="left"/>
        <w:rPr>
          <w:lang w:val="en-IE"/>
        </w:rPr>
      </w:pPr>
      <w:r w:rsidRPr="00941395">
        <w:rPr>
          <w:rStyle w:val="FootnoteReference"/>
          <w:lang w:val="en-IE"/>
        </w:rPr>
        <w:footnoteRef/>
      </w:r>
      <w:r w:rsidRPr="00941395">
        <w:rPr>
          <w:lang w:val="en-IE"/>
        </w:rPr>
        <w:t xml:space="preserve"> Interview with Ellen MacArthur Foundation.</w:t>
      </w:r>
    </w:p>
  </w:footnote>
  <w:footnote w:id="6">
    <w:p w14:paraId="7438DA71" w14:textId="77777777" w:rsidR="00603581" w:rsidRPr="00941395" w:rsidRDefault="00603581" w:rsidP="007D7F05">
      <w:pPr>
        <w:pStyle w:val="FootnoteText"/>
        <w:rPr>
          <w:rFonts w:ascii="Segoe UI" w:hAnsi="Segoe UI" w:cstheme="minorBidi"/>
          <w:sz w:val="18"/>
          <w:lang w:val="en-IE"/>
        </w:rPr>
      </w:pPr>
      <w:r w:rsidRPr="00941395">
        <w:rPr>
          <w:rStyle w:val="FootnoteReference"/>
          <w:lang w:val="en-IE"/>
        </w:rPr>
        <w:footnoteRef/>
      </w:r>
      <w:r w:rsidRPr="00941395">
        <w:rPr>
          <w:lang w:val="en-IE"/>
        </w:rPr>
        <w:t xml:space="preserve"> The Regulation does not apply to textile products which are contracted out to persons working in their own homes or to independent firms that carry out work from materials supplied without the property therein being transferred for consideration.  It also does not apply to customised textile products made up by self-employed tailors.</w:t>
      </w:r>
    </w:p>
  </w:footnote>
  <w:footnote w:id="7">
    <w:p w14:paraId="0069EC46" w14:textId="77777777" w:rsidR="00603581" w:rsidRPr="00941395" w:rsidRDefault="00603581" w:rsidP="00E06389">
      <w:pPr>
        <w:pStyle w:val="FootnoteText"/>
        <w:jc w:val="left"/>
        <w:rPr>
          <w:lang w:val="en-IE"/>
        </w:rPr>
      </w:pPr>
      <w:r w:rsidRPr="00941395">
        <w:rPr>
          <w:rStyle w:val="FootnoteReference"/>
          <w:lang w:val="en-IE"/>
        </w:rPr>
        <w:footnoteRef/>
      </w:r>
      <w:r w:rsidRPr="00941395">
        <w:rPr>
          <w:lang w:val="en-IE"/>
        </w:rPr>
        <w:t xml:space="preserve"> Feedback from workshop.</w:t>
      </w:r>
    </w:p>
  </w:footnote>
  <w:footnote w:id="8">
    <w:p w14:paraId="7856E0EE" w14:textId="360A08E0" w:rsidR="00603581" w:rsidRPr="00941395" w:rsidRDefault="00603581" w:rsidP="00105201">
      <w:pPr>
        <w:pStyle w:val="FootnoteText"/>
        <w:jc w:val="left"/>
        <w:rPr>
          <w:lang w:val="en-IE"/>
        </w:rPr>
      </w:pPr>
      <w:r w:rsidRPr="00941395">
        <w:rPr>
          <w:rStyle w:val="FootnoteReference"/>
          <w:lang w:val="en-IE"/>
        </w:rPr>
        <w:footnoteRef/>
      </w:r>
      <w:r w:rsidRPr="00941395">
        <w:rPr>
          <w:lang w:val="en-IE"/>
        </w:rPr>
        <w:t xml:space="preserve"> Interview with Teko &amp; Svenshandel</w:t>
      </w:r>
    </w:p>
  </w:footnote>
  <w:footnote w:id="9">
    <w:p w14:paraId="0E9354F4" w14:textId="77777777" w:rsidR="00603581" w:rsidRPr="00941395" w:rsidRDefault="00603581" w:rsidP="00C45AF3">
      <w:pPr>
        <w:pStyle w:val="FootnoteText"/>
        <w:rPr>
          <w:lang w:val="en-IE"/>
        </w:rPr>
      </w:pPr>
      <w:r w:rsidRPr="00941395">
        <w:rPr>
          <w:rStyle w:val="FootnoteReference"/>
          <w:lang w:val="en-IE"/>
        </w:rPr>
        <w:footnoteRef/>
      </w:r>
      <w:r w:rsidRPr="00941395">
        <w:rPr>
          <w:lang w:val="en-IE"/>
        </w:rPr>
        <w:t xml:space="preserve"> The Regulation does not apply to textile products which are contracted out to persons working in their own homes or to independent firms that carry out work from materials supplied without the property therein being transferred for consideration.  It also does not apply to customised textile products made up by self-employed tailors.</w:t>
      </w:r>
    </w:p>
  </w:footnote>
  <w:footnote w:id="10">
    <w:p w14:paraId="56ADD473" w14:textId="77777777" w:rsidR="00603581" w:rsidRPr="00941395" w:rsidRDefault="00603581" w:rsidP="00105201">
      <w:pPr>
        <w:pStyle w:val="FootnoteText"/>
        <w:jc w:val="left"/>
        <w:rPr>
          <w:lang w:val="en-IE"/>
        </w:rPr>
      </w:pPr>
      <w:r w:rsidRPr="00941395">
        <w:rPr>
          <w:rStyle w:val="FootnoteReference"/>
          <w:lang w:val="en-IE"/>
        </w:rPr>
        <w:footnoteRef/>
      </w:r>
      <w:r w:rsidRPr="00941395">
        <w:rPr>
          <w:lang w:val="en-IE"/>
        </w:rPr>
        <w:t xml:space="preserve"> Evidence from workshop.</w:t>
      </w:r>
    </w:p>
  </w:footnote>
  <w:footnote w:id="11">
    <w:p w14:paraId="65BC115F" w14:textId="77777777" w:rsidR="00603581" w:rsidRPr="00941395" w:rsidRDefault="00603581" w:rsidP="00105201">
      <w:pPr>
        <w:pStyle w:val="FootnoteText"/>
        <w:jc w:val="left"/>
        <w:rPr>
          <w:lang w:val="en-IE"/>
        </w:rPr>
      </w:pPr>
      <w:r w:rsidRPr="00941395">
        <w:rPr>
          <w:rStyle w:val="FootnoteReference"/>
          <w:lang w:val="en-IE"/>
        </w:rPr>
        <w:footnoteRef/>
      </w:r>
      <w:r w:rsidRPr="00941395">
        <w:rPr>
          <w:lang w:val="en-IE"/>
        </w:rPr>
        <w:t xml:space="preserve"> Evidence from workshop.</w:t>
      </w:r>
    </w:p>
  </w:footnote>
  <w:footnote w:id="12">
    <w:p w14:paraId="7AF3624B" w14:textId="77777777" w:rsidR="00603581" w:rsidRPr="00941395" w:rsidRDefault="00603581" w:rsidP="00105201">
      <w:pPr>
        <w:pStyle w:val="FootnoteText"/>
        <w:jc w:val="left"/>
        <w:rPr>
          <w:lang w:val="en-IE"/>
        </w:rPr>
      </w:pPr>
      <w:r w:rsidRPr="00941395">
        <w:rPr>
          <w:rStyle w:val="FootnoteReference"/>
          <w:lang w:val="en-IE"/>
        </w:rPr>
        <w:footnoteRef/>
      </w:r>
      <w:r w:rsidRPr="00941395">
        <w:rPr>
          <w:lang w:val="en-IE"/>
        </w:rPr>
        <w:t xml:space="preserve"> Interview with Teko &amp; Svenshandel.</w:t>
      </w:r>
    </w:p>
  </w:footnote>
  <w:footnote w:id="13">
    <w:p w14:paraId="2A8FE44E"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Communication between the European Commission and RREUSE, November 2022.</w:t>
      </w:r>
    </w:p>
  </w:footnote>
  <w:footnote w:id="14">
    <w:p w14:paraId="4DBF0964" w14:textId="77777777" w:rsidR="00603581" w:rsidRPr="00941395" w:rsidRDefault="00603581" w:rsidP="717408C4">
      <w:pPr>
        <w:pStyle w:val="FootnoteText"/>
        <w:rPr>
          <w:lang w:val="en-IE"/>
        </w:rPr>
      </w:pPr>
      <w:r w:rsidRPr="00941395">
        <w:rPr>
          <w:rStyle w:val="FootnoteReference"/>
          <w:lang w:val="en-IE"/>
        </w:rPr>
        <w:footnoteRef/>
      </w:r>
      <w:r w:rsidRPr="00941395">
        <w:rPr>
          <w:lang w:val="en-IE"/>
        </w:rPr>
        <w:t xml:space="preserve"> Municipal Waste Europe</w:t>
      </w:r>
    </w:p>
  </w:footnote>
  <w:footnote w:id="15">
    <w:p w14:paraId="3C3E95BC" w14:textId="77777777" w:rsidR="00603581" w:rsidRPr="00941395" w:rsidRDefault="00603581" w:rsidP="717408C4">
      <w:pPr>
        <w:pStyle w:val="FootnoteText"/>
        <w:rPr>
          <w:lang w:val="en-IE"/>
        </w:rPr>
      </w:pPr>
      <w:r w:rsidRPr="00941395">
        <w:rPr>
          <w:rStyle w:val="FootnoteReference"/>
          <w:lang w:val="en-IE"/>
        </w:rPr>
        <w:footnoteRef/>
      </w:r>
      <w:r w:rsidRPr="00941395">
        <w:rPr>
          <w:lang w:val="en-IE"/>
        </w:rPr>
        <w:t xml:space="preserve"> RREUSE</w:t>
      </w:r>
    </w:p>
  </w:footnote>
  <w:footnote w:id="16">
    <w:p w14:paraId="6D364A64"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Communication between the European Commission and RREUSE, November 2022.</w:t>
      </w:r>
    </w:p>
  </w:footnote>
  <w:footnote w:id="17">
    <w:p w14:paraId="694E4459" w14:textId="04AD03FC" w:rsidR="00603581" w:rsidRPr="00941395" w:rsidRDefault="00603581" w:rsidP="006225FD">
      <w:pPr>
        <w:pStyle w:val="FootnoteText"/>
        <w:rPr>
          <w:rFonts w:ascii="Segoe UI" w:hAnsi="Segoe UI" w:cstheme="minorBidi"/>
          <w:sz w:val="18"/>
          <w:lang w:val="en-IE"/>
        </w:rPr>
      </w:pPr>
      <w:r w:rsidRPr="00941395">
        <w:rPr>
          <w:rStyle w:val="FootnoteReference"/>
          <w:lang w:val="en-IE"/>
        </w:rPr>
        <w:footnoteRef/>
      </w:r>
      <w:r w:rsidRPr="00941395">
        <w:rPr>
          <w:lang w:val="en-IE"/>
        </w:rPr>
        <w:t xml:space="preserve"> </w:t>
      </w:r>
      <w:hyperlink r:id="rId1" w:history="1">
        <w:r w:rsidRPr="00941395">
          <w:rPr>
            <w:rStyle w:val="Hyperlink"/>
            <w:lang w:val="en-IE"/>
          </w:rPr>
          <w:t>https://ens.dk/en/our-responsibilities/waste/danish-national-waste-register</w:t>
        </w:r>
      </w:hyperlink>
      <w:r w:rsidRPr="00941395">
        <w:rPr>
          <w:lang w:val="en-IE"/>
        </w:rPr>
        <w:t xml:space="preserve"> </w:t>
      </w:r>
    </w:p>
  </w:footnote>
  <w:footnote w:id="18">
    <w:p w14:paraId="7AA10416" w14:textId="75A2E160" w:rsidR="00603581" w:rsidRPr="00941395" w:rsidRDefault="00603581" w:rsidP="006225FD">
      <w:pPr>
        <w:pStyle w:val="FootnoteText"/>
        <w:rPr>
          <w:lang w:val="en-IE"/>
        </w:rPr>
      </w:pPr>
      <w:r w:rsidRPr="00941395">
        <w:rPr>
          <w:rStyle w:val="FootnoteReference"/>
          <w:lang w:val="en-IE"/>
        </w:rPr>
        <w:footnoteRef/>
      </w:r>
      <w:r w:rsidRPr="00941395">
        <w:rPr>
          <w:lang w:val="en-IE"/>
        </w:rPr>
        <w:t xml:space="preserve"> </w:t>
      </w:r>
      <w:hyperlink r:id="rId2" w:history="1">
        <w:r w:rsidRPr="00941395">
          <w:rPr>
            <w:rStyle w:val="Hyperlink"/>
            <w:lang w:val="en-IE"/>
          </w:rPr>
          <w:t>https://www.hamburg.com/publicservice/info/11927315/</w:t>
        </w:r>
      </w:hyperlink>
      <w:r w:rsidRPr="00941395">
        <w:rPr>
          <w:lang w:val="en-IE"/>
        </w:rPr>
        <w:t xml:space="preserve"> </w:t>
      </w:r>
    </w:p>
  </w:footnote>
  <w:footnote w:id="19">
    <w:p w14:paraId="56D0D829"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Communication between the European Commission and RREUSE, November 2022.</w:t>
      </w:r>
    </w:p>
  </w:footnote>
  <w:footnote w:id="20">
    <w:p w14:paraId="25018439"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Interview with Ellen MacArthur Foundation</w:t>
      </w:r>
    </w:p>
  </w:footnote>
  <w:footnote w:id="21">
    <w:p w14:paraId="463A44B1"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Interview with Euric</w:t>
      </w:r>
    </w:p>
  </w:footnote>
  <w:footnote w:id="22">
    <w:p w14:paraId="446A06CD"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Feedback from workshop</w:t>
      </w:r>
    </w:p>
  </w:footnote>
  <w:footnote w:id="23">
    <w:p w14:paraId="3293D1C5"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Interview with Teko &amp; </w:t>
      </w:r>
    </w:p>
  </w:footnote>
  <w:footnote w:id="24">
    <w:p w14:paraId="6BE35099"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Interview with Euric</w:t>
      </w:r>
    </w:p>
  </w:footnote>
  <w:footnote w:id="25">
    <w:p w14:paraId="0A97FC37"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Evidence from workshop</w:t>
      </w:r>
    </w:p>
  </w:footnote>
  <w:footnote w:id="26">
    <w:p w14:paraId="03B37C90"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Evidence from workshop</w:t>
      </w:r>
    </w:p>
  </w:footnote>
  <w:footnote w:id="27">
    <w:p w14:paraId="17BE44BB" w14:textId="77777777" w:rsidR="00603581" w:rsidRPr="00941395" w:rsidRDefault="00603581" w:rsidP="00DD5002">
      <w:pPr>
        <w:pStyle w:val="FootnoteText"/>
        <w:rPr>
          <w:lang w:val="en-IE"/>
        </w:rPr>
      </w:pPr>
      <w:r w:rsidRPr="00941395">
        <w:rPr>
          <w:rStyle w:val="FootnoteReference"/>
          <w:lang w:val="en-IE"/>
        </w:rPr>
        <w:footnoteRef/>
      </w:r>
      <w:r w:rsidRPr="00941395">
        <w:rPr>
          <w:lang w:val="en-IE"/>
        </w:rPr>
        <w:t xml:space="preserve"> Interview with Teko &amp; Svenshandel</w:t>
      </w:r>
    </w:p>
  </w:footnote>
  <w:footnote w:id="28">
    <w:p w14:paraId="24BBE6D0" w14:textId="77777777" w:rsidR="00603581" w:rsidRPr="00941395" w:rsidRDefault="00603581" w:rsidP="00E4086B">
      <w:pPr>
        <w:pStyle w:val="FootnoteText"/>
        <w:rPr>
          <w:lang w:val="en-IE"/>
        </w:rPr>
      </w:pPr>
      <w:r w:rsidRPr="00941395">
        <w:rPr>
          <w:rStyle w:val="FootnoteReference"/>
          <w:lang w:val="en-IE"/>
        </w:rPr>
        <w:footnoteRef/>
      </w:r>
      <w:r w:rsidRPr="00941395">
        <w:rPr>
          <w:lang w:val="en-IE"/>
        </w:rPr>
        <w:t xml:space="preserve"> EEA report No 15 2021.  Progress towards preventing waste in Europe – the case of textile waste prevention</w:t>
      </w:r>
    </w:p>
  </w:footnote>
  <w:footnote w:id="29">
    <w:p w14:paraId="5792810B" w14:textId="77777777" w:rsidR="00603581" w:rsidRPr="00941395" w:rsidRDefault="00603581" w:rsidP="00E4086B">
      <w:pPr>
        <w:pStyle w:val="FootnoteText"/>
        <w:rPr>
          <w:lang w:val="en-IE"/>
        </w:rPr>
      </w:pPr>
      <w:r w:rsidRPr="00941395">
        <w:rPr>
          <w:rStyle w:val="FootnoteReference"/>
          <w:lang w:val="en-IE"/>
        </w:rPr>
        <w:footnoteRef/>
      </w:r>
      <w:r w:rsidRPr="00941395">
        <w:rPr>
          <w:lang w:val="en-IE"/>
        </w:rPr>
        <w:t xml:space="preserve"> Payet, J. 2021. Assessment of Carbon Footprint for the Textile Sector in France. Sustainability 2021,13, 2422.</w:t>
      </w:r>
    </w:p>
  </w:footnote>
  <w:footnote w:id="30">
    <w:p w14:paraId="2A6D67C7" w14:textId="0D812323" w:rsidR="00603581" w:rsidRPr="00941395" w:rsidRDefault="00603581" w:rsidP="00E4086B">
      <w:pPr>
        <w:pStyle w:val="FootnoteTex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r w:rsidRPr="00941395">
        <w:rPr>
          <w:lang w:val="en-IE"/>
        </w:rPr>
        <w:t>.</w:t>
      </w:r>
    </w:p>
  </w:footnote>
  <w:footnote w:id="31">
    <w:p w14:paraId="3DDDC5DF"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Evidence from workshop</w:t>
      </w:r>
    </w:p>
  </w:footnote>
  <w:footnote w:id="32">
    <w:p w14:paraId="7FFCE236"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Interview with RREUSE</w:t>
      </w:r>
    </w:p>
  </w:footnote>
  <w:footnote w:id="33">
    <w:p w14:paraId="237F2888"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Interview with ARTSHC</w:t>
      </w:r>
    </w:p>
  </w:footnote>
  <w:footnote w:id="34">
    <w:p w14:paraId="6042A712"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Evidence from stakeholder interview with Ellen MacArthur Foundation</w:t>
      </w:r>
    </w:p>
  </w:footnote>
  <w:footnote w:id="35">
    <w:p w14:paraId="78104A2F"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Evidence from stakeholder interview with Policy Hub</w:t>
      </w:r>
    </w:p>
  </w:footnote>
  <w:footnote w:id="36">
    <w:p w14:paraId="2989552C" w14:textId="49E833C6" w:rsidR="00603581" w:rsidRPr="00941395" w:rsidRDefault="00603581">
      <w:pPr>
        <w:pStyle w:val="FootnoteText"/>
        <w:rPr>
          <w:lang w:val="en-IE"/>
        </w:rPr>
      </w:pPr>
      <w:r w:rsidRPr="00941395">
        <w:rPr>
          <w:rStyle w:val="FootnoteReference"/>
          <w:lang w:val="en-IE"/>
        </w:rPr>
        <w:footnoteRef/>
      </w:r>
      <w:r w:rsidRPr="00941395">
        <w:rPr>
          <w:lang w:val="en-IE"/>
        </w:rPr>
        <w:t xml:space="preserve"> Evidence from the first stakeholder workshop</w:t>
      </w:r>
    </w:p>
  </w:footnote>
  <w:footnote w:id="37">
    <w:p w14:paraId="7A434E93" w14:textId="5F202ED4" w:rsidR="00603581" w:rsidRPr="00941395" w:rsidRDefault="00603581">
      <w:pPr>
        <w:pStyle w:val="FootnoteText"/>
        <w:rPr>
          <w:lang w:val="en-IE"/>
        </w:rPr>
      </w:pPr>
      <w:r w:rsidRPr="00941395">
        <w:rPr>
          <w:rStyle w:val="FootnoteReference"/>
          <w:lang w:val="en-IE"/>
        </w:rPr>
        <w:footnoteRef/>
      </w:r>
      <w:r w:rsidRPr="00941395">
        <w:rPr>
          <w:lang w:val="en-IE"/>
        </w:rPr>
        <w:t xml:space="preserve"> Evidence from the first stakeholder workshop</w:t>
      </w:r>
    </w:p>
  </w:footnote>
  <w:footnote w:id="38">
    <w:p w14:paraId="5E9ED158" w14:textId="371AA05B" w:rsidR="00603581" w:rsidRPr="00941395" w:rsidRDefault="00603581">
      <w:pPr>
        <w:pStyle w:val="FootnoteText"/>
        <w:rPr>
          <w:lang w:val="en-IE"/>
        </w:rPr>
      </w:pPr>
      <w:r w:rsidRPr="00941395">
        <w:rPr>
          <w:rStyle w:val="FootnoteReference"/>
          <w:lang w:val="en-IE"/>
        </w:rPr>
        <w:footnoteRef/>
      </w:r>
      <w:r w:rsidRPr="00941395">
        <w:rPr>
          <w:lang w:val="en-IE"/>
        </w:rPr>
        <w:t xml:space="preserve"> NGO input in first stakeholder workshop</w:t>
      </w:r>
    </w:p>
  </w:footnote>
  <w:footnote w:id="39">
    <w:p w14:paraId="078B5075" w14:textId="4D56F40B" w:rsidR="00603581" w:rsidRPr="00941395" w:rsidRDefault="00603581" w:rsidP="00307E0F">
      <w:pPr>
        <w:pStyle w:val="FootnoteText"/>
        <w:jc w:val="left"/>
        <w:rPr>
          <w:lang w:val="en-IE"/>
        </w:rPr>
      </w:pPr>
      <w:r w:rsidRPr="00941395">
        <w:rPr>
          <w:rStyle w:val="FootnoteReference"/>
          <w:lang w:val="en-IE"/>
        </w:rPr>
        <w:footnoteRef/>
      </w:r>
      <w:r w:rsidRPr="00941395">
        <w:rPr>
          <w:lang w:val="en-IE"/>
        </w:rPr>
        <w:t xml:space="preserve"> SWD(2022) 82 final</w:t>
      </w:r>
    </w:p>
  </w:footnote>
  <w:footnote w:id="40">
    <w:p w14:paraId="069A49BD"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SWD(2022) 82 final</w:t>
      </w:r>
    </w:p>
  </w:footnote>
  <w:footnote w:id="41">
    <w:p w14:paraId="680B88BA" w14:textId="20828A15" w:rsidR="00603581" w:rsidRPr="00941395" w:rsidRDefault="00603581" w:rsidP="0065071A">
      <w:pPr>
        <w:pStyle w:val="FootnoteText"/>
        <w:jc w:val="left"/>
        <w:rPr>
          <w:lang w:val="en-IE"/>
        </w:rPr>
      </w:pPr>
      <w:r w:rsidRPr="00941395">
        <w:rPr>
          <w:rStyle w:val="FootnoteReference"/>
          <w:lang w:val="en-IE"/>
        </w:rPr>
        <w:footnoteRef/>
      </w:r>
      <w:r w:rsidRPr="00941395">
        <w:rPr>
          <w:lang w:val="en-IE"/>
        </w:rPr>
        <w:t xml:space="preserve"> Evidence from workshop</w:t>
      </w:r>
    </w:p>
  </w:footnote>
  <w:footnote w:id="42">
    <w:p w14:paraId="0EE606C3" w14:textId="0DDB6C88" w:rsidR="00603581" w:rsidRPr="00941395" w:rsidRDefault="00603581">
      <w:pPr>
        <w:pStyle w:val="FootnoteText"/>
        <w:rPr>
          <w:lang w:val="en-IE"/>
        </w:rPr>
      </w:pPr>
      <w:r w:rsidRPr="00941395">
        <w:rPr>
          <w:rStyle w:val="FootnoteReference"/>
          <w:lang w:val="en-IE"/>
        </w:rPr>
        <w:footnoteRef/>
      </w:r>
      <w:r w:rsidRPr="00941395">
        <w:rPr>
          <w:lang w:val="en-IE"/>
        </w:rPr>
        <w:t xml:space="preserve"> Evidence from workshop</w:t>
      </w:r>
    </w:p>
  </w:footnote>
  <w:footnote w:id="43">
    <w:p w14:paraId="08BE7760" w14:textId="6ED3C9F4" w:rsidR="00603581" w:rsidRPr="00941395" w:rsidRDefault="00603581">
      <w:pPr>
        <w:pStyle w:val="FootnoteText"/>
        <w:rPr>
          <w:lang w:val="en-IE"/>
        </w:rPr>
      </w:pPr>
      <w:r w:rsidRPr="00941395">
        <w:rPr>
          <w:rStyle w:val="FootnoteReference"/>
          <w:lang w:val="en-IE"/>
        </w:rPr>
        <w:footnoteRef/>
      </w:r>
      <w:r w:rsidRPr="00941395">
        <w:rPr>
          <w:lang w:val="en-IE"/>
        </w:rPr>
        <w:t xml:space="preserve"> Evidence from workshop</w:t>
      </w:r>
    </w:p>
  </w:footnote>
  <w:footnote w:id="44">
    <w:p w14:paraId="4D2F60AC" w14:textId="450EBBD8" w:rsidR="00603581" w:rsidRPr="00941395" w:rsidRDefault="00603581">
      <w:pPr>
        <w:pStyle w:val="FootnoteText"/>
        <w:rPr>
          <w:lang w:val="en-IE"/>
        </w:rPr>
      </w:pPr>
      <w:r w:rsidRPr="00941395">
        <w:rPr>
          <w:rStyle w:val="FootnoteReference"/>
          <w:lang w:val="en-IE"/>
        </w:rPr>
        <w:footnoteRef/>
      </w:r>
      <w:r w:rsidRPr="00941395">
        <w:rPr>
          <w:lang w:val="en-IE"/>
        </w:rPr>
        <w:t xml:space="preserve"> Evidence from workshop</w:t>
      </w:r>
    </w:p>
  </w:footnote>
  <w:footnote w:id="45">
    <w:p w14:paraId="4DA3A8E1" w14:textId="77777777" w:rsidR="00603581" w:rsidRPr="00941395" w:rsidRDefault="00603581" w:rsidP="00334175">
      <w:pPr>
        <w:pStyle w:val="FootnoteText"/>
        <w:rPr>
          <w:lang w:val="en-IE"/>
        </w:rPr>
      </w:pPr>
      <w:r w:rsidRPr="00941395">
        <w:rPr>
          <w:rStyle w:val="FootnoteReference"/>
          <w:lang w:val="en-IE"/>
        </w:rPr>
        <w:footnoteRef/>
      </w:r>
      <w:r w:rsidRPr="00941395">
        <w:rPr>
          <w:lang w:val="en-IE"/>
        </w:rPr>
        <w:t xml:space="preserve"> Evidence from workshop</w:t>
      </w:r>
    </w:p>
  </w:footnote>
  <w:footnote w:id="46">
    <w:p w14:paraId="1D89378B"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Interview with Eurocommerce</w:t>
      </w:r>
    </w:p>
  </w:footnote>
  <w:footnote w:id="47">
    <w:p w14:paraId="342498A1" w14:textId="77777777" w:rsidR="00603581" w:rsidRPr="00941395" w:rsidRDefault="00603581" w:rsidP="009A71FD">
      <w:pPr>
        <w:pStyle w:val="FootnoteText"/>
        <w:rPr>
          <w:lang w:val="en-IE"/>
        </w:rPr>
      </w:pPr>
      <w:r w:rsidRPr="00941395">
        <w:rPr>
          <w:rStyle w:val="FootnoteReference"/>
          <w:lang w:val="en-IE"/>
        </w:rPr>
        <w:footnoteRef/>
      </w:r>
      <w:r w:rsidRPr="00941395">
        <w:rPr>
          <w:lang w:val="en-IE"/>
        </w:rPr>
        <w:t xml:space="preserve"> Interview with Policy Hub</w:t>
      </w:r>
    </w:p>
  </w:footnote>
  <w:footnote w:id="48">
    <w:p w14:paraId="769A7CD2" w14:textId="1FAFE715" w:rsidR="00603581" w:rsidRPr="00941395" w:rsidRDefault="00603581" w:rsidP="006F5446">
      <w:pPr>
        <w:pStyle w:val="FootnoteText"/>
        <w:rPr>
          <w:lang w:val="en-IE"/>
        </w:rPr>
      </w:pPr>
      <w:r w:rsidRPr="00941395">
        <w:rPr>
          <w:rStyle w:val="FootnoteReference"/>
          <w:lang w:val="en-IE"/>
        </w:rPr>
        <w:footnoteRef/>
      </w:r>
      <w:r w:rsidRPr="00941395">
        <w:rPr>
          <w:lang w:val="en-IE"/>
        </w:rPr>
        <w:t xml:space="preserve"> European Commission, 2021. Study on the technical, regulatory, economic and environmental effectiveness of textile fibres recycling</w:t>
      </w:r>
    </w:p>
  </w:footnote>
  <w:footnote w:id="49">
    <w:p w14:paraId="7E7A77F5" w14:textId="77777777" w:rsidR="00603581" w:rsidRPr="00941395" w:rsidRDefault="00603581" w:rsidP="002751B5">
      <w:pPr>
        <w:pStyle w:val="FootnoteText"/>
        <w:rPr>
          <w:lang w:val="en-IE"/>
        </w:rPr>
      </w:pPr>
      <w:r w:rsidRPr="00941395">
        <w:rPr>
          <w:rStyle w:val="FootnoteReference"/>
          <w:lang w:val="en-IE"/>
        </w:rPr>
        <w:footnoteRef/>
      </w:r>
      <w:r w:rsidRPr="00941395">
        <w:rPr>
          <w:lang w:val="en-IE"/>
        </w:rPr>
        <w:t xml:space="preserve"> CEWEP collects information on the landfill taxes applied in different Member States that can be found here: </w:t>
      </w:r>
      <w:hyperlink r:id="rId3" w:history="1">
        <w:r w:rsidRPr="00941395">
          <w:rPr>
            <w:rStyle w:val="Hyperlink"/>
            <w:lang w:val="en-IE"/>
          </w:rPr>
          <w:t>Landfill-taxes-and-restrictions-overview.pdf (cewep.eu)</w:t>
        </w:r>
      </w:hyperlink>
      <w:r w:rsidRPr="00941395">
        <w:rPr>
          <w:lang w:val="en-IE"/>
        </w:rPr>
        <w:t xml:space="preserve"> the values range from €5 per tonne to over €100 per tonne with four Member States imposing no landfill tax.  The value of €50 per tonne has been taken as an approximate average tax for the purpose of this assessment.</w:t>
      </w:r>
    </w:p>
  </w:footnote>
  <w:footnote w:id="50">
    <w:p w14:paraId="6C97A930" w14:textId="77777777" w:rsidR="00603581" w:rsidRPr="00941395" w:rsidRDefault="00603581" w:rsidP="00ED5427">
      <w:pPr>
        <w:pStyle w:val="FootnoteText"/>
        <w:rPr>
          <w:lang w:val="en-IE"/>
        </w:rPr>
      </w:pPr>
      <w:r w:rsidRPr="00941395">
        <w:rPr>
          <w:rStyle w:val="FootnoteReference"/>
          <w:lang w:val="en-IE"/>
        </w:rPr>
        <w:footnoteRef/>
      </w:r>
      <w:r w:rsidRPr="00941395">
        <w:rPr>
          <w:lang w:val="en-IE"/>
        </w:rPr>
        <w:t xml:space="preserve"> Farrant L, Olsen S and Wangel A, 2010.  Environmental benefits from reusing clothes published in the International Journal of Life Cycle Assessment</w:t>
      </w:r>
    </w:p>
  </w:footnote>
  <w:footnote w:id="51">
    <w:p w14:paraId="5B6E4AA2" w14:textId="77777777" w:rsidR="00603581" w:rsidRPr="00941395" w:rsidRDefault="00603581" w:rsidP="00C26C8F">
      <w:pPr>
        <w:pStyle w:val="FootnoteText"/>
        <w:rPr>
          <w:lang w:val="en-IE"/>
        </w:rPr>
      </w:pPr>
      <w:r w:rsidRPr="00941395">
        <w:rPr>
          <w:rStyle w:val="FootnoteReference"/>
          <w:lang w:val="en-IE"/>
        </w:rPr>
        <w:footnoteRef/>
      </w:r>
      <w:r w:rsidRPr="00941395">
        <w:rPr>
          <w:lang w:val="en-IE"/>
        </w:rPr>
        <w:t xml:space="preserve"> McKinsey &amp; Company, 2022.</w:t>
      </w:r>
    </w:p>
  </w:footnote>
  <w:footnote w:id="52">
    <w:p w14:paraId="0CE779DB" w14:textId="77777777" w:rsidR="00603581" w:rsidRPr="00941395" w:rsidRDefault="00603581" w:rsidP="003934A6">
      <w:pPr>
        <w:pStyle w:val="FootnoteText"/>
        <w:jc w:val="left"/>
        <w:rPr>
          <w:lang w:val="en-IE"/>
        </w:rPr>
      </w:pPr>
      <w:r w:rsidRPr="00941395">
        <w:rPr>
          <w:rStyle w:val="FootnoteReference"/>
          <w:lang w:val="en-IE"/>
        </w:rPr>
        <w:footnoteRef/>
      </w:r>
      <w:r w:rsidRPr="00941395">
        <w:rPr>
          <w:lang w:val="en-IE"/>
        </w:rPr>
        <w:t xml:space="preserve"> SWD(2021) 331 final</w:t>
      </w:r>
    </w:p>
  </w:footnote>
  <w:footnote w:id="53">
    <w:p w14:paraId="1A006AE9" w14:textId="2A6A7E11"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See footnote </w:t>
      </w:r>
      <w:r>
        <w:rPr>
          <w:lang w:val="en-IE"/>
        </w:rPr>
        <w:fldChar w:fldCharType="begin"/>
      </w:r>
      <w:r>
        <w:rPr>
          <w:lang w:val="en-IE"/>
        </w:rPr>
        <w:instrText xml:space="preserve"> NOTEREF _Ref133616997 \h </w:instrText>
      </w:r>
      <w:r>
        <w:rPr>
          <w:lang w:val="en-IE"/>
        </w:rPr>
      </w:r>
      <w:r>
        <w:rPr>
          <w:lang w:val="en-IE"/>
        </w:rPr>
        <w:fldChar w:fldCharType="separate"/>
      </w:r>
      <w:r w:rsidR="00393DFA">
        <w:rPr>
          <w:b/>
          <w:bCs/>
          <w:lang w:val="en-US"/>
        </w:rPr>
        <w:t>Error! Bookmark not defined.</w:t>
      </w:r>
      <w:r>
        <w:rPr>
          <w:lang w:val="en-IE"/>
        </w:rPr>
        <w:fldChar w:fldCharType="end"/>
      </w:r>
    </w:p>
  </w:footnote>
  <w:footnote w:id="54">
    <w:p w14:paraId="1D1234BA" w14:textId="41B98991"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See footnote 46, p. 47.</w:t>
      </w:r>
    </w:p>
  </w:footnote>
  <w:footnote w:id="55">
    <w:p w14:paraId="5E7D935E" w14:textId="77777777"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Wohlgemuth V (on behalf of Greenpeace), 2022. How Fast Fashion is using the Global South as a dumping ground for textile waste </w:t>
      </w:r>
      <w:hyperlink r:id="rId4" w:history="1">
        <w:r w:rsidRPr="00941395">
          <w:rPr>
            <w:rStyle w:val="Hyperlink"/>
            <w:lang w:val="en-IE"/>
          </w:rPr>
          <w:t>https://www.greenpeace.org/international/story/53333/how-fast-fashion-is-using-global-south-as-dumping-ground-for-textile-waste/</w:t>
        </w:r>
      </w:hyperlink>
      <w:r w:rsidRPr="00941395">
        <w:rPr>
          <w:lang w:val="en-IE"/>
        </w:rPr>
        <w:t xml:space="preserve"> </w:t>
      </w:r>
    </w:p>
  </w:footnote>
  <w:footnote w:id="56">
    <w:p w14:paraId="128B6826" w14:textId="77777777"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Plastic Soup Foundation, 2022.  Come on EU!  The massive dumping of discarded clothing in Ghana and Chile must stop </w:t>
      </w:r>
      <w:hyperlink r:id="rId5" w:history="1">
        <w:r w:rsidRPr="00941395">
          <w:rPr>
            <w:rStyle w:val="Hyperlink"/>
            <w:lang w:val="en-IE"/>
          </w:rPr>
          <w:t>https://www.plasticsoupfoundation.org/en/2022/03/the-massive-dumping-of-discarded-clothing-in-ghana-and-chile-must-stop/</w:t>
        </w:r>
      </w:hyperlink>
      <w:r w:rsidRPr="00941395">
        <w:rPr>
          <w:lang w:val="en-IE"/>
        </w:rPr>
        <w:t xml:space="preserve"> </w:t>
      </w:r>
    </w:p>
  </w:footnote>
  <w:footnote w:id="57">
    <w:p w14:paraId="09273BF8" w14:textId="77777777"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Fellipe Lopes, 2020.  Textile Mountain: The Hidden Burden of our Fashion Waste </w:t>
      </w:r>
      <w:hyperlink r:id="rId6" w:history="1">
        <w:r w:rsidRPr="00941395">
          <w:rPr>
            <w:rStyle w:val="Hyperlink"/>
            <w:lang w:val="en-IE"/>
          </w:rPr>
          <w:t>https://www.textilemountainfilm.com/</w:t>
        </w:r>
      </w:hyperlink>
      <w:r w:rsidRPr="00941395">
        <w:rPr>
          <w:lang w:val="en-IE"/>
        </w:rPr>
        <w:t xml:space="preserve"> </w:t>
      </w:r>
    </w:p>
  </w:footnote>
  <w:footnote w:id="58">
    <w:p w14:paraId="41345B7B" w14:textId="77777777"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UNEP, 2018.  Putting the brakes on fast fashion. https://www.unep.org/news-and-stories/story/putting-brakes-fast-fashion </w:t>
      </w:r>
    </w:p>
  </w:footnote>
  <w:footnote w:id="59">
    <w:p w14:paraId="10A654FA" w14:textId="77777777" w:rsidR="00603581" w:rsidRPr="00941395" w:rsidRDefault="00603581" w:rsidP="00B9381B">
      <w:pPr>
        <w:pStyle w:val="FootnoteText"/>
        <w:jc w:val="left"/>
        <w:rPr>
          <w:lang w:val="en-IE"/>
        </w:rPr>
      </w:pPr>
      <w:r w:rsidRPr="00941395">
        <w:rPr>
          <w:rStyle w:val="FootnoteReference"/>
          <w:lang w:val="en-IE"/>
        </w:rPr>
        <w:footnoteRef/>
      </w:r>
      <w:r w:rsidRPr="00941395">
        <w:rPr>
          <w:lang w:val="en-IE"/>
        </w:rPr>
        <w:t xml:space="preserve"> OECD, 2022.  Global Plastics Outlook.  </w:t>
      </w:r>
      <w:hyperlink r:id="rId7" w:history="1">
        <w:r w:rsidRPr="00941395">
          <w:rPr>
            <w:rStyle w:val="Hyperlink"/>
            <w:lang w:val="en-IE"/>
          </w:rPr>
          <w:t>https://www.oecd-ilibrary.org/environment/global-plastics-outlook_de747aef-en</w:t>
        </w:r>
      </w:hyperlink>
      <w:r w:rsidRPr="00941395">
        <w:rPr>
          <w:lang w:val="en-IE"/>
        </w:rPr>
        <w:t xml:space="preserve"> </w:t>
      </w:r>
    </w:p>
  </w:footnote>
  <w:footnote w:id="60">
    <w:p w14:paraId="1CCED9D3" w14:textId="77777777" w:rsidR="00603581" w:rsidRPr="00641A5B" w:rsidRDefault="00603581" w:rsidP="003E2032">
      <w:pPr>
        <w:pStyle w:val="FootnoteText"/>
        <w:rPr>
          <w:lang w:val="fr-BE"/>
        </w:rPr>
      </w:pPr>
      <w:r w:rsidRPr="00941395">
        <w:rPr>
          <w:rStyle w:val="FootnoteReference"/>
          <w:lang w:val="en-IE"/>
        </w:rPr>
        <w:footnoteRef/>
      </w:r>
      <w:r w:rsidRPr="00641A5B">
        <w:rPr>
          <w:lang w:val="fr-BE"/>
        </w:rPr>
        <w:t xml:space="preserve"> SWD(2022) 82 final </w:t>
      </w:r>
    </w:p>
  </w:footnote>
  <w:footnote w:id="61">
    <w:p w14:paraId="468734D7" w14:textId="77777777" w:rsidR="00603581" w:rsidRPr="00941395" w:rsidRDefault="00603581" w:rsidP="003E2032">
      <w:pPr>
        <w:pStyle w:val="FootnoteText"/>
        <w:rPr>
          <w:lang w:val="en-IE"/>
        </w:rPr>
      </w:pPr>
      <w:r w:rsidRPr="00941395">
        <w:rPr>
          <w:rStyle w:val="FootnoteReference"/>
          <w:lang w:val="en-IE"/>
        </w:rPr>
        <w:footnoteRef/>
      </w:r>
      <w:r w:rsidRPr="00641A5B">
        <w:rPr>
          <w:lang w:val="fr-BE"/>
        </w:rPr>
        <w:t xml:space="preserve"> Cité des Sciences et de l’Industrie &amp; ADEME, Jean, Exhibition from 8 December 2020-22 January 2022. </w:t>
      </w:r>
      <w:r w:rsidRPr="00941395">
        <w:rPr>
          <w:lang w:val="en-IE"/>
        </w:rPr>
        <w:t xml:space="preserve">Visited on 22 June 2021 </w:t>
      </w:r>
    </w:p>
  </w:footnote>
  <w:footnote w:id="62">
    <w:p w14:paraId="4C02F6FE" w14:textId="77777777" w:rsidR="00603581" w:rsidRPr="00941395" w:rsidRDefault="00603581" w:rsidP="003E2032">
      <w:pPr>
        <w:pStyle w:val="FootnoteText"/>
        <w:rPr>
          <w:lang w:val="en-IE"/>
        </w:rPr>
      </w:pPr>
      <w:r w:rsidRPr="00941395">
        <w:rPr>
          <w:rStyle w:val="FootnoteReference"/>
          <w:lang w:val="en-IE"/>
        </w:rPr>
        <w:footnoteRef/>
      </w:r>
      <w:r w:rsidRPr="00941395">
        <w:rPr>
          <w:lang w:val="en-IE"/>
        </w:rPr>
        <w:t xml:space="preserve"> International Labour Organisation, 2016. Child labour in cotton: a briefing </w:t>
      </w:r>
    </w:p>
  </w:footnote>
  <w:footnote w:id="63">
    <w:p w14:paraId="6C14DF09" w14:textId="1FF6E2F6" w:rsidR="00603581" w:rsidRPr="00941395" w:rsidRDefault="00603581" w:rsidP="003934A6">
      <w:pPr>
        <w:jc w:val="left"/>
        <w:rPr>
          <w:lang w:val="en-IE"/>
        </w:rPr>
      </w:pPr>
      <w:r w:rsidRPr="00941395">
        <w:rPr>
          <w:sz w:val="20"/>
          <w:vertAlign w:val="superscript"/>
          <w:lang w:val="en-IE"/>
        </w:rPr>
        <w:footnoteRef/>
      </w:r>
      <w:r w:rsidRPr="00941395">
        <w:rPr>
          <w:sz w:val="20"/>
          <w:vertAlign w:val="superscript"/>
          <w:lang w:val="en-IE"/>
        </w:rPr>
        <w:t xml:space="preserve"> </w:t>
      </w:r>
      <w:r w:rsidRPr="00941395">
        <w:rPr>
          <w:sz w:val="20"/>
          <w:lang w:val="en-IE"/>
        </w:rPr>
        <w:t>Policy Hub, Circularity for Apparel and Footwear</w:t>
      </w:r>
    </w:p>
  </w:footnote>
  <w:footnote w:id="64">
    <w:p w14:paraId="0E68687E" w14:textId="77777777" w:rsidR="00603581" w:rsidRPr="00941395" w:rsidRDefault="00603581" w:rsidP="6208E090">
      <w:pPr>
        <w:pStyle w:val="FootnoteText"/>
        <w:jc w:val="left"/>
        <w:rPr>
          <w:lang w:val="en-IE"/>
        </w:rPr>
      </w:pPr>
      <w:r w:rsidRPr="00941395">
        <w:rPr>
          <w:rStyle w:val="FootnoteReference"/>
          <w:lang w:val="en-IE"/>
        </w:rPr>
        <w:footnoteRef/>
      </w:r>
      <w:r w:rsidRPr="00941395">
        <w:rPr>
          <w:lang w:val="en-IE"/>
        </w:rPr>
        <w:t xml:space="preserve"> JRC 2009. End-of-waste criteria.</w:t>
      </w:r>
    </w:p>
  </w:footnote>
  <w:footnote w:id="65">
    <w:p w14:paraId="411B8AF2" w14:textId="77777777" w:rsidR="00603581" w:rsidRPr="00941395" w:rsidRDefault="00603581" w:rsidP="6208E090">
      <w:pPr>
        <w:pStyle w:val="FootnoteText"/>
        <w:rPr>
          <w:lang w:val="en-IE"/>
        </w:rPr>
      </w:pPr>
      <w:r w:rsidRPr="00941395">
        <w:rPr>
          <w:rStyle w:val="FootnoteReference"/>
          <w:lang w:val="en-IE"/>
        </w:rPr>
        <w:footnoteRef/>
      </w:r>
      <w:r w:rsidRPr="00941395">
        <w:rPr>
          <w:lang w:val="en-IE"/>
        </w:rPr>
        <w:t xml:space="preserve"> UBA and Arcadis, 2020.  Study to assess Member States practices on by-product and end-of-waste</w:t>
      </w:r>
    </w:p>
  </w:footnote>
  <w:footnote w:id="66">
    <w:p w14:paraId="2193BE5D" w14:textId="77777777" w:rsidR="00603581" w:rsidRPr="00941395" w:rsidRDefault="00603581" w:rsidP="6208E090">
      <w:pPr>
        <w:pStyle w:val="FootnoteText"/>
        <w:rPr>
          <w:lang w:val="en-IE"/>
        </w:rPr>
      </w:pPr>
      <w:r w:rsidRPr="00941395">
        <w:rPr>
          <w:rStyle w:val="FootnoteReference"/>
          <w:lang w:val="en-IE"/>
        </w:rPr>
        <w:footnoteRef/>
      </w:r>
      <w:r w:rsidRPr="00941395">
        <w:rPr>
          <w:lang w:val="en-IE"/>
        </w:rPr>
        <w:t xml:space="preserve"> </w:t>
      </w:r>
      <w:r w:rsidRPr="00941395">
        <w:rPr>
          <w:color w:val="000000" w:themeColor="text1"/>
          <w:lang w:val="en-IE"/>
        </w:rPr>
        <w:t>Interview with Ellen MacArthur Foundation</w:t>
      </w:r>
    </w:p>
  </w:footnote>
  <w:footnote w:id="67">
    <w:p w14:paraId="3A88D5F4" w14:textId="77777777" w:rsidR="00603581" w:rsidRPr="00941395" w:rsidRDefault="00603581" w:rsidP="6208E090">
      <w:pPr>
        <w:pStyle w:val="FootnoteText"/>
        <w:rPr>
          <w:lang w:val="en-IE"/>
        </w:rPr>
      </w:pPr>
      <w:r w:rsidRPr="00941395">
        <w:rPr>
          <w:rStyle w:val="FootnoteReference"/>
          <w:lang w:val="en-IE"/>
        </w:rPr>
        <w:footnoteRef/>
      </w:r>
      <w:r w:rsidRPr="00941395">
        <w:rPr>
          <w:lang w:val="en-IE"/>
        </w:rPr>
        <w:t xml:space="preserve"> Interview with Policy Hub </w:t>
      </w:r>
    </w:p>
  </w:footnote>
  <w:footnote w:id="68">
    <w:p w14:paraId="744CFEDC" w14:textId="77777777" w:rsidR="00603581" w:rsidRPr="00941395" w:rsidRDefault="00603581" w:rsidP="6208E090">
      <w:pPr>
        <w:pStyle w:val="FootnoteText"/>
        <w:rPr>
          <w:lang w:val="en-IE"/>
        </w:rPr>
      </w:pPr>
      <w:r w:rsidRPr="00941395">
        <w:rPr>
          <w:rStyle w:val="FootnoteReference"/>
          <w:lang w:val="en-IE"/>
        </w:rPr>
        <w:footnoteRef/>
      </w:r>
      <w:r w:rsidRPr="00941395">
        <w:rPr>
          <w:lang w:val="en-IE"/>
        </w:rPr>
        <w:t xml:space="preserve"> Interview with Euric</w:t>
      </w:r>
    </w:p>
  </w:footnote>
  <w:footnote w:id="69">
    <w:p w14:paraId="715D4B26" w14:textId="77777777" w:rsidR="00603581" w:rsidRPr="00941395" w:rsidRDefault="00603581" w:rsidP="6208E090">
      <w:pPr>
        <w:pStyle w:val="FootnoteText"/>
        <w:rPr>
          <w:lang w:val="en-IE"/>
        </w:rPr>
      </w:pPr>
      <w:r w:rsidRPr="00941395">
        <w:rPr>
          <w:rStyle w:val="FootnoteReference"/>
          <w:lang w:val="en-IE"/>
        </w:rPr>
        <w:footnoteRef/>
      </w:r>
      <w:r w:rsidRPr="00941395">
        <w:rPr>
          <w:lang w:val="en-IE"/>
        </w:rPr>
        <w:t xml:space="preserve"> Interview with Eurocommerce</w:t>
      </w:r>
    </w:p>
  </w:footnote>
  <w:footnote w:id="70">
    <w:p w14:paraId="0EEBB89C" w14:textId="4D40868A" w:rsidR="00603581" w:rsidRPr="00941395" w:rsidRDefault="00603581" w:rsidP="6208E090">
      <w:pPr>
        <w:pStyle w:val="FootnoteText"/>
        <w:jc w:val="left"/>
        <w:rPr>
          <w:lang w:val="en-IE"/>
        </w:rPr>
      </w:pPr>
      <w:r w:rsidRPr="00941395">
        <w:rPr>
          <w:rStyle w:val="FootnoteReference"/>
          <w:lang w:val="en-IE"/>
        </w:rPr>
        <w:footnoteRef/>
      </w:r>
      <w:r w:rsidRPr="00941395">
        <w:rPr>
          <w:lang w:val="en-IE"/>
        </w:rPr>
        <w:t xml:space="preserve"> Interview with ARTSHC</w:t>
      </w:r>
    </w:p>
  </w:footnote>
  <w:footnote w:id="71">
    <w:p w14:paraId="467DFA43" w14:textId="2AB905DA" w:rsidR="00603581" w:rsidRPr="00941395" w:rsidRDefault="00603581" w:rsidP="6208E090">
      <w:pPr>
        <w:pStyle w:val="FootnoteText"/>
        <w:jc w:val="left"/>
        <w:rPr>
          <w:lang w:val="en-IE"/>
        </w:rPr>
      </w:pPr>
      <w:r w:rsidRPr="00941395">
        <w:rPr>
          <w:rStyle w:val="FootnoteReference"/>
          <w:lang w:val="en-IE"/>
        </w:rPr>
        <w:footnoteRef/>
      </w:r>
      <w:r w:rsidRPr="00941395">
        <w:rPr>
          <w:lang w:val="en-IE"/>
        </w:rPr>
        <w:t xml:space="preserve"> Interview with RREUSE</w:t>
      </w:r>
    </w:p>
  </w:footnote>
  <w:footnote w:id="72">
    <w:p w14:paraId="46E55171" w14:textId="3AF2C0B8" w:rsidR="00603581" w:rsidRPr="00585AD0" w:rsidRDefault="00603581">
      <w:pPr>
        <w:pStyle w:val="FootnoteText"/>
        <w:rPr>
          <w:lang w:val="en-IE"/>
        </w:rPr>
      </w:pPr>
      <w:r w:rsidRPr="00941395">
        <w:rPr>
          <w:rStyle w:val="FootnoteReference"/>
          <w:lang w:val="en-IE"/>
        </w:rPr>
        <w:footnoteRef/>
      </w:r>
      <w:r w:rsidRPr="00941395">
        <w:rPr>
          <w:lang w:val="en-IE"/>
        </w:rPr>
        <w:t xml:space="preserve"> </w:t>
      </w:r>
      <w:r w:rsidRPr="00585AD0">
        <w:rPr>
          <w:lang w:val="en-IE"/>
        </w:rPr>
        <w:t>Stakeholder workshop</w:t>
      </w:r>
    </w:p>
  </w:footnote>
  <w:footnote w:id="73">
    <w:p w14:paraId="12D7E68E" w14:textId="77777777" w:rsidR="00603581" w:rsidRPr="00585AD0" w:rsidRDefault="00603581" w:rsidP="0084530F">
      <w:pPr>
        <w:pStyle w:val="FootnoteText"/>
        <w:rPr>
          <w:lang w:val="en-IE"/>
        </w:rPr>
      </w:pPr>
      <w:r w:rsidRPr="00941395">
        <w:rPr>
          <w:rStyle w:val="FootnoteReference"/>
          <w:lang w:val="en-IE"/>
        </w:rPr>
        <w:footnoteRef/>
      </w:r>
      <w:r w:rsidRPr="00941395">
        <w:rPr>
          <w:lang w:val="en-IE"/>
        </w:rPr>
        <w:t xml:space="preserve"> </w:t>
      </w:r>
      <w:r w:rsidRPr="00585AD0">
        <w:rPr>
          <w:lang w:val="en-IE"/>
        </w:rPr>
        <w:t>Stakeholder workshop</w:t>
      </w:r>
    </w:p>
  </w:footnote>
  <w:footnote w:id="74">
    <w:p w14:paraId="38310832" w14:textId="683802A9" w:rsidR="00603581" w:rsidRPr="00941395" w:rsidRDefault="00603581" w:rsidP="005E47C7">
      <w:pPr>
        <w:pStyle w:val="FootnoteText"/>
        <w:rPr>
          <w:lang w:val="en-IE"/>
        </w:rPr>
      </w:pPr>
      <w:r w:rsidRPr="00941395">
        <w:rPr>
          <w:rStyle w:val="FootnoteReference"/>
          <w:lang w:val="en-IE"/>
        </w:rPr>
        <w:footnoteRef/>
      </w:r>
      <w:r w:rsidRPr="00941395">
        <w:rPr>
          <w:lang w:val="en-IE"/>
        </w:rPr>
        <w:t xml:space="preserve"> Based on an estimated 8 hours of effort per year per organisation</w:t>
      </w:r>
    </w:p>
  </w:footnote>
  <w:footnote w:id="75">
    <w:p w14:paraId="2C344EE2" w14:textId="61B861D5" w:rsidR="00603581" w:rsidRPr="00941395" w:rsidRDefault="00603581">
      <w:pPr>
        <w:pStyle w:val="FootnoteText"/>
        <w:rPr>
          <w:lang w:val="en-IE"/>
        </w:rPr>
      </w:pPr>
      <w:r w:rsidRPr="00941395">
        <w:rPr>
          <w:rStyle w:val="FootnoteReference"/>
          <w:lang w:val="en-IE"/>
        </w:rPr>
        <w:footnoteRef/>
      </w:r>
      <w:r w:rsidRPr="00941395">
        <w:rPr>
          <w:lang w:val="en-IE"/>
        </w:rPr>
        <w:t xml:space="preserve"> DS-045409</w:t>
      </w:r>
    </w:p>
  </w:footnote>
  <w:footnote w:id="76">
    <w:p w14:paraId="2D883335" w14:textId="522E368D" w:rsidR="00603581" w:rsidRPr="00941395" w:rsidRDefault="00603581">
      <w:pPr>
        <w:pStyle w:val="FootnoteText"/>
        <w:rPr>
          <w:lang w:val="en-IE"/>
        </w:rPr>
      </w:pPr>
      <w:r w:rsidRPr="00941395">
        <w:rPr>
          <w:rStyle w:val="FootnoteReference"/>
          <w:lang w:val="en-IE"/>
        </w:rPr>
        <w:footnoteRef/>
      </w:r>
      <w:r w:rsidRPr="00941395">
        <w:rPr>
          <w:lang w:val="en-IE"/>
        </w:rPr>
        <w:t xml:space="preserve"> SWD(2020) 26 final</w:t>
      </w:r>
    </w:p>
  </w:footnote>
  <w:footnote w:id="77">
    <w:p w14:paraId="79021714" w14:textId="59F6C32F" w:rsidR="00603581" w:rsidRPr="00941395" w:rsidRDefault="00603581">
      <w:pPr>
        <w:pStyle w:val="FootnoteText"/>
        <w:rPr>
          <w:lang w:val="en-IE"/>
        </w:rPr>
      </w:pPr>
      <w:r w:rsidRPr="00941395">
        <w:rPr>
          <w:rStyle w:val="FootnoteReference"/>
          <w:lang w:val="en-IE"/>
        </w:rPr>
        <w:footnoteRef/>
      </w:r>
      <w:r w:rsidRPr="00941395">
        <w:rPr>
          <w:lang w:val="en-IE"/>
        </w:rPr>
        <w:t xml:space="preserve"> World Bank (2020) What a Waste Global Database - Country level dataset – note that gaps in the data exist with no data reported for Ghana and in some cases only some percentages reported by treatment type</w:t>
      </w:r>
    </w:p>
  </w:footnote>
  <w:footnote w:id="78">
    <w:p w14:paraId="5226559D" w14:textId="5D874F2D" w:rsidR="00603581" w:rsidRPr="00941395" w:rsidRDefault="00603581">
      <w:pPr>
        <w:pStyle w:val="FootnoteText"/>
        <w:rPr>
          <w:lang w:val="en-IE"/>
        </w:rPr>
      </w:pPr>
      <w:r w:rsidRPr="00941395">
        <w:rPr>
          <w:rStyle w:val="FootnoteReference"/>
          <w:lang w:val="en-IE"/>
        </w:rPr>
        <w:footnoteRef/>
      </w:r>
      <w:r w:rsidRPr="00941395">
        <w:rPr>
          <w:lang w:val="en-IE"/>
        </w:rPr>
        <w:t xml:space="preserve"> World Bank (2020) What a Waste Global Database - Country level dataset – note that gaps in the data exist with no data reported for Ghana and in some cases only some percentages reported by treatment type </w:t>
      </w:r>
    </w:p>
  </w:footnote>
  <w:footnote w:id="79">
    <w:p w14:paraId="4D65A208" w14:textId="690AD758" w:rsidR="00603581" w:rsidRPr="00796F55" w:rsidRDefault="00603581">
      <w:pPr>
        <w:pStyle w:val="FootnoteText"/>
        <w:rPr>
          <w:lang w:val="fr-BE"/>
        </w:rPr>
      </w:pPr>
      <w:r w:rsidRPr="00941395">
        <w:rPr>
          <w:rStyle w:val="FootnoteReference"/>
          <w:lang w:val="en-IE"/>
        </w:rPr>
        <w:footnoteRef/>
      </w:r>
      <w:r w:rsidRPr="00796F55">
        <w:rPr>
          <w:lang w:val="fr-BE"/>
        </w:rPr>
        <w:t xml:space="preserve"> Clavreul et al. (2014) </w:t>
      </w:r>
      <w:hyperlink r:id="rId8" w:history="1">
        <w:r w:rsidRPr="00796F55">
          <w:rPr>
            <w:rStyle w:val="Hyperlink"/>
            <w:lang w:val="fr-BE"/>
          </w:rPr>
          <w:t>https://www.sciencedirect.com/science/article/pii/S1364815214001728</w:t>
        </w:r>
      </w:hyperlink>
      <w:r w:rsidRPr="00796F55">
        <w:rPr>
          <w:lang w:val="fr-BE"/>
        </w:rPr>
        <w:t xml:space="preserve">  </w:t>
      </w:r>
    </w:p>
  </w:footnote>
  <w:footnote w:id="80">
    <w:p w14:paraId="6671AC3F" w14:textId="19566F3D" w:rsidR="00603581" w:rsidRPr="00641A5B" w:rsidRDefault="00603581">
      <w:pPr>
        <w:pStyle w:val="FootnoteText"/>
        <w:rPr>
          <w:lang w:val="da-DK"/>
        </w:rPr>
      </w:pPr>
      <w:r w:rsidRPr="00941395">
        <w:rPr>
          <w:rStyle w:val="FootnoteReference"/>
          <w:lang w:val="en-IE"/>
        </w:rPr>
        <w:footnoteRef/>
      </w:r>
      <w:r w:rsidRPr="00641A5B">
        <w:rPr>
          <w:lang w:val="da-DK"/>
        </w:rPr>
        <w:t xml:space="preserve"> Riber et al. (2009) </w:t>
      </w:r>
      <w:hyperlink r:id="rId9" w:history="1">
        <w:r w:rsidRPr="00641A5B">
          <w:rPr>
            <w:rStyle w:val="Hyperlink"/>
            <w:lang w:val="da-DK"/>
          </w:rPr>
          <w:t>https://www.sciencedirect.com/science/article/abs/pii/S0956053X08003322</w:t>
        </w:r>
      </w:hyperlink>
    </w:p>
  </w:footnote>
  <w:footnote w:id="81">
    <w:p w14:paraId="2E6FBA11" w14:textId="19E5AC1B" w:rsidR="00603581" w:rsidRPr="00941395" w:rsidRDefault="00603581">
      <w:pPr>
        <w:pStyle w:val="FootnoteText"/>
        <w:rPr>
          <w:lang w:val="en-IE"/>
        </w:rPr>
      </w:pPr>
      <w:r w:rsidRPr="00941395">
        <w:rPr>
          <w:rStyle w:val="FootnoteReference"/>
          <w:lang w:val="en-IE"/>
        </w:rPr>
        <w:footnoteRef/>
      </w:r>
      <w:r w:rsidRPr="00941395">
        <w:rPr>
          <w:lang w:val="en-IE"/>
        </w:rPr>
        <w:t xml:space="preserve"> These are the same values used in SWD(2020) 26 final in relation to disposal of textiles in third countries in comparison to the EU.</w:t>
      </w:r>
    </w:p>
  </w:footnote>
  <w:footnote w:id="82">
    <w:p w14:paraId="69303311" w14:textId="331689F1" w:rsidR="00603581" w:rsidRPr="00941395" w:rsidRDefault="00603581" w:rsidP="00E00433">
      <w:pPr>
        <w:pStyle w:val="FootnoteText"/>
        <w:jc w:val="left"/>
        <w:rPr>
          <w:lang w:val="en-IE"/>
        </w:rPr>
      </w:pPr>
      <w:r w:rsidRPr="00941395">
        <w:rPr>
          <w:rStyle w:val="FootnoteReference"/>
          <w:lang w:val="en-IE"/>
        </w:rPr>
        <w:footnoteRef/>
      </w:r>
      <w:r w:rsidRPr="00941395">
        <w:rPr>
          <w:lang w:val="en-IE"/>
        </w:rPr>
        <w:t xml:space="preserve"> See footnote </w:t>
      </w:r>
      <w:r>
        <w:rPr>
          <w:lang w:val="en-IE"/>
        </w:rPr>
        <w:fldChar w:fldCharType="begin"/>
      </w:r>
      <w:r>
        <w:rPr>
          <w:lang w:val="en-IE"/>
        </w:rPr>
        <w:instrText xml:space="preserve"> NOTEREF _Ref133616997 \h </w:instrText>
      </w:r>
      <w:r>
        <w:rPr>
          <w:lang w:val="en-IE"/>
        </w:rPr>
      </w:r>
      <w:r>
        <w:rPr>
          <w:lang w:val="en-IE"/>
        </w:rPr>
        <w:fldChar w:fldCharType="separate"/>
      </w:r>
      <w:r w:rsidR="00393DFA">
        <w:rPr>
          <w:b/>
          <w:bCs/>
          <w:lang w:val="en-US"/>
        </w:rPr>
        <w:t>Error! Bookmark not defined.</w:t>
      </w:r>
      <w:r>
        <w:rPr>
          <w:lang w:val="en-IE"/>
        </w:rPr>
        <w:fldChar w:fldCharType="end"/>
      </w:r>
    </w:p>
  </w:footnote>
  <w:footnote w:id="83">
    <w:p w14:paraId="41826091" w14:textId="2C9641C1"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See footnote </w:t>
      </w:r>
      <w:r>
        <w:rPr>
          <w:lang w:val="en-IE"/>
        </w:rPr>
        <w:fldChar w:fldCharType="begin"/>
      </w:r>
      <w:r>
        <w:rPr>
          <w:lang w:val="en-IE"/>
        </w:rPr>
        <w:instrText xml:space="preserve"> NOTEREF _Ref133616997 \h </w:instrText>
      </w:r>
      <w:r>
        <w:rPr>
          <w:lang w:val="en-IE"/>
        </w:rPr>
      </w:r>
      <w:r>
        <w:rPr>
          <w:lang w:val="en-IE"/>
        </w:rPr>
        <w:fldChar w:fldCharType="separate"/>
      </w:r>
      <w:r w:rsidR="00393DFA">
        <w:rPr>
          <w:b/>
          <w:bCs/>
          <w:lang w:val="en-US"/>
        </w:rPr>
        <w:t>Error! Bookmark not defined.</w:t>
      </w:r>
      <w:r>
        <w:rPr>
          <w:lang w:val="en-IE"/>
        </w:rPr>
        <w:fldChar w:fldCharType="end"/>
      </w:r>
    </w:p>
  </w:footnote>
  <w:footnote w:id="84">
    <w:p w14:paraId="386B1D66" w14:textId="47BFF33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See footnote 46, p. 47.</w:t>
      </w:r>
    </w:p>
  </w:footnote>
  <w:footnote w:id="85">
    <w:p w14:paraId="43E967E7" w14:textId="7777777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Wohlgemuth V (on behalf of Greenpeace), 2022. How Fast Fashion is using the Global South as a dumping ground for textile waste </w:t>
      </w:r>
      <w:hyperlink r:id="rId10" w:history="1">
        <w:r w:rsidRPr="00941395">
          <w:rPr>
            <w:rStyle w:val="Hyperlink"/>
            <w:lang w:val="en-IE"/>
          </w:rPr>
          <w:t>https://www.greenpeace.org/international/story/53333/how-fast-fashion-is-using-global-south-as-dumping-ground-for-textile-waste/</w:t>
        </w:r>
      </w:hyperlink>
      <w:r w:rsidRPr="00941395">
        <w:rPr>
          <w:lang w:val="en-IE"/>
        </w:rPr>
        <w:t xml:space="preserve"> </w:t>
      </w:r>
    </w:p>
  </w:footnote>
  <w:footnote w:id="86">
    <w:p w14:paraId="6C43F197" w14:textId="7777777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Plastic Soup Foundation, 2022.  Come on EU!  The massive dumping of discarded clothing in Ghana and Chile must stop </w:t>
      </w:r>
      <w:hyperlink r:id="rId11" w:history="1">
        <w:r w:rsidRPr="00941395">
          <w:rPr>
            <w:rStyle w:val="Hyperlink"/>
            <w:lang w:val="en-IE"/>
          </w:rPr>
          <w:t>https://www.plasticsoupfoundation.org/en/2022/03/the-massive-dumping-of-discarded-clothing-in-ghana-and-chile-must-stop/</w:t>
        </w:r>
      </w:hyperlink>
      <w:r w:rsidRPr="00941395">
        <w:rPr>
          <w:lang w:val="en-IE"/>
        </w:rPr>
        <w:t xml:space="preserve"> </w:t>
      </w:r>
    </w:p>
  </w:footnote>
  <w:footnote w:id="87">
    <w:p w14:paraId="0598248C" w14:textId="7777777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Fellipe Lopes, 2020.  Textile Mountain: The Hidden Burden of our Fashion Waste </w:t>
      </w:r>
      <w:hyperlink r:id="rId12" w:history="1">
        <w:r w:rsidRPr="00941395">
          <w:rPr>
            <w:rStyle w:val="Hyperlink"/>
            <w:lang w:val="en-IE"/>
          </w:rPr>
          <w:t>https://www.textilemountainfilm.com/</w:t>
        </w:r>
      </w:hyperlink>
      <w:r w:rsidRPr="00941395">
        <w:rPr>
          <w:lang w:val="en-IE"/>
        </w:rPr>
        <w:t xml:space="preserve"> </w:t>
      </w:r>
    </w:p>
  </w:footnote>
  <w:footnote w:id="88">
    <w:p w14:paraId="38BEB78C" w14:textId="7777777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UNEP, 2018.  Putting the brakes on fast fashion. https://www.unep.org/news-and-stories/story/putting-brakes-fast-fashion </w:t>
      </w:r>
    </w:p>
  </w:footnote>
  <w:footnote w:id="89">
    <w:p w14:paraId="0794418A" w14:textId="77777777" w:rsidR="00603581" w:rsidRPr="00941395" w:rsidRDefault="00603581" w:rsidP="006554B6">
      <w:pPr>
        <w:pStyle w:val="FootnoteText"/>
        <w:jc w:val="left"/>
        <w:rPr>
          <w:lang w:val="en-IE"/>
        </w:rPr>
      </w:pPr>
      <w:r w:rsidRPr="00941395">
        <w:rPr>
          <w:rStyle w:val="FootnoteReference"/>
          <w:lang w:val="en-IE"/>
        </w:rPr>
        <w:footnoteRef/>
      </w:r>
      <w:r w:rsidRPr="00941395">
        <w:rPr>
          <w:lang w:val="en-IE"/>
        </w:rPr>
        <w:t xml:space="preserve"> OECD, 2022.  Global Plastics Outlook.  </w:t>
      </w:r>
      <w:hyperlink r:id="rId13" w:history="1">
        <w:r w:rsidRPr="00941395">
          <w:rPr>
            <w:rStyle w:val="Hyperlink"/>
            <w:lang w:val="en-IE"/>
          </w:rPr>
          <w:t>https://www.oecd-ilibrary.org/environment/global-plastics-outlook_de747aef-en</w:t>
        </w:r>
      </w:hyperlink>
      <w:r w:rsidRPr="00941395">
        <w:rPr>
          <w:lang w:val="en-IE"/>
        </w:rPr>
        <w:t xml:space="preserve"> </w:t>
      </w:r>
    </w:p>
  </w:footnote>
  <w:footnote w:id="90">
    <w:p w14:paraId="0129497B" w14:textId="1089C4C7" w:rsidR="00603581" w:rsidRPr="00941395" w:rsidRDefault="00603581" w:rsidP="5D637057">
      <w:pPr>
        <w:rPr>
          <w:sz w:val="20"/>
          <w:szCs w:val="20"/>
          <w:lang w:val="en-IE"/>
        </w:rPr>
      </w:pPr>
      <w:r w:rsidRPr="00941395">
        <w:rPr>
          <w:sz w:val="20"/>
          <w:szCs w:val="20"/>
          <w:vertAlign w:val="superscript"/>
          <w:lang w:val="en-IE"/>
        </w:rPr>
        <w:footnoteRef/>
      </w:r>
      <w:r w:rsidRPr="00941395">
        <w:rPr>
          <w:sz w:val="20"/>
          <w:szCs w:val="20"/>
          <w:lang w:val="en-IE"/>
        </w:rPr>
        <w:t xml:space="preserve"> </w:t>
      </w:r>
      <w:r w:rsidRPr="00941395">
        <w:rPr>
          <w:rFonts w:eastAsia="Segoe UI"/>
          <w:color w:val="008080"/>
          <w:sz w:val="20"/>
          <w:szCs w:val="20"/>
          <w:u w:val="single"/>
          <w:lang w:val="en-IE"/>
        </w:rPr>
        <w:t>See for example European Environmental Bureau, 2022. Wellbeing wardrobe: A wellbeing economy for the fashion and textile sector – submitted as evidence by the EEB.</w:t>
      </w:r>
    </w:p>
  </w:footnote>
  <w:footnote w:id="91">
    <w:p w14:paraId="54CAD19E" w14:textId="77777777" w:rsidR="00603581" w:rsidRPr="00941395" w:rsidRDefault="00603581" w:rsidP="001F0ABA">
      <w:pPr>
        <w:pStyle w:val="FootnoteText"/>
        <w:rPr>
          <w:lang w:val="en-IE"/>
        </w:rPr>
      </w:pPr>
      <w:r w:rsidRPr="00941395">
        <w:rPr>
          <w:rStyle w:val="FootnoteReference"/>
          <w:lang w:val="en-IE"/>
        </w:rPr>
        <w:footnoteRef/>
      </w:r>
      <w:r w:rsidRPr="00941395">
        <w:rPr>
          <w:lang w:val="en-IE"/>
        </w:rPr>
        <w:t xml:space="preserve"> Euratex, 2022.  Facts &amp; key figures 2022 – places industry turnover at €147 billion in 2021 with clothing accounting for turnover of €65 billion of this total.</w:t>
      </w:r>
    </w:p>
  </w:footnote>
  <w:footnote w:id="92">
    <w:p w14:paraId="18AC55EC" w14:textId="77777777" w:rsidR="00603581" w:rsidRPr="00941395" w:rsidRDefault="00603581" w:rsidP="00EA2C3E">
      <w:pPr>
        <w:pStyle w:val="FootnoteText"/>
        <w:jc w:val="left"/>
        <w:rPr>
          <w:lang w:val="en-IE"/>
        </w:rPr>
      </w:pPr>
      <w:r w:rsidRPr="00941395">
        <w:rPr>
          <w:rStyle w:val="FootnoteReference"/>
          <w:lang w:val="en-IE"/>
        </w:rPr>
        <w:footnoteRef/>
      </w:r>
      <w:r w:rsidRPr="00941395">
        <w:rPr>
          <w:lang w:val="en-IE"/>
        </w:rPr>
        <w:t xml:space="preserve"> Watson, D., Kant Hvass, K., Moora, H., Martin, K.; Nausėdė, V., Gurauskiene, I., &amp; Akule, D., </w:t>
      </w:r>
      <w:r w:rsidRPr="00941395">
        <w:rPr>
          <w:i/>
          <w:lang w:val="en-IE"/>
        </w:rPr>
        <w:t>Textile circularity in the Baltic countries: current status and recommendations for the future,</w:t>
      </w:r>
      <w:r w:rsidRPr="00941395">
        <w:rPr>
          <w:lang w:val="en-IE"/>
        </w:rPr>
        <w:t xml:space="preserve"> Nordic Council of Ministers TemaNord Report, 2020b.</w:t>
      </w:r>
    </w:p>
  </w:footnote>
  <w:footnote w:id="93">
    <w:p w14:paraId="266900C0" w14:textId="77777777" w:rsidR="00603581" w:rsidRPr="00941395" w:rsidRDefault="00603581" w:rsidP="00EA2C3E">
      <w:pPr>
        <w:pStyle w:val="FootnoteText"/>
        <w:jc w:val="left"/>
        <w:rPr>
          <w:lang w:val="en-IE"/>
        </w:rPr>
      </w:pPr>
      <w:r w:rsidRPr="00941395">
        <w:rPr>
          <w:rStyle w:val="FootnoteReference"/>
          <w:lang w:val="en-IE"/>
        </w:rPr>
        <w:footnoteRef/>
      </w:r>
      <w:r w:rsidRPr="00941395">
        <w:rPr>
          <w:lang w:val="en-IE"/>
        </w:rPr>
        <w:t xml:space="preserve"> Watson, D., Trzepacz, S., Kiørboe, N., Elander, M., Ljungkvist Nordin, H., Lander Svendsen, N., &amp; Wittus Skottfelt, S, </w:t>
      </w:r>
      <w:r w:rsidRPr="00941395">
        <w:rPr>
          <w:i/>
          <w:lang w:val="en-IE"/>
        </w:rPr>
        <w:t>Towards 2025: Separate Collection and Treatment of Used Textiles in 6 EU countries</w:t>
      </w:r>
      <w:r w:rsidRPr="00941395">
        <w:rPr>
          <w:lang w:val="en-IE"/>
        </w:rPr>
        <w:t>, 2020a.</w:t>
      </w:r>
    </w:p>
  </w:footnote>
  <w:footnote w:id="94">
    <w:p w14:paraId="254E7A34" w14:textId="77777777" w:rsidR="00603581" w:rsidRPr="00941395" w:rsidRDefault="00603581" w:rsidP="00EA2C3E">
      <w:pPr>
        <w:pStyle w:val="FootnoteText"/>
        <w:jc w:val="left"/>
        <w:rPr>
          <w:lang w:val="en-IE"/>
        </w:rPr>
      </w:pPr>
      <w:r w:rsidRPr="00941395">
        <w:rPr>
          <w:rStyle w:val="FootnoteReference"/>
          <w:lang w:val="en-IE"/>
        </w:rPr>
        <w:footnoteRef/>
      </w:r>
      <w:r w:rsidRPr="00941395">
        <w:rPr>
          <w:lang w:val="en-IE"/>
        </w:rPr>
        <w:t xml:space="preserve"> Watson, D., Kant Hvass, K., Moora, H., Martin, K.; Nausėdė, V., Gurauskiene, I., &amp; Akule, D, 2020b.</w:t>
      </w:r>
    </w:p>
  </w:footnote>
  <w:footnote w:id="95">
    <w:p w14:paraId="4EB2D60F" w14:textId="77777777" w:rsidR="00603581" w:rsidRPr="00941395" w:rsidRDefault="00603581" w:rsidP="00EA2C3E">
      <w:pPr>
        <w:pStyle w:val="FootnoteText"/>
        <w:jc w:val="left"/>
        <w:rPr>
          <w:lang w:val="en-IE"/>
        </w:rPr>
      </w:pPr>
      <w:r w:rsidRPr="00941395">
        <w:rPr>
          <w:rStyle w:val="FootnoteReference"/>
          <w:lang w:val="en-IE"/>
        </w:rPr>
        <w:footnoteRef/>
      </w:r>
      <w:r w:rsidRPr="00941395">
        <w:rPr>
          <w:lang w:val="en-IE"/>
        </w:rPr>
        <w:t xml:space="preserve"> Watson, D., Aare, A. K., Trzepacz, S. and Dahl Petersen, C., </w:t>
      </w:r>
      <w:r w:rsidRPr="00941395">
        <w:rPr>
          <w:i/>
          <w:lang w:val="en-IE"/>
        </w:rPr>
        <w:t>Used Textile Collection in European Cities,</w:t>
      </w:r>
      <w:r w:rsidRPr="00941395">
        <w:rPr>
          <w:lang w:val="en-IE"/>
        </w:rPr>
        <w:t xml:space="preserve"> Study commissioned by Rijkswaterstaat under the European Clothing Action Plan (ECAP), 2018a.</w:t>
      </w:r>
    </w:p>
  </w:footnote>
  <w:footnote w:id="96">
    <w:p w14:paraId="3DCAEDFE" w14:textId="77777777" w:rsidR="00603581" w:rsidRPr="00941395" w:rsidRDefault="00603581" w:rsidP="00EA2C3E">
      <w:pPr>
        <w:pStyle w:val="FootnoteText"/>
        <w:rPr>
          <w:lang w:val="en-IE"/>
        </w:rPr>
      </w:pPr>
      <w:r w:rsidRPr="00941395">
        <w:rPr>
          <w:rStyle w:val="FootnoteReference"/>
          <w:lang w:val="en-IE"/>
        </w:rPr>
        <w:footnoteRef/>
      </w:r>
      <w:r w:rsidRPr="00941395">
        <w:rPr>
          <w:lang w:val="en-IE"/>
        </w:rPr>
        <w:t xml:space="preserve"> </w:t>
      </w:r>
      <w:hyperlink r:id="rId14" w:history="1">
        <w:r w:rsidRPr="00941395">
          <w:rPr>
            <w:rStyle w:val="Hyperlink"/>
            <w:lang w:val="en-IE"/>
          </w:rPr>
          <w:t>https://www.innovationintextiles.com/rehubs-seeks-67-billion-for-bold-plan/</w:t>
        </w:r>
      </w:hyperlink>
      <w:r w:rsidRPr="00941395">
        <w:rPr>
          <w:lang w:val="en-IE"/>
        </w:rPr>
        <w:t xml:space="preserve"> </w:t>
      </w:r>
    </w:p>
  </w:footnote>
  <w:footnote w:id="97">
    <w:p w14:paraId="39C2F51C" w14:textId="77777777" w:rsidR="00603581" w:rsidRPr="00941395" w:rsidRDefault="00603581" w:rsidP="004D27E4">
      <w:pPr>
        <w:pStyle w:val="FootnoteText"/>
        <w:rPr>
          <w:lang w:val="en-IE"/>
        </w:rPr>
      </w:pPr>
      <w:r w:rsidRPr="00941395">
        <w:rPr>
          <w:rStyle w:val="FootnoteReference"/>
          <w:lang w:val="en-IE"/>
        </w:rPr>
        <w:footnoteRef/>
      </w:r>
      <w:r w:rsidRPr="00941395">
        <w:rPr>
          <w:lang w:val="en-IE"/>
        </w:rPr>
        <w:t xml:space="preserve"> </w:t>
      </w:r>
      <w:hyperlink r:id="rId15" w:anchor="home" w:history="1">
        <w:r w:rsidRPr="00941395">
          <w:rPr>
            <w:rStyle w:val="Hyperlink"/>
            <w:lang w:val="en-IE"/>
          </w:rPr>
          <w:t>https://www.productip.com/#home</w:t>
        </w:r>
      </w:hyperlink>
      <w:r w:rsidRPr="00941395">
        <w:rPr>
          <w:lang w:val="en-IE"/>
        </w:rPr>
        <w:t xml:space="preserve"> </w:t>
      </w:r>
    </w:p>
  </w:footnote>
  <w:footnote w:id="98">
    <w:p w14:paraId="0741F856" w14:textId="77777777" w:rsidR="00603581" w:rsidRPr="00941395" w:rsidRDefault="00603581" w:rsidP="004D27E4">
      <w:pPr>
        <w:pStyle w:val="FootnoteText"/>
        <w:rPr>
          <w:lang w:val="en-IE"/>
        </w:rPr>
      </w:pPr>
      <w:r w:rsidRPr="00941395">
        <w:rPr>
          <w:rStyle w:val="FootnoteReference"/>
          <w:lang w:val="en-IE"/>
        </w:rPr>
        <w:footnoteRef/>
      </w:r>
      <w:r w:rsidRPr="00941395">
        <w:rPr>
          <w:lang w:val="en-IE"/>
        </w:rPr>
        <w:t xml:space="preserve"> </w:t>
      </w:r>
      <w:hyperlink r:id="rId16" w:history="1">
        <w:r w:rsidRPr="00941395">
          <w:rPr>
            <w:rStyle w:val="Hyperlink"/>
            <w:lang w:val="en-IE"/>
          </w:rPr>
          <w:t>https://cmsmedtech.com/how-to-choose-an-ec-rep/</w:t>
        </w:r>
      </w:hyperlink>
      <w:r w:rsidRPr="00941395">
        <w:rPr>
          <w:lang w:val="en-IE"/>
        </w:rPr>
        <w:t xml:space="preserve"> </w:t>
      </w:r>
    </w:p>
  </w:footnote>
  <w:footnote w:id="99">
    <w:p w14:paraId="12A04485" w14:textId="77777777" w:rsidR="00603581" w:rsidRPr="00941395" w:rsidRDefault="00603581" w:rsidP="00D51C18">
      <w:pPr>
        <w:jc w:val="left"/>
        <w:rPr>
          <w:sz w:val="20"/>
          <w:szCs w:val="20"/>
          <w:lang w:val="en-IE"/>
        </w:rPr>
      </w:pPr>
      <w:r w:rsidRPr="00941395">
        <w:rPr>
          <w:sz w:val="20"/>
          <w:szCs w:val="20"/>
          <w:vertAlign w:val="superscript"/>
          <w:lang w:val="en-IE"/>
        </w:rPr>
        <w:footnoteRef/>
      </w:r>
      <w:r w:rsidRPr="00941395">
        <w:rPr>
          <w:sz w:val="20"/>
          <w:szCs w:val="20"/>
          <w:lang w:val="en-IE"/>
        </w:rPr>
        <w:t xml:space="preserve"> </w:t>
      </w:r>
      <w:r w:rsidRPr="00941395">
        <w:rPr>
          <w:rFonts w:eastAsia="Segoe UI"/>
          <w:sz w:val="20"/>
          <w:szCs w:val="20"/>
          <w:lang w:val="en-IE"/>
        </w:rPr>
        <w:t>Annual enterprise statistics by size class for special aggregates of activities (NACE Rev. 2) [SBS_SC_SCA_R2__custom_3996079]</w:t>
      </w:r>
    </w:p>
  </w:footnote>
  <w:footnote w:id="100">
    <w:p w14:paraId="1F9A6625" w14:textId="77777777" w:rsidR="00603581" w:rsidRPr="00941395" w:rsidRDefault="00603581" w:rsidP="00EE3D9D">
      <w:pPr>
        <w:pStyle w:val="FootnoteText"/>
        <w:rPr>
          <w:rFonts w:ascii="Segoe UI" w:hAnsi="Segoe UI" w:cstheme="minorBidi"/>
          <w:sz w:val="18"/>
          <w:lang w:val="en-IE"/>
        </w:rPr>
      </w:pPr>
      <w:r w:rsidRPr="00941395">
        <w:rPr>
          <w:rStyle w:val="FootnoteReference"/>
          <w:lang w:val="en-IE"/>
        </w:rPr>
        <w:footnoteRef/>
      </w:r>
      <w:r w:rsidRPr="00941395">
        <w:rPr>
          <w:lang w:val="en-IE"/>
        </w:rPr>
        <w:t xml:space="preserve"> Eco-logic, 2021. Extended Producer Responsibility and Ecomodulation of Fees</w:t>
      </w:r>
    </w:p>
  </w:footnote>
  <w:footnote w:id="101">
    <w:p w14:paraId="0E516398" w14:textId="76E09611" w:rsidR="00603581" w:rsidRPr="00941395" w:rsidRDefault="00603581" w:rsidP="00955B28">
      <w:pPr>
        <w:pStyle w:val="FootnoteText"/>
        <w:rPr>
          <w:lang w:val="en-IE"/>
        </w:rPr>
      </w:pPr>
      <w:r w:rsidRPr="00941395">
        <w:rPr>
          <w:rStyle w:val="FootnoteReference"/>
          <w:lang w:val="en-IE"/>
        </w:rPr>
        <w:footnoteRef/>
      </w:r>
      <w:r w:rsidRPr="00941395">
        <w:rPr>
          <w:lang w:val="en-IE"/>
        </w:rPr>
        <w:t xml:space="preserve"> Have your say, Published initiatives, New product priorities for Ecodesign for Sustainable Products, </w:t>
      </w:r>
      <w:hyperlink r:id="rId17" w:history="1">
        <w:r w:rsidRPr="00941395">
          <w:rPr>
            <w:rStyle w:val="Hyperlink"/>
            <w:lang w:val="en-IE"/>
          </w:rPr>
          <w:t>New product priorities for Ecodesign for Sustainable Products (europa.eu)</w:t>
        </w:r>
      </w:hyperlink>
      <w:r w:rsidRPr="00941395">
        <w:rPr>
          <w:rStyle w:val="Hyperlink"/>
          <w:lang w:val="en-IE"/>
        </w:rPr>
        <w:t>.</w:t>
      </w:r>
    </w:p>
  </w:footnote>
  <w:footnote w:id="102">
    <w:p w14:paraId="51D96F41" w14:textId="77777777" w:rsidR="00603581" w:rsidRPr="00941395" w:rsidRDefault="00603581" w:rsidP="00301BA4">
      <w:pPr>
        <w:pStyle w:val="FootnoteText"/>
        <w:rPr>
          <w:lang w:val="en-IE"/>
        </w:rPr>
      </w:pPr>
      <w:r w:rsidRPr="00941395">
        <w:rPr>
          <w:rStyle w:val="FootnoteReference"/>
          <w:lang w:val="en-IE"/>
        </w:rPr>
        <w:footnoteRef/>
      </w:r>
      <w:r w:rsidRPr="00941395">
        <w:rPr>
          <w:lang w:val="en-IE"/>
        </w:rPr>
        <w:t xml:space="preserve"> EuRIC, 2023.  LCA-based assessment of the management of European used textiles</w:t>
      </w:r>
    </w:p>
  </w:footnote>
  <w:footnote w:id="103">
    <w:p w14:paraId="3B777A63" w14:textId="37A3C907" w:rsidR="00603581" w:rsidRPr="00941395" w:rsidRDefault="00603581" w:rsidP="006554B6">
      <w:pPr>
        <w:spacing w:after="0"/>
        <w:rPr>
          <w:color w:val="008080"/>
          <w:sz w:val="20"/>
          <w:u w:val="single"/>
          <w:lang w:val="en-IE"/>
        </w:rPr>
      </w:pPr>
      <w:r w:rsidRPr="00941395">
        <w:rPr>
          <w:color w:val="2B579A"/>
          <w:sz w:val="20"/>
          <w:shd w:val="clear" w:color="auto" w:fill="E6E6E6"/>
          <w:vertAlign w:val="superscript"/>
          <w:lang w:val="en-IE"/>
        </w:rPr>
        <w:footnoteRef/>
      </w:r>
      <w:r w:rsidRPr="00941395">
        <w:rPr>
          <w:sz w:val="20"/>
          <w:szCs w:val="20"/>
          <w:lang w:val="en-IE"/>
        </w:rPr>
        <w:t xml:space="preserve"> See for example: </w:t>
      </w:r>
      <w:hyperlink r:id="rId18" w:history="1">
        <w:r w:rsidRPr="00941395">
          <w:rPr>
            <w:rStyle w:val="Hyperlink"/>
            <w:rFonts w:eastAsia="Segoe UI"/>
            <w:sz w:val="20"/>
            <w:szCs w:val="20"/>
            <w:lang w:val="en-IE"/>
          </w:rPr>
          <w:t>https://eeb.org/library/driving-a-circular-economy-for-textiles-through-epr/</w:t>
        </w:r>
      </w:hyperlink>
      <w:r w:rsidRPr="00941395">
        <w:rPr>
          <w:rFonts w:eastAsia="Segoe UI"/>
          <w:sz w:val="20"/>
          <w:szCs w:val="20"/>
          <w:lang w:val="en-IE"/>
        </w:rPr>
        <w:t xml:space="preserve"> </w:t>
      </w:r>
    </w:p>
  </w:footnote>
  <w:footnote w:id="104">
    <w:p w14:paraId="3C647964" w14:textId="77777777" w:rsidR="00603581" w:rsidRPr="00941395" w:rsidRDefault="00603581" w:rsidP="00FA5D04">
      <w:pPr>
        <w:pStyle w:val="FootnoteText"/>
        <w:rPr>
          <w:lang w:val="en-IE"/>
        </w:rPr>
      </w:pPr>
      <w:r w:rsidRPr="00941395">
        <w:rPr>
          <w:rStyle w:val="FootnoteReference"/>
          <w:lang w:val="en-IE"/>
        </w:rPr>
        <w:footnoteRef/>
      </w:r>
      <w:r w:rsidRPr="00941395">
        <w:rPr>
          <w:lang w:val="en-IE"/>
        </w:rPr>
        <w:t xml:space="preserve"> Evidence from industry stakeholder in second workshop</w:t>
      </w:r>
    </w:p>
  </w:footnote>
  <w:footnote w:id="105">
    <w:p w14:paraId="03CE9BC0" w14:textId="77777777" w:rsidR="00603581" w:rsidRPr="00941395" w:rsidRDefault="00603581" w:rsidP="00EE3D9D">
      <w:pPr>
        <w:pStyle w:val="FootnoteText"/>
        <w:rPr>
          <w:lang w:val="en-IE"/>
        </w:rPr>
      </w:pPr>
      <w:r w:rsidRPr="00941395">
        <w:rPr>
          <w:rStyle w:val="FootnoteReference"/>
          <w:lang w:val="en-IE"/>
        </w:rPr>
        <w:footnoteRef/>
      </w:r>
      <w:r w:rsidRPr="00941395">
        <w:rPr>
          <w:lang w:val="en-IE"/>
        </w:rPr>
        <w:t xml:space="preserve"> Interview with the Ellen MacArthur Foundation</w:t>
      </w:r>
    </w:p>
  </w:footnote>
  <w:footnote w:id="106">
    <w:p w14:paraId="2839D544" w14:textId="77777777" w:rsidR="00603581" w:rsidRPr="00941395" w:rsidRDefault="00603581" w:rsidP="00EE3D9D">
      <w:pPr>
        <w:pStyle w:val="FootnoteText"/>
        <w:rPr>
          <w:lang w:val="en-IE"/>
        </w:rPr>
      </w:pPr>
      <w:r w:rsidRPr="00941395">
        <w:rPr>
          <w:rStyle w:val="FootnoteReference"/>
          <w:lang w:val="en-IE"/>
        </w:rPr>
        <w:footnoteRef/>
      </w:r>
      <w:r w:rsidRPr="00941395">
        <w:rPr>
          <w:lang w:val="en-IE"/>
        </w:rPr>
        <w:t xml:space="preserve"> Interview with Euric</w:t>
      </w:r>
    </w:p>
  </w:footnote>
  <w:footnote w:id="107">
    <w:p w14:paraId="4DB7543D" w14:textId="77777777" w:rsidR="00603581" w:rsidRPr="00941395" w:rsidRDefault="00603581" w:rsidP="00EE3D9D">
      <w:pPr>
        <w:pStyle w:val="FootnoteText"/>
        <w:rPr>
          <w:lang w:val="en-IE"/>
        </w:rPr>
      </w:pPr>
      <w:r w:rsidRPr="00941395">
        <w:rPr>
          <w:rStyle w:val="FootnoteReference"/>
          <w:lang w:val="en-IE"/>
        </w:rPr>
        <w:footnoteRef/>
      </w:r>
      <w:r w:rsidRPr="00941395">
        <w:rPr>
          <w:lang w:val="en-IE"/>
        </w:rPr>
        <w:t xml:space="preserve"> Interview with Eurocommerce</w:t>
      </w:r>
    </w:p>
  </w:footnote>
  <w:footnote w:id="108">
    <w:p w14:paraId="4ED17F2F" w14:textId="5F5FFCBC" w:rsidR="00603581" w:rsidRPr="00941395" w:rsidRDefault="00603581" w:rsidP="004E5911">
      <w:pPr>
        <w:spacing w:after="0"/>
        <w:rPr>
          <w:lang w:val="en-IE"/>
        </w:rPr>
      </w:pPr>
      <w:r w:rsidRPr="00941395">
        <w:rPr>
          <w:sz w:val="20"/>
          <w:szCs w:val="20"/>
          <w:vertAlign w:val="superscript"/>
          <w:lang w:val="en-IE"/>
        </w:rPr>
        <w:footnoteRef/>
      </w:r>
      <w:r w:rsidRPr="00941395">
        <w:rPr>
          <w:sz w:val="20"/>
          <w:szCs w:val="20"/>
          <w:lang w:val="en-IE"/>
        </w:rPr>
        <w:t xml:space="preserve"> </w:t>
      </w:r>
      <w:r w:rsidRPr="00941395">
        <w:rPr>
          <w:rFonts w:eastAsia="Calibri"/>
          <w:sz w:val="20"/>
          <w:szCs w:val="20"/>
          <w:lang w:val="en-IE"/>
        </w:rPr>
        <w:t>Interview with the Ellen MacArthur Foundation</w:t>
      </w:r>
    </w:p>
  </w:footnote>
  <w:footnote w:id="109">
    <w:p w14:paraId="4FE3416B" w14:textId="77777777" w:rsidR="00603581" w:rsidRPr="00941395" w:rsidRDefault="00603581" w:rsidP="402A1515">
      <w:pPr>
        <w:pStyle w:val="FootnoteText"/>
        <w:rPr>
          <w:lang w:val="en-IE"/>
        </w:rPr>
      </w:pPr>
      <w:r w:rsidRPr="00941395">
        <w:rPr>
          <w:rStyle w:val="FootnoteReference"/>
          <w:lang w:val="en-IE"/>
        </w:rPr>
        <w:footnoteRef/>
      </w:r>
      <w:r w:rsidRPr="00941395">
        <w:rPr>
          <w:lang w:val="en-IE"/>
        </w:rPr>
        <w:t xml:space="preserve"> Interview with Policy Hub</w:t>
      </w:r>
    </w:p>
  </w:footnote>
  <w:footnote w:id="110">
    <w:p w14:paraId="0D278D64" w14:textId="77777777" w:rsidR="00603581" w:rsidRPr="00941395" w:rsidRDefault="00603581" w:rsidP="00EE3D9D">
      <w:pPr>
        <w:pStyle w:val="FootnoteText"/>
        <w:rPr>
          <w:lang w:val="en-IE"/>
        </w:rPr>
      </w:pPr>
      <w:r w:rsidRPr="00941395">
        <w:rPr>
          <w:rStyle w:val="FootnoteReference"/>
          <w:lang w:val="en-IE"/>
        </w:rPr>
        <w:footnoteRef/>
      </w:r>
      <w:r w:rsidRPr="00941395">
        <w:rPr>
          <w:lang w:val="en-IE"/>
        </w:rPr>
        <w:t xml:space="preserve"> Interview with ARTSHC</w:t>
      </w:r>
    </w:p>
  </w:footnote>
  <w:footnote w:id="111">
    <w:p w14:paraId="4167F804" w14:textId="77777777" w:rsidR="00603581" w:rsidRPr="00941395" w:rsidRDefault="00603581" w:rsidP="00EE3D9D">
      <w:pPr>
        <w:pStyle w:val="FootnoteText"/>
        <w:rPr>
          <w:lang w:val="en-IE"/>
        </w:rPr>
      </w:pPr>
      <w:r w:rsidRPr="00941395">
        <w:rPr>
          <w:rStyle w:val="FootnoteReference"/>
          <w:lang w:val="en-IE"/>
        </w:rPr>
        <w:footnoteRef/>
      </w:r>
      <w:r w:rsidRPr="00941395">
        <w:rPr>
          <w:lang w:val="en-IE"/>
        </w:rPr>
        <w:t xml:space="preserve"> Interview with the Policy Hub</w:t>
      </w:r>
    </w:p>
  </w:footnote>
  <w:footnote w:id="112">
    <w:p w14:paraId="3B795C07" w14:textId="77777777" w:rsidR="00603581" w:rsidRPr="00941395" w:rsidRDefault="00603581" w:rsidP="00F718D1">
      <w:pPr>
        <w:pStyle w:val="FootnoteText"/>
        <w:rPr>
          <w:lang w:val="en-IE"/>
        </w:rPr>
      </w:pPr>
      <w:r w:rsidRPr="00941395">
        <w:rPr>
          <w:rStyle w:val="FootnoteReference"/>
          <w:lang w:val="en-IE"/>
        </w:rPr>
        <w:footnoteRef/>
      </w:r>
      <w:r w:rsidRPr="00941395">
        <w:rPr>
          <w:lang w:val="en-IE"/>
        </w:rPr>
        <w:t xml:space="preserve"> Source Eurostat Annual enterprise statistics by size class for special aggregates of activities (NACE Rev. 2) as extracted in 2022 using 2020 data</w:t>
      </w:r>
    </w:p>
  </w:footnote>
  <w:footnote w:id="113">
    <w:p w14:paraId="39CC3C35" w14:textId="77777777" w:rsidR="00603581" w:rsidRPr="00641A5B" w:rsidRDefault="00603581" w:rsidP="00350E3D">
      <w:pPr>
        <w:pStyle w:val="FootnoteText"/>
        <w:jc w:val="left"/>
        <w:rPr>
          <w:lang w:val="sv-SE"/>
        </w:rPr>
      </w:pPr>
      <w:r w:rsidRPr="00941395">
        <w:rPr>
          <w:rStyle w:val="FootnoteReference"/>
          <w:lang w:val="en-IE"/>
        </w:rPr>
        <w:footnoteRef/>
      </w:r>
      <w:r w:rsidRPr="00641A5B">
        <w:rPr>
          <w:lang w:val="sv-SE"/>
        </w:rPr>
        <w:t xml:space="preserve"> Eurostat, 2022.  https://ec.europa.eu/eurostat/statistics-explained/index.php?title=Waste_statistics#Total_waste_generation</w:t>
      </w:r>
    </w:p>
  </w:footnote>
  <w:footnote w:id="114">
    <w:p w14:paraId="6B2E7D04" w14:textId="77777777" w:rsidR="00603581" w:rsidRPr="00641A5B" w:rsidRDefault="00603581" w:rsidP="00F718D1">
      <w:pPr>
        <w:pStyle w:val="FootnoteText"/>
        <w:rPr>
          <w:lang w:val="sv-SE"/>
        </w:rPr>
      </w:pPr>
      <w:r w:rsidRPr="00941395">
        <w:rPr>
          <w:rStyle w:val="FootnoteReference"/>
          <w:lang w:val="en-IE"/>
        </w:rPr>
        <w:footnoteRef/>
      </w:r>
      <w:r w:rsidRPr="00641A5B">
        <w:rPr>
          <w:lang w:val="sv-SE"/>
        </w:rPr>
        <w:t xml:space="preserve"> Interview with Teko &amp; Svenskhandel </w:t>
      </w:r>
    </w:p>
  </w:footnote>
  <w:footnote w:id="115">
    <w:p w14:paraId="717EF265" w14:textId="77777777" w:rsidR="00603581" w:rsidRPr="00941395" w:rsidRDefault="00603581" w:rsidP="00F718D1">
      <w:pPr>
        <w:pStyle w:val="FootnoteText"/>
        <w:rPr>
          <w:lang w:val="en-IE"/>
        </w:rPr>
      </w:pPr>
      <w:r w:rsidRPr="00941395">
        <w:rPr>
          <w:rStyle w:val="FootnoteReference"/>
          <w:lang w:val="en-IE"/>
        </w:rPr>
        <w:footnoteRef/>
      </w:r>
      <w:r w:rsidRPr="00941395">
        <w:rPr>
          <w:lang w:val="en-IE"/>
        </w:rPr>
        <w:t xml:space="preserve"> Evidence from workshop</w:t>
      </w:r>
    </w:p>
  </w:footnote>
  <w:footnote w:id="116">
    <w:p w14:paraId="2E25F4EB" w14:textId="77777777" w:rsidR="00603581" w:rsidRPr="00941395" w:rsidRDefault="00603581" w:rsidP="00F718D1">
      <w:pPr>
        <w:pStyle w:val="FootnoteText"/>
        <w:rPr>
          <w:lang w:val="en-IE"/>
        </w:rPr>
      </w:pPr>
      <w:r w:rsidRPr="00941395">
        <w:rPr>
          <w:rStyle w:val="FootnoteReference"/>
          <w:lang w:val="en-IE"/>
        </w:rPr>
        <w:footnoteRef/>
      </w:r>
      <w:r w:rsidRPr="00941395">
        <w:rPr>
          <w:lang w:val="en-IE"/>
        </w:rPr>
        <w:t xml:space="preserve"> Interview with Policy Hub</w:t>
      </w:r>
    </w:p>
  </w:footnote>
  <w:footnote w:id="117">
    <w:p w14:paraId="5F29280A" w14:textId="77777777" w:rsidR="00603581" w:rsidRPr="00941395" w:rsidRDefault="00603581" w:rsidP="00921D6F">
      <w:pPr>
        <w:pStyle w:val="FootnoteText"/>
        <w:rPr>
          <w:lang w:val="en-IE"/>
        </w:rPr>
      </w:pPr>
      <w:r w:rsidRPr="00941395">
        <w:rPr>
          <w:rStyle w:val="FootnoteReference"/>
          <w:lang w:val="en-IE"/>
        </w:rPr>
        <w:footnoteRef/>
      </w:r>
      <w:r w:rsidRPr="00941395">
        <w:rPr>
          <w:lang w:val="en-IE"/>
        </w:rPr>
        <w:t xml:space="preserve"> SWD (2019) 439</w:t>
      </w:r>
    </w:p>
  </w:footnote>
  <w:footnote w:id="118">
    <w:p w14:paraId="48F1EB23" w14:textId="77777777" w:rsidR="00603581" w:rsidRPr="00941395" w:rsidRDefault="00603581" w:rsidP="00921D6F">
      <w:pPr>
        <w:pStyle w:val="FootnoteText"/>
        <w:rPr>
          <w:lang w:val="en-IE"/>
        </w:rPr>
      </w:pPr>
      <w:r w:rsidRPr="00941395">
        <w:rPr>
          <w:rStyle w:val="FootnoteReference"/>
          <w:lang w:val="en-IE"/>
        </w:rPr>
        <w:footnoteRef/>
      </w:r>
      <w:r w:rsidRPr="00941395">
        <w:rPr>
          <w:lang w:val="en-IE"/>
        </w:rPr>
        <w:t xml:space="preserve"> SWD (2019) 427 final</w:t>
      </w:r>
    </w:p>
  </w:footnote>
  <w:footnote w:id="119">
    <w:p w14:paraId="4911360C" w14:textId="5F69B273" w:rsidR="00603581" w:rsidRPr="00941395" w:rsidRDefault="00603581" w:rsidP="007279DB">
      <w:pPr>
        <w:pStyle w:val="FootnoteText"/>
        <w:rPr>
          <w:lang w:val="en-IE"/>
        </w:rPr>
      </w:pPr>
      <w:r w:rsidRPr="00941395">
        <w:rPr>
          <w:rStyle w:val="FootnoteReference"/>
          <w:lang w:val="en-IE"/>
        </w:rPr>
        <w:footnoteRef/>
      </w:r>
      <w:r w:rsidRPr="00941395">
        <w:rPr>
          <w:lang w:val="en-IE"/>
        </w:rPr>
        <w:t xml:space="preserve"> Interview with Ellen MacArthur Foundation.</w:t>
      </w:r>
    </w:p>
  </w:footnote>
  <w:footnote w:id="120">
    <w:p w14:paraId="345356C8" w14:textId="123AD1E8" w:rsidR="00603581" w:rsidRPr="00941395" w:rsidRDefault="00603581" w:rsidP="007279DB">
      <w:pPr>
        <w:pStyle w:val="FootnoteText"/>
        <w:rPr>
          <w:lang w:val="en-IE"/>
        </w:rPr>
      </w:pPr>
      <w:r w:rsidRPr="00941395">
        <w:rPr>
          <w:rStyle w:val="FootnoteReference"/>
          <w:lang w:val="en-IE"/>
        </w:rPr>
        <w:footnoteRef/>
      </w:r>
      <w:r w:rsidRPr="00941395">
        <w:rPr>
          <w:lang w:val="en-IE"/>
        </w:rPr>
        <w:t xml:space="preserve"> Interview with Recycling Network.</w:t>
      </w:r>
    </w:p>
  </w:footnote>
  <w:footnote w:id="121">
    <w:p w14:paraId="7C350A1F" w14:textId="4AA4D615" w:rsidR="00603581" w:rsidRPr="00941395" w:rsidRDefault="00603581" w:rsidP="007279DB">
      <w:pPr>
        <w:pStyle w:val="FootnoteText"/>
        <w:rPr>
          <w:lang w:val="en-IE"/>
        </w:rPr>
      </w:pPr>
      <w:r w:rsidRPr="00941395">
        <w:rPr>
          <w:rStyle w:val="FootnoteReference"/>
          <w:lang w:val="en-IE"/>
        </w:rPr>
        <w:footnoteRef/>
      </w:r>
      <w:r w:rsidRPr="00941395">
        <w:rPr>
          <w:lang w:val="en-IE"/>
        </w:rPr>
        <w:t xml:space="preserve"> Interview with Eurocommerce.</w:t>
      </w:r>
    </w:p>
  </w:footnote>
  <w:footnote w:id="122">
    <w:p w14:paraId="19D254CE" w14:textId="57FEA71C" w:rsidR="00603581" w:rsidRPr="00941395" w:rsidRDefault="00603581" w:rsidP="007279DB">
      <w:pPr>
        <w:pStyle w:val="FootnoteText"/>
        <w:rPr>
          <w:lang w:val="en-IE"/>
        </w:rPr>
      </w:pPr>
      <w:r w:rsidRPr="00941395">
        <w:rPr>
          <w:rStyle w:val="FootnoteReference"/>
          <w:lang w:val="en-IE"/>
        </w:rPr>
        <w:footnoteRef/>
      </w:r>
      <w:r w:rsidRPr="00941395">
        <w:rPr>
          <w:lang w:val="en-IE"/>
        </w:rPr>
        <w:t xml:space="preserve"> Interview with Recycling Netwerk Benelux.</w:t>
      </w:r>
    </w:p>
  </w:footnote>
  <w:footnote w:id="123">
    <w:p w14:paraId="350C1AF5" w14:textId="77777777" w:rsidR="00603581" w:rsidRPr="00941395" w:rsidRDefault="00603581" w:rsidP="007279DB">
      <w:pPr>
        <w:pStyle w:val="FootnoteText"/>
        <w:rPr>
          <w:lang w:val="en-IE"/>
        </w:rPr>
      </w:pPr>
      <w:r w:rsidRPr="00941395">
        <w:rPr>
          <w:rStyle w:val="FootnoteReference"/>
          <w:lang w:val="en-IE"/>
        </w:rPr>
        <w:footnoteRef/>
      </w:r>
      <w:r w:rsidRPr="00941395">
        <w:rPr>
          <w:lang w:val="en-IE"/>
        </w:rPr>
        <w:t xml:space="preserve"> Evidence from workshop</w:t>
      </w:r>
    </w:p>
  </w:footnote>
  <w:footnote w:id="124">
    <w:p w14:paraId="4341956D" w14:textId="4F808F43" w:rsidR="00603581" w:rsidRPr="00941395" w:rsidRDefault="00603581" w:rsidP="00662618">
      <w:pPr>
        <w:pStyle w:val="FootnoteText"/>
        <w:rPr>
          <w:lang w:val="en-IE"/>
        </w:rPr>
      </w:pPr>
      <w:r w:rsidRPr="00941395">
        <w:rPr>
          <w:rStyle w:val="FootnoteReference"/>
          <w:lang w:val="en-IE"/>
        </w:rPr>
        <w:footnoteRef/>
      </w:r>
      <w:r w:rsidRPr="00941395">
        <w:rPr>
          <w:lang w:val="en-IE"/>
        </w:rPr>
        <w:t xml:space="preserve"> World Economic Forum, 2022. A robust and standardized framework for reuse measurement is needed. Here’s why</w:t>
      </w:r>
    </w:p>
  </w:footnote>
  <w:footnote w:id="125">
    <w:p w14:paraId="687523E5" w14:textId="1204CC18" w:rsidR="00603581" w:rsidRPr="00941395" w:rsidRDefault="00603581" w:rsidP="120853A8">
      <w:pPr>
        <w:rPr>
          <w:rFonts w:eastAsia="Times New Roman"/>
          <w:lang w:val="en-IE"/>
        </w:rPr>
      </w:pPr>
      <w:r w:rsidRPr="00941395">
        <w:rPr>
          <w:sz w:val="20"/>
          <w:szCs w:val="20"/>
          <w:vertAlign w:val="superscript"/>
          <w:lang w:val="en-IE"/>
        </w:rPr>
        <w:footnoteRef/>
      </w:r>
      <w:r w:rsidRPr="00941395">
        <w:rPr>
          <w:sz w:val="20"/>
          <w:szCs w:val="20"/>
          <w:lang w:val="en-IE"/>
        </w:rPr>
        <w:t xml:space="preserve"> </w:t>
      </w:r>
      <w:r w:rsidRPr="00941395">
        <w:rPr>
          <w:rFonts w:eastAsia="Segoe UI"/>
          <w:color w:val="333333"/>
          <w:sz w:val="20"/>
          <w:szCs w:val="20"/>
          <w:lang w:val="en-IE"/>
        </w:rPr>
        <w:t xml:space="preserve">Flanders </w:t>
      </w:r>
      <w:hyperlink r:id="rId19" w:history="1">
        <w:r w:rsidRPr="00941395">
          <w:rPr>
            <w:rStyle w:val="Hyperlink"/>
            <w:rFonts w:eastAsia="Segoe UI"/>
            <w:sz w:val="20"/>
            <w:szCs w:val="20"/>
            <w:lang w:val="en-IE"/>
          </w:rPr>
          <w:t>(PDF) Measuring reuse in Flanders: The first reuse mapping study (researchgate.net)</w:t>
        </w:r>
      </w:hyperlink>
      <w:r w:rsidRPr="00941395">
        <w:rPr>
          <w:rFonts w:eastAsia="Segoe UI"/>
          <w:color w:val="333333"/>
          <w:sz w:val="20"/>
          <w:szCs w:val="20"/>
          <w:lang w:val="en-IE"/>
        </w:rPr>
        <w:t xml:space="preserve"> and Ireland </w:t>
      </w:r>
      <w:hyperlink r:id="rId20" w:history="1">
        <w:r w:rsidRPr="00941395">
          <w:rPr>
            <w:rStyle w:val="Hyperlink"/>
            <w:rFonts w:eastAsia="Segoe UI"/>
            <w:sz w:val="20"/>
            <w:szCs w:val="20"/>
            <w:lang w:val="en-IE"/>
          </w:rPr>
          <w:t>Research_Report_405.pdf (ctc-cork.ie)</w:t>
        </w:r>
      </w:hyperlink>
      <w:r w:rsidRPr="00941395">
        <w:rPr>
          <w:rFonts w:eastAsia="Segoe UI"/>
          <w:color w:val="333333"/>
          <w:sz w:val="20"/>
          <w:szCs w:val="20"/>
          <w:lang w:val="en-IE"/>
        </w:rPr>
        <w:t>.</w:t>
      </w:r>
    </w:p>
  </w:footnote>
  <w:footnote w:id="126">
    <w:p w14:paraId="6C45F2B3" w14:textId="0FECBA95"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Evidence from stakeholder workshop</w:t>
      </w:r>
    </w:p>
  </w:footnote>
  <w:footnote w:id="127">
    <w:p w14:paraId="527CBC2E" w14:textId="77777777"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Ellen MacArthur Foundation</w:t>
      </w:r>
    </w:p>
  </w:footnote>
  <w:footnote w:id="128">
    <w:p w14:paraId="164C13FE" w14:textId="77777777"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Recycling Netwerk Benelux</w:t>
      </w:r>
    </w:p>
  </w:footnote>
  <w:footnote w:id="129">
    <w:p w14:paraId="7FA7C499" w14:textId="77777777"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Feedback from workshop</w:t>
      </w:r>
    </w:p>
  </w:footnote>
  <w:footnote w:id="130">
    <w:p w14:paraId="622E0CCD" w14:textId="650BBDCD"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TOMRA.</w:t>
      </w:r>
    </w:p>
  </w:footnote>
  <w:footnote w:id="131">
    <w:p w14:paraId="7AF378EF" w14:textId="564C3AA5" w:rsidR="00603581" w:rsidRPr="00941395" w:rsidRDefault="00603581">
      <w:pPr>
        <w:pStyle w:val="FootnoteText"/>
        <w:rPr>
          <w:lang w:val="en-IE"/>
        </w:rPr>
      </w:pPr>
      <w:r w:rsidRPr="00941395">
        <w:rPr>
          <w:rStyle w:val="FootnoteReference"/>
          <w:lang w:val="en-IE"/>
        </w:rPr>
        <w:footnoteRef/>
      </w:r>
      <w:r w:rsidRPr="00941395">
        <w:rPr>
          <w:lang w:val="en-IE"/>
        </w:rPr>
        <w:t xml:space="preserve"> Interview with TOMRA.</w:t>
      </w:r>
    </w:p>
  </w:footnote>
  <w:footnote w:id="132">
    <w:p w14:paraId="1BAE11FB" w14:textId="0A81F841"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Eurocommerce.</w:t>
      </w:r>
    </w:p>
  </w:footnote>
  <w:footnote w:id="133">
    <w:p w14:paraId="7FF4872C" w14:textId="2690AD38"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Policy Hub.</w:t>
      </w:r>
    </w:p>
  </w:footnote>
  <w:footnote w:id="134">
    <w:p w14:paraId="62F29DA4" w14:textId="0EDC5718"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RREUSE.</w:t>
      </w:r>
    </w:p>
  </w:footnote>
  <w:footnote w:id="135">
    <w:p w14:paraId="109683C2" w14:textId="57B215B8"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Municipal Waste Europe.</w:t>
      </w:r>
    </w:p>
  </w:footnote>
  <w:footnote w:id="136">
    <w:p w14:paraId="79496185" w14:textId="1B9D63E7" w:rsidR="00603581" w:rsidRPr="00941395" w:rsidRDefault="00603581" w:rsidP="00E175B7">
      <w:pPr>
        <w:pStyle w:val="FootnoteText"/>
        <w:rPr>
          <w:lang w:val="en-IE"/>
        </w:rPr>
      </w:pPr>
      <w:r w:rsidRPr="00941395">
        <w:rPr>
          <w:rStyle w:val="FootnoteReference"/>
          <w:lang w:val="en-IE"/>
        </w:rPr>
        <w:footnoteRef/>
      </w:r>
      <w:r w:rsidRPr="00941395">
        <w:rPr>
          <w:lang w:val="en-IE"/>
        </w:rPr>
        <w:t xml:space="preserve"> Interview with Euric.</w:t>
      </w:r>
    </w:p>
  </w:footnote>
  <w:footnote w:id="137">
    <w:p w14:paraId="36EC24B1" w14:textId="5BC02E46" w:rsidR="00603581" w:rsidRPr="00941395" w:rsidRDefault="00603581">
      <w:pPr>
        <w:pStyle w:val="FootnoteText"/>
        <w:rPr>
          <w:lang w:val="en-IE"/>
        </w:rPr>
      </w:pPr>
      <w:r w:rsidRPr="00941395">
        <w:rPr>
          <w:rStyle w:val="FootnoteReference"/>
          <w:lang w:val="en-IE"/>
        </w:rPr>
        <w:footnoteRef/>
      </w:r>
      <w:r w:rsidRPr="00941395">
        <w:rPr>
          <w:lang w:val="en-IE"/>
        </w:rPr>
        <w:t xml:space="preserve"> Interview with Euric.</w:t>
      </w:r>
    </w:p>
  </w:footnote>
  <w:footnote w:id="138">
    <w:p w14:paraId="3E2D218A" w14:textId="0ACD00C3" w:rsidR="00603581" w:rsidRPr="00941395" w:rsidRDefault="00603581" w:rsidP="00262880">
      <w:pPr>
        <w:pStyle w:val="FootnoteText"/>
        <w:rPr>
          <w:lang w:val="en-IE"/>
        </w:rPr>
      </w:pPr>
      <w:r w:rsidRPr="00941395">
        <w:rPr>
          <w:rStyle w:val="FootnoteReference"/>
          <w:lang w:val="en-IE"/>
        </w:rPr>
        <w:footnoteRef/>
      </w:r>
      <w:r w:rsidRPr="00941395">
        <w:rPr>
          <w:lang w:val="en-IE"/>
        </w:rPr>
        <w:t xml:space="preserve"> </w:t>
      </w:r>
      <w:hyperlink r:id="rId21" w:history="1">
        <w:r w:rsidRPr="00941395">
          <w:rPr>
            <w:rStyle w:val="Hyperlink"/>
            <w:lang w:val="en-IE"/>
          </w:rPr>
          <w:t>https://www.cesme-book.eu/book/level-1-d/3.1-best-practices/3.1.2-humanita-textile-recycling</w:t>
        </w:r>
      </w:hyperlink>
      <w:r w:rsidRPr="00941395">
        <w:rPr>
          <w:lang w:val="en-IE"/>
        </w:rPr>
        <w:t xml:space="preserve"> </w:t>
      </w:r>
    </w:p>
  </w:footnote>
  <w:footnote w:id="139">
    <w:p w14:paraId="646C7649" w14:textId="77777777" w:rsidR="00603581" w:rsidRPr="00941395" w:rsidRDefault="00603581" w:rsidP="00262880">
      <w:pPr>
        <w:pStyle w:val="FootnoteText"/>
        <w:rPr>
          <w:lang w:val="en-IE"/>
        </w:rPr>
      </w:pPr>
      <w:r w:rsidRPr="00941395">
        <w:rPr>
          <w:rStyle w:val="FootnoteReference"/>
          <w:lang w:val="en-IE"/>
        </w:rPr>
        <w:footnoteRef/>
      </w:r>
      <w:r w:rsidRPr="00941395">
        <w:rPr>
          <w:lang w:val="en-IE"/>
        </w:rPr>
        <w:t xml:space="preserve"> ECAP, 2018.  Used Textile Collection in European Cities</w:t>
      </w:r>
    </w:p>
  </w:footnote>
  <w:footnote w:id="140">
    <w:p w14:paraId="48A3D733" w14:textId="77777777" w:rsidR="00603581" w:rsidRPr="00941395" w:rsidRDefault="00603581" w:rsidP="002E2E9C">
      <w:pPr>
        <w:pStyle w:val="FootnoteText"/>
        <w:rPr>
          <w:lang w:val="en-IE"/>
        </w:rPr>
      </w:pPr>
      <w:r w:rsidRPr="00941395">
        <w:rPr>
          <w:rStyle w:val="FootnoteReference"/>
          <w:lang w:val="en-IE"/>
        </w:rPr>
        <w:footnoteRef/>
      </w:r>
      <w:r w:rsidRPr="00941395">
        <w:rPr>
          <w:lang w:val="en-IE"/>
        </w:rPr>
        <w:t xml:space="preserve"> Fashion for Good, 2021.  Sorting for circularity Europe – an evaluation and commercial assessment of textile waste across Europe</w:t>
      </w:r>
    </w:p>
  </w:footnote>
  <w:footnote w:id="141">
    <w:p w14:paraId="50838C54" w14:textId="77777777" w:rsidR="00603581" w:rsidRPr="00941395" w:rsidRDefault="00603581" w:rsidP="002E2E9C">
      <w:pPr>
        <w:pStyle w:val="FootnoteText"/>
        <w:rPr>
          <w:lang w:val="en-IE"/>
        </w:rPr>
      </w:pPr>
      <w:r w:rsidRPr="00941395">
        <w:rPr>
          <w:rStyle w:val="FootnoteReference"/>
          <w:lang w:val="en-IE"/>
        </w:rPr>
        <w:footnoteRef/>
      </w:r>
      <w:r w:rsidRPr="00941395">
        <w:rPr>
          <w:lang w:val="en-IE"/>
        </w:rPr>
        <w:t xml:space="preserve"> Fashion for Good, 2021.  Sorting for circularity Europe – an evaluation and commercial assessment of textile waste across Europe </w:t>
      </w:r>
    </w:p>
  </w:footnote>
  <w:footnote w:id="142">
    <w:p w14:paraId="26E828A9" w14:textId="77777777" w:rsidR="00603581" w:rsidRPr="00941395" w:rsidRDefault="00603581" w:rsidP="00262880">
      <w:pPr>
        <w:pStyle w:val="FootnoteText"/>
        <w:rPr>
          <w:lang w:val="en-IE"/>
        </w:rPr>
      </w:pPr>
      <w:r w:rsidRPr="00941395">
        <w:rPr>
          <w:rStyle w:val="FootnoteReference"/>
          <w:lang w:val="en-IE"/>
        </w:rPr>
        <w:footnoteRef/>
      </w:r>
      <w:r w:rsidRPr="00941395">
        <w:rPr>
          <w:lang w:val="en-IE"/>
        </w:rPr>
        <w:t xml:space="preserve"> Feedback from workshop</w:t>
      </w:r>
    </w:p>
  </w:footnote>
  <w:footnote w:id="143">
    <w:p w14:paraId="62C8E3CF" w14:textId="77777777" w:rsidR="00603581" w:rsidRPr="00941395" w:rsidRDefault="00603581" w:rsidP="00442C02">
      <w:pPr>
        <w:pStyle w:val="FootnoteText"/>
        <w:rPr>
          <w:lang w:val="en-IE"/>
        </w:rPr>
      </w:pPr>
      <w:r w:rsidRPr="00941395">
        <w:rPr>
          <w:rStyle w:val="FootnoteReference"/>
          <w:lang w:val="en-IE"/>
        </w:rPr>
        <w:footnoteRef/>
      </w:r>
      <w:r w:rsidRPr="00941395">
        <w:rPr>
          <w:lang w:val="en-IE"/>
        </w:rPr>
        <w:t xml:space="preserve"> Policy Hub call for evidence position paper</w:t>
      </w:r>
    </w:p>
  </w:footnote>
  <w:footnote w:id="144">
    <w:p w14:paraId="4FD87129" w14:textId="77777777" w:rsidR="00603581" w:rsidRPr="00941395" w:rsidRDefault="00603581" w:rsidP="00442C02">
      <w:pPr>
        <w:pStyle w:val="FootnoteText"/>
        <w:rPr>
          <w:lang w:val="en-IE"/>
        </w:rPr>
      </w:pPr>
      <w:r w:rsidRPr="00941395">
        <w:rPr>
          <w:rStyle w:val="FootnoteReference"/>
          <w:lang w:val="en-IE"/>
        </w:rPr>
        <w:footnoteRef/>
      </w:r>
      <w:r w:rsidRPr="00941395">
        <w:rPr>
          <w:lang w:val="en-IE"/>
        </w:rPr>
        <w:t xml:space="preserve"> MWE</w:t>
      </w:r>
    </w:p>
  </w:footnote>
  <w:footnote w:id="145">
    <w:p w14:paraId="3D7A207D" w14:textId="77777777" w:rsidR="00603581" w:rsidRPr="00941395" w:rsidRDefault="00603581" w:rsidP="00442C02">
      <w:pPr>
        <w:pStyle w:val="FootnoteText"/>
        <w:rPr>
          <w:lang w:val="en-IE"/>
        </w:rPr>
      </w:pPr>
      <w:r w:rsidRPr="00941395">
        <w:rPr>
          <w:rStyle w:val="FootnoteReference"/>
          <w:lang w:val="en-IE"/>
        </w:rPr>
        <w:footnoteRef/>
      </w:r>
      <w:r w:rsidRPr="00941395">
        <w:rPr>
          <w:lang w:val="en-IE"/>
        </w:rPr>
        <w:t xml:space="preserve"> REEUSE, MWE and the SE EPA</w:t>
      </w:r>
    </w:p>
  </w:footnote>
  <w:footnote w:id="146">
    <w:p w14:paraId="113D3926" w14:textId="77777777" w:rsidR="00603581" w:rsidRPr="00941395" w:rsidRDefault="00603581" w:rsidP="00442C02">
      <w:pPr>
        <w:pStyle w:val="FootnoteText"/>
        <w:rPr>
          <w:lang w:val="en-IE"/>
        </w:rPr>
      </w:pPr>
      <w:r w:rsidRPr="00941395">
        <w:rPr>
          <w:rStyle w:val="FootnoteReference"/>
          <w:lang w:val="en-IE"/>
        </w:rPr>
        <w:footnoteRef/>
      </w:r>
      <w:r w:rsidRPr="00941395">
        <w:rPr>
          <w:lang w:val="en-IE"/>
        </w:rPr>
        <w:t xml:space="preserve"> TOMRA call for evidence position paper</w:t>
      </w:r>
    </w:p>
  </w:footnote>
  <w:footnote w:id="147">
    <w:p w14:paraId="059ACD37" w14:textId="77777777" w:rsidR="00603581" w:rsidRPr="00941395" w:rsidRDefault="00603581" w:rsidP="00831374">
      <w:pPr>
        <w:pStyle w:val="FootnoteText"/>
        <w:jc w:val="left"/>
        <w:rPr>
          <w:lang w:val="en-IE"/>
        </w:rPr>
      </w:pPr>
      <w:r w:rsidRPr="00941395">
        <w:rPr>
          <w:rStyle w:val="FootnoteReference"/>
          <w:lang w:val="en-IE"/>
        </w:rPr>
        <w:footnoteRef/>
      </w:r>
      <w:r w:rsidRPr="00941395">
        <w:rPr>
          <w:lang w:val="en-IE"/>
        </w:rPr>
        <w:t xml:space="preserve"> Evidence from workshop</w:t>
      </w:r>
    </w:p>
  </w:footnote>
  <w:footnote w:id="148">
    <w:p w14:paraId="27B5DC7B" w14:textId="77777777" w:rsidR="00B2642D" w:rsidRPr="00B2642D" w:rsidRDefault="00B2642D" w:rsidP="00B2642D">
      <w:pPr>
        <w:pStyle w:val="FootnoteText"/>
      </w:pPr>
      <w:r>
        <w:rPr>
          <w:rStyle w:val="FootnoteReference"/>
        </w:rPr>
        <w:footnoteRef/>
      </w:r>
      <w:r>
        <w:t xml:space="preserve"> </w:t>
      </w:r>
      <w:r w:rsidRPr="00B2642D">
        <w:t xml:space="preserve">This assessment is based on: De Jong B, Boysen-Urban K, De Laurentiis V, Philippidis G, Bartelings  H, Mancini L, Biganzoli F, Sanyé Mengual E, Sala S, Lasarte-López J, Rokicki B, M’barek R. </w:t>
      </w:r>
      <w:r w:rsidRPr="00B2642D">
        <w:rPr>
          <w:i/>
        </w:rPr>
        <w:t xml:space="preserve">Assessing the economic, social and environmental impacts of food waste reduction targets. A model-based analysis. </w:t>
      </w:r>
      <w:r w:rsidRPr="00B2642D">
        <w:t>Publications Office of the European Union, Luxembourg, 2023, doi:10.2760/77251, JRC133971.</w:t>
      </w:r>
    </w:p>
    <w:p w14:paraId="681179F2" w14:textId="2A987990" w:rsidR="00B2642D" w:rsidRDefault="00B2642D">
      <w:pPr>
        <w:pStyle w:val="FootnoteText"/>
      </w:pPr>
    </w:p>
  </w:footnote>
  <w:footnote w:id="149">
    <w:p w14:paraId="37FD1451" w14:textId="1475AF05" w:rsidR="00603581" w:rsidRPr="00641A5B" w:rsidRDefault="00603581">
      <w:pPr>
        <w:pStyle w:val="FootnoteText"/>
      </w:pPr>
      <w:r>
        <w:rPr>
          <w:rStyle w:val="FootnoteReference"/>
        </w:rPr>
        <w:footnoteRef/>
      </w:r>
      <w:r w:rsidRPr="00641A5B">
        <w:t xml:space="preserve"> Bulgaria, Croatia, Cyprus, Czechia, Estonia, Hungary, Latvia, Lithuania, Malta, Poland, Romania, Slovakia and Slovenia</w:t>
      </w:r>
    </w:p>
  </w:footnote>
  <w:footnote w:id="150">
    <w:p w14:paraId="7242FC63" w14:textId="77777777" w:rsidR="00603581" w:rsidRPr="00941395" w:rsidRDefault="00603581" w:rsidP="006554B6">
      <w:pPr>
        <w:spacing w:after="0"/>
        <w:rPr>
          <w:rStyle w:val="FootnotesCar"/>
          <w:rFonts w:ascii="EC Square Sans Pro" w:hAnsi="EC Square Sans Pro"/>
          <w:lang w:val="en-IE"/>
        </w:rPr>
      </w:pPr>
      <w:r w:rsidRPr="00941395">
        <w:rPr>
          <w:rStyle w:val="FootnotesCar"/>
          <w:rFonts w:ascii="EC Square Sans Pro" w:hAnsi="EC Square Sans Pro"/>
          <w:lang w:val="en-IE"/>
        </w:rPr>
        <w:footnoteRef/>
      </w:r>
      <w:r w:rsidRPr="00941395">
        <w:rPr>
          <w:rStyle w:val="FootnotesCar"/>
          <w:rFonts w:ascii="EC Square Sans Pro" w:hAnsi="EC Square Sans Pro"/>
          <w:lang w:val="en-IE"/>
        </w:rPr>
        <w:t xml:space="preserve"> Impact of land use on soil assessed considering impacts on four soil properties: biotic production, erosion resistance, groundwater regeneration and mechanical filtration</w:t>
      </w:r>
    </w:p>
  </w:footnote>
  <w:footnote w:id="151">
    <w:p w14:paraId="0ED952A9" w14:textId="77777777" w:rsidR="00603581" w:rsidRPr="00941395" w:rsidRDefault="00603581" w:rsidP="006554B6">
      <w:pPr>
        <w:spacing w:after="0"/>
        <w:rPr>
          <w:sz w:val="20"/>
          <w:lang w:val="en-IE"/>
        </w:rPr>
      </w:pPr>
      <w:r w:rsidRPr="00941395">
        <w:rPr>
          <w:rStyle w:val="FootnotesCar"/>
          <w:rFonts w:ascii="EC Square Sans Pro" w:hAnsi="EC Square Sans Pro"/>
          <w:lang w:val="en-IE"/>
        </w:rPr>
        <w:footnoteRef/>
      </w:r>
      <w:r w:rsidRPr="00941395">
        <w:rPr>
          <w:rStyle w:val="FootnotesCar"/>
          <w:rFonts w:ascii="EC Square Sans Pro" w:hAnsi="EC Square Sans Pro"/>
          <w:lang w:val="en-IE"/>
        </w:rPr>
        <w:t xml:space="preserve"> A m3-world eq. represents a cubic meter consumed on average in the world. The average refers to a consumption-weighted average, and hence represents the locations where water is currently consumed</w:t>
      </w:r>
    </w:p>
  </w:footnote>
  <w:footnote w:id="152">
    <w:p w14:paraId="2B76C541" w14:textId="77777777" w:rsidR="00603581" w:rsidRPr="00215BF5" w:rsidRDefault="00603581" w:rsidP="00692235">
      <w:pPr>
        <w:pStyle w:val="FootnoteText"/>
        <w:rPr>
          <w:rFonts w:ascii="EC Square Sans Pro" w:hAnsi="EC Square Sans Pro"/>
        </w:rPr>
      </w:pPr>
      <w:r w:rsidRPr="00215BF5">
        <w:rPr>
          <w:rStyle w:val="FootnoteReference"/>
        </w:rPr>
        <w:footnoteRef/>
      </w:r>
      <w:r w:rsidRPr="00215BF5">
        <w:rPr>
          <w:rFonts w:ascii="EC Square Sans Pro" w:hAnsi="EC Square Sans Pro"/>
        </w:rPr>
        <w:t xml:space="preserve"> </w:t>
      </w:r>
      <w:hyperlink r:id="rId22" w:history="1">
        <w:r w:rsidRPr="00215BF5">
          <w:rPr>
            <w:rStyle w:val="Hyperlink"/>
          </w:rPr>
          <w:t>https://edgar.jrc.ec.europa.eu/</w:t>
        </w:r>
      </w:hyperlink>
      <w:r w:rsidRPr="00215BF5">
        <w:rPr>
          <w:rFonts w:ascii="EC Square Sans Pro" w:hAnsi="EC Square Sans Pro"/>
        </w:rPr>
        <w:t xml:space="preserve"> </w:t>
      </w:r>
    </w:p>
  </w:footnote>
  <w:footnote w:id="153">
    <w:p w14:paraId="067A0C6F" w14:textId="77777777" w:rsidR="00603581" w:rsidRPr="002C322A" w:rsidRDefault="00603581" w:rsidP="00692235">
      <w:pPr>
        <w:pStyle w:val="FootnoteText"/>
        <w:rPr>
          <w:rFonts w:ascii="EC Square Sans Pro" w:hAnsi="EC Square Sans Pro"/>
        </w:rPr>
      </w:pPr>
      <w:r w:rsidRPr="002C322A">
        <w:rPr>
          <w:rStyle w:val="FootnoteReference"/>
        </w:rPr>
        <w:footnoteRef/>
      </w:r>
      <w:r w:rsidRPr="002C322A">
        <w:rPr>
          <w:rFonts w:ascii="EC Square Sans Pro" w:hAnsi="EC Square Sans Pro"/>
        </w:rPr>
        <w:t xml:space="preserve"> </w:t>
      </w:r>
      <w:hyperlink r:id="rId23" w:history="1">
        <w:r w:rsidRPr="002C322A">
          <w:rPr>
            <w:rStyle w:val="Hyperlink"/>
          </w:rPr>
          <w:t>https://eplca.jrc.ec.europa.eu/sustainableConsumption.html</w:t>
        </w:r>
      </w:hyperlink>
      <w:r w:rsidRPr="002C322A">
        <w:rPr>
          <w:rFonts w:ascii="EC Square Sans Pro" w:hAnsi="EC Square Sans Pro"/>
        </w:rPr>
        <w:t xml:space="preserve"> </w:t>
      </w:r>
    </w:p>
  </w:footnote>
  <w:footnote w:id="154">
    <w:p w14:paraId="2CEA00CA" w14:textId="622ABCBB" w:rsidR="00603581" w:rsidRPr="00641A5B" w:rsidRDefault="00603581" w:rsidP="00A70642">
      <w:pPr>
        <w:pStyle w:val="FootnoteText"/>
      </w:pPr>
      <w:r w:rsidRPr="00941395">
        <w:rPr>
          <w:rStyle w:val="FootnoteReference"/>
          <w:lang w:val="en-IE"/>
        </w:rPr>
        <w:footnoteRef/>
      </w:r>
      <w:r w:rsidRPr="00641A5B">
        <w:t xml:space="preserve"> EU13 countries: </w:t>
      </w:r>
      <w:r w:rsidRPr="00641A5B">
        <w:rPr>
          <w:color w:val="040C28"/>
        </w:rPr>
        <w:t>Bulgaria, Croatia, Cyprus, Czechia, Estonia, Hungary, Latvia, Lithuania, Malta, Poland, Romania, Slovakia and Slovenia</w:t>
      </w:r>
    </w:p>
  </w:footnote>
  <w:footnote w:id="155">
    <w:p w14:paraId="60D4B2A7" w14:textId="60A97875" w:rsidR="00F00A24" w:rsidRPr="00034A4B" w:rsidRDefault="00F00A24">
      <w:pPr>
        <w:pStyle w:val="FootnoteText"/>
        <w:rPr>
          <w:lang w:val="en-US"/>
        </w:rPr>
      </w:pPr>
      <w:r>
        <w:rPr>
          <w:rStyle w:val="FootnoteReference"/>
        </w:rPr>
        <w:footnoteRef/>
      </w:r>
      <w:r>
        <w:t xml:space="preserve"> </w:t>
      </w:r>
      <w:r>
        <w:rPr>
          <w:lang w:val="en-US"/>
        </w:rPr>
        <w:t xml:space="preserve">More details can be found at: </w:t>
      </w:r>
      <w:r w:rsidRPr="00F00A24">
        <w:rPr>
          <w:lang w:val="en-US"/>
        </w:rPr>
        <w:t xml:space="preserve">De Laurentiis, V, Mancini, L, Casonato, C, Boysen-Urban, K, De Jong, B, M’Barek, R, Sanyé Mengual, E, Sala, S. </w:t>
      </w:r>
      <w:r w:rsidRPr="00034A4B">
        <w:rPr>
          <w:i/>
          <w:iCs/>
          <w:lang w:val="en-US"/>
        </w:rPr>
        <w:t>Setting the scene for an EU initiative on food waste reduction targets</w:t>
      </w:r>
      <w:r w:rsidRPr="00F00A24">
        <w:rPr>
          <w:lang w:val="en-US"/>
        </w:rPr>
        <w:t>. Publication Office of the European Union, Luxembourg</w:t>
      </w:r>
      <w:r w:rsidR="00835AEF">
        <w:rPr>
          <w:lang w:val="en-US"/>
        </w:rPr>
        <w:t>, 2023</w:t>
      </w:r>
      <w:r w:rsidRPr="00F00A24">
        <w:rPr>
          <w:lang w:val="en-US"/>
        </w:rPr>
        <w:t>, doi: 10.2760/13859, JRC133967</w:t>
      </w:r>
    </w:p>
  </w:footnote>
  <w:footnote w:id="156">
    <w:p w14:paraId="628229F7" w14:textId="77777777" w:rsidR="00603581" w:rsidRPr="00641A5B" w:rsidRDefault="00603581" w:rsidP="004E085A">
      <w:pPr>
        <w:spacing w:after="0"/>
        <w:textAlignment w:val="baseline"/>
        <w:rPr>
          <w:rStyle w:val="FootnotesCar"/>
          <w:rFonts w:ascii="Times New Roman" w:hAnsi="Times New Roman" w:cs="Times New Roman"/>
          <w:lang w:val="da-DK"/>
        </w:rPr>
      </w:pPr>
      <w:r w:rsidRPr="00941395">
        <w:rPr>
          <w:rStyle w:val="FootnotesCar"/>
          <w:rFonts w:ascii="Times New Roman" w:hAnsi="Times New Roman" w:cs="Times New Roman"/>
          <w:lang w:val="en-IE"/>
        </w:rPr>
        <w:footnoteRef/>
      </w:r>
      <w:r w:rsidRPr="00941395">
        <w:rPr>
          <w:rStyle w:val="FootnotesCar"/>
          <w:rFonts w:ascii="Times New Roman" w:hAnsi="Times New Roman" w:cs="Times New Roman"/>
          <w:lang w:val="en-IE"/>
        </w:rPr>
        <w:t xml:space="preserve"> The regional data processing is conducted following the methodology described in </w:t>
      </w:r>
      <w:r w:rsidRPr="00941395">
        <w:rPr>
          <w:rStyle w:val="FootnotesCar"/>
          <w:rFonts w:ascii="Times New Roman" w:hAnsi="Times New Roman" w:cs="Times New Roman"/>
          <w:lang w:val="en-IE"/>
        </w:rPr>
        <w:fldChar w:fldCharType="begin" w:fldLock="1"/>
      </w:r>
      <w:r w:rsidRPr="00941395">
        <w:rPr>
          <w:rStyle w:val="FootnotesCar"/>
          <w:rFonts w:ascii="Times New Roman" w:hAnsi="Times New Roman" w:cs="Times New Roman"/>
          <w:lang w:val="en-IE"/>
        </w:rPr>
        <w:instrText>ADDIN CSL_CITATION {"citationItems":[{"id":"ITEM-1","itemData":{"DOI":"http://dx.doi.org/10.2760/850726","author":[{"dropping-particle":"","family":"Lasarte-López. J.","given":"","non-dropping-particle":"","parse-names":false,"suffix":""},{"dropping-particle":"","family":"Ronzon","given":"T.","non-dropping-particle":"","parse-names":false,"suffix":""},{"dropping-particle":"","family":"Leeuwen","given":"M.","non-dropping-particle":"Van","parse-names":false,"suffix":""},{"dropping-particle":"","family":"Rossi","given":"W.","non-dropping-particle":"","parse-names":false,"suffix":""},{"dropping-particle":"","family":"M'barek","given":"R.","non-dropping-particle":"","parse-names":false,"suffix":""}],"id":"ITEM-1","issued":{"date-parts":[["2022"]]},"title":"Estimating employment and value added in the bioeconomy of EU regions","type":"report"},"uris":["http://www.mendeley.com/documents/?uuid=f669e49a-ba8d-3075-99a5-483f6f4db197"]}],"mendeley":{"formattedCitation":"(Lasarte-López. J. et al., 2022)","manualFormatting":"Lasarte-López. J. et al., 2022","plainTextFormattedCitation":"(Lasarte-López. J. et al., 2022)","previouslyFormattedCitation":"(Lasarte-López. J. et al., 2022)"},"properties":{"noteIndex":0},"schema":"https://github.com/citation-style-language/schema/raw/master/csl-citation.json"}</w:instrText>
      </w:r>
      <w:r w:rsidRPr="00941395">
        <w:rPr>
          <w:rStyle w:val="FootnotesCar"/>
          <w:rFonts w:ascii="Times New Roman" w:hAnsi="Times New Roman" w:cs="Times New Roman"/>
          <w:lang w:val="en-IE"/>
        </w:rPr>
        <w:fldChar w:fldCharType="separate"/>
      </w:r>
      <w:r w:rsidRPr="00941395">
        <w:rPr>
          <w:rStyle w:val="FootnotesCar"/>
          <w:rFonts w:ascii="Times New Roman" w:hAnsi="Times New Roman" w:cs="Times New Roman"/>
          <w:lang w:val="en-IE"/>
        </w:rPr>
        <w:t xml:space="preserve">Lasarte-López. </w:t>
      </w:r>
      <w:r w:rsidRPr="00641A5B">
        <w:rPr>
          <w:rStyle w:val="FootnotesCar"/>
          <w:rFonts w:ascii="Times New Roman" w:hAnsi="Times New Roman" w:cs="Times New Roman"/>
          <w:lang w:val="da-DK"/>
        </w:rPr>
        <w:t>J. et al., 2022</w:t>
      </w:r>
      <w:r w:rsidRPr="00941395">
        <w:rPr>
          <w:rStyle w:val="FootnotesCar"/>
          <w:rFonts w:ascii="Times New Roman" w:hAnsi="Times New Roman" w:cs="Times New Roman"/>
          <w:lang w:val="en-IE"/>
        </w:rPr>
        <w:fldChar w:fldCharType="end"/>
      </w:r>
      <w:r w:rsidRPr="00641A5B">
        <w:rPr>
          <w:rStyle w:val="FootnotesCar"/>
          <w:rFonts w:ascii="Times New Roman" w:hAnsi="Times New Roman" w:cs="Times New Roman"/>
          <w:lang w:val="da-DK"/>
        </w:rPr>
        <w:t xml:space="preserve"> </w:t>
      </w:r>
      <w:hyperlink r:id="rId24" w:tgtFrame="_blank" w:history="1">
        <w:r w:rsidRPr="00641A5B">
          <w:rPr>
            <w:rStyle w:val="FootnotesCar"/>
            <w:rFonts w:ascii="Times New Roman" w:hAnsi="Times New Roman" w:cs="Times New Roman"/>
            <w:lang w:val="da-DK"/>
          </w:rPr>
          <w:t>https://publications.jrc.ec.europa.eu/repository/handle/JRC128984</w:t>
        </w:r>
      </w:hyperlink>
      <w:r w:rsidRPr="00641A5B">
        <w:rPr>
          <w:rStyle w:val="FootnotesCar"/>
          <w:rFonts w:ascii="Times New Roman" w:hAnsi="Times New Roman" w:cs="Times New Roman"/>
          <w:lang w:val="da-DK"/>
        </w:rPr>
        <w:t>  </w:t>
      </w:r>
    </w:p>
    <w:p w14:paraId="3690D647" w14:textId="77777777" w:rsidR="00603581" w:rsidRPr="00641A5B" w:rsidRDefault="00603581" w:rsidP="00233296">
      <w:pPr>
        <w:pStyle w:val="FootnoteText"/>
        <w:rPr>
          <w:lang w:val="da-DK"/>
        </w:rPr>
      </w:pPr>
    </w:p>
  </w:footnote>
  <w:footnote w:id="157">
    <w:p w14:paraId="2DF78DC7" w14:textId="77777777" w:rsidR="00603581" w:rsidRPr="00941395" w:rsidRDefault="00603581" w:rsidP="00B47282">
      <w:pPr>
        <w:spacing w:after="0"/>
        <w:rPr>
          <w:rStyle w:val="FootnotesCar"/>
          <w:rFonts w:ascii="Times New Roman" w:hAnsi="Times New Roman" w:cs="Times New Roman"/>
          <w:sz w:val="20"/>
          <w:lang w:val="en-IE"/>
        </w:rPr>
      </w:pPr>
      <w:r w:rsidRPr="00941395">
        <w:rPr>
          <w:rStyle w:val="FootnotesCar"/>
          <w:rFonts w:ascii="Times New Roman" w:hAnsi="Times New Roman" w:cs="Times New Roman"/>
          <w:sz w:val="20"/>
          <w:lang w:val="en-IE"/>
        </w:rPr>
        <w:footnoteRef/>
      </w:r>
      <w:r w:rsidRPr="00941395">
        <w:rPr>
          <w:rStyle w:val="FootnotesCar"/>
          <w:rFonts w:ascii="Times New Roman" w:hAnsi="Times New Roman" w:cs="Times New Roman"/>
          <w:sz w:val="20"/>
          <w:lang w:val="en-IE"/>
        </w:rPr>
        <w:t xml:space="preserve"> FUSIONS, 2016</w:t>
      </w:r>
    </w:p>
  </w:footnote>
  <w:footnote w:id="158">
    <w:p w14:paraId="5A9731C9" w14:textId="0E897177" w:rsidR="00603581" w:rsidRPr="0001148E" w:rsidRDefault="00603581" w:rsidP="00B47282">
      <w:pPr>
        <w:pStyle w:val="FootnoteText"/>
        <w:rPr>
          <w:lang w:val="en-IE"/>
        </w:rPr>
      </w:pPr>
      <w:r w:rsidRPr="0001148E">
        <w:rPr>
          <w:rStyle w:val="FootnotesCar"/>
          <w:rFonts w:ascii="Times New Roman" w:hAnsi="Times New Roman" w:cs="Times New Roman"/>
          <w:sz w:val="20"/>
          <w:lang w:val="en-IE"/>
        </w:rPr>
        <w:footnoteRef/>
      </w:r>
      <w:r w:rsidRPr="0001148E">
        <w:rPr>
          <w:rStyle w:val="FootnotesCar"/>
          <w:rFonts w:ascii="Times New Roman" w:hAnsi="Times New Roman" w:cs="Times New Roman"/>
          <w:sz w:val="20"/>
          <w:lang w:val="en-IE"/>
        </w:rPr>
        <w:t xml:space="preserve"> Derived from the results presented in De Laurentiis et al. 2021</w:t>
      </w:r>
    </w:p>
  </w:footnote>
  <w:footnote w:id="159">
    <w:p w14:paraId="40CB45FE" w14:textId="40BB3624" w:rsidR="00603581" w:rsidRPr="007E0C85" w:rsidRDefault="00603581" w:rsidP="00B47282">
      <w:pPr>
        <w:pStyle w:val="FootnoteText"/>
        <w:rPr>
          <w:lang w:val="en-IE"/>
        </w:rPr>
      </w:pPr>
      <w:r w:rsidRPr="00B47282">
        <w:rPr>
          <w:rStyle w:val="FootnoteReference"/>
        </w:rPr>
        <w:footnoteRef/>
      </w:r>
      <w:r>
        <w:t xml:space="preserve"> </w:t>
      </w:r>
      <w:r w:rsidRPr="0001148E">
        <w:rPr>
          <w:rStyle w:val="normaltextrun"/>
          <w:color w:val="000000"/>
          <w:shd w:val="clear" w:color="auto" w:fill="FFFFFF"/>
          <w:lang w:val="en-IE"/>
        </w:rPr>
        <w:t>UK was considered</w:t>
      </w:r>
      <w:r w:rsidRPr="00941395">
        <w:rPr>
          <w:rStyle w:val="normaltextrun"/>
          <w:color w:val="000000"/>
          <w:shd w:val="clear" w:color="auto" w:fill="FFFFFF"/>
          <w:lang w:val="en-IE"/>
        </w:rPr>
        <w:t xml:space="preserve"> in the analysis due to the fact that this country is a pioneer in food waste reduction</w:t>
      </w:r>
    </w:p>
  </w:footnote>
  <w:footnote w:id="160">
    <w:p w14:paraId="14FB6F41" w14:textId="5FF02130" w:rsidR="00603581" w:rsidRPr="00226AE8" w:rsidRDefault="00603581" w:rsidP="00226AE8">
      <w:pPr>
        <w:pStyle w:val="CommentText"/>
        <w:jc w:val="left"/>
        <w:rPr>
          <w:lang w:val="en-IE"/>
        </w:rPr>
      </w:pPr>
      <w:r>
        <w:rPr>
          <w:rStyle w:val="FootnoteReference"/>
        </w:rPr>
        <w:footnoteRef/>
      </w:r>
      <w:r>
        <w:t xml:space="preserve"> WRAP 2022. The Food Waste Reduction Roadmap Progress Report 2022. </w:t>
      </w:r>
      <w:hyperlink r:id="rId25" w:history="1">
        <w:r w:rsidRPr="00481C69">
          <w:rPr>
            <w:rStyle w:val="Hyperlink"/>
          </w:rPr>
          <w:t>https://wrap.org.uk/sites/default/files/2022-12/WRAP_Food_Waste_Reduction_Roadmap_Progress_Report_2022.pdf</w:t>
        </w:r>
      </w:hyperlink>
      <w:r>
        <w:t xml:space="preserve"> </w:t>
      </w:r>
    </w:p>
  </w:footnote>
  <w:footnote w:id="161">
    <w:p w14:paraId="7F3A17A9" w14:textId="77777777" w:rsidR="00603581" w:rsidRPr="00941395" w:rsidRDefault="00603581" w:rsidP="00067F6E">
      <w:pPr>
        <w:pStyle w:val="FootnoteText"/>
        <w:rPr>
          <w:lang w:val="en-IE"/>
        </w:rPr>
      </w:pPr>
      <w:r w:rsidRPr="00941395">
        <w:rPr>
          <w:rStyle w:val="FootnoteReference"/>
          <w:lang w:val="en-IE"/>
        </w:rPr>
        <w:footnoteRef/>
      </w:r>
      <w:r w:rsidRPr="00941395">
        <w:rPr>
          <w:lang w:val="en-IE"/>
        </w:rPr>
        <w:t xml:space="preserve"> COM (2022) 141 final</w:t>
      </w:r>
    </w:p>
  </w:footnote>
  <w:footnote w:id="162">
    <w:p w14:paraId="5456E9BD" w14:textId="2914332B" w:rsidR="00603581" w:rsidRPr="00941395" w:rsidRDefault="00603581">
      <w:pPr>
        <w:pStyle w:val="FootnoteText"/>
        <w:rPr>
          <w:lang w:val="en-IE"/>
        </w:rPr>
      </w:pPr>
      <w:r w:rsidRPr="00941395">
        <w:rPr>
          <w:rStyle w:val="FootnoteReference"/>
          <w:lang w:val="en-IE"/>
        </w:rPr>
        <w:footnoteRef/>
      </w:r>
      <w:r w:rsidRPr="00941395">
        <w:rPr>
          <w:lang w:val="en-IE"/>
        </w:rPr>
        <w:t xml:space="preserve"> McKinsey &amp; Company, 2022.</w:t>
      </w:r>
    </w:p>
  </w:footnote>
  <w:footnote w:id="163">
    <w:p w14:paraId="24A2EFD5" w14:textId="67174136" w:rsidR="00603581" w:rsidRPr="006554B6" w:rsidRDefault="00603581">
      <w:pPr>
        <w:pStyle w:val="FootnoteText"/>
        <w:rPr>
          <w:lang w:val="en-IE"/>
        </w:rPr>
      </w:pPr>
      <w:r w:rsidRPr="00941395">
        <w:rPr>
          <w:rStyle w:val="FootnoteReference"/>
          <w:lang w:val="en-IE"/>
        </w:rPr>
        <w:footnoteRef/>
      </w:r>
      <w:r w:rsidRPr="00941395">
        <w:rPr>
          <w:lang w:val="en-IE"/>
        </w:rPr>
        <w:t xml:space="preserve"> This estimate includes CH that amounts to roughly 1.1% of total </w:t>
      </w:r>
    </w:p>
  </w:footnote>
  <w:footnote w:id="164">
    <w:p w14:paraId="6D871195" w14:textId="5F32C936" w:rsidR="00603581" w:rsidRPr="006D0899" w:rsidRDefault="00603581" w:rsidP="00272939">
      <w:pPr>
        <w:pStyle w:val="FootnoteText"/>
        <w:rPr>
          <w:lang w:val="en-IE"/>
        </w:rPr>
      </w:pPr>
      <w:r w:rsidRPr="00941395">
        <w:rPr>
          <w:rStyle w:val="FootnoteReference"/>
          <w:lang w:val="en-IE"/>
        </w:rPr>
        <w:footnoteRef/>
      </w:r>
      <w:r w:rsidRPr="00941395">
        <w:rPr>
          <w:lang w:val="en-IE"/>
        </w:rPr>
        <w:t xml:space="preserve"> Calculated with MAGNET model including rebound effect. </w:t>
      </w:r>
      <w:r w:rsidRPr="00941395">
        <w:rPr>
          <w:color w:val="000000"/>
          <w:lang w:val="en-IE"/>
        </w:rPr>
        <w:t>Rebound effect refers to increased emissions resulting from increased economic activities in other sectors due to savings from food spending being spent on other types of consumption</w:t>
      </w:r>
    </w:p>
  </w:footnote>
  <w:footnote w:id="165">
    <w:p w14:paraId="3ACE28E1" w14:textId="49B5ED1A" w:rsidR="00603581" w:rsidRPr="00941395" w:rsidRDefault="00603581">
      <w:pPr>
        <w:pStyle w:val="FootnoteText"/>
        <w:rPr>
          <w:lang w:val="en-IE"/>
        </w:rPr>
      </w:pPr>
      <w:r w:rsidRPr="00941395">
        <w:rPr>
          <w:rStyle w:val="FootnoteReference"/>
          <w:lang w:val="en-IE"/>
        </w:rPr>
        <w:footnoteRef/>
      </w:r>
      <w:r w:rsidRPr="00941395">
        <w:rPr>
          <w:lang w:val="en-IE"/>
        </w:rPr>
        <w:t xml:space="preserve"> Calculated with bottom-up analysis</w:t>
      </w:r>
    </w:p>
  </w:footnote>
  <w:footnote w:id="166">
    <w:p w14:paraId="62FC59B2" w14:textId="12540C7F" w:rsidR="00603581" w:rsidRPr="00941395" w:rsidRDefault="00603581" w:rsidP="00272939">
      <w:pPr>
        <w:pStyle w:val="FootnoteText"/>
        <w:rPr>
          <w:lang w:val="en-IE"/>
        </w:rPr>
      </w:pPr>
      <w:r w:rsidRPr="00941395">
        <w:rPr>
          <w:rStyle w:val="FootnoteReference"/>
          <w:lang w:val="en-IE"/>
        </w:rPr>
        <w:footnoteRef/>
      </w:r>
      <w:r w:rsidRPr="00941395">
        <w:rPr>
          <w:lang w:val="en-IE"/>
        </w:rPr>
        <w:t xml:space="preserve"> Pt - Dimensionless (point) unit representing soil quality index (LANCA model) - taking into account erosion resistance, physicochemical filtration, groundwater regeneration, mechanical filtration and biotic production.</w:t>
      </w:r>
    </w:p>
  </w:footnote>
  <w:footnote w:id="167">
    <w:p w14:paraId="46D07C31" w14:textId="77777777" w:rsidR="00603581" w:rsidRPr="00941395" w:rsidRDefault="00603581" w:rsidP="00A1504A">
      <w:pPr>
        <w:pStyle w:val="FootnoteText"/>
        <w:rPr>
          <w:lang w:val="en-IE"/>
        </w:rPr>
      </w:pPr>
      <w:r w:rsidRPr="00941395">
        <w:rPr>
          <w:rStyle w:val="FootnoteReference"/>
          <w:lang w:val="en-IE"/>
        </w:rPr>
        <w:footnoteRef/>
      </w:r>
      <w:r w:rsidRPr="00941395">
        <w:rPr>
          <w:lang w:val="en-IE"/>
        </w:rPr>
        <w:t xml:space="preserve"> AGRI includes all primary agricultural commodities (crops and livestock), FOOD includes all processed food commodities, including food services</w:t>
      </w:r>
    </w:p>
  </w:footnote>
  <w:footnote w:id="168">
    <w:p w14:paraId="47393433" w14:textId="77777777" w:rsidR="00603581" w:rsidRPr="00941395" w:rsidRDefault="00603581" w:rsidP="00A1504A">
      <w:pPr>
        <w:pStyle w:val="FootnoteText"/>
        <w:rPr>
          <w:lang w:val="en-IE"/>
        </w:rPr>
      </w:pPr>
      <w:r w:rsidRPr="00941395">
        <w:rPr>
          <w:rStyle w:val="FootnoteReference"/>
          <w:lang w:val="en-IE"/>
        </w:rPr>
        <w:footnoteRef/>
      </w:r>
      <w:r w:rsidRPr="00941395">
        <w:rPr>
          <w:lang w:val="en-IE"/>
        </w:rPr>
        <w:t xml:space="preserve"> PRIM – primary production. PROC – processing and manufacturing. Household includes out-of-home consumption (food services)</w:t>
      </w:r>
    </w:p>
  </w:footnote>
  <w:footnote w:id="169">
    <w:p w14:paraId="78C26B5D" w14:textId="62D0DAD9" w:rsidR="00603581" w:rsidRPr="00941395" w:rsidRDefault="00603581" w:rsidP="00EC285C">
      <w:pPr>
        <w:pStyle w:val="FootnoteText"/>
        <w:rPr>
          <w:lang w:val="en-IE"/>
        </w:rPr>
      </w:pPr>
      <w:r w:rsidRPr="00941395">
        <w:rPr>
          <w:rStyle w:val="FootnoteReference"/>
          <w:lang w:val="en-IE"/>
        </w:rPr>
        <w:footnoteRef/>
      </w:r>
      <w:r w:rsidRPr="00941395">
        <w:rPr>
          <w:lang w:val="en-IE"/>
        </w:rPr>
        <w:t xml:space="preserve"> i.e. primary production and processing and manufacturing and </w:t>
      </w:r>
      <w:r w:rsidRPr="00941395">
        <w:rPr>
          <w:rFonts w:eastAsia="Times New Roman"/>
          <w:color w:val="000000" w:themeColor="text1"/>
          <w:lang w:val="en-IE" w:eastAsia="en-IE"/>
        </w:rPr>
        <w:t>not including retail and food services</w:t>
      </w:r>
      <w:r w:rsidRPr="00941395">
        <w:rPr>
          <w:rFonts w:eastAsia="Times New Roman"/>
          <w:color w:val="000000" w:themeColor="text1"/>
          <w:u w:val="single"/>
          <w:lang w:val="en-IE" w:eastAsia="en-IE"/>
        </w:rPr>
        <w:t xml:space="preserve"> </w:t>
      </w:r>
    </w:p>
  </w:footnote>
  <w:footnote w:id="170">
    <w:p w14:paraId="5FCA2A32" w14:textId="77777777" w:rsidR="00603581" w:rsidRPr="00941395" w:rsidRDefault="00603581" w:rsidP="00417DB7">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w:t>
      </w:r>
      <w:r w:rsidRPr="00941395">
        <w:rPr>
          <w:rFonts w:eastAsia="Segoe UI"/>
          <w:sz w:val="20"/>
          <w:szCs w:val="20"/>
          <w:lang w:val="en-IE"/>
        </w:rPr>
        <w:t>EURATEX, 2022.  Facts &amp; key figures of the European textile and clothing industry 2022</w:t>
      </w:r>
    </w:p>
  </w:footnote>
  <w:footnote w:id="171">
    <w:p w14:paraId="407D8F80" w14:textId="77777777" w:rsidR="00603581" w:rsidRPr="00941395" w:rsidRDefault="00603581" w:rsidP="00FF7395">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w:t>
      </w:r>
      <w:r w:rsidRPr="00941395">
        <w:rPr>
          <w:rFonts w:eastAsia="Segoe UI"/>
          <w:sz w:val="20"/>
          <w:szCs w:val="20"/>
          <w:lang w:val="en-IE"/>
        </w:rPr>
        <w:t>Annual enterprise statistics by size class for special aggregates of activities (NACE Rev. 2) [SBS_SC_SCA_R2__custom_3996079]</w:t>
      </w:r>
    </w:p>
  </w:footnote>
  <w:footnote w:id="172">
    <w:p w14:paraId="2BF6F2A6" w14:textId="77777777" w:rsidR="00603581" w:rsidRPr="00941395" w:rsidRDefault="00603581" w:rsidP="00FF7395">
      <w:pPr>
        <w:spacing w:after="0"/>
        <w:jc w:val="left"/>
        <w:rPr>
          <w:lang w:val="en-IE"/>
        </w:rPr>
      </w:pPr>
      <w:r w:rsidRPr="00941395">
        <w:rPr>
          <w:sz w:val="20"/>
          <w:szCs w:val="20"/>
          <w:vertAlign w:val="superscript"/>
          <w:lang w:val="en-IE"/>
        </w:rPr>
        <w:footnoteRef/>
      </w:r>
      <w:r w:rsidRPr="00941395">
        <w:rPr>
          <w:sz w:val="20"/>
          <w:szCs w:val="20"/>
          <w:lang w:val="en-IE"/>
        </w:rPr>
        <w:t xml:space="preserve"> </w:t>
      </w:r>
      <w:r>
        <w:rPr>
          <w:rFonts w:eastAsia="Segoe UI"/>
          <w:sz w:val="20"/>
          <w:szCs w:val="20"/>
          <w:lang w:val="en-IE"/>
        </w:rPr>
        <w:t>13 758</w:t>
      </w:r>
      <w:r w:rsidRPr="00941395">
        <w:rPr>
          <w:rFonts w:eastAsia="Segoe UI"/>
          <w:sz w:val="20"/>
          <w:szCs w:val="20"/>
          <w:lang w:val="en-IE"/>
        </w:rPr>
        <w:t xml:space="preserve"> employee 10-19 persons, </w:t>
      </w:r>
      <w:r>
        <w:rPr>
          <w:rFonts w:eastAsia="Segoe UI"/>
          <w:sz w:val="20"/>
          <w:szCs w:val="20"/>
          <w:lang w:val="en-IE"/>
        </w:rPr>
        <w:t>9 106</w:t>
      </w:r>
      <w:r w:rsidRPr="00941395">
        <w:rPr>
          <w:rFonts w:eastAsia="Segoe UI"/>
          <w:sz w:val="20"/>
          <w:szCs w:val="20"/>
          <w:lang w:val="en-IE"/>
        </w:rPr>
        <w:t xml:space="preserve"> employ 20-49 persons and </w:t>
      </w:r>
      <w:r>
        <w:rPr>
          <w:rFonts w:eastAsia="Segoe UI"/>
          <w:sz w:val="20"/>
          <w:szCs w:val="20"/>
          <w:lang w:val="en-IE"/>
        </w:rPr>
        <w:t>4 621</w:t>
      </w:r>
      <w:r w:rsidRPr="00941395">
        <w:rPr>
          <w:rFonts w:eastAsia="Segoe UI"/>
          <w:sz w:val="20"/>
          <w:szCs w:val="20"/>
          <w:lang w:val="en-IE"/>
        </w:rPr>
        <w:t xml:space="preserve"> employ 50-249 persons.</w:t>
      </w:r>
    </w:p>
  </w:footnote>
  <w:footnote w:id="173">
    <w:p w14:paraId="6843D65E" w14:textId="77777777" w:rsidR="00603581" w:rsidRPr="00B633E5" w:rsidRDefault="00603581" w:rsidP="00417DB7">
      <w:pPr>
        <w:rPr>
          <w:sz w:val="20"/>
          <w:lang w:val="en-IE"/>
        </w:rPr>
      </w:pPr>
      <w:r w:rsidRPr="00941395">
        <w:rPr>
          <w:color w:val="000000" w:themeColor="text1"/>
          <w:sz w:val="20"/>
          <w:shd w:val="clear" w:color="auto" w:fill="E6E6E6"/>
          <w:vertAlign w:val="superscript"/>
          <w:lang w:val="en-IE"/>
        </w:rPr>
        <w:footnoteRef/>
      </w:r>
      <w:r w:rsidRPr="00B633E5">
        <w:rPr>
          <w:color w:val="000000" w:themeColor="text1"/>
          <w:sz w:val="20"/>
          <w:shd w:val="clear" w:color="auto" w:fill="E6E6E6"/>
          <w:lang w:val="en-IE"/>
        </w:rPr>
        <w:t xml:space="preserve"> SBS_NA_DT_R2</w:t>
      </w:r>
    </w:p>
  </w:footnote>
  <w:footnote w:id="174">
    <w:p w14:paraId="7564C8B8" w14:textId="77777777" w:rsidR="00603581" w:rsidRDefault="00603581" w:rsidP="0030799A">
      <w:pPr>
        <w:pStyle w:val="FootnoteText"/>
      </w:pPr>
      <w:r>
        <w:rPr>
          <w:rStyle w:val="FootnoteReference"/>
        </w:rPr>
        <w:footnoteRef/>
      </w:r>
      <w:r>
        <w:t xml:space="preserve"> </w:t>
      </w:r>
      <w:r>
        <w:rPr>
          <w:rFonts w:eastAsia="Segoe UI"/>
        </w:rPr>
        <w:t>Enterprise statistics by size class and NACE Rev. 2 [SBS_SC_OVW]</w:t>
      </w:r>
    </w:p>
  </w:footnote>
  <w:footnote w:id="175">
    <w:p w14:paraId="0CC1E0A0" w14:textId="7D688BF6" w:rsidR="00603581" w:rsidRPr="00724261" w:rsidRDefault="00603581">
      <w:pPr>
        <w:pStyle w:val="FootnoteText"/>
        <w:rPr>
          <w:lang w:val="fr-BE"/>
        </w:rPr>
      </w:pPr>
      <w:r>
        <w:rPr>
          <w:rStyle w:val="FootnoteReference"/>
        </w:rPr>
        <w:footnoteRef/>
      </w:r>
      <w:r w:rsidRPr="00B633E5">
        <w:rPr>
          <w:lang w:val="fr-BE"/>
        </w:rPr>
        <w:t xml:space="preserve"> </w:t>
      </w:r>
      <w:hyperlink r:id="rId26" w:tooltip="Comprendre le processus réglementaire et législatif : définition de ''Ordonnance''" w:history="1">
        <w:r w:rsidRPr="00724261">
          <w:rPr>
            <w:rStyle w:val="Hyperlink"/>
            <w:color w:val="484848"/>
            <w:shd w:val="clear" w:color="auto" w:fill="FFFFFF"/>
            <w:lang w:val="fr-BE"/>
          </w:rPr>
          <w:t>Ordonnance</w:t>
        </w:r>
      </w:hyperlink>
      <w:r w:rsidRPr="00724261">
        <w:rPr>
          <w:color w:val="484848"/>
          <w:shd w:val="clear" w:color="auto" w:fill="FFFFFF"/>
          <w:lang w:val="fr-BE"/>
        </w:rPr>
        <w:t> n° 2019-1069 du 21 octobre 2019 relative à la lutte contre le gaspillage alimentaire</w:t>
      </w:r>
    </w:p>
  </w:footnote>
  <w:footnote w:id="176">
    <w:p w14:paraId="29ADEE1F" w14:textId="493B8EBB" w:rsidR="00603581" w:rsidRPr="00B633E5" w:rsidRDefault="00603581" w:rsidP="00724261">
      <w:pPr>
        <w:pStyle w:val="FootnoteText"/>
        <w:jc w:val="left"/>
        <w:rPr>
          <w:lang w:val="fr-BE"/>
        </w:rPr>
      </w:pPr>
      <w:r>
        <w:rPr>
          <w:rStyle w:val="FootnoteReference"/>
        </w:rPr>
        <w:footnoteRef/>
      </w:r>
      <w:r w:rsidRPr="00226AE8">
        <w:rPr>
          <w:lang w:val="fr-BE"/>
        </w:rPr>
        <w:t xml:space="preserve"> </w:t>
      </w:r>
      <w:hyperlink r:id="rId27" w:history="1">
        <w:r w:rsidRPr="00226AE8">
          <w:rPr>
            <w:rStyle w:val="Hyperlink"/>
            <w:lang w:val="fr-BE"/>
          </w:rPr>
          <w:t>https://www.legifrance.gouv.fr/contenu/Media/Files/autour-de-la-loi/legislatif-et-reglementaire/fiches-d-impact/fiches-d-impact-ordonnances/2019/fi_agrg1920827r_25_09_2019.pdf</w:t>
        </w:r>
      </w:hyperlink>
      <w:r w:rsidRPr="00226AE8">
        <w:rPr>
          <w:lang w:val="fr-BE"/>
        </w:rPr>
        <w:t xml:space="preserve"> </w:t>
      </w:r>
    </w:p>
  </w:footnote>
  <w:footnote w:id="177">
    <w:p w14:paraId="414B99ED" w14:textId="77777777" w:rsidR="00603581" w:rsidRPr="00941395" w:rsidRDefault="00603581" w:rsidP="00AA4484">
      <w:pPr>
        <w:pStyle w:val="FootnoteText"/>
        <w:rPr>
          <w:lang w:val="en-IE"/>
        </w:rPr>
      </w:pPr>
      <w:r w:rsidRPr="00941395">
        <w:rPr>
          <w:rStyle w:val="FootnoteReference"/>
          <w:lang w:val="en-IE"/>
        </w:rPr>
        <w:footnoteRef/>
      </w:r>
      <w:r w:rsidRPr="00941395">
        <w:rPr>
          <w:lang w:val="en-IE"/>
        </w:rPr>
        <w:t xml:space="preserve"> European Commission, European Citizens’ Panel on Food Waste Final recommendations February 2023, </w:t>
      </w:r>
      <w:hyperlink r:id="rId28" w:history="1">
        <w:r w:rsidRPr="00941395">
          <w:rPr>
            <w:rStyle w:val="Hyperlink"/>
            <w:lang w:val="en-IE"/>
          </w:rPr>
          <w:t>flw_eu-actions_fwrt_20230210_recom-cit_0.pdf (europa.eu)</w:t>
        </w:r>
      </w:hyperlink>
      <w:r w:rsidRPr="00941395">
        <w:rPr>
          <w:rStyle w:val="Hyperlink"/>
          <w:lang w:val="en-IE"/>
        </w:rPr>
        <w:t>.</w:t>
      </w:r>
    </w:p>
  </w:footnote>
  <w:footnote w:id="178">
    <w:p w14:paraId="2DD58AB5" w14:textId="77777777" w:rsidR="00603581" w:rsidRPr="003D6491" w:rsidRDefault="00603581" w:rsidP="00AA4484">
      <w:pPr>
        <w:pStyle w:val="FootnoteText"/>
        <w:rPr>
          <w:lang w:val="en-IE"/>
        </w:rPr>
      </w:pPr>
      <w:r>
        <w:rPr>
          <w:rStyle w:val="FootnoteReference"/>
        </w:rPr>
        <w:footnoteRef/>
      </w:r>
      <w:r>
        <w:t xml:space="preserve"> </w:t>
      </w:r>
      <w:r w:rsidRPr="006214E6">
        <w:rPr>
          <w:sz w:val="18"/>
          <w:szCs w:val="18"/>
        </w:rPr>
        <w:t>The proposed revision of the Waste Framework Directive covers both food and textiles waste.</w:t>
      </w:r>
    </w:p>
  </w:footnote>
  <w:footnote w:id="179">
    <w:p w14:paraId="74370A6E" w14:textId="77777777" w:rsidR="00603581" w:rsidRPr="00290F74" w:rsidRDefault="00603581" w:rsidP="00AA4484">
      <w:pPr>
        <w:pStyle w:val="FootnoteText"/>
        <w:rPr>
          <w:lang w:val="en-IE"/>
        </w:rPr>
      </w:pPr>
      <w:r>
        <w:rPr>
          <w:rStyle w:val="FootnoteReference"/>
        </w:rPr>
        <w:footnoteRef/>
      </w:r>
      <w:r w:rsidRPr="00290F74">
        <w:rPr>
          <w:lang w:val="en-IE"/>
        </w:rPr>
        <w:t xml:space="preserve"> </w:t>
      </w:r>
      <w:r w:rsidRPr="00A8561A">
        <w:rPr>
          <w:lang w:val="en-IE"/>
        </w:rPr>
        <w:t>OJ C 361, 25.10.2017, p. 1–29</w:t>
      </w:r>
    </w:p>
  </w:footnote>
  <w:footnote w:id="180">
    <w:p w14:paraId="7E982581" w14:textId="77777777" w:rsidR="00603581" w:rsidRPr="00290F74" w:rsidRDefault="00603581" w:rsidP="00AA4484">
      <w:pPr>
        <w:pStyle w:val="FootnoteText"/>
        <w:rPr>
          <w:lang w:val="en-IE"/>
        </w:rPr>
      </w:pPr>
      <w:r>
        <w:rPr>
          <w:rStyle w:val="FootnoteReference"/>
        </w:rPr>
        <w:footnoteRef/>
      </w:r>
      <w:r>
        <w:t xml:space="preserve"> </w:t>
      </w:r>
      <w:r w:rsidRPr="00290F74">
        <w:t xml:space="preserve">European Commission, EU Project: </w:t>
      </w:r>
      <w:hyperlink r:id="rId29" w:history="1">
        <w:r w:rsidRPr="00290F74">
          <w:rPr>
            <w:rStyle w:val="Hyperlink"/>
            <w:i/>
          </w:rPr>
          <w:t>European Consumer Food Waste Forum</w:t>
        </w:r>
      </w:hyperlink>
      <w:r w:rsidRPr="00290F74">
        <w:t>, October 2021 - July 2023.</w:t>
      </w:r>
    </w:p>
  </w:footnote>
  <w:footnote w:id="181">
    <w:p w14:paraId="2DE3B655" w14:textId="77777777" w:rsidR="00603581" w:rsidRPr="00290F74" w:rsidRDefault="00603581" w:rsidP="00AA4484">
      <w:pPr>
        <w:pStyle w:val="FootnoteText"/>
        <w:rPr>
          <w:lang w:val="en-IE"/>
        </w:rPr>
      </w:pPr>
      <w:r w:rsidRPr="002A491C">
        <w:rPr>
          <w:rStyle w:val="FootnoteReference"/>
        </w:rPr>
        <w:footnoteRef/>
      </w:r>
      <w:r w:rsidRPr="00290F74">
        <w:rPr>
          <w:lang w:val="en-IE"/>
        </w:rPr>
        <w:t xml:space="preserve"> </w:t>
      </w:r>
      <w:r>
        <w:rPr>
          <w:lang w:val="en-IE"/>
        </w:rPr>
        <w:t>OJ L 150, 14.6.2018, p. 109-140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FE61" w14:textId="77777777" w:rsidR="00641A5B" w:rsidRDefault="00641A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925B" w14:textId="77777777" w:rsidR="00603581" w:rsidRDefault="00603581" w:rsidP="000E30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4A1C" w14:textId="77777777" w:rsidR="00603581" w:rsidRDefault="00603581" w:rsidP="000E30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0364" w14:textId="77777777" w:rsidR="00603581" w:rsidRDefault="00603581" w:rsidP="000E30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AD05" w14:textId="77777777" w:rsidR="00603581" w:rsidRDefault="00603581" w:rsidP="000E30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1E73" w14:textId="77777777" w:rsidR="00603581" w:rsidRDefault="00603581" w:rsidP="000E30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37FD" w14:textId="77777777" w:rsidR="00603581" w:rsidRDefault="00603581" w:rsidP="000E30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2AB2" w14:textId="77777777" w:rsidR="00603581" w:rsidRDefault="0060358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03581" w14:paraId="7E38111F" w14:textId="77777777" w:rsidTr="00F160D3">
      <w:trPr>
        <w:trHeight w:val="300"/>
      </w:trPr>
      <w:tc>
        <w:tcPr>
          <w:tcW w:w="3005" w:type="dxa"/>
        </w:tcPr>
        <w:p w14:paraId="18BF7DC8" w14:textId="77777777" w:rsidR="00603581" w:rsidRDefault="00603581" w:rsidP="00F160D3">
          <w:pPr>
            <w:pStyle w:val="Header"/>
            <w:ind w:left="-115"/>
            <w:jc w:val="left"/>
          </w:pPr>
        </w:p>
      </w:tc>
      <w:tc>
        <w:tcPr>
          <w:tcW w:w="3005" w:type="dxa"/>
        </w:tcPr>
        <w:p w14:paraId="054927F1" w14:textId="77777777" w:rsidR="00603581" w:rsidRDefault="00603581" w:rsidP="00F160D3">
          <w:pPr>
            <w:pStyle w:val="Header"/>
            <w:jc w:val="center"/>
          </w:pPr>
        </w:p>
      </w:tc>
      <w:tc>
        <w:tcPr>
          <w:tcW w:w="3005" w:type="dxa"/>
        </w:tcPr>
        <w:p w14:paraId="628E0A90" w14:textId="77777777" w:rsidR="00603581" w:rsidRDefault="00603581" w:rsidP="00F160D3">
          <w:pPr>
            <w:pStyle w:val="Header"/>
            <w:ind w:right="-115"/>
            <w:jc w:val="right"/>
          </w:pPr>
        </w:p>
      </w:tc>
    </w:tr>
  </w:tbl>
  <w:p w14:paraId="47F5D829" w14:textId="77777777" w:rsidR="00603581" w:rsidRDefault="0060358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9496" w14:textId="77777777" w:rsidR="00603581" w:rsidRDefault="0060358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2AFC" w14:textId="77777777" w:rsidR="00603581" w:rsidRDefault="006035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B529" w14:textId="76929ADA" w:rsidR="00641A5B" w:rsidRPr="00641A5B" w:rsidRDefault="00641A5B" w:rsidP="00641A5B">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03581" w14:paraId="1CA84EE3" w14:textId="77777777" w:rsidTr="00F160D3">
      <w:trPr>
        <w:trHeight w:val="300"/>
      </w:trPr>
      <w:tc>
        <w:tcPr>
          <w:tcW w:w="4650" w:type="dxa"/>
        </w:tcPr>
        <w:p w14:paraId="692D76BC" w14:textId="77777777" w:rsidR="00603581" w:rsidRDefault="00603581" w:rsidP="00F160D3">
          <w:pPr>
            <w:pStyle w:val="Header"/>
            <w:ind w:left="-115"/>
            <w:jc w:val="left"/>
          </w:pPr>
        </w:p>
      </w:tc>
      <w:tc>
        <w:tcPr>
          <w:tcW w:w="4650" w:type="dxa"/>
        </w:tcPr>
        <w:p w14:paraId="103103FC" w14:textId="77777777" w:rsidR="00603581" w:rsidRDefault="00603581" w:rsidP="00F160D3">
          <w:pPr>
            <w:pStyle w:val="Header"/>
            <w:jc w:val="center"/>
          </w:pPr>
        </w:p>
      </w:tc>
      <w:tc>
        <w:tcPr>
          <w:tcW w:w="4650" w:type="dxa"/>
        </w:tcPr>
        <w:p w14:paraId="43728D6C" w14:textId="77777777" w:rsidR="00603581" w:rsidRDefault="00603581" w:rsidP="00F160D3">
          <w:pPr>
            <w:pStyle w:val="Header"/>
            <w:ind w:right="-115"/>
            <w:jc w:val="right"/>
          </w:pPr>
        </w:p>
      </w:tc>
    </w:tr>
  </w:tbl>
  <w:p w14:paraId="7FE72E75" w14:textId="77777777" w:rsidR="00603581" w:rsidRDefault="006035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38D3" w14:textId="77777777" w:rsidR="00603581" w:rsidRDefault="006035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A087" w14:textId="77777777" w:rsidR="00603581" w:rsidRDefault="00603581" w:rsidP="000E30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98D8" w14:textId="77777777" w:rsidR="00603581" w:rsidRDefault="00603581" w:rsidP="000E30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D96E" w14:textId="77777777" w:rsidR="00603581" w:rsidRDefault="00603581" w:rsidP="000E30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76B0" w14:textId="77777777" w:rsidR="00603581" w:rsidRDefault="00603581" w:rsidP="000E30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30E2" w14:textId="77777777" w:rsidR="00603581" w:rsidRDefault="00603581" w:rsidP="000E308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4BC6" w14:textId="77777777" w:rsidR="00603581" w:rsidRDefault="00603581" w:rsidP="000E30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C5EE" w14:textId="77777777" w:rsidR="00603581" w:rsidRDefault="00603581" w:rsidP="000E30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132D" w14:textId="77777777" w:rsidR="00603581" w:rsidRDefault="00603581" w:rsidP="000E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E693" w14:textId="362C2DCE" w:rsidR="00641A5B" w:rsidRPr="00641A5B" w:rsidRDefault="00641A5B" w:rsidP="00641A5B">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5A2A" w14:textId="77777777" w:rsidR="00603581" w:rsidRDefault="00603581" w:rsidP="000E308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0C96" w14:textId="77777777" w:rsidR="00603581" w:rsidRDefault="00603581" w:rsidP="000E308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67BB" w14:textId="77777777" w:rsidR="00603581" w:rsidRDefault="00603581" w:rsidP="000E308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7873" w14:textId="77777777" w:rsidR="00603581" w:rsidRDefault="00603581" w:rsidP="000E3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6059" w14:textId="77777777" w:rsidR="00641A5B" w:rsidRDefault="00641A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5CC1" w14:textId="77777777" w:rsidR="00641A5B" w:rsidRDefault="00641A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991A" w14:textId="77777777" w:rsidR="00641A5B" w:rsidRDefault="00641A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8255" w14:textId="77777777" w:rsidR="00603581" w:rsidRDefault="00603581"/>
  <w:p w14:paraId="282FB825" w14:textId="77777777" w:rsidR="00603581" w:rsidRDefault="00603581"/>
  <w:p w14:paraId="49B81EEF" w14:textId="77777777" w:rsidR="00603581" w:rsidRDefault="00603581"/>
  <w:p w14:paraId="37879935" w14:textId="77777777" w:rsidR="00603581" w:rsidRDefault="00603581">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9D2C" w14:textId="77777777" w:rsidR="00603581" w:rsidRDefault="006035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E91E" w14:textId="77777777" w:rsidR="00603581" w:rsidRDefault="00603581">
    <w:r>
      <w:cr/>
    </w:r>
  </w:p>
</w:hdr>
</file>

<file path=word/intelligence2.xml><?xml version="1.0" encoding="utf-8"?>
<int2:intelligence xmlns:int2="http://schemas.microsoft.com/office/intelligence/2020/intelligence" xmlns:oel="http://schemas.microsoft.com/office/2019/extlst">
  <int2:observations>
    <int2:textHash int2:hashCode="LNTwcoqmArmVeY" int2:id="AEKuJlAn">
      <int2:state int2:value="Rejected" int2:type="LegacyProofing"/>
    </int2:textHash>
    <int2:textHash int2:hashCode="Kd4F0jtxRXpYQZ" int2:id="Ld50aYj5">
      <int2:state int2:value="Rejected" int2:type="LegacyProofing"/>
    </int2:textHash>
    <int2:textHash int2:hashCode="TT3UfZDZBYlEoH" int2:id="hURXOmHd">
      <int2:state int2:value="Rejected" int2:type="LegacyProofing"/>
    </int2:textHash>
    <int2:textHash int2:hashCode="DVl6ZFaDb2ek6G" int2:id="yvcKBrLJ">
      <int2:state int2:value="Rejected" int2:type="LegacyProofing"/>
    </int2:textHash>
    <int2:bookmark int2:bookmarkName="_Int_KTsyBipl" int2:invalidationBookmarkName="" int2:hashCode="i3yFfLulxsiHAF" int2:id="YDnDYiH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8E5"/>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113297"/>
    <w:multiLevelType w:val="hybridMultilevel"/>
    <w:tmpl w:val="77F21826"/>
    <w:lvl w:ilvl="0" w:tplc="41D02D4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C47808"/>
    <w:multiLevelType w:val="hybridMultilevel"/>
    <w:tmpl w:val="5B8697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129E2C"/>
    <w:multiLevelType w:val="hybridMultilevel"/>
    <w:tmpl w:val="1738255E"/>
    <w:lvl w:ilvl="0" w:tplc="FAC04886">
      <w:start w:val="1"/>
      <w:numFmt w:val="lowerLetter"/>
      <w:lvlText w:val="%1."/>
      <w:lvlJc w:val="left"/>
      <w:pPr>
        <w:ind w:left="720" w:hanging="360"/>
      </w:pPr>
    </w:lvl>
    <w:lvl w:ilvl="1" w:tplc="9E5CD326">
      <w:start w:val="1"/>
      <w:numFmt w:val="lowerLetter"/>
      <w:lvlText w:val="%2."/>
      <w:lvlJc w:val="left"/>
      <w:pPr>
        <w:ind w:left="1440" w:hanging="360"/>
      </w:pPr>
    </w:lvl>
    <w:lvl w:ilvl="2" w:tplc="DF0ED9DA">
      <w:start w:val="1"/>
      <w:numFmt w:val="lowerRoman"/>
      <w:lvlText w:val="%3."/>
      <w:lvlJc w:val="right"/>
      <w:pPr>
        <w:ind w:left="2160" w:hanging="180"/>
      </w:pPr>
    </w:lvl>
    <w:lvl w:ilvl="3" w:tplc="424E0166">
      <w:start w:val="1"/>
      <w:numFmt w:val="decimal"/>
      <w:lvlText w:val="%4."/>
      <w:lvlJc w:val="left"/>
      <w:pPr>
        <w:ind w:left="2880" w:hanging="360"/>
      </w:pPr>
    </w:lvl>
    <w:lvl w:ilvl="4" w:tplc="F3E66FBE">
      <w:start w:val="1"/>
      <w:numFmt w:val="lowerLetter"/>
      <w:lvlText w:val="%5."/>
      <w:lvlJc w:val="left"/>
      <w:pPr>
        <w:ind w:left="3600" w:hanging="360"/>
      </w:pPr>
    </w:lvl>
    <w:lvl w:ilvl="5" w:tplc="35765B74">
      <w:start w:val="1"/>
      <w:numFmt w:val="lowerRoman"/>
      <w:lvlText w:val="%6."/>
      <w:lvlJc w:val="right"/>
      <w:pPr>
        <w:ind w:left="4320" w:hanging="180"/>
      </w:pPr>
    </w:lvl>
    <w:lvl w:ilvl="6" w:tplc="C5803A20">
      <w:start w:val="1"/>
      <w:numFmt w:val="decimal"/>
      <w:lvlText w:val="%7."/>
      <w:lvlJc w:val="left"/>
      <w:pPr>
        <w:ind w:left="5040" w:hanging="360"/>
      </w:pPr>
    </w:lvl>
    <w:lvl w:ilvl="7" w:tplc="3D44D0E4">
      <w:start w:val="1"/>
      <w:numFmt w:val="lowerLetter"/>
      <w:lvlText w:val="%8."/>
      <w:lvlJc w:val="left"/>
      <w:pPr>
        <w:ind w:left="5760" w:hanging="360"/>
      </w:pPr>
    </w:lvl>
    <w:lvl w:ilvl="8" w:tplc="40103742">
      <w:start w:val="1"/>
      <w:numFmt w:val="lowerRoman"/>
      <w:lvlText w:val="%9."/>
      <w:lvlJc w:val="right"/>
      <w:pPr>
        <w:ind w:left="6480" w:hanging="180"/>
      </w:pPr>
    </w:lvl>
  </w:abstractNum>
  <w:abstractNum w:abstractNumId="4" w15:restartNumberingAfterBreak="0">
    <w:nsid w:val="02CDE7F8"/>
    <w:multiLevelType w:val="hybridMultilevel"/>
    <w:tmpl w:val="FFFFFFFF"/>
    <w:lvl w:ilvl="0" w:tplc="C0283EAC">
      <w:start w:val="1"/>
      <w:numFmt w:val="bullet"/>
      <w:lvlText w:val="·"/>
      <w:lvlJc w:val="left"/>
      <w:pPr>
        <w:ind w:left="720" w:hanging="360"/>
      </w:pPr>
      <w:rPr>
        <w:rFonts w:ascii="Symbol" w:hAnsi="Symbol" w:hint="default"/>
      </w:rPr>
    </w:lvl>
    <w:lvl w:ilvl="1" w:tplc="DBD89E1A">
      <w:start w:val="1"/>
      <w:numFmt w:val="bullet"/>
      <w:lvlText w:val="o"/>
      <w:lvlJc w:val="left"/>
      <w:pPr>
        <w:ind w:left="1440" w:hanging="360"/>
      </w:pPr>
      <w:rPr>
        <w:rFonts w:ascii="Courier New" w:hAnsi="Courier New" w:hint="default"/>
      </w:rPr>
    </w:lvl>
    <w:lvl w:ilvl="2" w:tplc="E048AAC8">
      <w:start w:val="1"/>
      <w:numFmt w:val="bullet"/>
      <w:lvlText w:val=""/>
      <w:lvlJc w:val="left"/>
      <w:pPr>
        <w:ind w:left="2160" w:hanging="360"/>
      </w:pPr>
      <w:rPr>
        <w:rFonts w:ascii="Wingdings" w:hAnsi="Wingdings" w:hint="default"/>
      </w:rPr>
    </w:lvl>
    <w:lvl w:ilvl="3" w:tplc="3ECA383C">
      <w:start w:val="1"/>
      <w:numFmt w:val="bullet"/>
      <w:lvlText w:val=""/>
      <w:lvlJc w:val="left"/>
      <w:pPr>
        <w:ind w:left="2880" w:hanging="360"/>
      </w:pPr>
      <w:rPr>
        <w:rFonts w:ascii="Symbol" w:hAnsi="Symbol" w:hint="default"/>
      </w:rPr>
    </w:lvl>
    <w:lvl w:ilvl="4" w:tplc="E3584FCC">
      <w:start w:val="1"/>
      <w:numFmt w:val="bullet"/>
      <w:lvlText w:val="o"/>
      <w:lvlJc w:val="left"/>
      <w:pPr>
        <w:ind w:left="3600" w:hanging="360"/>
      </w:pPr>
      <w:rPr>
        <w:rFonts w:ascii="Courier New" w:hAnsi="Courier New" w:hint="default"/>
      </w:rPr>
    </w:lvl>
    <w:lvl w:ilvl="5" w:tplc="B22A9F3A">
      <w:start w:val="1"/>
      <w:numFmt w:val="bullet"/>
      <w:lvlText w:val=""/>
      <w:lvlJc w:val="left"/>
      <w:pPr>
        <w:ind w:left="4320" w:hanging="360"/>
      </w:pPr>
      <w:rPr>
        <w:rFonts w:ascii="Wingdings" w:hAnsi="Wingdings" w:hint="default"/>
      </w:rPr>
    </w:lvl>
    <w:lvl w:ilvl="6" w:tplc="EBC8DC6A">
      <w:start w:val="1"/>
      <w:numFmt w:val="bullet"/>
      <w:lvlText w:val=""/>
      <w:lvlJc w:val="left"/>
      <w:pPr>
        <w:ind w:left="5040" w:hanging="360"/>
      </w:pPr>
      <w:rPr>
        <w:rFonts w:ascii="Symbol" w:hAnsi="Symbol" w:hint="default"/>
      </w:rPr>
    </w:lvl>
    <w:lvl w:ilvl="7" w:tplc="5F7EF0FC">
      <w:start w:val="1"/>
      <w:numFmt w:val="bullet"/>
      <w:lvlText w:val="o"/>
      <w:lvlJc w:val="left"/>
      <w:pPr>
        <w:ind w:left="5760" w:hanging="360"/>
      </w:pPr>
      <w:rPr>
        <w:rFonts w:ascii="Courier New" w:hAnsi="Courier New" w:hint="default"/>
      </w:rPr>
    </w:lvl>
    <w:lvl w:ilvl="8" w:tplc="8398EE00">
      <w:start w:val="1"/>
      <w:numFmt w:val="bullet"/>
      <w:lvlText w:val=""/>
      <w:lvlJc w:val="left"/>
      <w:pPr>
        <w:ind w:left="6480" w:hanging="360"/>
      </w:pPr>
      <w:rPr>
        <w:rFonts w:ascii="Wingdings" w:hAnsi="Wingdings" w:hint="default"/>
      </w:rPr>
    </w:lvl>
  </w:abstractNum>
  <w:abstractNum w:abstractNumId="5" w15:restartNumberingAfterBreak="0">
    <w:nsid w:val="03E4DE21"/>
    <w:multiLevelType w:val="hybridMultilevel"/>
    <w:tmpl w:val="12F6EADA"/>
    <w:lvl w:ilvl="0" w:tplc="6FFCB364">
      <w:start w:val="1"/>
      <w:numFmt w:val="bullet"/>
      <w:lvlText w:val=""/>
      <w:lvlJc w:val="left"/>
      <w:pPr>
        <w:ind w:left="720" w:hanging="360"/>
      </w:pPr>
      <w:rPr>
        <w:rFonts w:ascii="Symbol" w:hAnsi="Symbol" w:hint="default"/>
      </w:rPr>
    </w:lvl>
    <w:lvl w:ilvl="1" w:tplc="B2804DE2">
      <w:start w:val="1"/>
      <w:numFmt w:val="bullet"/>
      <w:lvlText w:val="o"/>
      <w:lvlJc w:val="left"/>
      <w:pPr>
        <w:ind w:left="1440" w:hanging="360"/>
      </w:pPr>
      <w:rPr>
        <w:rFonts w:ascii="Courier New" w:hAnsi="Courier New" w:hint="default"/>
      </w:rPr>
    </w:lvl>
    <w:lvl w:ilvl="2" w:tplc="388A553C">
      <w:start w:val="1"/>
      <w:numFmt w:val="bullet"/>
      <w:lvlText w:val=""/>
      <w:lvlJc w:val="left"/>
      <w:pPr>
        <w:ind w:left="2160" w:hanging="360"/>
      </w:pPr>
      <w:rPr>
        <w:rFonts w:ascii="Wingdings" w:hAnsi="Wingdings" w:hint="default"/>
      </w:rPr>
    </w:lvl>
    <w:lvl w:ilvl="3" w:tplc="54861B3A">
      <w:start w:val="1"/>
      <w:numFmt w:val="bullet"/>
      <w:lvlText w:val=""/>
      <w:lvlJc w:val="left"/>
      <w:pPr>
        <w:ind w:left="2880" w:hanging="360"/>
      </w:pPr>
      <w:rPr>
        <w:rFonts w:ascii="Symbol" w:hAnsi="Symbol" w:hint="default"/>
      </w:rPr>
    </w:lvl>
    <w:lvl w:ilvl="4" w:tplc="03D44BCA">
      <w:start w:val="1"/>
      <w:numFmt w:val="bullet"/>
      <w:lvlText w:val="o"/>
      <w:lvlJc w:val="left"/>
      <w:pPr>
        <w:ind w:left="3600" w:hanging="360"/>
      </w:pPr>
      <w:rPr>
        <w:rFonts w:ascii="Courier New" w:hAnsi="Courier New" w:hint="default"/>
      </w:rPr>
    </w:lvl>
    <w:lvl w:ilvl="5" w:tplc="D144B7C0">
      <w:start w:val="1"/>
      <w:numFmt w:val="bullet"/>
      <w:lvlText w:val=""/>
      <w:lvlJc w:val="left"/>
      <w:pPr>
        <w:ind w:left="4320" w:hanging="360"/>
      </w:pPr>
      <w:rPr>
        <w:rFonts w:ascii="Wingdings" w:hAnsi="Wingdings" w:hint="default"/>
      </w:rPr>
    </w:lvl>
    <w:lvl w:ilvl="6" w:tplc="EFD42324">
      <w:start w:val="1"/>
      <w:numFmt w:val="bullet"/>
      <w:lvlText w:val=""/>
      <w:lvlJc w:val="left"/>
      <w:pPr>
        <w:ind w:left="5040" w:hanging="360"/>
      </w:pPr>
      <w:rPr>
        <w:rFonts w:ascii="Symbol" w:hAnsi="Symbol" w:hint="default"/>
      </w:rPr>
    </w:lvl>
    <w:lvl w:ilvl="7" w:tplc="85047400">
      <w:start w:val="1"/>
      <w:numFmt w:val="bullet"/>
      <w:lvlText w:val="o"/>
      <w:lvlJc w:val="left"/>
      <w:pPr>
        <w:ind w:left="5760" w:hanging="360"/>
      </w:pPr>
      <w:rPr>
        <w:rFonts w:ascii="Courier New" w:hAnsi="Courier New" w:hint="default"/>
      </w:rPr>
    </w:lvl>
    <w:lvl w:ilvl="8" w:tplc="B4F0F7F6">
      <w:start w:val="1"/>
      <w:numFmt w:val="bullet"/>
      <w:lvlText w:val=""/>
      <w:lvlJc w:val="left"/>
      <w:pPr>
        <w:ind w:left="6480" w:hanging="360"/>
      </w:pPr>
      <w:rPr>
        <w:rFonts w:ascii="Wingdings" w:hAnsi="Wingdings" w:hint="default"/>
      </w:rPr>
    </w:lvl>
  </w:abstractNum>
  <w:abstractNum w:abstractNumId="6" w15:restartNumberingAfterBreak="0">
    <w:nsid w:val="043D7A45"/>
    <w:multiLevelType w:val="hybridMultilevel"/>
    <w:tmpl w:val="FFFFFFFF"/>
    <w:lvl w:ilvl="0" w:tplc="46E88ED6">
      <w:start w:val="1"/>
      <w:numFmt w:val="bullet"/>
      <w:lvlText w:val="·"/>
      <w:lvlJc w:val="left"/>
      <w:pPr>
        <w:ind w:left="720" w:hanging="360"/>
      </w:pPr>
      <w:rPr>
        <w:rFonts w:ascii="Symbol" w:hAnsi="Symbol" w:hint="default"/>
      </w:rPr>
    </w:lvl>
    <w:lvl w:ilvl="1" w:tplc="221AAD6C">
      <w:start w:val="1"/>
      <w:numFmt w:val="bullet"/>
      <w:lvlText w:val="o"/>
      <w:lvlJc w:val="left"/>
      <w:pPr>
        <w:ind w:left="1440" w:hanging="360"/>
      </w:pPr>
      <w:rPr>
        <w:rFonts w:ascii="Courier New" w:hAnsi="Courier New" w:hint="default"/>
      </w:rPr>
    </w:lvl>
    <w:lvl w:ilvl="2" w:tplc="87F688F4">
      <w:start w:val="1"/>
      <w:numFmt w:val="bullet"/>
      <w:lvlText w:val=""/>
      <w:lvlJc w:val="left"/>
      <w:pPr>
        <w:ind w:left="2160" w:hanging="360"/>
      </w:pPr>
      <w:rPr>
        <w:rFonts w:ascii="Wingdings" w:hAnsi="Wingdings" w:hint="default"/>
      </w:rPr>
    </w:lvl>
    <w:lvl w:ilvl="3" w:tplc="6D12EC9E">
      <w:start w:val="1"/>
      <w:numFmt w:val="bullet"/>
      <w:lvlText w:val=""/>
      <w:lvlJc w:val="left"/>
      <w:pPr>
        <w:ind w:left="2880" w:hanging="360"/>
      </w:pPr>
      <w:rPr>
        <w:rFonts w:ascii="Symbol" w:hAnsi="Symbol" w:hint="default"/>
      </w:rPr>
    </w:lvl>
    <w:lvl w:ilvl="4" w:tplc="065A06CA">
      <w:start w:val="1"/>
      <w:numFmt w:val="bullet"/>
      <w:lvlText w:val="o"/>
      <w:lvlJc w:val="left"/>
      <w:pPr>
        <w:ind w:left="3600" w:hanging="360"/>
      </w:pPr>
      <w:rPr>
        <w:rFonts w:ascii="Courier New" w:hAnsi="Courier New" w:hint="default"/>
      </w:rPr>
    </w:lvl>
    <w:lvl w:ilvl="5" w:tplc="EEE44CC8">
      <w:start w:val="1"/>
      <w:numFmt w:val="bullet"/>
      <w:lvlText w:val=""/>
      <w:lvlJc w:val="left"/>
      <w:pPr>
        <w:ind w:left="4320" w:hanging="360"/>
      </w:pPr>
      <w:rPr>
        <w:rFonts w:ascii="Wingdings" w:hAnsi="Wingdings" w:hint="default"/>
      </w:rPr>
    </w:lvl>
    <w:lvl w:ilvl="6" w:tplc="126C0C4C">
      <w:start w:val="1"/>
      <w:numFmt w:val="bullet"/>
      <w:lvlText w:val=""/>
      <w:lvlJc w:val="left"/>
      <w:pPr>
        <w:ind w:left="5040" w:hanging="360"/>
      </w:pPr>
      <w:rPr>
        <w:rFonts w:ascii="Symbol" w:hAnsi="Symbol" w:hint="default"/>
      </w:rPr>
    </w:lvl>
    <w:lvl w:ilvl="7" w:tplc="01B4AF46">
      <w:start w:val="1"/>
      <w:numFmt w:val="bullet"/>
      <w:lvlText w:val="o"/>
      <w:lvlJc w:val="left"/>
      <w:pPr>
        <w:ind w:left="5760" w:hanging="360"/>
      </w:pPr>
      <w:rPr>
        <w:rFonts w:ascii="Courier New" w:hAnsi="Courier New" w:hint="default"/>
      </w:rPr>
    </w:lvl>
    <w:lvl w:ilvl="8" w:tplc="8DB01C36">
      <w:start w:val="1"/>
      <w:numFmt w:val="bullet"/>
      <w:lvlText w:val=""/>
      <w:lvlJc w:val="left"/>
      <w:pPr>
        <w:ind w:left="6480" w:hanging="360"/>
      </w:pPr>
      <w:rPr>
        <w:rFonts w:ascii="Wingdings" w:hAnsi="Wingdings" w:hint="default"/>
      </w:rPr>
    </w:lvl>
  </w:abstractNum>
  <w:abstractNum w:abstractNumId="7" w15:restartNumberingAfterBreak="0">
    <w:nsid w:val="04AF90FF"/>
    <w:multiLevelType w:val="hybridMultilevel"/>
    <w:tmpl w:val="FFFFFFFF"/>
    <w:lvl w:ilvl="0" w:tplc="BBCE450A">
      <w:start w:val="1"/>
      <w:numFmt w:val="bullet"/>
      <w:lvlText w:val="-"/>
      <w:lvlJc w:val="left"/>
      <w:pPr>
        <w:ind w:left="720" w:hanging="360"/>
      </w:pPr>
      <w:rPr>
        <w:rFonts w:ascii="Calibri" w:hAnsi="Calibri" w:hint="default"/>
      </w:rPr>
    </w:lvl>
    <w:lvl w:ilvl="1" w:tplc="E2929262">
      <w:start w:val="1"/>
      <w:numFmt w:val="bullet"/>
      <w:lvlText w:val="o"/>
      <w:lvlJc w:val="left"/>
      <w:pPr>
        <w:ind w:left="1440" w:hanging="360"/>
      </w:pPr>
      <w:rPr>
        <w:rFonts w:ascii="Courier New" w:hAnsi="Courier New" w:hint="default"/>
      </w:rPr>
    </w:lvl>
    <w:lvl w:ilvl="2" w:tplc="55A8729E">
      <w:start w:val="1"/>
      <w:numFmt w:val="bullet"/>
      <w:lvlText w:val=""/>
      <w:lvlJc w:val="left"/>
      <w:pPr>
        <w:ind w:left="2160" w:hanging="360"/>
      </w:pPr>
      <w:rPr>
        <w:rFonts w:ascii="Wingdings" w:hAnsi="Wingdings" w:hint="default"/>
      </w:rPr>
    </w:lvl>
    <w:lvl w:ilvl="3" w:tplc="79DC61C2">
      <w:start w:val="1"/>
      <w:numFmt w:val="bullet"/>
      <w:lvlText w:val=""/>
      <w:lvlJc w:val="left"/>
      <w:pPr>
        <w:ind w:left="2880" w:hanging="360"/>
      </w:pPr>
      <w:rPr>
        <w:rFonts w:ascii="Symbol" w:hAnsi="Symbol" w:hint="default"/>
      </w:rPr>
    </w:lvl>
    <w:lvl w:ilvl="4" w:tplc="D24C6B76">
      <w:start w:val="1"/>
      <w:numFmt w:val="bullet"/>
      <w:lvlText w:val="o"/>
      <w:lvlJc w:val="left"/>
      <w:pPr>
        <w:ind w:left="3600" w:hanging="360"/>
      </w:pPr>
      <w:rPr>
        <w:rFonts w:ascii="Courier New" w:hAnsi="Courier New" w:hint="default"/>
      </w:rPr>
    </w:lvl>
    <w:lvl w:ilvl="5" w:tplc="13609784">
      <w:start w:val="1"/>
      <w:numFmt w:val="bullet"/>
      <w:lvlText w:val=""/>
      <w:lvlJc w:val="left"/>
      <w:pPr>
        <w:ind w:left="4320" w:hanging="360"/>
      </w:pPr>
      <w:rPr>
        <w:rFonts w:ascii="Wingdings" w:hAnsi="Wingdings" w:hint="default"/>
      </w:rPr>
    </w:lvl>
    <w:lvl w:ilvl="6" w:tplc="5142B5DC">
      <w:start w:val="1"/>
      <w:numFmt w:val="bullet"/>
      <w:lvlText w:val=""/>
      <w:lvlJc w:val="left"/>
      <w:pPr>
        <w:ind w:left="5040" w:hanging="360"/>
      </w:pPr>
      <w:rPr>
        <w:rFonts w:ascii="Symbol" w:hAnsi="Symbol" w:hint="default"/>
      </w:rPr>
    </w:lvl>
    <w:lvl w:ilvl="7" w:tplc="6D54CFFC">
      <w:start w:val="1"/>
      <w:numFmt w:val="bullet"/>
      <w:lvlText w:val="o"/>
      <w:lvlJc w:val="left"/>
      <w:pPr>
        <w:ind w:left="5760" w:hanging="360"/>
      </w:pPr>
      <w:rPr>
        <w:rFonts w:ascii="Courier New" w:hAnsi="Courier New" w:hint="default"/>
      </w:rPr>
    </w:lvl>
    <w:lvl w:ilvl="8" w:tplc="7D7C8056">
      <w:start w:val="1"/>
      <w:numFmt w:val="bullet"/>
      <w:lvlText w:val=""/>
      <w:lvlJc w:val="left"/>
      <w:pPr>
        <w:ind w:left="6480" w:hanging="360"/>
      </w:pPr>
      <w:rPr>
        <w:rFonts w:ascii="Wingdings" w:hAnsi="Wingdings" w:hint="default"/>
      </w:rPr>
    </w:lvl>
  </w:abstractNum>
  <w:abstractNum w:abstractNumId="8" w15:restartNumberingAfterBreak="0">
    <w:nsid w:val="059E3D1E"/>
    <w:multiLevelType w:val="hybridMultilevel"/>
    <w:tmpl w:val="7B08413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E25181"/>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5EC68EA"/>
    <w:multiLevelType w:val="hybridMultilevel"/>
    <w:tmpl w:val="4B22D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F942F6"/>
    <w:multiLevelType w:val="multilevel"/>
    <w:tmpl w:val="3676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DA0D12"/>
    <w:multiLevelType w:val="hybridMultilevel"/>
    <w:tmpl w:val="32D22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7B00932"/>
    <w:multiLevelType w:val="hybridMultilevel"/>
    <w:tmpl w:val="6E8663A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8695824"/>
    <w:multiLevelType w:val="hybridMultilevel"/>
    <w:tmpl w:val="39E8F280"/>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088C05A0"/>
    <w:multiLevelType w:val="hybridMultilevel"/>
    <w:tmpl w:val="95D6AFC0"/>
    <w:lvl w:ilvl="0" w:tplc="FFFFFFFF">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8DB674B"/>
    <w:multiLevelType w:val="hybridMultilevel"/>
    <w:tmpl w:val="6906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EC62EE"/>
    <w:multiLevelType w:val="hybridMultilevel"/>
    <w:tmpl w:val="FFFFFFFF"/>
    <w:lvl w:ilvl="0" w:tplc="ABBE3B64">
      <w:start w:val="1"/>
      <w:numFmt w:val="bullet"/>
      <w:lvlText w:val="·"/>
      <w:lvlJc w:val="left"/>
      <w:pPr>
        <w:ind w:left="720" w:hanging="360"/>
      </w:pPr>
      <w:rPr>
        <w:rFonts w:ascii="Symbol" w:hAnsi="Symbol" w:hint="default"/>
      </w:rPr>
    </w:lvl>
    <w:lvl w:ilvl="1" w:tplc="DC486A54">
      <w:start w:val="1"/>
      <w:numFmt w:val="bullet"/>
      <w:lvlText w:val="o"/>
      <w:lvlJc w:val="left"/>
      <w:pPr>
        <w:ind w:left="1440" w:hanging="360"/>
      </w:pPr>
      <w:rPr>
        <w:rFonts w:ascii="Courier New" w:hAnsi="Courier New" w:hint="default"/>
      </w:rPr>
    </w:lvl>
    <w:lvl w:ilvl="2" w:tplc="A350C5EC">
      <w:start w:val="1"/>
      <w:numFmt w:val="bullet"/>
      <w:lvlText w:val=""/>
      <w:lvlJc w:val="left"/>
      <w:pPr>
        <w:ind w:left="2160" w:hanging="360"/>
      </w:pPr>
      <w:rPr>
        <w:rFonts w:ascii="Wingdings" w:hAnsi="Wingdings" w:hint="default"/>
      </w:rPr>
    </w:lvl>
    <w:lvl w:ilvl="3" w:tplc="741E0A0C">
      <w:start w:val="1"/>
      <w:numFmt w:val="bullet"/>
      <w:lvlText w:val=""/>
      <w:lvlJc w:val="left"/>
      <w:pPr>
        <w:ind w:left="2880" w:hanging="360"/>
      </w:pPr>
      <w:rPr>
        <w:rFonts w:ascii="Symbol" w:hAnsi="Symbol" w:hint="default"/>
      </w:rPr>
    </w:lvl>
    <w:lvl w:ilvl="4" w:tplc="E65AC3BE">
      <w:start w:val="1"/>
      <w:numFmt w:val="bullet"/>
      <w:lvlText w:val="o"/>
      <w:lvlJc w:val="left"/>
      <w:pPr>
        <w:ind w:left="3600" w:hanging="360"/>
      </w:pPr>
      <w:rPr>
        <w:rFonts w:ascii="Courier New" w:hAnsi="Courier New" w:hint="default"/>
      </w:rPr>
    </w:lvl>
    <w:lvl w:ilvl="5" w:tplc="DC3ED788">
      <w:start w:val="1"/>
      <w:numFmt w:val="bullet"/>
      <w:lvlText w:val=""/>
      <w:lvlJc w:val="left"/>
      <w:pPr>
        <w:ind w:left="4320" w:hanging="360"/>
      </w:pPr>
      <w:rPr>
        <w:rFonts w:ascii="Wingdings" w:hAnsi="Wingdings" w:hint="default"/>
      </w:rPr>
    </w:lvl>
    <w:lvl w:ilvl="6" w:tplc="2A4C2A40">
      <w:start w:val="1"/>
      <w:numFmt w:val="bullet"/>
      <w:lvlText w:val=""/>
      <w:lvlJc w:val="left"/>
      <w:pPr>
        <w:ind w:left="5040" w:hanging="360"/>
      </w:pPr>
      <w:rPr>
        <w:rFonts w:ascii="Symbol" w:hAnsi="Symbol" w:hint="default"/>
      </w:rPr>
    </w:lvl>
    <w:lvl w:ilvl="7" w:tplc="41FE335E">
      <w:start w:val="1"/>
      <w:numFmt w:val="bullet"/>
      <w:lvlText w:val="o"/>
      <w:lvlJc w:val="left"/>
      <w:pPr>
        <w:ind w:left="5760" w:hanging="360"/>
      </w:pPr>
      <w:rPr>
        <w:rFonts w:ascii="Courier New" w:hAnsi="Courier New" w:hint="default"/>
      </w:rPr>
    </w:lvl>
    <w:lvl w:ilvl="8" w:tplc="FC6A3BCC">
      <w:start w:val="1"/>
      <w:numFmt w:val="bullet"/>
      <w:lvlText w:val=""/>
      <w:lvlJc w:val="left"/>
      <w:pPr>
        <w:ind w:left="6480" w:hanging="360"/>
      </w:pPr>
      <w:rPr>
        <w:rFonts w:ascii="Wingdings" w:hAnsi="Wingdings" w:hint="default"/>
      </w:rPr>
    </w:lvl>
  </w:abstractNum>
  <w:abstractNum w:abstractNumId="18" w15:restartNumberingAfterBreak="0">
    <w:nsid w:val="09911FA9"/>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A1619CA"/>
    <w:multiLevelType w:val="multilevel"/>
    <w:tmpl w:val="F2707A9E"/>
    <w:lvl w:ilvl="0">
      <w:start w:val="1"/>
      <w:numFmt w:val="decimal"/>
      <w:pStyle w:val="Revisio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871BE5"/>
    <w:multiLevelType w:val="hybridMultilevel"/>
    <w:tmpl w:val="4C304824"/>
    <w:lvl w:ilvl="0" w:tplc="18090001">
      <w:start w:val="1"/>
      <w:numFmt w:val="bullet"/>
      <w:lvlText w:val=""/>
      <w:lvlJc w:val="left"/>
      <w:pPr>
        <w:ind w:left="720" w:hanging="360"/>
      </w:pPr>
      <w:rPr>
        <w:rFonts w:ascii="Symbol" w:hAnsi="Symbol" w:hint="default"/>
      </w:rPr>
    </w:lvl>
    <w:lvl w:ilvl="1" w:tplc="F3A21EB4">
      <w:numFmt w:val="bullet"/>
      <w:lvlText w:val="•"/>
      <w:lvlJc w:val="left"/>
      <w:pPr>
        <w:ind w:left="1740" w:hanging="660"/>
      </w:pPr>
      <w:rPr>
        <w:rFonts w:ascii="Times New Roman" w:eastAsiaTheme="minorHAnsi"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B0E3DA5"/>
    <w:multiLevelType w:val="hybridMultilevel"/>
    <w:tmpl w:val="47F273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0B48C68D"/>
    <w:multiLevelType w:val="hybridMultilevel"/>
    <w:tmpl w:val="FFFFFFFF"/>
    <w:lvl w:ilvl="0" w:tplc="FFFFFFFF">
      <w:start w:val="1"/>
      <w:numFmt w:val="bullet"/>
      <w:lvlText w:val="·"/>
      <w:lvlJc w:val="left"/>
      <w:pPr>
        <w:ind w:left="720" w:hanging="360"/>
      </w:pPr>
      <w:rPr>
        <w:rFonts w:ascii="Symbol" w:hAnsi="Symbol" w:hint="default"/>
      </w:rPr>
    </w:lvl>
    <w:lvl w:ilvl="1" w:tplc="227A1F92">
      <w:start w:val="1"/>
      <w:numFmt w:val="bullet"/>
      <w:lvlText w:val="o"/>
      <w:lvlJc w:val="left"/>
      <w:pPr>
        <w:ind w:left="1440" w:hanging="360"/>
      </w:pPr>
      <w:rPr>
        <w:rFonts w:ascii="Courier New" w:hAnsi="Courier New" w:hint="default"/>
      </w:rPr>
    </w:lvl>
    <w:lvl w:ilvl="2" w:tplc="8592BE2C">
      <w:start w:val="1"/>
      <w:numFmt w:val="bullet"/>
      <w:lvlText w:val=""/>
      <w:lvlJc w:val="left"/>
      <w:pPr>
        <w:ind w:left="2160" w:hanging="360"/>
      </w:pPr>
      <w:rPr>
        <w:rFonts w:ascii="Wingdings" w:hAnsi="Wingdings" w:hint="default"/>
      </w:rPr>
    </w:lvl>
    <w:lvl w:ilvl="3" w:tplc="29F889E2">
      <w:start w:val="1"/>
      <w:numFmt w:val="bullet"/>
      <w:lvlText w:val=""/>
      <w:lvlJc w:val="left"/>
      <w:pPr>
        <w:ind w:left="2880" w:hanging="360"/>
      </w:pPr>
      <w:rPr>
        <w:rFonts w:ascii="Symbol" w:hAnsi="Symbol" w:hint="default"/>
      </w:rPr>
    </w:lvl>
    <w:lvl w:ilvl="4" w:tplc="355A0438">
      <w:start w:val="1"/>
      <w:numFmt w:val="bullet"/>
      <w:lvlText w:val="o"/>
      <w:lvlJc w:val="left"/>
      <w:pPr>
        <w:ind w:left="3600" w:hanging="360"/>
      </w:pPr>
      <w:rPr>
        <w:rFonts w:ascii="Courier New" w:hAnsi="Courier New" w:hint="default"/>
      </w:rPr>
    </w:lvl>
    <w:lvl w:ilvl="5" w:tplc="51DA6F3C">
      <w:start w:val="1"/>
      <w:numFmt w:val="bullet"/>
      <w:lvlText w:val=""/>
      <w:lvlJc w:val="left"/>
      <w:pPr>
        <w:ind w:left="4320" w:hanging="360"/>
      </w:pPr>
      <w:rPr>
        <w:rFonts w:ascii="Wingdings" w:hAnsi="Wingdings" w:hint="default"/>
      </w:rPr>
    </w:lvl>
    <w:lvl w:ilvl="6" w:tplc="AC0CDA30">
      <w:start w:val="1"/>
      <w:numFmt w:val="bullet"/>
      <w:lvlText w:val=""/>
      <w:lvlJc w:val="left"/>
      <w:pPr>
        <w:ind w:left="5040" w:hanging="360"/>
      </w:pPr>
      <w:rPr>
        <w:rFonts w:ascii="Symbol" w:hAnsi="Symbol" w:hint="default"/>
      </w:rPr>
    </w:lvl>
    <w:lvl w:ilvl="7" w:tplc="FE8A97EA">
      <w:start w:val="1"/>
      <w:numFmt w:val="bullet"/>
      <w:lvlText w:val="o"/>
      <w:lvlJc w:val="left"/>
      <w:pPr>
        <w:ind w:left="5760" w:hanging="360"/>
      </w:pPr>
      <w:rPr>
        <w:rFonts w:ascii="Courier New" w:hAnsi="Courier New" w:hint="default"/>
      </w:rPr>
    </w:lvl>
    <w:lvl w:ilvl="8" w:tplc="76C609B4">
      <w:start w:val="1"/>
      <w:numFmt w:val="bullet"/>
      <w:lvlText w:val=""/>
      <w:lvlJc w:val="left"/>
      <w:pPr>
        <w:ind w:left="6480" w:hanging="360"/>
      </w:pPr>
      <w:rPr>
        <w:rFonts w:ascii="Wingdings" w:hAnsi="Wingdings" w:hint="default"/>
      </w:rPr>
    </w:lvl>
  </w:abstractNum>
  <w:abstractNum w:abstractNumId="23" w15:restartNumberingAfterBreak="0">
    <w:nsid w:val="0BBC4B88"/>
    <w:multiLevelType w:val="multilevel"/>
    <w:tmpl w:val="CC267A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CB2476"/>
    <w:multiLevelType w:val="hybridMultilevel"/>
    <w:tmpl w:val="199CE0B6"/>
    <w:lvl w:ilvl="0" w:tplc="0407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0BDDE1AD"/>
    <w:multiLevelType w:val="hybridMultilevel"/>
    <w:tmpl w:val="FFFFFFFF"/>
    <w:lvl w:ilvl="0" w:tplc="FFFFFFFF">
      <w:start w:val="1"/>
      <w:numFmt w:val="decimal"/>
      <w:lvlText w:val="%1."/>
      <w:lvlJc w:val="left"/>
      <w:pPr>
        <w:ind w:left="720" w:hanging="360"/>
      </w:pPr>
    </w:lvl>
    <w:lvl w:ilvl="1" w:tplc="296A2F7C">
      <w:start w:val="1"/>
      <w:numFmt w:val="lowerLetter"/>
      <w:lvlText w:val="%2."/>
      <w:lvlJc w:val="left"/>
      <w:pPr>
        <w:ind w:left="1440" w:hanging="360"/>
      </w:pPr>
    </w:lvl>
    <w:lvl w:ilvl="2" w:tplc="0E12142C">
      <w:start w:val="1"/>
      <w:numFmt w:val="lowerRoman"/>
      <w:lvlText w:val="%3."/>
      <w:lvlJc w:val="right"/>
      <w:pPr>
        <w:ind w:left="2160" w:hanging="180"/>
      </w:pPr>
    </w:lvl>
    <w:lvl w:ilvl="3" w:tplc="5EA8ECA4">
      <w:start w:val="1"/>
      <w:numFmt w:val="decimal"/>
      <w:lvlText w:val="%4."/>
      <w:lvlJc w:val="left"/>
      <w:pPr>
        <w:ind w:left="2880" w:hanging="360"/>
      </w:pPr>
    </w:lvl>
    <w:lvl w:ilvl="4" w:tplc="0D68AFA0">
      <w:start w:val="1"/>
      <w:numFmt w:val="lowerLetter"/>
      <w:lvlText w:val="%5."/>
      <w:lvlJc w:val="left"/>
      <w:pPr>
        <w:ind w:left="3600" w:hanging="360"/>
      </w:pPr>
    </w:lvl>
    <w:lvl w:ilvl="5" w:tplc="3AECCC2E">
      <w:start w:val="1"/>
      <w:numFmt w:val="lowerRoman"/>
      <w:lvlText w:val="%6."/>
      <w:lvlJc w:val="right"/>
      <w:pPr>
        <w:ind w:left="4320" w:hanging="180"/>
      </w:pPr>
    </w:lvl>
    <w:lvl w:ilvl="6" w:tplc="7BEEE5B4">
      <w:start w:val="1"/>
      <w:numFmt w:val="decimal"/>
      <w:lvlText w:val="%7."/>
      <w:lvlJc w:val="left"/>
      <w:pPr>
        <w:ind w:left="5040" w:hanging="360"/>
      </w:pPr>
    </w:lvl>
    <w:lvl w:ilvl="7" w:tplc="E0907006">
      <w:start w:val="1"/>
      <w:numFmt w:val="lowerLetter"/>
      <w:lvlText w:val="%8."/>
      <w:lvlJc w:val="left"/>
      <w:pPr>
        <w:ind w:left="5760" w:hanging="360"/>
      </w:pPr>
    </w:lvl>
    <w:lvl w:ilvl="8" w:tplc="3A1495FE">
      <w:start w:val="1"/>
      <w:numFmt w:val="lowerRoman"/>
      <w:lvlText w:val="%9."/>
      <w:lvlJc w:val="right"/>
      <w:pPr>
        <w:ind w:left="6480" w:hanging="180"/>
      </w:pPr>
    </w:lvl>
  </w:abstractNum>
  <w:abstractNum w:abstractNumId="26" w15:restartNumberingAfterBreak="0">
    <w:nsid w:val="0CDA2A2D"/>
    <w:multiLevelType w:val="hybridMultilevel"/>
    <w:tmpl w:val="590E09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0DC24105"/>
    <w:multiLevelType w:val="hybridMultilevel"/>
    <w:tmpl w:val="FFFFFFFF"/>
    <w:lvl w:ilvl="0" w:tplc="041847CA">
      <w:start w:val="1"/>
      <w:numFmt w:val="bullet"/>
      <w:lvlText w:val="-"/>
      <w:lvlJc w:val="left"/>
      <w:pPr>
        <w:ind w:left="720" w:hanging="360"/>
      </w:pPr>
      <w:rPr>
        <w:rFonts w:ascii="Calibri" w:hAnsi="Calibri" w:hint="default"/>
      </w:rPr>
    </w:lvl>
    <w:lvl w:ilvl="1" w:tplc="9CA4BDEA">
      <w:start w:val="1"/>
      <w:numFmt w:val="bullet"/>
      <w:lvlText w:val="o"/>
      <w:lvlJc w:val="left"/>
      <w:pPr>
        <w:ind w:left="1440" w:hanging="360"/>
      </w:pPr>
      <w:rPr>
        <w:rFonts w:ascii="Courier New" w:hAnsi="Courier New" w:hint="default"/>
      </w:rPr>
    </w:lvl>
    <w:lvl w:ilvl="2" w:tplc="5D88AB32">
      <w:start w:val="1"/>
      <w:numFmt w:val="bullet"/>
      <w:lvlText w:val=""/>
      <w:lvlJc w:val="left"/>
      <w:pPr>
        <w:ind w:left="2160" w:hanging="360"/>
      </w:pPr>
      <w:rPr>
        <w:rFonts w:ascii="Wingdings" w:hAnsi="Wingdings" w:hint="default"/>
      </w:rPr>
    </w:lvl>
    <w:lvl w:ilvl="3" w:tplc="2AE602EE">
      <w:start w:val="1"/>
      <w:numFmt w:val="bullet"/>
      <w:lvlText w:val=""/>
      <w:lvlJc w:val="left"/>
      <w:pPr>
        <w:ind w:left="2880" w:hanging="360"/>
      </w:pPr>
      <w:rPr>
        <w:rFonts w:ascii="Symbol" w:hAnsi="Symbol" w:hint="default"/>
      </w:rPr>
    </w:lvl>
    <w:lvl w:ilvl="4" w:tplc="E2A6BD3A">
      <w:start w:val="1"/>
      <w:numFmt w:val="bullet"/>
      <w:lvlText w:val="o"/>
      <w:lvlJc w:val="left"/>
      <w:pPr>
        <w:ind w:left="3600" w:hanging="360"/>
      </w:pPr>
      <w:rPr>
        <w:rFonts w:ascii="Courier New" w:hAnsi="Courier New" w:hint="default"/>
      </w:rPr>
    </w:lvl>
    <w:lvl w:ilvl="5" w:tplc="1188DC14">
      <w:start w:val="1"/>
      <w:numFmt w:val="bullet"/>
      <w:lvlText w:val=""/>
      <w:lvlJc w:val="left"/>
      <w:pPr>
        <w:ind w:left="4320" w:hanging="360"/>
      </w:pPr>
      <w:rPr>
        <w:rFonts w:ascii="Wingdings" w:hAnsi="Wingdings" w:hint="default"/>
      </w:rPr>
    </w:lvl>
    <w:lvl w:ilvl="6" w:tplc="98706EE6">
      <w:start w:val="1"/>
      <w:numFmt w:val="bullet"/>
      <w:lvlText w:val=""/>
      <w:lvlJc w:val="left"/>
      <w:pPr>
        <w:ind w:left="5040" w:hanging="360"/>
      </w:pPr>
      <w:rPr>
        <w:rFonts w:ascii="Symbol" w:hAnsi="Symbol" w:hint="default"/>
      </w:rPr>
    </w:lvl>
    <w:lvl w:ilvl="7" w:tplc="D9D66D0E">
      <w:start w:val="1"/>
      <w:numFmt w:val="bullet"/>
      <w:lvlText w:val="o"/>
      <w:lvlJc w:val="left"/>
      <w:pPr>
        <w:ind w:left="5760" w:hanging="360"/>
      </w:pPr>
      <w:rPr>
        <w:rFonts w:ascii="Courier New" w:hAnsi="Courier New" w:hint="default"/>
      </w:rPr>
    </w:lvl>
    <w:lvl w:ilvl="8" w:tplc="540A7E3E">
      <w:start w:val="1"/>
      <w:numFmt w:val="bullet"/>
      <w:lvlText w:val=""/>
      <w:lvlJc w:val="left"/>
      <w:pPr>
        <w:ind w:left="6480" w:hanging="360"/>
      </w:pPr>
      <w:rPr>
        <w:rFonts w:ascii="Wingdings" w:hAnsi="Wingdings" w:hint="default"/>
      </w:rPr>
    </w:lvl>
  </w:abstractNum>
  <w:abstractNum w:abstractNumId="28" w15:restartNumberingAfterBreak="0">
    <w:nsid w:val="0E021E7B"/>
    <w:multiLevelType w:val="hybridMultilevel"/>
    <w:tmpl w:val="3BC0AE4A"/>
    <w:lvl w:ilvl="0" w:tplc="1F2EA6CC">
      <w:start w:val="1"/>
      <w:numFmt w:val="bullet"/>
      <w:lvlText w:val="-"/>
      <w:lvlJc w:val="left"/>
      <w:pPr>
        <w:ind w:left="720" w:hanging="360"/>
      </w:pPr>
      <w:rPr>
        <w:rFonts w:ascii="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E126E10"/>
    <w:multiLevelType w:val="hybridMultilevel"/>
    <w:tmpl w:val="3568450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0611E19"/>
    <w:multiLevelType w:val="hybridMultilevel"/>
    <w:tmpl w:val="3D14AAEA"/>
    <w:lvl w:ilvl="0" w:tplc="CD42126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1" w15:restartNumberingAfterBreak="0">
    <w:nsid w:val="10887121"/>
    <w:multiLevelType w:val="hybridMultilevel"/>
    <w:tmpl w:val="F22AE5D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11471611"/>
    <w:multiLevelType w:val="hybridMultilevel"/>
    <w:tmpl w:val="8842D3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116C1933"/>
    <w:multiLevelType w:val="hybridMultilevel"/>
    <w:tmpl w:val="702CA6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4512865"/>
    <w:multiLevelType w:val="hybridMultilevel"/>
    <w:tmpl w:val="F9AC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9C4A68"/>
    <w:multiLevelType w:val="hybridMultilevel"/>
    <w:tmpl w:val="F8E622EE"/>
    <w:lvl w:ilvl="0" w:tplc="FC944400">
      <w:start w:val="1"/>
      <w:numFmt w:val="decimal"/>
      <w:pStyle w:val="StyleNumbering"/>
      <w:lvlText w:val="%1)"/>
      <w:lvlJc w:val="left"/>
      <w:pPr>
        <w:ind w:left="720" w:hanging="360"/>
      </w:pPr>
      <w:rPr>
        <w:rFonts w:hint="default"/>
        <w:color w:val="8064A2" w:themeColor="accent4"/>
      </w:rPr>
    </w:lvl>
    <w:lvl w:ilvl="1" w:tplc="CB60A54C">
      <w:start w:val="1"/>
      <w:numFmt w:val="lowerLetter"/>
      <w:lvlText w:val="%2."/>
      <w:lvlJc w:val="left"/>
      <w:pPr>
        <w:ind w:left="1440" w:hanging="360"/>
      </w:pPr>
      <w:rPr>
        <w:rFonts w:hint="default"/>
        <w:color w:val="8064A2" w:themeColor="accent4"/>
      </w:rPr>
    </w:lvl>
    <w:lvl w:ilvl="2" w:tplc="93B29D46">
      <w:start w:val="1"/>
      <w:numFmt w:val="lowerRoman"/>
      <w:lvlText w:val="%3."/>
      <w:lvlJc w:val="right"/>
      <w:pPr>
        <w:ind w:left="2160" w:hanging="180"/>
      </w:pPr>
      <w:rPr>
        <w:rFonts w:hint="default"/>
        <w:color w:val="8064A2" w:themeColor="accent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51A46B3"/>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157D0F94"/>
    <w:multiLevelType w:val="hybridMultilevel"/>
    <w:tmpl w:val="C04CBE48"/>
    <w:lvl w:ilvl="0" w:tplc="F6DAB532">
      <w:start w:val="1"/>
      <w:numFmt w:val="decimal"/>
      <w:lvlText w:val="%1."/>
      <w:lvlJc w:val="left"/>
      <w:pPr>
        <w:ind w:left="927" w:hanging="360"/>
      </w:pPr>
      <w:rPr>
        <w:rFonts w:hint="default"/>
      </w:rPr>
    </w:lvl>
    <w:lvl w:ilvl="1" w:tplc="6666CD64">
      <w:numFmt w:val="bullet"/>
      <w:lvlText w:val="•"/>
      <w:lvlJc w:val="left"/>
      <w:pPr>
        <w:ind w:left="2007" w:hanging="720"/>
      </w:pPr>
      <w:rPr>
        <w:rFonts w:ascii="Times New Roman" w:eastAsiaTheme="minorHAnsi" w:hAnsi="Times New Roman" w:cs="Times New Roman"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15CB47C4"/>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64D2A39"/>
    <w:multiLevelType w:val="hybridMultilevel"/>
    <w:tmpl w:val="AF5E511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1" w15:restartNumberingAfterBreak="0">
    <w:nsid w:val="167E2714"/>
    <w:multiLevelType w:val="hybridMultilevel"/>
    <w:tmpl w:val="A230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6D94771"/>
    <w:multiLevelType w:val="hybridMultilevel"/>
    <w:tmpl w:val="D45A40E0"/>
    <w:lvl w:ilvl="0" w:tplc="1CCABBFA">
      <w:start w:val="1"/>
      <w:numFmt w:val="decimal"/>
      <w:lvlText w:val="%1-"/>
      <w:lvlJc w:val="left"/>
      <w:pPr>
        <w:ind w:left="1636"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187552FA"/>
    <w:multiLevelType w:val="hybridMultilevel"/>
    <w:tmpl w:val="B59EEC14"/>
    <w:lvl w:ilvl="0" w:tplc="710EB60A">
      <w:start w:val="1"/>
      <w:numFmt w:val="bullet"/>
      <w:lvlText w:val="·"/>
      <w:lvlJc w:val="left"/>
      <w:pPr>
        <w:ind w:left="720" w:hanging="360"/>
      </w:pPr>
      <w:rPr>
        <w:rFonts w:ascii="Symbol" w:hAnsi="Symbol" w:hint="default"/>
      </w:rPr>
    </w:lvl>
    <w:lvl w:ilvl="1" w:tplc="4A9E004A">
      <w:start w:val="1"/>
      <w:numFmt w:val="bullet"/>
      <w:lvlText w:val="o"/>
      <w:lvlJc w:val="left"/>
      <w:pPr>
        <w:ind w:left="1440" w:hanging="360"/>
      </w:pPr>
      <w:rPr>
        <w:rFonts w:ascii="Courier New" w:hAnsi="Courier New" w:hint="default"/>
      </w:rPr>
    </w:lvl>
    <w:lvl w:ilvl="2" w:tplc="9572C248">
      <w:start w:val="1"/>
      <w:numFmt w:val="bullet"/>
      <w:lvlText w:val=""/>
      <w:lvlJc w:val="left"/>
      <w:pPr>
        <w:ind w:left="2160" w:hanging="360"/>
      </w:pPr>
      <w:rPr>
        <w:rFonts w:ascii="Wingdings" w:hAnsi="Wingdings" w:hint="default"/>
      </w:rPr>
    </w:lvl>
    <w:lvl w:ilvl="3" w:tplc="C34827CA">
      <w:start w:val="1"/>
      <w:numFmt w:val="bullet"/>
      <w:lvlText w:val=""/>
      <w:lvlJc w:val="left"/>
      <w:pPr>
        <w:ind w:left="2880" w:hanging="360"/>
      </w:pPr>
      <w:rPr>
        <w:rFonts w:ascii="Symbol" w:hAnsi="Symbol" w:hint="default"/>
      </w:rPr>
    </w:lvl>
    <w:lvl w:ilvl="4" w:tplc="D0861C8E">
      <w:start w:val="1"/>
      <w:numFmt w:val="bullet"/>
      <w:lvlText w:val="o"/>
      <w:lvlJc w:val="left"/>
      <w:pPr>
        <w:ind w:left="3600" w:hanging="360"/>
      </w:pPr>
      <w:rPr>
        <w:rFonts w:ascii="Courier New" w:hAnsi="Courier New" w:hint="default"/>
      </w:rPr>
    </w:lvl>
    <w:lvl w:ilvl="5" w:tplc="F0D49348">
      <w:start w:val="1"/>
      <w:numFmt w:val="bullet"/>
      <w:lvlText w:val=""/>
      <w:lvlJc w:val="left"/>
      <w:pPr>
        <w:ind w:left="4320" w:hanging="360"/>
      </w:pPr>
      <w:rPr>
        <w:rFonts w:ascii="Wingdings" w:hAnsi="Wingdings" w:hint="default"/>
      </w:rPr>
    </w:lvl>
    <w:lvl w:ilvl="6" w:tplc="D8E207D4">
      <w:start w:val="1"/>
      <w:numFmt w:val="bullet"/>
      <w:lvlText w:val=""/>
      <w:lvlJc w:val="left"/>
      <w:pPr>
        <w:ind w:left="5040" w:hanging="360"/>
      </w:pPr>
      <w:rPr>
        <w:rFonts w:ascii="Symbol" w:hAnsi="Symbol" w:hint="default"/>
      </w:rPr>
    </w:lvl>
    <w:lvl w:ilvl="7" w:tplc="BC442F12">
      <w:start w:val="1"/>
      <w:numFmt w:val="bullet"/>
      <w:lvlText w:val="o"/>
      <w:lvlJc w:val="left"/>
      <w:pPr>
        <w:ind w:left="5760" w:hanging="360"/>
      </w:pPr>
      <w:rPr>
        <w:rFonts w:ascii="Courier New" w:hAnsi="Courier New" w:hint="default"/>
      </w:rPr>
    </w:lvl>
    <w:lvl w:ilvl="8" w:tplc="1DB28208">
      <w:start w:val="1"/>
      <w:numFmt w:val="bullet"/>
      <w:lvlText w:val=""/>
      <w:lvlJc w:val="left"/>
      <w:pPr>
        <w:ind w:left="6480" w:hanging="360"/>
      </w:pPr>
      <w:rPr>
        <w:rFonts w:ascii="Wingdings" w:hAnsi="Wingdings" w:hint="default"/>
      </w:rPr>
    </w:lvl>
  </w:abstractNum>
  <w:abstractNum w:abstractNumId="44" w15:restartNumberingAfterBreak="0">
    <w:nsid w:val="18BEBF29"/>
    <w:multiLevelType w:val="hybridMultilevel"/>
    <w:tmpl w:val="FFFFFFFF"/>
    <w:lvl w:ilvl="0" w:tplc="0C5A3A5E">
      <w:start w:val="1"/>
      <w:numFmt w:val="decimal"/>
      <w:pStyle w:val="CitaviBibliographyHeading"/>
      <w:lvlText w:val="%1."/>
      <w:lvlJc w:val="left"/>
      <w:pPr>
        <w:ind w:left="720" w:hanging="360"/>
      </w:pPr>
    </w:lvl>
    <w:lvl w:ilvl="1" w:tplc="9E246E78">
      <w:start w:val="1"/>
      <w:numFmt w:val="lowerLetter"/>
      <w:pStyle w:val="CitaviChapterBibliographyHeading"/>
      <w:lvlText w:val="%2."/>
      <w:lvlJc w:val="left"/>
      <w:pPr>
        <w:ind w:left="1440" w:hanging="360"/>
      </w:pPr>
    </w:lvl>
    <w:lvl w:ilvl="2" w:tplc="84DEDD7A">
      <w:start w:val="1"/>
      <w:numFmt w:val="lowerRoman"/>
      <w:lvlText w:val="%3."/>
      <w:lvlJc w:val="right"/>
      <w:pPr>
        <w:ind w:left="2160" w:hanging="180"/>
      </w:pPr>
    </w:lvl>
    <w:lvl w:ilvl="3" w:tplc="0C9CFE42">
      <w:start w:val="1"/>
      <w:numFmt w:val="decimal"/>
      <w:lvlText w:val="%4."/>
      <w:lvlJc w:val="left"/>
      <w:pPr>
        <w:ind w:left="2880" w:hanging="360"/>
      </w:pPr>
    </w:lvl>
    <w:lvl w:ilvl="4" w:tplc="E1BCA458">
      <w:start w:val="1"/>
      <w:numFmt w:val="lowerLetter"/>
      <w:lvlText w:val="%5."/>
      <w:lvlJc w:val="left"/>
      <w:pPr>
        <w:ind w:left="3600" w:hanging="360"/>
      </w:pPr>
    </w:lvl>
    <w:lvl w:ilvl="5" w:tplc="3D7E80DC">
      <w:start w:val="1"/>
      <w:numFmt w:val="lowerRoman"/>
      <w:lvlText w:val="%6."/>
      <w:lvlJc w:val="right"/>
      <w:pPr>
        <w:ind w:left="4320" w:hanging="180"/>
      </w:pPr>
    </w:lvl>
    <w:lvl w:ilvl="6" w:tplc="145A1FC8">
      <w:start w:val="1"/>
      <w:numFmt w:val="decimal"/>
      <w:lvlText w:val="%7."/>
      <w:lvlJc w:val="left"/>
      <w:pPr>
        <w:ind w:left="5040" w:hanging="360"/>
      </w:pPr>
    </w:lvl>
    <w:lvl w:ilvl="7" w:tplc="B34875E8">
      <w:start w:val="1"/>
      <w:numFmt w:val="lowerLetter"/>
      <w:lvlText w:val="%8."/>
      <w:lvlJc w:val="left"/>
      <w:pPr>
        <w:ind w:left="5760" w:hanging="360"/>
      </w:pPr>
    </w:lvl>
    <w:lvl w:ilvl="8" w:tplc="D7845D9A">
      <w:start w:val="1"/>
      <w:numFmt w:val="lowerRoman"/>
      <w:lvlText w:val="%9."/>
      <w:lvlJc w:val="right"/>
      <w:pPr>
        <w:ind w:left="6480" w:hanging="180"/>
      </w:pPr>
    </w:lvl>
  </w:abstractNum>
  <w:abstractNum w:abstractNumId="45" w15:restartNumberingAfterBreak="0">
    <w:nsid w:val="19C26370"/>
    <w:multiLevelType w:val="hybridMultilevel"/>
    <w:tmpl w:val="375C3084"/>
    <w:lvl w:ilvl="0" w:tplc="088C384C">
      <w:start w:val="11"/>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19D700E8"/>
    <w:multiLevelType w:val="multilevel"/>
    <w:tmpl w:val="7FA68E52"/>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9D857CF"/>
    <w:multiLevelType w:val="hybridMultilevel"/>
    <w:tmpl w:val="EE862306"/>
    <w:lvl w:ilvl="0" w:tplc="2102A426">
      <w:start w:val="1"/>
      <w:numFmt w:val="bullet"/>
      <w:lvlText w:val=""/>
      <w:lvlJc w:val="left"/>
      <w:pPr>
        <w:ind w:left="720" w:hanging="360"/>
      </w:pPr>
      <w:rPr>
        <w:rFonts w:ascii="Symbol" w:hAnsi="Symbol" w:hint="default"/>
      </w:rPr>
    </w:lvl>
    <w:lvl w:ilvl="1" w:tplc="E4E0F964">
      <w:start w:val="1"/>
      <w:numFmt w:val="bullet"/>
      <w:lvlText w:val="o"/>
      <w:lvlJc w:val="left"/>
      <w:pPr>
        <w:ind w:left="1440" w:hanging="360"/>
      </w:pPr>
      <w:rPr>
        <w:rFonts w:ascii="Courier New" w:hAnsi="Courier New" w:hint="default"/>
      </w:rPr>
    </w:lvl>
    <w:lvl w:ilvl="2" w:tplc="0968181A">
      <w:start w:val="1"/>
      <w:numFmt w:val="bullet"/>
      <w:lvlText w:val=""/>
      <w:lvlJc w:val="left"/>
      <w:pPr>
        <w:ind w:left="2160" w:hanging="360"/>
      </w:pPr>
      <w:rPr>
        <w:rFonts w:ascii="Wingdings" w:hAnsi="Wingdings" w:hint="default"/>
      </w:rPr>
    </w:lvl>
    <w:lvl w:ilvl="3" w:tplc="0C940D5E">
      <w:start w:val="1"/>
      <w:numFmt w:val="bullet"/>
      <w:lvlText w:val=""/>
      <w:lvlJc w:val="left"/>
      <w:pPr>
        <w:ind w:left="2880" w:hanging="360"/>
      </w:pPr>
      <w:rPr>
        <w:rFonts w:ascii="Symbol" w:hAnsi="Symbol" w:hint="default"/>
      </w:rPr>
    </w:lvl>
    <w:lvl w:ilvl="4" w:tplc="16CAA71A">
      <w:start w:val="1"/>
      <w:numFmt w:val="bullet"/>
      <w:lvlText w:val="o"/>
      <w:lvlJc w:val="left"/>
      <w:pPr>
        <w:ind w:left="3600" w:hanging="360"/>
      </w:pPr>
      <w:rPr>
        <w:rFonts w:ascii="Courier New" w:hAnsi="Courier New" w:hint="default"/>
      </w:rPr>
    </w:lvl>
    <w:lvl w:ilvl="5" w:tplc="41746FA6">
      <w:start w:val="1"/>
      <w:numFmt w:val="bullet"/>
      <w:lvlText w:val=""/>
      <w:lvlJc w:val="left"/>
      <w:pPr>
        <w:ind w:left="4320" w:hanging="360"/>
      </w:pPr>
      <w:rPr>
        <w:rFonts w:ascii="Wingdings" w:hAnsi="Wingdings" w:hint="default"/>
      </w:rPr>
    </w:lvl>
    <w:lvl w:ilvl="6" w:tplc="94CCCD16">
      <w:start w:val="1"/>
      <w:numFmt w:val="bullet"/>
      <w:lvlText w:val=""/>
      <w:lvlJc w:val="left"/>
      <w:pPr>
        <w:ind w:left="5040" w:hanging="360"/>
      </w:pPr>
      <w:rPr>
        <w:rFonts w:ascii="Symbol" w:hAnsi="Symbol" w:hint="default"/>
      </w:rPr>
    </w:lvl>
    <w:lvl w:ilvl="7" w:tplc="62B085C0">
      <w:start w:val="1"/>
      <w:numFmt w:val="bullet"/>
      <w:lvlText w:val="o"/>
      <w:lvlJc w:val="left"/>
      <w:pPr>
        <w:ind w:left="5760" w:hanging="360"/>
      </w:pPr>
      <w:rPr>
        <w:rFonts w:ascii="Courier New" w:hAnsi="Courier New" w:hint="default"/>
      </w:rPr>
    </w:lvl>
    <w:lvl w:ilvl="8" w:tplc="A224C5B2">
      <w:start w:val="1"/>
      <w:numFmt w:val="bullet"/>
      <w:lvlText w:val=""/>
      <w:lvlJc w:val="left"/>
      <w:pPr>
        <w:ind w:left="6480" w:hanging="360"/>
      </w:pPr>
      <w:rPr>
        <w:rFonts w:ascii="Wingdings" w:hAnsi="Wingdings" w:hint="default"/>
      </w:rPr>
    </w:lvl>
  </w:abstractNum>
  <w:abstractNum w:abstractNumId="48" w15:restartNumberingAfterBreak="0">
    <w:nsid w:val="19FF6FDF"/>
    <w:multiLevelType w:val="hybridMultilevel"/>
    <w:tmpl w:val="1B28383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ABB1C34"/>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1B0132A8"/>
    <w:multiLevelType w:val="hybridMultilevel"/>
    <w:tmpl w:val="1D2EC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1B6526E6"/>
    <w:multiLevelType w:val="hybridMultilevel"/>
    <w:tmpl w:val="F3AEE3C2"/>
    <w:lvl w:ilvl="0" w:tplc="F11C872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1B7D3B9B"/>
    <w:multiLevelType w:val="hybridMultilevel"/>
    <w:tmpl w:val="B7D4EA00"/>
    <w:lvl w:ilvl="0" w:tplc="FFFFFFFF">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BF95AC9"/>
    <w:multiLevelType w:val="hybridMultilevel"/>
    <w:tmpl w:val="D4429D36"/>
    <w:lvl w:ilvl="0" w:tplc="48CAC38E">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1C1E614D"/>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1CB37666"/>
    <w:multiLevelType w:val="hybridMultilevel"/>
    <w:tmpl w:val="7F0A2EF0"/>
    <w:lvl w:ilvl="0" w:tplc="2A929C6A">
      <w:start w:val="1"/>
      <w:numFmt w:val="decimal"/>
      <w:lvlText w:val="(%1)"/>
      <w:lvlJc w:val="left"/>
      <w:pPr>
        <w:ind w:left="720" w:hanging="360"/>
      </w:pPr>
    </w:lvl>
    <w:lvl w:ilvl="1" w:tplc="23FCBDD0">
      <w:start w:val="1"/>
      <w:numFmt w:val="lowerLetter"/>
      <w:lvlText w:val="%2."/>
      <w:lvlJc w:val="left"/>
      <w:pPr>
        <w:ind w:left="1440" w:hanging="360"/>
      </w:pPr>
    </w:lvl>
    <w:lvl w:ilvl="2" w:tplc="69DA6002">
      <w:start w:val="1"/>
      <w:numFmt w:val="lowerRoman"/>
      <w:lvlText w:val="%3."/>
      <w:lvlJc w:val="right"/>
      <w:pPr>
        <w:ind w:left="2160" w:hanging="180"/>
      </w:pPr>
    </w:lvl>
    <w:lvl w:ilvl="3" w:tplc="97F8B31C">
      <w:start w:val="1"/>
      <w:numFmt w:val="decimal"/>
      <w:lvlText w:val="%4."/>
      <w:lvlJc w:val="left"/>
      <w:pPr>
        <w:ind w:left="2880" w:hanging="360"/>
      </w:pPr>
    </w:lvl>
    <w:lvl w:ilvl="4" w:tplc="C15EB332">
      <w:start w:val="1"/>
      <w:numFmt w:val="lowerLetter"/>
      <w:lvlText w:val="%5."/>
      <w:lvlJc w:val="left"/>
      <w:pPr>
        <w:ind w:left="3600" w:hanging="360"/>
      </w:pPr>
    </w:lvl>
    <w:lvl w:ilvl="5" w:tplc="203057D8">
      <w:start w:val="1"/>
      <w:numFmt w:val="lowerRoman"/>
      <w:lvlText w:val="%6."/>
      <w:lvlJc w:val="right"/>
      <w:pPr>
        <w:ind w:left="4320" w:hanging="180"/>
      </w:pPr>
    </w:lvl>
    <w:lvl w:ilvl="6" w:tplc="914A3FB2">
      <w:start w:val="1"/>
      <w:numFmt w:val="decimal"/>
      <w:lvlText w:val="%7."/>
      <w:lvlJc w:val="left"/>
      <w:pPr>
        <w:ind w:left="5040" w:hanging="360"/>
      </w:pPr>
    </w:lvl>
    <w:lvl w:ilvl="7" w:tplc="0C5C92A6">
      <w:start w:val="1"/>
      <w:numFmt w:val="lowerLetter"/>
      <w:lvlText w:val="%8."/>
      <w:lvlJc w:val="left"/>
      <w:pPr>
        <w:ind w:left="5760" w:hanging="360"/>
      </w:pPr>
    </w:lvl>
    <w:lvl w:ilvl="8" w:tplc="5296964A">
      <w:start w:val="1"/>
      <w:numFmt w:val="lowerRoman"/>
      <w:lvlText w:val="%9."/>
      <w:lvlJc w:val="right"/>
      <w:pPr>
        <w:ind w:left="6480" w:hanging="180"/>
      </w:pPr>
    </w:lvl>
  </w:abstractNum>
  <w:abstractNum w:abstractNumId="56" w15:restartNumberingAfterBreak="0">
    <w:nsid w:val="1CC15353"/>
    <w:multiLevelType w:val="hybridMultilevel"/>
    <w:tmpl w:val="0C9E8148"/>
    <w:lvl w:ilvl="0" w:tplc="EB50DE9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7" w15:restartNumberingAfterBreak="0">
    <w:nsid w:val="1CFF29D8"/>
    <w:multiLevelType w:val="multilevel"/>
    <w:tmpl w:val="DADE3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D630C2D"/>
    <w:multiLevelType w:val="multilevel"/>
    <w:tmpl w:val="B08A137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E2D5D7C"/>
    <w:multiLevelType w:val="multilevel"/>
    <w:tmpl w:val="41C0CF1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2013004E"/>
    <w:multiLevelType w:val="hybridMultilevel"/>
    <w:tmpl w:val="5E289B82"/>
    <w:lvl w:ilvl="0" w:tplc="5C3A79F2">
      <w:start w:val="1"/>
      <w:numFmt w:val="bullet"/>
      <w:lvlText w:val="·"/>
      <w:lvlJc w:val="left"/>
      <w:pPr>
        <w:ind w:left="720" w:hanging="360"/>
      </w:pPr>
      <w:rPr>
        <w:rFonts w:ascii="Symbol" w:hAnsi="Symbol" w:hint="default"/>
      </w:rPr>
    </w:lvl>
    <w:lvl w:ilvl="1" w:tplc="9DA2C530">
      <w:start w:val="1"/>
      <w:numFmt w:val="bullet"/>
      <w:lvlText w:val="o"/>
      <w:lvlJc w:val="left"/>
      <w:pPr>
        <w:ind w:left="1440" w:hanging="360"/>
      </w:pPr>
      <w:rPr>
        <w:rFonts w:ascii="Courier New" w:hAnsi="Courier New" w:hint="default"/>
      </w:rPr>
    </w:lvl>
    <w:lvl w:ilvl="2" w:tplc="79227478">
      <w:start w:val="1"/>
      <w:numFmt w:val="bullet"/>
      <w:lvlText w:val=""/>
      <w:lvlJc w:val="left"/>
      <w:pPr>
        <w:ind w:left="2160" w:hanging="360"/>
      </w:pPr>
      <w:rPr>
        <w:rFonts w:ascii="Wingdings" w:hAnsi="Wingdings" w:hint="default"/>
      </w:rPr>
    </w:lvl>
    <w:lvl w:ilvl="3" w:tplc="98FED12C">
      <w:start w:val="1"/>
      <w:numFmt w:val="bullet"/>
      <w:lvlText w:val=""/>
      <w:lvlJc w:val="left"/>
      <w:pPr>
        <w:ind w:left="2880" w:hanging="360"/>
      </w:pPr>
      <w:rPr>
        <w:rFonts w:ascii="Symbol" w:hAnsi="Symbol" w:hint="default"/>
      </w:rPr>
    </w:lvl>
    <w:lvl w:ilvl="4" w:tplc="09D8F5C8">
      <w:start w:val="1"/>
      <w:numFmt w:val="bullet"/>
      <w:lvlText w:val="o"/>
      <w:lvlJc w:val="left"/>
      <w:pPr>
        <w:ind w:left="3600" w:hanging="360"/>
      </w:pPr>
      <w:rPr>
        <w:rFonts w:ascii="Courier New" w:hAnsi="Courier New" w:hint="default"/>
      </w:rPr>
    </w:lvl>
    <w:lvl w:ilvl="5" w:tplc="7A208CF0">
      <w:start w:val="1"/>
      <w:numFmt w:val="bullet"/>
      <w:lvlText w:val=""/>
      <w:lvlJc w:val="left"/>
      <w:pPr>
        <w:ind w:left="4320" w:hanging="360"/>
      </w:pPr>
      <w:rPr>
        <w:rFonts w:ascii="Wingdings" w:hAnsi="Wingdings" w:hint="default"/>
      </w:rPr>
    </w:lvl>
    <w:lvl w:ilvl="6" w:tplc="5BE28640">
      <w:start w:val="1"/>
      <w:numFmt w:val="bullet"/>
      <w:lvlText w:val=""/>
      <w:lvlJc w:val="left"/>
      <w:pPr>
        <w:ind w:left="5040" w:hanging="360"/>
      </w:pPr>
      <w:rPr>
        <w:rFonts w:ascii="Symbol" w:hAnsi="Symbol" w:hint="default"/>
      </w:rPr>
    </w:lvl>
    <w:lvl w:ilvl="7" w:tplc="B7BE6A3C">
      <w:start w:val="1"/>
      <w:numFmt w:val="bullet"/>
      <w:lvlText w:val="o"/>
      <w:lvlJc w:val="left"/>
      <w:pPr>
        <w:ind w:left="5760" w:hanging="360"/>
      </w:pPr>
      <w:rPr>
        <w:rFonts w:ascii="Courier New" w:hAnsi="Courier New" w:hint="default"/>
      </w:rPr>
    </w:lvl>
    <w:lvl w:ilvl="8" w:tplc="E410E756">
      <w:start w:val="1"/>
      <w:numFmt w:val="bullet"/>
      <w:lvlText w:val=""/>
      <w:lvlJc w:val="left"/>
      <w:pPr>
        <w:ind w:left="6480" w:hanging="360"/>
      </w:pPr>
      <w:rPr>
        <w:rFonts w:ascii="Wingdings" w:hAnsi="Wingdings" w:hint="default"/>
      </w:rPr>
    </w:lvl>
  </w:abstractNum>
  <w:abstractNum w:abstractNumId="61" w15:restartNumberingAfterBreak="0">
    <w:nsid w:val="20755D0F"/>
    <w:multiLevelType w:val="hybridMultilevel"/>
    <w:tmpl w:val="851CF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20DA0842"/>
    <w:multiLevelType w:val="hybridMultilevel"/>
    <w:tmpl w:val="8D2C5CD8"/>
    <w:lvl w:ilvl="0" w:tplc="FFFFFFFF">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0ECF3A1"/>
    <w:multiLevelType w:val="hybridMultilevel"/>
    <w:tmpl w:val="FFFFFFFF"/>
    <w:lvl w:ilvl="0" w:tplc="C5585558">
      <w:start w:val="1"/>
      <w:numFmt w:val="bullet"/>
      <w:lvlText w:val="·"/>
      <w:lvlJc w:val="left"/>
      <w:pPr>
        <w:ind w:left="720" w:hanging="360"/>
      </w:pPr>
      <w:rPr>
        <w:rFonts w:ascii="Symbol" w:hAnsi="Symbol" w:hint="default"/>
      </w:rPr>
    </w:lvl>
    <w:lvl w:ilvl="1" w:tplc="62FCCF0C">
      <w:start w:val="1"/>
      <w:numFmt w:val="bullet"/>
      <w:lvlText w:val="o"/>
      <w:lvlJc w:val="left"/>
      <w:pPr>
        <w:ind w:left="1440" w:hanging="360"/>
      </w:pPr>
      <w:rPr>
        <w:rFonts w:ascii="Courier New" w:hAnsi="Courier New" w:hint="default"/>
      </w:rPr>
    </w:lvl>
    <w:lvl w:ilvl="2" w:tplc="BF300F5E">
      <w:start w:val="1"/>
      <w:numFmt w:val="bullet"/>
      <w:lvlText w:val=""/>
      <w:lvlJc w:val="left"/>
      <w:pPr>
        <w:ind w:left="2160" w:hanging="360"/>
      </w:pPr>
      <w:rPr>
        <w:rFonts w:ascii="Wingdings" w:hAnsi="Wingdings" w:hint="default"/>
      </w:rPr>
    </w:lvl>
    <w:lvl w:ilvl="3" w:tplc="F8404066">
      <w:start w:val="1"/>
      <w:numFmt w:val="bullet"/>
      <w:lvlText w:val=""/>
      <w:lvlJc w:val="left"/>
      <w:pPr>
        <w:ind w:left="2880" w:hanging="360"/>
      </w:pPr>
      <w:rPr>
        <w:rFonts w:ascii="Symbol" w:hAnsi="Symbol" w:hint="default"/>
      </w:rPr>
    </w:lvl>
    <w:lvl w:ilvl="4" w:tplc="F5124B8A">
      <w:start w:val="1"/>
      <w:numFmt w:val="bullet"/>
      <w:lvlText w:val="o"/>
      <w:lvlJc w:val="left"/>
      <w:pPr>
        <w:ind w:left="3600" w:hanging="360"/>
      </w:pPr>
      <w:rPr>
        <w:rFonts w:ascii="Courier New" w:hAnsi="Courier New" w:hint="default"/>
      </w:rPr>
    </w:lvl>
    <w:lvl w:ilvl="5" w:tplc="61E62E46">
      <w:start w:val="1"/>
      <w:numFmt w:val="bullet"/>
      <w:lvlText w:val=""/>
      <w:lvlJc w:val="left"/>
      <w:pPr>
        <w:ind w:left="4320" w:hanging="360"/>
      </w:pPr>
      <w:rPr>
        <w:rFonts w:ascii="Wingdings" w:hAnsi="Wingdings" w:hint="default"/>
      </w:rPr>
    </w:lvl>
    <w:lvl w:ilvl="6" w:tplc="AD4A83E4">
      <w:start w:val="1"/>
      <w:numFmt w:val="bullet"/>
      <w:lvlText w:val=""/>
      <w:lvlJc w:val="left"/>
      <w:pPr>
        <w:ind w:left="5040" w:hanging="360"/>
      </w:pPr>
      <w:rPr>
        <w:rFonts w:ascii="Symbol" w:hAnsi="Symbol" w:hint="default"/>
      </w:rPr>
    </w:lvl>
    <w:lvl w:ilvl="7" w:tplc="2D1840FE">
      <w:start w:val="1"/>
      <w:numFmt w:val="bullet"/>
      <w:lvlText w:val="o"/>
      <w:lvlJc w:val="left"/>
      <w:pPr>
        <w:ind w:left="5760" w:hanging="360"/>
      </w:pPr>
      <w:rPr>
        <w:rFonts w:ascii="Courier New" w:hAnsi="Courier New" w:hint="default"/>
      </w:rPr>
    </w:lvl>
    <w:lvl w:ilvl="8" w:tplc="DE785260">
      <w:start w:val="1"/>
      <w:numFmt w:val="bullet"/>
      <w:lvlText w:val=""/>
      <w:lvlJc w:val="left"/>
      <w:pPr>
        <w:ind w:left="6480" w:hanging="360"/>
      </w:pPr>
      <w:rPr>
        <w:rFonts w:ascii="Wingdings" w:hAnsi="Wingdings" w:hint="default"/>
      </w:rPr>
    </w:lvl>
  </w:abstractNum>
  <w:abstractNum w:abstractNumId="64" w15:restartNumberingAfterBreak="0">
    <w:nsid w:val="21BC5EAF"/>
    <w:multiLevelType w:val="hybridMultilevel"/>
    <w:tmpl w:val="620C0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220F5266"/>
    <w:multiLevelType w:val="multilevel"/>
    <w:tmpl w:val="CE86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52B17E2"/>
    <w:multiLevelType w:val="hybridMultilevel"/>
    <w:tmpl w:val="FFFFFFFF"/>
    <w:lvl w:ilvl="0" w:tplc="A5309DB0">
      <w:start w:val="1"/>
      <w:numFmt w:val="bullet"/>
      <w:lvlText w:val=""/>
      <w:lvlJc w:val="left"/>
      <w:pPr>
        <w:ind w:left="720" w:hanging="360"/>
      </w:pPr>
      <w:rPr>
        <w:rFonts w:ascii="Symbol" w:hAnsi="Symbol" w:hint="default"/>
      </w:rPr>
    </w:lvl>
    <w:lvl w:ilvl="1" w:tplc="E140176A">
      <w:start w:val="1"/>
      <w:numFmt w:val="bullet"/>
      <w:lvlText w:val="o"/>
      <w:lvlJc w:val="left"/>
      <w:pPr>
        <w:ind w:left="1440" w:hanging="360"/>
      </w:pPr>
      <w:rPr>
        <w:rFonts w:ascii="Courier New" w:hAnsi="Courier New" w:hint="default"/>
      </w:rPr>
    </w:lvl>
    <w:lvl w:ilvl="2" w:tplc="AD7856A6">
      <w:start w:val="1"/>
      <w:numFmt w:val="bullet"/>
      <w:lvlText w:val=""/>
      <w:lvlJc w:val="left"/>
      <w:pPr>
        <w:ind w:left="2160" w:hanging="360"/>
      </w:pPr>
      <w:rPr>
        <w:rFonts w:ascii="Wingdings" w:hAnsi="Wingdings" w:hint="default"/>
      </w:rPr>
    </w:lvl>
    <w:lvl w:ilvl="3" w:tplc="9BF80F34">
      <w:start w:val="1"/>
      <w:numFmt w:val="bullet"/>
      <w:lvlText w:val=""/>
      <w:lvlJc w:val="left"/>
      <w:pPr>
        <w:ind w:left="2880" w:hanging="360"/>
      </w:pPr>
      <w:rPr>
        <w:rFonts w:ascii="Symbol" w:hAnsi="Symbol" w:hint="default"/>
      </w:rPr>
    </w:lvl>
    <w:lvl w:ilvl="4" w:tplc="B41E8F0C">
      <w:start w:val="1"/>
      <w:numFmt w:val="bullet"/>
      <w:lvlText w:val="o"/>
      <w:lvlJc w:val="left"/>
      <w:pPr>
        <w:ind w:left="3600" w:hanging="360"/>
      </w:pPr>
      <w:rPr>
        <w:rFonts w:ascii="Courier New" w:hAnsi="Courier New" w:hint="default"/>
      </w:rPr>
    </w:lvl>
    <w:lvl w:ilvl="5" w:tplc="546AC7C4">
      <w:start w:val="1"/>
      <w:numFmt w:val="bullet"/>
      <w:lvlText w:val=""/>
      <w:lvlJc w:val="left"/>
      <w:pPr>
        <w:ind w:left="4320" w:hanging="360"/>
      </w:pPr>
      <w:rPr>
        <w:rFonts w:ascii="Wingdings" w:hAnsi="Wingdings" w:hint="default"/>
      </w:rPr>
    </w:lvl>
    <w:lvl w:ilvl="6" w:tplc="24F63E1E">
      <w:start w:val="1"/>
      <w:numFmt w:val="bullet"/>
      <w:lvlText w:val=""/>
      <w:lvlJc w:val="left"/>
      <w:pPr>
        <w:ind w:left="5040" w:hanging="360"/>
      </w:pPr>
      <w:rPr>
        <w:rFonts w:ascii="Symbol" w:hAnsi="Symbol" w:hint="default"/>
      </w:rPr>
    </w:lvl>
    <w:lvl w:ilvl="7" w:tplc="78DE5A86">
      <w:start w:val="1"/>
      <w:numFmt w:val="bullet"/>
      <w:lvlText w:val="o"/>
      <w:lvlJc w:val="left"/>
      <w:pPr>
        <w:ind w:left="5760" w:hanging="360"/>
      </w:pPr>
      <w:rPr>
        <w:rFonts w:ascii="Courier New" w:hAnsi="Courier New" w:hint="default"/>
      </w:rPr>
    </w:lvl>
    <w:lvl w:ilvl="8" w:tplc="63AE7654">
      <w:start w:val="1"/>
      <w:numFmt w:val="bullet"/>
      <w:lvlText w:val=""/>
      <w:lvlJc w:val="left"/>
      <w:pPr>
        <w:ind w:left="6480" w:hanging="360"/>
      </w:pPr>
      <w:rPr>
        <w:rFonts w:ascii="Wingdings" w:hAnsi="Wingdings" w:hint="default"/>
      </w:rPr>
    </w:lvl>
  </w:abstractNum>
  <w:abstractNum w:abstractNumId="67" w15:restartNumberingAfterBreak="0">
    <w:nsid w:val="25C36CEE"/>
    <w:multiLevelType w:val="hybridMultilevel"/>
    <w:tmpl w:val="8E68C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26344880"/>
    <w:multiLevelType w:val="hybridMultilevel"/>
    <w:tmpl w:val="14B4B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69E43C7"/>
    <w:multiLevelType w:val="hybridMultilevel"/>
    <w:tmpl w:val="715078E2"/>
    <w:lvl w:ilvl="0" w:tplc="2E6AE414">
      <w:start w:val="1"/>
      <w:numFmt w:val="decimal"/>
      <w:lvlText w:val="%1."/>
      <w:lvlJc w:val="left"/>
      <w:pPr>
        <w:ind w:left="720" w:hanging="360"/>
      </w:pPr>
      <w:rPr>
        <w:rFonts w:hint="default"/>
        <w:color w:val="5A5A5A" w:themeColor="text1" w:themeTint="A5"/>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276F1499"/>
    <w:multiLevelType w:val="hybridMultilevel"/>
    <w:tmpl w:val="B6DC9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27B9218F"/>
    <w:multiLevelType w:val="hybridMultilevel"/>
    <w:tmpl w:val="DE76FE98"/>
    <w:styleLink w:val="Style2"/>
    <w:lvl w:ilvl="0" w:tplc="6958E4C8">
      <w:start w:val="1"/>
      <w:numFmt w:val="bullet"/>
      <w:lvlText w:val=""/>
      <w:lvlJc w:val="left"/>
      <w:pPr>
        <w:ind w:left="1760" w:hanging="360"/>
      </w:pPr>
      <w:rPr>
        <w:rFonts w:ascii="Symbol" w:hAnsi="Symbol" w:hint="default"/>
        <w:color w:val="8064A2" w:themeColor="accent4"/>
      </w:rPr>
    </w:lvl>
    <w:lvl w:ilvl="1" w:tplc="0C070003">
      <w:start w:val="1"/>
      <w:numFmt w:val="bullet"/>
      <w:lvlText w:val="o"/>
      <w:lvlJc w:val="left"/>
      <w:pPr>
        <w:ind w:left="2480" w:hanging="360"/>
      </w:pPr>
      <w:rPr>
        <w:rFonts w:ascii="Courier New" w:hAnsi="Courier New" w:cs="Courier New" w:hint="default"/>
      </w:rPr>
    </w:lvl>
    <w:lvl w:ilvl="2" w:tplc="0C070005">
      <w:start w:val="1"/>
      <w:numFmt w:val="bullet"/>
      <w:lvlText w:val=""/>
      <w:lvlJc w:val="left"/>
      <w:pPr>
        <w:ind w:left="3200" w:hanging="360"/>
      </w:pPr>
      <w:rPr>
        <w:rFonts w:ascii="Wingdings" w:hAnsi="Wingdings" w:hint="default"/>
      </w:rPr>
    </w:lvl>
    <w:lvl w:ilvl="3" w:tplc="0C070001">
      <w:start w:val="1"/>
      <w:numFmt w:val="bullet"/>
      <w:lvlText w:val=""/>
      <w:lvlJc w:val="left"/>
      <w:pPr>
        <w:ind w:left="3920" w:hanging="360"/>
      </w:pPr>
      <w:rPr>
        <w:rFonts w:ascii="Symbol" w:hAnsi="Symbol" w:hint="default"/>
      </w:rPr>
    </w:lvl>
    <w:lvl w:ilvl="4" w:tplc="0C070003">
      <w:start w:val="1"/>
      <w:numFmt w:val="bullet"/>
      <w:lvlText w:val="o"/>
      <w:lvlJc w:val="left"/>
      <w:pPr>
        <w:ind w:left="4640" w:hanging="360"/>
      </w:pPr>
      <w:rPr>
        <w:rFonts w:ascii="Courier New" w:hAnsi="Courier New" w:cs="Courier New" w:hint="default"/>
      </w:rPr>
    </w:lvl>
    <w:lvl w:ilvl="5" w:tplc="0C070005">
      <w:start w:val="1"/>
      <w:numFmt w:val="bullet"/>
      <w:lvlText w:val=""/>
      <w:lvlJc w:val="left"/>
      <w:pPr>
        <w:ind w:left="5360" w:hanging="360"/>
      </w:pPr>
      <w:rPr>
        <w:rFonts w:ascii="Wingdings" w:hAnsi="Wingdings" w:hint="default"/>
      </w:rPr>
    </w:lvl>
    <w:lvl w:ilvl="6" w:tplc="0C070001">
      <w:start w:val="1"/>
      <w:numFmt w:val="bullet"/>
      <w:lvlText w:val=""/>
      <w:lvlJc w:val="left"/>
      <w:pPr>
        <w:ind w:left="6080" w:hanging="360"/>
      </w:pPr>
      <w:rPr>
        <w:rFonts w:ascii="Symbol" w:hAnsi="Symbol" w:hint="default"/>
      </w:rPr>
    </w:lvl>
    <w:lvl w:ilvl="7" w:tplc="0C070003">
      <w:start w:val="1"/>
      <w:numFmt w:val="bullet"/>
      <w:lvlText w:val="o"/>
      <w:lvlJc w:val="left"/>
      <w:pPr>
        <w:ind w:left="6800" w:hanging="360"/>
      </w:pPr>
      <w:rPr>
        <w:rFonts w:ascii="Courier New" w:hAnsi="Courier New" w:cs="Courier New" w:hint="default"/>
      </w:rPr>
    </w:lvl>
    <w:lvl w:ilvl="8" w:tplc="0C070005">
      <w:start w:val="1"/>
      <w:numFmt w:val="bullet"/>
      <w:lvlText w:val=""/>
      <w:lvlJc w:val="left"/>
      <w:pPr>
        <w:ind w:left="7520" w:hanging="360"/>
      </w:pPr>
      <w:rPr>
        <w:rFonts w:ascii="Wingdings" w:hAnsi="Wingdings" w:hint="default"/>
      </w:rPr>
    </w:lvl>
  </w:abstractNum>
  <w:abstractNum w:abstractNumId="72" w15:restartNumberingAfterBreak="0">
    <w:nsid w:val="27F3AB99"/>
    <w:multiLevelType w:val="hybridMultilevel"/>
    <w:tmpl w:val="FFFFFFFF"/>
    <w:lvl w:ilvl="0" w:tplc="E3A60884">
      <w:start w:val="1"/>
      <w:numFmt w:val="bullet"/>
      <w:lvlText w:val="·"/>
      <w:lvlJc w:val="left"/>
      <w:pPr>
        <w:ind w:left="720" w:hanging="360"/>
      </w:pPr>
      <w:rPr>
        <w:rFonts w:ascii="Symbol" w:hAnsi="Symbol" w:hint="default"/>
      </w:rPr>
    </w:lvl>
    <w:lvl w:ilvl="1" w:tplc="32648594">
      <w:start w:val="1"/>
      <w:numFmt w:val="bullet"/>
      <w:lvlText w:val="o"/>
      <w:lvlJc w:val="left"/>
      <w:pPr>
        <w:ind w:left="1440" w:hanging="360"/>
      </w:pPr>
      <w:rPr>
        <w:rFonts w:ascii="Courier New" w:hAnsi="Courier New" w:hint="default"/>
      </w:rPr>
    </w:lvl>
    <w:lvl w:ilvl="2" w:tplc="00949AE4">
      <w:start w:val="1"/>
      <w:numFmt w:val="bullet"/>
      <w:lvlText w:val=""/>
      <w:lvlJc w:val="left"/>
      <w:pPr>
        <w:ind w:left="2160" w:hanging="360"/>
      </w:pPr>
      <w:rPr>
        <w:rFonts w:ascii="Wingdings" w:hAnsi="Wingdings" w:hint="default"/>
      </w:rPr>
    </w:lvl>
    <w:lvl w:ilvl="3" w:tplc="C65663EA">
      <w:start w:val="1"/>
      <w:numFmt w:val="bullet"/>
      <w:lvlText w:val=""/>
      <w:lvlJc w:val="left"/>
      <w:pPr>
        <w:ind w:left="2880" w:hanging="360"/>
      </w:pPr>
      <w:rPr>
        <w:rFonts w:ascii="Symbol" w:hAnsi="Symbol" w:hint="default"/>
      </w:rPr>
    </w:lvl>
    <w:lvl w:ilvl="4" w:tplc="7290937C">
      <w:start w:val="1"/>
      <w:numFmt w:val="bullet"/>
      <w:lvlText w:val="o"/>
      <w:lvlJc w:val="left"/>
      <w:pPr>
        <w:ind w:left="3600" w:hanging="360"/>
      </w:pPr>
      <w:rPr>
        <w:rFonts w:ascii="Courier New" w:hAnsi="Courier New" w:hint="default"/>
      </w:rPr>
    </w:lvl>
    <w:lvl w:ilvl="5" w:tplc="9CE6C8D8">
      <w:start w:val="1"/>
      <w:numFmt w:val="bullet"/>
      <w:lvlText w:val=""/>
      <w:lvlJc w:val="left"/>
      <w:pPr>
        <w:ind w:left="4320" w:hanging="360"/>
      </w:pPr>
      <w:rPr>
        <w:rFonts w:ascii="Wingdings" w:hAnsi="Wingdings" w:hint="default"/>
      </w:rPr>
    </w:lvl>
    <w:lvl w:ilvl="6" w:tplc="91D88AC4">
      <w:start w:val="1"/>
      <w:numFmt w:val="bullet"/>
      <w:lvlText w:val=""/>
      <w:lvlJc w:val="left"/>
      <w:pPr>
        <w:ind w:left="5040" w:hanging="360"/>
      </w:pPr>
      <w:rPr>
        <w:rFonts w:ascii="Symbol" w:hAnsi="Symbol" w:hint="default"/>
      </w:rPr>
    </w:lvl>
    <w:lvl w:ilvl="7" w:tplc="28A47ECC">
      <w:start w:val="1"/>
      <w:numFmt w:val="bullet"/>
      <w:lvlText w:val="o"/>
      <w:lvlJc w:val="left"/>
      <w:pPr>
        <w:ind w:left="5760" w:hanging="360"/>
      </w:pPr>
      <w:rPr>
        <w:rFonts w:ascii="Courier New" w:hAnsi="Courier New" w:hint="default"/>
      </w:rPr>
    </w:lvl>
    <w:lvl w:ilvl="8" w:tplc="E15ACF44">
      <w:start w:val="1"/>
      <w:numFmt w:val="bullet"/>
      <w:lvlText w:val=""/>
      <w:lvlJc w:val="left"/>
      <w:pPr>
        <w:ind w:left="6480" w:hanging="360"/>
      </w:pPr>
      <w:rPr>
        <w:rFonts w:ascii="Wingdings" w:hAnsi="Wingdings" w:hint="default"/>
      </w:rPr>
    </w:lvl>
  </w:abstractNum>
  <w:abstractNum w:abstractNumId="73" w15:restartNumberingAfterBreak="0">
    <w:nsid w:val="280051FF"/>
    <w:multiLevelType w:val="multilevel"/>
    <w:tmpl w:val="C778C4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28672D6E"/>
    <w:multiLevelType w:val="hybridMultilevel"/>
    <w:tmpl w:val="AF40B126"/>
    <w:styleLink w:val="Style21"/>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28A61B75"/>
    <w:multiLevelType w:val="hybridMultilevel"/>
    <w:tmpl w:val="2DF2F62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360" w:hanging="360"/>
      </w:pPr>
      <w:rPr>
        <w:rFonts w:ascii="Courier New" w:hAnsi="Courier New" w:cs="Courier New" w:hint="default"/>
      </w:rPr>
    </w:lvl>
    <w:lvl w:ilvl="2" w:tplc="18090005">
      <w:start w:val="1"/>
      <w:numFmt w:val="bullet"/>
      <w:lvlText w:val=""/>
      <w:lvlJc w:val="left"/>
      <w:pPr>
        <w:ind w:left="1080" w:hanging="360"/>
      </w:pPr>
      <w:rPr>
        <w:rFonts w:ascii="Wingdings" w:hAnsi="Wingdings" w:hint="default"/>
      </w:rPr>
    </w:lvl>
    <w:lvl w:ilvl="3" w:tplc="18090001">
      <w:start w:val="1"/>
      <w:numFmt w:val="bullet"/>
      <w:lvlText w:val=""/>
      <w:lvlJc w:val="left"/>
      <w:pPr>
        <w:ind w:left="1800" w:hanging="360"/>
      </w:pPr>
      <w:rPr>
        <w:rFonts w:ascii="Symbol" w:hAnsi="Symbol" w:hint="default"/>
      </w:rPr>
    </w:lvl>
    <w:lvl w:ilvl="4" w:tplc="18090003">
      <w:start w:val="1"/>
      <w:numFmt w:val="bullet"/>
      <w:lvlText w:val="o"/>
      <w:lvlJc w:val="left"/>
      <w:pPr>
        <w:ind w:left="2520" w:hanging="360"/>
      </w:pPr>
      <w:rPr>
        <w:rFonts w:ascii="Courier New" w:hAnsi="Courier New" w:cs="Courier New" w:hint="default"/>
      </w:rPr>
    </w:lvl>
    <w:lvl w:ilvl="5" w:tplc="18090005">
      <w:start w:val="1"/>
      <w:numFmt w:val="bullet"/>
      <w:lvlText w:val=""/>
      <w:lvlJc w:val="left"/>
      <w:pPr>
        <w:ind w:left="3240" w:hanging="360"/>
      </w:pPr>
      <w:rPr>
        <w:rFonts w:ascii="Wingdings" w:hAnsi="Wingdings" w:hint="default"/>
      </w:rPr>
    </w:lvl>
    <w:lvl w:ilvl="6" w:tplc="18090001">
      <w:start w:val="1"/>
      <w:numFmt w:val="bullet"/>
      <w:lvlText w:val=""/>
      <w:lvlJc w:val="left"/>
      <w:pPr>
        <w:ind w:left="3960" w:hanging="360"/>
      </w:pPr>
      <w:rPr>
        <w:rFonts w:ascii="Symbol" w:hAnsi="Symbol" w:hint="default"/>
      </w:rPr>
    </w:lvl>
    <w:lvl w:ilvl="7" w:tplc="18090003">
      <w:start w:val="1"/>
      <w:numFmt w:val="bullet"/>
      <w:lvlText w:val="o"/>
      <w:lvlJc w:val="left"/>
      <w:pPr>
        <w:ind w:left="4680" w:hanging="360"/>
      </w:pPr>
      <w:rPr>
        <w:rFonts w:ascii="Courier New" w:hAnsi="Courier New" w:cs="Courier New" w:hint="default"/>
      </w:rPr>
    </w:lvl>
    <w:lvl w:ilvl="8" w:tplc="18090005">
      <w:start w:val="1"/>
      <w:numFmt w:val="bullet"/>
      <w:lvlText w:val=""/>
      <w:lvlJc w:val="left"/>
      <w:pPr>
        <w:ind w:left="5400" w:hanging="360"/>
      </w:pPr>
      <w:rPr>
        <w:rFonts w:ascii="Wingdings" w:hAnsi="Wingdings" w:hint="default"/>
      </w:rPr>
    </w:lvl>
  </w:abstractNum>
  <w:abstractNum w:abstractNumId="76" w15:restartNumberingAfterBreak="0">
    <w:nsid w:val="290E489E"/>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29CFDB4E"/>
    <w:multiLevelType w:val="hybridMultilevel"/>
    <w:tmpl w:val="FFFFFFFF"/>
    <w:lvl w:ilvl="0" w:tplc="84426962">
      <w:start w:val="1"/>
      <w:numFmt w:val="lowerLetter"/>
      <w:lvlText w:val="(%1)"/>
      <w:lvlJc w:val="left"/>
      <w:pPr>
        <w:ind w:left="720" w:hanging="360"/>
      </w:pPr>
    </w:lvl>
    <w:lvl w:ilvl="1" w:tplc="3F1EF614">
      <w:start w:val="1"/>
      <w:numFmt w:val="lowerLetter"/>
      <w:lvlText w:val="%2."/>
      <w:lvlJc w:val="left"/>
      <w:pPr>
        <w:ind w:left="1440" w:hanging="360"/>
      </w:pPr>
    </w:lvl>
    <w:lvl w:ilvl="2" w:tplc="26923ABE">
      <w:start w:val="1"/>
      <w:numFmt w:val="lowerRoman"/>
      <w:lvlText w:val="%3."/>
      <w:lvlJc w:val="right"/>
      <w:pPr>
        <w:ind w:left="2160" w:hanging="180"/>
      </w:pPr>
    </w:lvl>
    <w:lvl w:ilvl="3" w:tplc="DC9E3072">
      <w:start w:val="1"/>
      <w:numFmt w:val="decimal"/>
      <w:lvlText w:val="%4."/>
      <w:lvlJc w:val="left"/>
      <w:pPr>
        <w:ind w:left="2880" w:hanging="360"/>
      </w:pPr>
    </w:lvl>
    <w:lvl w:ilvl="4" w:tplc="D0F4A3D6">
      <w:start w:val="1"/>
      <w:numFmt w:val="lowerLetter"/>
      <w:lvlText w:val="%5."/>
      <w:lvlJc w:val="left"/>
      <w:pPr>
        <w:ind w:left="3600" w:hanging="360"/>
      </w:pPr>
    </w:lvl>
    <w:lvl w:ilvl="5" w:tplc="CB5AEFFC">
      <w:start w:val="1"/>
      <w:numFmt w:val="lowerRoman"/>
      <w:lvlText w:val="%6."/>
      <w:lvlJc w:val="right"/>
      <w:pPr>
        <w:ind w:left="4320" w:hanging="180"/>
      </w:pPr>
    </w:lvl>
    <w:lvl w:ilvl="6" w:tplc="2130B5D4">
      <w:start w:val="1"/>
      <w:numFmt w:val="decimal"/>
      <w:lvlText w:val="%7."/>
      <w:lvlJc w:val="left"/>
      <w:pPr>
        <w:ind w:left="5040" w:hanging="360"/>
      </w:pPr>
    </w:lvl>
    <w:lvl w:ilvl="7" w:tplc="3232EF8C">
      <w:start w:val="1"/>
      <w:numFmt w:val="lowerLetter"/>
      <w:lvlText w:val="%8."/>
      <w:lvlJc w:val="left"/>
      <w:pPr>
        <w:ind w:left="5760" w:hanging="360"/>
      </w:pPr>
    </w:lvl>
    <w:lvl w:ilvl="8" w:tplc="6FCECA86">
      <w:start w:val="1"/>
      <w:numFmt w:val="lowerRoman"/>
      <w:lvlText w:val="%9."/>
      <w:lvlJc w:val="right"/>
      <w:pPr>
        <w:ind w:left="6480" w:hanging="180"/>
      </w:pPr>
    </w:lvl>
  </w:abstractNum>
  <w:abstractNum w:abstractNumId="78" w15:restartNumberingAfterBreak="0">
    <w:nsid w:val="2A343CCD"/>
    <w:multiLevelType w:val="hybridMultilevel"/>
    <w:tmpl w:val="649C0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A621C5C"/>
    <w:multiLevelType w:val="hybridMultilevel"/>
    <w:tmpl w:val="FFFFFFFF"/>
    <w:lvl w:ilvl="0" w:tplc="C2A248A8">
      <w:start w:val="1"/>
      <w:numFmt w:val="bullet"/>
      <w:lvlText w:val=""/>
      <w:lvlJc w:val="left"/>
      <w:pPr>
        <w:ind w:left="720" w:hanging="360"/>
      </w:pPr>
      <w:rPr>
        <w:rFonts w:ascii="Symbol" w:hAnsi="Symbol" w:hint="default"/>
      </w:rPr>
    </w:lvl>
    <w:lvl w:ilvl="1" w:tplc="A26A6612">
      <w:start w:val="1"/>
      <w:numFmt w:val="bullet"/>
      <w:lvlText w:val="o"/>
      <w:lvlJc w:val="left"/>
      <w:pPr>
        <w:ind w:left="1440" w:hanging="360"/>
      </w:pPr>
      <w:rPr>
        <w:rFonts w:ascii="Courier New" w:hAnsi="Courier New" w:hint="default"/>
      </w:rPr>
    </w:lvl>
    <w:lvl w:ilvl="2" w:tplc="20CA593A">
      <w:start w:val="1"/>
      <w:numFmt w:val="bullet"/>
      <w:lvlText w:val=""/>
      <w:lvlJc w:val="left"/>
      <w:pPr>
        <w:ind w:left="2160" w:hanging="360"/>
      </w:pPr>
      <w:rPr>
        <w:rFonts w:ascii="Wingdings" w:hAnsi="Wingdings" w:hint="default"/>
      </w:rPr>
    </w:lvl>
    <w:lvl w:ilvl="3" w:tplc="9A763CAC">
      <w:start w:val="1"/>
      <w:numFmt w:val="bullet"/>
      <w:lvlText w:val=""/>
      <w:lvlJc w:val="left"/>
      <w:pPr>
        <w:ind w:left="2880" w:hanging="360"/>
      </w:pPr>
      <w:rPr>
        <w:rFonts w:ascii="Symbol" w:hAnsi="Symbol" w:hint="default"/>
      </w:rPr>
    </w:lvl>
    <w:lvl w:ilvl="4" w:tplc="0500239E">
      <w:start w:val="1"/>
      <w:numFmt w:val="bullet"/>
      <w:lvlText w:val="o"/>
      <w:lvlJc w:val="left"/>
      <w:pPr>
        <w:ind w:left="3600" w:hanging="360"/>
      </w:pPr>
      <w:rPr>
        <w:rFonts w:ascii="Courier New" w:hAnsi="Courier New" w:hint="default"/>
      </w:rPr>
    </w:lvl>
    <w:lvl w:ilvl="5" w:tplc="EED88D90">
      <w:start w:val="1"/>
      <w:numFmt w:val="bullet"/>
      <w:lvlText w:val=""/>
      <w:lvlJc w:val="left"/>
      <w:pPr>
        <w:ind w:left="4320" w:hanging="360"/>
      </w:pPr>
      <w:rPr>
        <w:rFonts w:ascii="Wingdings" w:hAnsi="Wingdings" w:hint="default"/>
      </w:rPr>
    </w:lvl>
    <w:lvl w:ilvl="6" w:tplc="49441456">
      <w:start w:val="1"/>
      <w:numFmt w:val="bullet"/>
      <w:lvlText w:val=""/>
      <w:lvlJc w:val="left"/>
      <w:pPr>
        <w:ind w:left="5040" w:hanging="360"/>
      </w:pPr>
      <w:rPr>
        <w:rFonts w:ascii="Symbol" w:hAnsi="Symbol" w:hint="default"/>
      </w:rPr>
    </w:lvl>
    <w:lvl w:ilvl="7" w:tplc="766C8CFA">
      <w:start w:val="1"/>
      <w:numFmt w:val="bullet"/>
      <w:lvlText w:val="o"/>
      <w:lvlJc w:val="left"/>
      <w:pPr>
        <w:ind w:left="5760" w:hanging="360"/>
      </w:pPr>
      <w:rPr>
        <w:rFonts w:ascii="Courier New" w:hAnsi="Courier New" w:hint="default"/>
      </w:rPr>
    </w:lvl>
    <w:lvl w:ilvl="8" w:tplc="D67E5CF8">
      <w:start w:val="1"/>
      <w:numFmt w:val="bullet"/>
      <w:lvlText w:val=""/>
      <w:lvlJc w:val="left"/>
      <w:pPr>
        <w:ind w:left="6480" w:hanging="360"/>
      </w:pPr>
      <w:rPr>
        <w:rFonts w:ascii="Wingdings" w:hAnsi="Wingdings" w:hint="default"/>
      </w:rPr>
    </w:lvl>
  </w:abstractNum>
  <w:abstractNum w:abstractNumId="80" w15:restartNumberingAfterBreak="0">
    <w:nsid w:val="2ACF124E"/>
    <w:multiLevelType w:val="hybridMultilevel"/>
    <w:tmpl w:val="8FBC85D4"/>
    <w:lvl w:ilvl="0" w:tplc="44B8DD18">
      <w:start w:val="1"/>
      <w:numFmt w:val="decimal"/>
      <w:pStyle w:val="JRCTextnumberedlist1"/>
      <w:lvlText w:val="%1."/>
      <w:lvlJc w:val="left"/>
      <w:pPr>
        <w:ind w:left="720" w:hanging="360"/>
      </w:pPr>
    </w:lvl>
    <w:lvl w:ilvl="1" w:tplc="8A9C066A">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BA932D4"/>
    <w:multiLevelType w:val="hybridMultilevel"/>
    <w:tmpl w:val="5172D2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2BCC77B2"/>
    <w:multiLevelType w:val="hybridMultilevel"/>
    <w:tmpl w:val="15BC1F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2BD661CA"/>
    <w:multiLevelType w:val="multilevel"/>
    <w:tmpl w:val="92D8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BF07A55"/>
    <w:multiLevelType w:val="hybridMultilevel"/>
    <w:tmpl w:val="FFFFFFFF"/>
    <w:lvl w:ilvl="0" w:tplc="FF669EDC">
      <w:start w:val="1"/>
      <w:numFmt w:val="bullet"/>
      <w:lvlText w:val=""/>
      <w:lvlJc w:val="left"/>
      <w:pPr>
        <w:ind w:left="720" w:hanging="360"/>
      </w:pPr>
      <w:rPr>
        <w:rFonts w:ascii="Symbol" w:hAnsi="Symbol" w:hint="default"/>
      </w:rPr>
    </w:lvl>
    <w:lvl w:ilvl="1" w:tplc="F9ACED70">
      <w:start w:val="1"/>
      <w:numFmt w:val="bullet"/>
      <w:lvlText w:val="o"/>
      <w:lvlJc w:val="left"/>
      <w:pPr>
        <w:ind w:left="1440" w:hanging="360"/>
      </w:pPr>
      <w:rPr>
        <w:rFonts w:ascii="Courier New" w:hAnsi="Courier New" w:hint="default"/>
      </w:rPr>
    </w:lvl>
    <w:lvl w:ilvl="2" w:tplc="83501FC4">
      <w:start w:val="1"/>
      <w:numFmt w:val="bullet"/>
      <w:lvlText w:val=""/>
      <w:lvlJc w:val="left"/>
      <w:pPr>
        <w:ind w:left="2160" w:hanging="360"/>
      </w:pPr>
      <w:rPr>
        <w:rFonts w:ascii="Wingdings" w:hAnsi="Wingdings" w:hint="default"/>
      </w:rPr>
    </w:lvl>
    <w:lvl w:ilvl="3" w:tplc="16BEF81C">
      <w:start w:val="1"/>
      <w:numFmt w:val="bullet"/>
      <w:lvlText w:val=""/>
      <w:lvlJc w:val="left"/>
      <w:pPr>
        <w:ind w:left="2880" w:hanging="360"/>
      </w:pPr>
      <w:rPr>
        <w:rFonts w:ascii="Symbol" w:hAnsi="Symbol" w:hint="default"/>
      </w:rPr>
    </w:lvl>
    <w:lvl w:ilvl="4" w:tplc="11C29AF0">
      <w:start w:val="1"/>
      <w:numFmt w:val="bullet"/>
      <w:lvlText w:val="o"/>
      <w:lvlJc w:val="left"/>
      <w:pPr>
        <w:ind w:left="3600" w:hanging="360"/>
      </w:pPr>
      <w:rPr>
        <w:rFonts w:ascii="Courier New" w:hAnsi="Courier New" w:hint="default"/>
      </w:rPr>
    </w:lvl>
    <w:lvl w:ilvl="5" w:tplc="787A5B3A">
      <w:start w:val="1"/>
      <w:numFmt w:val="bullet"/>
      <w:lvlText w:val=""/>
      <w:lvlJc w:val="left"/>
      <w:pPr>
        <w:ind w:left="4320" w:hanging="360"/>
      </w:pPr>
      <w:rPr>
        <w:rFonts w:ascii="Wingdings" w:hAnsi="Wingdings" w:hint="default"/>
      </w:rPr>
    </w:lvl>
    <w:lvl w:ilvl="6" w:tplc="2DFC6718">
      <w:start w:val="1"/>
      <w:numFmt w:val="bullet"/>
      <w:lvlText w:val=""/>
      <w:lvlJc w:val="left"/>
      <w:pPr>
        <w:ind w:left="5040" w:hanging="360"/>
      </w:pPr>
      <w:rPr>
        <w:rFonts w:ascii="Symbol" w:hAnsi="Symbol" w:hint="default"/>
      </w:rPr>
    </w:lvl>
    <w:lvl w:ilvl="7" w:tplc="87DCA688">
      <w:start w:val="1"/>
      <w:numFmt w:val="bullet"/>
      <w:lvlText w:val="o"/>
      <w:lvlJc w:val="left"/>
      <w:pPr>
        <w:ind w:left="5760" w:hanging="360"/>
      </w:pPr>
      <w:rPr>
        <w:rFonts w:ascii="Courier New" w:hAnsi="Courier New" w:hint="default"/>
      </w:rPr>
    </w:lvl>
    <w:lvl w:ilvl="8" w:tplc="49CA19D8">
      <w:start w:val="1"/>
      <w:numFmt w:val="bullet"/>
      <w:lvlText w:val=""/>
      <w:lvlJc w:val="left"/>
      <w:pPr>
        <w:ind w:left="6480" w:hanging="360"/>
      </w:pPr>
      <w:rPr>
        <w:rFonts w:ascii="Wingdings" w:hAnsi="Wingdings" w:hint="default"/>
      </w:rPr>
    </w:lvl>
  </w:abstractNum>
  <w:abstractNum w:abstractNumId="85" w15:restartNumberingAfterBreak="0">
    <w:nsid w:val="2C35278E"/>
    <w:multiLevelType w:val="hybridMultilevel"/>
    <w:tmpl w:val="4CF6F5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2DC98835"/>
    <w:multiLevelType w:val="hybridMultilevel"/>
    <w:tmpl w:val="FFFFFFFF"/>
    <w:lvl w:ilvl="0" w:tplc="818A329A">
      <w:start w:val="1"/>
      <w:numFmt w:val="decimal"/>
      <w:lvlText w:val="%1."/>
      <w:lvlJc w:val="left"/>
      <w:pPr>
        <w:ind w:left="720" w:hanging="360"/>
      </w:pPr>
    </w:lvl>
    <w:lvl w:ilvl="1" w:tplc="A73E720E">
      <w:start w:val="1"/>
      <w:numFmt w:val="lowerLetter"/>
      <w:lvlText w:val="%2."/>
      <w:lvlJc w:val="left"/>
      <w:pPr>
        <w:ind w:left="1440" w:hanging="360"/>
      </w:pPr>
    </w:lvl>
    <w:lvl w:ilvl="2" w:tplc="0C20AC4E">
      <w:start w:val="1"/>
      <w:numFmt w:val="lowerRoman"/>
      <w:lvlText w:val="%3."/>
      <w:lvlJc w:val="right"/>
      <w:pPr>
        <w:ind w:left="2160" w:hanging="180"/>
      </w:pPr>
    </w:lvl>
    <w:lvl w:ilvl="3" w:tplc="A9B286F8">
      <w:start w:val="1"/>
      <w:numFmt w:val="decimal"/>
      <w:lvlText w:val="%4."/>
      <w:lvlJc w:val="left"/>
      <w:pPr>
        <w:ind w:left="2880" w:hanging="360"/>
      </w:pPr>
    </w:lvl>
    <w:lvl w:ilvl="4" w:tplc="78A824A0">
      <w:start w:val="1"/>
      <w:numFmt w:val="lowerLetter"/>
      <w:lvlText w:val="%5."/>
      <w:lvlJc w:val="left"/>
      <w:pPr>
        <w:ind w:left="3600" w:hanging="360"/>
      </w:pPr>
    </w:lvl>
    <w:lvl w:ilvl="5" w:tplc="5A9200B0">
      <w:start w:val="1"/>
      <w:numFmt w:val="lowerRoman"/>
      <w:lvlText w:val="%6."/>
      <w:lvlJc w:val="right"/>
      <w:pPr>
        <w:ind w:left="4320" w:hanging="180"/>
      </w:pPr>
    </w:lvl>
    <w:lvl w:ilvl="6" w:tplc="BDACF3CC">
      <w:start w:val="1"/>
      <w:numFmt w:val="decimal"/>
      <w:lvlText w:val="%7."/>
      <w:lvlJc w:val="left"/>
      <w:pPr>
        <w:ind w:left="5040" w:hanging="360"/>
      </w:pPr>
    </w:lvl>
    <w:lvl w:ilvl="7" w:tplc="65D62B30">
      <w:start w:val="1"/>
      <w:numFmt w:val="lowerLetter"/>
      <w:lvlText w:val="%8."/>
      <w:lvlJc w:val="left"/>
      <w:pPr>
        <w:ind w:left="5760" w:hanging="360"/>
      </w:pPr>
    </w:lvl>
    <w:lvl w:ilvl="8" w:tplc="37FC2954">
      <w:start w:val="1"/>
      <w:numFmt w:val="lowerRoman"/>
      <w:lvlText w:val="%9."/>
      <w:lvlJc w:val="right"/>
      <w:pPr>
        <w:ind w:left="6480" w:hanging="180"/>
      </w:pPr>
    </w:lvl>
  </w:abstractNum>
  <w:abstractNum w:abstractNumId="87" w15:restartNumberingAfterBreak="0">
    <w:nsid w:val="2DF37C85"/>
    <w:multiLevelType w:val="hybridMultilevel"/>
    <w:tmpl w:val="83388A0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2E9C4A85"/>
    <w:multiLevelType w:val="hybridMultilevel"/>
    <w:tmpl w:val="05EEB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2F8955D8"/>
    <w:multiLevelType w:val="hybridMultilevel"/>
    <w:tmpl w:val="390A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FAB7CA7"/>
    <w:multiLevelType w:val="hybridMultilevel"/>
    <w:tmpl w:val="CD78FB9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1" w15:restartNumberingAfterBreak="0">
    <w:nsid w:val="302F4741"/>
    <w:multiLevelType w:val="multilevel"/>
    <w:tmpl w:val="86D4100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2" w15:restartNumberingAfterBreak="0">
    <w:nsid w:val="311B156F"/>
    <w:multiLevelType w:val="hybridMultilevel"/>
    <w:tmpl w:val="D4A68574"/>
    <w:lvl w:ilvl="0" w:tplc="0407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17938A8"/>
    <w:multiLevelType w:val="hybridMultilevel"/>
    <w:tmpl w:val="781A14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31D4520F"/>
    <w:multiLevelType w:val="hybridMultilevel"/>
    <w:tmpl w:val="A88ED5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32B63A52"/>
    <w:multiLevelType w:val="hybridMultilevel"/>
    <w:tmpl w:val="4DA29006"/>
    <w:lvl w:ilvl="0" w:tplc="18090001">
      <w:start w:val="1"/>
      <w:numFmt w:val="bullet"/>
      <w:lvlText w:val=""/>
      <w:lvlJc w:val="left"/>
      <w:pPr>
        <w:ind w:left="777" w:hanging="360"/>
      </w:pPr>
      <w:rPr>
        <w:rFonts w:ascii="Symbol" w:hAnsi="Symbol" w:hint="default"/>
      </w:rPr>
    </w:lvl>
    <w:lvl w:ilvl="1" w:tplc="18090003" w:tentative="1">
      <w:start w:val="1"/>
      <w:numFmt w:val="bullet"/>
      <w:lvlText w:val="o"/>
      <w:lvlJc w:val="left"/>
      <w:pPr>
        <w:ind w:left="1497" w:hanging="360"/>
      </w:pPr>
      <w:rPr>
        <w:rFonts w:ascii="Courier New" w:hAnsi="Courier New" w:cs="Courier New" w:hint="default"/>
      </w:rPr>
    </w:lvl>
    <w:lvl w:ilvl="2" w:tplc="18090005" w:tentative="1">
      <w:start w:val="1"/>
      <w:numFmt w:val="bullet"/>
      <w:lvlText w:val=""/>
      <w:lvlJc w:val="left"/>
      <w:pPr>
        <w:ind w:left="2217" w:hanging="360"/>
      </w:pPr>
      <w:rPr>
        <w:rFonts w:ascii="Wingdings" w:hAnsi="Wingdings" w:hint="default"/>
      </w:rPr>
    </w:lvl>
    <w:lvl w:ilvl="3" w:tplc="18090001" w:tentative="1">
      <w:start w:val="1"/>
      <w:numFmt w:val="bullet"/>
      <w:lvlText w:val=""/>
      <w:lvlJc w:val="left"/>
      <w:pPr>
        <w:ind w:left="2937" w:hanging="360"/>
      </w:pPr>
      <w:rPr>
        <w:rFonts w:ascii="Symbol" w:hAnsi="Symbol" w:hint="default"/>
      </w:rPr>
    </w:lvl>
    <w:lvl w:ilvl="4" w:tplc="18090003" w:tentative="1">
      <w:start w:val="1"/>
      <w:numFmt w:val="bullet"/>
      <w:lvlText w:val="o"/>
      <w:lvlJc w:val="left"/>
      <w:pPr>
        <w:ind w:left="3657" w:hanging="360"/>
      </w:pPr>
      <w:rPr>
        <w:rFonts w:ascii="Courier New" w:hAnsi="Courier New" w:cs="Courier New" w:hint="default"/>
      </w:rPr>
    </w:lvl>
    <w:lvl w:ilvl="5" w:tplc="18090005" w:tentative="1">
      <w:start w:val="1"/>
      <w:numFmt w:val="bullet"/>
      <w:lvlText w:val=""/>
      <w:lvlJc w:val="left"/>
      <w:pPr>
        <w:ind w:left="4377" w:hanging="360"/>
      </w:pPr>
      <w:rPr>
        <w:rFonts w:ascii="Wingdings" w:hAnsi="Wingdings" w:hint="default"/>
      </w:rPr>
    </w:lvl>
    <w:lvl w:ilvl="6" w:tplc="18090001" w:tentative="1">
      <w:start w:val="1"/>
      <w:numFmt w:val="bullet"/>
      <w:lvlText w:val=""/>
      <w:lvlJc w:val="left"/>
      <w:pPr>
        <w:ind w:left="5097" w:hanging="360"/>
      </w:pPr>
      <w:rPr>
        <w:rFonts w:ascii="Symbol" w:hAnsi="Symbol" w:hint="default"/>
      </w:rPr>
    </w:lvl>
    <w:lvl w:ilvl="7" w:tplc="18090003" w:tentative="1">
      <w:start w:val="1"/>
      <w:numFmt w:val="bullet"/>
      <w:lvlText w:val="o"/>
      <w:lvlJc w:val="left"/>
      <w:pPr>
        <w:ind w:left="5817" w:hanging="360"/>
      </w:pPr>
      <w:rPr>
        <w:rFonts w:ascii="Courier New" w:hAnsi="Courier New" w:cs="Courier New" w:hint="default"/>
      </w:rPr>
    </w:lvl>
    <w:lvl w:ilvl="8" w:tplc="18090005" w:tentative="1">
      <w:start w:val="1"/>
      <w:numFmt w:val="bullet"/>
      <w:lvlText w:val=""/>
      <w:lvlJc w:val="left"/>
      <w:pPr>
        <w:ind w:left="6537" w:hanging="360"/>
      </w:pPr>
      <w:rPr>
        <w:rFonts w:ascii="Wingdings" w:hAnsi="Wingdings" w:hint="default"/>
      </w:rPr>
    </w:lvl>
  </w:abstractNum>
  <w:abstractNum w:abstractNumId="96" w15:restartNumberingAfterBreak="0">
    <w:nsid w:val="334B75A7"/>
    <w:multiLevelType w:val="hybridMultilevel"/>
    <w:tmpl w:val="0974E1DC"/>
    <w:lvl w:ilvl="0" w:tplc="1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36D139F"/>
    <w:multiLevelType w:val="multilevel"/>
    <w:tmpl w:val="FC84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3F905B6"/>
    <w:multiLevelType w:val="hybridMultilevel"/>
    <w:tmpl w:val="051C3AD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41B25A2"/>
    <w:multiLevelType w:val="hybridMultilevel"/>
    <w:tmpl w:val="EF0C3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34206347"/>
    <w:multiLevelType w:val="multilevel"/>
    <w:tmpl w:val="DD583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CA6E19"/>
    <w:multiLevelType w:val="hybridMultilevel"/>
    <w:tmpl w:val="D9F4E4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2" w15:restartNumberingAfterBreak="0">
    <w:nsid w:val="34E8CA66"/>
    <w:multiLevelType w:val="hybridMultilevel"/>
    <w:tmpl w:val="FFFFFFFF"/>
    <w:lvl w:ilvl="0" w:tplc="6C8CAC50">
      <w:start w:val="1"/>
      <w:numFmt w:val="bullet"/>
      <w:lvlText w:val=""/>
      <w:lvlJc w:val="left"/>
      <w:pPr>
        <w:ind w:left="720" w:hanging="360"/>
      </w:pPr>
      <w:rPr>
        <w:rFonts w:ascii="Symbol" w:hAnsi="Symbol" w:hint="default"/>
      </w:rPr>
    </w:lvl>
    <w:lvl w:ilvl="1" w:tplc="F40AC0B6">
      <w:start w:val="1"/>
      <w:numFmt w:val="bullet"/>
      <w:lvlText w:val="o"/>
      <w:lvlJc w:val="left"/>
      <w:pPr>
        <w:ind w:left="1440" w:hanging="360"/>
      </w:pPr>
      <w:rPr>
        <w:rFonts w:ascii="Courier New" w:hAnsi="Courier New" w:hint="default"/>
      </w:rPr>
    </w:lvl>
    <w:lvl w:ilvl="2" w:tplc="A94660B6">
      <w:start w:val="1"/>
      <w:numFmt w:val="bullet"/>
      <w:lvlText w:val=""/>
      <w:lvlJc w:val="left"/>
      <w:pPr>
        <w:ind w:left="2160" w:hanging="360"/>
      </w:pPr>
      <w:rPr>
        <w:rFonts w:ascii="Wingdings" w:hAnsi="Wingdings" w:hint="default"/>
      </w:rPr>
    </w:lvl>
    <w:lvl w:ilvl="3" w:tplc="9B28EB4A">
      <w:start w:val="1"/>
      <w:numFmt w:val="bullet"/>
      <w:lvlText w:val=""/>
      <w:lvlJc w:val="left"/>
      <w:pPr>
        <w:ind w:left="2880" w:hanging="360"/>
      </w:pPr>
      <w:rPr>
        <w:rFonts w:ascii="Symbol" w:hAnsi="Symbol" w:hint="default"/>
      </w:rPr>
    </w:lvl>
    <w:lvl w:ilvl="4" w:tplc="185C079E">
      <w:start w:val="1"/>
      <w:numFmt w:val="bullet"/>
      <w:lvlText w:val="o"/>
      <w:lvlJc w:val="left"/>
      <w:pPr>
        <w:ind w:left="3600" w:hanging="360"/>
      </w:pPr>
      <w:rPr>
        <w:rFonts w:ascii="Courier New" w:hAnsi="Courier New" w:hint="default"/>
      </w:rPr>
    </w:lvl>
    <w:lvl w:ilvl="5" w:tplc="85D84060">
      <w:start w:val="1"/>
      <w:numFmt w:val="bullet"/>
      <w:lvlText w:val=""/>
      <w:lvlJc w:val="left"/>
      <w:pPr>
        <w:ind w:left="4320" w:hanging="360"/>
      </w:pPr>
      <w:rPr>
        <w:rFonts w:ascii="Wingdings" w:hAnsi="Wingdings" w:hint="default"/>
      </w:rPr>
    </w:lvl>
    <w:lvl w:ilvl="6" w:tplc="1FA43550">
      <w:start w:val="1"/>
      <w:numFmt w:val="bullet"/>
      <w:lvlText w:val=""/>
      <w:lvlJc w:val="left"/>
      <w:pPr>
        <w:ind w:left="5040" w:hanging="360"/>
      </w:pPr>
      <w:rPr>
        <w:rFonts w:ascii="Symbol" w:hAnsi="Symbol" w:hint="default"/>
      </w:rPr>
    </w:lvl>
    <w:lvl w:ilvl="7" w:tplc="9662D246">
      <w:start w:val="1"/>
      <w:numFmt w:val="bullet"/>
      <w:lvlText w:val="o"/>
      <w:lvlJc w:val="left"/>
      <w:pPr>
        <w:ind w:left="5760" w:hanging="360"/>
      </w:pPr>
      <w:rPr>
        <w:rFonts w:ascii="Courier New" w:hAnsi="Courier New" w:hint="default"/>
      </w:rPr>
    </w:lvl>
    <w:lvl w:ilvl="8" w:tplc="683E6B30">
      <w:start w:val="1"/>
      <w:numFmt w:val="bullet"/>
      <w:lvlText w:val=""/>
      <w:lvlJc w:val="left"/>
      <w:pPr>
        <w:ind w:left="6480" w:hanging="360"/>
      </w:pPr>
      <w:rPr>
        <w:rFonts w:ascii="Wingdings" w:hAnsi="Wingdings" w:hint="default"/>
      </w:rPr>
    </w:lvl>
  </w:abstractNum>
  <w:abstractNum w:abstractNumId="103" w15:restartNumberingAfterBreak="0">
    <w:nsid w:val="37125D82"/>
    <w:multiLevelType w:val="hybridMultilevel"/>
    <w:tmpl w:val="3EA0D10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73F5D96"/>
    <w:multiLevelType w:val="hybridMultilevel"/>
    <w:tmpl w:val="FFFFFFFF"/>
    <w:lvl w:ilvl="0" w:tplc="AFE21E96">
      <w:start w:val="1"/>
      <w:numFmt w:val="bullet"/>
      <w:lvlText w:val="·"/>
      <w:lvlJc w:val="left"/>
      <w:pPr>
        <w:ind w:left="720" w:hanging="360"/>
      </w:pPr>
      <w:rPr>
        <w:rFonts w:ascii="Symbol" w:hAnsi="Symbol" w:hint="default"/>
      </w:rPr>
    </w:lvl>
    <w:lvl w:ilvl="1" w:tplc="BB9CED00">
      <w:start w:val="1"/>
      <w:numFmt w:val="bullet"/>
      <w:lvlText w:val="o"/>
      <w:lvlJc w:val="left"/>
      <w:pPr>
        <w:ind w:left="1440" w:hanging="360"/>
      </w:pPr>
      <w:rPr>
        <w:rFonts w:ascii="Courier New" w:hAnsi="Courier New" w:hint="default"/>
      </w:rPr>
    </w:lvl>
    <w:lvl w:ilvl="2" w:tplc="CDAA974C">
      <w:start w:val="1"/>
      <w:numFmt w:val="bullet"/>
      <w:lvlText w:val=""/>
      <w:lvlJc w:val="left"/>
      <w:pPr>
        <w:ind w:left="2160" w:hanging="360"/>
      </w:pPr>
      <w:rPr>
        <w:rFonts w:ascii="Wingdings" w:hAnsi="Wingdings" w:hint="default"/>
      </w:rPr>
    </w:lvl>
    <w:lvl w:ilvl="3" w:tplc="B82AC6B8">
      <w:start w:val="1"/>
      <w:numFmt w:val="bullet"/>
      <w:lvlText w:val=""/>
      <w:lvlJc w:val="left"/>
      <w:pPr>
        <w:ind w:left="2880" w:hanging="360"/>
      </w:pPr>
      <w:rPr>
        <w:rFonts w:ascii="Symbol" w:hAnsi="Symbol" w:hint="default"/>
      </w:rPr>
    </w:lvl>
    <w:lvl w:ilvl="4" w:tplc="2CA4D788">
      <w:start w:val="1"/>
      <w:numFmt w:val="bullet"/>
      <w:lvlText w:val="o"/>
      <w:lvlJc w:val="left"/>
      <w:pPr>
        <w:ind w:left="3600" w:hanging="360"/>
      </w:pPr>
      <w:rPr>
        <w:rFonts w:ascii="Courier New" w:hAnsi="Courier New" w:hint="default"/>
      </w:rPr>
    </w:lvl>
    <w:lvl w:ilvl="5" w:tplc="23085458">
      <w:start w:val="1"/>
      <w:numFmt w:val="bullet"/>
      <w:lvlText w:val=""/>
      <w:lvlJc w:val="left"/>
      <w:pPr>
        <w:ind w:left="4320" w:hanging="360"/>
      </w:pPr>
      <w:rPr>
        <w:rFonts w:ascii="Wingdings" w:hAnsi="Wingdings" w:hint="default"/>
      </w:rPr>
    </w:lvl>
    <w:lvl w:ilvl="6" w:tplc="3AAADD42">
      <w:start w:val="1"/>
      <w:numFmt w:val="bullet"/>
      <w:lvlText w:val=""/>
      <w:lvlJc w:val="left"/>
      <w:pPr>
        <w:ind w:left="5040" w:hanging="360"/>
      </w:pPr>
      <w:rPr>
        <w:rFonts w:ascii="Symbol" w:hAnsi="Symbol" w:hint="default"/>
      </w:rPr>
    </w:lvl>
    <w:lvl w:ilvl="7" w:tplc="C342480C">
      <w:start w:val="1"/>
      <w:numFmt w:val="bullet"/>
      <w:lvlText w:val="o"/>
      <w:lvlJc w:val="left"/>
      <w:pPr>
        <w:ind w:left="5760" w:hanging="360"/>
      </w:pPr>
      <w:rPr>
        <w:rFonts w:ascii="Courier New" w:hAnsi="Courier New" w:hint="default"/>
      </w:rPr>
    </w:lvl>
    <w:lvl w:ilvl="8" w:tplc="41B6575A">
      <w:start w:val="1"/>
      <w:numFmt w:val="bullet"/>
      <w:lvlText w:val=""/>
      <w:lvlJc w:val="left"/>
      <w:pPr>
        <w:ind w:left="6480" w:hanging="360"/>
      </w:pPr>
      <w:rPr>
        <w:rFonts w:ascii="Wingdings" w:hAnsi="Wingdings" w:hint="default"/>
      </w:rPr>
    </w:lvl>
  </w:abstractNum>
  <w:abstractNum w:abstractNumId="105" w15:restartNumberingAfterBreak="0">
    <w:nsid w:val="377C429B"/>
    <w:multiLevelType w:val="hybridMultilevel"/>
    <w:tmpl w:val="DDEC2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37FC7B4B"/>
    <w:multiLevelType w:val="hybridMultilevel"/>
    <w:tmpl w:val="F9C2282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07" w15:restartNumberingAfterBreak="0">
    <w:nsid w:val="380F4AC8"/>
    <w:multiLevelType w:val="hybridMultilevel"/>
    <w:tmpl w:val="336E48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8" w15:restartNumberingAfterBreak="0">
    <w:nsid w:val="38154B5C"/>
    <w:multiLevelType w:val="hybridMultilevel"/>
    <w:tmpl w:val="91723B8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9" w15:restartNumberingAfterBreak="0">
    <w:nsid w:val="3884670D"/>
    <w:multiLevelType w:val="hybridMultilevel"/>
    <w:tmpl w:val="734CC048"/>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392031EB"/>
    <w:multiLevelType w:val="multilevel"/>
    <w:tmpl w:val="961C39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9AD07AD"/>
    <w:multiLevelType w:val="hybridMultilevel"/>
    <w:tmpl w:val="FFFFFFFF"/>
    <w:lvl w:ilvl="0" w:tplc="CAD02094">
      <w:start w:val="1"/>
      <w:numFmt w:val="bullet"/>
      <w:lvlText w:val="-"/>
      <w:lvlJc w:val="left"/>
      <w:pPr>
        <w:ind w:left="720" w:hanging="360"/>
      </w:pPr>
      <w:rPr>
        <w:rFonts w:ascii="&quot;Calibri&quot;,sans-serif" w:hAnsi="&quot;Calibri&quot;,sans-serif" w:hint="default"/>
      </w:rPr>
    </w:lvl>
    <w:lvl w:ilvl="1" w:tplc="432AF916">
      <w:start w:val="1"/>
      <w:numFmt w:val="bullet"/>
      <w:lvlText w:val="o"/>
      <w:lvlJc w:val="left"/>
      <w:pPr>
        <w:ind w:left="1440" w:hanging="360"/>
      </w:pPr>
      <w:rPr>
        <w:rFonts w:ascii="Courier New" w:hAnsi="Courier New" w:hint="default"/>
      </w:rPr>
    </w:lvl>
    <w:lvl w:ilvl="2" w:tplc="42DA2544">
      <w:start w:val="1"/>
      <w:numFmt w:val="bullet"/>
      <w:lvlText w:val=""/>
      <w:lvlJc w:val="left"/>
      <w:pPr>
        <w:ind w:left="2160" w:hanging="360"/>
      </w:pPr>
      <w:rPr>
        <w:rFonts w:ascii="Wingdings" w:hAnsi="Wingdings" w:hint="default"/>
      </w:rPr>
    </w:lvl>
    <w:lvl w:ilvl="3" w:tplc="18CEEDB0">
      <w:start w:val="1"/>
      <w:numFmt w:val="bullet"/>
      <w:lvlText w:val=""/>
      <w:lvlJc w:val="left"/>
      <w:pPr>
        <w:ind w:left="2880" w:hanging="360"/>
      </w:pPr>
      <w:rPr>
        <w:rFonts w:ascii="Symbol" w:hAnsi="Symbol" w:hint="default"/>
      </w:rPr>
    </w:lvl>
    <w:lvl w:ilvl="4" w:tplc="0CA21CD8">
      <w:start w:val="1"/>
      <w:numFmt w:val="bullet"/>
      <w:lvlText w:val="o"/>
      <w:lvlJc w:val="left"/>
      <w:pPr>
        <w:ind w:left="3600" w:hanging="360"/>
      </w:pPr>
      <w:rPr>
        <w:rFonts w:ascii="Courier New" w:hAnsi="Courier New" w:hint="default"/>
      </w:rPr>
    </w:lvl>
    <w:lvl w:ilvl="5" w:tplc="101A0C1C">
      <w:start w:val="1"/>
      <w:numFmt w:val="bullet"/>
      <w:lvlText w:val=""/>
      <w:lvlJc w:val="left"/>
      <w:pPr>
        <w:ind w:left="4320" w:hanging="360"/>
      </w:pPr>
      <w:rPr>
        <w:rFonts w:ascii="Wingdings" w:hAnsi="Wingdings" w:hint="default"/>
      </w:rPr>
    </w:lvl>
    <w:lvl w:ilvl="6" w:tplc="E0E2D5AE">
      <w:start w:val="1"/>
      <w:numFmt w:val="bullet"/>
      <w:lvlText w:val=""/>
      <w:lvlJc w:val="left"/>
      <w:pPr>
        <w:ind w:left="5040" w:hanging="360"/>
      </w:pPr>
      <w:rPr>
        <w:rFonts w:ascii="Symbol" w:hAnsi="Symbol" w:hint="default"/>
      </w:rPr>
    </w:lvl>
    <w:lvl w:ilvl="7" w:tplc="2CBECC88">
      <w:start w:val="1"/>
      <w:numFmt w:val="bullet"/>
      <w:lvlText w:val="o"/>
      <w:lvlJc w:val="left"/>
      <w:pPr>
        <w:ind w:left="5760" w:hanging="360"/>
      </w:pPr>
      <w:rPr>
        <w:rFonts w:ascii="Courier New" w:hAnsi="Courier New" w:hint="default"/>
      </w:rPr>
    </w:lvl>
    <w:lvl w:ilvl="8" w:tplc="F63ACBE0">
      <w:start w:val="1"/>
      <w:numFmt w:val="bullet"/>
      <w:lvlText w:val=""/>
      <w:lvlJc w:val="left"/>
      <w:pPr>
        <w:ind w:left="6480" w:hanging="360"/>
      </w:pPr>
      <w:rPr>
        <w:rFonts w:ascii="Wingdings" w:hAnsi="Wingdings" w:hint="default"/>
      </w:rPr>
    </w:lvl>
  </w:abstractNum>
  <w:abstractNum w:abstractNumId="112" w15:restartNumberingAfterBreak="0">
    <w:nsid w:val="3A4636C8"/>
    <w:multiLevelType w:val="hybridMultilevel"/>
    <w:tmpl w:val="FFFFFFFF"/>
    <w:lvl w:ilvl="0" w:tplc="D15C4E04">
      <w:start w:val="1"/>
      <w:numFmt w:val="bullet"/>
      <w:lvlText w:val="·"/>
      <w:lvlJc w:val="left"/>
      <w:pPr>
        <w:ind w:left="720" w:hanging="360"/>
      </w:pPr>
      <w:rPr>
        <w:rFonts w:ascii="Symbol" w:hAnsi="Symbol" w:hint="default"/>
      </w:rPr>
    </w:lvl>
    <w:lvl w:ilvl="1" w:tplc="45BA6F0E">
      <w:start w:val="1"/>
      <w:numFmt w:val="bullet"/>
      <w:lvlText w:val="o"/>
      <w:lvlJc w:val="left"/>
      <w:pPr>
        <w:ind w:left="1440" w:hanging="360"/>
      </w:pPr>
      <w:rPr>
        <w:rFonts w:ascii="Courier New" w:hAnsi="Courier New" w:hint="default"/>
      </w:rPr>
    </w:lvl>
    <w:lvl w:ilvl="2" w:tplc="D8B66A54">
      <w:start w:val="1"/>
      <w:numFmt w:val="bullet"/>
      <w:lvlText w:val=""/>
      <w:lvlJc w:val="left"/>
      <w:pPr>
        <w:ind w:left="2160" w:hanging="360"/>
      </w:pPr>
      <w:rPr>
        <w:rFonts w:ascii="Wingdings" w:hAnsi="Wingdings" w:hint="default"/>
      </w:rPr>
    </w:lvl>
    <w:lvl w:ilvl="3" w:tplc="B6EAABAA">
      <w:start w:val="1"/>
      <w:numFmt w:val="bullet"/>
      <w:lvlText w:val=""/>
      <w:lvlJc w:val="left"/>
      <w:pPr>
        <w:ind w:left="2880" w:hanging="360"/>
      </w:pPr>
      <w:rPr>
        <w:rFonts w:ascii="Symbol" w:hAnsi="Symbol" w:hint="default"/>
      </w:rPr>
    </w:lvl>
    <w:lvl w:ilvl="4" w:tplc="077EB610">
      <w:start w:val="1"/>
      <w:numFmt w:val="bullet"/>
      <w:lvlText w:val="o"/>
      <w:lvlJc w:val="left"/>
      <w:pPr>
        <w:ind w:left="3600" w:hanging="360"/>
      </w:pPr>
      <w:rPr>
        <w:rFonts w:ascii="Courier New" w:hAnsi="Courier New" w:hint="default"/>
      </w:rPr>
    </w:lvl>
    <w:lvl w:ilvl="5" w:tplc="021E744C">
      <w:start w:val="1"/>
      <w:numFmt w:val="bullet"/>
      <w:lvlText w:val=""/>
      <w:lvlJc w:val="left"/>
      <w:pPr>
        <w:ind w:left="4320" w:hanging="360"/>
      </w:pPr>
      <w:rPr>
        <w:rFonts w:ascii="Wingdings" w:hAnsi="Wingdings" w:hint="default"/>
      </w:rPr>
    </w:lvl>
    <w:lvl w:ilvl="6" w:tplc="11B6C5DC">
      <w:start w:val="1"/>
      <w:numFmt w:val="bullet"/>
      <w:lvlText w:val=""/>
      <w:lvlJc w:val="left"/>
      <w:pPr>
        <w:ind w:left="5040" w:hanging="360"/>
      </w:pPr>
      <w:rPr>
        <w:rFonts w:ascii="Symbol" w:hAnsi="Symbol" w:hint="default"/>
      </w:rPr>
    </w:lvl>
    <w:lvl w:ilvl="7" w:tplc="144E5FCC">
      <w:start w:val="1"/>
      <w:numFmt w:val="bullet"/>
      <w:lvlText w:val="o"/>
      <w:lvlJc w:val="left"/>
      <w:pPr>
        <w:ind w:left="5760" w:hanging="360"/>
      </w:pPr>
      <w:rPr>
        <w:rFonts w:ascii="Courier New" w:hAnsi="Courier New" w:hint="default"/>
      </w:rPr>
    </w:lvl>
    <w:lvl w:ilvl="8" w:tplc="7722EF3A">
      <w:start w:val="1"/>
      <w:numFmt w:val="bullet"/>
      <w:lvlText w:val=""/>
      <w:lvlJc w:val="left"/>
      <w:pPr>
        <w:ind w:left="6480" w:hanging="360"/>
      </w:pPr>
      <w:rPr>
        <w:rFonts w:ascii="Wingdings" w:hAnsi="Wingdings" w:hint="default"/>
      </w:rPr>
    </w:lvl>
  </w:abstractNum>
  <w:abstractNum w:abstractNumId="113" w15:restartNumberingAfterBreak="0">
    <w:nsid w:val="3A8C3AE5"/>
    <w:multiLevelType w:val="hybridMultilevel"/>
    <w:tmpl w:val="5978E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B70DE3"/>
    <w:multiLevelType w:val="hybridMultilevel"/>
    <w:tmpl w:val="FFFFFFFF"/>
    <w:lvl w:ilvl="0" w:tplc="BD865DDA">
      <w:start w:val="1"/>
      <w:numFmt w:val="bullet"/>
      <w:lvlText w:val=""/>
      <w:lvlJc w:val="left"/>
      <w:pPr>
        <w:ind w:left="720" w:hanging="360"/>
      </w:pPr>
      <w:rPr>
        <w:rFonts w:ascii="Symbol" w:hAnsi="Symbol" w:hint="default"/>
      </w:rPr>
    </w:lvl>
    <w:lvl w:ilvl="1" w:tplc="08C49258">
      <w:start w:val="1"/>
      <w:numFmt w:val="bullet"/>
      <w:lvlText w:val="·"/>
      <w:lvlJc w:val="left"/>
      <w:pPr>
        <w:ind w:left="1440" w:hanging="360"/>
      </w:pPr>
      <w:rPr>
        <w:rFonts w:ascii="Symbol" w:hAnsi="Symbol" w:hint="default"/>
      </w:rPr>
    </w:lvl>
    <w:lvl w:ilvl="2" w:tplc="C89C831A">
      <w:start w:val="1"/>
      <w:numFmt w:val="bullet"/>
      <w:lvlText w:val=""/>
      <w:lvlJc w:val="left"/>
      <w:pPr>
        <w:ind w:left="2160" w:hanging="360"/>
      </w:pPr>
      <w:rPr>
        <w:rFonts w:ascii="Wingdings" w:hAnsi="Wingdings" w:hint="default"/>
      </w:rPr>
    </w:lvl>
    <w:lvl w:ilvl="3" w:tplc="F558E7F4">
      <w:start w:val="1"/>
      <w:numFmt w:val="bullet"/>
      <w:lvlText w:val=""/>
      <w:lvlJc w:val="left"/>
      <w:pPr>
        <w:ind w:left="2880" w:hanging="360"/>
      </w:pPr>
      <w:rPr>
        <w:rFonts w:ascii="Symbol" w:hAnsi="Symbol" w:hint="default"/>
      </w:rPr>
    </w:lvl>
    <w:lvl w:ilvl="4" w:tplc="346ED3AC">
      <w:start w:val="1"/>
      <w:numFmt w:val="bullet"/>
      <w:lvlText w:val="o"/>
      <w:lvlJc w:val="left"/>
      <w:pPr>
        <w:ind w:left="3600" w:hanging="360"/>
      </w:pPr>
      <w:rPr>
        <w:rFonts w:ascii="Courier New" w:hAnsi="Courier New" w:hint="default"/>
      </w:rPr>
    </w:lvl>
    <w:lvl w:ilvl="5" w:tplc="2BF259F0">
      <w:start w:val="1"/>
      <w:numFmt w:val="bullet"/>
      <w:lvlText w:val=""/>
      <w:lvlJc w:val="left"/>
      <w:pPr>
        <w:ind w:left="4320" w:hanging="360"/>
      </w:pPr>
      <w:rPr>
        <w:rFonts w:ascii="Wingdings" w:hAnsi="Wingdings" w:hint="default"/>
      </w:rPr>
    </w:lvl>
    <w:lvl w:ilvl="6" w:tplc="BC360FC4">
      <w:start w:val="1"/>
      <w:numFmt w:val="bullet"/>
      <w:lvlText w:val=""/>
      <w:lvlJc w:val="left"/>
      <w:pPr>
        <w:ind w:left="5040" w:hanging="360"/>
      </w:pPr>
      <w:rPr>
        <w:rFonts w:ascii="Symbol" w:hAnsi="Symbol" w:hint="default"/>
      </w:rPr>
    </w:lvl>
    <w:lvl w:ilvl="7" w:tplc="1F8ED7BE">
      <w:start w:val="1"/>
      <w:numFmt w:val="bullet"/>
      <w:lvlText w:val="o"/>
      <w:lvlJc w:val="left"/>
      <w:pPr>
        <w:ind w:left="5760" w:hanging="360"/>
      </w:pPr>
      <w:rPr>
        <w:rFonts w:ascii="Courier New" w:hAnsi="Courier New" w:hint="default"/>
      </w:rPr>
    </w:lvl>
    <w:lvl w:ilvl="8" w:tplc="22E4041A">
      <w:start w:val="1"/>
      <w:numFmt w:val="bullet"/>
      <w:lvlText w:val=""/>
      <w:lvlJc w:val="left"/>
      <w:pPr>
        <w:ind w:left="6480" w:hanging="360"/>
      </w:pPr>
      <w:rPr>
        <w:rFonts w:ascii="Wingdings" w:hAnsi="Wingdings" w:hint="default"/>
      </w:rPr>
    </w:lvl>
  </w:abstractNum>
  <w:abstractNum w:abstractNumId="115" w15:restartNumberingAfterBreak="0">
    <w:nsid w:val="3B2949F6"/>
    <w:multiLevelType w:val="hybridMultilevel"/>
    <w:tmpl w:val="DE76FE98"/>
    <w:styleLink w:val="AMECHeadings"/>
    <w:lvl w:ilvl="0" w:tplc="6958E4C8">
      <w:start w:val="1"/>
      <w:numFmt w:val="bullet"/>
      <w:pStyle w:val="WDRoman"/>
      <w:lvlText w:val=""/>
      <w:lvlJc w:val="left"/>
      <w:pPr>
        <w:ind w:left="1760" w:hanging="360"/>
      </w:pPr>
      <w:rPr>
        <w:rFonts w:ascii="Symbol" w:hAnsi="Symbol" w:hint="default"/>
        <w:color w:val="8064A2" w:themeColor="accent4"/>
      </w:rPr>
    </w:lvl>
    <w:lvl w:ilvl="1" w:tplc="0C070003">
      <w:start w:val="1"/>
      <w:numFmt w:val="bullet"/>
      <w:lvlText w:val="o"/>
      <w:lvlJc w:val="left"/>
      <w:pPr>
        <w:ind w:left="2480" w:hanging="360"/>
      </w:pPr>
      <w:rPr>
        <w:rFonts w:ascii="Courier New" w:hAnsi="Courier New" w:cs="Courier New" w:hint="default"/>
      </w:rPr>
    </w:lvl>
    <w:lvl w:ilvl="2" w:tplc="0C070005">
      <w:start w:val="1"/>
      <w:numFmt w:val="bullet"/>
      <w:lvlText w:val=""/>
      <w:lvlJc w:val="left"/>
      <w:pPr>
        <w:ind w:left="3200" w:hanging="360"/>
      </w:pPr>
      <w:rPr>
        <w:rFonts w:ascii="Wingdings" w:hAnsi="Wingdings" w:hint="default"/>
      </w:rPr>
    </w:lvl>
    <w:lvl w:ilvl="3" w:tplc="0C070001">
      <w:start w:val="1"/>
      <w:numFmt w:val="bullet"/>
      <w:lvlText w:val=""/>
      <w:lvlJc w:val="left"/>
      <w:pPr>
        <w:ind w:left="3920" w:hanging="360"/>
      </w:pPr>
      <w:rPr>
        <w:rFonts w:ascii="Symbol" w:hAnsi="Symbol" w:hint="default"/>
      </w:rPr>
    </w:lvl>
    <w:lvl w:ilvl="4" w:tplc="0C070003">
      <w:start w:val="1"/>
      <w:numFmt w:val="bullet"/>
      <w:lvlText w:val="o"/>
      <w:lvlJc w:val="left"/>
      <w:pPr>
        <w:ind w:left="4640" w:hanging="360"/>
      </w:pPr>
      <w:rPr>
        <w:rFonts w:ascii="Courier New" w:hAnsi="Courier New" w:cs="Courier New" w:hint="default"/>
      </w:rPr>
    </w:lvl>
    <w:lvl w:ilvl="5" w:tplc="0C070005">
      <w:start w:val="1"/>
      <w:numFmt w:val="bullet"/>
      <w:lvlText w:val=""/>
      <w:lvlJc w:val="left"/>
      <w:pPr>
        <w:ind w:left="5360" w:hanging="360"/>
      </w:pPr>
      <w:rPr>
        <w:rFonts w:ascii="Wingdings" w:hAnsi="Wingdings" w:hint="default"/>
      </w:rPr>
    </w:lvl>
    <w:lvl w:ilvl="6" w:tplc="0C070001">
      <w:start w:val="1"/>
      <w:numFmt w:val="bullet"/>
      <w:lvlText w:val=""/>
      <w:lvlJc w:val="left"/>
      <w:pPr>
        <w:ind w:left="6080" w:hanging="360"/>
      </w:pPr>
      <w:rPr>
        <w:rFonts w:ascii="Symbol" w:hAnsi="Symbol" w:hint="default"/>
      </w:rPr>
    </w:lvl>
    <w:lvl w:ilvl="7" w:tplc="0C070003">
      <w:start w:val="1"/>
      <w:numFmt w:val="bullet"/>
      <w:lvlText w:val="o"/>
      <w:lvlJc w:val="left"/>
      <w:pPr>
        <w:ind w:left="6800" w:hanging="360"/>
      </w:pPr>
      <w:rPr>
        <w:rFonts w:ascii="Courier New" w:hAnsi="Courier New" w:cs="Courier New" w:hint="default"/>
      </w:rPr>
    </w:lvl>
    <w:lvl w:ilvl="8" w:tplc="0C070005">
      <w:start w:val="1"/>
      <w:numFmt w:val="bullet"/>
      <w:lvlText w:val=""/>
      <w:lvlJc w:val="left"/>
      <w:pPr>
        <w:ind w:left="7520" w:hanging="360"/>
      </w:pPr>
      <w:rPr>
        <w:rFonts w:ascii="Wingdings" w:hAnsi="Wingdings" w:hint="default"/>
      </w:rPr>
    </w:lvl>
  </w:abstractNum>
  <w:abstractNum w:abstractNumId="116" w15:restartNumberingAfterBreak="0">
    <w:nsid w:val="3B2F4070"/>
    <w:multiLevelType w:val="hybridMultilevel"/>
    <w:tmpl w:val="FFFFFFFF"/>
    <w:lvl w:ilvl="0" w:tplc="B1406D50">
      <w:start w:val="1"/>
      <w:numFmt w:val="bullet"/>
      <w:lvlText w:val=""/>
      <w:lvlJc w:val="left"/>
      <w:pPr>
        <w:ind w:left="720" w:hanging="360"/>
      </w:pPr>
      <w:rPr>
        <w:rFonts w:ascii="Symbol" w:hAnsi="Symbol" w:hint="default"/>
      </w:rPr>
    </w:lvl>
    <w:lvl w:ilvl="1" w:tplc="F07A30F6">
      <w:start w:val="1"/>
      <w:numFmt w:val="bullet"/>
      <w:lvlText w:val="o"/>
      <w:lvlJc w:val="left"/>
      <w:pPr>
        <w:ind w:left="1440" w:hanging="360"/>
      </w:pPr>
      <w:rPr>
        <w:rFonts w:ascii="Courier New" w:hAnsi="Courier New" w:hint="default"/>
      </w:rPr>
    </w:lvl>
    <w:lvl w:ilvl="2" w:tplc="D9C604F8">
      <w:start w:val="1"/>
      <w:numFmt w:val="bullet"/>
      <w:lvlText w:val=""/>
      <w:lvlJc w:val="left"/>
      <w:pPr>
        <w:ind w:left="2160" w:hanging="360"/>
      </w:pPr>
      <w:rPr>
        <w:rFonts w:ascii="Wingdings" w:hAnsi="Wingdings" w:hint="default"/>
      </w:rPr>
    </w:lvl>
    <w:lvl w:ilvl="3" w:tplc="EA626AE2">
      <w:start w:val="1"/>
      <w:numFmt w:val="bullet"/>
      <w:lvlText w:val=""/>
      <w:lvlJc w:val="left"/>
      <w:pPr>
        <w:ind w:left="2880" w:hanging="360"/>
      </w:pPr>
      <w:rPr>
        <w:rFonts w:ascii="Symbol" w:hAnsi="Symbol" w:hint="default"/>
      </w:rPr>
    </w:lvl>
    <w:lvl w:ilvl="4" w:tplc="D644A72E">
      <w:start w:val="1"/>
      <w:numFmt w:val="bullet"/>
      <w:lvlText w:val="o"/>
      <w:lvlJc w:val="left"/>
      <w:pPr>
        <w:ind w:left="3600" w:hanging="360"/>
      </w:pPr>
      <w:rPr>
        <w:rFonts w:ascii="Courier New" w:hAnsi="Courier New" w:hint="default"/>
      </w:rPr>
    </w:lvl>
    <w:lvl w:ilvl="5" w:tplc="00C28244">
      <w:start w:val="1"/>
      <w:numFmt w:val="bullet"/>
      <w:lvlText w:val=""/>
      <w:lvlJc w:val="left"/>
      <w:pPr>
        <w:ind w:left="4320" w:hanging="360"/>
      </w:pPr>
      <w:rPr>
        <w:rFonts w:ascii="Wingdings" w:hAnsi="Wingdings" w:hint="default"/>
      </w:rPr>
    </w:lvl>
    <w:lvl w:ilvl="6" w:tplc="D500FBEA">
      <w:start w:val="1"/>
      <w:numFmt w:val="bullet"/>
      <w:lvlText w:val=""/>
      <w:lvlJc w:val="left"/>
      <w:pPr>
        <w:ind w:left="5040" w:hanging="360"/>
      </w:pPr>
      <w:rPr>
        <w:rFonts w:ascii="Symbol" w:hAnsi="Symbol" w:hint="default"/>
      </w:rPr>
    </w:lvl>
    <w:lvl w:ilvl="7" w:tplc="FE62AC7C">
      <w:start w:val="1"/>
      <w:numFmt w:val="bullet"/>
      <w:lvlText w:val="o"/>
      <w:lvlJc w:val="left"/>
      <w:pPr>
        <w:ind w:left="5760" w:hanging="360"/>
      </w:pPr>
      <w:rPr>
        <w:rFonts w:ascii="Courier New" w:hAnsi="Courier New" w:hint="default"/>
      </w:rPr>
    </w:lvl>
    <w:lvl w:ilvl="8" w:tplc="7B4C9FA4">
      <w:start w:val="1"/>
      <w:numFmt w:val="bullet"/>
      <w:lvlText w:val=""/>
      <w:lvlJc w:val="left"/>
      <w:pPr>
        <w:ind w:left="6480" w:hanging="360"/>
      </w:pPr>
      <w:rPr>
        <w:rFonts w:ascii="Wingdings" w:hAnsi="Wingdings" w:hint="default"/>
      </w:rPr>
    </w:lvl>
  </w:abstractNum>
  <w:abstractNum w:abstractNumId="117" w15:restartNumberingAfterBreak="0">
    <w:nsid w:val="3B3520AF"/>
    <w:multiLevelType w:val="hybridMultilevel"/>
    <w:tmpl w:val="36EC66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3B8475D9"/>
    <w:multiLevelType w:val="hybridMultilevel"/>
    <w:tmpl w:val="CEEA9F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3BCA7022"/>
    <w:multiLevelType w:val="multilevel"/>
    <w:tmpl w:val="FC40EF9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3BEE6827"/>
    <w:multiLevelType w:val="hybridMultilevel"/>
    <w:tmpl w:val="03CCF680"/>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3C8B6796"/>
    <w:multiLevelType w:val="hybridMultilevel"/>
    <w:tmpl w:val="897837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2" w15:restartNumberingAfterBreak="0">
    <w:nsid w:val="3C932223"/>
    <w:multiLevelType w:val="hybridMultilevel"/>
    <w:tmpl w:val="BEF653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4" w15:restartNumberingAfterBreak="0">
    <w:nsid w:val="3E725E55"/>
    <w:multiLevelType w:val="hybridMultilevel"/>
    <w:tmpl w:val="A4EEA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5" w15:restartNumberingAfterBreak="0">
    <w:nsid w:val="3F3C31A8"/>
    <w:multiLevelType w:val="multilevel"/>
    <w:tmpl w:val="6F92A110"/>
    <w:lvl w:ilvl="0">
      <w:start w:val="2"/>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26" w15:restartNumberingAfterBreak="0">
    <w:nsid w:val="40892D0E"/>
    <w:multiLevelType w:val="hybridMultilevel"/>
    <w:tmpl w:val="FFFFFFFF"/>
    <w:lvl w:ilvl="0" w:tplc="2BACCD84">
      <w:start w:val="1"/>
      <w:numFmt w:val="bullet"/>
      <w:lvlText w:val="·"/>
      <w:lvlJc w:val="left"/>
      <w:pPr>
        <w:ind w:left="720" w:hanging="360"/>
      </w:pPr>
      <w:rPr>
        <w:rFonts w:ascii="Symbol" w:hAnsi="Symbol" w:hint="default"/>
      </w:rPr>
    </w:lvl>
    <w:lvl w:ilvl="1" w:tplc="CAFCC62E">
      <w:start w:val="1"/>
      <w:numFmt w:val="bullet"/>
      <w:lvlText w:val="o"/>
      <w:lvlJc w:val="left"/>
      <w:pPr>
        <w:ind w:left="1440" w:hanging="360"/>
      </w:pPr>
      <w:rPr>
        <w:rFonts w:ascii="Courier New" w:hAnsi="Courier New" w:hint="default"/>
      </w:rPr>
    </w:lvl>
    <w:lvl w:ilvl="2" w:tplc="5382FF7A">
      <w:start w:val="1"/>
      <w:numFmt w:val="bullet"/>
      <w:lvlText w:val=""/>
      <w:lvlJc w:val="left"/>
      <w:pPr>
        <w:ind w:left="2160" w:hanging="360"/>
      </w:pPr>
      <w:rPr>
        <w:rFonts w:ascii="Wingdings" w:hAnsi="Wingdings" w:hint="default"/>
      </w:rPr>
    </w:lvl>
    <w:lvl w:ilvl="3" w:tplc="8A348632">
      <w:start w:val="1"/>
      <w:numFmt w:val="bullet"/>
      <w:lvlText w:val=""/>
      <w:lvlJc w:val="left"/>
      <w:pPr>
        <w:ind w:left="2880" w:hanging="360"/>
      </w:pPr>
      <w:rPr>
        <w:rFonts w:ascii="Symbol" w:hAnsi="Symbol" w:hint="default"/>
      </w:rPr>
    </w:lvl>
    <w:lvl w:ilvl="4" w:tplc="ABBA6FE0">
      <w:start w:val="1"/>
      <w:numFmt w:val="bullet"/>
      <w:lvlText w:val="o"/>
      <w:lvlJc w:val="left"/>
      <w:pPr>
        <w:ind w:left="3600" w:hanging="360"/>
      </w:pPr>
      <w:rPr>
        <w:rFonts w:ascii="Courier New" w:hAnsi="Courier New" w:hint="default"/>
      </w:rPr>
    </w:lvl>
    <w:lvl w:ilvl="5" w:tplc="5D609CB0">
      <w:start w:val="1"/>
      <w:numFmt w:val="bullet"/>
      <w:lvlText w:val=""/>
      <w:lvlJc w:val="left"/>
      <w:pPr>
        <w:ind w:left="4320" w:hanging="360"/>
      </w:pPr>
      <w:rPr>
        <w:rFonts w:ascii="Wingdings" w:hAnsi="Wingdings" w:hint="default"/>
      </w:rPr>
    </w:lvl>
    <w:lvl w:ilvl="6" w:tplc="B2BEB6EC">
      <w:start w:val="1"/>
      <w:numFmt w:val="bullet"/>
      <w:lvlText w:val=""/>
      <w:lvlJc w:val="left"/>
      <w:pPr>
        <w:ind w:left="5040" w:hanging="360"/>
      </w:pPr>
      <w:rPr>
        <w:rFonts w:ascii="Symbol" w:hAnsi="Symbol" w:hint="default"/>
      </w:rPr>
    </w:lvl>
    <w:lvl w:ilvl="7" w:tplc="F85C88CC">
      <w:start w:val="1"/>
      <w:numFmt w:val="bullet"/>
      <w:lvlText w:val="o"/>
      <w:lvlJc w:val="left"/>
      <w:pPr>
        <w:ind w:left="5760" w:hanging="360"/>
      </w:pPr>
      <w:rPr>
        <w:rFonts w:ascii="Courier New" w:hAnsi="Courier New" w:hint="default"/>
      </w:rPr>
    </w:lvl>
    <w:lvl w:ilvl="8" w:tplc="73B6ADBC">
      <w:start w:val="1"/>
      <w:numFmt w:val="bullet"/>
      <w:lvlText w:val=""/>
      <w:lvlJc w:val="left"/>
      <w:pPr>
        <w:ind w:left="6480" w:hanging="360"/>
      </w:pPr>
      <w:rPr>
        <w:rFonts w:ascii="Wingdings" w:hAnsi="Wingdings" w:hint="default"/>
      </w:rPr>
    </w:lvl>
  </w:abstractNum>
  <w:abstractNum w:abstractNumId="127" w15:restartNumberingAfterBreak="0">
    <w:nsid w:val="40E668E0"/>
    <w:multiLevelType w:val="hybridMultilevel"/>
    <w:tmpl w:val="61880DF4"/>
    <w:lvl w:ilvl="0" w:tplc="DECE2A7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0EC71A2"/>
    <w:multiLevelType w:val="hybridMultilevel"/>
    <w:tmpl w:val="9FA04F7C"/>
    <w:lvl w:ilvl="0" w:tplc="590CA0C8">
      <w:start w:val="1"/>
      <w:numFmt w:val="lowerLetter"/>
      <w:lvlText w:val="%1)"/>
      <w:lvlJc w:val="left"/>
      <w:pPr>
        <w:ind w:left="587" w:hanging="360"/>
      </w:pPr>
      <w:rPr>
        <w:rFonts w:hint="default"/>
      </w:rPr>
    </w:lvl>
    <w:lvl w:ilvl="1" w:tplc="18090019" w:tentative="1">
      <w:start w:val="1"/>
      <w:numFmt w:val="lowerLetter"/>
      <w:lvlText w:val="%2."/>
      <w:lvlJc w:val="left"/>
      <w:pPr>
        <w:ind w:left="1307" w:hanging="360"/>
      </w:pPr>
    </w:lvl>
    <w:lvl w:ilvl="2" w:tplc="1809001B" w:tentative="1">
      <w:start w:val="1"/>
      <w:numFmt w:val="lowerRoman"/>
      <w:lvlText w:val="%3."/>
      <w:lvlJc w:val="right"/>
      <w:pPr>
        <w:ind w:left="2027" w:hanging="180"/>
      </w:pPr>
    </w:lvl>
    <w:lvl w:ilvl="3" w:tplc="1809000F" w:tentative="1">
      <w:start w:val="1"/>
      <w:numFmt w:val="decimal"/>
      <w:lvlText w:val="%4."/>
      <w:lvlJc w:val="left"/>
      <w:pPr>
        <w:ind w:left="2747" w:hanging="360"/>
      </w:pPr>
    </w:lvl>
    <w:lvl w:ilvl="4" w:tplc="18090019" w:tentative="1">
      <w:start w:val="1"/>
      <w:numFmt w:val="lowerLetter"/>
      <w:lvlText w:val="%5."/>
      <w:lvlJc w:val="left"/>
      <w:pPr>
        <w:ind w:left="3467" w:hanging="360"/>
      </w:pPr>
    </w:lvl>
    <w:lvl w:ilvl="5" w:tplc="1809001B" w:tentative="1">
      <w:start w:val="1"/>
      <w:numFmt w:val="lowerRoman"/>
      <w:lvlText w:val="%6."/>
      <w:lvlJc w:val="right"/>
      <w:pPr>
        <w:ind w:left="4187" w:hanging="180"/>
      </w:pPr>
    </w:lvl>
    <w:lvl w:ilvl="6" w:tplc="1809000F" w:tentative="1">
      <w:start w:val="1"/>
      <w:numFmt w:val="decimal"/>
      <w:lvlText w:val="%7."/>
      <w:lvlJc w:val="left"/>
      <w:pPr>
        <w:ind w:left="4907" w:hanging="360"/>
      </w:pPr>
    </w:lvl>
    <w:lvl w:ilvl="7" w:tplc="18090019" w:tentative="1">
      <w:start w:val="1"/>
      <w:numFmt w:val="lowerLetter"/>
      <w:lvlText w:val="%8."/>
      <w:lvlJc w:val="left"/>
      <w:pPr>
        <w:ind w:left="5627" w:hanging="360"/>
      </w:pPr>
    </w:lvl>
    <w:lvl w:ilvl="8" w:tplc="1809001B" w:tentative="1">
      <w:start w:val="1"/>
      <w:numFmt w:val="lowerRoman"/>
      <w:lvlText w:val="%9."/>
      <w:lvlJc w:val="right"/>
      <w:pPr>
        <w:ind w:left="6347" w:hanging="180"/>
      </w:pPr>
    </w:lvl>
  </w:abstractNum>
  <w:abstractNum w:abstractNumId="129" w15:restartNumberingAfterBreak="0">
    <w:nsid w:val="40F1297E"/>
    <w:multiLevelType w:val="hybridMultilevel"/>
    <w:tmpl w:val="1146F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410640A5"/>
    <w:multiLevelType w:val="hybridMultilevel"/>
    <w:tmpl w:val="5E6816EA"/>
    <w:lvl w:ilvl="0" w:tplc="34809D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149CCAB"/>
    <w:multiLevelType w:val="hybridMultilevel"/>
    <w:tmpl w:val="FFFFFFFF"/>
    <w:lvl w:ilvl="0" w:tplc="7A9AF46E">
      <w:start w:val="1"/>
      <w:numFmt w:val="bullet"/>
      <w:lvlText w:val=""/>
      <w:lvlJc w:val="left"/>
      <w:pPr>
        <w:ind w:left="720" w:hanging="360"/>
      </w:pPr>
      <w:rPr>
        <w:rFonts w:ascii="Symbol" w:hAnsi="Symbol" w:hint="default"/>
      </w:rPr>
    </w:lvl>
    <w:lvl w:ilvl="1" w:tplc="E42E674E">
      <w:start w:val="1"/>
      <w:numFmt w:val="bullet"/>
      <w:lvlText w:val="o"/>
      <w:lvlJc w:val="left"/>
      <w:pPr>
        <w:ind w:left="1440" w:hanging="360"/>
      </w:pPr>
      <w:rPr>
        <w:rFonts w:ascii="Courier New" w:hAnsi="Courier New" w:hint="default"/>
      </w:rPr>
    </w:lvl>
    <w:lvl w:ilvl="2" w:tplc="907A281E">
      <w:start w:val="1"/>
      <w:numFmt w:val="bullet"/>
      <w:lvlText w:val=""/>
      <w:lvlJc w:val="left"/>
      <w:pPr>
        <w:ind w:left="2160" w:hanging="360"/>
      </w:pPr>
      <w:rPr>
        <w:rFonts w:ascii="Wingdings" w:hAnsi="Wingdings" w:hint="default"/>
      </w:rPr>
    </w:lvl>
    <w:lvl w:ilvl="3" w:tplc="8CB2FB94">
      <w:start w:val="1"/>
      <w:numFmt w:val="bullet"/>
      <w:lvlText w:val=""/>
      <w:lvlJc w:val="left"/>
      <w:pPr>
        <w:ind w:left="2880" w:hanging="360"/>
      </w:pPr>
      <w:rPr>
        <w:rFonts w:ascii="Symbol" w:hAnsi="Symbol" w:hint="default"/>
      </w:rPr>
    </w:lvl>
    <w:lvl w:ilvl="4" w:tplc="0EE2546E">
      <w:start w:val="1"/>
      <w:numFmt w:val="bullet"/>
      <w:lvlText w:val="o"/>
      <w:lvlJc w:val="left"/>
      <w:pPr>
        <w:ind w:left="3600" w:hanging="360"/>
      </w:pPr>
      <w:rPr>
        <w:rFonts w:ascii="Courier New" w:hAnsi="Courier New" w:hint="default"/>
      </w:rPr>
    </w:lvl>
    <w:lvl w:ilvl="5" w:tplc="9328E96A">
      <w:start w:val="1"/>
      <w:numFmt w:val="bullet"/>
      <w:lvlText w:val=""/>
      <w:lvlJc w:val="left"/>
      <w:pPr>
        <w:ind w:left="4320" w:hanging="360"/>
      </w:pPr>
      <w:rPr>
        <w:rFonts w:ascii="Wingdings" w:hAnsi="Wingdings" w:hint="default"/>
      </w:rPr>
    </w:lvl>
    <w:lvl w:ilvl="6" w:tplc="0C7893CA">
      <w:start w:val="1"/>
      <w:numFmt w:val="bullet"/>
      <w:lvlText w:val=""/>
      <w:lvlJc w:val="left"/>
      <w:pPr>
        <w:ind w:left="5040" w:hanging="360"/>
      </w:pPr>
      <w:rPr>
        <w:rFonts w:ascii="Symbol" w:hAnsi="Symbol" w:hint="default"/>
      </w:rPr>
    </w:lvl>
    <w:lvl w:ilvl="7" w:tplc="3B045904">
      <w:start w:val="1"/>
      <w:numFmt w:val="bullet"/>
      <w:lvlText w:val="o"/>
      <w:lvlJc w:val="left"/>
      <w:pPr>
        <w:ind w:left="5760" w:hanging="360"/>
      </w:pPr>
      <w:rPr>
        <w:rFonts w:ascii="Courier New" w:hAnsi="Courier New" w:hint="default"/>
      </w:rPr>
    </w:lvl>
    <w:lvl w:ilvl="8" w:tplc="5776E182">
      <w:start w:val="1"/>
      <w:numFmt w:val="bullet"/>
      <w:lvlText w:val=""/>
      <w:lvlJc w:val="left"/>
      <w:pPr>
        <w:ind w:left="6480" w:hanging="360"/>
      </w:pPr>
      <w:rPr>
        <w:rFonts w:ascii="Wingdings" w:hAnsi="Wingdings" w:hint="default"/>
      </w:rPr>
    </w:lvl>
  </w:abstractNum>
  <w:abstractNum w:abstractNumId="132" w15:restartNumberingAfterBreak="0">
    <w:nsid w:val="428F3651"/>
    <w:multiLevelType w:val="hybridMultilevel"/>
    <w:tmpl w:val="1ED06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42A279B6"/>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433456F1"/>
    <w:multiLevelType w:val="multilevel"/>
    <w:tmpl w:val="9CEED1B8"/>
    <w:lvl w:ilvl="0">
      <w:start w:val="1"/>
      <w:numFmt w:val="decimal"/>
      <w:lvlText w:val="%1."/>
      <w:lvlJc w:val="left"/>
      <w:pPr>
        <w:ind w:left="2062" w:hanging="360"/>
      </w:pPr>
      <w:rPr>
        <w:rFonts w:hint="default"/>
      </w:rPr>
    </w:lvl>
    <w:lvl w:ilvl="1">
      <w:start w:val="1"/>
      <w:numFmt w:val="decimal"/>
      <w:lvlText w:val="%1.%2."/>
      <w:lvlJc w:val="left"/>
      <w:pPr>
        <w:ind w:left="792" w:hanging="432"/>
      </w:pPr>
      <w:rPr>
        <w:rFonts w:hint="default"/>
      </w:rPr>
    </w:lvl>
    <w:lvl w:ilvl="2">
      <w:start w:val="1"/>
      <w:numFmt w:val="decimal"/>
      <w:pStyle w:val="HeaderCoverPag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35" w15:restartNumberingAfterBreak="0">
    <w:nsid w:val="448436EB"/>
    <w:multiLevelType w:val="hybridMultilevel"/>
    <w:tmpl w:val="39060478"/>
    <w:lvl w:ilvl="0" w:tplc="18090001">
      <w:start w:val="1"/>
      <w:numFmt w:val="bullet"/>
      <w:lvlText w:val=""/>
      <w:lvlJc w:val="left"/>
      <w:pPr>
        <w:ind w:left="777" w:hanging="360"/>
      </w:pPr>
      <w:rPr>
        <w:rFonts w:ascii="Symbol" w:hAnsi="Symbol" w:hint="default"/>
      </w:rPr>
    </w:lvl>
    <w:lvl w:ilvl="1" w:tplc="18090003" w:tentative="1">
      <w:start w:val="1"/>
      <w:numFmt w:val="bullet"/>
      <w:lvlText w:val="o"/>
      <w:lvlJc w:val="left"/>
      <w:pPr>
        <w:ind w:left="1497" w:hanging="360"/>
      </w:pPr>
      <w:rPr>
        <w:rFonts w:ascii="Courier New" w:hAnsi="Courier New" w:cs="Courier New" w:hint="default"/>
      </w:rPr>
    </w:lvl>
    <w:lvl w:ilvl="2" w:tplc="18090005" w:tentative="1">
      <w:start w:val="1"/>
      <w:numFmt w:val="bullet"/>
      <w:lvlText w:val=""/>
      <w:lvlJc w:val="left"/>
      <w:pPr>
        <w:ind w:left="2217" w:hanging="360"/>
      </w:pPr>
      <w:rPr>
        <w:rFonts w:ascii="Wingdings" w:hAnsi="Wingdings" w:hint="default"/>
      </w:rPr>
    </w:lvl>
    <w:lvl w:ilvl="3" w:tplc="18090001" w:tentative="1">
      <w:start w:val="1"/>
      <w:numFmt w:val="bullet"/>
      <w:lvlText w:val=""/>
      <w:lvlJc w:val="left"/>
      <w:pPr>
        <w:ind w:left="2937" w:hanging="360"/>
      </w:pPr>
      <w:rPr>
        <w:rFonts w:ascii="Symbol" w:hAnsi="Symbol" w:hint="default"/>
      </w:rPr>
    </w:lvl>
    <w:lvl w:ilvl="4" w:tplc="18090003" w:tentative="1">
      <w:start w:val="1"/>
      <w:numFmt w:val="bullet"/>
      <w:lvlText w:val="o"/>
      <w:lvlJc w:val="left"/>
      <w:pPr>
        <w:ind w:left="3657" w:hanging="360"/>
      </w:pPr>
      <w:rPr>
        <w:rFonts w:ascii="Courier New" w:hAnsi="Courier New" w:cs="Courier New" w:hint="default"/>
      </w:rPr>
    </w:lvl>
    <w:lvl w:ilvl="5" w:tplc="18090005" w:tentative="1">
      <w:start w:val="1"/>
      <w:numFmt w:val="bullet"/>
      <w:lvlText w:val=""/>
      <w:lvlJc w:val="left"/>
      <w:pPr>
        <w:ind w:left="4377" w:hanging="360"/>
      </w:pPr>
      <w:rPr>
        <w:rFonts w:ascii="Wingdings" w:hAnsi="Wingdings" w:hint="default"/>
      </w:rPr>
    </w:lvl>
    <w:lvl w:ilvl="6" w:tplc="18090001" w:tentative="1">
      <w:start w:val="1"/>
      <w:numFmt w:val="bullet"/>
      <w:lvlText w:val=""/>
      <w:lvlJc w:val="left"/>
      <w:pPr>
        <w:ind w:left="5097" w:hanging="360"/>
      </w:pPr>
      <w:rPr>
        <w:rFonts w:ascii="Symbol" w:hAnsi="Symbol" w:hint="default"/>
      </w:rPr>
    </w:lvl>
    <w:lvl w:ilvl="7" w:tplc="18090003" w:tentative="1">
      <w:start w:val="1"/>
      <w:numFmt w:val="bullet"/>
      <w:lvlText w:val="o"/>
      <w:lvlJc w:val="left"/>
      <w:pPr>
        <w:ind w:left="5817" w:hanging="360"/>
      </w:pPr>
      <w:rPr>
        <w:rFonts w:ascii="Courier New" w:hAnsi="Courier New" w:cs="Courier New" w:hint="default"/>
      </w:rPr>
    </w:lvl>
    <w:lvl w:ilvl="8" w:tplc="18090005" w:tentative="1">
      <w:start w:val="1"/>
      <w:numFmt w:val="bullet"/>
      <w:lvlText w:val=""/>
      <w:lvlJc w:val="left"/>
      <w:pPr>
        <w:ind w:left="6537" w:hanging="360"/>
      </w:pPr>
      <w:rPr>
        <w:rFonts w:ascii="Wingdings" w:hAnsi="Wingdings" w:hint="default"/>
      </w:rPr>
    </w:lvl>
  </w:abstractNum>
  <w:abstractNum w:abstractNumId="136" w15:restartNumberingAfterBreak="0">
    <w:nsid w:val="45702624"/>
    <w:multiLevelType w:val="hybridMultilevel"/>
    <w:tmpl w:val="F462E31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468F1F5C"/>
    <w:multiLevelType w:val="hybridMultilevel"/>
    <w:tmpl w:val="64BE3DBA"/>
    <w:lvl w:ilvl="0" w:tplc="DECE2A7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46DF21BF"/>
    <w:multiLevelType w:val="hybridMultilevel"/>
    <w:tmpl w:val="C2C20C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9" w15:restartNumberingAfterBreak="0">
    <w:nsid w:val="46E03390"/>
    <w:multiLevelType w:val="hybridMultilevel"/>
    <w:tmpl w:val="9B42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6F55FC4"/>
    <w:multiLevelType w:val="hybridMultilevel"/>
    <w:tmpl w:val="41A6DA5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47607E69"/>
    <w:multiLevelType w:val="hybridMultilevel"/>
    <w:tmpl w:val="8C14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47B53DE3"/>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493A077F"/>
    <w:multiLevelType w:val="hybridMultilevel"/>
    <w:tmpl w:val="6F9C31F4"/>
    <w:lvl w:ilvl="0" w:tplc="6864491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4" w15:restartNumberingAfterBreak="0">
    <w:nsid w:val="4AA153C0"/>
    <w:multiLevelType w:val="hybridMultilevel"/>
    <w:tmpl w:val="2334022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45" w15:restartNumberingAfterBreak="0">
    <w:nsid w:val="4ABA0E78"/>
    <w:multiLevelType w:val="hybridMultilevel"/>
    <w:tmpl w:val="8D2C4B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15:restartNumberingAfterBreak="0">
    <w:nsid w:val="4AECCFE9"/>
    <w:multiLevelType w:val="hybridMultilevel"/>
    <w:tmpl w:val="FFFFFFFF"/>
    <w:lvl w:ilvl="0" w:tplc="B2AE4E2E">
      <w:start w:val="1"/>
      <w:numFmt w:val="bullet"/>
      <w:lvlText w:val="·"/>
      <w:lvlJc w:val="left"/>
      <w:pPr>
        <w:ind w:left="720" w:hanging="360"/>
      </w:pPr>
      <w:rPr>
        <w:rFonts w:ascii="Symbol" w:hAnsi="Symbol" w:hint="default"/>
      </w:rPr>
    </w:lvl>
    <w:lvl w:ilvl="1" w:tplc="9EDE12A2">
      <w:start w:val="1"/>
      <w:numFmt w:val="bullet"/>
      <w:lvlText w:val="o"/>
      <w:lvlJc w:val="left"/>
      <w:pPr>
        <w:ind w:left="1440" w:hanging="360"/>
      </w:pPr>
      <w:rPr>
        <w:rFonts w:ascii="Courier New" w:hAnsi="Courier New" w:hint="default"/>
      </w:rPr>
    </w:lvl>
    <w:lvl w:ilvl="2" w:tplc="53882118">
      <w:start w:val="1"/>
      <w:numFmt w:val="bullet"/>
      <w:lvlText w:val=""/>
      <w:lvlJc w:val="left"/>
      <w:pPr>
        <w:ind w:left="2160" w:hanging="360"/>
      </w:pPr>
      <w:rPr>
        <w:rFonts w:ascii="Wingdings" w:hAnsi="Wingdings" w:hint="default"/>
      </w:rPr>
    </w:lvl>
    <w:lvl w:ilvl="3" w:tplc="DA50DE22">
      <w:start w:val="1"/>
      <w:numFmt w:val="bullet"/>
      <w:lvlText w:val=""/>
      <w:lvlJc w:val="left"/>
      <w:pPr>
        <w:ind w:left="2880" w:hanging="360"/>
      </w:pPr>
      <w:rPr>
        <w:rFonts w:ascii="Symbol" w:hAnsi="Symbol" w:hint="default"/>
      </w:rPr>
    </w:lvl>
    <w:lvl w:ilvl="4" w:tplc="3B0CC4F2">
      <w:start w:val="1"/>
      <w:numFmt w:val="bullet"/>
      <w:lvlText w:val="o"/>
      <w:lvlJc w:val="left"/>
      <w:pPr>
        <w:ind w:left="3600" w:hanging="360"/>
      </w:pPr>
      <w:rPr>
        <w:rFonts w:ascii="Courier New" w:hAnsi="Courier New" w:hint="default"/>
      </w:rPr>
    </w:lvl>
    <w:lvl w:ilvl="5" w:tplc="05946746">
      <w:start w:val="1"/>
      <w:numFmt w:val="bullet"/>
      <w:lvlText w:val=""/>
      <w:lvlJc w:val="left"/>
      <w:pPr>
        <w:ind w:left="4320" w:hanging="360"/>
      </w:pPr>
      <w:rPr>
        <w:rFonts w:ascii="Wingdings" w:hAnsi="Wingdings" w:hint="default"/>
      </w:rPr>
    </w:lvl>
    <w:lvl w:ilvl="6" w:tplc="76A06ED6">
      <w:start w:val="1"/>
      <w:numFmt w:val="bullet"/>
      <w:lvlText w:val=""/>
      <w:lvlJc w:val="left"/>
      <w:pPr>
        <w:ind w:left="5040" w:hanging="360"/>
      </w:pPr>
      <w:rPr>
        <w:rFonts w:ascii="Symbol" w:hAnsi="Symbol" w:hint="default"/>
      </w:rPr>
    </w:lvl>
    <w:lvl w:ilvl="7" w:tplc="6A6E86AA">
      <w:start w:val="1"/>
      <w:numFmt w:val="bullet"/>
      <w:lvlText w:val="o"/>
      <w:lvlJc w:val="left"/>
      <w:pPr>
        <w:ind w:left="5760" w:hanging="360"/>
      </w:pPr>
      <w:rPr>
        <w:rFonts w:ascii="Courier New" w:hAnsi="Courier New" w:hint="default"/>
      </w:rPr>
    </w:lvl>
    <w:lvl w:ilvl="8" w:tplc="9758A0AA">
      <w:start w:val="1"/>
      <w:numFmt w:val="bullet"/>
      <w:lvlText w:val=""/>
      <w:lvlJc w:val="left"/>
      <w:pPr>
        <w:ind w:left="6480" w:hanging="360"/>
      </w:pPr>
      <w:rPr>
        <w:rFonts w:ascii="Wingdings" w:hAnsi="Wingdings" w:hint="default"/>
      </w:rPr>
    </w:lvl>
  </w:abstractNum>
  <w:abstractNum w:abstractNumId="147" w15:restartNumberingAfterBreak="0">
    <w:nsid w:val="4B1F3B32"/>
    <w:multiLevelType w:val="hybridMultilevel"/>
    <w:tmpl w:val="3D484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4C157B46"/>
    <w:multiLevelType w:val="hybridMultilevel"/>
    <w:tmpl w:val="0D9A4B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9" w15:restartNumberingAfterBreak="0">
    <w:nsid w:val="4C9237E1"/>
    <w:multiLevelType w:val="hybridMultilevel"/>
    <w:tmpl w:val="C43EF1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0" w15:restartNumberingAfterBreak="0">
    <w:nsid w:val="4D586266"/>
    <w:multiLevelType w:val="multilevel"/>
    <w:tmpl w:val="47F864C8"/>
    <w:lvl w:ilvl="0">
      <w:start w:val="2"/>
      <w:numFmt w:val="decimal"/>
      <w:lvlText w:val="%1."/>
      <w:lvlJc w:val="left"/>
      <w:pPr>
        <w:tabs>
          <w:tab w:val="num" w:pos="720"/>
        </w:tabs>
        <w:ind w:left="720" w:hanging="360"/>
      </w:pPr>
    </w:lvl>
    <w:lvl w:ilvl="1">
      <w:start w:val="31"/>
      <w:numFmt w:val="decimal"/>
      <w:lvlText w:val="%2."/>
      <w:lvlJc w:val="left"/>
      <w:pPr>
        <w:ind w:left="1440" w:hanging="360"/>
      </w:pPr>
      <w:rPr>
        <w:rFonts w:eastAsia="Times New Roman" w:hint="default"/>
        <w:i w:val="0"/>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D877BE3"/>
    <w:multiLevelType w:val="hybridMultilevel"/>
    <w:tmpl w:val="7AAA63C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E1A982C"/>
    <w:multiLevelType w:val="multilevel"/>
    <w:tmpl w:val="B6FC7880"/>
    <w:name w:val="ListBulletNumbering"/>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53" w15:restartNumberingAfterBreak="0">
    <w:nsid w:val="4E8F1B7B"/>
    <w:multiLevelType w:val="hybridMultilevel"/>
    <w:tmpl w:val="F26A7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510B4BF9"/>
    <w:multiLevelType w:val="hybridMultilevel"/>
    <w:tmpl w:val="5A2E283C"/>
    <w:lvl w:ilvl="0" w:tplc="A6FA6DEC">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51602510"/>
    <w:multiLevelType w:val="hybridMultilevel"/>
    <w:tmpl w:val="43269D26"/>
    <w:lvl w:ilvl="0" w:tplc="1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1DE024F"/>
    <w:multiLevelType w:val="hybridMultilevel"/>
    <w:tmpl w:val="2646A8E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5296769F"/>
    <w:multiLevelType w:val="hybridMultilevel"/>
    <w:tmpl w:val="A36E39E0"/>
    <w:lvl w:ilvl="0" w:tplc="C316BF08">
      <w:start w:val="1"/>
      <w:numFmt w:val="bullet"/>
      <w:lvlText w:val="·"/>
      <w:lvlJc w:val="left"/>
      <w:pPr>
        <w:ind w:left="720" w:hanging="360"/>
      </w:pPr>
      <w:rPr>
        <w:rFonts w:ascii="Symbol" w:hAnsi="Symbol" w:hint="default"/>
      </w:rPr>
    </w:lvl>
    <w:lvl w:ilvl="1" w:tplc="375420BC">
      <w:start w:val="1"/>
      <w:numFmt w:val="bullet"/>
      <w:lvlText w:val="o"/>
      <w:lvlJc w:val="left"/>
      <w:pPr>
        <w:ind w:left="1440" w:hanging="360"/>
      </w:pPr>
      <w:rPr>
        <w:rFonts w:ascii="Courier New" w:hAnsi="Courier New" w:hint="default"/>
      </w:rPr>
    </w:lvl>
    <w:lvl w:ilvl="2" w:tplc="4DFE8AD6">
      <w:start w:val="1"/>
      <w:numFmt w:val="bullet"/>
      <w:lvlText w:val=""/>
      <w:lvlJc w:val="left"/>
      <w:pPr>
        <w:ind w:left="2160" w:hanging="360"/>
      </w:pPr>
      <w:rPr>
        <w:rFonts w:ascii="Wingdings" w:hAnsi="Wingdings" w:hint="default"/>
      </w:rPr>
    </w:lvl>
    <w:lvl w:ilvl="3" w:tplc="CE4E1994">
      <w:start w:val="1"/>
      <w:numFmt w:val="bullet"/>
      <w:lvlText w:val=""/>
      <w:lvlJc w:val="left"/>
      <w:pPr>
        <w:ind w:left="2880" w:hanging="360"/>
      </w:pPr>
      <w:rPr>
        <w:rFonts w:ascii="Symbol" w:hAnsi="Symbol" w:hint="default"/>
      </w:rPr>
    </w:lvl>
    <w:lvl w:ilvl="4" w:tplc="B7AE081A">
      <w:start w:val="1"/>
      <w:numFmt w:val="bullet"/>
      <w:lvlText w:val="o"/>
      <w:lvlJc w:val="left"/>
      <w:pPr>
        <w:ind w:left="3600" w:hanging="360"/>
      </w:pPr>
      <w:rPr>
        <w:rFonts w:ascii="Courier New" w:hAnsi="Courier New" w:hint="default"/>
      </w:rPr>
    </w:lvl>
    <w:lvl w:ilvl="5" w:tplc="3A0E94FC">
      <w:start w:val="1"/>
      <w:numFmt w:val="bullet"/>
      <w:lvlText w:val=""/>
      <w:lvlJc w:val="left"/>
      <w:pPr>
        <w:ind w:left="4320" w:hanging="360"/>
      </w:pPr>
      <w:rPr>
        <w:rFonts w:ascii="Wingdings" w:hAnsi="Wingdings" w:hint="default"/>
      </w:rPr>
    </w:lvl>
    <w:lvl w:ilvl="6" w:tplc="34CE4C0C">
      <w:start w:val="1"/>
      <w:numFmt w:val="bullet"/>
      <w:lvlText w:val=""/>
      <w:lvlJc w:val="left"/>
      <w:pPr>
        <w:ind w:left="5040" w:hanging="360"/>
      </w:pPr>
      <w:rPr>
        <w:rFonts w:ascii="Symbol" w:hAnsi="Symbol" w:hint="default"/>
      </w:rPr>
    </w:lvl>
    <w:lvl w:ilvl="7" w:tplc="EA3A3770">
      <w:start w:val="1"/>
      <w:numFmt w:val="bullet"/>
      <w:lvlText w:val="o"/>
      <w:lvlJc w:val="left"/>
      <w:pPr>
        <w:ind w:left="5760" w:hanging="360"/>
      </w:pPr>
      <w:rPr>
        <w:rFonts w:ascii="Courier New" w:hAnsi="Courier New" w:hint="default"/>
      </w:rPr>
    </w:lvl>
    <w:lvl w:ilvl="8" w:tplc="486499A0">
      <w:start w:val="1"/>
      <w:numFmt w:val="bullet"/>
      <w:lvlText w:val=""/>
      <w:lvlJc w:val="left"/>
      <w:pPr>
        <w:ind w:left="6480" w:hanging="360"/>
      </w:pPr>
      <w:rPr>
        <w:rFonts w:ascii="Wingdings" w:hAnsi="Wingdings" w:hint="default"/>
      </w:rPr>
    </w:lvl>
  </w:abstractNum>
  <w:abstractNum w:abstractNumId="158" w15:restartNumberingAfterBreak="0">
    <w:nsid w:val="52D923EF"/>
    <w:multiLevelType w:val="multilevel"/>
    <w:tmpl w:val="7FA68E52"/>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2DA4CA0"/>
    <w:multiLevelType w:val="hybridMultilevel"/>
    <w:tmpl w:val="D9A40C4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0" w15:restartNumberingAfterBreak="0">
    <w:nsid w:val="53396666"/>
    <w:multiLevelType w:val="hybridMultilevel"/>
    <w:tmpl w:val="9890620C"/>
    <w:lvl w:ilvl="0" w:tplc="313EA1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1501C1"/>
    <w:multiLevelType w:val="multilevel"/>
    <w:tmpl w:val="CCE28C2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2" w15:restartNumberingAfterBreak="0">
    <w:nsid w:val="550160F3"/>
    <w:multiLevelType w:val="hybridMultilevel"/>
    <w:tmpl w:val="07861B8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63" w15:restartNumberingAfterBreak="0">
    <w:nsid w:val="55136FF1"/>
    <w:multiLevelType w:val="hybridMultilevel"/>
    <w:tmpl w:val="B53A27BC"/>
    <w:lvl w:ilvl="0" w:tplc="04070001">
      <w:start w:val="1"/>
      <w:numFmt w:val="bullet"/>
      <w:lvlText w:val=""/>
      <w:lvlJc w:val="left"/>
      <w:pPr>
        <w:ind w:left="720" w:hanging="360"/>
      </w:pPr>
      <w:rPr>
        <w:rFonts w:ascii="Symbol" w:hAnsi="Symbol" w:hint="default"/>
      </w:rPr>
    </w:lvl>
    <w:lvl w:ilvl="1" w:tplc="B71E9292">
      <w:start w:val="8"/>
      <w:numFmt w:val="bullet"/>
      <w:pStyle w:val="TabelleninhaltAufzhlungszeichen"/>
      <w:lvlText w:val="-"/>
      <w:lvlJc w:val="left"/>
      <w:pPr>
        <w:ind w:left="1440" w:hanging="360"/>
      </w:pPr>
      <w:rPr>
        <w:rFonts w:ascii="Franklin Gothic Book" w:hAnsi="Franklin Gothic Book" w:cstheme="minorBidi" w:hint="default"/>
        <w:color w:val="1F497D" w:themeColor="text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558100BD"/>
    <w:multiLevelType w:val="hybridMultilevel"/>
    <w:tmpl w:val="0512BE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5" w15:restartNumberingAfterBreak="0">
    <w:nsid w:val="55FE3755"/>
    <w:multiLevelType w:val="hybridMultilevel"/>
    <w:tmpl w:val="FFFFFFFF"/>
    <w:lvl w:ilvl="0" w:tplc="E738EC96">
      <w:start w:val="1"/>
      <w:numFmt w:val="bullet"/>
      <w:lvlText w:val="·"/>
      <w:lvlJc w:val="left"/>
      <w:pPr>
        <w:ind w:left="720" w:hanging="360"/>
      </w:pPr>
      <w:rPr>
        <w:rFonts w:ascii="Symbol" w:hAnsi="Symbol" w:hint="default"/>
      </w:rPr>
    </w:lvl>
    <w:lvl w:ilvl="1" w:tplc="D86C27E8">
      <w:start w:val="1"/>
      <w:numFmt w:val="bullet"/>
      <w:lvlText w:val="o"/>
      <w:lvlJc w:val="left"/>
      <w:pPr>
        <w:ind w:left="1440" w:hanging="360"/>
      </w:pPr>
      <w:rPr>
        <w:rFonts w:ascii="Courier New" w:hAnsi="Courier New" w:hint="default"/>
      </w:rPr>
    </w:lvl>
    <w:lvl w:ilvl="2" w:tplc="386E34F8">
      <w:start w:val="1"/>
      <w:numFmt w:val="bullet"/>
      <w:lvlText w:val=""/>
      <w:lvlJc w:val="left"/>
      <w:pPr>
        <w:ind w:left="2160" w:hanging="360"/>
      </w:pPr>
      <w:rPr>
        <w:rFonts w:ascii="Wingdings" w:hAnsi="Wingdings" w:hint="default"/>
      </w:rPr>
    </w:lvl>
    <w:lvl w:ilvl="3" w:tplc="9E06F93E">
      <w:start w:val="1"/>
      <w:numFmt w:val="bullet"/>
      <w:lvlText w:val=""/>
      <w:lvlJc w:val="left"/>
      <w:pPr>
        <w:ind w:left="2880" w:hanging="360"/>
      </w:pPr>
      <w:rPr>
        <w:rFonts w:ascii="Symbol" w:hAnsi="Symbol" w:hint="default"/>
      </w:rPr>
    </w:lvl>
    <w:lvl w:ilvl="4" w:tplc="7778ACD8">
      <w:start w:val="1"/>
      <w:numFmt w:val="bullet"/>
      <w:lvlText w:val="o"/>
      <w:lvlJc w:val="left"/>
      <w:pPr>
        <w:ind w:left="3600" w:hanging="360"/>
      </w:pPr>
      <w:rPr>
        <w:rFonts w:ascii="Courier New" w:hAnsi="Courier New" w:hint="default"/>
      </w:rPr>
    </w:lvl>
    <w:lvl w:ilvl="5" w:tplc="671887FC">
      <w:start w:val="1"/>
      <w:numFmt w:val="bullet"/>
      <w:lvlText w:val=""/>
      <w:lvlJc w:val="left"/>
      <w:pPr>
        <w:ind w:left="4320" w:hanging="360"/>
      </w:pPr>
      <w:rPr>
        <w:rFonts w:ascii="Wingdings" w:hAnsi="Wingdings" w:hint="default"/>
      </w:rPr>
    </w:lvl>
    <w:lvl w:ilvl="6" w:tplc="3140AF8C">
      <w:start w:val="1"/>
      <w:numFmt w:val="bullet"/>
      <w:lvlText w:val=""/>
      <w:lvlJc w:val="left"/>
      <w:pPr>
        <w:ind w:left="5040" w:hanging="360"/>
      </w:pPr>
      <w:rPr>
        <w:rFonts w:ascii="Symbol" w:hAnsi="Symbol" w:hint="default"/>
      </w:rPr>
    </w:lvl>
    <w:lvl w:ilvl="7" w:tplc="27FA1082">
      <w:start w:val="1"/>
      <w:numFmt w:val="bullet"/>
      <w:lvlText w:val="o"/>
      <w:lvlJc w:val="left"/>
      <w:pPr>
        <w:ind w:left="5760" w:hanging="360"/>
      </w:pPr>
      <w:rPr>
        <w:rFonts w:ascii="Courier New" w:hAnsi="Courier New" w:hint="default"/>
      </w:rPr>
    </w:lvl>
    <w:lvl w:ilvl="8" w:tplc="BC9C60FA">
      <w:start w:val="1"/>
      <w:numFmt w:val="bullet"/>
      <w:lvlText w:val=""/>
      <w:lvlJc w:val="left"/>
      <w:pPr>
        <w:ind w:left="6480" w:hanging="360"/>
      </w:pPr>
      <w:rPr>
        <w:rFonts w:ascii="Wingdings" w:hAnsi="Wingdings" w:hint="default"/>
      </w:rPr>
    </w:lvl>
  </w:abstractNum>
  <w:abstractNum w:abstractNumId="166" w15:restartNumberingAfterBreak="0">
    <w:nsid w:val="56DB5CAE"/>
    <w:multiLevelType w:val="multilevel"/>
    <w:tmpl w:val="8780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7940BB1"/>
    <w:multiLevelType w:val="multilevel"/>
    <w:tmpl w:val="5E64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7F340A5"/>
    <w:multiLevelType w:val="hybridMultilevel"/>
    <w:tmpl w:val="6E620E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9" w15:restartNumberingAfterBreak="0">
    <w:nsid w:val="58172C4B"/>
    <w:multiLevelType w:val="hybridMultilevel"/>
    <w:tmpl w:val="045484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0" w15:restartNumberingAfterBreak="0">
    <w:nsid w:val="598810DB"/>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 w15:restartNumberingAfterBreak="0">
    <w:nsid w:val="5C3369D8"/>
    <w:multiLevelType w:val="hybridMultilevel"/>
    <w:tmpl w:val="AF40B126"/>
    <w:lvl w:ilvl="0" w:tplc="EB4A356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2" w15:restartNumberingAfterBreak="0">
    <w:nsid w:val="5C8F24C0"/>
    <w:multiLevelType w:val="hybridMultilevel"/>
    <w:tmpl w:val="0E4AA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15:restartNumberingAfterBreak="0">
    <w:nsid w:val="5D150473"/>
    <w:multiLevelType w:val="hybridMultilevel"/>
    <w:tmpl w:val="644A0780"/>
    <w:lvl w:ilvl="0" w:tplc="FFFFFFFF">
      <w:start w:val="1"/>
      <w:numFmt w:val="bullet"/>
      <w:lvlText w:val=""/>
      <w:lvlJc w:val="left"/>
      <w:pPr>
        <w:ind w:left="360" w:hanging="360"/>
      </w:pPr>
      <w:rPr>
        <w:rFonts w:ascii="Symbol" w:hAnsi="Symbol" w:hint="default"/>
      </w:rPr>
    </w:lvl>
    <w:lvl w:ilvl="1" w:tplc="22A2022C">
      <w:start w:val="1"/>
      <w:numFmt w:val="bullet"/>
      <w:lvlText w:val="o"/>
      <w:lvlJc w:val="left"/>
      <w:pPr>
        <w:ind w:left="1080" w:hanging="360"/>
      </w:pPr>
      <w:rPr>
        <w:rFonts w:ascii="Courier New" w:hAnsi="Courier New" w:hint="default"/>
      </w:rPr>
    </w:lvl>
    <w:lvl w:ilvl="2" w:tplc="A31AC960">
      <w:start w:val="1"/>
      <w:numFmt w:val="bullet"/>
      <w:lvlText w:val=""/>
      <w:lvlJc w:val="left"/>
      <w:pPr>
        <w:ind w:left="1800" w:hanging="360"/>
      </w:pPr>
      <w:rPr>
        <w:rFonts w:ascii="Wingdings" w:hAnsi="Wingdings" w:hint="default"/>
      </w:rPr>
    </w:lvl>
    <w:lvl w:ilvl="3" w:tplc="DD1ACC04">
      <w:start w:val="1"/>
      <w:numFmt w:val="bullet"/>
      <w:lvlText w:val=""/>
      <w:lvlJc w:val="left"/>
      <w:pPr>
        <w:ind w:left="2520" w:hanging="360"/>
      </w:pPr>
      <w:rPr>
        <w:rFonts w:ascii="Symbol" w:hAnsi="Symbol" w:hint="default"/>
      </w:rPr>
    </w:lvl>
    <w:lvl w:ilvl="4" w:tplc="4AEA76B0">
      <w:start w:val="1"/>
      <w:numFmt w:val="bullet"/>
      <w:lvlText w:val="o"/>
      <w:lvlJc w:val="left"/>
      <w:pPr>
        <w:ind w:left="3240" w:hanging="360"/>
      </w:pPr>
      <w:rPr>
        <w:rFonts w:ascii="Courier New" w:hAnsi="Courier New" w:hint="default"/>
      </w:rPr>
    </w:lvl>
    <w:lvl w:ilvl="5" w:tplc="B6B008D0">
      <w:start w:val="1"/>
      <w:numFmt w:val="bullet"/>
      <w:lvlText w:val=""/>
      <w:lvlJc w:val="left"/>
      <w:pPr>
        <w:ind w:left="3960" w:hanging="360"/>
      </w:pPr>
      <w:rPr>
        <w:rFonts w:ascii="Wingdings" w:hAnsi="Wingdings" w:hint="default"/>
      </w:rPr>
    </w:lvl>
    <w:lvl w:ilvl="6" w:tplc="6F3CC972">
      <w:start w:val="1"/>
      <w:numFmt w:val="bullet"/>
      <w:lvlText w:val=""/>
      <w:lvlJc w:val="left"/>
      <w:pPr>
        <w:ind w:left="4680" w:hanging="360"/>
      </w:pPr>
      <w:rPr>
        <w:rFonts w:ascii="Symbol" w:hAnsi="Symbol" w:hint="default"/>
      </w:rPr>
    </w:lvl>
    <w:lvl w:ilvl="7" w:tplc="8E386F7A">
      <w:start w:val="1"/>
      <w:numFmt w:val="bullet"/>
      <w:lvlText w:val="o"/>
      <w:lvlJc w:val="left"/>
      <w:pPr>
        <w:ind w:left="5400" w:hanging="360"/>
      </w:pPr>
      <w:rPr>
        <w:rFonts w:ascii="Courier New" w:hAnsi="Courier New" w:hint="default"/>
      </w:rPr>
    </w:lvl>
    <w:lvl w:ilvl="8" w:tplc="20BC4568">
      <w:start w:val="1"/>
      <w:numFmt w:val="bullet"/>
      <w:lvlText w:val=""/>
      <w:lvlJc w:val="left"/>
      <w:pPr>
        <w:ind w:left="6120" w:hanging="360"/>
      </w:pPr>
      <w:rPr>
        <w:rFonts w:ascii="Wingdings" w:hAnsi="Wingdings" w:hint="default"/>
      </w:rPr>
    </w:lvl>
  </w:abstractNum>
  <w:abstractNum w:abstractNumId="174" w15:restartNumberingAfterBreak="0">
    <w:nsid w:val="5D5D77B4"/>
    <w:multiLevelType w:val="hybridMultilevel"/>
    <w:tmpl w:val="29446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15:restartNumberingAfterBreak="0">
    <w:nsid w:val="5EBF0A8F"/>
    <w:multiLevelType w:val="hybridMultilevel"/>
    <w:tmpl w:val="7DBE7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6" w15:restartNumberingAfterBreak="0">
    <w:nsid w:val="60B5441A"/>
    <w:multiLevelType w:val="hybridMultilevel"/>
    <w:tmpl w:val="D59A1078"/>
    <w:lvl w:ilvl="0" w:tplc="FFFFFFFF">
      <w:numFmt w:val="bullet"/>
      <w:lvlText w:val="-"/>
      <w:lvlJc w:val="left"/>
      <w:pPr>
        <w:ind w:left="720" w:hanging="360"/>
      </w:pPr>
      <w:rPr>
        <w:rFonts w:ascii="Times New Roman" w:eastAsiaTheme="minorHAnsi" w:hAnsi="Times New Roman" w:cs="Times New Roman" w:hint="default"/>
      </w:rPr>
    </w:lvl>
    <w:lvl w:ilvl="1" w:tplc="4D08ABEC">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614C7A15"/>
    <w:multiLevelType w:val="hybridMultilevel"/>
    <w:tmpl w:val="9B4C4334"/>
    <w:lvl w:ilvl="0" w:tplc="18090001">
      <w:start w:val="1"/>
      <w:numFmt w:val="bullet"/>
      <w:lvlText w:val=""/>
      <w:lvlJc w:val="left"/>
      <w:pPr>
        <w:ind w:left="2453" w:hanging="360"/>
      </w:pPr>
      <w:rPr>
        <w:rFonts w:ascii="Symbol" w:hAnsi="Symbol" w:hint="default"/>
      </w:rPr>
    </w:lvl>
    <w:lvl w:ilvl="1" w:tplc="18090003">
      <w:start w:val="1"/>
      <w:numFmt w:val="bullet"/>
      <w:lvlText w:val="o"/>
      <w:lvlJc w:val="left"/>
      <w:pPr>
        <w:ind w:left="3173" w:hanging="360"/>
      </w:pPr>
      <w:rPr>
        <w:rFonts w:ascii="Courier New" w:hAnsi="Courier New" w:cs="Courier New" w:hint="default"/>
      </w:rPr>
    </w:lvl>
    <w:lvl w:ilvl="2" w:tplc="18090005" w:tentative="1">
      <w:start w:val="1"/>
      <w:numFmt w:val="bullet"/>
      <w:lvlText w:val=""/>
      <w:lvlJc w:val="left"/>
      <w:pPr>
        <w:ind w:left="3893" w:hanging="360"/>
      </w:pPr>
      <w:rPr>
        <w:rFonts w:ascii="Wingdings" w:hAnsi="Wingdings" w:hint="default"/>
      </w:rPr>
    </w:lvl>
    <w:lvl w:ilvl="3" w:tplc="18090001" w:tentative="1">
      <w:start w:val="1"/>
      <w:numFmt w:val="bullet"/>
      <w:lvlText w:val=""/>
      <w:lvlJc w:val="left"/>
      <w:pPr>
        <w:ind w:left="4613" w:hanging="360"/>
      </w:pPr>
      <w:rPr>
        <w:rFonts w:ascii="Symbol" w:hAnsi="Symbol" w:hint="default"/>
      </w:rPr>
    </w:lvl>
    <w:lvl w:ilvl="4" w:tplc="18090003" w:tentative="1">
      <w:start w:val="1"/>
      <w:numFmt w:val="bullet"/>
      <w:lvlText w:val="o"/>
      <w:lvlJc w:val="left"/>
      <w:pPr>
        <w:ind w:left="5333" w:hanging="360"/>
      </w:pPr>
      <w:rPr>
        <w:rFonts w:ascii="Courier New" w:hAnsi="Courier New" w:cs="Courier New" w:hint="default"/>
      </w:rPr>
    </w:lvl>
    <w:lvl w:ilvl="5" w:tplc="18090005" w:tentative="1">
      <w:start w:val="1"/>
      <w:numFmt w:val="bullet"/>
      <w:lvlText w:val=""/>
      <w:lvlJc w:val="left"/>
      <w:pPr>
        <w:ind w:left="6053" w:hanging="360"/>
      </w:pPr>
      <w:rPr>
        <w:rFonts w:ascii="Wingdings" w:hAnsi="Wingdings" w:hint="default"/>
      </w:rPr>
    </w:lvl>
    <w:lvl w:ilvl="6" w:tplc="18090001" w:tentative="1">
      <w:start w:val="1"/>
      <w:numFmt w:val="bullet"/>
      <w:lvlText w:val=""/>
      <w:lvlJc w:val="left"/>
      <w:pPr>
        <w:ind w:left="6773" w:hanging="360"/>
      </w:pPr>
      <w:rPr>
        <w:rFonts w:ascii="Symbol" w:hAnsi="Symbol" w:hint="default"/>
      </w:rPr>
    </w:lvl>
    <w:lvl w:ilvl="7" w:tplc="18090003" w:tentative="1">
      <w:start w:val="1"/>
      <w:numFmt w:val="bullet"/>
      <w:lvlText w:val="o"/>
      <w:lvlJc w:val="left"/>
      <w:pPr>
        <w:ind w:left="7493" w:hanging="360"/>
      </w:pPr>
      <w:rPr>
        <w:rFonts w:ascii="Courier New" w:hAnsi="Courier New" w:cs="Courier New" w:hint="default"/>
      </w:rPr>
    </w:lvl>
    <w:lvl w:ilvl="8" w:tplc="18090005" w:tentative="1">
      <w:start w:val="1"/>
      <w:numFmt w:val="bullet"/>
      <w:lvlText w:val=""/>
      <w:lvlJc w:val="left"/>
      <w:pPr>
        <w:ind w:left="8213" w:hanging="360"/>
      </w:pPr>
      <w:rPr>
        <w:rFonts w:ascii="Wingdings" w:hAnsi="Wingdings" w:hint="default"/>
      </w:rPr>
    </w:lvl>
  </w:abstractNum>
  <w:abstractNum w:abstractNumId="178" w15:restartNumberingAfterBreak="0">
    <w:nsid w:val="61F66C55"/>
    <w:multiLevelType w:val="hybridMultilevel"/>
    <w:tmpl w:val="AF40B12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9" w15:restartNumberingAfterBreak="0">
    <w:nsid w:val="63224297"/>
    <w:multiLevelType w:val="hybridMultilevel"/>
    <w:tmpl w:val="CE263962"/>
    <w:lvl w:ilvl="0" w:tplc="FFFFFFFF">
      <w:start w:val="1"/>
      <w:numFmt w:val="bullet"/>
      <w:lvlText w:val=""/>
      <w:lvlJc w:val="left"/>
      <w:pPr>
        <w:ind w:left="720" w:hanging="360"/>
      </w:pPr>
      <w:rPr>
        <w:rFonts w:ascii="Symbol" w:hAnsi="Symbol" w:hint="default"/>
      </w:rPr>
    </w:lvl>
    <w:lvl w:ilvl="1" w:tplc="72BAA964">
      <w:start w:val="1"/>
      <w:numFmt w:val="bullet"/>
      <w:lvlText w:val="o"/>
      <w:lvlJc w:val="left"/>
      <w:pPr>
        <w:ind w:left="1440" w:hanging="360"/>
      </w:pPr>
      <w:rPr>
        <w:rFonts w:ascii="Courier New" w:hAnsi="Courier New" w:hint="default"/>
      </w:rPr>
    </w:lvl>
    <w:lvl w:ilvl="2" w:tplc="FA900182">
      <w:start w:val="1"/>
      <w:numFmt w:val="bullet"/>
      <w:lvlText w:val=""/>
      <w:lvlJc w:val="left"/>
      <w:pPr>
        <w:ind w:left="2160" w:hanging="360"/>
      </w:pPr>
      <w:rPr>
        <w:rFonts w:ascii="Wingdings" w:hAnsi="Wingdings" w:hint="default"/>
      </w:rPr>
    </w:lvl>
    <w:lvl w:ilvl="3" w:tplc="39388A6E">
      <w:start w:val="1"/>
      <w:numFmt w:val="bullet"/>
      <w:lvlText w:val=""/>
      <w:lvlJc w:val="left"/>
      <w:pPr>
        <w:ind w:left="2880" w:hanging="360"/>
      </w:pPr>
      <w:rPr>
        <w:rFonts w:ascii="Symbol" w:hAnsi="Symbol" w:hint="default"/>
      </w:rPr>
    </w:lvl>
    <w:lvl w:ilvl="4" w:tplc="FFEA3940">
      <w:start w:val="1"/>
      <w:numFmt w:val="bullet"/>
      <w:lvlText w:val="o"/>
      <w:lvlJc w:val="left"/>
      <w:pPr>
        <w:ind w:left="3600" w:hanging="360"/>
      </w:pPr>
      <w:rPr>
        <w:rFonts w:ascii="Courier New" w:hAnsi="Courier New" w:hint="default"/>
      </w:rPr>
    </w:lvl>
    <w:lvl w:ilvl="5" w:tplc="C61E201C">
      <w:start w:val="1"/>
      <w:numFmt w:val="bullet"/>
      <w:lvlText w:val=""/>
      <w:lvlJc w:val="left"/>
      <w:pPr>
        <w:ind w:left="4320" w:hanging="360"/>
      </w:pPr>
      <w:rPr>
        <w:rFonts w:ascii="Wingdings" w:hAnsi="Wingdings" w:hint="default"/>
      </w:rPr>
    </w:lvl>
    <w:lvl w:ilvl="6" w:tplc="2FCAA26C">
      <w:start w:val="1"/>
      <w:numFmt w:val="bullet"/>
      <w:lvlText w:val=""/>
      <w:lvlJc w:val="left"/>
      <w:pPr>
        <w:ind w:left="5040" w:hanging="360"/>
      </w:pPr>
      <w:rPr>
        <w:rFonts w:ascii="Symbol" w:hAnsi="Symbol" w:hint="default"/>
      </w:rPr>
    </w:lvl>
    <w:lvl w:ilvl="7" w:tplc="7F02E460">
      <w:start w:val="1"/>
      <w:numFmt w:val="bullet"/>
      <w:lvlText w:val="o"/>
      <w:lvlJc w:val="left"/>
      <w:pPr>
        <w:ind w:left="5760" w:hanging="360"/>
      </w:pPr>
      <w:rPr>
        <w:rFonts w:ascii="Courier New" w:hAnsi="Courier New" w:hint="default"/>
      </w:rPr>
    </w:lvl>
    <w:lvl w:ilvl="8" w:tplc="FA6EE2F8">
      <w:start w:val="1"/>
      <w:numFmt w:val="bullet"/>
      <w:lvlText w:val=""/>
      <w:lvlJc w:val="left"/>
      <w:pPr>
        <w:ind w:left="6480" w:hanging="360"/>
      </w:pPr>
      <w:rPr>
        <w:rFonts w:ascii="Wingdings" w:hAnsi="Wingdings" w:hint="default"/>
      </w:rPr>
    </w:lvl>
  </w:abstractNum>
  <w:abstractNum w:abstractNumId="180" w15:restartNumberingAfterBreak="0">
    <w:nsid w:val="63BA1346"/>
    <w:multiLevelType w:val="hybridMultilevel"/>
    <w:tmpl w:val="FFFFFFFF"/>
    <w:lvl w:ilvl="0" w:tplc="6216491E">
      <w:start w:val="1"/>
      <w:numFmt w:val="decimal"/>
      <w:lvlText w:val="%1."/>
      <w:lvlJc w:val="left"/>
      <w:pPr>
        <w:ind w:left="1080" w:hanging="720"/>
      </w:pPr>
    </w:lvl>
    <w:lvl w:ilvl="1" w:tplc="724AFEC0">
      <w:start w:val="1"/>
      <w:numFmt w:val="lowerLetter"/>
      <w:lvlText w:val="%2."/>
      <w:lvlJc w:val="left"/>
      <w:pPr>
        <w:ind w:left="1440" w:hanging="360"/>
      </w:pPr>
    </w:lvl>
    <w:lvl w:ilvl="2" w:tplc="A7A88750">
      <w:start w:val="1"/>
      <w:numFmt w:val="lowerRoman"/>
      <w:lvlText w:val="%3."/>
      <w:lvlJc w:val="right"/>
      <w:pPr>
        <w:ind w:left="2160" w:hanging="180"/>
      </w:pPr>
    </w:lvl>
    <w:lvl w:ilvl="3" w:tplc="A32EBF48">
      <w:start w:val="1"/>
      <w:numFmt w:val="decimal"/>
      <w:lvlText w:val="%4."/>
      <w:lvlJc w:val="left"/>
      <w:pPr>
        <w:ind w:left="2880" w:hanging="360"/>
      </w:pPr>
    </w:lvl>
    <w:lvl w:ilvl="4" w:tplc="E2465C28">
      <w:start w:val="1"/>
      <w:numFmt w:val="lowerLetter"/>
      <w:lvlText w:val="%5."/>
      <w:lvlJc w:val="left"/>
      <w:pPr>
        <w:ind w:left="3600" w:hanging="360"/>
      </w:pPr>
    </w:lvl>
    <w:lvl w:ilvl="5" w:tplc="CAA24A2E">
      <w:start w:val="1"/>
      <w:numFmt w:val="lowerRoman"/>
      <w:lvlText w:val="%6."/>
      <w:lvlJc w:val="right"/>
      <w:pPr>
        <w:ind w:left="4320" w:hanging="180"/>
      </w:pPr>
    </w:lvl>
    <w:lvl w:ilvl="6" w:tplc="5CB28BC4">
      <w:start w:val="1"/>
      <w:numFmt w:val="decimal"/>
      <w:lvlText w:val="%7."/>
      <w:lvlJc w:val="left"/>
      <w:pPr>
        <w:ind w:left="5040" w:hanging="360"/>
      </w:pPr>
    </w:lvl>
    <w:lvl w:ilvl="7" w:tplc="558427E4">
      <w:start w:val="1"/>
      <w:numFmt w:val="lowerLetter"/>
      <w:lvlText w:val="%8."/>
      <w:lvlJc w:val="left"/>
      <w:pPr>
        <w:ind w:left="5760" w:hanging="360"/>
      </w:pPr>
    </w:lvl>
    <w:lvl w:ilvl="8" w:tplc="B94C2F98">
      <w:start w:val="1"/>
      <w:numFmt w:val="lowerRoman"/>
      <w:lvlText w:val="%9."/>
      <w:lvlJc w:val="right"/>
      <w:pPr>
        <w:ind w:left="6480" w:hanging="180"/>
      </w:pPr>
    </w:lvl>
  </w:abstractNum>
  <w:abstractNum w:abstractNumId="181" w15:restartNumberingAfterBreak="0">
    <w:nsid w:val="64641129"/>
    <w:multiLevelType w:val="hybridMultilevel"/>
    <w:tmpl w:val="208AA6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654D17DF"/>
    <w:multiLevelType w:val="hybridMultilevel"/>
    <w:tmpl w:val="FFFFFFFF"/>
    <w:lvl w:ilvl="0" w:tplc="2F4A7E3E">
      <w:start w:val="1"/>
      <w:numFmt w:val="bullet"/>
      <w:lvlText w:val="·"/>
      <w:lvlJc w:val="left"/>
      <w:pPr>
        <w:ind w:left="720" w:hanging="360"/>
      </w:pPr>
      <w:rPr>
        <w:rFonts w:ascii="Symbol" w:hAnsi="Symbol" w:hint="default"/>
      </w:rPr>
    </w:lvl>
    <w:lvl w:ilvl="1" w:tplc="9D94E014">
      <w:start w:val="1"/>
      <w:numFmt w:val="bullet"/>
      <w:lvlText w:val="o"/>
      <w:lvlJc w:val="left"/>
      <w:pPr>
        <w:ind w:left="1440" w:hanging="360"/>
      </w:pPr>
      <w:rPr>
        <w:rFonts w:ascii="Courier New" w:hAnsi="Courier New" w:hint="default"/>
      </w:rPr>
    </w:lvl>
    <w:lvl w:ilvl="2" w:tplc="041608D4">
      <w:start w:val="1"/>
      <w:numFmt w:val="bullet"/>
      <w:lvlText w:val=""/>
      <w:lvlJc w:val="left"/>
      <w:pPr>
        <w:ind w:left="2160" w:hanging="360"/>
      </w:pPr>
      <w:rPr>
        <w:rFonts w:ascii="Wingdings" w:hAnsi="Wingdings" w:hint="default"/>
      </w:rPr>
    </w:lvl>
    <w:lvl w:ilvl="3" w:tplc="27160518">
      <w:start w:val="1"/>
      <w:numFmt w:val="bullet"/>
      <w:lvlText w:val=""/>
      <w:lvlJc w:val="left"/>
      <w:pPr>
        <w:ind w:left="2880" w:hanging="360"/>
      </w:pPr>
      <w:rPr>
        <w:rFonts w:ascii="Symbol" w:hAnsi="Symbol" w:hint="default"/>
      </w:rPr>
    </w:lvl>
    <w:lvl w:ilvl="4" w:tplc="AE4E517A">
      <w:start w:val="1"/>
      <w:numFmt w:val="bullet"/>
      <w:lvlText w:val="o"/>
      <w:lvlJc w:val="left"/>
      <w:pPr>
        <w:ind w:left="3600" w:hanging="360"/>
      </w:pPr>
      <w:rPr>
        <w:rFonts w:ascii="Courier New" w:hAnsi="Courier New" w:hint="default"/>
      </w:rPr>
    </w:lvl>
    <w:lvl w:ilvl="5" w:tplc="2D8A766C">
      <w:start w:val="1"/>
      <w:numFmt w:val="bullet"/>
      <w:lvlText w:val=""/>
      <w:lvlJc w:val="left"/>
      <w:pPr>
        <w:ind w:left="4320" w:hanging="360"/>
      </w:pPr>
      <w:rPr>
        <w:rFonts w:ascii="Wingdings" w:hAnsi="Wingdings" w:hint="default"/>
      </w:rPr>
    </w:lvl>
    <w:lvl w:ilvl="6" w:tplc="97F2C23C">
      <w:start w:val="1"/>
      <w:numFmt w:val="bullet"/>
      <w:lvlText w:val=""/>
      <w:lvlJc w:val="left"/>
      <w:pPr>
        <w:ind w:left="5040" w:hanging="360"/>
      </w:pPr>
      <w:rPr>
        <w:rFonts w:ascii="Symbol" w:hAnsi="Symbol" w:hint="default"/>
      </w:rPr>
    </w:lvl>
    <w:lvl w:ilvl="7" w:tplc="0DEA3C96">
      <w:start w:val="1"/>
      <w:numFmt w:val="bullet"/>
      <w:lvlText w:val="o"/>
      <w:lvlJc w:val="left"/>
      <w:pPr>
        <w:ind w:left="5760" w:hanging="360"/>
      </w:pPr>
      <w:rPr>
        <w:rFonts w:ascii="Courier New" w:hAnsi="Courier New" w:hint="default"/>
      </w:rPr>
    </w:lvl>
    <w:lvl w:ilvl="8" w:tplc="D46CC5F4">
      <w:start w:val="1"/>
      <w:numFmt w:val="bullet"/>
      <w:lvlText w:val=""/>
      <w:lvlJc w:val="left"/>
      <w:pPr>
        <w:ind w:left="6480" w:hanging="360"/>
      </w:pPr>
      <w:rPr>
        <w:rFonts w:ascii="Wingdings" w:hAnsi="Wingdings" w:hint="default"/>
      </w:rPr>
    </w:lvl>
  </w:abstractNum>
  <w:abstractNum w:abstractNumId="183" w15:restartNumberingAfterBreak="0">
    <w:nsid w:val="65E67A2F"/>
    <w:multiLevelType w:val="hybridMultilevel"/>
    <w:tmpl w:val="93664674"/>
    <w:lvl w:ilvl="0" w:tplc="18090001">
      <w:start w:val="1"/>
      <w:numFmt w:val="bullet"/>
      <w:lvlText w:val=""/>
      <w:lvlJc w:val="left"/>
      <w:pPr>
        <w:ind w:left="785" w:hanging="360"/>
      </w:pPr>
      <w:rPr>
        <w:rFonts w:ascii="Symbol" w:hAnsi="Symbol" w:hint="default"/>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184" w15:restartNumberingAfterBreak="0">
    <w:nsid w:val="67A56218"/>
    <w:multiLevelType w:val="hybridMultilevel"/>
    <w:tmpl w:val="0FA2F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67D793A8"/>
    <w:multiLevelType w:val="hybridMultilevel"/>
    <w:tmpl w:val="549EBF40"/>
    <w:lvl w:ilvl="0" w:tplc="AB9AA92A">
      <w:start w:val="1"/>
      <w:numFmt w:val="bullet"/>
      <w:lvlText w:val="-"/>
      <w:lvlJc w:val="left"/>
      <w:pPr>
        <w:ind w:left="720" w:hanging="360"/>
      </w:pPr>
      <w:rPr>
        <w:rFonts w:ascii="Symbol" w:hAnsi="Symbol" w:hint="default"/>
      </w:rPr>
    </w:lvl>
    <w:lvl w:ilvl="1" w:tplc="4F54D686">
      <w:start w:val="1"/>
      <w:numFmt w:val="bullet"/>
      <w:lvlText w:val="o"/>
      <w:lvlJc w:val="left"/>
      <w:pPr>
        <w:ind w:left="1440" w:hanging="360"/>
      </w:pPr>
      <w:rPr>
        <w:rFonts w:ascii="Courier New" w:hAnsi="Courier New" w:hint="default"/>
      </w:rPr>
    </w:lvl>
    <w:lvl w:ilvl="2" w:tplc="76D8C25A">
      <w:start w:val="1"/>
      <w:numFmt w:val="bullet"/>
      <w:lvlText w:val=""/>
      <w:lvlJc w:val="left"/>
      <w:pPr>
        <w:ind w:left="2160" w:hanging="360"/>
      </w:pPr>
      <w:rPr>
        <w:rFonts w:ascii="Wingdings" w:hAnsi="Wingdings" w:hint="default"/>
      </w:rPr>
    </w:lvl>
    <w:lvl w:ilvl="3" w:tplc="793C517E">
      <w:start w:val="1"/>
      <w:numFmt w:val="bullet"/>
      <w:lvlText w:val=""/>
      <w:lvlJc w:val="left"/>
      <w:pPr>
        <w:ind w:left="2880" w:hanging="360"/>
      </w:pPr>
      <w:rPr>
        <w:rFonts w:ascii="Symbol" w:hAnsi="Symbol" w:hint="default"/>
      </w:rPr>
    </w:lvl>
    <w:lvl w:ilvl="4" w:tplc="B988386A">
      <w:start w:val="1"/>
      <w:numFmt w:val="bullet"/>
      <w:lvlText w:val="o"/>
      <w:lvlJc w:val="left"/>
      <w:pPr>
        <w:ind w:left="3600" w:hanging="360"/>
      </w:pPr>
      <w:rPr>
        <w:rFonts w:ascii="Courier New" w:hAnsi="Courier New" w:hint="default"/>
      </w:rPr>
    </w:lvl>
    <w:lvl w:ilvl="5" w:tplc="B1F6E286">
      <w:start w:val="1"/>
      <w:numFmt w:val="bullet"/>
      <w:lvlText w:val=""/>
      <w:lvlJc w:val="left"/>
      <w:pPr>
        <w:ind w:left="4320" w:hanging="360"/>
      </w:pPr>
      <w:rPr>
        <w:rFonts w:ascii="Wingdings" w:hAnsi="Wingdings" w:hint="default"/>
      </w:rPr>
    </w:lvl>
    <w:lvl w:ilvl="6" w:tplc="CD362FCA">
      <w:start w:val="1"/>
      <w:numFmt w:val="bullet"/>
      <w:lvlText w:val=""/>
      <w:lvlJc w:val="left"/>
      <w:pPr>
        <w:ind w:left="5040" w:hanging="360"/>
      </w:pPr>
      <w:rPr>
        <w:rFonts w:ascii="Symbol" w:hAnsi="Symbol" w:hint="default"/>
      </w:rPr>
    </w:lvl>
    <w:lvl w:ilvl="7" w:tplc="A1441F96">
      <w:start w:val="1"/>
      <w:numFmt w:val="bullet"/>
      <w:lvlText w:val="o"/>
      <w:lvlJc w:val="left"/>
      <w:pPr>
        <w:ind w:left="5760" w:hanging="360"/>
      </w:pPr>
      <w:rPr>
        <w:rFonts w:ascii="Courier New" w:hAnsi="Courier New" w:hint="default"/>
      </w:rPr>
    </w:lvl>
    <w:lvl w:ilvl="8" w:tplc="48008FCE">
      <w:start w:val="1"/>
      <w:numFmt w:val="bullet"/>
      <w:lvlText w:val=""/>
      <w:lvlJc w:val="left"/>
      <w:pPr>
        <w:ind w:left="6480" w:hanging="360"/>
      </w:pPr>
      <w:rPr>
        <w:rFonts w:ascii="Wingdings" w:hAnsi="Wingdings" w:hint="default"/>
      </w:rPr>
    </w:lvl>
  </w:abstractNum>
  <w:abstractNum w:abstractNumId="186" w15:restartNumberingAfterBreak="0">
    <w:nsid w:val="68764078"/>
    <w:multiLevelType w:val="hybridMultilevel"/>
    <w:tmpl w:val="5B2C1C5C"/>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7" w15:restartNumberingAfterBreak="0">
    <w:nsid w:val="69B87E69"/>
    <w:multiLevelType w:val="hybridMultilevel"/>
    <w:tmpl w:val="8C9820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8" w15:restartNumberingAfterBreak="0">
    <w:nsid w:val="6B11CFAF"/>
    <w:multiLevelType w:val="hybridMultilevel"/>
    <w:tmpl w:val="FFFFFFFF"/>
    <w:lvl w:ilvl="0" w:tplc="5D0CEB64">
      <w:start w:val="1"/>
      <w:numFmt w:val="bullet"/>
      <w:lvlText w:val="·"/>
      <w:lvlJc w:val="left"/>
      <w:pPr>
        <w:ind w:left="720" w:hanging="360"/>
      </w:pPr>
      <w:rPr>
        <w:rFonts w:ascii="Symbol" w:hAnsi="Symbol" w:hint="default"/>
      </w:rPr>
    </w:lvl>
    <w:lvl w:ilvl="1" w:tplc="06A2B15A">
      <w:start w:val="1"/>
      <w:numFmt w:val="bullet"/>
      <w:lvlText w:val="o"/>
      <w:lvlJc w:val="left"/>
      <w:pPr>
        <w:ind w:left="1440" w:hanging="360"/>
      </w:pPr>
      <w:rPr>
        <w:rFonts w:ascii="Courier New" w:hAnsi="Courier New" w:hint="default"/>
      </w:rPr>
    </w:lvl>
    <w:lvl w:ilvl="2" w:tplc="499C3790">
      <w:start w:val="1"/>
      <w:numFmt w:val="bullet"/>
      <w:lvlText w:val=""/>
      <w:lvlJc w:val="left"/>
      <w:pPr>
        <w:ind w:left="2160" w:hanging="360"/>
      </w:pPr>
      <w:rPr>
        <w:rFonts w:ascii="Wingdings" w:hAnsi="Wingdings" w:hint="default"/>
      </w:rPr>
    </w:lvl>
    <w:lvl w:ilvl="3" w:tplc="EBACE2BC">
      <w:start w:val="1"/>
      <w:numFmt w:val="bullet"/>
      <w:lvlText w:val=""/>
      <w:lvlJc w:val="left"/>
      <w:pPr>
        <w:ind w:left="2880" w:hanging="360"/>
      </w:pPr>
      <w:rPr>
        <w:rFonts w:ascii="Symbol" w:hAnsi="Symbol" w:hint="default"/>
      </w:rPr>
    </w:lvl>
    <w:lvl w:ilvl="4" w:tplc="0C208506">
      <w:start w:val="1"/>
      <w:numFmt w:val="bullet"/>
      <w:lvlText w:val="o"/>
      <w:lvlJc w:val="left"/>
      <w:pPr>
        <w:ind w:left="3600" w:hanging="360"/>
      </w:pPr>
      <w:rPr>
        <w:rFonts w:ascii="Courier New" w:hAnsi="Courier New" w:hint="default"/>
      </w:rPr>
    </w:lvl>
    <w:lvl w:ilvl="5" w:tplc="9ACAD3B6">
      <w:start w:val="1"/>
      <w:numFmt w:val="bullet"/>
      <w:lvlText w:val=""/>
      <w:lvlJc w:val="left"/>
      <w:pPr>
        <w:ind w:left="4320" w:hanging="360"/>
      </w:pPr>
      <w:rPr>
        <w:rFonts w:ascii="Wingdings" w:hAnsi="Wingdings" w:hint="default"/>
      </w:rPr>
    </w:lvl>
    <w:lvl w:ilvl="6" w:tplc="977A875C">
      <w:start w:val="1"/>
      <w:numFmt w:val="bullet"/>
      <w:lvlText w:val=""/>
      <w:lvlJc w:val="left"/>
      <w:pPr>
        <w:ind w:left="5040" w:hanging="360"/>
      </w:pPr>
      <w:rPr>
        <w:rFonts w:ascii="Symbol" w:hAnsi="Symbol" w:hint="default"/>
      </w:rPr>
    </w:lvl>
    <w:lvl w:ilvl="7" w:tplc="50F430F6">
      <w:start w:val="1"/>
      <w:numFmt w:val="bullet"/>
      <w:lvlText w:val="o"/>
      <w:lvlJc w:val="left"/>
      <w:pPr>
        <w:ind w:left="5760" w:hanging="360"/>
      </w:pPr>
      <w:rPr>
        <w:rFonts w:ascii="Courier New" w:hAnsi="Courier New" w:hint="default"/>
      </w:rPr>
    </w:lvl>
    <w:lvl w:ilvl="8" w:tplc="9F200D5C">
      <w:start w:val="1"/>
      <w:numFmt w:val="bullet"/>
      <w:lvlText w:val=""/>
      <w:lvlJc w:val="left"/>
      <w:pPr>
        <w:ind w:left="6480" w:hanging="360"/>
      </w:pPr>
      <w:rPr>
        <w:rFonts w:ascii="Wingdings" w:hAnsi="Wingdings" w:hint="default"/>
      </w:rPr>
    </w:lvl>
  </w:abstractNum>
  <w:abstractNum w:abstractNumId="189" w15:restartNumberingAfterBreak="0">
    <w:nsid w:val="6BE41A97"/>
    <w:multiLevelType w:val="hybridMultilevel"/>
    <w:tmpl w:val="FFFFFFFF"/>
    <w:lvl w:ilvl="0" w:tplc="559C9D1C">
      <w:start w:val="1"/>
      <w:numFmt w:val="bullet"/>
      <w:lvlText w:val="·"/>
      <w:lvlJc w:val="left"/>
      <w:pPr>
        <w:ind w:left="720" w:hanging="360"/>
      </w:pPr>
      <w:rPr>
        <w:rFonts w:ascii="Symbol" w:hAnsi="Symbol" w:hint="default"/>
      </w:rPr>
    </w:lvl>
    <w:lvl w:ilvl="1" w:tplc="EA7AE856">
      <w:start w:val="1"/>
      <w:numFmt w:val="bullet"/>
      <w:lvlText w:val="o"/>
      <w:lvlJc w:val="left"/>
      <w:pPr>
        <w:ind w:left="1440" w:hanging="360"/>
      </w:pPr>
      <w:rPr>
        <w:rFonts w:ascii="Courier New" w:hAnsi="Courier New" w:hint="default"/>
      </w:rPr>
    </w:lvl>
    <w:lvl w:ilvl="2" w:tplc="EC1A5FF2">
      <w:start w:val="1"/>
      <w:numFmt w:val="bullet"/>
      <w:lvlText w:val=""/>
      <w:lvlJc w:val="left"/>
      <w:pPr>
        <w:ind w:left="2160" w:hanging="360"/>
      </w:pPr>
      <w:rPr>
        <w:rFonts w:ascii="Wingdings" w:hAnsi="Wingdings" w:hint="default"/>
      </w:rPr>
    </w:lvl>
    <w:lvl w:ilvl="3" w:tplc="1B167A18">
      <w:start w:val="1"/>
      <w:numFmt w:val="bullet"/>
      <w:lvlText w:val=""/>
      <w:lvlJc w:val="left"/>
      <w:pPr>
        <w:ind w:left="2880" w:hanging="360"/>
      </w:pPr>
      <w:rPr>
        <w:rFonts w:ascii="Symbol" w:hAnsi="Symbol" w:hint="default"/>
      </w:rPr>
    </w:lvl>
    <w:lvl w:ilvl="4" w:tplc="4DAACBCE">
      <w:start w:val="1"/>
      <w:numFmt w:val="bullet"/>
      <w:lvlText w:val="o"/>
      <w:lvlJc w:val="left"/>
      <w:pPr>
        <w:ind w:left="3600" w:hanging="360"/>
      </w:pPr>
      <w:rPr>
        <w:rFonts w:ascii="Courier New" w:hAnsi="Courier New" w:hint="default"/>
      </w:rPr>
    </w:lvl>
    <w:lvl w:ilvl="5" w:tplc="4FB8CE82">
      <w:start w:val="1"/>
      <w:numFmt w:val="bullet"/>
      <w:lvlText w:val=""/>
      <w:lvlJc w:val="left"/>
      <w:pPr>
        <w:ind w:left="4320" w:hanging="360"/>
      </w:pPr>
      <w:rPr>
        <w:rFonts w:ascii="Wingdings" w:hAnsi="Wingdings" w:hint="default"/>
      </w:rPr>
    </w:lvl>
    <w:lvl w:ilvl="6" w:tplc="C770A7EC">
      <w:start w:val="1"/>
      <w:numFmt w:val="bullet"/>
      <w:lvlText w:val=""/>
      <w:lvlJc w:val="left"/>
      <w:pPr>
        <w:ind w:left="5040" w:hanging="360"/>
      </w:pPr>
      <w:rPr>
        <w:rFonts w:ascii="Symbol" w:hAnsi="Symbol" w:hint="default"/>
      </w:rPr>
    </w:lvl>
    <w:lvl w:ilvl="7" w:tplc="B030D7AC">
      <w:start w:val="1"/>
      <w:numFmt w:val="bullet"/>
      <w:lvlText w:val="o"/>
      <w:lvlJc w:val="left"/>
      <w:pPr>
        <w:ind w:left="5760" w:hanging="360"/>
      </w:pPr>
      <w:rPr>
        <w:rFonts w:ascii="Courier New" w:hAnsi="Courier New" w:hint="default"/>
      </w:rPr>
    </w:lvl>
    <w:lvl w:ilvl="8" w:tplc="8BC206E4">
      <w:start w:val="1"/>
      <w:numFmt w:val="bullet"/>
      <w:lvlText w:val=""/>
      <w:lvlJc w:val="left"/>
      <w:pPr>
        <w:ind w:left="6480" w:hanging="360"/>
      </w:pPr>
      <w:rPr>
        <w:rFonts w:ascii="Wingdings" w:hAnsi="Wingdings" w:hint="default"/>
      </w:rPr>
    </w:lvl>
  </w:abstractNum>
  <w:abstractNum w:abstractNumId="190" w15:restartNumberingAfterBreak="0">
    <w:nsid w:val="6C3B61E3"/>
    <w:multiLevelType w:val="hybridMultilevel"/>
    <w:tmpl w:val="846A40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1" w15:restartNumberingAfterBreak="0">
    <w:nsid w:val="6D81361A"/>
    <w:multiLevelType w:val="hybridMultilevel"/>
    <w:tmpl w:val="74E0450A"/>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start w:val="1"/>
      <w:numFmt w:val="bullet"/>
      <w:lvlText w:val="o"/>
      <w:lvlJc w:val="left"/>
      <w:pPr>
        <w:ind w:left="3660" w:hanging="360"/>
      </w:pPr>
      <w:rPr>
        <w:rFonts w:ascii="Courier New" w:hAnsi="Courier New" w:cs="Courier New" w:hint="default"/>
      </w:rPr>
    </w:lvl>
    <w:lvl w:ilvl="5" w:tplc="18090005">
      <w:start w:val="1"/>
      <w:numFmt w:val="bullet"/>
      <w:lvlText w:val=""/>
      <w:lvlJc w:val="left"/>
      <w:pPr>
        <w:ind w:left="4380" w:hanging="360"/>
      </w:pPr>
      <w:rPr>
        <w:rFonts w:ascii="Wingdings" w:hAnsi="Wingdings" w:hint="default"/>
      </w:rPr>
    </w:lvl>
    <w:lvl w:ilvl="6" w:tplc="18090001">
      <w:start w:val="1"/>
      <w:numFmt w:val="bullet"/>
      <w:lvlText w:val=""/>
      <w:lvlJc w:val="left"/>
      <w:pPr>
        <w:ind w:left="5100" w:hanging="360"/>
      </w:pPr>
      <w:rPr>
        <w:rFonts w:ascii="Symbol" w:hAnsi="Symbol" w:hint="default"/>
      </w:rPr>
    </w:lvl>
    <w:lvl w:ilvl="7" w:tplc="18090003">
      <w:start w:val="1"/>
      <w:numFmt w:val="bullet"/>
      <w:lvlText w:val="o"/>
      <w:lvlJc w:val="left"/>
      <w:pPr>
        <w:ind w:left="5820" w:hanging="360"/>
      </w:pPr>
      <w:rPr>
        <w:rFonts w:ascii="Courier New" w:hAnsi="Courier New" w:cs="Courier New" w:hint="default"/>
      </w:rPr>
    </w:lvl>
    <w:lvl w:ilvl="8" w:tplc="18090005">
      <w:start w:val="1"/>
      <w:numFmt w:val="bullet"/>
      <w:lvlText w:val=""/>
      <w:lvlJc w:val="left"/>
      <w:pPr>
        <w:ind w:left="6540" w:hanging="360"/>
      </w:pPr>
      <w:rPr>
        <w:rFonts w:ascii="Wingdings" w:hAnsi="Wingdings" w:hint="default"/>
      </w:rPr>
    </w:lvl>
  </w:abstractNum>
  <w:abstractNum w:abstractNumId="192" w15:restartNumberingAfterBreak="0">
    <w:nsid w:val="6DA525C4"/>
    <w:multiLevelType w:val="multilevel"/>
    <w:tmpl w:val="2A4AB2D4"/>
    <w:lvl w:ilvl="0">
      <w:start w:val="1"/>
      <w:numFmt w:val="decimal"/>
      <w:lvlText w:val="%1"/>
      <w:lvlJc w:val="left"/>
      <w:pPr>
        <w:ind w:left="720" w:hanging="720"/>
      </w:pPr>
      <w:rPr>
        <w:rFonts w:eastAsiaTheme="minorHAnsi" w:hint="default"/>
        <w:b/>
      </w:rPr>
    </w:lvl>
    <w:lvl w:ilvl="1">
      <w:start w:val="1"/>
      <w:numFmt w:val="decimal"/>
      <w:lvlText w:val="%1.%2"/>
      <w:lvlJc w:val="left"/>
      <w:pPr>
        <w:ind w:left="720" w:hanging="72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193" w15:restartNumberingAfterBreak="0">
    <w:nsid w:val="6E086D8E"/>
    <w:multiLevelType w:val="hybridMultilevel"/>
    <w:tmpl w:val="3F74B4C0"/>
    <w:lvl w:ilvl="0" w:tplc="C4301C5C">
      <w:start w:val="1"/>
      <w:numFmt w:val="lowerRoman"/>
      <w:lvlText w:val="%1."/>
      <w:lvlJc w:val="right"/>
      <w:pPr>
        <w:ind w:left="720" w:hanging="360"/>
      </w:pPr>
    </w:lvl>
    <w:lvl w:ilvl="1" w:tplc="3F40CBC2">
      <w:start w:val="1"/>
      <w:numFmt w:val="lowerLetter"/>
      <w:lvlText w:val="%2."/>
      <w:lvlJc w:val="left"/>
      <w:pPr>
        <w:ind w:left="1440" w:hanging="360"/>
      </w:pPr>
    </w:lvl>
    <w:lvl w:ilvl="2" w:tplc="5C9658BC">
      <w:start w:val="1"/>
      <w:numFmt w:val="lowerRoman"/>
      <w:lvlText w:val="%3."/>
      <w:lvlJc w:val="right"/>
      <w:pPr>
        <w:ind w:left="2160" w:hanging="180"/>
      </w:pPr>
    </w:lvl>
    <w:lvl w:ilvl="3" w:tplc="9078E626">
      <w:start w:val="1"/>
      <w:numFmt w:val="decimal"/>
      <w:lvlText w:val="%4."/>
      <w:lvlJc w:val="left"/>
      <w:pPr>
        <w:ind w:left="2880" w:hanging="360"/>
      </w:pPr>
    </w:lvl>
    <w:lvl w:ilvl="4" w:tplc="E82A41C8">
      <w:start w:val="1"/>
      <w:numFmt w:val="lowerLetter"/>
      <w:lvlText w:val="%5."/>
      <w:lvlJc w:val="left"/>
      <w:pPr>
        <w:ind w:left="3600" w:hanging="360"/>
      </w:pPr>
    </w:lvl>
    <w:lvl w:ilvl="5" w:tplc="03320E54">
      <w:start w:val="1"/>
      <w:numFmt w:val="lowerRoman"/>
      <w:lvlText w:val="%6."/>
      <w:lvlJc w:val="right"/>
      <w:pPr>
        <w:ind w:left="4320" w:hanging="180"/>
      </w:pPr>
    </w:lvl>
    <w:lvl w:ilvl="6" w:tplc="2AD8E38C">
      <w:start w:val="1"/>
      <w:numFmt w:val="decimal"/>
      <w:lvlText w:val="%7."/>
      <w:lvlJc w:val="left"/>
      <w:pPr>
        <w:ind w:left="5040" w:hanging="360"/>
      </w:pPr>
    </w:lvl>
    <w:lvl w:ilvl="7" w:tplc="31365ABE">
      <w:start w:val="1"/>
      <w:numFmt w:val="lowerLetter"/>
      <w:lvlText w:val="%8."/>
      <w:lvlJc w:val="left"/>
      <w:pPr>
        <w:ind w:left="5760" w:hanging="360"/>
      </w:pPr>
    </w:lvl>
    <w:lvl w:ilvl="8" w:tplc="A9FCBA1A">
      <w:start w:val="1"/>
      <w:numFmt w:val="lowerRoman"/>
      <w:lvlText w:val="%9."/>
      <w:lvlJc w:val="right"/>
      <w:pPr>
        <w:ind w:left="6480" w:hanging="180"/>
      </w:pPr>
    </w:lvl>
  </w:abstractNum>
  <w:abstractNum w:abstractNumId="194" w15:restartNumberingAfterBreak="0">
    <w:nsid w:val="6E87AA4E"/>
    <w:multiLevelType w:val="hybridMultilevel"/>
    <w:tmpl w:val="FFFFFFFF"/>
    <w:lvl w:ilvl="0" w:tplc="1F2EA6CC">
      <w:start w:val="1"/>
      <w:numFmt w:val="bullet"/>
      <w:lvlText w:val="-"/>
      <w:lvlJc w:val="left"/>
      <w:pPr>
        <w:ind w:left="720" w:hanging="360"/>
      </w:pPr>
      <w:rPr>
        <w:rFonts w:ascii="Calibri" w:hAnsi="Calibri" w:cs="Times New Roman" w:hint="default"/>
      </w:rPr>
    </w:lvl>
    <w:lvl w:ilvl="1" w:tplc="4E48B47A">
      <w:start w:val="1"/>
      <w:numFmt w:val="bullet"/>
      <w:lvlText w:val="o"/>
      <w:lvlJc w:val="left"/>
      <w:pPr>
        <w:ind w:left="1440" w:hanging="360"/>
      </w:pPr>
      <w:rPr>
        <w:rFonts w:ascii="Courier New" w:hAnsi="Courier New" w:cs="Times New Roman" w:hint="default"/>
      </w:rPr>
    </w:lvl>
    <w:lvl w:ilvl="2" w:tplc="443AD752">
      <w:start w:val="1"/>
      <w:numFmt w:val="bullet"/>
      <w:lvlText w:val=""/>
      <w:lvlJc w:val="left"/>
      <w:pPr>
        <w:ind w:left="2160" w:hanging="360"/>
      </w:pPr>
      <w:rPr>
        <w:rFonts w:ascii="Wingdings" w:hAnsi="Wingdings" w:hint="default"/>
      </w:rPr>
    </w:lvl>
    <w:lvl w:ilvl="3" w:tplc="0FD6C7D0">
      <w:start w:val="1"/>
      <w:numFmt w:val="bullet"/>
      <w:lvlText w:val=""/>
      <w:lvlJc w:val="left"/>
      <w:pPr>
        <w:ind w:left="2880" w:hanging="360"/>
      </w:pPr>
      <w:rPr>
        <w:rFonts w:ascii="Symbol" w:hAnsi="Symbol" w:hint="default"/>
      </w:rPr>
    </w:lvl>
    <w:lvl w:ilvl="4" w:tplc="2B0CE402">
      <w:start w:val="1"/>
      <w:numFmt w:val="bullet"/>
      <w:lvlText w:val="o"/>
      <w:lvlJc w:val="left"/>
      <w:pPr>
        <w:ind w:left="3600" w:hanging="360"/>
      </w:pPr>
      <w:rPr>
        <w:rFonts w:ascii="Courier New" w:hAnsi="Courier New" w:cs="Times New Roman" w:hint="default"/>
      </w:rPr>
    </w:lvl>
    <w:lvl w:ilvl="5" w:tplc="CEDAFB2A">
      <w:start w:val="1"/>
      <w:numFmt w:val="bullet"/>
      <w:lvlText w:val=""/>
      <w:lvlJc w:val="left"/>
      <w:pPr>
        <w:ind w:left="4320" w:hanging="360"/>
      </w:pPr>
      <w:rPr>
        <w:rFonts w:ascii="Wingdings" w:hAnsi="Wingdings" w:hint="default"/>
      </w:rPr>
    </w:lvl>
    <w:lvl w:ilvl="6" w:tplc="0FEC1962">
      <w:start w:val="1"/>
      <w:numFmt w:val="bullet"/>
      <w:lvlText w:val=""/>
      <w:lvlJc w:val="left"/>
      <w:pPr>
        <w:ind w:left="5040" w:hanging="360"/>
      </w:pPr>
      <w:rPr>
        <w:rFonts w:ascii="Symbol" w:hAnsi="Symbol" w:hint="default"/>
      </w:rPr>
    </w:lvl>
    <w:lvl w:ilvl="7" w:tplc="4350ADF4">
      <w:start w:val="1"/>
      <w:numFmt w:val="bullet"/>
      <w:lvlText w:val="o"/>
      <w:lvlJc w:val="left"/>
      <w:pPr>
        <w:ind w:left="5760" w:hanging="360"/>
      </w:pPr>
      <w:rPr>
        <w:rFonts w:ascii="Courier New" w:hAnsi="Courier New" w:cs="Times New Roman" w:hint="default"/>
      </w:rPr>
    </w:lvl>
    <w:lvl w:ilvl="8" w:tplc="EEEC93B2">
      <w:start w:val="1"/>
      <w:numFmt w:val="bullet"/>
      <w:lvlText w:val=""/>
      <w:lvlJc w:val="left"/>
      <w:pPr>
        <w:ind w:left="6480" w:hanging="360"/>
      </w:pPr>
      <w:rPr>
        <w:rFonts w:ascii="Wingdings" w:hAnsi="Wingdings" w:hint="default"/>
      </w:rPr>
    </w:lvl>
  </w:abstractNum>
  <w:abstractNum w:abstractNumId="195" w15:restartNumberingAfterBreak="0">
    <w:nsid w:val="6EAA3DBB"/>
    <w:multiLevelType w:val="hybridMultilevel"/>
    <w:tmpl w:val="F14CB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6" w15:restartNumberingAfterBreak="0">
    <w:nsid w:val="6F112ECE"/>
    <w:multiLevelType w:val="hybridMultilevel"/>
    <w:tmpl w:val="F9FCD370"/>
    <w:lvl w:ilvl="0" w:tplc="18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6F304879"/>
    <w:multiLevelType w:val="hybridMultilevel"/>
    <w:tmpl w:val="37DE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F8E6469"/>
    <w:multiLevelType w:val="hybridMultilevel"/>
    <w:tmpl w:val="FFFFFFFF"/>
    <w:lvl w:ilvl="0" w:tplc="7C8A2D6A">
      <w:start w:val="1"/>
      <w:numFmt w:val="bullet"/>
      <w:lvlText w:val="·"/>
      <w:lvlJc w:val="left"/>
      <w:pPr>
        <w:ind w:left="720" w:hanging="360"/>
      </w:pPr>
      <w:rPr>
        <w:rFonts w:ascii="Symbol" w:hAnsi="Symbol" w:hint="default"/>
      </w:rPr>
    </w:lvl>
    <w:lvl w:ilvl="1" w:tplc="AAC85EA4">
      <w:start w:val="1"/>
      <w:numFmt w:val="bullet"/>
      <w:lvlText w:val="o"/>
      <w:lvlJc w:val="left"/>
      <w:pPr>
        <w:ind w:left="1440" w:hanging="360"/>
      </w:pPr>
      <w:rPr>
        <w:rFonts w:ascii="Courier New" w:hAnsi="Courier New" w:hint="default"/>
      </w:rPr>
    </w:lvl>
    <w:lvl w:ilvl="2" w:tplc="2D9C00B2">
      <w:start w:val="1"/>
      <w:numFmt w:val="bullet"/>
      <w:lvlText w:val=""/>
      <w:lvlJc w:val="left"/>
      <w:pPr>
        <w:ind w:left="2160" w:hanging="360"/>
      </w:pPr>
      <w:rPr>
        <w:rFonts w:ascii="Wingdings" w:hAnsi="Wingdings" w:hint="default"/>
      </w:rPr>
    </w:lvl>
    <w:lvl w:ilvl="3" w:tplc="0A744116">
      <w:start w:val="1"/>
      <w:numFmt w:val="bullet"/>
      <w:lvlText w:val=""/>
      <w:lvlJc w:val="left"/>
      <w:pPr>
        <w:ind w:left="2880" w:hanging="360"/>
      </w:pPr>
      <w:rPr>
        <w:rFonts w:ascii="Symbol" w:hAnsi="Symbol" w:hint="default"/>
      </w:rPr>
    </w:lvl>
    <w:lvl w:ilvl="4" w:tplc="3DFC52C2">
      <w:start w:val="1"/>
      <w:numFmt w:val="bullet"/>
      <w:lvlText w:val="o"/>
      <w:lvlJc w:val="left"/>
      <w:pPr>
        <w:ind w:left="3600" w:hanging="360"/>
      </w:pPr>
      <w:rPr>
        <w:rFonts w:ascii="Courier New" w:hAnsi="Courier New" w:hint="default"/>
      </w:rPr>
    </w:lvl>
    <w:lvl w:ilvl="5" w:tplc="6B4245E4">
      <w:start w:val="1"/>
      <w:numFmt w:val="bullet"/>
      <w:lvlText w:val=""/>
      <w:lvlJc w:val="left"/>
      <w:pPr>
        <w:ind w:left="4320" w:hanging="360"/>
      </w:pPr>
      <w:rPr>
        <w:rFonts w:ascii="Wingdings" w:hAnsi="Wingdings" w:hint="default"/>
      </w:rPr>
    </w:lvl>
    <w:lvl w:ilvl="6" w:tplc="9C167A22">
      <w:start w:val="1"/>
      <w:numFmt w:val="bullet"/>
      <w:lvlText w:val=""/>
      <w:lvlJc w:val="left"/>
      <w:pPr>
        <w:ind w:left="5040" w:hanging="360"/>
      </w:pPr>
      <w:rPr>
        <w:rFonts w:ascii="Symbol" w:hAnsi="Symbol" w:hint="default"/>
      </w:rPr>
    </w:lvl>
    <w:lvl w:ilvl="7" w:tplc="CB24E380">
      <w:start w:val="1"/>
      <w:numFmt w:val="bullet"/>
      <w:lvlText w:val="o"/>
      <w:lvlJc w:val="left"/>
      <w:pPr>
        <w:ind w:left="5760" w:hanging="360"/>
      </w:pPr>
      <w:rPr>
        <w:rFonts w:ascii="Courier New" w:hAnsi="Courier New" w:hint="default"/>
      </w:rPr>
    </w:lvl>
    <w:lvl w:ilvl="8" w:tplc="534C1524">
      <w:start w:val="1"/>
      <w:numFmt w:val="bullet"/>
      <w:lvlText w:val=""/>
      <w:lvlJc w:val="left"/>
      <w:pPr>
        <w:ind w:left="6480" w:hanging="360"/>
      </w:pPr>
      <w:rPr>
        <w:rFonts w:ascii="Wingdings" w:hAnsi="Wingdings" w:hint="default"/>
      </w:rPr>
    </w:lvl>
  </w:abstractNum>
  <w:abstractNum w:abstractNumId="199" w15:restartNumberingAfterBreak="0">
    <w:nsid w:val="6FBB26AC"/>
    <w:multiLevelType w:val="hybridMultilevel"/>
    <w:tmpl w:val="930A513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702E6340"/>
    <w:multiLevelType w:val="hybridMultilevel"/>
    <w:tmpl w:val="90185924"/>
    <w:lvl w:ilvl="0" w:tplc="4A80985C">
      <w:start w:val="1"/>
      <w:numFmt w:val="bullet"/>
      <w:lvlText w:val="-"/>
      <w:lvlJc w:val="left"/>
      <w:pPr>
        <w:ind w:left="1080" w:hanging="360"/>
      </w:pPr>
      <w:rPr>
        <w:rFonts w:ascii="Calibri" w:hAnsi="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1" w15:restartNumberingAfterBreak="0">
    <w:nsid w:val="71467086"/>
    <w:multiLevelType w:val="hybridMultilevel"/>
    <w:tmpl w:val="FFFFFFFF"/>
    <w:lvl w:ilvl="0" w:tplc="05E8E31E">
      <w:start w:val="1"/>
      <w:numFmt w:val="bullet"/>
      <w:lvlText w:val=""/>
      <w:lvlJc w:val="left"/>
      <w:pPr>
        <w:ind w:left="720" w:hanging="360"/>
      </w:pPr>
      <w:rPr>
        <w:rFonts w:ascii="Symbol" w:hAnsi="Symbol" w:hint="default"/>
      </w:rPr>
    </w:lvl>
    <w:lvl w:ilvl="1" w:tplc="87D0CA88">
      <w:start w:val="1"/>
      <w:numFmt w:val="bullet"/>
      <w:lvlText w:val="o"/>
      <w:lvlJc w:val="left"/>
      <w:pPr>
        <w:ind w:left="1440" w:hanging="360"/>
      </w:pPr>
      <w:rPr>
        <w:rFonts w:ascii="Courier New" w:hAnsi="Courier New" w:hint="default"/>
      </w:rPr>
    </w:lvl>
    <w:lvl w:ilvl="2" w:tplc="71E8332A">
      <w:start w:val="1"/>
      <w:numFmt w:val="bullet"/>
      <w:lvlText w:val=""/>
      <w:lvlJc w:val="left"/>
      <w:pPr>
        <w:ind w:left="2160" w:hanging="360"/>
      </w:pPr>
      <w:rPr>
        <w:rFonts w:ascii="Wingdings" w:hAnsi="Wingdings" w:hint="default"/>
      </w:rPr>
    </w:lvl>
    <w:lvl w:ilvl="3" w:tplc="2A0C7494">
      <w:start w:val="1"/>
      <w:numFmt w:val="bullet"/>
      <w:lvlText w:val=""/>
      <w:lvlJc w:val="left"/>
      <w:pPr>
        <w:ind w:left="2880" w:hanging="360"/>
      </w:pPr>
      <w:rPr>
        <w:rFonts w:ascii="Symbol" w:hAnsi="Symbol" w:hint="default"/>
      </w:rPr>
    </w:lvl>
    <w:lvl w:ilvl="4" w:tplc="CDF27026">
      <w:start w:val="1"/>
      <w:numFmt w:val="bullet"/>
      <w:lvlText w:val="o"/>
      <w:lvlJc w:val="left"/>
      <w:pPr>
        <w:ind w:left="3600" w:hanging="360"/>
      </w:pPr>
      <w:rPr>
        <w:rFonts w:ascii="Courier New" w:hAnsi="Courier New" w:hint="default"/>
      </w:rPr>
    </w:lvl>
    <w:lvl w:ilvl="5" w:tplc="F766CF90">
      <w:start w:val="1"/>
      <w:numFmt w:val="bullet"/>
      <w:lvlText w:val=""/>
      <w:lvlJc w:val="left"/>
      <w:pPr>
        <w:ind w:left="4320" w:hanging="360"/>
      </w:pPr>
      <w:rPr>
        <w:rFonts w:ascii="Wingdings" w:hAnsi="Wingdings" w:hint="default"/>
      </w:rPr>
    </w:lvl>
    <w:lvl w:ilvl="6" w:tplc="866EB42C">
      <w:start w:val="1"/>
      <w:numFmt w:val="bullet"/>
      <w:lvlText w:val=""/>
      <w:lvlJc w:val="left"/>
      <w:pPr>
        <w:ind w:left="5040" w:hanging="360"/>
      </w:pPr>
      <w:rPr>
        <w:rFonts w:ascii="Symbol" w:hAnsi="Symbol" w:hint="default"/>
      </w:rPr>
    </w:lvl>
    <w:lvl w:ilvl="7" w:tplc="8F4845C8">
      <w:start w:val="1"/>
      <w:numFmt w:val="bullet"/>
      <w:lvlText w:val="o"/>
      <w:lvlJc w:val="left"/>
      <w:pPr>
        <w:ind w:left="5760" w:hanging="360"/>
      </w:pPr>
      <w:rPr>
        <w:rFonts w:ascii="Courier New" w:hAnsi="Courier New" w:hint="default"/>
      </w:rPr>
    </w:lvl>
    <w:lvl w:ilvl="8" w:tplc="94C6106C">
      <w:start w:val="1"/>
      <w:numFmt w:val="bullet"/>
      <w:lvlText w:val=""/>
      <w:lvlJc w:val="left"/>
      <w:pPr>
        <w:ind w:left="6480" w:hanging="360"/>
      </w:pPr>
      <w:rPr>
        <w:rFonts w:ascii="Wingdings" w:hAnsi="Wingdings" w:hint="default"/>
      </w:rPr>
    </w:lvl>
  </w:abstractNum>
  <w:abstractNum w:abstractNumId="202" w15:restartNumberingAfterBreak="0">
    <w:nsid w:val="7191D3F8"/>
    <w:multiLevelType w:val="hybridMultilevel"/>
    <w:tmpl w:val="FFFFFFFF"/>
    <w:lvl w:ilvl="0" w:tplc="DB027AD2">
      <w:start w:val="1"/>
      <w:numFmt w:val="bullet"/>
      <w:lvlText w:val="-"/>
      <w:lvlJc w:val="left"/>
      <w:pPr>
        <w:ind w:left="720" w:hanging="360"/>
      </w:pPr>
      <w:rPr>
        <w:rFonts w:ascii="Calibri" w:hAnsi="Calibri" w:hint="default"/>
      </w:rPr>
    </w:lvl>
    <w:lvl w:ilvl="1" w:tplc="337CAD3C">
      <w:start w:val="1"/>
      <w:numFmt w:val="bullet"/>
      <w:lvlText w:val="o"/>
      <w:lvlJc w:val="left"/>
      <w:pPr>
        <w:ind w:left="1440" w:hanging="360"/>
      </w:pPr>
      <w:rPr>
        <w:rFonts w:ascii="Courier New" w:hAnsi="Courier New" w:hint="default"/>
      </w:rPr>
    </w:lvl>
    <w:lvl w:ilvl="2" w:tplc="5DCA6DD0">
      <w:start w:val="1"/>
      <w:numFmt w:val="bullet"/>
      <w:lvlText w:val=""/>
      <w:lvlJc w:val="left"/>
      <w:pPr>
        <w:ind w:left="2160" w:hanging="360"/>
      </w:pPr>
      <w:rPr>
        <w:rFonts w:ascii="Wingdings" w:hAnsi="Wingdings" w:hint="default"/>
      </w:rPr>
    </w:lvl>
    <w:lvl w:ilvl="3" w:tplc="45AAD6C0">
      <w:start w:val="1"/>
      <w:numFmt w:val="bullet"/>
      <w:lvlText w:val=""/>
      <w:lvlJc w:val="left"/>
      <w:pPr>
        <w:ind w:left="2880" w:hanging="360"/>
      </w:pPr>
      <w:rPr>
        <w:rFonts w:ascii="Symbol" w:hAnsi="Symbol" w:hint="default"/>
      </w:rPr>
    </w:lvl>
    <w:lvl w:ilvl="4" w:tplc="31F0111E">
      <w:start w:val="1"/>
      <w:numFmt w:val="bullet"/>
      <w:lvlText w:val="o"/>
      <w:lvlJc w:val="left"/>
      <w:pPr>
        <w:ind w:left="3600" w:hanging="360"/>
      </w:pPr>
      <w:rPr>
        <w:rFonts w:ascii="Courier New" w:hAnsi="Courier New" w:hint="default"/>
      </w:rPr>
    </w:lvl>
    <w:lvl w:ilvl="5" w:tplc="0E2871D8">
      <w:start w:val="1"/>
      <w:numFmt w:val="bullet"/>
      <w:lvlText w:val=""/>
      <w:lvlJc w:val="left"/>
      <w:pPr>
        <w:ind w:left="4320" w:hanging="360"/>
      </w:pPr>
      <w:rPr>
        <w:rFonts w:ascii="Wingdings" w:hAnsi="Wingdings" w:hint="default"/>
      </w:rPr>
    </w:lvl>
    <w:lvl w:ilvl="6" w:tplc="03C87652">
      <w:start w:val="1"/>
      <w:numFmt w:val="bullet"/>
      <w:lvlText w:val=""/>
      <w:lvlJc w:val="left"/>
      <w:pPr>
        <w:ind w:left="5040" w:hanging="360"/>
      </w:pPr>
      <w:rPr>
        <w:rFonts w:ascii="Symbol" w:hAnsi="Symbol" w:hint="default"/>
      </w:rPr>
    </w:lvl>
    <w:lvl w:ilvl="7" w:tplc="9062A42C">
      <w:start w:val="1"/>
      <w:numFmt w:val="bullet"/>
      <w:lvlText w:val="o"/>
      <w:lvlJc w:val="left"/>
      <w:pPr>
        <w:ind w:left="5760" w:hanging="360"/>
      </w:pPr>
      <w:rPr>
        <w:rFonts w:ascii="Courier New" w:hAnsi="Courier New" w:hint="default"/>
      </w:rPr>
    </w:lvl>
    <w:lvl w:ilvl="8" w:tplc="D3FE683E">
      <w:start w:val="1"/>
      <w:numFmt w:val="bullet"/>
      <w:lvlText w:val=""/>
      <w:lvlJc w:val="left"/>
      <w:pPr>
        <w:ind w:left="6480" w:hanging="360"/>
      </w:pPr>
      <w:rPr>
        <w:rFonts w:ascii="Wingdings" w:hAnsi="Wingdings" w:hint="default"/>
      </w:rPr>
    </w:lvl>
  </w:abstractNum>
  <w:abstractNum w:abstractNumId="203" w15:restartNumberingAfterBreak="0">
    <w:nsid w:val="719F4DCC"/>
    <w:multiLevelType w:val="hybridMultilevel"/>
    <w:tmpl w:val="FFFFFFFF"/>
    <w:lvl w:ilvl="0" w:tplc="E244F93E">
      <w:start w:val="1"/>
      <w:numFmt w:val="bullet"/>
      <w:lvlText w:val="·"/>
      <w:lvlJc w:val="left"/>
      <w:pPr>
        <w:ind w:left="720" w:hanging="360"/>
      </w:pPr>
      <w:rPr>
        <w:rFonts w:ascii="Symbol" w:hAnsi="Symbol" w:hint="default"/>
      </w:rPr>
    </w:lvl>
    <w:lvl w:ilvl="1" w:tplc="6F4E8A8C">
      <w:start w:val="1"/>
      <w:numFmt w:val="bullet"/>
      <w:lvlText w:val="o"/>
      <w:lvlJc w:val="left"/>
      <w:pPr>
        <w:ind w:left="1440" w:hanging="360"/>
      </w:pPr>
      <w:rPr>
        <w:rFonts w:ascii="Courier New" w:hAnsi="Courier New" w:hint="default"/>
      </w:rPr>
    </w:lvl>
    <w:lvl w:ilvl="2" w:tplc="BF3C01D2">
      <w:start w:val="1"/>
      <w:numFmt w:val="bullet"/>
      <w:lvlText w:val=""/>
      <w:lvlJc w:val="left"/>
      <w:pPr>
        <w:ind w:left="2160" w:hanging="360"/>
      </w:pPr>
      <w:rPr>
        <w:rFonts w:ascii="Wingdings" w:hAnsi="Wingdings" w:hint="default"/>
      </w:rPr>
    </w:lvl>
    <w:lvl w:ilvl="3" w:tplc="45F65074">
      <w:start w:val="1"/>
      <w:numFmt w:val="bullet"/>
      <w:lvlText w:val=""/>
      <w:lvlJc w:val="left"/>
      <w:pPr>
        <w:ind w:left="2880" w:hanging="360"/>
      </w:pPr>
      <w:rPr>
        <w:rFonts w:ascii="Symbol" w:hAnsi="Symbol" w:hint="default"/>
      </w:rPr>
    </w:lvl>
    <w:lvl w:ilvl="4" w:tplc="DED2A6F6">
      <w:start w:val="1"/>
      <w:numFmt w:val="bullet"/>
      <w:lvlText w:val="o"/>
      <w:lvlJc w:val="left"/>
      <w:pPr>
        <w:ind w:left="3600" w:hanging="360"/>
      </w:pPr>
      <w:rPr>
        <w:rFonts w:ascii="Courier New" w:hAnsi="Courier New" w:hint="default"/>
      </w:rPr>
    </w:lvl>
    <w:lvl w:ilvl="5" w:tplc="A5B6AE20">
      <w:start w:val="1"/>
      <w:numFmt w:val="bullet"/>
      <w:lvlText w:val=""/>
      <w:lvlJc w:val="left"/>
      <w:pPr>
        <w:ind w:left="4320" w:hanging="360"/>
      </w:pPr>
      <w:rPr>
        <w:rFonts w:ascii="Wingdings" w:hAnsi="Wingdings" w:hint="default"/>
      </w:rPr>
    </w:lvl>
    <w:lvl w:ilvl="6" w:tplc="8ADA66EE">
      <w:start w:val="1"/>
      <w:numFmt w:val="bullet"/>
      <w:lvlText w:val=""/>
      <w:lvlJc w:val="left"/>
      <w:pPr>
        <w:ind w:left="5040" w:hanging="360"/>
      </w:pPr>
      <w:rPr>
        <w:rFonts w:ascii="Symbol" w:hAnsi="Symbol" w:hint="default"/>
      </w:rPr>
    </w:lvl>
    <w:lvl w:ilvl="7" w:tplc="3DAEC5E8">
      <w:start w:val="1"/>
      <w:numFmt w:val="bullet"/>
      <w:lvlText w:val="o"/>
      <w:lvlJc w:val="left"/>
      <w:pPr>
        <w:ind w:left="5760" w:hanging="360"/>
      </w:pPr>
      <w:rPr>
        <w:rFonts w:ascii="Courier New" w:hAnsi="Courier New" w:hint="default"/>
      </w:rPr>
    </w:lvl>
    <w:lvl w:ilvl="8" w:tplc="046CF556">
      <w:start w:val="1"/>
      <w:numFmt w:val="bullet"/>
      <w:lvlText w:val=""/>
      <w:lvlJc w:val="left"/>
      <w:pPr>
        <w:ind w:left="6480" w:hanging="360"/>
      </w:pPr>
      <w:rPr>
        <w:rFonts w:ascii="Wingdings" w:hAnsi="Wingdings" w:hint="default"/>
      </w:rPr>
    </w:lvl>
  </w:abstractNum>
  <w:abstractNum w:abstractNumId="204" w15:restartNumberingAfterBreak="0">
    <w:nsid w:val="72B53B9D"/>
    <w:multiLevelType w:val="hybridMultilevel"/>
    <w:tmpl w:val="FFFFFFFF"/>
    <w:lvl w:ilvl="0" w:tplc="0BAC1340">
      <w:start w:val="1"/>
      <w:numFmt w:val="bullet"/>
      <w:lvlText w:val="-"/>
      <w:lvlJc w:val="left"/>
      <w:pPr>
        <w:ind w:left="720" w:hanging="360"/>
      </w:pPr>
      <w:rPr>
        <w:rFonts w:ascii="Calibri" w:hAnsi="Calibri" w:hint="default"/>
      </w:rPr>
    </w:lvl>
    <w:lvl w:ilvl="1" w:tplc="EC88CB1E">
      <w:start w:val="1"/>
      <w:numFmt w:val="bullet"/>
      <w:lvlText w:val="o"/>
      <w:lvlJc w:val="left"/>
      <w:pPr>
        <w:ind w:left="1440" w:hanging="360"/>
      </w:pPr>
      <w:rPr>
        <w:rFonts w:ascii="Courier New" w:hAnsi="Courier New" w:hint="default"/>
      </w:rPr>
    </w:lvl>
    <w:lvl w:ilvl="2" w:tplc="CD5AA7AC">
      <w:start w:val="1"/>
      <w:numFmt w:val="bullet"/>
      <w:lvlText w:val=""/>
      <w:lvlJc w:val="left"/>
      <w:pPr>
        <w:ind w:left="2160" w:hanging="360"/>
      </w:pPr>
      <w:rPr>
        <w:rFonts w:ascii="Wingdings" w:hAnsi="Wingdings" w:hint="default"/>
      </w:rPr>
    </w:lvl>
    <w:lvl w:ilvl="3" w:tplc="FD54231C">
      <w:start w:val="1"/>
      <w:numFmt w:val="bullet"/>
      <w:lvlText w:val=""/>
      <w:lvlJc w:val="left"/>
      <w:pPr>
        <w:ind w:left="2880" w:hanging="360"/>
      </w:pPr>
      <w:rPr>
        <w:rFonts w:ascii="Symbol" w:hAnsi="Symbol" w:hint="default"/>
      </w:rPr>
    </w:lvl>
    <w:lvl w:ilvl="4" w:tplc="4D645B74">
      <w:start w:val="1"/>
      <w:numFmt w:val="bullet"/>
      <w:lvlText w:val="o"/>
      <w:lvlJc w:val="left"/>
      <w:pPr>
        <w:ind w:left="3600" w:hanging="360"/>
      </w:pPr>
      <w:rPr>
        <w:rFonts w:ascii="Courier New" w:hAnsi="Courier New" w:hint="default"/>
      </w:rPr>
    </w:lvl>
    <w:lvl w:ilvl="5" w:tplc="F294DBC6">
      <w:start w:val="1"/>
      <w:numFmt w:val="bullet"/>
      <w:lvlText w:val=""/>
      <w:lvlJc w:val="left"/>
      <w:pPr>
        <w:ind w:left="4320" w:hanging="360"/>
      </w:pPr>
      <w:rPr>
        <w:rFonts w:ascii="Wingdings" w:hAnsi="Wingdings" w:hint="default"/>
      </w:rPr>
    </w:lvl>
    <w:lvl w:ilvl="6" w:tplc="DC4033DC">
      <w:start w:val="1"/>
      <w:numFmt w:val="bullet"/>
      <w:lvlText w:val=""/>
      <w:lvlJc w:val="left"/>
      <w:pPr>
        <w:ind w:left="5040" w:hanging="360"/>
      </w:pPr>
      <w:rPr>
        <w:rFonts w:ascii="Symbol" w:hAnsi="Symbol" w:hint="default"/>
      </w:rPr>
    </w:lvl>
    <w:lvl w:ilvl="7" w:tplc="F232305E">
      <w:start w:val="1"/>
      <w:numFmt w:val="bullet"/>
      <w:lvlText w:val="o"/>
      <w:lvlJc w:val="left"/>
      <w:pPr>
        <w:ind w:left="5760" w:hanging="360"/>
      </w:pPr>
      <w:rPr>
        <w:rFonts w:ascii="Courier New" w:hAnsi="Courier New" w:hint="default"/>
      </w:rPr>
    </w:lvl>
    <w:lvl w:ilvl="8" w:tplc="D1F2D354">
      <w:start w:val="1"/>
      <w:numFmt w:val="bullet"/>
      <w:lvlText w:val=""/>
      <w:lvlJc w:val="left"/>
      <w:pPr>
        <w:ind w:left="6480" w:hanging="360"/>
      </w:pPr>
      <w:rPr>
        <w:rFonts w:ascii="Wingdings" w:hAnsi="Wingdings" w:hint="default"/>
      </w:rPr>
    </w:lvl>
  </w:abstractNum>
  <w:abstractNum w:abstractNumId="205" w15:restartNumberingAfterBreak="0">
    <w:nsid w:val="73445965"/>
    <w:multiLevelType w:val="hybridMultilevel"/>
    <w:tmpl w:val="693A711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6" w15:restartNumberingAfterBreak="0">
    <w:nsid w:val="740A6C2F"/>
    <w:multiLevelType w:val="hybridMultilevel"/>
    <w:tmpl w:val="375627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7466509C"/>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8" w15:restartNumberingAfterBreak="0">
    <w:nsid w:val="75917D82"/>
    <w:multiLevelType w:val="hybridMultilevel"/>
    <w:tmpl w:val="7236F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15:restartNumberingAfterBreak="0">
    <w:nsid w:val="76027A00"/>
    <w:multiLevelType w:val="multilevel"/>
    <w:tmpl w:val="389E586C"/>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0" w15:restartNumberingAfterBreak="0">
    <w:nsid w:val="76270BB1"/>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1" w15:restartNumberingAfterBreak="0">
    <w:nsid w:val="77E0230E"/>
    <w:multiLevelType w:val="hybridMultilevel"/>
    <w:tmpl w:val="71E25188"/>
    <w:lvl w:ilvl="0" w:tplc="3672181E">
      <w:start w:val="1"/>
      <w:numFmt w:val="bullet"/>
      <w:lvlText w:val="·"/>
      <w:lvlJc w:val="left"/>
      <w:pPr>
        <w:ind w:left="720" w:hanging="360"/>
      </w:pPr>
      <w:rPr>
        <w:rFonts w:ascii="Symbol" w:hAnsi="Symbol" w:hint="default"/>
      </w:rPr>
    </w:lvl>
    <w:lvl w:ilvl="1" w:tplc="805CF1D8">
      <w:start w:val="1"/>
      <w:numFmt w:val="bullet"/>
      <w:lvlText w:val="o"/>
      <w:lvlJc w:val="left"/>
      <w:pPr>
        <w:ind w:left="1440" w:hanging="360"/>
      </w:pPr>
      <w:rPr>
        <w:rFonts w:ascii="Courier New" w:hAnsi="Courier New" w:hint="default"/>
      </w:rPr>
    </w:lvl>
    <w:lvl w:ilvl="2" w:tplc="702E15FE">
      <w:start w:val="1"/>
      <w:numFmt w:val="bullet"/>
      <w:lvlText w:val=""/>
      <w:lvlJc w:val="left"/>
      <w:pPr>
        <w:ind w:left="2160" w:hanging="360"/>
      </w:pPr>
      <w:rPr>
        <w:rFonts w:ascii="Wingdings" w:hAnsi="Wingdings" w:hint="default"/>
      </w:rPr>
    </w:lvl>
    <w:lvl w:ilvl="3" w:tplc="1D9E8A64">
      <w:start w:val="1"/>
      <w:numFmt w:val="bullet"/>
      <w:lvlText w:val=""/>
      <w:lvlJc w:val="left"/>
      <w:pPr>
        <w:ind w:left="2880" w:hanging="360"/>
      </w:pPr>
      <w:rPr>
        <w:rFonts w:ascii="Symbol" w:hAnsi="Symbol" w:hint="default"/>
      </w:rPr>
    </w:lvl>
    <w:lvl w:ilvl="4" w:tplc="B2C8189A">
      <w:start w:val="1"/>
      <w:numFmt w:val="bullet"/>
      <w:lvlText w:val="o"/>
      <w:lvlJc w:val="left"/>
      <w:pPr>
        <w:ind w:left="3600" w:hanging="360"/>
      </w:pPr>
      <w:rPr>
        <w:rFonts w:ascii="Courier New" w:hAnsi="Courier New" w:hint="default"/>
      </w:rPr>
    </w:lvl>
    <w:lvl w:ilvl="5" w:tplc="4B660198">
      <w:start w:val="1"/>
      <w:numFmt w:val="bullet"/>
      <w:lvlText w:val=""/>
      <w:lvlJc w:val="left"/>
      <w:pPr>
        <w:ind w:left="4320" w:hanging="360"/>
      </w:pPr>
      <w:rPr>
        <w:rFonts w:ascii="Wingdings" w:hAnsi="Wingdings" w:hint="default"/>
      </w:rPr>
    </w:lvl>
    <w:lvl w:ilvl="6" w:tplc="620CF47A">
      <w:start w:val="1"/>
      <w:numFmt w:val="bullet"/>
      <w:lvlText w:val=""/>
      <w:lvlJc w:val="left"/>
      <w:pPr>
        <w:ind w:left="5040" w:hanging="360"/>
      </w:pPr>
      <w:rPr>
        <w:rFonts w:ascii="Symbol" w:hAnsi="Symbol" w:hint="default"/>
      </w:rPr>
    </w:lvl>
    <w:lvl w:ilvl="7" w:tplc="A88EC522">
      <w:start w:val="1"/>
      <w:numFmt w:val="bullet"/>
      <w:lvlText w:val="o"/>
      <w:lvlJc w:val="left"/>
      <w:pPr>
        <w:ind w:left="5760" w:hanging="360"/>
      </w:pPr>
      <w:rPr>
        <w:rFonts w:ascii="Courier New" w:hAnsi="Courier New" w:hint="default"/>
      </w:rPr>
    </w:lvl>
    <w:lvl w:ilvl="8" w:tplc="66706E16">
      <w:start w:val="1"/>
      <w:numFmt w:val="bullet"/>
      <w:lvlText w:val=""/>
      <w:lvlJc w:val="left"/>
      <w:pPr>
        <w:ind w:left="6480" w:hanging="360"/>
      </w:pPr>
      <w:rPr>
        <w:rFonts w:ascii="Wingdings" w:hAnsi="Wingdings" w:hint="default"/>
      </w:rPr>
    </w:lvl>
  </w:abstractNum>
  <w:abstractNum w:abstractNumId="212" w15:restartNumberingAfterBreak="0">
    <w:nsid w:val="783C58C9"/>
    <w:multiLevelType w:val="hybridMultilevel"/>
    <w:tmpl w:val="E1200738"/>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3" w15:restartNumberingAfterBreak="0">
    <w:nsid w:val="784B1E5C"/>
    <w:multiLevelType w:val="multilevel"/>
    <w:tmpl w:val="9CEED1B8"/>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789E80D7"/>
    <w:multiLevelType w:val="hybridMultilevel"/>
    <w:tmpl w:val="FFFFFFFF"/>
    <w:lvl w:ilvl="0" w:tplc="1D28E364">
      <w:start w:val="1"/>
      <w:numFmt w:val="bullet"/>
      <w:lvlText w:val="·"/>
      <w:lvlJc w:val="left"/>
      <w:pPr>
        <w:ind w:left="720" w:hanging="360"/>
      </w:pPr>
      <w:rPr>
        <w:rFonts w:ascii="Symbol" w:hAnsi="Symbol" w:hint="default"/>
      </w:rPr>
    </w:lvl>
    <w:lvl w:ilvl="1" w:tplc="037CF388">
      <w:start w:val="1"/>
      <w:numFmt w:val="bullet"/>
      <w:lvlText w:val="o"/>
      <w:lvlJc w:val="left"/>
      <w:pPr>
        <w:ind w:left="1440" w:hanging="360"/>
      </w:pPr>
      <w:rPr>
        <w:rFonts w:ascii="Courier New" w:hAnsi="Courier New" w:hint="default"/>
      </w:rPr>
    </w:lvl>
    <w:lvl w:ilvl="2" w:tplc="3894CED2">
      <w:start w:val="1"/>
      <w:numFmt w:val="bullet"/>
      <w:lvlText w:val=""/>
      <w:lvlJc w:val="left"/>
      <w:pPr>
        <w:ind w:left="2160" w:hanging="360"/>
      </w:pPr>
      <w:rPr>
        <w:rFonts w:ascii="Wingdings" w:hAnsi="Wingdings" w:hint="default"/>
      </w:rPr>
    </w:lvl>
    <w:lvl w:ilvl="3" w:tplc="C98ED2A4">
      <w:start w:val="1"/>
      <w:numFmt w:val="bullet"/>
      <w:lvlText w:val=""/>
      <w:lvlJc w:val="left"/>
      <w:pPr>
        <w:ind w:left="2880" w:hanging="360"/>
      </w:pPr>
      <w:rPr>
        <w:rFonts w:ascii="Symbol" w:hAnsi="Symbol" w:hint="default"/>
      </w:rPr>
    </w:lvl>
    <w:lvl w:ilvl="4" w:tplc="831EAD6A">
      <w:start w:val="1"/>
      <w:numFmt w:val="bullet"/>
      <w:lvlText w:val="o"/>
      <w:lvlJc w:val="left"/>
      <w:pPr>
        <w:ind w:left="3600" w:hanging="360"/>
      </w:pPr>
      <w:rPr>
        <w:rFonts w:ascii="Courier New" w:hAnsi="Courier New" w:hint="default"/>
      </w:rPr>
    </w:lvl>
    <w:lvl w:ilvl="5" w:tplc="60CA7C2E">
      <w:start w:val="1"/>
      <w:numFmt w:val="bullet"/>
      <w:lvlText w:val=""/>
      <w:lvlJc w:val="left"/>
      <w:pPr>
        <w:ind w:left="4320" w:hanging="360"/>
      </w:pPr>
      <w:rPr>
        <w:rFonts w:ascii="Wingdings" w:hAnsi="Wingdings" w:hint="default"/>
      </w:rPr>
    </w:lvl>
    <w:lvl w:ilvl="6" w:tplc="55D66380">
      <w:start w:val="1"/>
      <w:numFmt w:val="bullet"/>
      <w:lvlText w:val=""/>
      <w:lvlJc w:val="left"/>
      <w:pPr>
        <w:ind w:left="5040" w:hanging="360"/>
      </w:pPr>
      <w:rPr>
        <w:rFonts w:ascii="Symbol" w:hAnsi="Symbol" w:hint="default"/>
      </w:rPr>
    </w:lvl>
    <w:lvl w:ilvl="7" w:tplc="8DA8E614">
      <w:start w:val="1"/>
      <w:numFmt w:val="bullet"/>
      <w:lvlText w:val="o"/>
      <w:lvlJc w:val="left"/>
      <w:pPr>
        <w:ind w:left="5760" w:hanging="360"/>
      </w:pPr>
      <w:rPr>
        <w:rFonts w:ascii="Courier New" w:hAnsi="Courier New" w:hint="default"/>
      </w:rPr>
    </w:lvl>
    <w:lvl w:ilvl="8" w:tplc="2CA64804">
      <w:start w:val="1"/>
      <w:numFmt w:val="bullet"/>
      <w:lvlText w:val=""/>
      <w:lvlJc w:val="left"/>
      <w:pPr>
        <w:ind w:left="6480" w:hanging="360"/>
      </w:pPr>
      <w:rPr>
        <w:rFonts w:ascii="Wingdings" w:hAnsi="Wingdings" w:hint="default"/>
      </w:rPr>
    </w:lvl>
  </w:abstractNum>
  <w:abstractNum w:abstractNumId="215" w15:restartNumberingAfterBreak="0">
    <w:nsid w:val="78C31466"/>
    <w:multiLevelType w:val="hybridMultilevel"/>
    <w:tmpl w:val="4BF2DF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6" w15:restartNumberingAfterBreak="0">
    <w:nsid w:val="7977212D"/>
    <w:multiLevelType w:val="hybridMultilevel"/>
    <w:tmpl w:val="A81A804C"/>
    <w:lvl w:ilvl="0" w:tplc="6ED8EB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79BC7B46"/>
    <w:multiLevelType w:val="hybridMultilevel"/>
    <w:tmpl w:val="F58C996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8" w15:restartNumberingAfterBreak="0">
    <w:nsid w:val="79F3370D"/>
    <w:multiLevelType w:val="hybridMultilevel"/>
    <w:tmpl w:val="7AAA63CA"/>
    <w:lvl w:ilvl="0" w:tplc="2D0208F4">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9" w15:restartNumberingAfterBreak="0">
    <w:nsid w:val="7AA027C6"/>
    <w:multiLevelType w:val="hybridMultilevel"/>
    <w:tmpl w:val="40F2DF5C"/>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quot;Courier New&quot;" w:hAnsi="&quot;Courier New&quot;"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0" w15:restartNumberingAfterBreak="0">
    <w:nsid w:val="7C7D093E"/>
    <w:multiLevelType w:val="multilevel"/>
    <w:tmpl w:val="254889EC"/>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D2B6B52"/>
    <w:multiLevelType w:val="hybridMultilevel"/>
    <w:tmpl w:val="FFFFFFFF"/>
    <w:lvl w:ilvl="0" w:tplc="BC02074A">
      <w:start w:val="1"/>
      <w:numFmt w:val="decimal"/>
      <w:lvlText w:val="%1-"/>
      <w:lvlJc w:val="left"/>
      <w:pPr>
        <w:ind w:left="720" w:hanging="360"/>
      </w:pPr>
    </w:lvl>
    <w:lvl w:ilvl="1" w:tplc="EAB48B84">
      <w:start w:val="1"/>
      <w:numFmt w:val="lowerLetter"/>
      <w:lvlText w:val="%2."/>
      <w:lvlJc w:val="left"/>
      <w:pPr>
        <w:ind w:left="1440" w:hanging="360"/>
      </w:pPr>
    </w:lvl>
    <w:lvl w:ilvl="2" w:tplc="EE6C6E88">
      <w:start w:val="1"/>
      <w:numFmt w:val="lowerRoman"/>
      <w:lvlText w:val="%3."/>
      <w:lvlJc w:val="right"/>
      <w:pPr>
        <w:ind w:left="2160" w:hanging="180"/>
      </w:pPr>
    </w:lvl>
    <w:lvl w:ilvl="3" w:tplc="F7A4EE04">
      <w:start w:val="1"/>
      <w:numFmt w:val="decimal"/>
      <w:lvlText w:val="%4."/>
      <w:lvlJc w:val="left"/>
      <w:pPr>
        <w:ind w:left="2880" w:hanging="360"/>
      </w:pPr>
    </w:lvl>
    <w:lvl w:ilvl="4" w:tplc="99B2D7B6">
      <w:start w:val="1"/>
      <w:numFmt w:val="lowerLetter"/>
      <w:lvlText w:val="%5."/>
      <w:lvlJc w:val="left"/>
      <w:pPr>
        <w:ind w:left="3600" w:hanging="360"/>
      </w:pPr>
    </w:lvl>
    <w:lvl w:ilvl="5" w:tplc="0928A7C2">
      <w:start w:val="1"/>
      <w:numFmt w:val="lowerRoman"/>
      <w:lvlText w:val="%6."/>
      <w:lvlJc w:val="right"/>
      <w:pPr>
        <w:ind w:left="4320" w:hanging="180"/>
      </w:pPr>
    </w:lvl>
    <w:lvl w:ilvl="6" w:tplc="2FCE733E">
      <w:start w:val="1"/>
      <w:numFmt w:val="decimal"/>
      <w:lvlText w:val="%7."/>
      <w:lvlJc w:val="left"/>
      <w:pPr>
        <w:ind w:left="5040" w:hanging="360"/>
      </w:pPr>
    </w:lvl>
    <w:lvl w:ilvl="7" w:tplc="8884B564">
      <w:start w:val="1"/>
      <w:numFmt w:val="lowerLetter"/>
      <w:lvlText w:val="%8."/>
      <w:lvlJc w:val="left"/>
      <w:pPr>
        <w:ind w:left="5760" w:hanging="360"/>
      </w:pPr>
    </w:lvl>
    <w:lvl w:ilvl="8" w:tplc="46BE5724">
      <w:start w:val="1"/>
      <w:numFmt w:val="lowerRoman"/>
      <w:lvlText w:val="%9."/>
      <w:lvlJc w:val="right"/>
      <w:pPr>
        <w:ind w:left="6480" w:hanging="180"/>
      </w:pPr>
    </w:lvl>
  </w:abstractNum>
  <w:abstractNum w:abstractNumId="222" w15:restartNumberingAfterBreak="0">
    <w:nsid w:val="7DB71CBA"/>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3" w15:restartNumberingAfterBreak="0">
    <w:nsid w:val="7FBACFDB"/>
    <w:multiLevelType w:val="hybridMultilevel"/>
    <w:tmpl w:val="FFFFFFFF"/>
    <w:lvl w:ilvl="0" w:tplc="693A49E8">
      <w:start w:val="1"/>
      <w:numFmt w:val="bullet"/>
      <w:lvlText w:val="·"/>
      <w:lvlJc w:val="left"/>
      <w:pPr>
        <w:ind w:left="720" w:hanging="360"/>
      </w:pPr>
      <w:rPr>
        <w:rFonts w:ascii="Symbol" w:hAnsi="Symbol" w:hint="default"/>
      </w:rPr>
    </w:lvl>
    <w:lvl w:ilvl="1" w:tplc="B98EFE92">
      <w:start w:val="1"/>
      <w:numFmt w:val="bullet"/>
      <w:lvlText w:val="o"/>
      <w:lvlJc w:val="left"/>
      <w:pPr>
        <w:ind w:left="1440" w:hanging="360"/>
      </w:pPr>
      <w:rPr>
        <w:rFonts w:ascii="Courier New" w:hAnsi="Courier New" w:hint="default"/>
      </w:rPr>
    </w:lvl>
    <w:lvl w:ilvl="2" w:tplc="BE8A3D08">
      <w:start w:val="1"/>
      <w:numFmt w:val="bullet"/>
      <w:lvlText w:val=""/>
      <w:lvlJc w:val="left"/>
      <w:pPr>
        <w:ind w:left="2160" w:hanging="360"/>
      </w:pPr>
      <w:rPr>
        <w:rFonts w:ascii="Wingdings" w:hAnsi="Wingdings" w:hint="default"/>
      </w:rPr>
    </w:lvl>
    <w:lvl w:ilvl="3" w:tplc="C33A2A20">
      <w:start w:val="1"/>
      <w:numFmt w:val="bullet"/>
      <w:lvlText w:val=""/>
      <w:lvlJc w:val="left"/>
      <w:pPr>
        <w:ind w:left="2880" w:hanging="360"/>
      </w:pPr>
      <w:rPr>
        <w:rFonts w:ascii="Symbol" w:hAnsi="Symbol" w:hint="default"/>
      </w:rPr>
    </w:lvl>
    <w:lvl w:ilvl="4" w:tplc="936C0728">
      <w:start w:val="1"/>
      <w:numFmt w:val="bullet"/>
      <w:lvlText w:val="o"/>
      <w:lvlJc w:val="left"/>
      <w:pPr>
        <w:ind w:left="3600" w:hanging="360"/>
      </w:pPr>
      <w:rPr>
        <w:rFonts w:ascii="Courier New" w:hAnsi="Courier New" w:hint="default"/>
      </w:rPr>
    </w:lvl>
    <w:lvl w:ilvl="5" w:tplc="FBF47B00">
      <w:start w:val="1"/>
      <w:numFmt w:val="bullet"/>
      <w:lvlText w:val=""/>
      <w:lvlJc w:val="left"/>
      <w:pPr>
        <w:ind w:left="4320" w:hanging="360"/>
      </w:pPr>
      <w:rPr>
        <w:rFonts w:ascii="Wingdings" w:hAnsi="Wingdings" w:hint="default"/>
      </w:rPr>
    </w:lvl>
    <w:lvl w:ilvl="6" w:tplc="4B2687FA">
      <w:start w:val="1"/>
      <w:numFmt w:val="bullet"/>
      <w:lvlText w:val=""/>
      <w:lvlJc w:val="left"/>
      <w:pPr>
        <w:ind w:left="5040" w:hanging="360"/>
      </w:pPr>
      <w:rPr>
        <w:rFonts w:ascii="Symbol" w:hAnsi="Symbol" w:hint="default"/>
      </w:rPr>
    </w:lvl>
    <w:lvl w:ilvl="7" w:tplc="16284F7E">
      <w:start w:val="1"/>
      <w:numFmt w:val="bullet"/>
      <w:lvlText w:val="o"/>
      <w:lvlJc w:val="left"/>
      <w:pPr>
        <w:ind w:left="5760" w:hanging="360"/>
      </w:pPr>
      <w:rPr>
        <w:rFonts w:ascii="Courier New" w:hAnsi="Courier New" w:hint="default"/>
      </w:rPr>
    </w:lvl>
    <w:lvl w:ilvl="8" w:tplc="F1DABDA4">
      <w:start w:val="1"/>
      <w:numFmt w:val="bullet"/>
      <w:lvlText w:val=""/>
      <w:lvlJc w:val="left"/>
      <w:pPr>
        <w:ind w:left="6480" w:hanging="360"/>
      </w:pPr>
      <w:rPr>
        <w:rFonts w:ascii="Wingdings" w:hAnsi="Wingdings" w:hint="default"/>
      </w:rPr>
    </w:lvl>
  </w:abstractNum>
  <w:num w:numId="1" w16cid:durableId="629435632">
    <w:abstractNumId w:val="55"/>
  </w:num>
  <w:num w:numId="2" w16cid:durableId="1989168356">
    <w:abstractNumId w:val="173"/>
  </w:num>
  <w:num w:numId="3" w16cid:durableId="1967538103">
    <w:abstractNumId w:val="165"/>
  </w:num>
  <w:num w:numId="4" w16cid:durableId="894197914">
    <w:abstractNumId w:val="86"/>
  </w:num>
  <w:num w:numId="5" w16cid:durableId="965085042">
    <w:abstractNumId w:val="114"/>
  </w:num>
  <w:num w:numId="6" w16cid:durableId="1176993603">
    <w:abstractNumId w:val="66"/>
  </w:num>
  <w:num w:numId="7" w16cid:durableId="25567027">
    <w:abstractNumId w:val="25"/>
  </w:num>
  <w:num w:numId="8" w16cid:durableId="1794010155">
    <w:abstractNumId w:val="179"/>
  </w:num>
  <w:num w:numId="9" w16cid:durableId="1494949218">
    <w:abstractNumId w:val="79"/>
  </w:num>
  <w:num w:numId="10" w16cid:durableId="835072939">
    <w:abstractNumId w:val="131"/>
  </w:num>
  <w:num w:numId="11" w16cid:durableId="1662267365">
    <w:abstractNumId w:val="182"/>
  </w:num>
  <w:num w:numId="12" w16cid:durableId="578829727">
    <w:abstractNumId w:val="6"/>
  </w:num>
  <w:num w:numId="13" w16cid:durableId="1200317524">
    <w:abstractNumId w:val="188"/>
  </w:num>
  <w:num w:numId="14" w16cid:durableId="1504710508">
    <w:abstractNumId w:val="189"/>
  </w:num>
  <w:num w:numId="15" w16cid:durableId="788083171">
    <w:abstractNumId w:val="126"/>
  </w:num>
  <w:num w:numId="16" w16cid:durableId="1506287493">
    <w:abstractNumId w:val="146"/>
  </w:num>
  <w:num w:numId="17" w16cid:durableId="2007705688">
    <w:abstractNumId w:val="17"/>
  </w:num>
  <w:num w:numId="18" w16cid:durableId="561643854">
    <w:abstractNumId w:val="214"/>
  </w:num>
  <w:num w:numId="19" w16cid:durableId="1040396723">
    <w:abstractNumId w:val="22"/>
  </w:num>
  <w:num w:numId="20" w16cid:durableId="1669163996">
    <w:abstractNumId w:val="123"/>
  </w:num>
  <w:num w:numId="21" w16cid:durableId="213778952">
    <w:abstractNumId w:val="50"/>
  </w:num>
  <w:num w:numId="22" w16cid:durableId="1637493073">
    <w:abstractNumId w:val="5"/>
  </w:num>
  <w:num w:numId="23" w16cid:durableId="1864897562">
    <w:abstractNumId w:val="44"/>
  </w:num>
  <w:num w:numId="24" w16cid:durableId="1691174707">
    <w:abstractNumId w:val="102"/>
  </w:num>
  <w:num w:numId="25" w16cid:durableId="1351103090">
    <w:abstractNumId w:val="71"/>
  </w:num>
  <w:num w:numId="26" w16cid:durableId="520897743">
    <w:abstractNumId w:val="115"/>
  </w:num>
  <w:num w:numId="27" w16cid:durableId="1204290823">
    <w:abstractNumId w:val="163"/>
  </w:num>
  <w:num w:numId="28" w16cid:durableId="170878334">
    <w:abstractNumId w:val="41"/>
  </w:num>
  <w:num w:numId="29" w16cid:durableId="1830244815">
    <w:abstractNumId w:val="1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9512685">
    <w:abstractNumId w:val="216"/>
  </w:num>
  <w:num w:numId="31" w16cid:durableId="2141872927">
    <w:abstractNumId w:val="16"/>
  </w:num>
  <w:num w:numId="32" w16cid:durableId="1802992897">
    <w:abstractNumId w:val="35"/>
  </w:num>
  <w:num w:numId="33" w16cid:durableId="611323083">
    <w:abstractNumId w:val="197"/>
  </w:num>
  <w:num w:numId="34" w16cid:durableId="692417717">
    <w:abstractNumId w:val="194"/>
  </w:num>
  <w:num w:numId="35" w16cid:durableId="1805732250">
    <w:abstractNumId w:val="56"/>
  </w:num>
  <w:num w:numId="36" w16cid:durableId="133303812">
    <w:abstractNumId w:val="175"/>
  </w:num>
  <w:num w:numId="37" w16cid:durableId="1847209123">
    <w:abstractNumId w:val="29"/>
    <w:lvlOverride w:ilvl="0">
      <w:startOverride w:val="1"/>
    </w:lvlOverride>
    <w:lvlOverride w:ilvl="1"/>
    <w:lvlOverride w:ilvl="2"/>
    <w:lvlOverride w:ilvl="3"/>
    <w:lvlOverride w:ilvl="4"/>
    <w:lvlOverride w:ilvl="5"/>
    <w:lvlOverride w:ilvl="6"/>
    <w:lvlOverride w:ilvl="7"/>
    <w:lvlOverride w:ilvl="8"/>
  </w:num>
  <w:num w:numId="38" w16cid:durableId="726533138">
    <w:abstractNumId w:val="38"/>
  </w:num>
  <w:num w:numId="39" w16cid:durableId="1349797656">
    <w:abstractNumId w:val="30"/>
  </w:num>
  <w:num w:numId="40" w16cid:durableId="962342866">
    <w:abstractNumId w:val="108"/>
  </w:num>
  <w:num w:numId="41" w16cid:durableId="1264456221">
    <w:abstractNumId w:val="62"/>
  </w:num>
  <w:num w:numId="42" w16cid:durableId="1377701229">
    <w:abstractNumId w:val="177"/>
  </w:num>
  <w:num w:numId="43" w16cid:durableId="1687250237">
    <w:abstractNumId w:val="36"/>
  </w:num>
  <w:num w:numId="44" w16cid:durableId="1812211980">
    <w:abstractNumId w:val="193"/>
  </w:num>
  <w:num w:numId="45" w16cid:durableId="1537963500">
    <w:abstractNumId w:val="111"/>
  </w:num>
  <w:num w:numId="46" w16cid:durableId="937099884">
    <w:abstractNumId w:val="160"/>
  </w:num>
  <w:num w:numId="47" w16cid:durableId="1652906102">
    <w:abstractNumId w:val="171"/>
  </w:num>
  <w:num w:numId="48" w16cid:durableId="1401368974">
    <w:abstractNumId w:val="207"/>
  </w:num>
  <w:num w:numId="49" w16cid:durableId="476337207">
    <w:abstractNumId w:val="213"/>
  </w:num>
  <w:num w:numId="50" w16cid:durableId="930309225">
    <w:abstractNumId w:val="170"/>
  </w:num>
  <w:num w:numId="51" w16cid:durableId="18910650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41804736">
    <w:abstractNumId w:val="37"/>
  </w:num>
  <w:num w:numId="53" w16cid:durableId="269123134">
    <w:abstractNumId w:val="218"/>
  </w:num>
  <w:num w:numId="54" w16cid:durableId="266625259">
    <w:abstractNumId w:val="178"/>
  </w:num>
  <w:num w:numId="55" w16cid:durableId="1967198296">
    <w:abstractNumId w:val="142"/>
  </w:num>
  <w:num w:numId="56" w16cid:durableId="1988439963">
    <w:abstractNumId w:val="0"/>
  </w:num>
  <w:num w:numId="57" w16cid:durableId="918635297">
    <w:abstractNumId w:val="12"/>
  </w:num>
  <w:num w:numId="58" w16cid:durableId="643048265">
    <w:abstractNumId w:val="195"/>
  </w:num>
  <w:num w:numId="59" w16cid:durableId="1023020901">
    <w:abstractNumId w:val="88"/>
  </w:num>
  <w:num w:numId="60" w16cid:durableId="2076315598">
    <w:abstractNumId w:val="1"/>
  </w:num>
  <w:num w:numId="61" w16cid:durableId="1723097152">
    <w:abstractNumId w:val="48"/>
  </w:num>
  <w:num w:numId="62" w16cid:durableId="1262883753">
    <w:abstractNumId w:val="52"/>
  </w:num>
  <w:num w:numId="63" w16cid:durableId="637340076">
    <w:abstractNumId w:val="14"/>
  </w:num>
  <w:num w:numId="64" w16cid:durableId="693267214">
    <w:abstractNumId w:val="219"/>
  </w:num>
  <w:num w:numId="65" w16cid:durableId="498547322">
    <w:abstractNumId w:val="2"/>
  </w:num>
  <w:num w:numId="66" w16cid:durableId="640235113">
    <w:abstractNumId w:val="87"/>
  </w:num>
  <w:num w:numId="67" w16cid:durableId="1263105154">
    <w:abstractNumId w:val="47"/>
  </w:num>
  <w:num w:numId="68" w16cid:durableId="1128474292">
    <w:abstractNumId w:val="208"/>
  </w:num>
  <w:num w:numId="69" w16cid:durableId="247619235">
    <w:abstractNumId w:val="200"/>
  </w:num>
  <w:num w:numId="70" w16cid:durableId="371811963">
    <w:abstractNumId w:val="180"/>
  </w:num>
  <w:num w:numId="71" w16cid:durableId="1009064555">
    <w:abstractNumId w:val="3"/>
  </w:num>
  <w:num w:numId="72" w16cid:durableId="901600456">
    <w:abstractNumId w:val="137"/>
  </w:num>
  <w:num w:numId="73" w16cid:durableId="327944230">
    <w:abstractNumId w:val="176"/>
  </w:num>
  <w:num w:numId="74" w16cid:durableId="1729644764">
    <w:abstractNumId w:val="127"/>
  </w:num>
  <w:num w:numId="75" w16cid:durableId="46296739">
    <w:abstractNumId w:val="116"/>
  </w:num>
  <w:num w:numId="76" w16cid:durableId="841772229">
    <w:abstractNumId w:val="77"/>
  </w:num>
  <w:num w:numId="77" w16cid:durableId="376008552">
    <w:abstractNumId w:val="40"/>
  </w:num>
  <w:num w:numId="78" w16cid:durableId="220680215">
    <w:abstractNumId w:val="70"/>
  </w:num>
  <w:num w:numId="79" w16cid:durableId="809251910">
    <w:abstractNumId w:val="109"/>
  </w:num>
  <w:num w:numId="80" w16cid:durableId="1985160693">
    <w:abstractNumId w:val="166"/>
  </w:num>
  <w:num w:numId="81" w16cid:durableId="28651666">
    <w:abstractNumId w:val="150"/>
  </w:num>
  <w:num w:numId="82" w16cid:durableId="1102146802">
    <w:abstractNumId w:val="100"/>
  </w:num>
  <w:num w:numId="83" w16cid:durableId="657617179">
    <w:abstractNumId w:val="121"/>
  </w:num>
  <w:num w:numId="84" w16cid:durableId="169105862">
    <w:abstractNumId w:val="61"/>
  </w:num>
  <w:num w:numId="85" w16cid:durableId="1534609712">
    <w:abstractNumId w:val="145"/>
  </w:num>
  <w:num w:numId="86" w16cid:durableId="1256211987">
    <w:abstractNumId w:val="82"/>
  </w:num>
  <w:num w:numId="87" w16cid:durableId="272514923">
    <w:abstractNumId w:val="60"/>
  </w:num>
  <w:num w:numId="88" w16cid:durableId="2979164">
    <w:abstractNumId w:val="157"/>
  </w:num>
  <w:num w:numId="89" w16cid:durableId="558319985">
    <w:abstractNumId w:val="211"/>
  </w:num>
  <w:num w:numId="90" w16cid:durableId="1598364225">
    <w:abstractNumId w:val="43"/>
  </w:num>
  <w:num w:numId="91" w16cid:durableId="1743219042">
    <w:abstractNumId w:val="205"/>
  </w:num>
  <w:num w:numId="92" w16cid:durableId="1249654340">
    <w:abstractNumId w:val="172"/>
  </w:num>
  <w:num w:numId="93" w16cid:durableId="1942177761">
    <w:abstractNumId w:val="174"/>
  </w:num>
  <w:num w:numId="94" w16cid:durableId="234436826">
    <w:abstractNumId w:val="85"/>
  </w:num>
  <w:num w:numId="95" w16cid:durableId="337268182">
    <w:abstractNumId w:val="34"/>
  </w:num>
  <w:num w:numId="96" w16cid:durableId="172113946">
    <w:abstractNumId w:val="80"/>
  </w:num>
  <w:num w:numId="97" w16cid:durableId="7607604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77426736">
    <w:abstractNumId w:val="97"/>
  </w:num>
  <w:num w:numId="99" w16cid:durableId="18358407">
    <w:abstractNumId w:val="167"/>
  </w:num>
  <w:num w:numId="100" w16cid:durableId="1371224653">
    <w:abstractNumId w:val="110"/>
  </w:num>
  <w:num w:numId="101" w16cid:durableId="1648049353">
    <w:abstractNumId w:val="23"/>
  </w:num>
  <w:num w:numId="102" w16cid:durableId="1892306743">
    <w:abstractNumId w:val="73"/>
  </w:num>
  <w:num w:numId="103" w16cid:durableId="667634601">
    <w:abstractNumId w:val="161"/>
  </w:num>
  <w:num w:numId="104" w16cid:durableId="215775290">
    <w:abstractNumId w:val="91"/>
  </w:num>
  <w:num w:numId="105" w16cid:durableId="1932351478">
    <w:abstractNumId w:val="83"/>
  </w:num>
  <w:num w:numId="106" w16cid:durableId="2080319289">
    <w:abstractNumId w:val="11"/>
  </w:num>
  <w:num w:numId="107" w16cid:durableId="2007004539">
    <w:abstractNumId w:val="103"/>
  </w:num>
  <w:num w:numId="108" w16cid:durableId="889610696">
    <w:abstractNumId w:val="94"/>
  </w:num>
  <w:num w:numId="109" w16cid:durableId="885533568">
    <w:abstractNumId w:val="119"/>
  </w:num>
  <w:num w:numId="110" w16cid:durableId="1666326238">
    <w:abstractNumId w:val="49"/>
  </w:num>
  <w:num w:numId="111" w16cid:durableId="1380202920">
    <w:abstractNumId w:val="154"/>
  </w:num>
  <w:num w:numId="112" w16cid:durableId="2070879259">
    <w:abstractNumId w:val="140"/>
  </w:num>
  <w:num w:numId="113" w16cid:durableId="503394661">
    <w:abstractNumId w:val="20"/>
  </w:num>
  <w:num w:numId="114" w16cid:durableId="1638143692">
    <w:abstractNumId w:val="136"/>
  </w:num>
  <w:num w:numId="115" w16cid:durableId="881551456">
    <w:abstractNumId w:val="159"/>
  </w:num>
  <w:num w:numId="116" w16cid:durableId="1021856422">
    <w:abstractNumId w:val="31"/>
  </w:num>
  <w:num w:numId="117" w16cid:durableId="484590277">
    <w:abstractNumId w:val="215"/>
  </w:num>
  <w:num w:numId="118" w16cid:durableId="667172032">
    <w:abstractNumId w:val="54"/>
  </w:num>
  <w:num w:numId="119" w16cid:durableId="1846086794">
    <w:abstractNumId w:val="199"/>
  </w:num>
  <w:num w:numId="120" w16cid:durableId="427234913">
    <w:abstractNumId w:val="51"/>
  </w:num>
  <w:num w:numId="121" w16cid:durableId="1415276480">
    <w:abstractNumId w:val="212"/>
  </w:num>
  <w:num w:numId="122" w16cid:durableId="1572034893">
    <w:abstractNumId w:val="33"/>
  </w:num>
  <w:num w:numId="123" w16cid:durableId="1061367787">
    <w:abstractNumId w:val="133"/>
  </w:num>
  <w:num w:numId="124" w16cid:durableId="888881711">
    <w:abstractNumId w:val="196"/>
  </w:num>
  <w:num w:numId="125" w16cid:durableId="1256673775">
    <w:abstractNumId w:val="8"/>
  </w:num>
  <w:num w:numId="126" w16cid:durableId="1021128284">
    <w:abstractNumId w:val="76"/>
  </w:num>
  <w:num w:numId="127" w16cid:durableId="2075590725">
    <w:abstractNumId w:val="151"/>
  </w:num>
  <w:num w:numId="128" w16cid:durableId="117725608">
    <w:abstractNumId w:val="192"/>
  </w:num>
  <w:num w:numId="129" w16cid:durableId="103422409">
    <w:abstractNumId w:val="99"/>
  </w:num>
  <w:num w:numId="130" w16cid:durableId="1980381251">
    <w:abstractNumId w:val="96"/>
  </w:num>
  <w:num w:numId="131" w16cid:durableId="1821464198">
    <w:abstractNumId w:val="201"/>
  </w:num>
  <w:num w:numId="132" w16cid:durableId="1209030729">
    <w:abstractNumId w:val="132"/>
  </w:num>
  <w:num w:numId="133" w16cid:durableId="826940672">
    <w:abstractNumId w:val="143"/>
  </w:num>
  <w:num w:numId="134" w16cid:durableId="1019703241">
    <w:abstractNumId w:val="155"/>
  </w:num>
  <w:num w:numId="135" w16cid:durableId="1942686069">
    <w:abstractNumId w:val="138"/>
  </w:num>
  <w:num w:numId="136" w16cid:durableId="12109907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810172608">
    <w:abstractNumId w:val="42"/>
  </w:num>
  <w:num w:numId="138" w16cid:durableId="2094744306">
    <w:abstractNumId w:val="156"/>
  </w:num>
  <w:num w:numId="139" w16cid:durableId="968516445">
    <w:abstractNumId w:val="64"/>
  </w:num>
  <w:num w:numId="140" w16cid:durableId="937369357">
    <w:abstractNumId w:val="89"/>
  </w:num>
  <w:num w:numId="141" w16cid:durableId="1704133781">
    <w:abstractNumId w:val="39"/>
  </w:num>
  <w:num w:numId="142" w16cid:durableId="1433209412">
    <w:abstractNumId w:val="74"/>
  </w:num>
  <w:num w:numId="143" w16cid:durableId="1756172915">
    <w:abstractNumId w:val="28"/>
  </w:num>
  <w:num w:numId="144" w16cid:durableId="703091233">
    <w:abstractNumId w:val="217"/>
  </w:num>
  <w:num w:numId="145" w16cid:durableId="1011375015">
    <w:abstractNumId w:val="186"/>
  </w:num>
  <w:num w:numId="146" w16cid:durableId="1222474234">
    <w:abstractNumId w:val="158"/>
    <w:lvlOverride w:ilvl="0">
      <w:startOverride w:val="1"/>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035955176">
    <w:abstractNumId w:val="220"/>
    <w:lvlOverride w:ilvl="0">
      <w:startOverride w:val="1"/>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19578897">
    <w:abstractNumId w:val="221"/>
  </w:num>
  <w:num w:numId="149" w16cid:durableId="327942948">
    <w:abstractNumId w:val="181"/>
  </w:num>
  <w:num w:numId="150" w16cid:durableId="1007713702">
    <w:abstractNumId w:val="191"/>
  </w:num>
  <w:num w:numId="151" w16cid:durableId="377362975">
    <w:abstractNumId w:val="122"/>
  </w:num>
  <w:num w:numId="152" w16cid:durableId="1085416800">
    <w:abstractNumId w:val="117"/>
  </w:num>
  <w:num w:numId="153" w16cid:durableId="1062682296">
    <w:abstractNumId w:val="15"/>
  </w:num>
  <w:num w:numId="154" w16cid:durableId="690449640">
    <w:abstractNumId w:val="118"/>
  </w:num>
  <w:num w:numId="155" w16cid:durableId="125784539">
    <w:abstractNumId w:val="185"/>
  </w:num>
  <w:num w:numId="156" w16cid:durableId="714937884">
    <w:abstractNumId w:val="128"/>
  </w:num>
  <w:num w:numId="157" w16cid:durableId="751858772">
    <w:abstractNumId w:val="191"/>
  </w:num>
  <w:num w:numId="158" w16cid:durableId="2064985437">
    <w:abstractNumId w:val="181"/>
  </w:num>
  <w:num w:numId="159" w16cid:durableId="1812357387">
    <w:abstractNumId w:val="184"/>
  </w:num>
  <w:num w:numId="160" w16cid:durableId="1693266560">
    <w:abstractNumId w:val="210"/>
  </w:num>
  <w:num w:numId="161" w16cid:durableId="2004895307">
    <w:abstractNumId w:val="58"/>
  </w:num>
  <w:num w:numId="162" w16cid:durableId="527913804">
    <w:abstractNumId w:val="59"/>
  </w:num>
  <w:num w:numId="163" w16cid:durableId="1265190461">
    <w:abstractNumId w:val="125"/>
  </w:num>
  <w:num w:numId="164" w16cid:durableId="2050717613">
    <w:abstractNumId w:val="46"/>
  </w:num>
  <w:num w:numId="165" w16cid:durableId="2125223723">
    <w:abstractNumId w:val="45"/>
  </w:num>
  <w:num w:numId="166" w16cid:durableId="448545991">
    <w:abstractNumId w:val="135"/>
  </w:num>
  <w:num w:numId="167" w16cid:durableId="1885175302">
    <w:abstractNumId w:val="124"/>
  </w:num>
  <w:num w:numId="168" w16cid:durableId="562378090">
    <w:abstractNumId w:val="90"/>
  </w:num>
  <w:num w:numId="169" w16cid:durableId="2002465938">
    <w:abstractNumId w:val="93"/>
  </w:num>
  <w:num w:numId="170" w16cid:durableId="813765578">
    <w:abstractNumId w:val="169"/>
  </w:num>
  <w:num w:numId="171" w16cid:durableId="507447323">
    <w:abstractNumId w:val="32"/>
  </w:num>
  <w:num w:numId="172" w16cid:durableId="1982614087">
    <w:abstractNumId w:val="105"/>
  </w:num>
  <w:num w:numId="173" w16cid:durableId="845901607">
    <w:abstractNumId w:val="67"/>
  </w:num>
  <w:num w:numId="174" w16cid:durableId="821387898">
    <w:abstractNumId w:val="162"/>
  </w:num>
  <w:num w:numId="175" w16cid:durableId="285427405">
    <w:abstractNumId w:val="144"/>
  </w:num>
  <w:num w:numId="176" w16cid:durableId="1954484126">
    <w:abstractNumId w:val="18"/>
  </w:num>
  <w:num w:numId="177" w16cid:durableId="125587913">
    <w:abstractNumId w:val="222"/>
  </w:num>
  <w:num w:numId="178" w16cid:durableId="1110318742">
    <w:abstractNumId w:val="141"/>
  </w:num>
  <w:num w:numId="179" w16cid:durableId="973174789">
    <w:abstractNumId w:val="147"/>
  </w:num>
  <w:num w:numId="180" w16cid:durableId="394864401">
    <w:abstractNumId w:val="78"/>
  </w:num>
  <w:num w:numId="181" w16cid:durableId="1841266143">
    <w:abstractNumId w:val="113"/>
  </w:num>
  <w:num w:numId="182" w16cid:durableId="311373065">
    <w:abstractNumId w:val="130"/>
  </w:num>
  <w:num w:numId="183" w16cid:durableId="562565210">
    <w:abstractNumId w:val="183"/>
  </w:num>
  <w:num w:numId="184" w16cid:durableId="914895513">
    <w:abstractNumId w:val="13"/>
  </w:num>
  <w:num w:numId="185" w16cid:durableId="101152405">
    <w:abstractNumId w:val="21"/>
  </w:num>
  <w:num w:numId="186" w16cid:durableId="391120509">
    <w:abstractNumId w:val="168"/>
  </w:num>
  <w:num w:numId="187" w16cid:durableId="1577007957">
    <w:abstractNumId w:val="190"/>
  </w:num>
  <w:num w:numId="188" w16cid:durableId="1760515312">
    <w:abstractNumId w:val="95"/>
  </w:num>
  <w:num w:numId="189" w16cid:durableId="1402829174">
    <w:abstractNumId w:val="206"/>
  </w:num>
  <w:num w:numId="190" w16cid:durableId="1388337154">
    <w:abstractNumId w:val="153"/>
  </w:num>
  <w:num w:numId="191" w16cid:durableId="11077909">
    <w:abstractNumId w:val="101"/>
  </w:num>
  <w:num w:numId="192" w16cid:durableId="450049410">
    <w:abstractNumId w:val="107"/>
  </w:num>
  <w:num w:numId="193" w16cid:durableId="706099437">
    <w:abstractNumId w:val="75"/>
  </w:num>
  <w:num w:numId="194" w16cid:durableId="1870101252">
    <w:abstractNumId w:val="164"/>
  </w:num>
  <w:num w:numId="195" w16cid:durableId="898439039">
    <w:abstractNumId w:val="106"/>
  </w:num>
  <w:num w:numId="196" w16cid:durableId="1691878935">
    <w:abstractNumId w:val="148"/>
  </w:num>
  <w:num w:numId="197" w16cid:durableId="2753079">
    <w:abstractNumId w:val="26"/>
  </w:num>
  <w:num w:numId="198" w16cid:durableId="2061898119">
    <w:abstractNumId w:val="57"/>
  </w:num>
  <w:num w:numId="199" w16cid:durableId="2030913330">
    <w:abstractNumId w:val="75"/>
  </w:num>
  <w:num w:numId="200" w16cid:durableId="1244102487">
    <w:abstractNumId w:val="106"/>
  </w:num>
  <w:num w:numId="201" w16cid:durableId="1751342376">
    <w:abstractNumId w:val="209"/>
  </w:num>
  <w:num w:numId="202" w16cid:durableId="226653867">
    <w:abstractNumId w:val="120"/>
  </w:num>
  <w:num w:numId="203" w16cid:durableId="1082482630">
    <w:abstractNumId w:val="98"/>
  </w:num>
  <w:num w:numId="204" w16cid:durableId="915087573">
    <w:abstractNumId w:val="53"/>
  </w:num>
  <w:num w:numId="205" w16cid:durableId="185024556">
    <w:abstractNumId w:val="72"/>
  </w:num>
  <w:num w:numId="206" w16cid:durableId="1772700217">
    <w:abstractNumId w:val="63"/>
  </w:num>
  <w:num w:numId="207" w16cid:durableId="194927534">
    <w:abstractNumId w:val="198"/>
  </w:num>
  <w:num w:numId="208" w16cid:durableId="844435893">
    <w:abstractNumId w:val="104"/>
  </w:num>
  <w:num w:numId="209" w16cid:durableId="1761027949">
    <w:abstractNumId w:val="112"/>
  </w:num>
  <w:num w:numId="210" w16cid:durableId="89741834">
    <w:abstractNumId w:val="4"/>
  </w:num>
  <w:num w:numId="211" w16cid:durableId="135686903">
    <w:abstractNumId w:val="69"/>
  </w:num>
  <w:num w:numId="212" w16cid:durableId="1704791767">
    <w:abstractNumId w:val="203"/>
  </w:num>
  <w:num w:numId="213" w16cid:durableId="1892843432">
    <w:abstractNumId w:val="223"/>
  </w:num>
  <w:num w:numId="214" w16cid:durableId="472646426">
    <w:abstractNumId w:val="139"/>
  </w:num>
  <w:num w:numId="215" w16cid:durableId="50270380">
    <w:abstractNumId w:val="24"/>
  </w:num>
  <w:num w:numId="216" w16cid:durableId="726688083">
    <w:abstractNumId w:val="7"/>
  </w:num>
  <w:num w:numId="217" w16cid:durableId="1013653152">
    <w:abstractNumId w:val="92"/>
  </w:num>
  <w:num w:numId="218" w16cid:durableId="755711036">
    <w:abstractNumId w:val="202"/>
  </w:num>
  <w:num w:numId="219" w16cid:durableId="650210327">
    <w:abstractNumId w:val="204"/>
  </w:num>
  <w:num w:numId="220" w16cid:durableId="1116216854">
    <w:abstractNumId w:val="27"/>
  </w:num>
  <w:num w:numId="221" w16cid:durableId="1767455388">
    <w:abstractNumId w:val="84"/>
  </w:num>
  <w:num w:numId="222" w16cid:durableId="625431142">
    <w:abstractNumId w:val="129"/>
  </w:num>
  <w:num w:numId="223" w16cid:durableId="1602491967">
    <w:abstractNumId w:val="10"/>
  </w:num>
  <w:num w:numId="224" w16cid:durableId="2130778515">
    <w:abstractNumId w:val="81"/>
  </w:num>
  <w:num w:numId="225" w16cid:durableId="202136430">
    <w:abstractNumId w:val="9"/>
  </w:num>
  <w:num w:numId="226" w16cid:durableId="1172649010">
    <w:abstractNumId w:val="187"/>
  </w:num>
  <w:num w:numId="227" w16cid:durableId="746419465">
    <w:abstractNumId w:val="149"/>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de-DE" w:vendorID="64" w:dllVersion="6" w:nlCheck="1" w:checkStyle="0"/>
  <w:activeWritingStyle w:appName="MSWord" w:lang="en-IE" w:vendorID="64" w:dllVersion="6" w:nlCheck="1" w:checkStyle="1"/>
  <w:activeWritingStyle w:appName="MSWord" w:lang="en-GB" w:vendorID="64" w:dllVersion="6" w:nlCheck="1" w:checkStyle="1"/>
  <w:activeWritingStyle w:appName="MSWord" w:lang="fr-BE" w:vendorID="64" w:dllVersion="6" w:nlCheck="1" w:checkStyle="0"/>
  <w:activeWritingStyle w:appName="MSWord" w:lang="en-AU"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uncil" w:val="true"/>
    <w:docVar w:name="CoverPageOnWordDoc" w:val="true"/>
    <w:docVar w:name="DocStatus" w:val="Green"/>
    <w:docVar w:name="DocuWriteMetaData" w:val="&lt;metadataset docuwriteversion=&quot;4.8.2&quot; technicalblockguid=&quot;555381658455022455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7-07&lt;/text&gt;_x000d__x000a_  &lt;/metadata&gt;_x000d__x000a_  &lt;metadata key=&quot;md_Prefix&quot;&gt;_x000d__x000a_    &lt;text&gt;&lt;/text&gt;_x000d__x000a_  &lt;/metadata&gt;_x000d__x000a_  &lt;metadata key=&quot;md_DocumentNumber&quot;&gt;_x000d__x000a_    &lt;text&gt;11624&lt;/text&gt;_x000d__x000a_  &lt;/metadata&gt;_x000d__x000a_  &lt;metadata key=&quot;md_YearDocumentNumber&quot;&gt;_x000d__x000a_    &lt;text&gt;2023&lt;/text&gt;_x000d__x000a_  &lt;/metadata&gt;_x000d__x000a_  &lt;metadata key=&quot;md_Suffixes&quot;&gt;_x000d__x000a_    &lt;text&gt;ADD 6&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NV 826&lt;/text&gt;_x000d__x000a_      &lt;text&gt;COMPET 739&lt;/text&gt;_x000d__x000a_      &lt;text&gt;SAN 448&lt;/text&gt;_x000d__x000a_      &lt;text&gt;MI 600&lt;/text&gt;_x000d__x000a_      &lt;text&gt;IND 374&lt;/text&gt;_x000d__x000a_      &lt;text&gt;CONSOM 267&lt;/text&gt;_x000d__x000a_      &lt;text&gt;ENT 158&lt;/text&gt;_x000d__x000a_      &lt;text&gt;FOOD 57&lt;/text&gt;_x000d__x000a_      &lt;text&gt;AGRI 383&lt;/text&gt;_x000d__x000a_      &lt;text&gt;CODEC 132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234(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7-0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3) 421 final - part 4/4&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ccompanying the document Directive of the European Parliament and of the Council amending Directive 2008/98/EC on waste&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 xml:space=&quot;preserve&quot;&amp;gt;COMMISSION STAFF WORKING DOCUMENT &amp;lt;/Paragraph&amp;gt;&amp;lt;Paragraph&amp;gt;IMPACT ASSESSMENT REPORT Accompanying the document Directive of the European Parliament and of the Council amending Directive 2008/98/EC on waste&amp;lt;/Paragraph&amp;gt;&amp;lt;/FlowDocument&amp;gt;&lt;/xaml&gt;_x000d__x000a_  &lt;/metadata&gt;_x000d__x000a_  &lt;metadata key=&quot;md_SubjectFootnote&quot; /&gt;_x000d__x000a_  &lt;metadata key=&quot;md_DG&quot;&gt;_x000d__x000a_    &lt;text&gt;TREE.1.A&lt;/text&gt;_x000d__x000a_  &lt;/metadata&gt;_x000d__x000a_  &lt;metadata key=&quot;md_Initials&quot;&gt;_x000d__x000a_    &lt;text&gt;PHL/bsl&lt;/text&gt;_x000d__x000a_  &lt;/metadata&gt;_x000d__x000a_  &lt;metadata key=&quot;md_SensitivityLabel&quot;&gt;_x000d__x000a_    &lt;basicdatatype&gt;_x000d__x000a_      &lt;sensitivity_label key=&quot;senslabel_01&quot; text=&quot;PUBLIC&quot; labelid=&quot;af60b174-6478-47f9-866e-33f097bb6603&quot; siteid=&quot;03ad1c97-0a4d-4e82-8f93-27291a6a0767&quot; isdefault=&quot;fals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ccompanying the document _x000d__x000a_Directive of the European Parliament and of the Council _x000d__x000a_amending Directive 2008/98/EC on wast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A2D57099-D64D-4A57-9137-0B304B609006"/>
    <w:docVar w:name="LW_COVERPAGE_TYPE" w:val="1"/>
    <w:docVar w:name="LW_CROSSREFERENCE" w:val="{COM(2023) 420 final} - {SEC(2023) 420 final} - {SWD(2023) 420 final} - {SWD(2023) 422 final}"/>
    <w:docVar w:name="LW_DocType" w:val="NORMAL"/>
    <w:docVar w:name="LW_EMISSION" w:val="5.7.2023"/>
    <w:docVar w:name="LW_EMISSION_ISODATE" w:val="2023-07-0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8/98/EC on waste"/>
    <w:docVar w:name="LW_PART_NBR" w:val="4"/>
    <w:docVar w:name="LW_PART_NBR_TOTAL" w:val="4"/>
    <w:docVar w:name="LW_REF.INST.NEW" w:val="SWD"/>
    <w:docVar w:name="LW_REF.INST.NEW_ADOPTED" w:val="final"/>
    <w:docVar w:name="LW_REF.INST.NEW_TEXT" w:val="(2023) 4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Directive of the European Parliament and of the Council"/>
    <w:docVar w:name="LwApiVersions" w:val="LW4CoDe 1.23.2.0; LW 8.0, Build 20211117"/>
  </w:docVars>
  <w:rsids>
    <w:rsidRoot w:val="006B087E"/>
    <w:rsid w:val="00000077"/>
    <w:rsid w:val="000000E4"/>
    <w:rsid w:val="0000013C"/>
    <w:rsid w:val="000002CC"/>
    <w:rsid w:val="00000327"/>
    <w:rsid w:val="0000043B"/>
    <w:rsid w:val="000005C2"/>
    <w:rsid w:val="0000068E"/>
    <w:rsid w:val="000006A2"/>
    <w:rsid w:val="0000070A"/>
    <w:rsid w:val="0000076B"/>
    <w:rsid w:val="0000080E"/>
    <w:rsid w:val="00000935"/>
    <w:rsid w:val="00000B78"/>
    <w:rsid w:val="00000C80"/>
    <w:rsid w:val="00000CB9"/>
    <w:rsid w:val="00000FBF"/>
    <w:rsid w:val="000010A7"/>
    <w:rsid w:val="000010F2"/>
    <w:rsid w:val="000011F9"/>
    <w:rsid w:val="000012B5"/>
    <w:rsid w:val="000014BD"/>
    <w:rsid w:val="00001602"/>
    <w:rsid w:val="0000170B"/>
    <w:rsid w:val="00001812"/>
    <w:rsid w:val="0000193C"/>
    <w:rsid w:val="00001B3A"/>
    <w:rsid w:val="00001BCD"/>
    <w:rsid w:val="00001CFC"/>
    <w:rsid w:val="00001D06"/>
    <w:rsid w:val="00001D16"/>
    <w:rsid w:val="00001D37"/>
    <w:rsid w:val="00001D44"/>
    <w:rsid w:val="00001D4C"/>
    <w:rsid w:val="00001EFB"/>
    <w:rsid w:val="00001F66"/>
    <w:rsid w:val="0000229C"/>
    <w:rsid w:val="000025B7"/>
    <w:rsid w:val="00002614"/>
    <w:rsid w:val="00002685"/>
    <w:rsid w:val="0000276E"/>
    <w:rsid w:val="000028C7"/>
    <w:rsid w:val="00002A80"/>
    <w:rsid w:val="00002AC9"/>
    <w:rsid w:val="00002BC1"/>
    <w:rsid w:val="00002C3D"/>
    <w:rsid w:val="00002C4D"/>
    <w:rsid w:val="00002CA0"/>
    <w:rsid w:val="00002D06"/>
    <w:rsid w:val="00002DBE"/>
    <w:rsid w:val="00002E0C"/>
    <w:rsid w:val="00002E26"/>
    <w:rsid w:val="00002EB3"/>
    <w:rsid w:val="00003074"/>
    <w:rsid w:val="0000317C"/>
    <w:rsid w:val="000031A7"/>
    <w:rsid w:val="00003255"/>
    <w:rsid w:val="00003265"/>
    <w:rsid w:val="00003384"/>
    <w:rsid w:val="000033EF"/>
    <w:rsid w:val="0000352B"/>
    <w:rsid w:val="000036AF"/>
    <w:rsid w:val="00003916"/>
    <w:rsid w:val="00003A5E"/>
    <w:rsid w:val="00003D02"/>
    <w:rsid w:val="00003EAC"/>
    <w:rsid w:val="00003ED1"/>
    <w:rsid w:val="000040C0"/>
    <w:rsid w:val="0000435E"/>
    <w:rsid w:val="0000466B"/>
    <w:rsid w:val="000046EA"/>
    <w:rsid w:val="0000473F"/>
    <w:rsid w:val="0000475E"/>
    <w:rsid w:val="000048A0"/>
    <w:rsid w:val="000048F8"/>
    <w:rsid w:val="00004902"/>
    <w:rsid w:val="00004918"/>
    <w:rsid w:val="00004A51"/>
    <w:rsid w:val="00004A5A"/>
    <w:rsid w:val="00004A9C"/>
    <w:rsid w:val="00004B68"/>
    <w:rsid w:val="00004B7F"/>
    <w:rsid w:val="00004B8E"/>
    <w:rsid w:val="00004BDA"/>
    <w:rsid w:val="00004BF0"/>
    <w:rsid w:val="00004CAE"/>
    <w:rsid w:val="00004D69"/>
    <w:rsid w:val="00004E8D"/>
    <w:rsid w:val="00004ED8"/>
    <w:rsid w:val="00004F3D"/>
    <w:rsid w:val="00004F53"/>
    <w:rsid w:val="00004F78"/>
    <w:rsid w:val="00004FFD"/>
    <w:rsid w:val="0000525D"/>
    <w:rsid w:val="000053AE"/>
    <w:rsid w:val="00005497"/>
    <w:rsid w:val="0000571D"/>
    <w:rsid w:val="000057AC"/>
    <w:rsid w:val="000059CE"/>
    <w:rsid w:val="00005C4D"/>
    <w:rsid w:val="00005C75"/>
    <w:rsid w:val="00005CBB"/>
    <w:rsid w:val="00005CDB"/>
    <w:rsid w:val="00005EEF"/>
    <w:rsid w:val="00005F04"/>
    <w:rsid w:val="00005F3D"/>
    <w:rsid w:val="00006089"/>
    <w:rsid w:val="0000611F"/>
    <w:rsid w:val="00006127"/>
    <w:rsid w:val="0000623E"/>
    <w:rsid w:val="000062C2"/>
    <w:rsid w:val="000062E1"/>
    <w:rsid w:val="0000634A"/>
    <w:rsid w:val="000063D0"/>
    <w:rsid w:val="0000671E"/>
    <w:rsid w:val="00006750"/>
    <w:rsid w:val="00006762"/>
    <w:rsid w:val="000067A4"/>
    <w:rsid w:val="00006824"/>
    <w:rsid w:val="00006879"/>
    <w:rsid w:val="00006A46"/>
    <w:rsid w:val="00006AE4"/>
    <w:rsid w:val="00006AE7"/>
    <w:rsid w:val="00006B81"/>
    <w:rsid w:val="00006C90"/>
    <w:rsid w:val="00006D1C"/>
    <w:rsid w:val="00006F36"/>
    <w:rsid w:val="00006F83"/>
    <w:rsid w:val="0000706B"/>
    <w:rsid w:val="00007146"/>
    <w:rsid w:val="00007284"/>
    <w:rsid w:val="0000728F"/>
    <w:rsid w:val="0000746D"/>
    <w:rsid w:val="000074AF"/>
    <w:rsid w:val="00007712"/>
    <w:rsid w:val="000078BE"/>
    <w:rsid w:val="000078C0"/>
    <w:rsid w:val="00007998"/>
    <w:rsid w:val="00007A71"/>
    <w:rsid w:val="00007B56"/>
    <w:rsid w:val="00007DD1"/>
    <w:rsid w:val="00007DFC"/>
    <w:rsid w:val="00007E08"/>
    <w:rsid w:val="00007EE4"/>
    <w:rsid w:val="00007FC0"/>
    <w:rsid w:val="0001000B"/>
    <w:rsid w:val="000100CE"/>
    <w:rsid w:val="000100DB"/>
    <w:rsid w:val="000101A5"/>
    <w:rsid w:val="000101A7"/>
    <w:rsid w:val="00010317"/>
    <w:rsid w:val="000103F9"/>
    <w:rsid w:val="00010400"/>
    <w:rsid w:val="00010488"/>
    <w:rsid w:val="000105D5"/>
    <w:rsid w:val="00010744"/>
    <w:rsid w:val="00010849"/>
    <w:rsid w:val="0001089D"/>
    <w:rsid w:val="00010902"/>
    <w:rsid w:val="00010AC0"/>
    <w:rsid w:val="00010C7D"/>
    <w:rsid w:val="00010D76"/>
    <w:rsid w:val="00010FE9"/>
    <w:rsid w:val="0001107A"/>
    <w:rsid w:val="0001110D"/>
    <w:rsid w:val="000111E8"/>
    <w:rsid w:val="000111FE"/>
    <w:rsid w:val="0001132E"/>
    <w:rsid w:val="000113B9"/>
    <w:rsid w:val="00011422"/>
    <w:rsid w:val="0001148E"/>
    <w:rsid w:val="000114F0"/>
    <w:rsid w:val="00011621"/>
    <w:rsid w:val="000117E1"/>
    <w:rsid w:val="00011927"/>
    <w:rsid w:val="00011B77"/>
    <w:rsid w:val="00011C6C"/>
    <w:rsid w:val="00011D8C"/>
    <w:rsid w:val="00011DBE"/>
    <w:rsid w:val="00011F61"/>
    <w:rsid w:val="00011F99"/>
    <w:rsid w:val="00011FBD"/>
    <w:rsid w:val="00012042"/>
    <w:rsid w:val="00012086"/>
    <w:rsid w:val="000121CD"/>
    <w:rsid w:val="0001234C"/>
    <w:rsid w:val="00012366"/>
    <w:rsid w:val="000123A6"/>
    <w:rsid w:val="000125CF"/>
    <w:rsid w:val="000125EA"/>
    <w:rsid w:val="000126B3"/>
    <w:rsid w:val="000127E6"/>
    <w:rsid w:val="00012890"/>
    <w:rsid w:val="000128C1"/>
    <w:rsid w:val="0001295C"/>
    <w:rsid w:val="00012A12"/>
    <w:rsid w:val="00012B02"/>
    <w:rsid w:val="00012BE3"/>
    <w:rsid w:val="00012C41"/>
    <w:rsid w:val="00012C93"/>
    <w:rsid w:val="00012D62"/>
    <w:rsid w:val="00012E24"/>
    <w:rsid w:val="00013082"/>
    <w:rsid w:val="00013098"/>
    <w:rsid w:val="000130C2"/>
    <w:rsid w:val="000130EF"/>
    <w:rsid w:val="00013143"/>
    <w:rsid w:val="00013169"/>
    <w:rsid w:val="000131EB"/>
    <w:rsid w:val="00013204"/>
    <w:rsid w:val="000132F6"/>
    <w:rsid w:val="00013366"/>
    <w:rsid w:val="000133C0"/>
    <w:rsid w:val="0001351C"/>
    <w:rsid w:val="000137CB"/>
    <w:rsid w:val="00013842"/>
    <w:rsid w:val="00013AFE"/>
    <w:rsid w:val="00013B44"/>
    <w:rsid w:val="00013E13"/>
    <w:rsid w:val="00013EC3"/>
    <w:rsid w:val="00013F21"/>
    <w:rsid w:val="00013F34"/>
    <w:rsid w:val="00014097"/>
    <w:rsid w:val="0001416B"/>
    <w:rsid w:val="0001420C"/>
    <w:rsid w:val="00014397"/>
    <w:rsid w:val="000143DD"/>
    <w:rsid w:val="0001442C"/>
    <w:rsid w:val="000144AC"/>
    <w:rsid w:val="0001450E"/>
    <w:rsid w:val="00014543"/>
    <w:rsid w:val="00014606"/>
    <w:rsid w:val="0001460B"/>
    <w:rsid w:val="00014675"/>
    <w:rsid w:val="00014A37"/>
    <w:rsid w:val="00014AA1"/>
    <w:rsid w:val="00014B2A"/>
    <w:rsid w:val="00014B33"/>
    <w:rsid w:val="00014B9B"/>
    <w:rsid w:val="00014BFB"/>
    <w:rsid w:val="00014C23"/>
    <w:rsid w:val="00014C26"/>
    <w:rsid w:val="00014DA9"/>
    <w:rsid w:val="00014DD2"/>
    <w:rsid w:val="00014EBA"/>
    <w:rsid w:val="00014EC6"/>
    <w:rsid w:val="00014ECA"/>
    <w:rsid w:val="000150A4"/>
    <w:rsid w:val="00015208"/>
    <w:rsid w:val="000153E5"/>
    <w:rsid w:val="00015586"/>
    <w:rsid w:val="000155F6"/>
    <w:rsid w:val="00015652"/>
    <w:rsid w:val="00015990"/>
    <w:rsid w:val="00015A6F"/>
    <w:rsid w:val="00015B0F"/>
    <w:rsid w:val="00015E43"/>
    <w:rsid w:val="000160E9"/>
    <w:rsid w:val="00016106"/>
    <w:rsid w:val="0001637B"/>
    <w:rsid w:val="00016497"/>
    <w:rsid w:val="00016855"/>
    <w:rsid w:val="0001687C"/>
    <w:rsid w:val="00016926"/>
    <w:rsid w:val="0001699E"/>
    <w:rsid w:val="000169C8"/>
    <w:rsid w:val="000169E3"/>
    <w:rsid w:val="00016B38"/>
    <w:rsid w:val="00016BB8"/>
    <w:rsid w:val="00016C7E"/>
    <w:rsid w:val="00017275"/>
    <w:rsid w:val="000172B5"/>
    <w:rsid w:val="00017354"/>
    <w:rsid w:val="0001736B"/>
    <w:rsid w:val="00017476"/>
    <w:rsid w:val="000174B2"/>
    <w:rsid w:val="00017625"/>
    <w:rsid w:val="00017636"/>
    <w:rsid w:val="0001794E"/>
    <w:rsid w:val="00017BB6"/>
    <w:rsid w:val="00017C4E"/>
    <w:rsid w:val="00017D2B"/>
    <w:rsid w:val="00017D8A"/>
    <w:rsid w:val="00017D9D"/>
    <w:rsid w:val="0001EEA7"/>
    <w:rsid w:val="00020040"/>
    <w:rsid w:val="000202A2"/>
    <w:rsid w:val="00020425"/>
    <w:rsid w:val="00020523"/>
    <w:rsid w:val="000206CA"/>
    <w:rsid w:val="000207FA"/>
    <w:rsid w:val="00020A6B"/>
    <w:rsid w:val="00020BAA"/>
    <w:rsid w:val="00020C30"/>
    <w:rsid w:val="00020E54"/>
    <w:rsid w:val="00020F08"/>
    <w:rsid w:val="00020F8C"/>
    <w:rsid w:val="00020FD5"/>
    <w:rsid w:val="00021115"/>
    <w:rsid w:val="0002122C"/>
    <w:rsid w:val="0002132A"/>
    <w:rsid w:val="00021367"/>
    <w:rsid w:val="0002139B"/>
    <w:rsid w:val="000213B9"/>
    <w:rsid w:val="000213C7"/>
    <w:rsid w:val="00021464"/>
    <w:rsid w:val="000215A9"/>
    <w:rsid w:val="0002167A"/>
    <w:rsid w:val="0002168D"/>
    <w:rsid w:val="000216BB"/>
    <w:rsid w:val="00021726"/>
    <w:rsid w:val="000217D2"/>
    <w:rsid w:val="00021983"/>
    <w:rsid w:val="00021A68"/>
    <w:rsid w:val="00021AA3"/>
    <w:rsid w:val="00021D0F"/>
    <w:rsid w:val="00021EB2"/>
    <w:rsid w:val="000222C2"/>
    <w:rsid w:val="000223F3"/>
    <w:rsid w:val="00022481"/>
    <w:rsid w:val="000225AE"/>
    <w:rsid w:val="0002263F"/>
    <w:rsid w:val="000226C2"/>
    <w:rsid w:val="0002288C"/>
    <w:rsid w:val="0002289D"/>
    <w:rsid w:val="0002295F"/>
    <w:rsid w:val="00022A43"/>
    <w:rsid w:val="00022D79"/>
    <w:rsid w:val="00022DE1"/>
    <w:rsid w:val="00022DF0"/>
    <w:rsid w:val="00022DF7"/>
    <w:rsid w:val="00022E83"/>
    <w:rsid w:val="00022FA1"/>
    <w:rsid w:val="0002302B"/>
    <w:rsid w:val="0002307A"/>
    <w:rsid w:val="00023094"/>
    <w:rsid w:val="000231CD"/>
    <w:rsid w:val="0002337B"/>
    <w:rsid w:val="00023393"/>
    <w:rsid w:val="00023488"/>
    <w:rsid w:val="00023549"/>
    <w:rsid w:val="00023600"/>
    <w:rsid w:val="00023618"/>
    <w:rsid w:val="0002373C"/>
    <w:rsid w:val="0002382E"/>
    <w:rsid w:val="0002388C"/>
    <w:rsid w:val="0002398D"/>
    <w:rsid w:val="000239E0"/>
    <w:rsid w:val="00023A30"/>
    <w:rsid w:val="00023BFB"/>
    <w:rsid w:val="00023D6F"/>
    <w:rsid w:val="00023DAE"/>
    <w:rsid w:val="00023FFF"/>
    <w:rsid w:val="000241DD"/>
    <w:rsid w:val="00024217"/>
    <w:rsid w:val="000242CC"/>
    <w:rsid w:val="00024302"/>
    <w:rsid w:val="00024578"/>
    <w:rsid w:val="000247C2"/>
    <w:rsid w:val="000247F8"/>
    <w:rsid w:val="000248CD"/>
    <w:rsid w:val="0002492A"/>
    <w:rsid w:val="000249E4"/>
    <w:rsid w:val="00024B24"/>
    <w:rsid w:val="00024C3F"/>
    <w:rsid w:val="00024C80"/>
    <w:rsid w:val="00024D0A"/>
    <w:rsid w:val="00024D2D"/>
    <w:rsid w:val="00024D35"/>
    <w:rsid w:val="00024E05"/>
    <w:rsid w:val="00024E6E"/>
    <w:rsid w:val="000252E5"/>
    <w:rsid w:val="00025534"/>
    <w:rsid w:val="000255E3"/>
    <w:rsid w:val="000255EB"/>
    <w:rsid w:val="00025760"/>
    <w:rsid w:val="00025795"/>
    <w:rsid w:val="00025911"/>
    <w:rsid w:val="00025977"/>
    <w:rsid w:val="000259B4"/>
    <w:rsid w:val="00025B70"/>
    <w:rsid w:val="00026154"/>
    <w:rsid w:val="000261A3"/>
    <w:rsid w:val="00026378"/>
    <w:rsid w:val="0002641D"/>
    <w:rsid w:val="0002648C"/>
    <w:rsid w:val="000264BE"/>
    <w:rsid w:val="0002652A"/>
    <w:rsid w:val="000266DD"/>
    <w:rsid w:val="00026705"/>
    <w:rsid w:val="000268DE"/>
    <w:rsid w:val="00026A9F"/>
    <w:rsid w:val="00026B4B"/>
    <w:rsid w:val="00026C25"/>
    <w:rsid w:val="00026CAE"/>
    <w:rsid w:val="00026D64"/>
    <w:rsid w:val="00026DE5"/>
    <w:rsid w:val="00026E66"/>
    <w:rsid w:val="00026F79"/>
    <w:rsid w:val="00026F9F"/>
    <w:rsid w:val="00026FE5"/>
    <w:rsid w:val="00027026"/>
    <w:rsid w:val="00027137"/>
    <w:rsid w:val="000271DC"/>
    <w:rsid w:val="0002722B"/>
    <w:rsid w:val="00027321"/>
    <w:rsid w:val="000274D0"/>
    <w:rsid w:val="000275B1"/>
    <w:rsid w:val="00027730"/>
    <w:rsid w:val="00027785"/>
    <w:rsid w:val="000277DE"/>
    <w:rsid w:val="0002785C"/>
    <w:rsid w:val="000278E8"/>
    <w:rsid w:val="00027A9B"/>
    <w:rsid w:val="00027BA2"/>
    <w:rsid w:val="00027C83"/>
    <w:rsid w:val="00027D28"/>
    <w:rsid w:val="00027D52"/>
    <w:rsid w:val="00027D7F"/>
    <w:rsid w:val="00027E35"/>
    <w:rsid w:val="00027E75"/>
    <w:rsid w:val="00027E7C"/>
    <w:rsid w:val="000300B7"/>
    <w:rsid w:val="00030172"/>
    <w:rsid w:val="00030241"/>
    <w:rsid w:val="00030324"/>
    <w:rsid w:val="00030616"/>
    <w:rsid w:val="000306CD"/>
    <w:rsid w:val="0003077A"/>
    <w:rsid w:val="00030784"/>
    <w:rsid w:val="00030803"/>
    <w:rsid w:val="00030859"/>
    <w:rsid w:val="000308F8"/>
    <w:rsid w:val="00030C08"/>
    <w:rsid w:val="00030D4D"/>
    <w:rsid w:val="0003113F"/>
    <w:rsid w:val="0003133F"/>
    <w:rsid w:val="00031378"/>
    <w:rsid w:val="000313ED"/>
    <w:rsid w:val="000314CE"/>
    <w:rsid w:val="000314DB"/>
    <w:rsid w:val="00031507"/>
    <w:rsid w:val="00031537"/>
    <w:rsid w:val="0003153A"/>
    <w:rsid w:val="00031679"/>
    <w:rsid w:val="0003170B"/>
    <w:rsid w:val="00031873"/>
    <w:rsid w:val="00031984"/>
    <w:rsid w:val="00031A7F"/>
    <w:rsid w:val="00031B2D"/>
    <w:rsid w:val="00031CC1"/>
    <w:rsid w:val="00031DF2"/>
    <w:rsid w:val="00031ED8"/>
    <w:rsid w:val="000320CA"/>
    <w:rsid w:val="000321BD"/>
    <w:rsid w:val="00032314"/>
    <w:rsid w:val="0003233F"/>
    <w:rsid w:val="00032811"/>
    <w:rsid w:val="00032856"/>
    <w:rsid w:val="00032B2C"/>
    <w:rsid w:val="00032B60"/>
    <w:rsid w:val="00032B74"/>
    <w:rsid w:val="00032BA9"/>
    <w:rsid w:val="00032CE6"/>
    <w:rsid w:val="00032D68"/>
    <w:rsid w:val="00032D97"/>
    <w:rsid w:val="00032EB8"/>
    <w:rsid w:val="00032F3C"/>
    <w:rsid w:val="00032FDB"/>
    <w:rsid w:val="0003308C"/>
    <w:rsid w:val="00033143"/>
    <w:rsid w:val="00033164"/>
    <w:rsid w:val="000331B8"/>
    <w:rsid w:val="0003323D"/>
    <w:rsid w:val="000332D5"/>
    <w:rsid w:val="00033361"/>
    <w:rsid w:val="0003350C"/>
    <w:rsid w:val="00033630"/>
    <w:rsid w:val="000337E0"/>
    <w:rsid w:val="0003388A"/>
    <w:rsid w:val="00033A2B"/>
    <w:rsid w:val="00033A43"/>
    <w:rsid w:val="00033C38"/>
    <w:rsid w:val="00033E63"/>
    <w:rsid w:val="00033EBD"/>
    <w:rsid w:val="00033EC3"/>
    <w:rsid w:val="00033FE7"/>
    <w:rsid w:val="000341C3"/>
    <w:rsid w:val="000341E2"/>
    <w:rsid w:val="00034328"/>
    <w:rsid w:val="0003435E"/>
    <w:rsid w:val="000343E1"/>
    <w:rsid w:val="000344D1"/>
    <w:rsid w:val="000345FD"/>
    <w:rsid w:val="00034735"/>
    <w:rsid w:val="00034A4B"/>
    <w:rsid w:val="00034AF9"/>
    <w:rsid w:val="00034B17"/>
    <w:rsid w:val="00034B6C"/>
    <w:rsid w:val="00034DB5"/>
    <w:rsid w:val="00035066"/>
    <w:rsid w:val="0003522E"/>
    <w:rsid w:val="0003525E"/>
    <w:rsid w:val="000353E7"/>
    <w:rsid w:val="000353F1"/>
    <w:rsid w:val="000354C7"/>
    <w:rsid w:val="000358DA"/>
    <w:rsid w:val="00035909"/>
    <w:rsid w:val="0003597A"/>
    <w:rsid w:val="00035AB4"/>
    <w:rsid w:val="00035B0F"/>
    <w:rsid w:val="00035C64"/>
    <w:rsid w:val="00035E42"/>
    <w:rsid w:val="00035E4B"/>
    <w:rsid w:val="00035ED5"/>
    <w:rsid w:val="00035F9B"/>
    <w:rsid w:val="00035FC5"/>
    <w:rsid w:val="00035FF5"/>
    <w:rsid w:val="00036106"/>
    <w:rsid w:val="00036183"/>
    <w:rsid w:val="00036269"/>
    <w:rsid w:val="00036319"/>
    <w:rsid w:val="00036384"/>
    <w:rsid w:val="000363BC"/>
    <w:rsid w:val="000364AA"/>
    <w:rsid w:val="0003659A"/>
    <w:rsid w:val="0003679E"/>
    <w:rsid w:val="000368FB"/>
    <w:rsid w:val="00036927"/>
    <w:rsid w:val="00036AA5"/>
    <w:rsid w:val="00036B23"/>
    <w:rsid w:val="00036B61"/>
    <w:rsid w:val="00036CE4"/>
    <w:rsid w:val="00036DA0"/>
    <w:rsid w:val="00036FCD"/>
    <w:rsid w:val="00037027"/>
    <w:rsid w:val="00037468"/>
    <w:rsid w:val="00037628"/>
    <w:rsid w:val="000376AF"/>
    <w:rsid w:val="000376BF"/>
    <w:rsid w:val="0003775C"/>
    <w:rsid w:val="00037829"/>
    <w:rsid w:val="000379F0"/>
    <w:rsid w:val="00037AAA"/>
    <w:rsid w:val="00037B04"/>
    <w:rsid w:val="00037E89"/>
    <w:rsid w:val="00037ED2"/>
    <w:rsid w:val="00037FAB"/>
    <w:rsid w:val="0004002A"/>
    <w:rsid w:val="0004012E"/>
    <w:rsid w:val="00040197"/>
    <w:rsid w:val="0004022E"/>
    <w:rsid w:val="000402E4"/>
    <w:rsid w:val="00040302"/>
    <w:rsid w:val="00040319"/>
    <w:rsid w:val="00040358"/>
    <w:rsid w:val="0004045E"/>
    <w:rsid w:val="000404F0"/>
    <w:rsid w:val="00040536"/>
    <w:rsid w:val="00040541"/>
    <w:rsid w:val="00040594"/>
    <w:rsid w:val="000405CB"/>
    <w:rsid w:val="000405EF"/>
    <w:rsid w:val="0004067F"/>
    <w:rsid w:val="00040695"/>
    <w:rsid w:val="0004071D"/>
    <w:rsid w:val="0004074D"/>
    <w:rsid w:val="000407BA"/>
    <w:rsid w:val="000409DC"/>
    <w:rsid w:val="00040AB9"/>
    <w:rsid w:val="00040AC8"/>
    <w:rsid w:val="00040B25"/>
    <w:rsid w:val="00040C3E"/>
    <w:rsid w:val="00040C6E"/>
    <w:rsid w:val="00040DA0"/>
    <w:rsid w:val="00040F28"/>
    <w:rsid w:val="000410C5"/>
    <w:rsid w:val="00041112"/>
    <w:rsid w:val="000411C4"/>
    <w:rsid w:val="00041210"/>
    <w:rsid w:val="00041519"/>
    <w:rsid w:val="00041697"/>
    <w:rsid w:val="000416F6"/>
    <w:rsid w:val="00041704"/>
    <w:rsid w:val="00041731"/>
    <w:rsid w:val="00041AC8"/>
    <w:rsid w:val="00041BF7"/>
    <w:rsid w:val="00041C74"/>
    <w:rsid w:val="00041DC2"/>
    <w:rsid w:val="00041DDA"/>
    <w:rsid w:val="00041F1A"/>
    <w:rsid w:val="00041F95"/>
    <w:rsid w:val="00042001"/>
    <w:rsid w:val="00042070"/>
    <w:rsid w:val="0004219A"/>
    <w:rsid w:val="00042314"/>
    <w:rsid w:val="000423A4"/>
    <w:rsid w:val="00042537"/>
    <w:rsid w:val="000427BC"/>
    <w:rsid w:val="000428FB"/>
    <w:rsid w:val="0004295B"/>
    <w:rsid w:val="00042980"/>
    <w:rsid w:val="00042A14"/>
    <w:rsid w:val="00042A8E"/>
    <w:rsid w:val="00042B1C"/>
    <w:rsid w:val="00042BC4"/>
    <w:rsid w:val="00042C70"/>
    <w:rsid w:val="00042CC0"/>
    <w:rsid w:val="00042CD1"/>
    <w:rsid w:val="00042ECF"/>
    <w:rsid w:val="00042FD6"/>
    <w:rsid w:val="000431D8"/>
    <w:rsid w:val="000433B2"/>
    <w:rsid w:val="000433D4"/>
    <w:rsid w:val="000436C8"/>
    <w:rsid w:val="0004371A"/>
    <w:rsid w:val="00043755"/>
    <w:rsid w:val="00043921"/>
    <w:rsid w:val="000439A6"/>
    <w:rsid w:val="00043A5D"/>
    <w:rsid w:val="00043BC6"/>
    <w:rsid w:val="00043C37"/>
    <w:rsid w:val="00043C93"/>
    <w:rsid w:val="00043CA5"/>
    <w:rsid w:val="00043CD1"/>
    <w:rsid w:val="00043D07"/>
    <w:rsid w:val="00043E7E"/>
    <w:rsid w:val="00043FE0"/>
    <w:rsid w:val="000440AB"/>
    <w:rsid w:val="000440E6"/>
    <w:rsid w:val="00044297"/>
    <w:rsid w:val="00044309"/>
    <w:rsid w:val="00044347"/>
    <w:rsid w:val="000443BC"/>
    <w:rsid w:val="000443EC"/>
    <w:rsid w:val="0004440F"/>
    <w:rsid w:val="00044691"/>
    <w:rsid w:val="0004470C"/>
    <w:rsid w:val="00044950"/>
    <w:rsid w:val="00044980"/>
    <w:rsid w:val="000449AC"/>
    <w:rsid w:val="00044A57"/>
    <w:rsid w:val="00044B11"/>
    <w:rsid w:val="00044B4D"/>
    <w:rsid w:val="00044C65"/>
    <w:rsid w:val="00044D6C"/>
    <w:rsid w:val="00044E48"/>
    <w:rsid w:val="00044EDA"/>
    <w:rsid w:val="00044FF4"/>
    <w:rsid w:val="0004510C"/>
    <w:rsid w:val="000456EA"/>
    <w:rsid w:val="00045882"/>
    <w:rsid w:val="0004596B"/>
    <w:rsid w:val="000459C1"/>
    <w:rsid w:val="00045B1D"/>
    <w:rsid w:val="00045BDD"/>
    <w:rsid w:val="00045C38"/>
    <w:rsid w:val="00045EBE"/>
    <w:rsid w:val="00046048"/>
    <w:rsid w:val="000460BA"/>
    <w:rsid w:val="00046146"/>
    <w:rsid w:val="0004615D"/>
    <w:rsid w:val="000462C6"/>
    <w:rsid w:val="00046392"/>
    <w:rsid w:val="00046555"/>
    <w:rsid w:val="00046729"/>
    <w:rsid w:val="00046757"/>
    <w:rsid w:val="0004675A"/>
    <w:rsid w:val="00046808"/>
    <w:rsid w:val="00046A81"/>
    <w:rsid w:val="00046BC0"/>
    <w:rsid w:val="00046D35"/>
    <w:rsid w:val="00046D5B"/>
    <w:rsid w:val="00046D6F"/>
    <w:rsid w:val="00046EF6"/>
    <w:rsid w:val="000471EC"/>
    <w:rsid w:val="00047531"/>
    <w:rsid w:val="000477FE"/>
    <w:rsid w:val="00047878"/>
    <w:rsid w:val="00047887"/>
    <w:rsid w:val="000479B6"/>
    <w:rsid w:val="00047B33"/>
    <w:rsid w:val="00047BDA"/>
    <w:rsid w:val="00047C8E"/>
    <w:rsid w:val="00047CBD"/>
    <w:rsid w:val="00047D0A"/>
    <w:rsid w:val="00047E55"/>
    <w:rsid w:val="00047EB4"/>
    <w:rsid w:val="00047FD8"/>
    <w:rsid w:val="0005000C"/>
    <w:rsid w:val="0005051C"/>
    <w:rsid w:val="000506AF"/>
    <w:rsid w:val="00050713"/>
    <w:rsid w:val="0005078F"/>
    <w:rsid w:val="00050B1E"/>
    <w:rsid w:val="00050B58"/>
    <w:rsid w:val="00050E64"/>
    <w:rsid w:val="000512E9"/>
    <w:rsid w:val="00051316"/>
    <w:rsid w:val="0005143F"/>
    <w:rsid w:val="0005176E"/>
    <w:rsid w:val="000517E9"/>
    <w:rsid w:val="00051864"/>
    <w:rsid w:val="000519E4"/>
    <w:rsid w:val="00051A22"/>
    <w:rsid w:val="00051A4D"/>
    <w:rsid w:val="00051B71"/>
    <w:rsid w:val="00051C8D"/>
    <w:rsid w:val="00051C9C"/>
    <w:rsid w:val="00051DA5"/>
    <w:rsid w:val="00051FBC"/>
    <w:rsid w:val="00052082"/>
    <w:rsid w:val="000522A2"/>
    <w:rsid w:val="00052327"/>
    <w:rsid w:val="00052332"/>
    <w:rsid w:val="00052362"/>
    <w:rsid w:val="00052367"/>
    <w:rsid w:val="0005239A"/>
    <w:rsid w:val="00052496"/>
    <w:rsid w:val="000526C0"/>
    <w:rsid w:val="0005290C"/>
    <w:rsid w:val="000529FE"/>
    <w:rsid w:val="00052C7C"/>
    <w:rsid w:val="00052D3E"/>
    <w:rsid w:val="00052E3D"/>
    <w:rsid w:val="00052E7F"/>
    <w:rsid w:val="00052EB2"/>
    <w:rsid w:val="00052F6C"/>
    <w:rsid w:val="00053061"/>
    <w:rsid w:val="00053088"/>
    <w:rsid w:val="00053188"/>
    <w:rsid w:val="0005323E"/>
    <w:rsid w:val="00053475"/>
    <w:rsid w:val="0005347F"/>
    <w:rsid w:val="000534A2"/>
    <w:rsid w:val="000537F1"/>
    <w:rsid w:val="00053B55"/>
    <w:rsid w:val="00053B58"/>
    <w:rsid w:val="00053B5C"/>
    <w:rsid w:val="00053BAF"/>
    <w:rsid w:val="00053C45"/>
    <w:rsid w:val="00053C4D"/>
    <w:rsid w:val="00053F2D"/>
    <w:rsid w:val="00053FE9"/>
    <w:rsid w:val="00054019"/>
    <w:rsid w:val="00054196"/>
    <w:rsid w:val="00054460"/>
    <w:rsid w:val="000544E8"/>
    <w:rsid w:val="000545DF"/>
    <w:rsid w:val="00054633"/>
    <w:rsid w:val="00054644"/>
    <w:rsid w:val="0005471D"/>
    <w:rsid w:val="000547FE"/>
    <w:rsid w:val="0005482C"/>
    <w:rsid w:val="0005489A"/>
    <w:rsid w:val="000548D6"/>
    <w:rsid w:val="00054979"/>
    <w:rsid w:val="000549F7"/>
    <w:rsid w:val="00054A9F"/>
    <w:rsid w:val="00054C06"/>
    <w:rsid w:val="00054C34"/>
    <w:rsid w:val="00054C48"/>
    <w:rsid w:val="00054C88"/>
    <w:rsid w:val="00054CC6"/>
    <w:rsid w:val="00054EA8"/>
    <w:rsid w:val="00055053"/>
    <w:rsid w:val="00055122"/>
    <w:rsid w:val="00055211"/>
    <w:rsid w:val="000552AB"/>
    <w:rsid w:val="000552CA"/>
    <w:rsid w:val="0005560F"/>
    <w:rsid w:val="00055831"/>
    <w:rsid w:val="00055895"/>
    <w:rsid w:val="00055946"/>
    <w:rsid w:val="00055A30"/>
    <w:rsid w:val="00055B3B"/>
    <w:rsid w:val="00055C23"/>
    <w:rsid w:val="00055C42"/>
    <w:rsid w:val="000560A8"/>
    <w:rsid w:val="00056204"/>
    <w:rsid w:val="00056244"/>
    <w:rsid w:val="00056273"/>
    <w:rsid w:val="00056313"/>
    <w:rsid w:val="00056343"/>
    <w:rsid w:val="000563F3"/>
    <w:rsid w:val="000563FA"/>
    <w:rsid w:val="00056512"/>
    <w:rsid w:val="000565BE"/>
    <w:rsid w:val="0005678F"/>
    <w:rsid w:val="00056B2A"/>
    <w:rsid w:val="00056E4F"/>
    <w:rsid w:val="00056E85"/>
    <w:rsid w:val="0005718A"/>
    <w:rsid w:val="000571DA"/>
    <w:rsid w:val="00057238"/>
    <w:rsid w:val="00057344"/>
    <w:rsid w:val="00057471"/>
    <w:rsid w:val="00057553"/>
    <w:rsid w:val="000575E9"/>
    <w:rsid w:val="00057785"/>
    <w:rsid w:val="00057970"/>
    <w:rsid w:val="00057978"/>
    <w:rsid w:val="00057A26"/>
    <w:rsid w:val="00057A45"/>
    <w:rsid w:val="00057B73"/>
    <w:rsid w:val="00057DE3"/>
    <w:rsid w:val="00057E38"/>
    <w:rsid w:val="00057E77"/>
    <w:rsid w:val="00057E81"/>
    <w:rsid w:val="00058CFD"/>
    <w:rsid w:val="00060459"/>
    <w:rsid w:val="00060543"/>
    <w:rsid w:val="000605D9"/>
    <w:rsid w:val="000605E3"/>
    <w:rsid w:val="0006066D"/>
    <w:rsid w:val="0006068D"/>
    <w:rsid w:val="000606B3"/>
    <w:rsid w:val="000608BB"/>
    <w:rsid w:val="00060B15"/>
    <w:rsid w:val="00060E5A"/>
    <w:rsid w:val="00061057"/>
    <w:rsid w:val="0006126C"/>
    <w:rsid w:val="0006134F"/>
    <w:rsid w:val="0006137C"/>
    <w:rsid w:val="0006154E"/>
    <w:rsid w:val="000615AA"/>
    <w:rsid w:val="000615B6"/>
    <w:rsid w:val="000617FB"/>
    <w:rsid w:val="000618B9"/>
    <w:rsid w:val="00061AC5"/>
    <w:rsid w:val="00061B51"/>
    <w:rsid w:val="00061D62"/>
    <w:rsid w:val="00061D91"/>
    <w:rsid w:val="00061DE8"/>
    <w:rsid w:val="00061E4A"/>
    <w:rsid w:val="00061F76"/>
    <w:rsid w:val="0006200E"/>
    <w:rsid w:val="000620F7"/>
    <w:rsid w:val="0006223F"/>
    <w:rsid w:val="000622A9"/>
    <w:rsid w:val="00062456"/>
    <w:rsid w:val="000624D6"/>
    <w:rsid w:val="000624E9"/>
    <w:rsid w:val="000624F6"/>
    <w:rsid w:val="000626FD"/>
    <w:rsid w:val="00062723"/>
    <w:rsid w:val="00062899"/>
    <w:rsid w:val="0006289F"/>
    <w:rsid w:val="00062967"/>
    <w:rsid w:val="00062A65"/>
    <w:rsid w:val="00062B84"/>
    <w:rsid w:val="00062BA1"/>
    <w:rsid w:val="00062BD4"/>
    <w:rsid w:val="00062BDA"/>
    <w:rsid w:val="00062D5B"/>
    <w:rsid w:val="00062F61"/>
    <w:rsid w:val="00063065"/>
    <w:rsid w:val="000630B3"/>
    <w:rsid w:val="000632FB"/>
    <w:rsid w:val="000634AB"/>
    <w:rsid w:val="000635A8"/>
    <w:rsid w:val="0006388D"/>
    <w:rsid w:val="0006397B"/>
    <w:rsid w:val="0006398B"/>
    <w:rsid w:val="000639CD"/>
    <w:rsid w:val="00063BCD"/>
    <w:rsid w:val="00063C79"/>
    <w:rsid w:val="00063CF9"/>
    <w:rsid w:val="00063E43"/>
    <w:rsid w:val="0006403F"/>
    <w:rsid w:val="00064051"/>
    <w:rsid w:val="0006413C"/>
    <w:rsid w:val="00064250"/>
    <w:rsid w:val="00064280"/>
    <w:rsid w:val="0006439E"/>
    <w:rsid w:val="000644C1"/>
    <w:rsid w:val="00064514"/>
    <w:rsid w:val="00064610"/>
    <w:rsid w:val="000646C7"/>
    <w:rsid w:val="00064A21"/>
    <w:rsid w:val="00064BF4"/>
    <w:rsid w:val="00064CB2"/>
    <w:rsid w:val="00064DAD"/>
    <w:rsid w:val="00064E37"/>
    <w:rsid w:val="00064E3D"/>
    <w:rsid w:val="00064E65"/>
    <w:rsid w:val="00064EAF"/>
    <w:rsid w:val="00064F35"/>
    <w:rsid w:val="00064F85"/>
    <w:rsid w:val="00065036"/>
    <w:rsid w:val="000650A6"/>
    <w:rsid w:val="00065120"/>
    <w:rsid w:val="00065145"/>
    <w:rsid w:val="000654AD"/>
    <w:rsid w:val="00065525"/>
    <w:rsid w:val="00065529"/>
    <w:rsid w:val="00065646"/>
    <w:rsid w:val="000656D4"/>
    <w:rsid w:val="00065726"/>
    <w:rsid w:val="00065A28"/>
    <w:rsid w:val="00065C27"/>
    <w:rsid w:val="00065C39"/>
    <w:rsid w:val="00065DAA"/>
    <w:rsid w:val="00065EA3"/>
    <w:rsid w:val="00065F3F"/>
    <w:rsid w:val="00065FA7"/>
    <w:rsid w:val="000660B6"/>
    <w:rsid w:val="0006617C"/>
    <w:rsid w:val="00066282"/>
    <w:rsid w:val="00066439"/>
    <w:rsid w:val="000665AB"/>
    <w:rsid w:val="0006672C"/>
    <w:rsid w:val="0006678B"/>
    <w:rsid w:val="0006685A"/>
    <w:rsid w:val="00066957"/>
    <w:rsid w:val="00066AA9"/>
    <w:rsid w:val="00066B0C"/>
    <w:rsid w:val="00066B22"/>
    <w:rsid w:val="00066E5A"/>
    <w:rsid w:val="00066F0C"/>
    <w:rsid w:val="00066F98"/>
    <w:rsid w:val="00067017"/>
    <w:rsid w:val="00067066"/>
    <w:rsid w:val="00067212"/>
    <w:rsid w:val="00067558"/>
    <w:rsid w:val="000675BF"/>
    <w:rsid w:val="0006785B"/>
    <w:rsid w:val="0006796C"/>
    <w:rsid w:val="0006798E"/>
    <w:rsid w:val="00067CA5"/>
    <w:rsid w:val="00067D1D"/>
    <w:rsid w:val="00067D61"/>
    <w:rsid w:val="00067E1E"/>
    <w:rsid w:val="00067E20"/>
    <w:rsid w:val="00067EE3"/>
    <w:rsid w:val="00067F6E"/>
    <w:rsid w:val="00068EE2"/>
    <w:rsid w:val="0007003F"/>
    <w:rsid w:val="000700EE"/>
    <w:rsid w:val="0007038A"/>
    <w:rsid w:val="00070403"/>
    <w:rsid w:val="000705DE"/>
    <w:rsid w:val="00070769"/>
    <w:rsid w:val="000709CB"/>
    <w:rsid w:val="00070AE9"/>
    <w:rsid w:val="00070B0E"/>
    <w:rsid w:val="00070B1A"/>
    <w:rsid w:val="00070B49"/>
    <w:rsid w:val="00070C31"/>
    <w:rsid w:val="00070D0A"/>
    <w:rsid w:val="00070E05"/>
    <w:rsid w:val="00070F2A"/>
    <w:rsid w:val="00070F42"/>
    <w:rsid w:val="00070F47"/>
    <w:rsid w:val="00071001"/>
    <w:rsid w:val="00071034"/>
    <w:rsid w:val="000712C3"/>
    <w:rsid w:val="000712D1"/>
    <w:rsid w:val="00071397"/>
    <w:rsid w:val="0007160E"/>
    <w:rsid w:val="000716BE"/>
    <w:rsid w:val="000716DE"/>
    <w:rsid w:val="00071772"/>
    <w:rsid w:val="0007186D"/>
    <w:rsid w:val="0007193F"/>
    <w:rsid w:val="0007194F"/>
    <w:rsid w:val="00071AAD"/>
    <w:rsid w:val="00071AE1"/>
    <w:rsid w:val="00071BE5"/>
    <w:rsid w:val="00071D47"/>
    <w:rsid w:val="00071ECB"/>
    <w:rsid w:val="00071F5C"/>
    <w:rsid w:val="00071FCF"/>
    <w:rsid w:val="000720B1"/>
    <w:rsid w:val="00072288"/>
    <w:rsid w:val="000723A2"/>
    <w:rsid w:val="000723DA"/>
    <w:rsid w:val="00072512"/>
    <w:rsid w:val="0007259C"/>
    <w:rsid w:val="00072697"/>
    <w:rsid w:val="000727FB"/>
    <w:rsid w:val="000728D1"/>
    <w:rsid w:val="00072A4D"/>
    <w:rsid w:val="00072B06"/>
    <w:rsid w:val="00072BFB"/>
    <w:rsid w:val="00072C6B"/>
    <w:rsid w:val="00072C9A"/>
    <w:rsid w:val="00072D57"/>
    <w:rsid w:val="00072D9D"/>
    <w:rsid w:val="00072E65"/>
    <w:rsid w:val="00072FA4"/>
    <w:rsid w:val="00073115"/>
    <w:rsid w:val="0007312C"/>
    <w:rsid w:val="00073196"/>
    <w:rsid w:val="00073410"/>
    <w:rsid w:val="00073432"/>
    <w:rsid w:val="00073698"/>
    <w:rsid w:val="00073742"/>
    <w:rsid w:val="000737D5"/>
    <w:rsid w:val="000737F3"/>
    <w:rsid w:val="000738EC"/>
    <w:rsid w:val="0007399D"/>
    <w:rsid w:val="00073A0F"/>
    <w:rsid w:val="00073AAA"/>
    <w:rsid w:val="00073ADE"/>
    <w:rsid w:val="00073B2F"/>
    <w:rsid w:val="00073C1A"/>
    <w:rsid w:val="00073C67"/>
    <w:rsid w:val="00073CC8"/>
    <w:rsid w:val="00073D3B"/>
    <w:rsid w:val="00073DCF"/>
    <w:rsid w:val="00073E39"/>
    <w:rsid w:val="00073F1B"/>
    <w:rsid w:val="0007405F"/>
    <w:rsid w:val="000740F1"/>
    <w:rsid w:val="00074127"/>
    <w:rsid w:val="00074162"/>
    <w:rsid w:val="000742B8"/>
    <w:rsid w:val="00074430"/>
    <w:rsid w:val="0007468E"/>
    <w:rsid w:val="000746BA"/>
    <w:rsid w:val="00074714"/>
    <w:rsid w:val="00074890"/>
    <w:rsid w:val="00074A12"/>
    <w:rsid w:val="00074AD4"/>
    <w:rsid w:val="00074BCC"/>
    <w:rsid w:val="00074DE1"/>
    <w:rsid w:val="00074F5B"/>
    <w:rsid w:val="00074F83"/>
    <w:rsid w:val="00074FB3"/>
    <w:rsid w:val="0007518D"/>
    <w:rsid w:val="000751B5"/>
    <w:rsid w:val="000751F8"/>
    <w:rsid w:val="0007523D"/>
    <w:rsid w:val="00075293"/>
    <w:rsid w:val="0007539D"/>
    <w:rsid w:val="000753A0"/>
    <w:rsid w:val="000757C3"/>
    <w:rsid w:val="000758E5"/>
    <w:rsid w:val="00075BA9"/>
    <w:rsid w:val="00075D20"/>
    <w:rsid w:val="00075D3B"/>
    <w:rsid w:val="00075DCD"/>
    <w:rsid w:val="00075E0C"/>
    <w:rsid w:val="00075E63"/>
    <w:rsid w:val="00076070"/>
    <w:rsid w:val="000760C7"/>
    <w:rsid w:val="0007610E"/>
    <w:rsid w:val="00076286"/>
    <w:rsid w:val="000766DF"/>
    <w:rsid w:val="00076851"/>
    <w:rsid w:val="000768AA"/>
    <w:rsid w:val="000768CA"/>
    <w:rsid w:val="00076A4D"/>
    <w:rsid w:val="00076C96"/>
    <w:rsid w:val="00076F1B"/>
    <w:rsid w:val="00077004"/>
    <w:rsid w:val="000771E3"/>
    <w:rsid w:val="00077486"/>
    <w:rsid w:val="00077495"/>
    <w:rsid w:val="000774F5"/>
    <w:rsid w:val="0007760F"/>
    <w:rsid w:val="00077614"/>
    <w:rsid w:val="0007765D"/>
    <w:rsid w:val="00077673"/>
    <w:rsid w:val="000776B2"/>
    <w:rsid w:val="00077773"/>
    <w:rsid w:val="00077821"/>
    <w:rsid w:val="000778FB"/>
    <w:rsid w:val="00077B9F"/>
    <w:rsid w:val="00077C29"/>
    <w:rsid w:val="00077EFA"/>
    <w:rsid w:val="00077FD3"/>
    <w:rsid w:val="0007FAB2"/>
    <w:rsid w:val="00080149"/>
    <w:rsid w:val="00080181"/>
    <w:rsid w:val="00080211"/>
    <w:rsid w:val="000805DC"/>
    <w:rsid w:val="00080604"/>
    <w:rsid w:val="0008061A"/>
    <w:rsid w:val="000809F1"/>
    <w:rsid w:val="00080A5D"/>
    <w:rsid w:val="00080AD9"/>
    <w:rsid w:val="00080E5A"/>
    <w:rsid w:val="00080E95"/>
    <w:rsid w:val="00080EAC"/>
    <w:rsid w:val="00080F28"/>
    <w:rsid w:val="00080F6A"/>
    <w:rsid w:val="00080FF0"/>
    <w:rsid w:val="0008104B"/>
    <w:rsid w:val="000814C4"/>
    <w:rsid w:val="0008151C"/>
    <w:rsid w:val="0008152B"/>
    <w:rsid w:val="000815A5"/>
    <w:rsid w:val="000815F5"/>
    <w:rsid w:val="000816AE"/>
    <w:rsid w:val="000818A7"/>
    <w:rsid w:val="00081934"/>
    <w:rsid w:val="00081980"/>
    <w:rsid w:val="00081AF8"/>
    <w:rsid w:val="00081BBA"/>
    <w:rsid w:val="00081CCC"/>
    <w:rsid w:val="00081D60"/>
    <w:rsid w:val="00081DAD"/>
    <w:rsid w:val="0008210A"/>
    <w:rsid w:val="00082364"/>
    <w:rsid w:val="00082383"/>
    <w:rsid w:val="000823B3"/>
    <w:rsid w:val="00082459"/>
    <w:rsid w:val="0008246A"/>
    <w:rsid w:val="0008246C"/>
    <w:rsid w:val="00082477"/>
    <w:rsid w:val="00082492"/>
    <w:rsid w:val="000824F8"/>
    <w:rsid w:val="00082574"/>
    <w:rsid w:val="0008257B"/>
    <w:rsid w:val="0008259C"/>
    <w:rsid w:val="0008263D"/>
    <w:rsid w:val="00082644"/>
    <w:rsid w:val="00082908"/>
    <w:rsid w:val="00082932"/>
    <w:rsid w:val="00082B00"/>
    <w:rsid w:val="00082BE3"/>
    <w:rsid w:val="00082C90"/>
    <w:rsid w:val="00082DF4"/>
    <w:rsid w:val="00082DF5"/>
    <w:rsid w:val="00082EA2"/>
    <w:rsid w:val="00082F0B"/>
    <w:rsid w:val="00082F7B"/>
    <w:rsid w:val="00082FA7"/>
    <w:rsid w:val="000831D9"/>
    <w:rsid w:val="0008327C"/>
    <w:rsid w:val="000832C9"/>
    <w:rsid w:val="000832ED"/>
    <w:rsid w:val="00083331"/>
    <w:rsid w:val="00083365"/>
    <w:rsid w:val="00083372"/>
    <w:rsid w:val="000833B4"/>
    <w:rsid w:val="000834F3"/>
    <w:rsid w:val="00083943"/>
    <w:rsid w:val="00083966"/>
    <w:rsid w:val="00083B54"/>
    <w:rsid w:val="00083C29"/>
    <w:rsid w:val="00083C83"/>
    <w:rsid w:val="00083CE9"/>
    <w:rsid w:val="00083D40"/>
    <w:rsid w:val="00083E2B"/>
    <w:rsid w:val="000840B3"/>
    <w:rsid w:val="00084136"/>
    <w:rsid w:val="0008419D"/>
    <w:rsid w:val="000842FE"/>
    <w:rsid w:val="00084307"/>
    <w:rsid w:val="000843E3"/>
    <w:rsid w:val="000843F2"/>
    <w:rsid w:val="00084408"/>
    <w:rsid w:val="0008466E"/>
    <w:rsid w:val="00084730"/>
    <w:rsid w:val="000847BC"/>
    <w:rsid w:val="000848F8"/>
    <w:rsid w:val="000849AE"/>
    <w:rsid w:val="00084A66"/>
    <w:rsid w:val="00084CCB"/>
    <w:rsid w:val="00084E48"/>
    <w:rsid w:val="00084FD1"/>
    <w:rsid w:val="000851B0"/>
    <w:rsid w:val="000852C0"/>
    <w:rsid w:val="000853A1"/>
    <w:rsid w:val="00085422"/>
    <w:rsid w:val="00085445"/>
    <w:rsid w:val="000856C1"/>
    <w:rsid w:val="000856F5"/>
    <w:rsid w:val="0008575C"/>
    <w:rsid w:val="00085923"/>
    <w:rsid w:val="00085983"/>
    <w:rsid w:val="00085A1E"/>
    <w:rsid w:val="00085A74"/>
    <w:rsid w:val="00085B4D"/>
    <w:rsid w:val="00085B7F"/>
    <w:rsid w:val="00085D06"/>
    <w:rsid w:val="00085D1B"/>
    <w:rsid w:val="00085D86"/>
    <w:rsid w:val="00085EC5"/>
    <w:rsid w:val="00085EE7"/>
    <w:rsid w:val="00085F4D"/>
    <w:rsid w:val="00085F64"/>
    <w:rsid w:val="0008614A"/>
    <w:rsid w:val="000861DD"/>
    <w:rsid w:val="000861FD"/>
    <w:rsid w:val="000863F8"/>
    <w:rsid w:val="000864EE"/>
    <w:rsid w:val="0008650C"/>
    <w:rsid w:val="00086586"/>
    <w:rsid w:val="000865E9"/>
    <w:rsid w:val="000866A6"/>
    <w:rsid w:val="00086B2B"/>
    <w:rsid w:val="00086BE1"/>
    <w:rsid w:val="00086C7E"/>
    <w:rsid w:val="0008709D"/>
    <w:rsid w:val="00087197"/>
    <w:rsid w:val="00087255"/>
    <w:rsid w:val="00087293"/>
    <w:rsid w:val="000873A5"/>
    <w:rsid w:val="0008751D"/>
    <w:rsid w:val="0008754F"/>
    <w:rsid w:val="00087625"/>
    <w:rsid w:val="000878B8"/>
    <w:rsid w:val="000879B0"/>
    <w:rsid w:val="00087A7C"/>
    <w:rsid w:val="00087BF8"/>
    <w:rsid w:val="00087C51"/>
    <w:rsid w:val="00087DB8"/>
    <w:rsid w:val="00087EBF"/>
    <w:rsid w:val="00087ED8"/>
    <w:rsid w:val="0008F501"/>
    <w:rsid w:val="0009009F"/>
    <w:rsid w:val="0009048C"/>
    <w:rsid w:val="00090535"/>
    <w:rsid w:val="00090550"/>
    <w:rsid w:val="00090559"/>
    <w:rsid w:val="0009067F"/>
    <w:rsid w:val="000906DE"/>
    <w:rsid w:val="000907DB"/>
    <w:rsid w:val="000908ED"/>
    <w:rsid w:val="0009093C"/>
    <w:rsid w:val="00090A52"/>
    <w:rsid w:val="00090B7B"/>
    <w:rsid w:val="00090CAA"/>
    <w:rsid w:val="00090DCC"/>
    <w:rsid w:val="00090ECA"/>
    <w:rsid w:val="00090EDB"/>
    <w:rsid w:val="00090F57"/>
    <w:rsid w:val="000911D1"/>
    <w:rsid w:val="00091313"/>
    <w:rsid w:val="00091389"/>
    <w:rsid w:val="00091619"/>
    <w:rsid w:val="00091796"/>
    <w:rsid w:val="000917ED"/>
    <w:rsid w:val="00091867"/>
    <w:rsid w:val="000919DF"/>
    <w:rsid w:val="00091A0A"/>
    <w:rsid w:val="00091C50"/>
    <w:rsid w:val="00091C92"/>
    <w:rsid w:val="00091E51"/>
    <w:rsid w:val="00091E5C"/>
    <w:rsid w:val="0009210C"/>
    <w:rsid w:val="00092258"/>
    <w:rsid w:val="000922CB"/>
    <w:rsid w:val="000924AD"/>
    <w:rsid w:val="0009258B"/>
    <w:rsid w:val="00092781"/>
    <w:rsid w:val="000927F7"/>
    <w:rsid w:val="000928F0"/>
    <w:rsid w:val="00092995"/>
    <w:rsid w:val="00092B86"/>
    <w:rsid w:val="00092DB2"/>
    <w:rsid w:val="00092FC8"/>
    <w:rsid w:val="00092FDC"/>
    <w:rsid w:val="00092FEB"/>
    <w:rsid w:val="0009314C"/>
    <w:rsid w:val="00093207"/>
    <w:rsid w:val="000932D1"/>
    <w:rsid w:val="000932E4"/>
    <w:rsid w:val="0009359E"/>
    <w:rsid w:val="000935D7"/>
    <w:rsid w:val="0009361A"/>
    <w:rsid w:val="0009362B"/>
    <w:rsid w:val="00093785"/>
    <w:rsid w:val="000937E8"/>
    <w:rsid w:val="000937F9"/>
    <w:rsid w:val="0009391B"/>
    <w:rsid w:val="00093923"/>
    <w:rsid w:val="00093924"/>
    <w:rsid w:val="00093A6A"/>
    <w:rsid w:val="00093B05"/>
    <w:rsid w:val="00093C88"/>
    <w:rsid w:val="00093FA9"/>
    <w:rsid w:val="00094084"/>
    <w:rsid w:val="000940F4"/>
    <w:rsid w:val="00094263"/>
    <w:rsid w:val="00094411"/>
    <w:rsid w:val="000945AD"/>
    <w:rsid w:val="00094695"/>
    <w:rsid w:val="00094701"/>
    <w:rsid w:val="000947F1"/>
    <w:rsid w:val="00094882"/>
    <w:rsid w:val="00094B24"/>
    <w:rsid w:val="00094B27"/>
    <w:rsid w:val="00094B61"/>
    <w:rsid w:val="00094B72"/>
    <w:rsid w:val="00094E75"/>
    <w:rsid w:val="00094F6C"/>
    <w:rsid w:val="000950C3"/>
    <w:rsid w:val="00095235"/>
    <w:rsid w:val="00095259"/>
    <w:rsid w:val="00095285"/>
    <w:rsid w:val="0009533C"/>
    <w:rsid w:val="0009535C"/>
    <w:rsid w:val="0009536A"/>
    <w:rsid w:val="000953C9"/>
    <w:rsid w:val="000955F6"/>
    <w:rsid w:val="000957C1"/>
    <w:rsid w:val="00095A94"/>
    <w:rsid w:val="00095C39"/>
    <w:rsid w:val="00095F78"/>
    <w:rsid w:val="00095FD1"/>
    <w:rsid w:val="00096014"/>
    <w:rsid w:val="00096065"/>
    <w:rsid w:val="00096093"/>
    <w:rsid w:val="000960BF"/>
    <w:rsid w:val="0009614D"/>
    <w:rsid w:val="000961D1"/>
    <w:rsid w:val="00096212"/>
    <w:rsid w:val="00096395"/>
    <w:rsid w:val="00096410"/>
    <w:rsid w:val="0009644E"/>
    <w:rsid w:val="00096474"/>
    <w:rsid w:val="0009663F"/>
    <w:rsid w:val="00096659"/>
    <w:rsid w:val="00096765"/>
    <w:rsid w:val="0009679A"/>
    <w:rsid w:val="00096817"/>
    <w:rsid w:val="00096843"/>
    <w:rsid w:val="0009686E"/>
    <w:rsid w:val="000968A5"/>
    <w:rsid w:val="00096908"/>
    <w:rsid w:val="00096B25"/>
    <w:rsid w:val="00096B7D"/>
    <w:rsid w:val="00096D0F"/>
    <w:rsid w:val="00096EAE"/>
    <w:rsid w:val="00096EDE"/>
    <w:rsid w:val="0009717D"/>
    <w:rsid w:val="000971F0"/>
    <w:rsid w:val="00097218"/>
    <w:rsid w:val="0009756B"/>
    <w:rsid w:val="00097579"/>
    <w:rsid w:val="000975FF"/>
    <w:rsid w:val="000976C7"/>
    <w:rsid w:val="000977D3"/>
    <w:rsid w:val="00097991"/>
    <w:rsid w:val="00097A00"/>
    <w:rsid w:val="00097A34"/>
    <w:rsid w:val="00097BA0"/>
    <w:rsid w:val="00097CAE"/>
    <w:rsid w:val="00097FA9"/>
    <w:rsid w:val="000A0185"/>
    <w:rsid w:val="000A03BC"/>
    <w:rsid w:val="000A062E"/>
    <w:rsid w:val="000A0645"/>
    <w:rsid w:val="000A066B"/>
    <w:rsid w:val="000A0704"/>
    <w:rsid w:val="000A081B"/>
    <w:rsid w:val="000A0856"/>
    <w:rsid w:val="000A090C"/>
    <w:rsid w:val="000A0953"/>
    <w:rsid w:val="000A0956"/>
    <w:rsid w:val="000A0B2F"/>
    <w:rsid w:val="000A0C2A"/>
    <w:rsid w:val="000A0C62"/>
    <w:rsid w:val="000A0F2C"/>
    <w:rsid w:val="000A0F7F"/>
    <w:rsid w:val="000A1128"/>
    <w:rsid w:val="000A1148"/>
    <w:rsid w:val="000A1239"/>
    <w:rsid w:val="000A127A"/>
    <w:rsid w:val="000A12F6"/>
    <w:rsid w:val="000A1304"/>
    <w:rsid w:val="000A14B9"/>
    <w:rsid w:val="000A17A1"/>
    <w:rsid w:val="000A17C7"/>
    <w:rsid w:val="000A181B"/>
    <w:rsid w:val="000A1CD8"/>
    <w:rsid w:val="000A1DA0"/>
    <w:rsid w:val="000A1DE8"/>
    <w:rsid w:val="000A2113"/>
    <w:rsid w:val="000A22A2"/>
    <w:rsid w:val="000A23A4"/>
    <w:rsid w:val="000A23F8"/>
    <w:rsid w:val="000A2574"/>
    <w:rsid w:val="000A25AD"/>
    <w:rsid w:val="000A25C5"/>
    <w:rsid w:val="000A26F6"/>
    <w:rsid w:val="000A274A"/>
    <w:rsid w:val="000A2CFE"/>
    <w:rsid w:val="000A2E89"/>
    <w:rsid w:val="000A2EE7"/>
    <w:rsid w:val="000A3069"/>
    <w:rsid w:val="000A30A2"/>
    <w:rsid w:val="000A3169"/>
    <w:rsid w:val="000A31A9"/>
    <w:rsid w:val="000A31BD"/>
    <w:rsid w:val="000A3359"/>
    <w:rsid w:val="000A3639"/>
    <w:rsid w:val="000A378E"/>
    <w:rsid w:val="000A394C"/>
    <w:rsid w:val="000A39B9"/>
    <w:rsid w:val="000A3BFC"/>
    <w:rsid w:val="000A3CE2"/>
    <w:rsid w:val="000A3E15"/>
    <w:rsid w:val="000A3F1D"/>
    <w:rsid w:val="000A3F27"/>
    <w:rsid w:val="000A3F94"/>
    <w:rsid w:val="000A4941"/>
    <w:rsid w:val="000A4CF6"/>
    <w:rsid w:val="000A4D87"/>
    <w:rsid w:val="000A4E2E"/>
    <w:rsid w:val="000A4EA3"/>
    <w:rsid w:val="000A51CD"/>
    <w:rsid w:val="000A5209"/>
    <w:rsid w:val="000A52F1"/>
    <w:rsid w:val="000A56EB"/>
    <w:rsid w:val="000A589D"/>
    <w:rsid w:val="000A58CC"/>
    <w:rsid w:val="000A5A76"/>
    <w:rsid w:val="000A5C7C"/>
    <w:rsid w:val="000A5C85"/>
    <w:rsid w:val="000A5CEA"/>
    <w:rsid w:val="000A5E4A"/>
    <w:rsid w:val="000A5F17"/>
    <w:rsid w:val="000A601E"/>
    <w:rsid w:val="000A604E"/>
    <w:rsid w:val="000A626D"/>
    <w:rsid w:val="000A627A"/>
    <w:rsid w:val="000A627E"/>
    <w:rsid w:val="000A628D"/>
    <w:rsid w:val="000A699C"/>
    <w:rsid w:val="000A6A7C"/>
    <w:rsid w:val="000A6AB6"/>
    <w:rsid w:val="000A6B4A"/>
    <w:rsid w:val="000A6BF1"/>
    <w:rsid w:val="000A6D02"/>
    <w:rsid w:val="000A6D32"/>
    <w:rsid w:val="000A6DC0"/>
    <w:rsid w:val="000A6E1B"/>
    <w:rsid w:val="000A6F44"/>
    <w:rsid w:val="000A6FB7"/>
    <w:rsid w:val="000A7240"/>
    <w:rsid w:val="000A72C7"/>
    <w:rsid w:val="000A72EF"/>
    <w:rsid w:val="000A7382"/>
    <w:rsid w:val="000A73F3"/>
    <w:rsid w:val="000A748D"/>
    <w:rsid w:val="000A755A"/>
    <w:rsid w:val="000A757A"/>
    <w:rsid w:val="000A765F"/>
    <w:rsid w:val="000A7677"/>
    <w:rsid w:val="000A7776"/>
    <w:rsid w:val="000A7790"/>
    <w:rsid w:val="000A7861"/>
    <w:rsid w:val="000A7872"/>
    <w:rsid w:val="000A7C7A"/>
    <w:rsid w:val="000A7F52"/>
    <w:rsid w:val="000A7FAD"/>
    <w:rsid w:val="000B0010"/>
    <w:rsid w:val="000B0034"/>
    <w:rsid w:val="000B0218"/>
    <w:rsid w:val="000B03C1"/>
    <w:rsid w:val="000B04B0"/>
    <w:rsid w:val="000B04F9"/>
    <w:rsid w:val="000B058F"/>
    <w:rsid w:val="000B060F"/>
    <w:rsid w:val="000B0861"/>
    <w:rsid w:val="000B0D09"/>
    <w:rsid w:val="000B0D2C"/>
    <w:rsid w:val="000B0DE0"/>
    <w:rsid w:val="000B0E72"/>
    <w:rsid w:val="000B0F5E"/>
    <w:rsid w:val="000B1090"/>
    <w:rsid w:val="000B1252"/>
    <w:rsid w:val="000B1337"/>
    <w:rsid w:val="000B138F"/>
    <w:rsid w:val="000B1421"/>
    <w:rsid w:val="000B145A"/>
    <w:rsid w:val="000B1507"/>
    <w:rsid w:val="000B155F"/>
    <w:rsid w:val="000B1606"/>
    <w:rsid w:val="000B1633"/>
    <w:rsid w:val="000B1A2D"/>
    <w:rsid w:val="000B1AB6"/>
    <w:rsid w:val="000B1AF8"/>
    <w:rsid w:val="000B1C86"/>
    <w:rsid w:val="000B1E6D"/>
    <w:rsid w:val="000B1F51"/>
    <w:rsid w:val="000B1F84"/>
    <w:rsid w:val="000B20A1"/>
    <w:rsid w:val="000B2113"/>
    <w:rsid w:val="000B21F4"/>
    <w:rsid w:val="000B2234"/>
    <w:rsid w:val="000B227A"/>
    <w:rsid w:val="000B22B9"/>
    <w:rsid w:val="000B2586"/>
    <w:rsid w:val="000B2736"/>
    <w:rsid w:val="000B27FC"/>
    <w:rsid w:val="000B2872"/>
    <w:rsid w:val="000B2B89"/>
    <w:rsid w:val="000B2C7A"/>
    <w:rsid w:val="000B2CCC"/>
    <w:rsid w:val="000B2E09"/>
    <w:rsid w:val="000B2EEB"/>
    <w:rsid w:val="000B2FCC"/>
    <w:rsid w:val="000B30C1"/>
    <w:rsid w:val="000B3278"/>
    <w:rsid w:val="000B3395"/>
    <w:rsid w:val="000B33A0"/>
    <w:rsid w:val="000B355F"/>
    <w:rsid w:val="000B358D"/>
    <w:rsid w:val="000B3646"/>
    <w:rsid w:val="000B3665"/>
    <w:rsid w:val="000B3713"/>
    <w:rsid w:val="000B3880"/>
    <w:rsid w:val="000B3940"/>
    <w:rsid w:val="000B39B3"/>
    <w:rsid w:val="000B39C9"/>
    <w:rsid w:val="000B3B74"/>
    <w:rsid w:val="000B40C1"/>
    <w:rsid w:val="000B40F9"/>
    <w:rsid w:val="000B4119"/>
    <w:rsid w:val="000B4122"/>
    <w:rsid w:val="000B4136"/>
    <w:rsid w:val="000B4150"/>
    <w:rsid w:val="000B42A5"/>
    <w:rsid w:val="000B42BE"/>
    <w:rsid w:val="000B432F"/>
    <w:rsid w:val="000B4401"/>
    <w:rsid w:val="000B451C"/>
    <w:rsid w:val="000B457B"/>
    <w:rsid w:val="000B4666"/>
    <w:rsid w:val="000B46DA"/>
    <w:rsid w:val="000B4763"/>
    <w:rsid w:val="000B4945"/>
    <w:rsid w:val="000B4BB8"/>
    <w:rsid w:val="000B4DAB"/>
    <w:rsid w:val="000B4E48"/>
    <w:rsid w:val="000B4E90"/>
    <w:rsid w:val="000B4EF9"/>
    <w:rsid w:val="000B508D"/>
    <w:rsid w:val="000B53CA"/>
    <w:rsid w:val="000B5546"/>
    <w:rsid w:val="000B5650"/>
    <w:rsid w:val="000B5658"/>
    <w:rsid w:val="000B5691"/>
    <w:rsid w:val="000B57A8"/>
    <w:rsid w:val="000B57F3"/>
    <w:rsid w:val="000B5801"/>
    <w:rsid w:val="000B5862"/>
    <w:rsid w:val="000B5AAB"/>
    <w:rsid w:val="000B5AFA"/>
    <w:rsid w:val="000B5B4D"/>
    <w:rsid w:val="000B5D52"/>
    <w:rsid w:val="000B5E7D"/>
    <w:rsid w:val="000B5FAC"/>
    <w:rsid w:val="000B600E"/>
    <w:rsid w:val="000B60A6"/>
    <w:rsid w:val="000B63BE"/>
    <w:rsid w:val="000B63F7"/>
    <w:rsid w:val="000B652F"/>
    <w:rsid w:val="000B66AD"/>
    <w:rsid w:val="000B66C2"/>
    <w:rsid w:val="000B66F1"/>
    <w:rsid w:val="000B68A1"/>
    <w:rsid w:val="000B68A3"/>
    <w:rsid w:val="000B698B"/>
    <w:rsid w:val="000B6A11"/>
    <w:rsid w:val="000B6C09"/>
    <w:rsid w:val="000B6C80"/>
    <w:rsid w:val="000B6DC1"/>
    <w:rsid w:val="000B6F38"/>
    <w:rsid w:val="000B6F51"/>
    <w:rsid w:val="000B6F65"/>
    <w:rsid w:val="000B7103"/>
    <w:rsid w:val="000B7117"/>
    <w:rsid w:val="000B72AC"/>
    <w:rsid w:val="000B73F5"/>
    <w:rsid w:val="000B7438"/>
    <w:rsid w:val="000B751E"/>
    <w:rsid w:val="000B75DF"/>
    <w:rsid w:val="000B76C1"/>
    <w:rsid w:val="000B76F9"/>
    <w:rsid w:val="000B773F"/>
    <w:rsid w:val="000B77BA"/>
    <w:rsid w:val="000B7A5D"/>
    <w:rsid w:val="000B7B0A"/>
    <w:rsid w:val="000B7B8C"/>
    <w:rsid w:val="000B7CD2"/>
    <w:rsid w:val="000B7D55"/>
    <w:rsid w:val="000B7D65"/>
    <w:rsid w:val="000B7D6D"/>
    <w:rsid w:val="000B7E24"/>
    <w:rsid w:val="000BD096"/>
    <w:rsid w:val="000C000F"/>
    <w:rsid w:val="000C015E"/>
    <w:rsid w:val="000C023D"/>
    <w:rsid w:val="000C0387"/>
    <w:rsid w:val="000C044F"/>
    <w:rsid w:val="000C046C"/>
    <w:rsid w:val="000C0559"/>
    <w:rsid w:val="000C059B"/>
    <w:rsid w:val="000C05E3"/>
    <w:rsid w:val="000C0B66"/>
    <w:rsid w:val="000C0DDC"/>
    <w:rsid w:val="000C0E95"/>
    <w:rsid w:val="000C127A"/>
    <w:rsid w:val="000C1467"/>
    <w:rsid w:val="000C14B7"/>
    <w:rsid w:val="000C155F"/>
    <w:rsid w:val="000C1729"/>
    <w:rsid w:val="000C174E"/>
    <w:rsid w:val="000C17AD"/>
    <w:rsid w:val="000C18D8"/>
    <w:rsid w:val="000C1B1E"/>
    <w:rsid w:val="000C1B30"/>
    <w:rsid w:val="000C1CEB"/>
    <w:rsid w:val="000C1D18"/>
    <w:rsid w:val="000C1E44"/>
    <w:rsid w:val="000C1EE7"/>
    <w:rsid w:val="000C1F29"/>
    <w:rsid w:val="000C207F"/>
    <w:rsid w:val="000C2143"/>
    <w:rsid w:val="000C2147"/>
    <w:rsid w:val="000C2197"/>
    <w:rsid w:val="000C22B2"/>
    <w:rsid w:val="000C2493"/>
    <w:rsid w:val="000C251F"/>
    <w:rsid w:val="000C2978"/>
    <w:rsid w:val="000C2D9F"/>
    <w:rsid w:val="000C2E1B"/>
    <w:rsid w:val="000C2EC5"/>
    <w:rsid w:val="000C2FA4"/>
    <w:rsid w:val="000C2FD3"/>
    <w:rsid w:val="000C304E"/>
    <w:rsid w:val="000C32DC"/>
    <w:rsid w:val="000C336E"/>
    <w:rsid w:val="000C3410"/>
    <w:rsid w:val="000C3606"/>
    <w:rsid w:val="000C3652"/>
    <w:rsid w:val="000C37B4"/>
    <w:rsid w:val="000C38E3"/>
    <w:rsid w:val="000C3926"/>
    <w:rsid w:val="000C393F"/>
    <w:rsid w:val="000C3A73"/>
    <w:rsid w:val="000C3D78"/>
    <w:rsid w:val="000C3E99"/>
    <w:rsid w:val="000C3FF7"/>
    <w:rsid w:val="000C40A8"/>
    <w:rsid w:val="000C417D"/>
    <w:rsid w:val="000C417F"/>
    <w:rsid w:val="000C41A5"/>
    <w:rsid w:val="000C41CB"/>
    <w:rsid w:val="000C41F8"/>
    <w:rsid w:val="000C441C"/>
    <w:rsid w:val="000C4522"/>
    <w:rsid w:val="000C4552"/>
    <w:rsid w:val="000C45AA"/>
    <w:rsid w:val="000C45BF"/>
    <w:rsid w:val="000C470E"/>
    <w:rsid w:val="000C4736"/>
    <w:rsid w:val="000C48B2"/>
    <w:rsid w:val="000C4A5B"/>
    <w:rsid w:val="000C4CD4"/>
    <w:rsid w:val="000C4D47"/>
    <w:rsid w:val="000C5319"/>
    <w:rsid w:val="000C540E"/>
    <w:rsid w:val="000C5601"/>
    <w:rsid w:val="000C5783"/>
    <w:rsid w:val="000C5982"/>
    <w:rsid w:val="000C59FE"/>
    <w:rsid w:val="000C5A89"/>
    <w:rsid w:val="000C5B83"/>
    <w:rsid w:val="000C5CB3"/>
    <w:rsid w:val="000C5CFC"/>
    <w:rsid w:val="000C5DFC"/>
    <w:rsid w:val="000C6002"/>
    <w:rsid w:val="000C6231"/>
    <w:rsid w:val="000C6267"/>
    <w:rsid w:val="000C62D3"/>
    <w:rsid w:val="000C6664"/>
    <w:rsid w:val="000C6678"/>
    <w:rsid w:val="000C66BB"/>
    <w:rsid w:val="000C6751"/>
    <w:rsid w:val="000C67B0"/>
    <w:rsid w:val="000C67DA"/>
    <w:rsid w:val="000C6C47"/>
    <w:rsid w:val="000C6D21"/>
    <w:rsid w:val="000C6EFB"/>
    <w:rsid w:val="000C6F98"/>
    <w:rsid w:val="000C7004"/>
    <w:rsid w:val="000C704F"/>
    <w:rsid w:val="000C70B7"/>
    <w:rsid w:val="000C7172"/>
    <w:rsid w:val="000C71F0"/>
    <w:rsid w:val="000C727A"/>
    <w:rsid w:val="000C7392"/>
    <w:rsid w:val="000C739C"/>
    <w:rsid w:val="000C73BA"/>
    <w:rsid w:val="000C7471"/>
    <w:rsid w:val="000C773E"/>
    <w:rsid w:val="000C7BC3"/>
    <w:rsid w:val="000C7D77"/>
    <w:rsid w:val="000C7F5F"/>
    <w:rsid w:val="000C7FF6"/>
    <w:rsid w:val="000C9290"/>
    <w:rsid w:val="000CBE9B"/>
    <w:rsid w:val="000CD108"/>
    <w:rsid w:val="000D0016"/>
    <w:rsid w:val="000D00B8"/>
    <w:rsid w:val="000D0346"/>
    <w:rsid w:val="000D054B"/>
    <w:rsid w:val="000D0551"/>
    <w:rsid w:val="000D055E"/>
    <w:rsid w:val="000D0662"/>
    <w:rsid w:val="000D0696"/>
    <w:rsid w:val="000D07D4"/>
    <w:rsid w:val="000D09C6"/>
    <w:rsid w:val="000D09EF"/>
    <w:rsid w:val="000D0B3E"/>
    <w:rsid w:val="000D0B48"/>
    <w:rsid w:val="000D0C2C"/>
    <w:rsid w:val="000D0C32"/>
    <w:rsid w:val="000D0D4E"/>
    <w:rsid w:val="000D0ECC"/>
    <w:rsid w:val="000D0FBC"/>
    <w:rsid w:val="000D110A"/>
    <w:rsid w:val="000D1187"/>
    <w:rsid w:val="000D11FB"/>
    <w:rsid w:val="000D14D6"/>
    <w:rsid w:val="000D1507"/>
    <w:rsid w:val="000D15F9"/>
    <w:rsid w:val="000D16FE"/>
    <w:rsid w:val="000D194D"/>
    <w:rsid w:val="000D19C4"/>
    <w:rsid w:val="000D1A6E"/>
    <w:rsid w:val="000D1ACC"/>
    <w:rsid w:val="000D1BFC"/>
    <w:rsid w:val="000D1CCB"/>
    <w:rsid w:val="000D1E36"/>
    <w:rsid w:val="000D1E70"/>
    <w:rsid w:val="000D1EED"/>
    <w:rsid w:val="000D218F"/>
    <w:rsid w:val="000D233C"/>
    <w:rsid w:val="000D2400"/>
    <w:rsid w:val="000D2402"/>
    <w:rsid w:val="000D2524"/>
    <w:rsid w:val="000D2538"/>
    <w:rsid w:val="000D2577"/>
    <w:rsid w:val="000D2584"/>
    <w:rsid w:val="000D25CB"/>
    <w:rsid w:val="000D26EB"/>
    <w:rsid w:val="000D270E"/>
    <w:rsid w:val="000D2714"/>
    <w:rsid w:val="000D2741"/>
    <w:rsid w:val="000D296E"/>
    <w:rsid w:val="000D29C0"/>
    <w:rsid w:val="000D2B03"/>
    <w:rsid w:val="000D2C96"/>
    <w:rsid w:val="000D2DC4"/>
    <w:rsid w:val="000D2E85"/>
    <w:rsid w:val="000D2F16"/>
    <w:rsid w:val="000D2FF2"/>
    <w:rsid w:val="000D305E"/>
    <w:rsid w:val="000D3201"/>
    <w:rsid w:val="000D36AE"/>
    <w:rsid w:val="000D36E8"/>
    <w:rsid w:val="000D37DF"/>
    <w:rsid w:val="000D3AF5"/>
    <w:rsid w:val="000D3AF9"/>
    <w:rsid w:val="000D3BD0"/>
    <w:rsid w:val="000D3C99"/>
    <w:rsid w:val="000D3E67"/>
    <w:rsid w:val="000D3FB8"/>
    <w:rsid w:val="000D40D5"/>
    <w:rsid w:val="000D42E6"/>
    <w:rsid w:val="000D4365"/>
    <w:rsid w:val="000D43F6"/>
    <w:rsid w:val="000D4491"/>
    <w:rsid w:val="000D48D9"/>
    <w:rsid w:val="000D4997"/>
    <w:rsid w:val="000D4A21"/>
    <w:rsid w:val="000D4AF2"/>
    <w:rsid w:val="000D4AFE"/>
    <w:rsid w:val="000D4C3F"/>
    <w:rsid w:val="000D4C8F"/>
    <w:rsid w:val="000D4DF2"/>
    <w:rsid w:val="000D4F8A"/>
    <w:rsid w:val="000D4FA9"/>
    <w:rsid w:val="000D5104"/>
    <w:rsid w:val="000D52AA"/>
    <w:rsid w:val="000D5306"/>
    <w:rsid w:val="000D54C8"/>
    <w:rsid w:val="000D580A"/>
    <w:rsid w:val="000D5852"/>
    <w:rsid w:val="000D5A0B"/>
    <w:rsid w:val="000D5B3D"/>
    <w:rsid w:val="000D5B4B"/>
    <w:rsid w:val="000D5C8E"/>
    <w:rsid w:val="000D5CFF"/>
    <w:rsid w:val="000D5D48"/>
    <w:rsid w:val="000D5DEE"/>
    <w:rsid w:val="000D5F3C"/>
    <w:rsid w:val="000D6090"/>
    <w:rsid w:val="000D60CB"/>
    <w:rsid w:val="000D61DA"/>
    <w:rsid w:val="000D6223"/>
    <w:rsid w:val="000D62EA"/>
    <w:rsid w:val="000D62FC"/>
    <w:rsid w:val="000D64D7"/>
    <w:rsid w:val="000D64EA"/>
    <w:rsid w:val="000D65A3"/>
    <w:rsid w:val="000D6745"/>
    <w:rsid w:val="000D6780"/>
    <w:rsid w:val="000D6818"/>
    <w:rsid w:val="000D68DF"/>
    <w:rsid w:val="000D6A1A"/>
    <w:rsid w:val="000D6A51"/>
    <w:rsid w:val="000D6CB8"/>
    <w:rsid w:val="000D6E1E"/>
    <w:rsid w:val="000D6F0F"/>
    <w:rsid w:val="000D70FB"/>
    <w:rsid w:val="000D722A"/>
    <w:rsid w:val="000D7265"/>
    <w:rsid w:val="000D7385"/>
    <w:rsid w:val="000D73CB"/>
    <w:rsid w:val="000D74C8"/>
    <w:rsid w:val="000D761D"/>
    <w:rsid w:val="000D763D"/>
    <w:rsid w:val="000D763E"/>
    <w:rsid w:val="000D76CF"/>
    <w:rsid w:val="000D79B3"/>
    <w:rsid w:val="000D79C5"/>
    <w:rsid w:val="000D7C53"/>
    <w:rsid w:val="000D7CE6"/>
    <w:rsid w:val="000E00EB"/>
    <w:rsid w:val="000E0154"/>
    <w:rsid w:val="000E01BE"/>
    <w:rsid w:val="000E01D9"/>
    <w:rsid w:val="000E021F"/>
    <w:rsid w:val="000E02C3"/>
    <w:rsid w:val="000E02CE"/>
    <w:rsid w:val="000E0385"/>
    <w:rsid w:val="000E03A9"/>
    <w:rsid w:val="000E05A2"/>
    <w:rsid w:val="000E05B1"/>
    <w:rsid w:val="000E073E"/>
    <w:rsid w:val="000E08E8"/>
    <w:rsid w:val="000E09F2"/>
    <w:rsid w:val="000E0A54"/>
    <w:rsid w:val="000E0B7C"/>
    <w:rsid w:val="000E0B9C"/>
    <w:rsid w:val="000E0BCF"/>
    <w:rsid w:val="000E0D00"/>
    <w:rsid w:val="000E0D8B"/>
    <w:rsid w:val="000E0F3E"/>
    <w:rsid w:val="000E0F48"/>
    <w:rsid w:val="000E107F"/>
    <w:rsid w:val="000E1136"/>
    <w:rsid w:val="000E1194"/>
    <w:rsid w:val="000E1242"/>
    <w:rsid w:val="000E14B1"/>
    <w:rsid w:val="000E153B"/>
    <w:rsid w:val="000E160E"/>
    <w:rsid w:val="000E1679"/>
    <w:rsid w:val="000E18B0"/>
    <w:rsid w:val="000E1932"/>
    <w:rsid w:val="000E196C"/>
    <w:rsid w:val="000E1A05"/>
    <w:rsid w:val="000E1BBE"/>
    <w:rsid w:val="000E1C5A"/>
    <w:rsid w:val="000E1C98"/>
    <w:rsid w:val="000E1E72"/>
    <w:rsid w:val="000E1EA6"/>
    <w:rsid w:val="000E1FCC"/>
    <w:rsid w:val="000E2075"/>
    <w:rsid w:val="000E20C2"/>
    <w:rsid w:val="000E23E1"/>
    <w:rsid w:val="000E24FA"/>
    <w:rsid w:val="000E26D8"/>
    <w:rsid w:val="000E290D"/>
    <w:rsid w:val="000E29D8"/>
    <w:rsid w:val="000E2C54"/>
    <w:rsid w:val="000E2D13"/>
    <w:rsid w:val="000E2D1F"/>
    <w:rsid w:val="000E2D46"/>
    <w:rsid w:val="000E2D98"/>
    <w:rsid w:val="000E2F73"/>
    <w:rsid w:val="000E304E"/>
    <w:rsid w:val="000E3086"/>
    <w:rsid w:val="000E30C4"/>
    <w:rsid w:val="000E3112"/>
    <w:rsid w:val="000E3119"/>
    <w:rsid w:val="000E345B"/>
    <w:rsid w:val="000E34A0"/>
    <w:rsid w:val="000E350C"/>
    <w:rsid w:val="000E357F"/>
    <w:rsid w:val="000E358A"/>
    <w:rsid w:val="000E383A"/>
    <w:rsid w:val="000E38EF"/>
    <w:rsid w:val="000E3929"/>
    <w:rsid w:val="000E3AA6"/>
    <w:rsid w:val="000E3D96"/>
    <w:rsid w:val="000E3E20"/>
    <w:rsid w:val="000E3F01"/>
    <w:rsid w:val="000E3F26"/>
    <w:rsid w:val="000E400B"/>
    <w:rsid w:val="000E40B2"/>
    <w:rsid w:val="000E41BA"/>
    <w:rsid w:val="000E4469"/>
    <w:rsid w:val="000E449C"/>
    <w:rsid w:val="000E45A8"/>
    <w:rsid w:val="000E460D"/>
    <w:rsid w:val="000E471E"/>
    <w:rsid w:val="000E48A3"/>
    <w:rsid w:val="000E49C6"/>
    <w:rsid w:val="000E4BEF"/>
    <w:rsid w:val="000E4C16"/>
    <w:rsid w:val="000E4C5A"/>
    <w:rsid w:val="000E4D6D"/>
    <w:rsid w:val="000E5075"/>
    <w:rsid w:val="000E5184"/>
    <w:rsid w:val="000E5188"/>
    <w:rsid w:val="000E5290"/>
    <w:rsid w:val="000E53FF"/>
    <w:rsid w:val="000E548B"/>
    <w:rsid w:val="000E5600"/>
    <w:rsid w:val="000E5609"/>
    <w:rsid w:val="000E5657"/>
    <w:rsid w:val="000E5773"/>
    <w:rsid w:val="000E5965"/>
    <w:rsid w:val="000E59AD"/>
    <w:rsid w:val="000E5A74"/>
    <w:rsid w:val="000E5B59"/>
    <w:rsid w:val="000E5B64"/>
    <w:rsid w:val="000E5C75"/>
    <w:rsid w:val="000E5C92"/>
    <w:rsid w:val="000E5E48"/>
    <w:rsid w:val="000E5E6B"/>
    <w:rsid w:val="000E5ED5"/>
    <w:rsid w:val="000E609B"/>
    <w:rsid w:val="000E6242"/>
    <w:rsid w:val="000E62C5"/>
    <w:rsid w:val="000E64DF"/>
    <w:rsid w:val="000E65EB"/>
    <w:rsid w:val="000E69D1"/>
    <w:rsid w:val="000E69E7"/>
    <w:rsid w:val="000E6A53"/>
    <w:rsid w:val="000E6A5C"/>
    <w:rsid w:val="000E6C59"/>
    <w:rsid w:val="000E6D02"/>
    <w:rsid w:val="000E6F0B"/>
    <w:rsid w:val="000E70C6"/>
    <w:rsid w:val="000E72B4"/>
    <w:rsid w:val="000E72EE"/>
    <w:rsid w:val="000E7334"/>
    <w:rsid w:val="000E7372"/>
    <w:rsid w:val="000E73AC"/>
    <w:rsid w:val="000E7463"/>
    <w:rsid w:val="000E74F4"/>
    <w:rsid w:val="000E7551"/>
    <w:rsid w:val="000E7569"/>
    <w:rsid w:val="000E762C"/>
    <w:rsid w:val="000E7697"/>
    <w:rsid w:val="000E775B"/>
    <w:rsid w:val="000E7DD2"/>
    <w:rsid w:val="000E7F5E"/>
    <w:rsid w:val="000E7F83"/>
    <w:rsid w:val="000E7FD1"/>
    <w:rsid w:val="000F0108"/>
    <w:rsid w:val="000F0223"/>
    <w:rsid w:val="000F0227"/>
    <w:rsid w:val="000F02ED"/>
    <w:rsid w:val="000F0375"/>
    <w:rsid w:val="000F05B6"/>
    <w:rsid w:val="000F06AC"/>
    <w:rsid w:val="000F0722"/>
    <w:rsid w:val="000F072E"/>
    <w:rsid w:val="000F07F6"/>
    <w:rsid w:val="000F07FA"/>
    <w:rsid w:val="000F0965"/>
    <w:rsid w:val="000F0A6D"/>
    <w:rsid w:val="000F0CEA"/>
    <w:rsid w:val="000F0D9F"/>
    <w:rsid w:val="000F0E1E"/>
    <w:rsid w:val="000F0EBA"/>
    <w:rsid w:val="000F0EFE"/>
    <w:rsid w:val="000F0FE0"/>
    <w:rsid w:val="000F11D5"/>
    <w:rsid w:val="000F11E2"/>
    <w:rsid w:val="000F1337"/>
    <w:rsid w:val="000F1394"/>
    <w:rsid w:val="000F13E0"/>
    <w:rsid w:val="000F157C"/>
    <w:rsid w:val="000F160B"/>
    <w:rsid w:val="000F179C"/>
    <w:rsid w:val="000F1838"/>
    <w:rsid w:val="000F190F"/>
    <w:rsid w:val="000F1936"/>
    <w:rsid w:val="000F1B37"/>
    <w:rsid w:val="000F1D02"/>
    <w:rsid w:val="000F1D4B"/>
    <w:rsid w:val="000F1D74"/>
    <w:rsid w:val="000F1D8A"/>
    <w:rsid w:val="000F1F6B"/>
    <w:rsid w:val="000F1FC9"/>
    <w:rsid w:val="000F2255"/>
    <w:rsid w:val="000F22FF"/>
    <w:rsid w:val="000F230C"/>
    <w:rsid w:val="000F2526"/>
    <w:rsid w:val="000F27EA"/>
    <w:rsid w:val="000F2CBB"/>
    <w:rsid w:val="000F2CDA"/>
    <w:rsid w:val="000F2DB6"/>
    <w:rsid w:val="000F309B"/>
    <w:rsid w:val="000F327B"/>
    <w:rsid w:val="000F3346"/>
    <w:rsid w:val="000F337F"/>
    <w:rsid w:val="000F349D"/>
    <w:rsid w:val="000F34B3"/>
    <w:rsid w:val="000F3655"/>
    <w:rsid w:val="000F375E"/>
    <w:rsid w:val="000F3AC4"/>
    <w:rsid w:val="000F3AE8"/>
    <w:rsid w:val="000F3B0B"/>
    <w:rsid w:val="000F3DB9"/>
    <w:rsid w:val="000F3FD4"/>
    <w:rsid w:val="000F410A"/>
    <w:rsid w:val="000F436E"/>
    <w:rsid w:val="000F438F"/>
    <w:rsid w:val="000F43E9"/>
    <w:rsid w:val="000F440D"/>
    <w:rsid w:val="000F4599"/>
    <w:rsid w:val="000F45F5"/>
    <w:rsid w:val="000F4613"/>
    <w:rsid w:val="000F4A51"/>
    <w:rsid w:val="000F4AEF"/>
    <w:rsid w:val="000F4C12"/>
    <w:rsid w:val="000F4F32"/>
    <w:rsid w:val="000F4F7F"/>
    <w:rsid w:val="000F4F81"/>
    <w:rsid w:val="000F4FBC"/>
    <w:rsid w:val="000F5247"/>
    <w:rsid w:val="000F529C"/>
    <w:rsid w:val="000F52A7"/>
    <w:rsid w:val="000F5313"/>
    <w:rsid w:val="000F5450"/>
    <w:rsid w:val="000F54A5"/>
    <w:rsid w:val="000F554B"/>
    <w:rsid w:val="000F55B2"/>
    <w:rsid w:val="000F55C0"/>
    <w:rsid w:val="000F56DE"/>
    <w:rsid w:val="000F5737"/>
    <w:rsid w:val="000F5915"/>
    <w:rsid w:val="000F5919"/>
    <w:rsid w:val="000F5A0C"/>
    <w:rsid w:val="000F5B31"/>
    <w:rsid w:val="000F5C57"/>
    <w:rsid w:val="000F5D70"/>
    <w:rsid w:val="000F5DFB"/>
    <w:rsid w:val="000F5E0E"/>
    <w:rsid w:val="000F61AF"/>
    <w:rsid w:val="000F625E"/>
    <w:rsid w:val="000F63EC"/>
    <w:rsid w:val="000F658A"/>
    <w:rsid w:val="000F664D"/>
    <w:rsid w:val="000F673E"/>
    <w:rsid w:val="000F6749"/>
    <w:rsid w:val="000F675D"/>
    <w:rsid w:val="000F679A"/>
    <w:rsid w:val="000F67A7"/>
    <w:rsid w:val="000F67AB"/>
    <w:rsid w:val="000F6800"/>
    <w:rsid w:val="000F689D"/>
    <w:rsid w:val="000F68A8"/>
    <w:rsid w:val="000F69DB"/>
    <w:rsid w:val="000F6A25"/>
    <w:rsid w:val="000F6D3D"/>
    <w:rsid w:val="000F6E57"/>
    <w:rsid w:val="000F6EE4"/>
    <w:rsid w:val="000F6F61"/>
    <w:rsid w:val="000F706C"/>
    <w:rsid w:val="000F7113"/>
    <w:rsid w:val="000F722A"/>
    <w:rsid w:val="000F727F"/>
    <w:rsid w:val="000F74E0"/>
    <w:rsid w:val="000F7773"/>
    <w:rsid w:val="000F788D"/>
    <w:rsid w:val="000F7A4B"/>
    <w:rsid w:val="000F7A83"/>
    <w:rsid w:val="000F7C5D"/>
    <w:rsid w:val="000F7C65"/>
    <w:rsid w:val="000F7CAE"/>
    <w:rsid w:val="000F7D40"/>
    <w:rsid w:val="000F7E0C"/>
    <w:rsid w:val="000F7E29"/>
    <w:rsid w:val="000F7E49"/>
    <w:rsid w:val="000F7E5E"/>
    <w:rsid w:val="000F7F1B"/>
    <w:rsid w:val="000F7F76"/>
    <w:rsid w:val="000FC71D"/>
    <w:rsid w:val="000FF0E6"/>
    <w:rsid w:val="001000E8"/>
    <w:rsid w:val="00100198"/>
    <w:rsid w:val="001003FB"/>
    <w:rsid w:val="0010045E"/>
    <w:rsid w:val="00100487"/>
    <w:rsid w:val="00100514"/>
    <w:rsid w:val="00100618"/>
    <w:rsid w:val="00100682"/>
    <w:rsid w:val="00100902"/>
    <w:rsid w:val="00100ADD"/>
    <w:rsid w:val="00100AF8"/>
    <w:rsid w:val="00100B4A"/>
    <w:rsid w:val="00100CF5"/>
    <w:rsid w:val="00100CF7"/>
    <w:rsid w:val="00100E73"/>
    <w:rsid w:val="0010122D"/>
    <w:rsid w:val="00101442"/>
    <w:rsid w:val="00101498"/>
    <w:rsid w:val="001016B8"/>
    <w:rsid w:val="001016D7"/>
    <w:rsid w:val="00101833"/>
    <w:rsid w:val="0010187C"/>
    <w:rsid w:val="00101C17"/>
    <w:rsid w:val="00101C68"/>
    <w:rsid w:val="00101D13"/>
    <w:rsid w:val="00101D6D"/>
    <w:rsid w:val="00101D95"/>
    <w:rsid w:val="00101DBD"/>
    <w:rsid w:val="00101E45"/>
    <w:rsid w:val="00101E85"/>
    <w:rsid w:val="00101EFA"/>
    <w:rsid w:val="00101F17"/>
    <w:rsid w:val="001021F6"/>
    <w:rsid w:val="0010245F"/>
    <w:rsid w:val="0010257A"/>
    <w:rsid w:val="0010274F"/>
    <w:rsid w:val="00102780"/>
    <w:rsid w:val="001028A0"/>
    <w:rsid w:val="00102A48"/>
    <w:rsid w:val="00102A6B"/>
    <w:rsid w:val="00102C0A"/>
    <w:rsid w:val="00102C64"/>
    <w:rsid w:val="00102CD4"/>
    <w:rsid w:val="00102DCF"/>
    <w:rsid w:val="00102EDC"/>
    <w:rsid w:val="0010321D"/>
    <w:rsid w:val="0010334D"/>
    <w:rsid w:val="00103420"/>
    <w:rsid w:val="001034CE"/>
    <w:rsid w:val="001034FB"/>
    <w:rsid w:val="00103521"/>
    <w:rsid w:val="00103563"/>
    <w:rsid w:val="001036D9"/>
    <w:rsid w:val="00103761"/>
    <w:rsid w:val="00103762"/>
    <w:rsid w:val="00103871"/>
    <w:rsid w:val="001038D6"/>
    <w:rsid w:val="00103A27"/>
    <w:rsid w:val="00103A9C"/>
    <w:rsid w:val="00103B0E"/>
    <w:rsid w:val="00103B6B"/>
    <w:rsid w:val="00103C9F"/>
    <w:rsid w:val="00104133"/>
    <w:rsid w:val="00104200"/>
    <w:rsid w:val="001043FA"/>
    <w:rsid w:val="00104535"/>
    <w:rsid w:val="00104562"/>
    <w:rsid w:val="0010469F"/>
    <w:rsid w:val="001046BB"/>
    <w:rsid w:val="00104775"/>
    <w:rsid w:val="00104982"/>
    <w:rsid w:val="001049B0"/>
    <w:rsid w:val="001049C7"/>
    <w:rsid w:val="00104AF4"/>
    <w:rsid w:val="00104C7E"/>
    <w:rsid w:val="001050CE"/>
    <w:rsid w:val="00105158"/>
    <w:rsid w:val="00105201"/>
    <w:rsid w:val="00105346"/>
    <w:rsid w:val="00105447"/>
    <w:rsid w:val="0010560A"/>
    <w:rsid w:val="0010561D"/>
    <w:rsid w:val="0010561F"/>
    <w:rsid w:val="00105629"/>
    <w:rsid w:val="001057C3"/>
    <w:rsid w:val="001057F8"/>
    <w:rsid w:val="0010582D"/>
    <w:rsid w:val="001058B3"/>
    <w:rsid w:val="00105C6B"/>
    <w:rsid w:val="00105F96"/>
    <w:rsid w:val="00105FF1"/>
    <w:rsid w:val="001061A8"/>
    <w:rsid w:val="00106258"/>
    <w:rsid w:val="0010631F"/>
    <w:rsid w:val="001063D7"/>
    <w:rsid w:val="0010641F"/>
    <w:rsid w:val="00106438"/>
    <w:rsid w:val="00106440"/>
    <w:rsid w:val="00106491"/>
    <w:rsid w:val="001065F0"/>
    <w:rsid w:val="00106A19"/>
    <w:rsid w:val="00106C58"/>
    <w:rsid w:val="00106CE9"/>
    <w:rsid w:val="00106D19"/>
    <w:rsid w:val="00106E5C"/>
    <w:rsid w:val="00106FC7"/>
    <w:rsid w:val="00106FD6"/>
    <w:rsid w:val="00107270"/>
    <w:rsid w:val="001072BE"/>
    <w:rsid w:val="00107329"/>
    <w:rsid w:val="0010737B"/>
    <w:rsid w:val="00107448"/>
    <w:rsid w:val="00107474"/>
    <w:rsid w:val="00107644"/>
    <w:rsid w:val="001077AC"/>
    <w:rsid w:val="00107915"/>
    <w:rsid w:val="00107978"/>
    <w:rsid w:val="00107A97"/>
    <w:rsid w:val="00107B3D"/>
    <w:rsid w:val="00107B68"/>
    <w:rsid w:val="00107C7D"/>
    <w:rsid w:val="00107D0B"/>
    <w:rsid w:val="00107DA7"/>
    <w:rsid w:val="00107E9C"/>
    <w:rsid w:val="00107F46"/>
    <w:rsid w:val="00107F48"/>
    <w:rsid w:val="00107F7B"/>
    <w:rsid w:val="00107FAE"/>
    <w:rsid w:val="00107FE6"/>
    <w:rsid w:val="0011001D"/>
    <w:rsid w:val="001101B1"/>
    <w:rsid w:val="001101B2"/>
    <w:rsid w:val="00110227"/>
    <w:rsid w:val="0011059C"/>
    <w:rsid w:val="001105E7"/>
    <w:rsid w:val="00110761"/>
    <w:rsid w:val="001108F7"/>
    <w:rsid w:val="00110946"/>
    <w:rsid w:val="00110A87"/>
    <w:rsid w:val="00110C08"/>
    <w:rsid w:val="00110CEE"/>
    <w:rsid w:val="00110DC0"/>
    <w:rsid w:val="00110EA3"/>
    <w:rsid w:val="001111FA"/>
    <w:rsid w:val="00111209"/>
    <w:rsid w:val="001112AA"/>
    <w:rsid w:val="001112D0"/>
    <w:rsid w:val="0011136D"/>
    <w:rsid w:val="0011137B"/>
    <w:rsid w:val="001113B5"/>
    <w:rsid w:val="0011156A"/>
    <w:rsid w:val="0011197F"/>
    <w:rsid w:val="00111B5B"/>
    <w:rsid w:val="00111B7E"/>
    <w:rsid w:val="00111C64"/>
    <w:rsid w:val="00111D09"/>
    <w:rsid w:val="00111E07"/>
    <w:rsid w:val="00111E82"/>
    <w:rsid w:val="00111F35"/>
    <w:rsid w:val="00111F53"/>
    <w:rsid w:val="00112287"/>
    <w:rsid w:val="0011229E"/>
    <w:rsid w:val="00112519"/>
    <w:rsid w:val="0011254B"/>
    <w:rsid w:val="001125B4"/>
    <w:rsid w:val="0011264F"/>
    <w:rsid w:val="00112785"/>
    <w:rsid w:val="00112880"/>
    <w:rsid w:val="001128C1"/>
    <w:rsid w:val="00112906"/>
    <w:rsid w:val="0011290A"/>
    <w:rsid w:val="00112C59"/>
    <w:rsid w:val="00112D84"/>
    <w:rsid w:val="00112FD1"/>
    <w:rsid w:val="00112FF2"/>
    <w:rsid w:val="0011300E"/>
    <w:rsid w:val="001130D0"/>
    <w:rsid w:val="00113156"/>
    <w:rsid w:val="001131E7"/>
    <w:rsid w:val="00113257"/>
    <w:rsid w:val="00113362"/>
    <w:rsid w:val="001134C4"/>
    <w:rsid w:val="00113508"/>
    <w:rsid w:val="00113597"/>
    <w:rsid w:val="0011365F"/>
    <w:rsid w:val="00113671"/>
    <w:rsid w:val="001136D0"/>
    <w:rsid w:val="001137EF"/>
    <w:rsid w:val="00113B50"/>
    <w:rsid w:val="00113CEB"/>
    <w:rsid w:val="00113CFF"/>
    <w:rsid w:val="00113FA8"/>
    <w:rsid w:val="00113FBA"/>
    <w:rsid w:val="0011402C"/>
    <w:rsid w:val="001142DD"/>
    <w:rsid w:val="001144FD"/>
    <w:rsid w:val="0011462C"/>
    <w:rsid w:val="0011474E"/>
    <w:rsid w:val="0011481C"/>
    <w:rsid w:val="00114A15"/>
    <w:rsid w:val="00114A61"/>
    <w:rsid w:val="00114CCC"/>
    <w:rsid w:val="00114F1D"/>
    <w:rsid w:val="00114F5D"/>
    <w:rsid w:val="001150E3"/>
    <w:rsid w:val="001151D2"/>
    <w:rsid w:val="0011529A"/>
    <w:rsid w:val="0011535C"/>
    <w:rsid w:val="001153BE"/>
    <w:rsid w:val="001153ED"/>
    <w:rsid w:val="0011562C"/>
    <w:rsid w:val="001156BA"/>
    <w:rsid w:val="0011578A"/>
    <w:rsid w:val="001157AD"/>
    <w:rsid w:val="00115A1E"/>
    <w:rsid w:val="00115B0F"/>
    <w:rsid w:val="00115B32"/>
    <w:rsid w:val="00115E9B"/>
    <w:rsid w:val="00115F86"/>
    <w:rsid w:val="00116245"/>
    <w:rsid w:val="00116251"/>
    <w:rsid w:val="001163C4"/>
    <w:rsid w:val="0011646B"/>
    <w:rsid w:val="00116499"/>
    <w:rsid w:val="001164F9"/>
    <w:rsid w:val="00116536"/>
    <w:rsid w:val="001166F3"/>
    <w:rsid w:val="001167EC"/>
    <w:rsid w:val="00116D2D"/>
    <w:rsid w:val="00116DD2"/>
    <w:rsid w:val="00116E71"/>
    <w:rsid w:val="00116F6F"/>
    <w:rsid w:val="00116F96"/>
    <w:rsid w:val="001171D9"/>
    <w:rsid w:val="001172F3"/>
    <w:rsid w:val="001173F3"/>
    <w:rsid w:val="0011755A"/>
    <w:rsid w:val="001175E2"/>
    <w:rsid w:val="0011766E"/>
    <w:rsid w:val="00117678"/>
    <w:rsid w:val="00117890"/>
    <w:rsid w:val="001178E4"/>
    <w:rsid w:val="0011790A"/>
    <w:rsid w:val="00117AB4"/>
    <w:rsid w:val="00117CDE"/>
    <w:rsid w:val="00117D3D"/>
    <w:rsid w:val="00117D95"/>
    <w:rsid w:val="00117FC6"/>
    <w:rsid w:val="00120100"/>
    <w:rsid w:val="00120214"/>
    <w:rsid w:val="00120263"/>
    <w:rsid w:val="00120530"/>
    <w:rsid w:val="00120668"/>
    <w:rsid w:val="001206B3"/>
    <w:rsid w:val="001206CB"/>
    <w:rsid w:val="00120707"/>
    <w:rsid w:val="001207EA"/>
    <w:rsid w:val="001208BC"/>
    <w:rsid w:val="001208EC"/>
    <w:rsid w:val="001209C6"/>
    <w:rsid w:val="00120A18"/>
    <w:rsid w:val="00120A2D"/>
    <w:rsid w:val="00120B2C"/>
    <w:rsid w:val="00120BB6"/>
    <w:rsid w:val="00120D0A"/>
    <w:rsid w:val="00120D67"/>
    <w:rsid w:val="00120D7F"/>
    <w:rsid w:val="00120DC5"/>
    <w:rsid w:val="00120EC6"/>
    <w:rsid w:val="00120EE8"/>
    <w:rsid w:val="00120EF1"/>
    <w:rsid w:val="00120EF7"/>
    <w:rsid w:val="00120FC8"/>
    <w:rsid w:val="001210DF"/>
    <w:rsid w:val="0012118E"/>
    <w:rsid w:val="001211B1"/>
    <w:rsid w:val="001212D1"/>
    <w:rsid w:val="001213A9"/>
    <w:rsid w:val="001215A2"/>
    <w:rsid w:val="001217E3"/>
    <w:rsid w:val="001218AA"/>
    <w:rsid w:val="00121953"/>
    <w:rsid w:val="001219A4"/>
    <w:rsid w:val="001219F5"/>
    <w:rsid w:val="00121AB6"/>
    <w:rsid w:val="00121ACD"/>
    <w:rsid w:val="00121AFF"/>
    <w:rsid w:val="00121C33"/>
    <w:rsid w:val="00121C78"/>
    <w:rsid w:val="00121CB6"/>
    <w:rsid w:val="00121F4E"/>
    <w:rsid w:val="00121FCD"/>
    <w:rsid w:val="001223A2"/>
    <w:rsid w:val="00122562"/>
    <w:rsid w:val="00122662"/>
    <w:rsid w:val="001226F8"/>
    <w:rsid w:val="00122790"/>
    <w:rsid w:val="0012289B"/>
    <w:rsid w:val="00122988"/>
    <w:rsid w:val="00122A00"/>
    <w:rsid w:val="00122A9E"/>
    <w:rsid w:val="00122AFF"/>
    <w:rsid w:val="00122B95"/>
    <w:rsid w:val="00123083"/>
    <w:rsid w:val="001230B2"/>
    <w:rsid w:val="001230B6"/>
    <w:rsid w:val="0012311B"/>
    <w:rsid w:val="001231F8"/>
    <w:rsid w:val="0012322D"/>
    <w:rsid w:val="001233D9"/>
    <w:rsid w:val="00123421"/>
    <w:rsid w:val="00123470"/>
    <w:rsid w:val="001234F5"/>
    <w:rsid w:val="00123587"/>
    <w:rsid w:val="0012360E"/>
    <w:rsid w:val="00123615"/>
    <w:rsid w:val="00123625"/>
    <w:rsid w:val="001236E0"/>
    <w:rsid w:val="00123717"/>
    <w:rsid w:val="0012374B"/>
    <w:rsid w:val="001238E8"/>
    <w:rsid w:val="00123AB2"/>
    <w:rsid w:val="00123C06"/>
    <w:rsid w:val="00123C99"/>
    <w:rsid w:val="00123E09"/>
    <w:rsid w:val="00123EBE"/>
    <w:rsid w:val="00123FAF"/>
    <w:rsid w:val="0012405C"/>
    <w:rsid w:val="001244BB"/>
    <w:rsid w:val="00124558"/>
    <w:rsid w:val="00124649"/>
    <w:rsid w:val="0012475B"/>
    <w:rsid w:val="00124803"/>
    <w:rsid w:val="001248D9"/>
    <w:rsid w:val="00124AB2"/>
    <w:rsid w:val="00124ABE"/>
    <w:rsid w:val="00124DA9"/>
    <w:rsid w:val="00124E2E"/>
    <w:rsid w:val="00124E5F"/>
    <w:rsid w:val="00124ECD"/>
    <w:rsid w:val="00124F0F"/>
    <w:rsid w:val="00124FAF"/>
    <w:rsid w:val="00125003"/>
    <w:rsid w:val="0012500C"/>
    <w:rsid w:val="00125018"/>
    <w:rsid w:val="00125094"/>
    <w:rsid w:val="001250EC"/>
    <w:rsid w:val="00125178"/>
    <w:rsid w:val="001253FA"/>
    <w:rsid w:val="001255EE"/>
    <w:rsid w:val="00125686"/>
    <w:rsid w:val="001256F2"/>
    <w:rsid w:val="001257EE"/>
    <w:rsid w:val="001257F3"/>
    <w:rsid w:val="001257F6"/>
    <w:rsid w:val="00125831"/>
    <w:rsid w:val="00125878"/>
    <w:rsid w:val="0012587E"/>
    <w:rsid w:val="00125894"/>
    <w:rsid w:val="00125B2D"/>
    <w:rsid w:val="00125BFC"/>
    <w:rsid w:val="00125C07"/>
    <w:rsid w:val="00125F49"/>
    <w:rsid w:val="00125FB0"/>
    <w:rsid w:val="0012603E"/>
    <w:rsid w:val="00126215"/>
    <w:rsid w:val="0012628F"/>
    <w:rsid w:val="00126293"/>
    <w:rsid w:val="001263B8"/>
    <w:rsid w:val="0012661F"/>
    <w:rsid w:val="0012663F"/>
    <w:rsid w:val="00126647"/>
    <w:rsid w:val="00126733"/>
    <w:rsid w:val="001267E3"/>
    <w:rsid w:val="0012698F"/>
    <w:rsid w:val="001269D7"/>
    <w:rsid w:val="00126A73"/>
    <w:rsid w:val="00126B11"/>
    <w:rsid w:val="00126D23"/>
    <w:rsid w:val="00126D4A"/>
    <w:rsid w:val="00126E19"/>
    <w:rsid w:val="00126E64"/>
    <w:rsid w:val="00126FAE"/>
    <w:rsid w:val="00127061"/>
    <w:rsid w:val="001270DC"/>
    <w:rsid w:val="00127249"/>
    <w:rsid w:val="001273EB"/>
    <w:rsid w:val="001273F1"/>
    <w:rsid w:val="00127543"/>
    <w:rsid w:val="001275B1"/>
    <w:rsid w:val="00127691"/>
    <w:rsid w:val="0012774C"/>
    <w:rsid w:val="00127767"/>
    <w:rsid w:val="0012776D"/>
    <w:rsid w:val="0012778B"/>
    <w:rsid w:val="0012778F"/>
    <w:rsid w:val="00127801"/>
    <w:rsid w:val="0012789C"/>
    <w:rsid w:val="001279C9"/>
    <w:rsid w:val="001279D0"/>
    <w:rsid w:val="00127B87"/>
    <w:rsid w:val="00127EEA"/>
    <w:rsid w:val="00127F06"/>
    <w:rsid w:val="0013022A"/>
    <w:rsid w:val="001302C7"/>
    <w:rsid w:val="0013038D"/>
    <w:rsid w:val="00130402"/>
    <w:rsid w:val="0013052F"/>
    <w:rsid w:val="00130566"/>
    <w:rsid w:val="001305A6"/>
    <w:rsid w:val="00130605"/>
    <w:rsid w:val="00130655"/>
    <w:rsid w:val="0013065D"/>
    <w:rsid w:val="001306BA"/>
    <w:rsid w:val="001306DA"/>
    <w:rsid w:val="001306FD"/>
    <w:rsid w:val="0013073E"/>
    <w:rsid w:val="0013096E"/>
    <w:rsid w:val="0013098D"/>
    <w:rsid w:val="00130AA9"/>
    <w:rsid w:val="00130BB4"/>
    <w:rsid w:val="00130FE2"/>
    <w:rsid w:val="00131360"/>
    <w:rsid w:val="001314AE"/>
    <w:rsid w:val="00131554"/>
    <w:rsid w:val="00131578"/>
    <w:rsid w:val="001315BE"/>
    <w:rsid w:val="0013160E"/>
    <w:rsid w:val="00131743"/>
    <w:rsid w:val="00131752"/>
    <w:rsid w:val="00131A43"/>
    <w:rsid w:val="00131C80"/>
    <w:rsid w:val="00131CCB"/>
    <w:rsid w:val="00131E8D"/>
    <w:rsid w:val="00131EE0"/>
    <w:rsid w:val="00131F73"/>
    <w:rsid w:val="001321C0"/>
    <w:rsid w:val="001322AA"/>
    <w:rsid w:val="00132422"/>
    <w:rsid w:val="0013252D"/>
    <w:rsid w:val="00132582"/>
    <w:rsid w:val="001325B9"/>
    <w:rsid w:val="00132767"/>
    <w:rsid w:val="00132859"/>
    <w:rsid w:val="00132945"/>
    <w:rsid w:val="001329F9"/>
    <w:rsid w:val="00132B77"/>
    <w:rsid w:val="00132C00"/>
    <w:rsid w:val="00132C62"/>
    <w:rsid w:val="00132D59"/>
    <w:rsid w:val="00132DB8"/>
    <w:rsid w:val="00132EB1"/>
    <w:rsid w:val="00132EB6"/>
    <w:rsid w:val="00133145"/>
    <w:rsid w:val="0013317F"/>
    <w:rsid w:val="001331A8"/>
    <w:rsid w:val="001331D9"/>
    <w:rsid w:val="00133242"/>
    <w:rsid w:val="001332EF"/>
    <w:rsid w:val="0013333F"/>
    <w:rsid w:val="001334B7"/>
    <w:rsid w:val="00133610"/>
    <w:rsid w:val="00133700"/>
    <w:rsid w:val="001337B1"/>
    <w:rsid w:val="00133A2D"/>
    <w:rsid w:val="00133CFF"/>
    <w:rsid w:val="00133E9C"/>
    <w:rsid w:val="00133FB9"/>
    <w:rsid w:val="00133FFC"/>
    <w:rsid w:val="00134120"/>
    <w:rsid w:val="001341AB"/>
    <w:rsid w:val="001341B3"/>
    <w:rsid w:val="0013427C"/>
    <w:rsid w:val="00134344"/>
    <w:rsid w:val="00134549"/>
    <w:rsid w:val="001346B1"/>
    <w:rsid w:val="00134711"/>
    <w:rsid w:val="0013482B"/>
    <w:rsid w:val="00134A5E"/>
    <w:rsid w:val="00134AB9"/>
    <w:rsid w:val="00134B4B"/>
    <w:rsid w:val="00134BE0"/>
    <w:rsid w:val="00134C56"/>
    <w:rsid w:val="00134CC1"/>
    <w:rsid w:val="00134D1E"/>
    <w:rsid w:val="00134DA2"/>
    <w:rsid w:val="00134E52"/>
    <w:rsid w:val="00134E81"/>
    <w:rsid w:val="00135041"/>
    <w:rsid w:val="0013517C"/>
    <w:rsid w:val="0013529E"/>
    <w:rsid w:val="0013534F"/>
    <w:rsid w:val="001353BA"/>
    <w:rsid w:val="0013555A"/>
    <w:rsid w:val="001355EC"/>
    <w:rsid w:val="00135715"/>
    <w:rsid w:val="0013578A"/>
    <w:rsid w:val="001357B1"/>
    <w:rsid w:val="001357D5"/>
    <w:rsid w:val="00135922"/>
    <w:rsid w:val="0013592C"/>
    <w:rsid w:val="00135965"/>
    <w:rsid w:val="00135BB0"/>
    <w:rsid w:val="00135C1A"/>
    <w:rsid w:val="00135CDC"/>
    <w:rsid w:val="00135D3C"/>
    <w:rsid w:val="00135E4B"/>
    <w:rsid w:val="00135E9A"/>
    <w:rsid w:val="00135F08"/>
    <w:rsid w:val="00135FFB"/>
    <w:rsid w:val="001360DF"/>
    <w:rsid w:val="001364B0"/>
    <w:rsid w:val="00136543"/>
    <w:rsid w:val="0013660A"/>
    <w:rsid w:val="00136755"/>
    <w:rsid w:val="001367AA"/>
    <w:rsid w:val="00136870"/>
    <w:rsid w:val="001369C2"/>
    <w:rsid w:val="001369FC"/>
    <w:rsid w:val="00136C2E"/>
    <w:rsid w:val="00136EC2"/>
    <w:rsid w:val="00137577"/>
    <w:rsid w:val="0013759A"/>
    <w:rsid w:val="001375B2"/>
    <w:rsid w:val="001375E5"/>
    <w:rsid w:val="00137609"/>
    <w:rsid w:val="001376E5"/>
    <w:rsid w:val="001376F1"/>
    <w:rsid w:val="001378BD"/>
    <w:rsid w:val="001378FA"/>
    <w:rsid w:val="00137AB4"/>
    <w:rsid w:val="00137B03"/>
    <w:rsid w:val="00137B97"/>
    <w:rsid w:val="00137BAB"/>
    <w:rsid w:val="00137C06"/>
    <w:rsid w:val="00137C33"/>
    <w:rsid w:val="00137D3F"/>
    <w:rsid w:val="00137DFD"/>
    <w:rsid w:val="00137FF3"/>
    <w:rsid w:val="00140059"/>
    <w:rsid w:val="001401E0"/>
    <w:rsid w:val="00140246"/>
    <w:rsid w:val="0014028D"/>
    <w:rsid w:val="001402A3"/>
    <w:rsid w:val="00140502"/>
    <w:rsid w:val="00140568"/>
    <w:rsid w:val="00140624"/>
    <w:rsid w:val="00140726"/>
    <w:rsid w:val="00140763"/>
    <w:rsid w:val="001408EF"/>
    <w:rsid w:val="00140A50"/>
    <w:rsid w:val="00140AC6"/>
    <w:rsid w:val="00140ACA"/>
    <w:rsid w:val="00140B3E"/>
    <w:rsid w:val="00140BDD"/>
    <w:rsid w:val="00140C6D"/>
    <w:rsid w:val="00140C87"/>
    <w:rsid w:val="00140DB5"/>
    <w:rsid w:val="00140DD3"/>
    <w:rsid w:val="00140F2D"/>
    <w:rsid w:val="0014102F"/>
    <w:rsid w:val="00141133"/>
    <w:rsid w:val="00141163"/>
    <w:rsid w:val="001411FD"/>
    <w:rsid w:val="001413E6"/>
    <w:rsid w:val="001417A4"/>
    <w:rsid w:val="00141845"/>
    <w:rsid w:val="00141887"/>
    <w:rsid w:val="0014188B"/>
    <w:rsid w:val="0014192D"/>
    <w:rsid w:val="00141A80"/>
    <w:rsid w:val="00141C98"/>
    <w:rsid w:val="00141F70"/>
    <w:rsid w:val="00142023"/>
    <w:rsid w:val="0014205B"/>
    <w:rsid w:val="001420E8"/>
    <w:rsid w:val="00142170"/>
    <w:rsid w:val="0014221C"/>
    <w:rsid w:val="001424D3"/>
    <w:rsid w:val="0014256A"/>
    <w:rsid w:val="00142588"/>
    <w:rsid w:val="00142642"/>
    <w:rsid w:val="0014266B"/>
    <w:rsid w:val="00142677"/>
    <w:rsid w:val="001428DA"/>
    <w:rsid w:val="00142A12"/>
    <w:rsid w:val="00142ADA"/>
    <w:rsid w:val="00142B7A"/>
    <w:rsid w:val="00142CE0"/>
    <w:rsid w:val="00142DA9"/>
    <w:rsid w:val="00142DE0"/>
    <w:rsid w:val="00142E50"/>
    <w:rsid w:val="00142F27"/>
    <w:rsid w:val="00142F55"/>
    <w:rsid w:val="0014309F"/>
    <w:rsid w:val="001432DD"/>
    <w:rsid w:val="0014332C"/>
    <w:rsid w:val="0014344F"/>
    <w:rsid w:val="00143517"/>
    <w:rsid w:val="001436C1"/>
    <w:rsid w:val="00143702"/>
    <w:rsid w:val="00143710"/>
    <w:rsid w:val="0014384B"/>
    <w:rsid w:val="001439CD"/>
    <w:rsid w:val="00143A3C"/>
    <w:rsid w:val="00143A7B"/>
    <w:rsid w:val="00143AFB"/>
    <w:rsid w:val="00143C44"/>
    <w:rsid w:val="00143CDF"/>
    <w:rsid w:val="00143D07"/>
    <w:rsid w:val="00143E71"/>
    <w:rsid w:val="00143ED7"/>
    <w:rsid w:val="00143EE5"/>
    <w:rsid w:val="00144342"/>
    <w:rsid w:val="00144384"/>
    <w:rsid w:val="00144393"/>
    <w:rsid w:val="001445E6"/>
    <w:rsid w:val="001448A8"/>
    <w:rsid w:val="00144900"/>
    <w:rsid w:val="00144C26"/>
    <w:rsid w:val="00144C80"/>
    <w:rsid w:val="00144D8A"/>
    <w:rsid w:val="00144E67"/>
    <w:rsid w:val="00144E95"/>
    <w:rsid w:val="00144F50"/>
    <w:rsid w:val="00145034"/>
    <w:rsid w:val="00145496"/>
    <w:rsid w:val="001454D1"/>
    <w:rsid w:val="0014563D"/>
    <w:rsid w:val="0014587D"/>
    <w:rsid w:val="0014590E"/>
    <w:rsid w:val="0014593A"/>
    <w:rsid w:val="00145970"/>
    <w:rsid w:val="00145971"/>
    <w:rsid w:val="0014599E"/>
    <w:rsid w:val="00145AFA"/>
    <w:rsid w:val="00145C5E"/>
    <w:rsid w:val="00145D9B"/>
    <w:rsid w:val="00145F8D"/>
    <w:rsid w:val="00146186"/>
    <w:rsid w:val="00146283"/>
    <w:rsid w:val="001464CB"/>
    <w:rsid w:val="0014654C"/>
    <w:rsid w:val="001466A9"/>
    <w:rsid w:val="00146717"/>
    <w:rsid w:val="001467A5"/>
    <w:rsid w:val="0014702E"/>
    <w:rsid w:val="00147119"/>
    <w:rsid w:val="0014715A"/>
    <w:rsid w:val="0014722D"/>
    <w:rsid w:val="00147291"/>
    <w:rsid w:val="001472F6"/>
    <w:rsid w:val="0014738B"/>
    <w:rsid w:val="0014743E"/>
    <w:rsid w:val="00147497"/>
    <w:rsid w:val="001475BE"/>
    <w:rsid w:val="00147603"/>
    <w:rsid w:val="001477D0"/>
    <w:rsid w:val="00147A8B"/>
    <w:rsid w:val="00147B0D"/>
    <w:rsid w:val="00147C2C"/>
    <w:rsid w:val="00147D6D"/>
    <w:rsid w:val="00147E19"/>
    <w:rsid w:val="00147F06"/>
    <w:rsid w:val="00147F25"/>
    <w:rsid w:val="0014F346"/>
    <w:rsid w:val="00150261"/>
    <w:rsid w:val="0015029A"/>
    <w:rsid w:val="001502C1"/>
    <w:rsid w:val="001503F7"/>
    <w:rsid w:val="001504D9"/>
    <w:rsid w:val="0015062A"/>
    <w:rsid w:val="001506EC"/>
    <w:rsid w:val="0015087B"/>
    <w:rsid w:val="001509B3"/>
    <w:rsid w:val="00150A4D"/>
    <w:rsid w:val="00150B1F"/>
    <w:rsid w:val="00150CB4"/>
    <w:rsid w:val="00150D42"/>
    <w:rsid w:val="00150FDA"/>
    <w:rsid w:val="00151031"/>
    <w:rsid w:val="00151050"/>
    <w:rsid w:val="001511F0"/>
    <w:rsid w:val="0015125D"/>
    <w:rsid w:val="0015125F"/>
    <w:rsid w:val="00151261"/>
    <w:rsid w:val="0015127A"/>
    <w:rsid w:val="00151293"/>
    <w:rsid w:val="001512D9"/>
    <w:rsid w:val="001513DD"/>
    <w:rsid w:val="00151649"/>
    <w:rsid w:val="001516A8"/>
    <w:rsid w:val="00151754"/>
    <w:rsid w:val="00151AB0"/>
    <w:rsid w:val="00151BA5"/>
    <w:rsid w:val="00151BA8"/>
    <w:rsid w:val="00151BE5"/>
    <w:rsid w:val="00151EE2"/>
    <w:rsid w:val="00152058"/>
    <w:rsid w:val="00152168"/>
    <w:rsid w:val="0015217B"/>
    <w:rsid w:val="001521CA"/>
    <w:rsid w:val="001522F9"/>
    <w:rsid w:val="00152323"/>
    <w:rsid w:val="00152386"/>
    <w:rsid w:val="00152399"/>
    <w:rsid w:val="00152502"/>
    <w:rsid w:val="001525DB"/>
    <w:rsid w:val="001526E8"/>
    <w:rsid w:val="001527DB"/>
    <w:rsid w:val="001529C5"/>
    <w:rsid w:val="00152A34"/>
    <w:rsid w:val="00152B8E"/>
    <w:rsid w:val="00152BB4"/>
    <w:rsid w:val="00152CDA"/>
    <w:rsid w:val="00152F76"/>
    <w:rsid w:val="00152FAF"/>
    <w:rsid w:val="00152FC6"/>
    <w:rsid w:val="00153131"/>
    <w:rsid w:val="001532FF"/>
    <w:rsid w:val="001533BB"/>
    <w:rsid w:val="00153500"/>
    <w:rsid w:val="00153590"/>
    <w:rsid w:val="001535DE"/>
    <w:rsid w:val="00153624"/>
    <w:rsid w:val="00153641"/>
    <w:rsid w:val="001536A6"/>
    <w:rsid w:val="001536AE"/>
    <w:rsid w:val="0015380D"/>
    <w:rsid w:val="00153940"/>
    <w:rsid w:val="00153A0F"/>
    <w:rsid w:val="00153A69"/>
    <w:rsid w:val="00153B47"/>
    <w:rsid w:val="00153C69"/>
    <w:rsid w:val="00153D4B"/>
    <w:rsid w:val="00154181"/>
    <w:rsid w:val="001543A3"/>
    <w:rsid w:val="00154404"/>
    <w:rsid w:val="00154478"/>
    <w:rsid w:val="0015447D"/>
    <w:rsid w:val="0015453B"/>
    <w:rsid w:val="00154756"/>
    <w:rsid w:val="0015475E"/>
    <w:rsid w:val="00154766"/>
    <w:rsid w:val="00154785"/>
    <w:rsid w:val="00154789"/>
    <w:rsid w:val="001547D8"/>
    <w:rsid w:val="00154957"/>
    <w:rsid w:val="001549BE"/>
    <w:rsid w:val="00154A92"/>
    <w:rsid w:val="00154AC5"/>
    <w:rsid w:val="00154B4B"/>
    <w:rsid w:val="00154D21"/>
    <w:rsid w:val="00154D72"/>
    <w:rsid w:val="00154DCF"/>
    <w:rsid w:val="00154FBC"/>
    <w:rsid w:val="00155080"/>
    <w:rsid w:val="001551A5"/>
    <w:rsid w:val="001551CB"/>
    <w:rsid w:val="00155263"/>
    <w:rsid w:val="001552E9"/>
    <w:rsid w:val="00155404"/>
    <w:rsid w:val="0015544B"/>
    <w:rsid w:val="001554AD"/>
    <w:rsid w:val="00155565"/>
    <w:rsid w:val="0015557A"/>
    <w:rsid w:val="0015560F"/>
    <w:rsid w:val="00155686"/>
    <w:rsid w:val="001556DA"/>
    <w:rsid w:val="001557BF"/>
    <w:rsid w:val="001557DD"/>
    <w:rsid w:val="00155856"/>
    <w:rsid w:val="00155923"/>
    <w:rsid w:val="00155994"/>
    <w:rsid w:val="00155B1A"/>
    <w:rsid w:val="00155B96"/>
    <w:rsid w:val="00155BB2"/>
    <w:rsid w:val="00155D9B"/>
    <w:rsid w:val="00155E1A"/>
    <w:rsid w:val="00155E74"/>
    <w:rsid w:val="00155F18"/>
    <w:rsid w:val="00155F20"/>
    <w:rsid w:val="00155FEB"/>
    <w:rsid w:val="00156207"/>
    <w:rsid w:val="00156560"/>
    <w:rsid w:val="001565E0"/>
    <w:rsid w:val="001565F6"/>
    <w:rsid w:val="00156634"/>
    <w:rsid w:val="0015666D"/>
    <w:rsid w:val="0015668A"/>
    <w:rsid w:val="001566AB"/>
    <w:rsid w:val="0015674A"/>
    <w:rsid w:val="001569FF"/>
    <w:rsid w:val="00156A6E"/>
    <w:rsid w:val="00156A86"/>
    <w:rsid w:val="00156DA2"/>
    <w:rsid w:val="00156E03"/>
    <w:rsid w:val="00156F01"/>
    <w:rsid w:val="00157156"/>
    <w:rsid w:val="00157270"/>
    <w:rsid w:val="001572A2"/>
    <w:rsid w:val="0015754E"/>
    <w:rsid w:val="0015778A"/>
    <w:rsid w:val="00157878"/>
    <w:rsid w:val="00157BFF"/>
    <w:rsid w:val="00157D1A"/>
    <w:rsid w:val="00157F65"/>
    <w:rsid w:val="0015ADC8"/>
    <w:rsid w:val="0016002F"/>
    <w:rsid w:val="0016010C"/>
    <w:rsid w:val="001601D2"/>
    <w:rsid w:val="001601F7"/>
    <w:rsid w:val="00160233"/>
    <w:rsid w:val="001603D5"/>
    <w:rsid w:val="0016055D"/>
    <w:rsid w:val="0016063C"/>
    <w:rsid w:val="00160662"/>
    <w:rsid w:val="0016080F"/>
    <w:rsid w:val="00160A3C"/>
    <w:rsid w:val="00160A61"/>
    <w:rsid w:val="00160C86"/>
    <w:rsid w:val="00160D26"/>
    <w:rsid w:val="00160E2A"/>
    <w:rsid w:val="00160EC7"/>
    <w:rsid w:val="001611B1"/>
    <w:rsid w:val="001611CF"/>
    <w:rsid w:val="00161259"/>
    <w:rsid w:val="001612FF"/>
    <w:rsid w:val="00161495"/>
    <w:rsid w:val="0016149A"/>
    <w:rsid w:val="00161551"/>
    <w:rsid w:val="00161753"/>
    <w:rsid w:val="0016179E"/>
    <w:rsid w:val="00161845"/>
    <w:rsid w:val="001618AB"/>
    <w:rsid w:val="001619CA"/>
    <w:rsid w:val="00161B62"/>
    <w:rsid w:val="00161C74"/>
    <w:rsid w:val="00161C81"/>
    <w:rsid w:val="00161CCC"/>
    <w:rsid w:val="00161DF3"/>
    <w:rsid w:val="00161E94"/>
    <w:rsid w:val="00161EAB"/>
    <w:rsid w:val="00161F2B"/>
    <w:rsid w:val="00161FC9"/>
    <w:rsid w:val="00162056"/>
    <w:rsid w:val="00162093"/>
    <w:rsid w:val="001622CD"/>
    <w:rsid w:val="00162366"/>
    <w:rsid w:val="001623C8"/>
    <w:rsid w:val="001624C4"/>
    <w:rsid w:val="0016253A"/>
    <w:rsid w:val="0016285C"/>
    <w:rsid w:val="00162873"/>
    <w:rsid w:val="00162A79"/>
    <w:rsid w:val="00162AB2"/>
    <w:rsid w:val="00162B75"/>
    <w:rsid w:val="00162C71"/>
    <w:rsid w:val="00162E37"/>
    <w:rsid w:val="00163457"/>
    <w:rsid w:val="001635BD"/>
    <w:rsid w:val="0016360F"/>
    <w:rsid w:val="00163621"/>
    <w:rsid w:val="001636A8"/>
    <w:rsid w:val="001637BC"/>
    <w:rsid w:val="001637BE"/>
    <w:rsid w:val="00163839"/>
    <w:rsid w:val="001638AC"/>
    <w:rsid w:val="001638E8"/>
    <w:rsid w:val="0016395E"/>
    <w:rsid w:val="00163A7C"/>
    <w:rsid w:val="00163A84"/>
    <w:rsid w:val="00163B9B"/>
    <w:rsid w:val="00163C16"/>
    <w:rsid w:val="00163E99"/>
    <w:rsid w:val="00163FCE"/>
    <w:rsid w:val="00164094"/>
    <w:rsid w:val="00164175"/>
    <w:rsid w:val="001643EA"/>
    <w:rsid w:val="001644C9"/>
    <w:rsid w:val="001644DD"/>
    <w:rsid w:val="00164574"/>
    <w:rsid w:val="00164596"/>
    <w:rsid w:val="00164650"/>
    <w:rsid w:val="001646FD"/>
    <w:rsid w:val="001649C5"/>
    <w:rsid w:val="001649F9"/>
    <w:rsid w:val="00164A52"/>
    <w:rsid w:val="00164A78"/>
    <w:rsid w:val="00164AFA"/>
    <w:rsid w:val="00164E54"/>
    <w:rsid w:val="00164E57"/>
    <w:rsid w:val="00164E95"/>
    <w:rsid w:val="00164ED3"/>
    <w:rsid w:val="0016521C"/>
    <w:rsid w:val="0016532A"/>
    <w:rsid w:val="0016532C"/>
    <w:rsid w:val="00165420"/>
    <w:rsid w:val="001654E1"/>
    <w:rsid w:val="0016562D"/>
    <w:rsid w:val="0016563D"/>
    <w:rsid w:val="00165842"/>
    <w:rsid w:val="001659D2"/>
    <w:rsid w:val="001659ED"/>
    <w:rsid w:val="00165B9E"/>
    <w:rsid w:val="00165D0A"/>
    <w:rsid w:val="00165D4F"/>
    <w:rsid w:val="00165DA3"/>
    <w:rsid w:val="00165DE6"/>
    <w:rsid w:val="00165FB9"/>
    <w:rsid w:val="001660D7"/>
    <w:rsid w:val="0016621F"/>
    <w:rsid w:val="00166369"/>
    <w:rsid w:val="00166647"/>
    <w:rsid w:val="0016669E"/>
    <w:rsid w:val="00166B79"/>
    <w:rsid w:val="00166BC6"/>
    <w:rsid w:val="00166DED"/>
    <w:rsid w:val="00166E80"/>
    <w:rsid w:val="00166E9D"/>
    <w:rsid w:val="00166FC9"/>
    <w:rsid w:val="00166FF5"/>
    <w:rsid w:val="00166FFB"/>
    <w:rsid w:val="00167055"/>
    <w:rsid w:val="00167100"/>
    <w:rsid w:val="00167171"/>
    <w:rsid w:val="00167299"/>
    <w:rsid w:val="001673A6"/>
    <w:rsid w:val="00167449"/>
    <w:rsid w:val="001675EA"/>
    <w:rsid w:val="00167848"/>
    <w:rsid w:val="0016787E"/>
    <w:rsid w:val="0016790D"/>
    <w:rsid w:val="00167935"/>
    <w:rsid w:val="00167B9B"/>
    <w:rsid w:val="00167BEE"/>
    <w:rsid w:val="00167D9F"/>
    <w:rsid w:val="00170063"/>
    <w:rsid w:val="00170372"/>
    <w:rsid w:val="0017045B"/>
    <w:rsid w:val="001704B7"/>
    <w:rsid w:val="0017072A"/>
    <w:rsid w:val="0017073F"/>
    <w:rsid w:val="0017074B"/>
    <w:rsid w:val="00170868"/>
    <w:rsid w:val="0017094E"/>
    <w:rsid w:val="00170A95"/>
    <w:rsid w:val="00170B95"/>
    <w:rsid w:val="00170C85"/>
    <w:rsid w:val="00170E0E"/>
    <w:rsid w:val="00170F7E"/>
    <w:rsid w:val="00171073"/>
    <w:rsid w:val="0017121F"/>
    <w:rsid w:val="001712C9"/>
    <w:rsid w:val="001712DD"/>
    <w:rsid w:val="00171588"/>
    <w:rsid w:val="00171643"/>
    <w:rsid w:val="001716E7"/>
    <w:rsid w:val="00171730"/>
    <w:rsid w:val="00171752"/>
    <w:rsid w:val="0017185F"/>
    <w:rsid w:val="001718E4"/>
    <w:rsid w:val="001718FE"/>
    <w:rsid w:val="0017192C"/>
    <w:rsid w:val="00171B0F"/>
    <w:rsid w:val="00171BE3"/>
    <w:rsid w:val="00171C0A"/>
    <w:rsid w:val="00171C8D"/>
    <w:rsid w:val="00171CE8"/>
    <w:rsid w:val="00171D3E"/>
    <w:rsid w:val="00171DBA"/>
    <w:rsid w:val="00171DEA"/>
    <w:rsid w:val="00171E8F"/>
    <w:rsid w:val="00171F33"/>
    <w:rsid w:val="00171FC7"/>
    <w:rsid w:val="0017204F"/>
    <w:rsid w:val="00172055"/>
    <w:rsid w:val="00172499"/>
    <w:rsid w:val="00172515"/>
    <w:rsid w:val="001727F6"/>
    <w:rsid w:val="00172882"/>
    <w:rsid w:val="00172B9F"/>
    <w:rsid w:val="00172D0B"/>
    <w:rsid w:val="00172E87"/>
    <w:rsid w:val="00172E97"/>
    <w:rsid w:val="00172F6F"/>
    <w:rsid w:val="00173048"/>
    <w:rsid w:val="001730B8"/>
    <w:rsid w:val="00173250"/>
    <w:rsid w:val="00173283"/>
    <w:rsid w:val="001732D9"/>
    <w:rsid w:val="001732E6"/>
    <w:rsid w:val="001734BE"/>
    <w:rsid w:val="00173536"/>
    <w:rsid w:val="0017363C"/>
    <w:rsid w:val="00173739"/>
    <w:rsid w:val="001737FC"/>
    <w:rsid w:val="00173932"/>
    <w:rsid w:val="0017399B"/>
    <w:rsid w:val="001739AE"/>
    <w:rsid w:val="001739B4"/>
    <w:rsid w:val="00173D39"/>
    <w:rsid w:val="00173E82"/>
    <w:rsid w:val="00173F51"/>
    <w:rsid w:val="00173F69"/>
    <w:rsid w:val="00173FA5"/>
    <w:rsid w:val="001741C3"/>
    <w:rsid w:val="001742B8"/>
    <w:rsid w:val="00174459"/>
    <w:rsid w:val="0017449E"/>
    <w:rsid w:val="001744C3"/>
    <w:rsid w:val="001747AE"/>
    <w:rsid w:val="00174A46"/>
    <w:rsid w:val="00174BA6"/>
    <w:rsid w:val="00174DAA"/>
    <w:rsid w:val="00174E96"/>
    <w:rsid w:val="00174ED3"/>
    <w:rsid w:val="0017514C"/>
    <w:rsid w:val="001753F7"/>
    <w:rsid w:val="001754C5"/>
    <w:rsid w:val="001754D7"/>
    <w:rsid w:val="001754DB"/>
    <w:rsid w:val="001754F1"/>
    <w:rsid w:val="001754F3"/>
    <w:rsid w:val="001755BE"/>
    <w:rsid w:val="00175635"/>
    <w:rsid w:val="00175B4F"/>
    <w:rsid w:val="00175BEE"/>
    <w:rsid w:val="00175CA3"/>
    <w:rsid w:val="00175DBF"/>
    <w:rsid w:val="00175F5E"/>
    <w:rsid w:val="00175FA5"/>
    <w:rsid w:val="00176015"/>
    <w:rsid w:val="001762CD"/>
    <w:rsid w:val="0017631B"/>
    <w:rsid w:val="00176322"/>
    <w:rsid w:val="00176450"/>
    <w:rsid w:val="00176598"/>
    <w:rsid w:val="00176645"/>
    <w:rsid w:val="00176806"/>
    <w:rsid w:val="00176895"/>
    <w:rsid w:val="00176926"/>
    <w:rsid w:val="00176A92"/>
    <w:rsid w:val="00176ADD"/>
    <w:rsid w:val="00176B56"/>
    <w:rsid w:val="00176BCA"/>
    <w:rsid w:val="00176CA8"/>
    <w:rsid w:val="00176F98"/>
    <w:rsid w:val="00176F99"/>
    <w:rsid w:val="001770FE"/>
    <w:rsid w:val="00177200"/>
    <w:rsid w:val="001772B1"/>
    <w:rsid w:val="001773C4"/>
    <w:rsid w:val="0017747F"/>
    <w:rsid w:val="001774AA"/>
    <w:rsid w:val="001774F6"/>
    <w:rsid w:val="001775B5"/>
    <w:rsid w:val="00177712"/>
    <w:rsid w:val="00177740"/>
    <w:rsid w:val="0017786A"/>
    <w:rsid w:val="001778CD"/>
    <w:rsid w:val="00177A6B"/>
    <w:rsid w:val="00177B41"/>
    <w:rsid w:val="00177C6E"/>
    <w:rsid w:val="00177D1A"/>
    <w:rsid w:val="00177D1E"/>
    <w:rsid w:val="00177D7E"/>
    <w:rsid w:val="00177E74"/>
    <w:rsid w:val="00177EB9"/>
    <w:rsid w:val="00177FA3"/>
    <w:rsid w:val="0017F7A7"/>
    <w:rsid w:val="00180075"/>
    <w:rsid w:val="0018022E"/>
    <w:rsid w:val="00180391"/>
    <w:rsid w:val="001804FF"/>
    <w:rsid w:val="00180599"/>
    <w:rsid w:val="0018073A"/>
    <w:rsid w:val="001807A8"/>
    <w:rsid w:val="001807AC"/>
    <w:rsid w:val="001807B2"/>
    <w:rsid w:val="0018080F"/>
    <w:rsid w:val="00180891"/>
    <w:rsid w:val="00180913"/>
    <w:rsid w:val="0018094D"/>
    <w:rsid w:val="00180A11"/>
    <w:rsid w:val="00180B13"/>
    <w:rsid w:val="00180BAA"/>
    <w:rsid w:val="00180C68"/>
    <w:rsid w:val="00180D17"/>
    <w:rsid w:val="00180D3C"/>
    <w:rsid w:val="00180D46"/>
    <w:rsid w:val="00180FBF"/>
    <w:rsid w:val="001810E4"/>
    <w:rsid w:val="001811CD"/>
    <w:rsid w:val="001816FC"/>
    <w:rsid w:val="00181738"/>
    <w:rsid w:val="001819B3"/>
    <w:rsid w:val="00181A80"/>
    <w:rsid w:val="00181B83"/>
    <w:rsid w:val="00181C23"/>
    <w:rsid w:val="00181DF4"/>
    <w:rsid w:val="00181EB3"/>
    <w:rsid w:val="00182014"/>
    <w:rsid w:val="0018209D"/>
    <w:rsid w:val="00182125"/>
    <w:rsid w:val="00182209"/>
    <w:rsid w:val="0018236C"/>
    <w:rsid w:val="0018238B"/>
    <w:rsid w:val="0018246B"/>
    <w:rsid w:val="00182644"/>
    <w:rsid w:val="0018267F"/>
    <w:rsid w:val="00182A10"/>
    <w:rsid w:val="00182A6B"/>
    <w:rsid w:val="00182AFA"/>
    <w:rsid w:val="00182BAA"/>
    <w:rsid w:val="00182BD4"/>
    <w:rsid w:val="00182D39"/>
    <w:rsid w:val="00182D58"/>
    <w:rsid w:val="00182E2B"/>
    <w:rsid w:val="00182E5B"/>
    <w:rsid w:val="00183141"/>
    <w:rsid w:val="00183200"/>
    <w:rsid w:val="00183218"/>
    <w:rsid w:val="001832DC"/>
    <w:rsid w:val="0018332F"/>
    <w:rsid w:val="001833FF"/>
    <w:rsid w:val="001834F8"/>
    <w:rsid w:val="0018364B"/>
    <w:rsid w:val="001837A7"/>
    <w:rsid w:val="00183829"/>
    <w:rsid w:val="00183A06"/>
    <w:rsid w:val="00183A75"/>
    <w:rsid w:val="00183CDA"/>
    <w:rsid w:val="00183EB8"/>
    <w:rsid w:val="00184023"/>
    <w:rsid w:val="00184059"/>
    <w:rsid w:val="001841D8"/>
    <w:rsid w:val="00184316"/>
    <w:rsid w:val="00184448"/>
    <w:rsid w:val="0018448D"/>
    <w:rsid w:val="001844A7"/>
    <w:rsid w:val="001845D4"/>
    <w:rsid w:val="001846EA"/>
    <w:rsid w:val="001847C9"/>
    <w:rsid w:val="001847F7"/>
    <w:rsid w:val="00184BC9"/>
    <w:rsid w:val="00184C1B"/>
    <w:rsid w:val="00184D1F"/>
    <w:rsid w:val="00184D6A"/>
    <w:rsid w:val="00184EC0"/>
    <w:rsid w:val="00184EE1"/>
    <w:rsid w:val="00185068"/>
    <w:rsid w:val="001852E7"/>
    <w:rsid w:val="00185489"/>
    <w:rsid w:val="001854C9"/>
    <w:rsid w:val="001855AA"/>
    <w:rsid w:val="001855EF"/>
    <w:rsid w:val="001856B7"/>
    <w:rsid w:val="0018585A"/>
    <w:rsid w:val="0018589F"/>
    <w:rsid w:val="001858EB"/>
    <w:rsid w:val="00185942"/>
    <w:rsid w:val="00185AC0"/>
    <w:rsid w:val="00185B5A"/>
    <w:rsid w:val="00185CA1"/>
    <w:rsid w:val="00185E06"/>
    <w:rsid w:val="00186486"/>
    <w:rsid w:val="001866D0"/>
    <w:rsid w:val="001868D1"/>
    <w:rsid w:val="0018695F"/>
    <w:rsid w:val="00186987"/>
    <w:rsid w:val="00186A94"/>
    <w:rsid w:val="00186AD3"/>
    <w:rsid w:val="00186EF8"/>
    <w:rsid w:val="00187186"/>
    <w:rsid w:val="00187230"/>
    <w:rsid w:val="001873A9"/>
    <w:rsid w:val="00187431"/>
    <w:rsid w:val="001874AF"/>
    <w:rsid w:val="001876A9"/>
    <w:rsid w:val="001876F9"/>
    <w:rsid w:val="0018799F"/>
    <w:rsid w:val="00187A1C"/>
    <w:rsid w:val="00187B88"/>
    <w:rsid w:val="00187BD6"/>
    <w:rsid w:val="00187BE8"/>
    <w:rsid w:val="00187D3A"/>
    <w:rsid w:val="00187D3F"/>
    <w:rsid w:val="00187E4F"/>
    <w:rsid w:val="00187E99"/>
    <w:rsid w:val="00187F4E"/>
    <w:rsid w:val="0019000A"/>
    <w:rsid w:val="00190154"/>
    <w:rsid w:val="00190181"/>
    <w:rsid w:val="00190240"/>
    <w:rsid w:val="0019035B"/>
    <w:rsid w:val="001903F4"/>
    <w:rsid w:val="00190471"/>
    <w:rsid w:val="001904AD"/>
    <w:rsid w:val="00190589"/>
    <w:rsid w:val="001906DF"/>
    <w:rsid w:val="0019072A"/>
    <w:rsid w:val="001907DE"/>
    <w:rsid w:val="0019096C"/>
    <w:rsid w:val="00190D1B"/>
    <w:rsid w:val="00190D2F"/>
    <w:rsid w:val="00190E4F"/>
    <w:rsid w:val="00190ED9"/>
    <w:rsid w:val="00191030"/>
    <w:rsid w:val="001910CD"/>
    <w:rsid w:val="001910EA"/>
    <w:rsid w:val="0019114F"/>
    <w:rsid w:val="00191193"/>
    <w:rsid w:val="00191264"/>
    <w:rsid w:val="001913BF"/>
    <w:rsid w:val="001914E0"/>
    <w:rsid w:val="001916BA"/>
    <w:rsid w:val="00191752"/>
    <w:rsid w:val="00191777"/>
    <w:rsid w:val="0019177C"/>
    <w:rsid w:val="00191883"/>
    <w:rsid w:val="00191B40"/>
    <w:rsid w:val="00191C15"/>
    <w:rsid w:val="00191C75"/>
    <w:rsid w:val="00191CF7"/>
    <w:rsid w:val="00191E28"/>
    <w:rsid w:val="00191E34"/>
    <w:rsid w:val="00191F63"/>
    <w:rsid w:val="001920C9"/>
    <w:rsid w:val="001921BD"/>
    <w:rsid w:val="00192278"/>
    <w:rsid w:val="0019227F"/>
    <w:rsid w:val="001922EA"/>
    <w:rsid w:val="0019239E"/>
    <w:rsid w:val="001923B3"/>
    <w:rsid w:val="00192895"/>
    <w:rsid w:val="00192973"/>
    <w:rsid w:val="00192A67"/>
    <w:rsid w:val="00192AC6"/>
    <w:rsid w:val="00192C1E"/>
    <w:rsid w:val="00192D1F"/>
    <w:rsid w:val="00192D46"/>
    <w:rsid w:val="00192D4E"/>
    <w:rsid w:val="00192DA7"/>
    <w:rsid w:val="00192DE8"/>
    <w:rsid w:val="00192E43"/>
    <w:rsid w:val="00192E82"/>
    <w:rsid w:val="001930DC"/>
    <w:rsid w:val="0019317A"/>
    <w:rsid w:val="0019329F"/>
    <w:rsid w:val="00193402"/>
    <w:rsid w:val="0019341C"/>
    <w:rsid w:val="00193499"/>
    <w:rsid w:val="001934FE"/>
    <w:rsid w:val="00193605"/>
    <w:rsid w:val="00193629"/>
    <w:rsid w:val="001936EB"/>
    <w:rsid w:val="00193769"/>
    <w:rsid w:val="00193778"/>
    <w:rsid w:val="00193B73"/>
    <w:rsid w:val="00193C2E"/>
    <w:rsid w:val="00193CD9"/>
    <w:rsid w:val="00193D10"/>
    <w:rsid w:val="00193E0E"/>
    <w:rsid w:val="00193F2C"/>
    <w:rsid w:val="00193FF1"/>
    <w:rsid w:val="00194020"/>
    <w:rsid w:val="0019417A"/>
    <w:rsid w:val="00194257"/>
    <w:rsid w:val="001942C1"/>
    <w:rsid w:val="001942C9"/>
    <w:rsid w:val="001942E2"/>
    <w:rsid w:val="00194387"/>
    <w:rsid w:val="001943BA"/>
    <w:rsid w:val="001945CD"/>
    <w:rsid w:val="001946BE"/>
    <w:rsid w:val="001949BC"/>
    <w:rsid w:val="001949E4"/>
    <w:rsid w:val="00194A3F"/>
    <w:rsid w:val="00194B3A"/>
    <w:rsid w:val="00194B3D"/>
    <w:rsid w:val="00194D11"/>
    <w:rsid w:val="00194E59"/>
    <w:rsid w:val="0019502C"/>
    <w:rsid w:val="001951FE"/>
    <w:rsid w:val="00195482"/>
    <w:rsid w:val="0019566E"/>
    <w:rsid w:val="0019585C"/>
    <w:rsid w:val="00195998"/>
    <w:rsid w:val="001959B2"/>
    <w:rsid w:val="00195AD2"/>
    <w:rsid w:val="00195BAA"/>
    <w:rsid w:val="00195F41"/>
    <w:rsid w:val="001960BB"/>
    <w:rsid w:val="001961B5"/>
    <w:rsid w:val="00196288"/>
    <w:rsid w:val="0019631E"/>
    <w:rsid w:val="00196353"/>
    <w:rsid w:val="001964D9"/>
    <w:rsid w:val="00196537"/>
    <w:rsid w:val="001965C2"/>
    <w:rsid w:val="00196955"/>
    <w:rsid w:val="00196975"/>
    <w:rsid w:val="00196A0A"/>
    <w:rsid w:val="00196A13"/>
    <w:rsid w:val="00196C7A"/>
    <w:rsid w:val="0019707E"/>
    <w:rsid w:val="0019710C"/>
    <w:rsid w:val="001972FD"/>
    <w:rsid w:val="00197361"/>
    <w:rsid w:val="00197376"/>
    <w:rsid w:val="00197548"/>
    <w:rsid w:val="001975D4"/>
    <w:rsid w:val="00197705"/>
    <w:rsid w:val="00197A1E"/>
    <w:rsid w:val="00197A8C"/>
    <w:rsid w:val="00197F9A"/>
    <w:rsid w:val="001A0090"/>
    <w:rsid w:val="001A00C9"/>
    <w:rsid w:val="001A0465"/>
    <w:rsid w:val="001A0474"/>
    <w:rsid w:val="001A076C"/>
    <w:rsid w:val="001A08C2"/>
    <w:rsid w:val="001A0A56"/>
    <w:rsid w:val="001A0BD8"/>
    <w:rsid w:val="001A0DCF"/>
    <w:rsid w:val="001A0FA4"/>
    <w:rsid w:val="001A104D"/>
    <w:rsid w:val="001A1121"/>
    <w:rsid w:val="001A1363"/>
    <w:rsid w:val="001A1373"/>
    <w:rsid w:val="001A13D5"/>
    <w:rsid w:val="001A13E9"/>
    <w:rsid w:val="001A15B6"/>
    <w:rsid w:val="001A193A"/>
    <w:rsid w:val="001A19D8"/>
    <w:rsid w:val="001A1A58"/>
    <w:rsid w:val="001A1A6A"/>
    <w:rsid w:val="001A1B4D"/>
    <w:rsid w:val="001A1B4E"/>
    <w:rsid w:val="001A1CD9"/>
    <w:rsid w:val="001A1D4C"/>
    <w:rsid w:val="001A1D98"/>
    <w:rsid w:val="001A1FA7"/>
    <w:rsid w:val="001A1FD3"/>
    <w:rsid w:val="001A1FFD"/>
    <w:rsid w:val="001A2077"/>
    <w:rsid w:val="001A2082"/>
    <w:rsid w:val="001A2089"/>
    <w:rsid w:val="001A213A"/>
    <w:rsid w:val="001A218D"/>
    <w:rsid w:val="001A22AF"/>
    <w:rsid w:val="001A23F9"/>
    <w:rsid w:val="001A2532"/>
    <w:rsid w:val="001A2589"/>
    <w:rsid w:val="001A25B1"/>
    <w:rsid w:val="001A272A"/>
    <w:rsid w:val="001A2782"/>
    <w:rsid w:val="001A2931"/>
    <w:rsid w:val="001A2A14"/>
    <w:rsid w:val="001A2A2C"/>
    <w:rsid w:val="001A2ABA"/>
    <w:rsid w:val="001A2AFB"/>
    <w:rsid w:val="001A2C21"/>
    <w:rsid w:val="001A2C8F"/>
    <w:rsid w:val="001A2C98"/>
    <w:rsid w:val="001A2D43"/>
    <w:rsid w:val="001A2DD6"/>
    <w:rsid w:val="001A2EE8"/>
    <w:rsid w:val="001A2FC0"/>
    <w:rsid w:val="001A303A"/>
    <w:rsid w:val="001A30F8"/>
    <w:rsid w:val="001A317E"/>
    <w:rsid w:val="001A355E"/>
    <w:rsid w:val="001A36C3"/>
    <w:rsid w:val="001A36FB"/>
    <w:rsid w:val="001A377A"/>
    <w:rsid w:val="001A37DD"/>
    <w:rsid w:val="001A386A"/>
    <w:rsid w:val="001A3A24"/>
    <w:rsid w:val="001A3B5D"/>
    <w:rsid w:val="001A3CB6"/>
    <w:rsid w:val="001A3CEB"/>
    <w:rsid w:val="001A3D7F"/>
    <w:rsid w:val="001A3E72"/>
    <w:rsid w:val="001A3E9D"/>
    <w:rsid w:val="001A3F85"/>
    <w:rsid w:val="001A4068"/>
    <w:rsid w:val="001A41D5"/>
    <w:rsid w:val="001A426C"/>
    <w:rsid w:val="001A458F"/>
    <w:rsid w:val="001A45FA"/>
    <w:rsid w:val="001A4713"/>
    <w:rsid w:val="001A47F2"/>
    <w:rsid w:val="001A4931"/>
    <w:rsid w:val="001A494C"/>
    <w:rsid w:val="001A4A08"/>
    <w:rsid w:val="001A4BD9"/>
    <w:rsid w:val="001A4C15"/>
    <w:rsid w:val="001A4E96"/>
    <w:rsid w:val="001A4EA8"/>
    <w:rsid w:val="001A4F8D"/>
    <w:rsid w:val="001A5025"/>
    <w:rsid w:val="001A5075"/>
    <w:rsid w:val="001A5110"/>
    <w:rsid w:val="001A51C1"/>
    <w:rsid w:val="001A5345"/>
    <w:rsid w:val="001A540F"/>
    <w:rsid w:val="001A5547"/>
    <w:rsid w:val="001A5559"/>
    <w:rsid w:val="001A56B7"/>
    <w:rsid w:val="001A576E"/>
    <w:rsid w:val="001A5AA3"/>
    <w:rsid w:val="001A5B55"/>
    <w:rsid w:val="001A5CC1"/>
    <w:rsid w:val="001A5CE3"/>
    <w:rsid w:val="001A5D18"/>
    <w:rsid w:val="001A5FDB"/>
    <w:rsid w:val="001A606E"/>
    <w:rsid w:val="001A60AC"/>
    <w:rsid w:val="001A6164"/>
    <w:rsid w:val="001A6238"/>
    <w:rsid w:val="001A6276"/>
    <w:rsid w:val="001A6546"/>
    <w:rsid w:val="001A65F3"/>
    <w:rsid w:val="001A65F5"/>
    <w:rsid w:val="001A6636"/>
    <w:rsid w:val="001A66FF"/>
    <w:rsid w:val="001A673E"/>
    <w:rsid w:val="001A67AB"/>
    <w:rsid w:val="001A68A4"/>
    <w:rsid w:val="001A68FD"/>
    <w:rsid w:val="001A696C"/>
    <w:rsid w:val="001A69DF"/>
    <w:rsid w:val="001A6AE7"/>
    <w:rsid w:val="001A6BA9"/>
    <w:rsid w:val="001A6C4E"/>
    <w:rsid w:val="001A6E33"/>
    <w:rsid w:val="001A6F00"/>
    <w:rsid w:val="001A7018"/>
    <w:rsid w:val="001A70B8"/>
    <w:rsid w:val="001A712F"/>
    <w:rsid w:val="001A717D"/>
    <w:rsid w:val="001A7350"/>
    <w:rsid w:val="001A7373"/>
    <w:rsid w:val="001A7452"/>
    <w:rsid w:val="001A7642"/>
    <w:rsid w:val="001A769A"/>
    <w:rsid w:val="001A76EC"/>
    <w:rsid w:val="001A7783"/>
    <w:rsid w:val="001A7888"/>
    <w:rsid w:val="001A7903"/>
    <w:rsid w:val="001A7B0A"/>
    <w:rsid w:val="001A7C40"/>
    <w:rsid w:val="001A7FAF"/>
    <w:rsid w:val="001A7FBA"/>
    <w:rsid w:val="001ABBA0"/>
    <w:rsid w:val="001B002E"/>
    <w:rsid w:val="001B00A7"/>
    <w:rsid w:val="001B0161"/>
    <w:rsid w:val="001B016F"/>
    <w:rsid w:val="001B0185"/>
    <w:rsid w:val="001B035E"/>
    <w:rsid w:val="001B046B"/>
    <w:rsid w:val="001B0474"/>
    <w:rsid w:val="001B0723"/>
    <w:rsid w:val="001B0760"/>
    <w:rsid w:val="001B077A"/>
    <w:rsid w:val="001B07A8"/>
    <w:rsid w:val="001B0831"/>
    <w:rsid w:val="001B091E"/>
    <w:rsid w:val="001B09DF"/>
    <w:rsid w:val="001B0A68"/>
    <w:rsid w:val="001B0DE2"/>
    <w:rsid w:val="001B0EDB"/>
    <w:rsid w:val="001B0FDE"/>
    <w:rsid w:val="001B1059"/>
    <w:rsid w:val="001B110A"/>
    <w:rsid w:val="001B1132"/>
    <w:rsid w:val="001B11B3"/>
    <w:rsid w:val="001B130E"/>
    <w:rsid w:val="001B1364"/>
    <w:rsid w:val="001B13CE"/>
    <w:rsid w:val="001B1477"/>
    <w:rsid w:val="001B15EA"/>
    <w:rsid w:val="001B18BD"/>
    <w:rsid w:val="001B1922"/>
    <w:rsid w:val="001B1958"/>
    <w:rsid w:val="001B19CB"/>
    <w:rsid w:val="001B1A04"/>
    <w:rsid w:val="001B1A50"/>
    <w:rsid w:val="001B1AA4"/>
    <w:rsid w:val="001B1AC9"/>
    <w:rsid w:val="001B1B38"/>
    <w:rsid w:val="001B1E6E"/>
    <w:rsid w:val="001B1EC0"/>
    <w:rsid w:val="001B2172"/>
    <w:rsid w:val="001B21EB"/>
    <w:rsid w:val="001B21ED"/>
    <w:rsid w:val="001B254C"/>
    <w:rsid w:val="001B255E"/>
    <w:rsid w:val="001B25F7"/>
    <w:rsid w:val="001B2610"/>
    <w:rsid w:val="001B26B7"/>
    <w:rsid w:val="001B2712"/>
    <w:rsid w:val="001B28F4"/>
    <w:rsid w:val="001B290F"/>
    <w:rsid w:val="001B2AA5"/>
    <w:rsid w:val="001B2AFE"/>
    <w:rsid w:val="001B2BB7"/>
    <w:rsid w:val="001B2EC7"/>
    <w:rsid w:val="001B311D"/>
    <w:rsid w:val="001B316A"/>
    <w:rsid w:val="001B3383"/>
    <w:rsid w:val="001B338B"/>
    <w:rsid w:val="001B33F7"/>
    <w:rsid w:val="001B34C1"/>
    <w:rsid w:val="001B35E8"/>
    <w:rsid w:val="001B368B"/>
    <w:rsid w:val="001B38D8"/>
    <w:rsid w:val="001B399E"/>
    <w:rsid w:val="001B39A3"/>
    <w:rsid w:val="001B39E1"/>
    <w:rsid w:val="001B3AF8"/>
    <w:rsid w:val="001B3B52"/>
    <w:rsid w:val="001B3C63"/>
    <w:rsid w:val="001B3D14"/>
    <w:rsid w:val="001B3D55"/>
    <w:rsid w:val="001B3DE9"/>
    <w:rsid w:val="001B3E1E"/>
    <w:rsid w:val="001B3F64"/>
    <w:rsid w:val="001B4090"/>
    <w:rsid w:val="001B416D"/>
    <w:rsid w:val="001B4488"/>
    <w:rsid w:val="001B4545"/>
    <w:rsid w:val="001B4674"/>
    <w:rsid w:val="001B475F"/>
    <w:rsid w:val="001B4898"/>
    <w:rsid w:val="001B494E"/>
    <w:rsid w:val="001B49E0"/>
    <w:rsid w:val="001B4BC5"/>
    <w:rsid w:val="001B4C76"/>
    <w:rsid w:val="001B4CAE"/>
    <w:rsid w:val="001B4D5A"/>
    <w:rsid w:val="001B4F34"/>
    <w:rsid w:val="001B5136"/>
    <w:rsid w:val="001B51D0"/>
    <w:rsid w:val="001B524C"/>
    <w:rsid w:val="001B52B0"/>
    <w:rsid w:val="001B549D"/>
    <w:rsid w:val="001B54A0"/>
    <w:rsid w:val="001B54C6"/>
    <w:rsid w:val="001B552C"/>
    <w:rsid w:val="001B59E2"/>
    <w:rsid w:val="001B5B43"/>
    <w:rsid w:val="001B5BA9"/>
    <w:rsid w:val="001B5C3C"/>
    <w:rsid w:val="001B5CF6"/>
    <w:rsid w:val="001B5D09"/>
    <w:rsid w:val="001B5E66"/>
    <w:rsid w:val="001B5ED2"/>
    <w:rsid w:val="001B5FDE"/>
    <w:rsid w:val="001B60DA"/>
    <w:rsid w:val="001B6199"/>
    <w:rsid w:val="001B6369"/>
    <w:rsid w:val="001B6459"/>
    <w:rsid w:val="001B67E3"/>
    <w:rsid w:val="001B6811"/>
    <w:rsid w:val="001B68BE"/>
    <w:rsid w:val="001B68C7"/>
    <w:rsid w:val="001B6ACE"/>
    <w:rsid w:val="001B6B46"/>
    <w:rsid w:val="001B6B7B"/>
    <w:rsid w:val="001B6CBB"/>
    <w:rsid w:val="001B6F86"/>
    <w:rsid w:val="001B6FCA"/>
    <w:rsid w:val="001B7286"/>
    <w:rsid w:val="001B7370"/>
    <w:rsid w:val="001B737E"/>
    <w:rsid w:val="001B73BF"/>
    <w:rsid w:val="001B741F"/>
    <w:rsid w:val="001B743B"/>
    <w:rsid w:val="001B7490"/>
    <w:rsid w:val="001B77A6"/>
    <w:rsid w:val="001B79E4"/>
    <w:rsid w:val="001B7A27"/>
    <w:rsid w:val="001B7B83"/>
    <w:rsid w:val="001B7C99"/>
    <w:rsid w:val="001B7D61"/>
    <w:rsid w:val="001B7DC6"/>
    <w:rsid w:val="001B7E58"/>
    <w:rsid w:val="001B7EFC"/>
    <w:rsid w:val="001B7F6A"/>
    <w:rsid w:val="001C02CD"/>
    <w:rsid w:val="001C039E"/>
    <w:rsid w:val="001C03F8"/>
    <w:rsid w:val="001C04BB"/>
    <w:rsid w:val="001C06B7"/>
    <w:rsid w:val="001C07A5"/>
    <w:rsid w:val="001C07CF"/>
    <w:rsid w:val="001C082A"/>
    <w:rsid w:val="001C0912"/>
    <w:rsid w:val="001C0930"/>
    <w:rsid w:val="001C0A10"/>
    <w:rsid w:val="001C0A8C"/>
    <w:rsid w:val="001C0D88"/>
    <w:rsid w:val="001C0DFD"/>
    <w:rsid w:val="001C0E5A"/>
    <w:rsid w:val="001C0EDB"/>
    <w:rsid w:val="001C0FF0"/>
    <w:rsid w:val="001C1303"/>
    <w:rsid w:val="001C1343"/>
    <w:rsid w:val="001C13C2"/>
    <w:rsid w:val="001C144D"/>
    <w:rsid w:val="001C14C6"/>
    <w:rsid w:val="001C151F"/>
    <w:rsid w:val="001C171E"/>
    <w:rsid w:val="001C1736"/>
    <w:rsid w:val="001C174B"/>
    <w:rsid w:val="001C17EC"/>
    <w:rsid w:val="001C1832"/>
    <w:rsid w:val="001C1C39"/>
    <w:rsid w:val="001C1D4B"/>
    <w:rsid w:val="001C1DAB"/>
    <w:rsid w:val="001C207A"/>
    <w:rsid w:val="001C2155"/>
    <w:rsid w:val="001C2569"/>
    <w:rsid w:val="001C25A0"/>
    <w:rsid w:val="001C25E5"/>
    <w:rsid w:val="001C26B9"/>
    <w:rsid w:val="001C273D"/>
    <w:rsid w:val="001C284B"/>
    <w:rsid w:val="001C2969"/>
    <w:rsid w:val="001C29AF"/>
    <w:rsid w:val="001C29C6"/>
    <w:rsid w:val="001C2D2B"/>
    <w:rsid w:val="001C2D35"/>
    <w:rsid w:val="001C2FB3"/>
    <w:rsid w:val="001C3137"/>
    <w:rsid w:val="001C31B3"/>
    <w:rsid w:val="001C31CB"/>
    <w:rsid w:val="001C31DC"/>
    <w:rsid w:val="001C32F8"/>
    <w:rsid w:val="001C3374"/>
    <w:rsid w:val="001C3432"/>
    <w:rsid w:val="001C368E"/>
    <w:rsid w:val="001C36F3"/>
    <w:rsid w:val="001C3749"/>
    <w:rsid w:val="001C3DD7"/>
    <w:rsid w:val="001C3E90"/>
    <w:rsid w:val="001C3EA8"/>
    <w:rsid w:val="001C4284"/>
    <w:rsid w:val="001C428D"/>
    <w:rsid w:val="001C4390"/>
    <w:rsid w:val="001C458E"/>
    <w:rsid w:val="001C4988"/>
    <w:rsid w:val="001C49CC"/>
    <w:rsid w:val="001C49F1"/>
    <w:rsid w:val="001C4C06"/>
    <w:rsid w:val="001C4C7D"/>
    <w:rsid w:val="001C4CEF"/>
    <w:rsid w:val="001C4DC7"/>
    <w:rsid w:val="001C4F0A"/>
    <w:rsid w:val="001C5126"/>
    <w:rsid w:val="001C51A2"/>
    <w:rsid w:val="001C51AF"/>
    <w:rsid w:val="001C53AA"/>
    <w:rsid w:val="001C559C"/>
    <w:rsid w:val="001C5616"/>
    <w:rsid w:val="001C56A6"/>
    <w:rsid w:val="001C57A1"/>
    <w:rsid w:val="001C5959"/>
    <w:rsid w:val="001C5C3C"/>
    <w:rsid w:val="001C5D22"/>
    <w:rsid w:val="001C5F6C"/>
    <w:rsid w:val="001C6023"/>
    <w:rsid w:val="001C6033"/>
    <w:rsid w:val="001C6065"/>
    <w:rsid w:val="001C61FE"/>
    <w:rsid w:val="001C6222"/>
    <w:rsid w:val="001C6299"/>
    <w:rsid w:val="001C642F"/>
    <w:rsid w:val="001C64BD"/>
    <w:rsid w:val="001C653A"/>
    <w:rsid w:val="001C68BB"/>
    <w:rsid w:val="001C6982"/>
    <w:rsid w:val="001C6D80"/>
    <w:rsid w:val="001C6D8D"/>
    <w:rsid w:val="001C6DE0"/>
    <w:rsid w:val="001C6EFA"/>
    <w:rsid w:val="001C707C"/>
    <w:rsid w:val="001C7235"/>
    <w:rsid w:val="001C723E"/>
    <w:rsid w:val="001C7266"/>
    <w:rsid w:val="001C72B3"/>
    <w:rsid w:val="001C756B"/>
    <w:rsid w:val="001C767E"/>
    <w:rsid w:val="001C781D"/>
    <w:rsid w:val="001C7912"/>
    <w:rsid w:val="001C7968"/>
    <w:rsid w:val="001C7BCE"/>
    <w:rsid w:val="001C7E65"/>
    <w:rsid w:val="001C7F1B"/>
    <w:rsid w:val="001D0486"/>
    <w:rsid w:val="001D049F"/>
    <w:rsid w:val="001D0557"/>
    <w:rsid w:val="001D06A1"/>
    <w:rsid w:val="001D08FD"/>
    <w:rsid w:val="001D0AAC"/>
    <w:rsid w:val="001D0AE5"/>
    <w:rsid w:val="001D0B75"/>
    <w:rsid w:val="001D0C71"/>
    <w:rsid w:val="001D0D54"/>
    <w:rsid w:val="001D0F00"/>
    <w:rsid w:val="001D107A"/>
    <w:rsid w:val="001D10F5"/>
    <w:rsid w:val="001D1430"/>
    <w:rsid w:val="001D14A1"/>
    <w:rsid w:val="001D170C"/>
    <w:rsid w:val="001D176B"/>
    <w:rsid w:val="001D1786"/>
    <w:rsid w:val="001D1A2B"/>
    <w:rsid w:val="001D1A31"/>
    <w:rsid w:val="001D1A35"/>
    <w:rsid w:val="001D1A3F"/>
    <w:rsid w:val="001D1BDF"/>
    <w:rsid w:val="001D1D55"/>
    <w:rsid w:val="001D1D76"/>
    <w:rsid w:val="001D1DD7"/>
    <w:rsid w:val="001D1E21"/>
    <w:rsid w:val="001D1E44"/>
    <w:rsid w:val="001D1E54"/>
    <w:rsid w:val="001D20A1"/>
    <w:rsid w:val="001D21EB"/>
    <w:rsid w:val="001D2295"/>
    <w:rsid w:val="001D2395"/>
    <w:rsid w:val="001D2699"/>
    <w:rsid w:val="001D2788"/>
    <w:rsid w:val="001D27B2"/>
    <w:rsid w:val="001D2975"/>
    <w:rsid w:val="001D2B22"/>
    <w:rsid w:val="001D2B7F"/>
    <w:rsid w:val="001D2BAC"/>
    <w:rsid w:val="001D2D17"/>
    <w:rsid w:val="001D2DB2"/>
    <w:rsid w:val="001D2DB7"/>
    <w:rsid w:val="001D2EE1"/>
    <w:rsid w:val="001D2F5E"/>
    <w:rsid w:val="001D30B1"/>
    <w:rsid w:val="001D3630"/>
    <w:rsid w:val="001D370B"/>
    <w:rsid w:val="001D37B5"/>
    <w:rsid w:val="001D37B7"/>
    <w:rsid w:val="001D39EA"/>
    <w:rsid w:val="001D3A05"/>
    <w:rsid w:val="001D3A54"/>
    <w:rsid w:val="001D3ACE"/>
    <w:rsid w:val="001D3CA9"/>
    <w:rsid w:val="001D3DB2"/>
    <w:rsid w:val="001D3E84"/>
    <w:rsid w:val="001D3E96"/>
    <w:rsid w:val="001D3F70"/>
    <w:rsid w:val="001D3F95"/>
    <w:rsid w:val="001D3FB4"/>
    <w:rsid w:val="001D4082"/>
    <w:rsid w:val="001D4190"/>
    <w:rsid w:val="001D4326"/>
    <w:rsid w:val="001D454D"/>
    <w:rsid w:val="001D457F"/>
    <w:rsid w:val="001D47F7"/>
    <w:rsid w:val="001D4A0B"/>
    <w:rsid w:val="001D4B18"/>
    <w:rsid w:val="001D4B1B"/>
    <w:rsid w:val="001D4FEA"/>
    <w:rsid w:val="001D508D"/>
    <w:rsid w:val="001D523A"/>
    <w:rsid w:val="001D5270"/>
    <w:rsid w:val="001D5398"/>
    <w:rsid w:val="001D53AA"/>
    <w:rsid w:val="001D5561"/>
    <w:rsid w:val="001D59C0"/>
    <w:rsid w:val="001D5A9A"/>
    <w:rsid w:val="001D5B18"/>
    <w:rsid w:val="001D5B3E"/>
    <w:rsid w:val="001D5E76"/>
    <w:rsid w:val="001D5EDD"/>
    <w:rsid w:val="001D5F3D"/>
    <w:rsid w:val="001D608D"/>
    <w:rsid w:val="001D618F"/>
    <w:rsid w:val="001D64B1"/>
    <w:rsid w:val="001D652E"/>
    <w:rsid w:val="001D65BA"/>
    <w:rsid w:val="001D66A6"/>
    <w:rsid w:val="001D6710"/>
    <w:rsid w:val="001D67E7"/>
    <w:rsid w:val="001D68E0"/>
    <w:rsid w:val="001D6945"/>
    <w:rsid w:val="001D6AE8"/>
    <w:rsid w:val="001D6B46"/>
    <w:rsid w:val="001D6E2B"/>
    <w:rsid w:val="001D7074"/>
    <w:rsid w:val="001D708D"/>
    <w:rsid w:val="001D70E1"/>
    <w:rsid w:val="001D70E4"/>
    <w:rsid w:val="001D71AB"/>
    <w:rsid w:val="001D71D3"/>
    <w:rsid w:val="001D72DE"/>
    <w:rsid w:val="001D748D"/>
    <w:rsid w:val="001D7559"/>
    <w:rsid w:val="001D756A"/>
    <w:rsid w:val="001D7592"/>
    <w:rsid w:val="001D76AC"/>
    <w:rsid w:val="001D76EC"/>
    <w:rsid w:val="001D77DA"/>
    <w:rsid w:val="001D7811"/>
    <w:rsid w:val="001D7939"/>
    <w:rsid w:val="001D79F3"/>
    <w:rsid w:val="001D7B82"/>
    <w:rsid w:val="001D7C27"/>
    <w:rsid w:val="001D7E66"/>
    <w:rsid w:val="001D7FF6"/>
    <w:rsid w:val="001E0015"/>
    <w:rsid w:val="001E0242"/>
    <w:rsid w:val="001E02DF"/>
    <w:rsid w:val="001E03A3"/>
    <w:rsid w:val="001E04CF"/>
    <w:rsid w:val="001E0635"/>
    <w:rsid w:val="001E066D"/>
    <w:rsid w:val="001E06CE"/>
    <w:rsid w:val="001E078E"/>
    <w:rsid w:val="001E0801"/>
    <w:rsid w:val="001E08F4"/>
    <w:rsid w:val="001E0A5F"/>
    <w:rsid w:val="001E0BAD"/>
    <w:rsid w:val="001E0BCA"/>
    <w:rsid w:val="001E0CD8"/>
    <w:rsid w:val="001E0E77"/>
    <w:rsid w:val="001E0EC1"/>
    <w:rsid w:val="001E100A"/>
    <w:rsid w:val="001E1021"/>
    <w:rsid w:val="001E103C"/>
    <w:rsid w:val="001E107F"/>
    <w:rsid w:val="001E10BC"/>
    <w:rsid w:val="001E128E"/>
    <w:rsid w:val="001E12E4"/>
    <w:rsid w:val="001E137F"/>
    <w:rsid w:val="001E1446"/>
    <w:rsid w:val="001E1448"/>
    <w:rsid w:val="001E1493"/>
    <w:rsid w:val="001E14B1"/>
    <w:rsid w:val="001E161C"/>
    <w:rsid w:val="001E1712"/>
    <w:rsid w:val="001E17A5"/>
    <w:rsid w:val="001E194D"/>
    <w:rsid w:val="001E19F1"/>
    <w:rsid w:val="001E1A31"/>
    <w:rsid w:val="001E1B2B"/>
    <w:rsid w:val="001E1B5A"/>
    <w:rsid w:val="001E1C15"/>
    <w:rsid w:val="001E1C5D"/>
    <w:rsid w:val="001E1D9A"/>
    <w:rsid w:val="001E1E54"/>
    <w:rsid w:val="001E1FC3"/>
    <w:rsid w:val="001E2274"/>
    <w:rsid w:val="001E2399"/>
    <w:rsid w:val="001E2521"/>
    <w:rsid w:val="001E2551"/>
    <w:rsid w:val="001E25C4"/>
    <w:rsid w:val="001E2707"/>
    <w:rsid w:val="001E270C"/>
    <w:rsid w:val="001E283C"/>
    <w:rsid w:val="001E287A"/>
    <w:rsid w:val="001E2A0C"/>
    <w:rsid w:val="001E2B4A"/>
    <w:rsid w:val="001E2B66"/>
    <w:rsid w:val="001E2B6B"/>
    <w:rsid w:val="001E2D67"/>
    <w:rsid w:val="001E2EB8"/>
    <w:rsid w:val="001E2EB9"/>
    <w:rsid w:val="001E2F16"/>
    <w:rsid w:val="001E3019"/>
    <w:rsid w:val="001E302D"/>
    <w:rsid w:val="001E3178"/>
    <w:rsid w:val="001E32D6"/>
    <w:rsid w:val="001E3353"/>
    <w:rsid w:val="001E344E"/>
    <w:rsid w:val="001E34BE"/>
    <w:rsid w:val="001E3588"/>
    <w:rsid w:val="001E37EA"/>
    <w:rsid w:val="001E3815"/>
    <w:rsid w:val="001E3BB0"/>
    <w:rsid w:val="001E3CDF"/>
    <w:rsid w:val="001E3E34"/>
    <w:rsid w:val="001E3FD6"/>
    <w:rsid w:val="001E408D"/>
    <w:rsid w:val="001E41A5"/>
    <w:rsid w:val="001E41E3"/>
    <w:rsid w:val="001E423F"/>
    <w:rsid w:val="001E43DB"/>
    <w:rsid w:val="001E44E0"/>
    <w:rsid w:val="001E44FC"/>
    <w:rsid w:val="001E4507"/>
    <w:rsid w:val="001E4574"/>
    <w:rsid w:val="001E4694"/>
    <w:rsid w:val="001E46EF"/>
    <w:rsid w:val="001E4741"/>
    <w:rsid w:val="001E47FB"/>
    <w:rsid w:val="001E4902"/>
    <w:rsid w:val="001E4966"/>
    <w:rsid w:val="001E4B65"/>
    <w:rsid w:val="001E4C2A"/>
    <w:rsid w:val="001E4D5C"/>
    <w:rsid w:val="001E4DD0"/>
    <w:rsid w:val="001E4E11"/>
    <w:rsid w:val="001E4E50"/>
    <w:rsid w:val="001E4E6B"/>
    <w:rsid w:val="001E4F44"/>
    <w:rsid w:val="001E4F71"/>
    <w:rsid w:val="001E5023"/>
    <w:rsid w:val="001E518F"/>
    <w:rsid w:val="001E51FC"/>
    <w:rsid w:val="001E538E"/>
    <w:rsid w:val="001E5900"/>
    <w:rsid w:val="001E5A19"/>
    <w:rsid w:val="001E5A7C"/>
    <w:rsid w:val="001E5AE7"/>
    <w:rsid w:val="001E5BCA"/>
    <w:rsid w:val="001E5C2A"/>
    <w:rsid w:val="001E5C58"/>
    <w:rsid w:val="001E5CD5"/>
    <w:rsid w:val="001E5E46"/>
    <w:rsid w:val="001E5E4F"/>
    <w:rsid w:val="001E5EBB"/>
    <w:rsid w:val="001E5F53"/>
    <w:rsid w:val="001E5FB9"/>
    <w:rsid w:val="001E601F"/>
    <w:rsid w:val="001E62F9"/>
    <w:rsid w:val="001E6496"/>
    <w:rsid w:val="001E659E"/>
    <w:rsid w:val="001E6703"/>
    <w:rsid w:val="001E674D"/>
    <w:rsid w:val="001E69FE"/>
    <w:rsid w:val="001E6AB5"/>
    <w:rsid w:val="001E6BDB"/>
    <w:rsid w:val="001E6C76"/>
    <w:rsid w:val="001E6C85"/>
    <w:rsid w:val="001E6D34"/>
    <w:rsid w:val="001E6E83"/>
    <w:rsid w:val="001E6EF2"/>
    <w:rsid w:val="001E6F1F"/>
    <w:rsid w:val="001E6F78"/>
    <w:rsid w:val="001E70BD"/>
    <w:rsid w:val="001E710E"/>
    <w:rsid w:val="001E71D9"/>
    <w:rsid w:val="001E729D"/>
    <w:rsid w:val="001E7356"/>
    <w:rsid w:val="001E7376"/>
    <w:rsid w:val="001E743A"/>
    <w:rsid w:val="001E7569"/>
    <w:rsid w:val="001E7626"/>
    <w:rsid w:val="001E7653"/>
    <w:rsid w:val="001E77B2"/>
    <w:rsid w:val="001E7937"/>
    <w:rsid w:val="001E79BE"/>
    <w:rsid w:val="001E7AAC"/>
    <w:rsid w:val="001E7CBE"/>
    <w:rsid w:val="001E7FF3"/>
    <w:rsid w:val="001ED4E2"/>
    <w:rsid w:val="001EDF0A"/>
    <w:rsid w:val="001F0120"/>
    <w:rsid w:val="001F01F7"/>
    <w:rsid w:val="001F0267"/>
    <w:rsid w:val="001F0387"/>
    <w:rsid w:val="001F03A2"/>
    <w:rsid w:val="001F0407"/>
    <w:rsid w:val="001F0635"/>
    <w:rsid w:val="001F0749"/>
    <w:rsid w:val="001F07E1"/>
    <w:rsid w:val="001F0894"/>
    <w:rsid w:val="001F097C"/>
    <w:rsid w:val="001F0A7F"/>
    <w:rsid w:val="001F0ABA"/>
    <w:rsid w:val="001F0D00"/>
    <w:rsid w:val="001F0D20"/>
    <w:rsid w:val="001F0EFF"/>
    <w:rsid w:val="001F0FA1"/>
    <w:rsid w:val="001F1168"/>
    <w:rsid w:val="001F128A"/>
    <w:rsid w:val="001F12CA"/>
    <w:rsid w:val="001F1350"/>
    <w:rsid w:val="001F151F"/>
    <w:rsid w:val="001F15FD"/>
    <w:rsid w:val="001F1666"/>
    <w:rsid w:val="001F185B"/>
    <w:rsid w:val="001F188E"/>
    <w:rsid w:val="001F1AE9"/>
    <w:rsid w:val="001F1AFC"/>
    <w:rsid w:val="001F1B0F"/>
    <w:rsid w:val="001F1E8B"/>
    <w:rsid w:val="001F1ECE"/>
    <w:rsid w:val="001F1F68"/>
    <w:rsid w:val="001F1FCA"/>
    <w:rsid w:val="001F20A7"/>
    <w:rsid w:val="001F2225"/>
    <w:rsid w:val="001F23C0"/>
    <w:rsid w:val="001F2516"/>
    <w:rsid w:val="001F26F6"/>
    <w:rsid w:val="001F2A5C"/>
    <w:rsid w:val="001F2B11"/>
    <w:rsid w:val="001F2B53"/>
    <w:rsid w:val="001F2D74"/>
    <w:rsid w:val="001F2DDC"/>
    <w:rsid w:val="001F2E19"/>
    <w:rsid w:val="001F2E46"/>
    <w:rsid w:val="001F2E96"/>
    <w:rsid w:val="001F2F23"/>
    <w:rsid w:val="001F31D3"/>
    <w:rsid w:val="001F320E"/>
    <w:rsid w:val="001F3263"/>
    <w:rsid w:val="001F340D"/>
    <w:rsid w:val="001F359B"/>
    <w:rsid w:val="001F39C5"/>
    <w:rsid w:val="001F39DD"/>
    <w:rsid w:val="001F3AAA"/>
    <w:rsid w:val="001F3BF7"/>
    <w:rsid w:val="001F3D52"/>
    <w:rsid w:val="001F3D53"/>
    <w:rsid w:val="001F3E8D"/>
    <w:rsid w:val="001F41C0"/>
    <w:rsid w:val="001F4298"/>
    <w:rsid w:val="001F42D7"/>
    <w:rsid w:val="001F4439"/>
    <w:rsid w:val="001F4457"/>
    <w:rsid w:val="001F449A"/>
    <w:rsid w:val="001F45D5"/>
    <w:rsid w:val="001F4636"/>
    <w:rsid w:val="001F4672"/>
    <w:rsid w:val="001F47E1"/>
    <w:rsid w:val="001F47EE"/>
    <w:rsid w:val="001F4A66"/>
    <w:rsid w:val="001F4A8C"/>
    <w:rsid w:val="001F4B5A"/>
    <w:rsid w:val="001F4BD6"/>
    <w:rsid w:val="001F4C32"/>
    <w:rsid w:val="001F4C3E"/>
    <w:rsid w:val="001F4C4B"/>
    <w:rsid w:val="001F4D97"/>
    <w:rsid w:val="001F4DE9"/>
    <w:rsid w:val="001F4FC3"/>
    <w:rsid w:val="001F50DC"/>
    <w:rsid w:val="001F512C"/>
    <w:rsid w:val="001F5160"/>
    <w:rsid w:val="001F51A4"/>
    <w:rsid w:val="001F51AE"/>
    <w:rsid w:val="001F52B9"/>
    <w:rsid w:val="001F5321"/>
    <w:rsid w:val="001F53B7"/>
    <w:rsid w:val="001F53C0"/>
    <w:rsid w:val="001F53C4"/>
    <w:rsid w:val="001F5447"/>
    <w:rsid w:val="001F5553"/>
    <w:rsid w:val="001F555E"/>
    <w:rsid w:val="001F558D"/>
    <w:rsid w:val="001F5742"/>
    <w:rsid w:val="001F5A46"/>
    <w:rsid w:val="001F5C47"/>
    <w:rsid w:val="001F5E95"/>
    <w:rsid w:val="001F5F3B"/>
    <w:rsid w:val="001F5F57"/>
    <w:rsid w:val="001F61D1"/>
    <w:rsid w:val="001F6203"/>
    <w:rsid w:val="001F62CE"/>
    <w:rsid w:val="001F6465"/>
    <w:rsid w:val="001F6482"/>
    <w:rsid w:val="001F64DE"/>
    <w:rsid w:val="001F652B"/>
    <w:rsid w:val="001F6600"/>
    <w:rsid w:val="001F6609"/>
    <w:rsid w:val="001F68EB"/>
    <w:rsid w:val="001F6AB8"/>
    <w:rsid w:val="001F6B81"/>
    <w:rsid w:val="001F6CAB"/>
    <w:rsid w:val="001F6CF0"/>
    <w:rsid w:val="001F6DCD"/>
    <w:rsid w:val="001F6E3C"/>
    <w:rsid w:val="001F6FF8"/>
    <w:rsid w:val="001F7073"/>
    <w:rsid w:val="001F72B0"/>
    <w:rsid w:val="001F74ED"/>
    <w:rsid w:val="001F7599"/>
    <w:rsid w:val="001F75AA"/>
    <w:rsid w:val="001F76EA"/>
    <w:rsid w:val="001F7A99"/>
    <w:rsid w:val="001F7AB2"/>
    <w:rsid w:val="001F7C53"/>
    <w:rsid w:val="001F7DAB"/>
    <w:rsid w:val="001F7E98"/>
    <w:rsid w:val="001F7E9C"/>
    <w:rsid w:val="001F7F6F"/>
    <w:rsid w:val="00200171"/>
    <w:rsid w:val="00200232"/>
    <w:rsid w:val="0020041E"/>
    <w:rsid w:val="0020045F"/>
    <w:rsid w:val="0020052F"/>
    <w:rsid w:val="002005ED"/>
    <w:rsid w:val="00200924"/>
    <w:rsid w:val="002009EC"/>
    <w:rsid w:val="002009FA"/>
    <w:rsid w:val="00200A1B"/>
    <w:rsid w:val="00200A22"/>
    <w:rsid w:val="00200B47"/>
    <w:rsid w:val="00200D0D"/>
    <w:rsid w:val="00200D6F"/>
    <w:rsid w:val="00200E41"/>
    <w:rsid w:val="002010B6"/>
    <w:rsid w:val="0020112C"/>
    <w:rsid w:val="00201141"/>
    <w:rsid w:val="0020140D"/>
    <w:rsid w:val="0020156B"/>
    <w:rsid w:val="00201693"/>
    <w:rsid w:val="0020175D"/>
    <w:rsid w:val="002017AF"/>
    <w:rsid w:val="002018B1"/>
    <w:rsid w:val="002018B8"/>
    <w:rsid w:val="00201BE3"/>
    <w:rsid w:val="00201C3F"/>
    <w:rsid w:val="00201D44"/>
    <w:rsid w:val="00201E98"/>
    <w:rsid w:val="00201E9F"/>
    <w:rsid w:val="00201FB7"/>
    <w:rsid w:val="00201FE1"/>
    <w:rsid w:val="0020206E"/>
    <w:rsid w:val="00202134"/>
    <w:rsid w:val="00202260"/>
    <w:rsid w:val="00202423"/>
    <w:rsid w:val="00202474"/>
    <w:rsid w:val="002026D5"/>
    <w:rsid w:val="002026E6"/>
    <w:rsid w:val="00202770"/>
    <w:rsid w:val="002027B7"/>
    <w:rsid w:val="00202883"/>
    <w:rsid w:val="002029D9"/>
    <w:rsid w:val="00202BDB"/>
    <w:rsid w:val="00202E19"/>
    <w:rsid w:val="00202FAD"/>
    <w:rsid w:val="00203079"/>
    <w:rsid w:val="0020317A"/>
    <w:rsid w:val="00203249"/>
    <w:rsid w:val="00203253"/>
    <w:rsid w:val="0020329B"/>
    <w:rsid w:val="002032EB"/>
    <w:rsid w:val="002032FA"/>
    <w:rsid w:val="00203324"/>
    <w:rsid w:val="002034E9"/>
    <w:rsid w:val="002035A2"/>
    <w:rsid w:val="002035DF"/>
    <w:rsid w:val="002039EB"/>
    <w:rsid w:val="00203A42"/>
    <w:rsid w:val="00203BCA"/>
    <w:rsid w:val="00203BD1"/>
    <w:rsid w:val="00203BE4"/>
    <w:rsid w:val="00203C36"/>
    <w:rsid w:val="00203CA9"/>
    <w:rsid w:val="00203D71"/>
    <w:rsid w:val="00203DC2"/>
    <w:rsid w:val="00203FCE"/>
    <w:rsid w:val="00204030"/>
    <w:rsid w:val="002040C7"/>
    <w:rsid w:val="00204208"/>
    <w:rsid w:val="0020421C"/>
    <w:rsid w:val="0020421F"/>
    <w:rsid w:val="002042FB"/>
    <w:rsid w:val="00204401"/>
    <w:rsid w:val="0020441F"/>
    <w:rsid w:val="002045A1"/>
    <w:rsid w:val="002046B2"/>
    <w:rsid w:val="00204737"/>
    <w:rsid w:val="00204783"/>
    <w:rsid w:val="002048C9"/>
    <w:rsid w:val="002048DC"/>
    <w:rsid w:val="002048E2"/>
    <w:rsid w:val="0020495A"/>
    <w:rsid w:val="00204BC0"/>
    <w:rsid w:val="00204C71"/>
    <w:rsid w:val="00204D01"/>
    <w:rsid w:val="00204D33"/>
    <w:rsid w:val="00204E2A"/>
    <w:rsid w:val="00204E2C"/>
    <w:rsid w:val="00204E82"/>
    <w:rsid w:val="00204EBF"/>
    <w:rsid w:val="00204FE0"/>
    <w:rsid w:val="0020530D"/>
    <w:rsid w:val="00205314"/>
    <w:rsid w:val="002055B0"/>
    <w:rsid w:val="002058C0"/>
    <w:rsid w:val="00205903"/>
    <w:rsid w:val="00205C59"/>
    <w:rsid w:val="00205C60"/>
    <w:rsid w:val="00205CCC"/>
    <w:rsid w:val="00205E58"/>
    <w:rsid w:val="00205E83"/>
    <w:rsid w:val="00206094"/>
    <w:rsid w:val="0020617B"/>
    <w:rsid w:val="002062BD"/>
    <w:rsid w:val="002062EA"/>
    <w:rsid w:val="002063F4"/>
    <w:rsid w:val="002065EA"/>
    <w:rsid w:val="00206683"/>
    <w:rsid w:val="002067FD"/>
    <w:rsid w:val="00206945"/>
    <w:rsid w:val="00206A5E"/>
    <w:rsid w:val="00206A92"/>
    <w:rsid w:val="00206C14"/>
    <w:rsid w:val="00206E24"/>
    <w:rsid w:val="00207215"/>
    <w:rsid w:val="00207241"/>
    <w:rsid w:val="00207353"/>
    <w:rsid w:val="002075E3"/>
    <w:rsid w:val="002078CA"/>
    <w:rsid w:val="0020790D"/>
    <w:rsid w:val="00207920"/>
    <w:rsid w:val="00207ABE"/>
    <w:rsid w:val="00207AE5"/>
    <w:rsid w:val="00207B8A"/>
    <w:rsid w:val="00207CEC"/>
    <w:rsid w:val="00207D76"/>
    <w:rsid w:val="00207E41"/>
    <w:rsid w:val="00207E6E"/>
    <w:rsid w:val="00207EA1"/>
    <w:rsid w:val="00207EB2"/>
    <w:rsid w:val="00207F8A"/>
    <w:rsid w:val="0020E5D4"/>
    <w:rsid w:val="0020F559"/>
    <w:rsid w:val="00210152"/>
    <w:rsid w:val="002101B6"/>
    <w:rsid w:val="0021028B"/>
    <w:rsid w:val="0021037E"/>
    <w:rsid w:val="0021051F"/>
    <w:rsid w:val="0021052C"/>
    <w:rsid w:val="00210558"/>
    <w:rsid w:val="002105EB"/>
    <w:rsid w:val="00210668"/>
    <w:rsid w:val="002106AC"/>
    <w:rsid w:val="002107B2"/>
    <w:rsid w:val="0021085D"/>
    <w:rsid w:val="002108FB"/>
    <w:rsid w:val="002109BA"/>
    <w:rsid w:val="00210A18"/>
    <w:rsid w:val="00210A69"/>
    <w:rsid w:val="00210C53"/>
    <w:rsid w:val="00210D0A"/>
    <w:rsid w:val="00210D7C"/>
    <w:rsid w:val="00210D9D"/>
    <w:rsid w:val="00210DED"/>
    <w:rsid w:val="00210DFA"/>
    <w:rsid w:val="00210E36"/>
    <w:rsid w:val="00210E41"/>
    <w:rsid w:val="00210F18"/>
    <w:rsid w:val="00210F83"/>
    <w:rsid w:val="00211000"/>
    <w:rsid w:val="0021103F"/>
    <w:rsid w:val="002111E6"/>
    <w:rsid w:val="002111F5"/>
    <w:rsid w:val="00211424"/>
    <w:rsid w:val="002115B1"/>
    <w:rsid w:val="00211609"/>
    <w:rsid w:val="00211619"/>
    <w:rsid w:val="002116B7"/>
    <w:rsid w:val="00211716"/>
    <w:rsid w:val="00211785"/>
    <w:rsid w:val="0021194A"/>
    <w:rsid w:val="00211A49"/>
    <w:rsid w:val="00211AA8"/>
    <w:rsid w:val="00211B4F"/>
    <w:rsid w:val="002123F3"/>
    <w:rsid w:val="00212404"/>
    <w:rsid w:val="00212564"/>
    <w:rsid w:val="0021265B"/>
    <w:rsid w:val="0021266C"/>
    <w:rsid w:val="0021272F"/>
    <w:rsid w:val="00212790"/>
    <w:rsid w:val="00212852"/>
    <w:rsid w:val="00212898"/>
    <w:rsid w:val="002129FE"/>
    <w:rsid w:val="00212BFC"/>
    <w:rsid w:val="00212F8E"/>
    <w:rsid w:val="00213001"/>
    <w:rsid w:val="00213036"/>
    <w:rsid w:val="0021307A"/>
    <w:rsid w:val="002130B2"/>
    <w:rsid w:val="00213152"/>
    <w:rsid w:val="00213399"/>
    <w:rsid w:val="00213405"/>
    <w:rsid w:val="00213537"/>
    <w:rsid w:val="0021360D"/>
    <w:rsid w:val="002136CA"/>
    <w:rsid w:val="0021387E"/>
    <w:rsid w:val="0021394C"/>
    <w:rsid w:val="00213AB8"/>
    <w:rsid w:val="00213B0B"/>
    <w:rsid w:val="00213B28"/>
    <w:rsid w:val="00213B57"/>
    <w:rsid w:val="00213D51"/>
    <w:rsid w:val="00213EC6"/>
    <w:rsid w:val="00213F11"/>
    <w:rsid w:val="00213FE2"/>
    <w:rsid w:val="00214142"/>
    <w:rsid w:val="0021430E"/>
    <w:rsid w:val="00214326"/>
    <w:rsid w:val="002143BF"/>
    <w:rsid w:val="002145DA"/>
    <w:rsid w:val="002146A2"/>
    <w:rsid w:val="002147E5"/>
    <w:rsid w:val="002147EF"/>
    <w:rsid w:val="00214850"/>
    <w:rsid w:val="00214869"/>
    <w:rsid w:val="00214987"/>
    <w:rsid w:val="002149FA"/>
    <w:rsid w:val="00214A94"/>
    <w:rsid w:val="00214BF5"/>
    <w:rsid w:val="00214C3B"/>
    <w:rsid w:val="00214C72"/>
    <w:rsid w:val="00214D01"/>
    <w:rsid w:val="00214DCB"/>
    <w:rsid w:val="00214FA9"/>
    <w:rsid w:val="0021507D"/>
    <w:rsid w:val="002150DC"/>
    <w:rsid w:val="0021514C"/>
    <w:rsid w:val="00215160"/>
    <w:rsid w:val="00215245"/>
    <w:rsid w:val="002152C6"/>
    <w:rsid w:val="0021558C"/>
    <w:rsid w:val="00215691"/>
    <w:rsid w:val="002157CD"/>
    <w:rsid w:val="002157D5"/>
    <w:rsid w:val="002158B1"/>
    <w:rsid w:val="00215947"/>
    <w:rsid w:val="00215A5B"/>
    <w:rsid w:val="00215ACF"/>
    <w:rsid w:val="00215B1A"/>
    <w:rsid w:val="00215C01"/>
    <w:rsid w:val="00215D16"/>
    <w:rsid w:val="00215F17"/>
    <w:rsid w:val="00215F92"/>
    <w:rsid w:val="00216062"/>
    <w:rsid w:val="002160FF"/>
    <w:rsid w:val="00216223"/>
    <w:rsid w:val="00216379"/>
    <w:rsid w:val="002163A2"/>
    <w:rsid w:val="00216451"/>
    <w:rsid w:val="002165C4"/>
    <w:rsid w:val="002167E4"/>
    <w:rsid w:val="00216A83"/>
    <w:rsid w:val="00216C58"/>
    <w:rsid w:val="00216DAC"/>
    <w:rsid w:val="00216F3F"/>
    <w:rsid w:val="002173A7"/>
    <w:rsid w:val="002173B9"/>
    <w:rsid w:val="002176F3"/>
    <w:rsid w:val="00217747"/>
    <w:rsid w:val="00217802"/>
    <w:rsid w:val="00217AF0"/>
    <w:rsid w:val="00217C0F"/>
    <w:rsid w:val="00217C11"/>
    <w:rsid w:val="00217C98"/>
    <w:rsid w:val="00217D34"/>
    <w:rsid w:val="00217E17"/>
    <w:rsid w:val="00218143"/>
    <w:rsid w:val="00220173"/>
    <w:rsid w:val="0022017C"/>
    <w:rsid w:val="00220200"/>
    <w:rsid w:val="00220257"/>
    <w:rsid w:val="0022039B"/>
    <w:rsid w:val="00220504"/>
    <w:rsid w:val="00220537"/>
    <w:rsid w:val="00220630"/>
    <w:rsid w:val="00220645"/>
    <w:rsid w:val="002209EC"/>
    <w:rsid w:val="00220A11"/>
    <w:rsid w:val="00220B52"/>
    <w:rsid w:val="00220B84"/>
    <w:rsid w:val="00220FB7"/>
    <w:rsid w:val="00220FC0"/>
    <w:rsid w:val="00220FD9"/>
    <w:rsid w:val="00221008"/>
    <w:rsid w:val="00221062"/>
    <w:rsid w:val="0022110D"/>
    <w:rsid w:val="0022149A"/>
    <w:rsid w:val="002214C8"/>
    <w:rsid w:val="0022152B"/>
    <w:rsid w:val="002216A8"/>
    <w:rsid w:val="00221735"/>
    <w:rsid w:val="002217FF"/>
    <w:rsid w:val="0022188F"/>
    <w:rsid w:val="00221980"/>
    <w:rsid w:val="00221BCF"/>
    <w:rsid w:val="00221CA3"/>
    <w:rsid w:val="00221D75"/>
    <w:rsid w:val="00221DCF"/>
    <w:rsid w:val="00221E2E"/>
    <w:rsid w:val="00221E4E"/>
    <w:rsid w:val="00221E9E"/>
    <w:rsid w:val="00221EA7"/>
    <w:rsid w:val="00221EC1"/>
    <w:rsid w:val="002220C2"/>
    <w:rsid w:val="002220F5"/>
    <w:rsid w:val="0022212E"/>
    <w:rsid w:val="00222131"/>
    <w:rsid w:val="00222194"/>
    <w:rsid w:val="002221F8"/>
    <w:rsid w:val="002222B4"/>
    <w:rsid w:val="00222406"/>
    <w:rsid w:val="0022244A"/>
    <w:rsid w:val="00222596"/>
    <w:rsid w:val="002225D1"/>
    <w:rsid w:val="002225DA"/>
    <w:rsid w:val="002229CF"/>
    <w:rsid w:val="00222A91"/>
    <w:rsid w:val="00222CD6"/>
    <w:rsid w:val="00222D3A"/>
    <w:rsid w:val="00222FB4"/>
    <w:rsid w:val="002231F5"/>
    <w:rsid w:val="002232CB"/>
    <w:rsid w:val="002233D1"/>
    <w:rsid w:val="002233EC"/>
    <w:rsid w:val="0022344A"/>
    <w:rsid w:val="002235D3"/>
    <w:rsid w:val="0022364B"/>
    <w:rsid w:val="002236A2"/>
    <w:rsid w:val="00223750"/>
    <w:rsid w:val="00223836"/>
    <w:rsid w:val="00223A36"/>
    <w:rsid w:val="00223A61"/>
    <w:rsid w:val="00223AAB"/>
    <w:rsid w:val="00223CD3"/>
    <w:rsid w:val="00223D47"/>
    <w:rsid w:val="00223DDE"/>
    <w:rsid w:val="00223EC1"/>
    <w:rsid w:val="00223F20"/>
    <w:rsid w:val="00224187"/>
    <w:rsid w:val="0022421C"/>
    <w:rsid w:val="002242BF"/>
    <w:rsid w:val="00224311"/>
    <w:rsid w:val="002243DE"/>
    <w:rsid w:val="0022441F"/>
    <w:rsid w:val="0022445B"/>
    <w:rsid w:val="00224537"/>
    <w:rsid w:val="002248A4"/>
    <w:rsid w:val="0022496A"/>
    <w:rsid w:val="002249F3"/>
    <w:rsid w:val="002249FD"/>
    <w:rsid w:val="00224A0A"/>
    <w:rsid w:val="00224B60"/>
    <w:rsid w:val="00224B85"/>
    <w:rsid w:val="00224CC5"/>
    <w:rsid w:val="00224EFD"/>
    <w:rsid w:val="00225042"/>
    <w:rsid w:val="0022516E"/>
    <w:rsid w:val="00225200"/>
    <w:rsid w:val="002252CF"/>
    <w:rsid w:val="00225375"/>
    <w:rsid w:val="00225449"/>
    <w:rsid w:val="00225724"/>
    <w:rsid w:val="002257A6"/>
    <w:rsid w:val="0022586F"/>
    <w:rsid w:val="0022591F"/>
    <w:rsid w:val="00225A4C"/>
    <w:rsid w:val="00225ACB"/>
    <w:rsid w:val="00225C35"/>
    <w:rsid w:val="00225D0B"/>
    <w:rsid w:val="002260C9"/>
    <w:rsid w:val="0022613A"/>
    <w:rsid w:val="002261AC"/>
    <w:rsid w:val="00226329"/>
    <w:rsid w:val="0022639E"/>
    <w:rsid w:val="0022680D"/>
    <w:rsid w:val="00226A37"/>
    <w:rsid w:val="00226A96"/>
    <w:rsid w:val="00226AE8"/>
    <w:rsid w:val="0022737A"/>
    <w:rsid w:val="0022766F"/>
    <w:rsid w:val="0022770C"/>
    <w:rsid w:val="002277EC"/>
    <w:rsid w:val="00227C69"/>
    <w:rsid w:val="00227CCA"/>
    <w:rsid w:val="00227D90"/>
    <w:rsid w:val="00227F89"/>
    <w:rsid w:val="0022C268"/>
    <w:rsid w:val="00230144"/>
    <w:rsid w:val="00230354"/>
    <w:rsid w:val="002304BA"/>
    <w:rsid w:val="002304DF"/>
    <w:rsid w:val="0023068F"/>
    <w:rsid w:val="002306A9"/>
    <w:rsid w:val="00230BEF"/>
    <w:rsid w:val="00230C61"/>
    <w:rsid w:val="00230D64"/>
    <w:rsid w:val="00230DA0"/>
    <w:rsid w:val="00230DDE"/>
    <w:rsid w:val="00231010"/>
    <w:rsid w:val="0023101D"/>
    <w:rsid w:val="00231272"/>
    <w:rsid w:val="0023134E"/>
    <w:rsid w:val="002313B8"/>
    <w:rsid w:val="00231419"/>
    <w:rsid w:val="002315B4"/>
    <w:rsid w:val="002316FA"/>
    <w:rsid w:val="00231787"/>
    <w:rsid w:val="00231B01"/>
    <w:rsid w:val="00231D55"/>
    <w:rsid w:val="00231E06"/>
    <w:rsid w:val="00231E27"/>
    <w:rsid w:val="00231E2B"/>
    <w:rsid w:val="00231EAE"/>
    <w:rsid w:val="00231EC5"/>
    <w:rsid w:val="00231F12"/>
    <w:rsid w:val="00231F3B"/>
    <w:rsid w:val="00231FA8"/>
    <w:rsid w:val="00232063"/>
    <w:rsid w:val="002320D8"/>
    <w:rsid w:val="002320FF"/>
    <w:rsid w:val="002322B0"/>
    <w:rsid w:val="002322B5"/>
    <w:rsid w:val="00232365"/>
    <w:rsid w:val="0023258D"/>
    <w:rsid w:val="002325A2"/>
    <w:rsid w:val="002325D2"/>
    <w:rsid w:val="00232693"/>
    <w:rsid w:val="002326E7"/>
    <w:rsid w:val="0023270A"/>
    <w:rsid w:val="00232751"/>
    <w:rsid w:val="00232771"/>
    <w:rsid w:val="00232AA1"/>
    <w:rsid w:val="00232C5F"/>
    <w:rsid w:val="00232D43"/>
    <w:rsid w:val="00232FAE"/>
    <w:rsid w:val="00232FB9"/>
    <w:rsid w:val="00233091"/>
    <w:rsid w:val="00233296"/>
    <w:rsid w:val="002332F0"/>
    <w:rsid w:val="00233406"/>
    <w:rsid w:val="0023373C"/>
    <w:rsid w:val="002337F6"/>
    <w:rsid w:val="002338AA"/>
    <w:rsid w:val="00233B21"/>
    <w:rsid w:val="00233B3A"/>
    <w:rsid w:val="00233BD2"/>
    <w:rsid w:val="00233C22"/>
    <w:rsid w:val="00233C47"/>
    <w:rsid w:val="00233CC7"/>
    <w:rsid w:val="0023405F"/>
    <w:rsid w:val="0023407F"/>
    <w:rsid w:val="0023411E"/>
    <w:rsid w:val="002341D1"/>
    <w:rsid w:val="00234489"/>
    <w:rsid w:val="0023478A"/>
    <w:rsid w:val="002347C5"/>
    <w:rsid w:val="002349E8"/>
    <w:rsid w:val="00234C7A"/>
    <w:rsid w:val="00234DB0"/>
    <w:rsid w:val="00234FAC"/>
    <w:rsid w:val="00234FB2"/>
    <w:rsid w:val="0023505E"/>
    <w:rsid w:val="00235258"/>
    <w:rsid w:val="00235269"/>
    <w:rsid w:val="002352D9"/>
    <w:rsid w:val="00235424"/>
    <w:rsid w:val="00235432"/>
    <w:rsid w:val="00235476"/>
    <w:rsid w:val="0023562C"/>
    <w:rsid w:val="002357D9"/>
    <w:rsid w:val="0023581B"/>
    <w:rsid w:val="00235824"/>
    <w:rsid w:val="00235915"/>
    <w:rsid w:val="00235966"/>
    <w:rsid w:val="00235968"/>
    <w:rsid w:val="00235A40"/>
    <w:rsid w:val="00235AA1"/>
    <w:rsid w:val="00235B39"/>
    <w:rsid w:val="00235B68"/>
    <w:rsid w:val="00235CE7"/>
    <w:rsid w:val="00235EAA"/>
    <w:rsid w:val="00235FB0"/>
    <w:rsid w:val="00235FBF"/>
    <w:rsid w:val="0023609B"/>
    <w:rsid w:val="002363A4"/>
    <w:rsid w:val="002363C7"/>
    <w:rsid w:val="002366C6"/>
    <w:rsid w:val="0023698B"/>
    <w:rsid w:val="002369AD"/>
    <w:rsid w:val="00236ACD"/>
    <w:rsid w:val="00236AF2"/>
    <w:rsid w:val="00236AFA"/>
    <w:rsid w:val="00236B44"/>
    <w:rsid w:val="00236BD7"/>
    <w:rsid w:val="00236F14"/>
    <w:rsid w:val="0023710C"/>
    <w:rsid w:val="002371E6"/>
    <w:rsid w:val="00237208"/>
    <w:rsid w:val="002373DC"/>
    <w:rsid w:val="0023741B"/>
    <w:rsid w:val="002374A4"/>
    <w:rsid w:val="002375A7"/>
    <w:rsid w:val="0023790D"/>
    <w:rsid w:val="0023794B"/>
    <w:rsid w:val="0023797E"/>
    <w:rsid w:val="002379B0"/>
    <w:rsid w:val="002379DF"/>
    <w:rsid w:val="00237A5C"/>
    <w:rsid w:val="00237B08"/>
    <w:rsid w:val="00237B50"/>
    <w:rsid w:val="00237C3E"/>
    <w:rsid w:val="00237C88"/>
    <w:rsid w:val="00237E91"/>
    <w:rsid w:val="00237EA5"/>
    <w:rsid w:val="00237F41"/>
    <w:rsid w:val="00237F58"/>
    <w:rsid w:val="002400D5"/>
    <w:rsid w:val="00240159"/>
    <w:rsid w:val="002401D5"/>
    <w:rsid w:val="002401D9"/>
    <w:rsid w:val="002401FD"/>
    <w:rsid w:val="00240216"/>
    <w:rsid w:val="0024039A"/>
    <w:rsid w:val="00240488"/>
    <w:rsid w:val="002405D1"/>
    <w:rsid w:val="0024065E"/>
    <w:rsid w:val="0024092E"/>
    <w:rsid w:val="00240BA8"/>
    <w:rsid w:val="00240C28"/>
    <w:rsid w:val="00240C6E"/>
    <w:rsid w:val="00240C8A"/>
    <w:rsid w:val="002413FE"/>
    <w:rsid w:val="0024167C"/>
    <w:rsid w:val="0024169C"/>
    <w:rsid w:val="00241760"/>
    <w:rsid w:val="00241866"/>
    <w:rsid w:val="00241CEE"/>
    <w:rsid w:val="00241E57"/>
    <w:rsid w:val="00242228"/>
    <w:rsid w:val="00242319"/>
    <w:rsid w:val="00242444"/>
    <w:rsid w:val="00242473"/>
    <w:rsid w:val="002424A6"/>
    <w:rsid w:val="002425CD"/>
    <w:rsid w:val="00242628"/>
    <w:rsid w:val="002426E1"/>
    <w:rsid w:val="00242739"/>
    <w:rsid w:val="0024282E"/>
    <w:rsid w:val="002428F9"/>
    <w:rsid w:val="00242C08"/>
    <w:rsid w:val="00242D63"/>
    <w:rsid w:val="00242DD0"/>
    <w:rsid w:val="00242E4F"/>
    <w:rsid w:val="00242E76"/>
    <w:rsid w:val="00242F54"/>
    <w:rsid w:val="00243081"/>
    <w:rsid w:val="002431C5"/>
    <w:rsid w:val="002431D6"/>
    <w:rsid w:val="00243234"/>
    <w:rsid w:val="00243406"/>
    <w:rsid w:val="0024340A"/>
    <w:rsid w:val="00243447"/>
    <w:rsid w:val="00243599"/>
    <w:rsid w:val="0024363B"/>
    <w:rsid w:val="00243735"/>
    <w:rsid w:val="00243774"/>
    <w:rsid w:val="0024378A"/>
    <w:rsid w:val="00243850"/>
    <w:rsid w:val="00243890"/>
    <w:rsid w:val="00243CAD"/>
    <w:rsid w:val="00243CD3"/>
    <w:rsid w:val="00243D0C"/>
    <w:rsid w:val="00243DA8"/>
    <w:rsid w:val="00243DE0"/>
    <w:rsid w:val="00243F44"/>
    <w:rsid w:val="00243F82"/>
    <w:rsid w:val="00243FD8"/>
    <w:rsid w:val="00244058"/>
    <w:rsid w:val="0024407D"/>
    <w:rsid w:val="002440A5"/>
    <w:rsid w:val="002441BF"/>
    <w:rsid w:val="0024427B"/>
    <w:rsid w:val="002442FA"/>
    <w:rsid w:val="002442FB"/>
    <w:rsid w:val="00244314"/>
    <w:rsid w:val="0024436A"/>
    <w:rsid w:val="00244514"/>
    <w:rsid w:val="00244970"/>
    <w:rsid w:val="00244AD6"/>
    <w:rsid w:val="00244B62"/>
    <w:rsid w:val="00244DE0"/>
    <w:rsid w:val="00244E02"/>
    <w:rsid w:val="00244E47"/>
    <w:rsid w:val="00244E4E"/>
    <w:rsid w:val="00244F1F"/>
    <w:rsid w:val="00244F6C"/>
    <w:rsid w:val="00245008"/>
    <w:rsid w:val="002450FA"/>
    <w:rsid w:val="0024566A"/>
    <w:rsid w:val="00245720"/>
    <w:rsid w:val="00245826"/>
    <w:rsid w:val="002458A3"/>
    <w:rsid w:val="00245907"/>
    <w:rsid w:val="002459C7"/>
    <w:rsid w:val="00245AAD"/>
    <w:rsid w:val="00245B61"/>
    <w:rsid w:val="00245BCC"/>
    <w:rsid w:val="00245C8C"/>
    <w:rsid w:val="00245FBE"/>
    <w:rsid w:val="0024608E"/>
    <w:rsid w:val="002460CF"/>
    <w:rsid w:val="002461D1"/>
    <w:rsid w:val="002464BD"/>
    <w:rsid w:val="002464DE"/>
    <w:rsid w:val="0024671E"/>
    <w:rsid w:val="002468DA"/>
    <w:rsid w:val="002469F7"/>
    <w:rsid w:val="00246A36"/>
    <w:rsid w:val="00246A45"/>
    <w:rsid w:val="00246EEC"/>
    <w:rsid w:val="00247042"/>
    <w:rsid w:val="002472AE"/>
    <w:rsid w:val="00247575"/>
    <w:rsid w:val="00247585"/>
    <w:rsid w:val="0024758A"/>
    <w:rsid w:val="002476F0"/>
    <w:rsid w:val="00247746"/>
    <w:rsid w:val="00247770"/>
    <w:rsid w:val="00247779"/>
    <w:rsid w:val="00247978"/>
    <w:rsid w:val="002479F5"/>
    <w:rsid w:val="00247BDE"/>
    <w:rsid w:val="00247BE0"/>
    <w:rsid w:val="00247D2B"/>
    <w:rsid w:val="00247D9F"/>
    <w:rsid w:val="00247E5D"/>
    <w:rsid w:val="0024A293"/>
    <w:rsid w:val="002501A8"/>
    <w:rsid w:val="002502EE"/>
    <w:rsid w:val="00250405"/>
    <w:rsid w:val="0025048A"/>
    <w:rsid w:val="002504D5"/>
    <w:rsid w:val="002505D3"/>
    <w:rsid w:val="0025091E"/>
    <w:rsid w:val="00250AB8"/>
    <w:rsid w:val="00250B36"/>
    <w:rsid w:val="00250BC2"/>
    <w:rsid w:val="00250D18"/>
    <w:rsid w:val="00250D5F"/>
    <w:rsid w:val="00250D65"/>
    <w:rsid w:val="00250D7E"/>
    <w:rsid w:val="00250DC5"/>
    <w:rsid w:val="00250F0E"/>
    <w:rsid w:val="00250F9C"/>
    <w:rsid w:val="00251002"/>
    <w:rsid w:val="00251006"/>
    <w:rsid w:val="00251067"/>
    <w:rsid w:val="00251187"/>
    <w:rsid w:val="002511AB"/>
    <w:rsid w:val="002512A9"/>
    <w:rsid w:val="0025136B"/>
    <w:rsid w:val="00251399"/>
    <w:rsid w:val="002513A0"/>
    <w:rsid w:val="00251441"/>
    <w:rsid w:val="002518B6"/>
    <w:rsid w:val="002519E4"/>
    <w:rsid w:val="00251A16"/>
    <w:rsid w:val="00251A5F"/>
    <w:rsid w:val="00251AB3"/>
    <w:rsid w:val="00251C08"/>
    <w:rsid w:val="00251DFC"/>
    <w:rsid w:val="00251EC7"/>
    <w:rsid w:val="00251EE9"/>
    <w:rsid w:val="00251F1A"/>
    <w:rsid w:val="00251F6C"/>
    <w:rsid w:val="00251FEB"/>
    <w:rsid w:val="00251FED"/>
    <w:rsid w:val="00252143"/>
    <w:rsid w:val="002521A7"/>
    <w:rsid w:val="002521B6"/>
    <w:rsid w:val="0025227C"/>
    <w:rsid w:val="002522E4"/>
    <w:rsid w:val="00252339"/>
    <w:rsid w:val="0025234A"/>
    <w:rsid w:val="002523E9"/>
    <w:rsid w:val="0025240E"/>
    <w:rsid w:val="002524E7"/>
    <w:rsid w:val="00252532"/>
    <w:rsid w:val="002525D5"/>
    <w:rsid w:val="002525FE"/>
    <w:rsid w:val="00252758"/>
    <w:rsid w:val="0025276C"/>
    <w:rsid w:val="0025280C"/>
    <w:rsid w:val="00252A9E"/>
    <w:rsid w:val="00252AD4"/>
    <w:rsid w:val="00252BC9"/>
    <w:rsid w:val="00252E65"/>
    <w:rsid w:val="00252E7C"/>
    <w:rsid w:val="00252FED"/>
    <w:rsid w:val="00252FF2"/>
    <w:rsid w:val="00253158"/>
    <w:rsid w:val="00253255"/>
    <w:rsid w:val="002535DA"/>
    <w:rsid w:val="002536DA"/>
    <w:rsid w:val="002537AC"/>
    <w:rsid w:val="002538B0"/>
    <w:rsid w:val="0025390B"/>
    <w:rsid w:val="00253AA7"/>
    <w:rsid w:val="00253B2B"/>
    <w:rsid w:val="00253C45"/>
    <w:rsid w:val="00253E2D"/>
    <w:rsid w:val="00254102"/>
    <w:rsid w:val="002541E0"/>
    <w:rsid w:val="00254273"/>
    <w:rsid w:val="002543FA"/>
    <w:rsid w:val="00254433"/>
    <w:rsid w:val="002546BA"/>
    <w:rsid w:val="002546BC"/>
    <w:rsid w:val="00254930"/>
    <w:rsid w:val="0025494C"/>
    <w:rsid w:val="00254995"/>
    <w:rsid w:val="002549A8"/>
    <w:rsid w:val="00254CE0"/>
    <w:rsid w:val="00254D8C"/>
    <w:rsid w:val="002550F3"/>
    <w:rsid w:val="002551EC"/>
    <w:rsid w:val="002552CE"/>
    <w:rsid w:val="002553D1"/>
    <w:rsid w:val="00255402"/>
    <w:rsid w:val="00255411"/>
    <w:rsid w:val="00255540"/>
    <w:rsid w:val="00255591"/>
    <w:rsid w:val="002555A4"/>
    <w:rsid w:val="00255605"/>
    <w:rsid w:val="0025569B"/>
    <w:rsid w:val="00255898"/>
    <w:rsid w:val="00255934"/>
    <w:rsid w:val="00255A45"/>
    <w:rsid w:val="00255AD8"/>
    <w:rsid w:val="00255B54"/>
    <w:rsid w:val="00255C94"/>
    <w:rsid w:val="00255D68"/>
    <w:rsid w:val="00255F4D"/>
    <w:rsid w:val="00255FA1"/>
    <w:rsid w:val="00255FDD"/>
    <w:rsid w:val="00256049"/>
    <w:rsid w:val="00256185"/>
    <w:rsid w:val="00256196"/>
    <w:rsid w:val="002561DE"/>
    <w:rsid w:val="002561F2"/>
    <w:rsid w:val="00256304"/>
    <w:rsid w:val="0025640B"/>
    <w:rsid w:val="00256723"/>
    <w:rsid w:val="002567B0"/>
    <w:rsid w:val="002567F8"/>
    <w:rsid w:val="00256899"/>
    <w:rsid w:val="0025693C"/>
    <w:rsid w:val="00256949"/>
    <w:rsid w:val="00256A05"/>
    <w:rsid w:val="00256D70"/>
    <w:rsid w:val="00256DF4"/>
    <w:rsid w:val="0025704A"/>
    <w:rsid w:val="00257117"/>
    <w:rsid w:val="0025716F"/>
    <w:rsid w:val="002575EC"/>
    <w:rsid w:val="00257747"/>
    <w:rsid w:val="0025774F"/>
    <w:rsid w:val="002577DF"/>
    <w:rsid w:val="0025788A"/>
    <w:rsid w:val="00257943"/>
    <w:rsid w:val="00257956"/>
    <w:rsid w:val="00257CCE"/>
    <w:rsid w:val="00257F41"/>
    <w:rsid w:val="00257F45"/>
    <w:rsid w:val="00257F7B"/>
    <w:rsid w:val="0025E079"/>
    <w:rsid w:val="002600C5"/>
    <w:rsid w:val="002601C9"/>
    <w:rsid w:val="0026047E"/>
    <w:rsid w:val="002604D9"/>
    <w:rsid w:val="00260645"/>
    <w:rsid w:val="002606D4"/>
    <w:rsid w:val="0026098A"/>
    <w:rsid w:val="00260B1E"/>
    <w:rsid w:val="00260B4B"/>
    <w:rsid w:val="00260B78"/>
    <w:rsid w:val="00260D47"/>
    <w:rsid w:val="00260F84"/>
    <w:rsid w:val="002612A1"/>
    <w:rsid w:val="002612F1"/>
    <w:rsid w:val="00261307"/>
    <w:rsid w:val="002613BB"/>
    <w:rsid w:val="002613C8"/>
    <w:rsid w:val="0026155E"/>
    <w:rsid w:val="002616B2"/>
    <w:rsid w:val="002616B8"/>
    <w:rsid w:val="002618FC"/>
    <w:rsid w:val="00261963"/>
    <w:rsid w:val="002619FA"/>
    <w:rsid w:val="00261A84"/>
    <w:rsid w:val="00261AE6"/>
    <w:rsid w:val="00261B1A"/>
    <w:rsid w:val="00261EF7"/>
    <w:rsid w:val="00261F22"/>
    <w:rsid w:val="00261FCD"/>
    <w:rsid w:val="002622EE"/>
    <w:rsid w:val="0026244E"/>
    <w:rsid w:val="00262519"/>
    <w:rsid w:val="00262880"/>
    <w:rsid w:val="00262910"/>
    <w:rsid w:val="00262918"/>
    <w:rsid w:val="0026294F"/>
    <w:rsid w:val="00262990"/>
    <w:rsid w:val="00262C36"/>
    <w:rsid w:val="00262CD5"/>
    <w:rsid w:val="00262D3C"/>
    <w:rsid w:val="00262DF6"/>
    <w:rsid w:val="00263244"/>
    <w:rsid w:val="002632DD"/>
    <w:rsid w:val="00263694"/>
    <w:rsid w:val="002636BF"/>
    <w:rsid w:val="002636D1"/>
    <w:rsid w:val="0026381F"/>
    <w:rsid w:val="002638B9"/>
    <w:rsid w:val="0026390F"/>
    <w:rsid w:val="00263AC5"/>
    <w:rsid w:val="00263B50"/>
    <w:rsid w:val="00263C2F"/>
    <w:rsid w:val="00263D07"/>
    <w:rsid w:val="00263D14"/>
    <w:rsid w:val="00263F3A"/>
    <w:rsid w:val="00264040"/>
    <w:rsid w:val="00264090"/>
    <w:rsid w:val="00264117"/>
    <w:rsid w:val="0026428C"/>
    <w:rsid w:val="0026431B"/>
    <w:rsid w:val="0026434F"/>
    <w:rsid w:val="00264374"/>
    <w:rsid w:val="00264424"/>
    <w:rsid w:val="00264442"/>
    <w:rsid w:val="002644CA"/>
    <w:rsid w:val="0026452C"/>
    <w:rsid w:val="00264565"/>
    <w:rsid w:val="00264650"/>
    <w:rsid w:val="00264660"/>
    <w:rsid w:val="00264678"/>
    <w:rsid w:val="0026469D"/>
    <w:rsid w:val="00264788"/>
    <w:rsid w:val="00264822"/>
    <w:rsid w:val="0026482E"/>
    <w:rsid w:val="0026491D"/>
    <w:rsid w:val="00264A6A"/>
    <w:rsid w:val="00264B82"/>
    <w:rsid w:val="00264C12"/>
    <w:rsid w:val="00264D37"/>
    <w:rsid w:val="00264D88"/>
    <w:rsid w:val="00264EE1"/>
    <w:rsid w:val="00264F8C"/>
    <w:rsid w:val="00264FA6"/>
    <w:rsid w:val="00264FF7"/>
    <w:rsid w:val="0026501F"/>
    <w:rsid w:val="00265387"/>
    <w:rsid w:val="0026538B"/>
    <w:rsid w:val="002654DC"/>
    <w:rsid w:val="002654F5"/>
    <w:rsid w:val="002654FC"/>
    <w:rsid w:val="00265668"/>
    <w:rsid w:val="002656F6"/>
    <w:rsid w:val="00265821"/>
    <w:rsid w:val="002659E3"/>
    <w:rsid w:val="00265D23"/>
    <w:rsid w:val="00265D78"/>
    <w:rsid w:val="002660E9"/>
    <w:rsid w:val="002662B4"/>
    <w:rsid w:val="0026655A"/>
    <w:rsid w:val="00266791"/>
    <w:rsid w:val="00266828"/>
    <w:rsid w:val="0026684D"/>
    <w:rsid w:val="002669CF"/>
    <w:rsid w:val="002669FF"/>
    <w:rsid w:val="00266EB5"/>
    <w:rsid w:val="00266F5F"/>
    <w:rsid w:val="00267011"/>
    <w:rsid w:val="00267061"/>
    <w:rsid w:val="0026710B"/>
    <w:rsid w:val="002672BA"/>
    <w:rsid w:val="00267348"/>
    <w:rsid w:val="0026734B"/>
    <w:rsid w:val="002673C8"/>
    <w:rsid w:val="00267425"/>
    <w:rsid w:val="00267649"/>
    <w:rsid w:val="00267FA7"/>
    <w:rsid w:val="00269719"/>
    <w:rsid w:val="0026D097"/>
    <w:rsid w:val="002701A9"/>
    <w:rsid w:val="0027023C"/>
    <w:rsid w:val="002705A3"/>
    <w:rsid w:val="002705EA"/>
    <w:rsid w:val="00270657"/>
    <w:rsid w:val="002706AA"/>
    <w:rsid w:val="00270727"/>
    <w:rsid w:val="0027079B"/>
    <w:rsid w:val="002709B9"/>
    <w:rsid w:val="00270A3C"/>
    <w:rsid w:val="00270A69"/>
    <w:rsid w:val="00270B31"/>
    <w:rsid w:val="00270C35"/>
    <w:rsid w:val="00270C75"/>
    <w:rsid w:val="00270C83"/>
    <w:rsid w:val="00270D66"/>
    <w:rsid w:val="00270F0F"/>
    <w:rsid w:val="00270FF2"/>
    <w:rsid w:val="0027108E"/>
    <w:rsid w:val="00271166"/>
    <w:rsid w:val="0027125A"/>
    <w:rsid w:val="00271308"/>
    <w:rsid w:val="0027147D"/>
    <w:rsid w:val="002714E9"/>
    <w:rsid w:val="00271502"/>
    <w:rsid w:val="00271567"/>
    <w:rsid w:val="0027156D"/>
    <w:rsid w:val="00271854"/>
    <w:rsid w:val="00271A04"/>
    <w:rsid w:val="00271B73"/>
    <w:rsid w:val="00271BC6"/>
    <w:rsid w:val="00271BEC"/>
    <w:rsid w:val="00271C01"/>
    <w:rsid w:val="00271DD9"/>
    <w:rsid w:val="00271DED"/>
    <w:rsid w:val="00271DF6"/>
    <w:rsid w:val="00271FA4"/>
    <w:rsid w:val="00271FD6"/>
    <w:rsid w:val="00271FDD"/>
    <w:rsid w:val="00272088"/>
    <w:rsid w:val="002722C0"/>
    <w:rsid w:val="002723D1"/>
    <w:rsid w:val="00272630"/>
    <w:rsid w:val="00272939"/>
    <w:rsid w:val="00272C97"/>
    <w:rsid w:val="00272E42"/>
    <w:rsid w:val="00272E6E"/>
    <w:rsid w:val="00272E8C"/>
    <w:rsid w:val="00272F6F"/>
    <w:rsid w:val="0027305C"/>
    <w:rsid w:val="002730F7"/>
    <w:rsid w:val="00273124"/>
    <w:rsid w:val="00273181"/>
    <w:rsid w:val="002731A2"/>
    <w:rsid w:val="002732B5"/>
    <w:rsid w:val="00273339"/>
    <w:rsid w:val="002733AE"/>
    <w:rsid w:val="002735A6"/>
    <w:rsid w:val="00273614"/>
    <w:rsid w:val="002737BB"/>
    <w:rsid w:val="0027381B"/>
    <w:rsid w:val="002739F1"/>
    <w:rsid w:val="00273AC3"/>
    <w:rsid w:val="00273B5F"/>
    <w:rsid w:val="00273C9C"/>
    <w:rsid w:val="00273D28"/>
    <w:rsid w:val="00273FD7"/>
    <w:rsid w:val="00273FDA"/>
    <w:rsid w:val="00273FDD"/>
    <w:rsid w:val="00274047"/>
    <w:rsid w:val="002740EC"/>
    <w:rsid w:val="0027419F"/>
    <w:rsid w:val="002741B4"/>
    <w:rsid w:val="0027421F"/>
    <w:rsid w:val="002742E7"/>
    <w:rsid w:val="00274319"/>
    <w:rsid w:val="0027449B"/>
    <w:rsid w:val="00274556"/>
    <w:rsid w:val="0027473C"/>
    <w:rsid w:val="002747B0"/>
    <w:rsid w:val="00274821"/>
    <w:rsid w:val="00274918"/>
    <w:rsid w:val="002749D1"/>
    <w:rsid w:val="00274B6C"/>
    <w:rsid w:val="00274BB8"/>
    <w:rsid w:val="00274E76"/>
    <w:rsid w:val="00274F21"/>
    <w:rsid w:val="00274FBC"/>
    <w:rsid w:val="00275002"/>
    <w:rsid w:val="00275052"/>
    <w:rsid w:val="0027505C"/>
    <w:rsid w:val="00275068"/>
    <w:rsid w:val="002750AB"/>
    <w:rsid w:val="002750C7"/>
    <w:rsid w:val="002751B5"/>
    <w:rsid w:val="002752FA"/>
    <w:rsid w:val="00275379"/>
    <w:rsid w:val="0027552B"/>
    <w:rsid w:val="0027570B"/>
    <w:rsid w:val="00275918"/>
    <w:rsid w:val="00275929"/>
    <w:rsid w:val="00275A12"/>
    <w:rsid w:val="00275A63"/>
    <w:rsid w:val="00275C22"/>
    <w:rsid w:val="00275C29"/>
    <w:rsid w:val="00275C5E"/>
    <w:rsid w:val="00275CF9"/>
    <w:rsid w:val="00275D39"/>
    <w:rsid w:val="00275D5D"/>
    <w:rsid w:val="00275E7B"/>
    <w:rsid w:val="00275FBC"/>
    <w:rsid w:val="002760A0"/>
    <w:rsid w:val="00276195"/>
    <w:rsid w:val="002761A7"/>
    <w:rsid w:val="0027628D"/>
    <w:rsid w:val="00276377"/>
    <w:rsid w:val="0027649A"/>
    <w:rsid w:val="00276549"/>
    <w:rsid w:val="00276592"/>
    <w:rsid w:val="002765DE"/>
    <w:rsid w:val="002766CD"/>
    <w:rsid w:val="0027677E"/>
    <w:rsid w:val="00276869"/>
    <w:rsid w:val="00276872"/>
    <w:rsid w:val="00276A45"/>
    <w:rsid w:val="00276A52"/>
    <w:rsid w:val="00276B28"/>
    <w:rsid w:val="00276BD8"/>
    <w:rsid w:val="00276CBB"/>
    <w:rsid w:val="00277041"/>
    <w:rsid w:val="00277129"/>
    <w:rsid w:val="002772B4"/>
    <w:rsid w:val="002772C2"/>
    <w:rsid w:val="00277358"/>
    <w:rsid w:val="002773E7"/>
    <w:rsid w:val="00277440"/>
    <w:rsid w:val="002774D5"/>
    <w:rsid w:val="00277587"/>
    <w:rsid w:val="00277661"/>
    <w:rsid w:val="0027782E"/>
    <w:rsid w:val="00277A96"/>
    <w:rsid w:val="00277BF8"/>
    <w:rsid w:val="00277E2D"/>
    <w:rsid w:val="00277F45"/>
    <w:rsid w:val="0027DF2C"/>
    <w:rsid w:val="00280188"/>
    <w:rsid w:val="00280468"/>
    <w:rsid w:val="00280479"/>
    <w:rsid w:val="00280480"/>
    <w:rsid w:val="00280497"/>
    <w:rsid w:val="002804AC"/>
    <w:rsid w:val="00280579"/>
    <w:rsid w:val="002807A4"/>
    <w:rsid w:val="00280808"/>
    <w:rsid w:val="00280848"/>
    <w:rsid w:val="0028086F"/>
    <w:rsid w:val="00280917"/>
    <w:rsid w:val="00280947"/>
    <w:rsid w:val="00280965"/>
    <w:rsid w:val="002809B1"/>
    <w:rsid w:val="002809CE"/>
    <w:rsid w:val="00280AE9"/>
    <w:rsid w:val="00280AFC"/>
    <w:rsid w:val="00280C63"/>
    <w:rsid w:val="00280C98"/>
    <w:rsid w:val="00280CF0"/>
    <w:rsid w:val="00280D22"/>
    <w:rsid w:val="00280E26"/>
    <w:rsid w:val="00280EB4"/>
    <w:rsid w:val="0028130C"/>
    <w:rsid w:val="0028138A"/>
    <w:rsid w:val="00281434"/>
    <w:rsid w:val="00281573"/>
    <w:rsid w:val="002817B3"/>
    <w:rsid w:val="00281A87"/>
    <w:rsid w:val="00281BB5"/>
    <w:rsid w:val="00281DB7"/>
    <w:rsid w:val="00281E99"/>
    <w:rsid w:val="00281EDD"/>
    <w:rsid w:val="00281F8E"/>
    <w:rsid w:val="002822E8"/>
    <w:rsid w:val="00282370"/>
    <w:rsid w:val="00282392"/>
    <w:rsid w:val="00282570"/>
    <w:rsid w:val="00282583"/>
    <w:rsid w:val="00282587"/>
    <w:rsid w:val="0028295E"/>
    <w:rsid w:val="002829D5"/>
    <w:rsid w:val="00282AF3"/>
    <w:rsid w:val="00282BBD"/>
    <w:rsid w:val="00282CDB"/>
    <w:rsid w:val="00282E5F"/>
    <w:rsid w:val="00282E75"/>
    <w:rsid w:val="002830D7"/>
    <w:rsid w:val="002831C9"/>
    <w:rsid w:val="0028322E"/>
    <w:rsid w:val="0028332F"/>
    <w:rsid w:val="002833E1"/>
    <w:rsid w:val="002837E0"/>
    <w:rsid w:val="00283800"/>
    <w:rsid w:val="00283825"/>
    <w:rsid w:val="00283884"/>
    <w:rsid w:val="002838D6"/>
    <w:rsid w:val="00283914"/>
    <w:rsid w:val="002839A4"/>
    <w:rsid w:val="00283A6B"/>
    <w:rsid w:val="00283AC3"/>
    <w:rsid w:val="00283D72"/>
    <w:rsid w:val="00283EEB"/>
    <w:rsid w:val="00283FB8"/>
    <w:rsid w:val="00284020"/>
    <w:rsid w:val="00284168"/>
    <w:rsid w:val="00284188"/>
    <w:rsid w:val="00284192"/>
    <w:rsid w:val="0028427B"/>
    <w:rsid w:val="00284334"/>
    <w:rsid w:val="002844B8"/>
    <w:rsid w:val="002844D2"/>
    <w:rsid w:val="00284546"/>
    <w:rsid w:val="002848A1"/>
    <w:rsid w:val="00284908"/>
    <w:rsid w:val="00284ABF"/>
    <w:rsid w:val="00284B68"/>
    <w:rsid w:val="00284BD0"/>
    <w:rsid w:val="00284C07"/>
    <w:rsid w:val="00284C79"/>
    <w:rsid w:val="00284DA0"/>
    <w:rsid w:val="00284E36"/>
    <w:rsid w:val="00284E67"/>
    <w:rsid w:val="00284E9C"/>
    <w:rsid w:val="00284F7A"/>
    <w:rsid w:val="00285019"/>
    <w:rsid w:val="0028510F"/>
    <w:rsid w:val="0028523E"/>
    <w:rsid w:val="002852A7"/>
    <w:rsid w:val="002852AC"/>
    <w:rsid w:val="002852E3"/>
    <w:rsid w:val="0028537D"/>
    <w:rsid w:val="0028566B"/>
    <w:rsid w:val="0028567D"/>
    <w:rsid w:val="0028571C"/>
    <w:rsid w:val="0028582C"/>
    <w:rsid w:val="00285871"/>
    <w:rsid w:val="002858DD"/>
    <w:rsid w:val="00285911"/>
    <w:rsid w:val="00285960"/>
    <w:rsid w:val="00285A5C"/>
    <w:rsid w:val="00285AA5"/>
    <w:rsid w:val="00285D2D"/>
    <w:rsid w:val="00285D76"/>
    <w:rsid w:val="00285E0C"/>
    <w:rsid w:val="00285E74"/>
    <w:rsid w:val="0028618E"/>
    <w:rsid w:val="00286237"/>
    <w:rsid w:val="002863F9"/>
    <w:rsid w:val="0028652A"/>
    <w:rsid w:val="0028657A"/>
    <w:rsid w:val="00286859"/>
    <w:rsid w:val="002868CB"/>
    <w:rsid w:val="002869F5"/>
    <w:rsid w:val="00286B39"/>
    <w:rsid w:val="00286B8D"/>
    <w:rsid w:val="00286C8C"/>
    <w:rsid w:val="00286CD8"/>
    <w:rsid w:val="00286EE6"/>
    <w:rsid w:val="002873CD"/>
    <w:rsid w:val="0028754D"/>
    <w:rsid w:val="0028764B"/>
    <w:rsid w:val="002877E1"/>
    <w:rsid w:val="00287A3F"/>
    <w:rsid w:val="00287AD6"/>
    <w:rsid w:val="00287B41"/>
    <w:rsid w:val="00287C80"/>
    <w:rsid w:val="00287D39"/>
    <w:rsid w:val="00287EB4"/>
    <w:rsid w:val="00287F0E"/>
    <w:rsid w:val="00287F74"/>
    <w:rsid w:val="00288FA9"/>
    <w:rsid w:val="00289490"/>
    <w:rsid w:val="0028A5A4"/>
    <w:rsid w:val="00290067"/>
    <w:rsid w:val="00290097"/>
    <w:rsid w:val="0029033E"/>
    <w:rsid w:val="002903FD"/>
    <w:rsid w:val="00290466"/>
    <w:rsid w:val="002904D7"/>
    <w:rsid w:val="0029057C"/>
    <w:rsid w:val="002905FD"/>
    <w:rsid w:val="002905FE"/>
    <w:rsid w:val="00290795"/>
    <w:rsid w:val="002908B3"/>
    <w:rsid w:val="00290934"/>
    <w:rsid w:val="0029096D"/>
    <w:rsid w:val="00290979"/>
    <w:rsid w:val="002909AD"/>
    <w:rsid w:val="00290D91"/>
    <w:rsid w:val="00291066"/>
    <w:rsid w:val="0029110D"/>
    <w:rsid w:val="002913D4"/>
    <w:rsid w:val="002914B1"/>
    <w:rsid w:val="0029153D"/>
    <w:rsid w:val="00291594"/>
    <w:rsid w:val="00291635"/>
    <w:rsid w:val="002918F6"/>
    <w:rsid w:val="0029192D"/>
    <w:rsid w:val="00291965"/>
    <w:rsid w:val="00291A0A"/>
    <w:rsid w:val="00291A0F"/>
    <w:rsid w:val="00291A14"/>
    <w:rsid w:val="00291CAA"/>
    <w:rsid w:val="00291DB8"/>
    <w:rsid w:val="00291EE4"/>
    <w:rsid w:val="00292016"/>
    <w:rsid w:val="002921BB"/>
    <w:rsid w:val="00292313"/>
    <w:rsid w:val="002923C1"/>
    <w:rsid w:val="00292475"/>
    <w:rsid w:val="002924D1"/>
    <w:rsid w:val="002925D9"/>
    <w:rsid w:val="002925F5"/>
    <w:rsid w:val="00292790"/>
    <w:rsid w:val="002927A3"/>
    <w:rsid w:val="002927E6"/>
    <w:rsid w:val="00292875"/>
    <w:rsid w:val="00292961"/>
    <w:rsid w:val="00292B0F"/>
    <w:rsid w:val="00292DC7"/>
    <w:rsid w:val="00292DC8"/>
    <w:rsid w:val="00292E3A"/>
    <w:rsid w:val="00292F3D"/>
    <w:rsid w:val="00292F8C"/>
    <w:rsid w:val="00293140"/>
    <w:rsid w:val="002931C3"/>
    <w:rsid w:val="0029328F"/>
    <w:rsid w:val="00293384"/>
    <w:rsid w:val="00293434"/>
    <w:rsid w:val="002935A4"/>
    <w:rsid w:val="0029363C"/>
    <w:rsid w:val="002938BB"/>
    <w:rsid w:val="00293A54"/>
    <w:rsid w:val="00293ADC"/>
    <w:rsid w:val="00293AEC"/>
    <w:rsid w:val="00293B48"/>
    <w:rsid w:val="00293D73"/>
    <w:rsid w:val="00293E2D"/>
    <w:rsid w:val="00293E67"/>
    <w:rsid w:val="00294296"/>
    <w:rsid w:val="00294532"/>
    <w:rsid w:val="00294847"/>
    <w:rsid w:val="002949A2"/>
    <w:rsid w:val="00294A40"/>
    <w:rsid w:val="00294A69"/>
    <w:rsid w:val="00294D60"/>
    <w:rsid w:val="00294D95"/>
    <w:rsid w:val="00294E77"/>
    <w:rsid w:val="002951E3"/>
    <w:rsid w:val="002951E8"/>
    <w:rsid w:val="0029527E"/>
    <w:rsid w:val="002952D5"/>
    <w:rsid w:val="00295311"/>
    <w:rsid w:val="002953E0"/>
    <w:rsid w:val="00295557"/>
    <w:rsid w:val="00295655"/>
    <w:rsid w:val="0029574A"/>
    <w:rsid w:val="002959F9"/>
    <w:rsid w:val="00295B33"/>
    <w:rsid w:val="00295C95"/>
    <w:rsid w:val="00295D7B"/>
    <w:rsid w:val="00295DBA"/>
    <w:rsid w:val="00295F52"/>
    <w:rsid w:val="00296047"/>
    <w:rsid w:val="002961DB"/>
    <w:rsid w:val="0029621C"/>
    <w:rsid w:val="002964B6"/>
    <w:rsid w:val="00296697"/>
    <w:rsid w:val="002969B1"/>
    <w:rsid w:val="00296BE6"/>
    <w:rsid w:val="00296C18"/>
    <w:rsid w:val="00296CAA"/>
    <w:rsid w:val="00296D1C"/>
    <w:rsid w:val="00296F9F"/>
    <w:rsid w:val="00296FEE"/>
    <w:rsid w:val="00297265"/>
    <w:rsid w:val="0029734F"/>
    <w:rsid w:val="002975BF"/>
    <w:rsid w:val="00297678"/>
    <w:rsid w:val="0029768D"/>
    <w:rsid w:val="00297736"/>
    <w:rsid w:val="00297781"/>
    <w:rsid w:val="00297806"/>
    <w:rsid w:val="00297A3C"/>
    <w:rsid w:val="00297AEE"/>
    <w:rsid w:val="00297BAC"/>
    <w:rsid w:val="00297BD8"/>
    <w:rsid w:val="00297CB4"/>
    <w:rsid w:val="00297E58"/>
    <w:rsid w:val="002993CB"/>
    <w:rsid w:val="0029C807"/>
    <w:rsid w:val="002A022B"/>
    <w:rsid w:val="002A03A4"/>
    <w:rsid w:val="002A04EE"/>
    <w:rsid w:val="002A05D6"/>
    <w:rsid w:val="002A07DC"/>
    <w:rsid w:val="002A086A"/>
    <w:rsid w:val="002A08AF"/>
    <w:rsid w:val="002A09FC"/>
    <w:rsid w:val="002A0B14"/>
    <w:rsid w:val="002A0C87"/>
    <w:rsid w:val="002A0CE9"/>
    <w:rsid w:val="002A0DA9"/>
    <w:rsid w:val="002A100E"/>
    <w:rsid w:val="002A10A2"/>
    <w:rsid w:val="002A10AF"/>
    <w:rsid w:val="002A119E"/>
    <w:rsid w:val="002A127B"/>
    <w:rsid w:val="002A1281"/>
    <w:rsid w:val="002A1567"/>
    <w:rsid w:val="002A1592"/>
    <w:rsid w:val="002A15AB"/>
    <w:rsid w:val="002A179D"/>
    <w:rsid w:val="002A192A"/>
    <w:rsid w:val="002A1A0B"/>
    <w:rsid w:val="002A1A1E"/>
    <w:rsid w:val="002A1A3D"/>
    <w:rsid w:val="002A1BCB"/>
    <w:rsid w:val="002A22B7"/>
    <w:rsid w:val="002A231C"/>
    <w:rsid w:val="002A2510"/>
    <w:rsid w:val="002A2794"/>
    <w:rsid w:val="002A27F8"/>
    <w:rsid w:val="002A28D4"/>
    <w:rsid w:val="002A29BD"/>
    <w:rsid w:val="002A29CC"/>
    <w:rsid w:val="002A2B34"/>
    <w:rsid w:val="002A2C1B"/>
    <w:rsid w:val="002A2CB8"/>
    <w:rsid w:val="002A2D87"/>
    <w:rsid w:val="002A2E4C"/>
    <w:rsid w:val="002A2EBB"/>
    <w:rsid w:val="002A3809"/>
    <w:rsid w:val="002A39CC"/>
    <w:rsid w:val="002A3A7B"/>
    <w:rsid w:val="002A3AF9"/>
    <w:rsid w:val="002A3B0D"/>
    <w:rsid w:val="002A3C05"/>
    <w:rsid w:val="002A3C77"/>
    <w:rsid w:val="002A3CB4"/>
    <w:rsid w:val="002A3D14"/>
    <w:rsid w:val="002A3DFD"/>
    <w:rsid w:val="002A3E1B"/>
    <w:rsid w:val="002A3E90"/>
    <w:rsid w:val="002A3F78"/>
    <w:rsid w:val="002A4080"/>
    <w:rsid w:val="002A4208"/>
    <w:rsid w:val="002A427E"/>
    <w:rsid w:val="002A43A1"/>
    <w:rsid w:val="002A4464"/>
    <w:rsid w:val="002A45A5"/>
    <w:rsid w:val="002A4700"/>
    <w:rsid w:val="002A470C"/>
    <w:rsid w:val="002A4748"/>
    <w:rsid w:val="002A499B"/>
    <w:rsid w:val="002A4A9A"/>
    <w:rsid w:val="002A4AE2"/>
    <w:rsid w:val="002A4BAA"/>
    <w:rsid w:val="002A4CC3"/>
    <w:rsid w:val="002A4CE3"/>
    <w:rsid w:val="002A4D38"/>
    <w:rsid w:val="002A4E31"/>
    <w:rsid w:val="002A4F15"/>
    <w:rsid w:val="002A509E"/>
    <w:rsid w:val="002A50C3"/>
    <w:rsid w:val="002A51D7"/>
    <w:rsid w:val="002A5211"/>
    <w:rsid w:val="002A5465"/>
    <w:rsid w:val="002A554A"/>
    <w:rsid w:val="002A563F"/>
    <w:rsid w:val="002A588A"/>
    <w:rsid w:val="002A588D"/>
    <w:rsid w:val="002A59FE"/>
    <w:rsid w:val="002A5EFB"/>
    <w:rsid w:val="002A603B"/>
    <w:rsid w:val="002A6116"/>
    <w:rsid w:val="002A6177"/>
    <w:rsid w:val="002A637B"/>
    <w:rsid w:val="002A6490"/>
    <w:rsid w:val="002A652A"/>
    <w:rsid w:val="002A68A2"/>
    <w:rsid w:val="002A6906"/>
    <w:rsid w:val="002A69AF"/>
    <w:rsid w:val="002A6AEE"/>
    <w:rsid w:val="002A6B66"/>
    <w:rsid w:val="002A6C5A"/>
    <w:rsid w:val="002A6C61"/>
    <w:rsid w:val="002A6CA2"/>
    <w:rsid w:val="002A6F48"/>
    <w:rsid w:val="002A7249"/>
    <w:rsid w:val="002A74B9"/>
    <w:rsid w:val="002A74ED"/>
    <w:rsid w:val="002A7534"/>
    <w:rsid w:val="002A7541"/>
    <w:rsid w:val="002A75A1"/>
    <w:rsid w:val="002A75BA"/>
    <w:rsid w:val="002A76E1"/>
    <w:rsid w:val="002A7717"/>
    <w:rsid w:val="002A7873"/>
    <w:rsid w:val="002A79C9"/>
    <w:rsid w:val="002A7A5E"/>
    <w:rsid w:val="002A7C61"/>
    <w:rsid w:val="002A7CCC"/>
    <w:rsid w:val="002A7D98"/>
    <w:rsid w:val="002A7E20"/>
    <w:rsid w:val="002A7E48"/>
    <w:rsid w:val="002A918D"/>
    <w:rsid w:val="002AC205"/>
    <w:rsid w:val="002B03AA"/>
    <w:rsid w:val="002B0426"/>
    <w:rsid w:val="002B047E"/>
    <w:rsid w:val="002B06A4"/>
    <w:rsid w:val="002B08F1"/>
    <w:rsid w:val="002B099A"/>
    <w:rsid w:val="002B0C95"/>
    <w:rsid w:val="002B0E50"/>
    <w:rsid w:val="002B0EBB"/>
    <w:rsid w:val="002B0FE0"/>
    <w:rsid w:val="002B1073"/>
    <w:rsid w:val="002B1115"/>
    <w:rsid w:val="002B11FC"/>
    <w:rsid w:val="002B11FF"/>
    <w:rsid w:val="002B12D5"/>
    <w:rsid w:val="002B1612"/>
    <w:rsid w:val="002B16C6"/>
    <w:rsid w:val="002B17D1"/>
    <w:rsid w:val="002B1867"/>
    <w:rsid w:val="002B187F"/>
    <w:rsid w:val="002B1908"/>
    <w:rsid w:val="002B198C"/>
    <w:rsid w:val="002B199E"/>
    <w:rsid w:val="002B1AA9"/>
    <w:rsid w:val="002B1CBB"/>
    <w:rsid w:val="002B1EEB"/>
    <w:rsid w:val="002B2121"/>
    <w:rsid w:val="002B21CD"/>
    <w:rsid w:val="002B2320"/>
    <w:rsid w:val="002B241E"/>
    <w:rsid w:val="002B243E"/>
    <w:rsid w:val="002B2584"/>
    <w:rsid w:val="002B2663"/>
    <w:rsid w:val="002B2676"/>
    <w:rsid w:val="002B2685"/>
    <w:rsid w:val="002B26C8"/>
    <w:rsid w:val="002B26D0"/>
    <w:rsid w:val="002B29E5"/>
    <w:rsid w:val="002B2AA0"/>
    <w:rsid w:val="002B2C49"/>
    <w:rsid w:val="002B2D08"/>
    <w:rsid w:val="002B2FB8"/>
    <w:rsid w:val="002B3084"/>
    <w:rsid w:val="002B323C"/>
    <w:rsid w:val="002B32AB"/>
    <w:rsid w:val="002B3319"/>
    <w:rsid w:val="002B3496"/>
    <w:rsid w:val="002B3BA1"/>
    <w:rsid w:val="002B3C02"/>
    <w:rsid w:val="002B3C12"/>
    <w:rsid w:val="002B3C17"/>
    <w:rsid w:val="002B3C53"/>
    <w:rsid w:val="002B3C54"/>
    <w:rsid w:val="002B3C8A"/>
    <w:rsid w:val="002B3D20"/>
    <w:rsid w:val="002B4037"/>
    <w:rsid w:val="002B4098"/>
    <w:rsid w:val="002B40C1"/>
    <w:rsid w:val="002B40CF"/>
    <w:rsid w:val="002B4135"/>
    <w:rsid w:val="002B41EA"/>
    <w:rsid w:val="002B4609"/>
    <w:rsid w:val="002B469A"/>
    <w:rsid w:val="002B46E9"/>
    <w:rsid w:val="002B4718"/>
    <w:rsid w:val="002B4769"/>
    <w:rsid w:val="002B4A41"/>
    <w:rsid w:val="002B4AE3"/>
    <w:rsid w:val="002B4BDE"/>
    <w:rsid w:val="002B4F61"/>
    <w:rsid w:val="002B5064"/>
    <w:rsid w:val="002B508A"/>
    <w:rsid w:val="002B50A3"/>
    <w:rsid w:val="002B5509"/>
    <w:rsid w:val="002B56F3"/>
    <w:rsid w:val="002B5738"/>
    <w:rsid w:val="002B5BBF"/>
    <w:rsid w:val="002B5FD8"/>
    <w:rsid w:val="002B60CD"/>
    <w:rsid w:val="002B60ED"/>
    <w:rsid w:val="002B6116"/>
    <w:rsid w:val="002B6187"/>
    <w:rsid w:val="002B62FE"/>
    <w:rsid w:val="002B631E"/>
    <w:rsid w:val="002B6323"/>
    <w:rsid w:val="002B6549"/>
    <w:rsid w:val="002B670E"/>
    <w:rsid w:val="002B6736"/>
    <w:rsid w:val="002B6916"/>
    <w:rsid w:val="002B691B"/>
    <w:rsid w:val="002B6931"/>
    <w:rsid w:val="002B6963"/>
    <w:rsid w:val="002B6B1E"/>
    <w:rsid w:val="002B6B62"/>
    <w:rsid w:val="002B6BC2"/>
    <w:rsid w:val="002B6BE8"/>
    <w:rsid w:val="002B6C23"/>
    <w:rsid w:val="002B6E19"/>
    <w:rsid w:val="002B6E2B"/>
    <w:rsid w:val="002B6F86"/>
    <w:rsid w:val="002B71DC"/>
    <w:rsid w:val="002B72EC"/>
    <w:rsid w:val="002B7465"/>
    <w:rsid w:val="002B746B"/>
    <w:rsid w:val="002B7546"/>
    <w:rsid w:val="002B76F5"/>
    <w:rsid w:val="002B7844"/>
    <w:rsid w:val="002B7BBE"/>
    <w:rsid w:val="002B7C5B"/>
    <w:rsid w:val="002B7D12"/>
    <w:rsid w:val="002B7D61"/>
    <w:rsid w:val="002B7F9A"/>
    <w:rsid w:val="002BA89E"/>
    <w:rsid w:val="002BEC54"/>
    <w:rsid w:val="002C009D"/>
    <w:rsid w:val="002C0501"/>
    <w:rsid w:val="002C0548"/>
    <w:rsid w:val="002C06E6"/>
    <w:rsid w:val="002C0861"/>
    <w:rsid w:val="002C0A74"/>
    <w:rsid w:val="002C0A9E"/>
    <w:rsid w:val="002C0B41"/>
    <w:rsid w:val="002C0BDC"/>
    <w:rsid w:val="002C0BE4"/>
    <w:rsid w:val="002C0CDB"/>
    <w:rsid w:val="002C0D38"/>
    <w:rsid w:val="002C0E65"/>
    <w:rsid w:val="002C0EA8"/>
    <w:rsid w:val="002C0EC0"/>
    <w:rsid w:val="002C0F64"/>
    <w:rsid w:val="002C0F7A"/>
    <w:rsid w:val="002C1185"/>
    <w:rsid w:val="002C11ED"/>
    <w:rsid w:val="002C1304"/>
    <w:rsid w:val="002C14F4"/>
    <w:rsid w:val="002C17DB"/>
    <w:rsid w:val="002C1847"/>
    <w:rsid w:val="002C1993"/>
    <w:rsid w:val="002C19F8"/>
    <w:rsid w:val="002C1A49"/>
    <w:rsid w:val="002C1AC1"/>
    <w:rsid w:val="002C1C34"/>
    <w:rsid w:val="002C1E52"/>
    <w:rsid w:val="002C204D"/>
    <w:rsid w:val="002C2128"/>
    <w:rsid w:val="002C21D7"/>
    <w:rsid w:val="002C2203"/>
    <w:rsid w:val="002C2628"/>
    <w:rsid w:val="002C2830"/>
    <w:rsid w:val="002C286C"/>
    <w:rsid w:val="002C2973"/>
    <w:rsid w:val="002C2A62"/>
    <w:rsid w:val="002C2A6F"/>
    <w:rsid w:val="002C2A91"/>
    <w:rsid w:val="002C2AA4"/>
    <w:rsid w:val="002C2C1F"/>
    <w:rsid w:val="002C2C46"/>
    <w:rsid w:val="002C2DCE"/>
    <w:rsid w:val="002C2EB1"/>
    <w:rsid w:val="002C3069"/>
    <w:rsid w:val="002C3157"/>
    <w:rsid w:val="002C319B"/>
    <w:rsid w:val="002C3201"/>
    <w:rsid w:val="002C3209"/>
    <w:rsid w:val="002C3215"/>
    <w:rsid w:val="002C3270"/>
    <w:rsid w:val="002C329B"/>
    <w:rsid w:val="002C3355"/>
    <w:rsid w:val="002C33C5"/>
    <w:rsid w:val="002C3517"/>
    <w:rsid w:val="002C36AB"/>
    <w:rsid w:val="002C36CF"/>
    <w:rsid w:val="002C375C"/>
    <w:rsid w:val="002C3768"/>
    <w:rsid w:val="002C37D5"/>
    <w:rsid w:val="002C3846"/>
    <w:rsid w:val="002C38F7"/>
    <w:rsid w:val="002C39BF"/>
    <w:rsid w:val="002C39E6"/>
    <w:rsid w:val="002C39F8"/>
    <w:rsid w:val="002C3A2C"/>
    <w:rsid w:val="002C3B36"/>
    <w:rsid w:val="002C3E7D"/>
    <w:rsid w:val="002C3E98"/>
    <w:rsid w:val="002C3FD6"/>
    <w:rsid w:val="002C40E0"/>
    <w:rsid w:val="002C415E"/>
    <w:rsid w:val="002C41C5"/>
    <w:rsid w:val="002C4210"/>
    <w:rsid w:val="002C4392"/>
    <w:rsid w:val="002C44FA"/>
    <w:rsid w:val="002C4556"/>
    <w:rsid w:val="002C466D"/>
    <w:rsid w:val="002C4694"/>
    <w:rsid w:val="002C4716"/>
    <w:rsid w:val="002C4753"/>
    <w:rsid w:val="002C479E"/>
    <w:rsid w:val="002C47E4"/>
    <w:rsid w:val="002C4815"/>
    <w:rsid w:val="002C4928"/>
    <w:rsid w:val="002C492B"/>
    <w:rsid w:val="002C4A4B"/>
    <w:rsid w:val="002C4CD8"/>
    <w:rsid w:val="002C4D1F"/>
    <w:rsid w:val="002C4ED4"/>
    <w:rsid w:val="002C4F26"/>
    <w:rsid w:val="002C4FDA"/>
    <w:rsid w:val="002C503E"/>
    <w:rsid w:val="002C5047"/>
    <w:rsid w:val="002C5221"/>
    <w:rsid w:val="002C5256"/>
    <w:rsid w:val="002C52F2"/>
    <w:rsid w:val="002C5466"/>
    <w:rsid w:val="002C5546"/>
    <w:rsid w:val="002C5599"/>
    <w:rsid w:val="002C5BC0"/>
    <w:rsid w:val="002C5DFC"/>
    <w:rsid w:val="002C5F6C"/>
    <w:rsid w:val="002C5F87"/>
    <w:rsid w:val="002C6039"/>
    <w:rsid w:val="002C6046"/>
    <w:rsid w:val="002C654C"/>
    <w:rsid w:val="002C6620"/>
    <w:rsid w:val="002C66A1"/>
    <w:rsid w:val="002C66AA"/>
    <w:rsid w:val="002C6748"/>
    <w:rsid w:val="002C69A9"/>
    <w:rsid w:val="002C69FF"/>
    <w:rsid w:val="002C6B3B"/>
    <w:rsid w:val="002C6B7F"/>
    <w:rsid w:val="002C6B8C"/>
    <w:rsid w:val="002C6C7B"/>
    <w:rsid w:val="002C6EA8"/>
    <w:rsid w:val="002C6FBA"/>
    <w:rsid w:val="002C71B1"/>
    <w:rsid w:val="002C7211"/>
    <w:rsid w:val="002C7259"/>
    <w:rsid w:val="002C725D"/>
    <w:rsid w:val="002C72F6"/>
    <w:rsid w:val="002C7395"/>
    <w:rsid w:val="002C739B"/>
    <w:rsid w:val="002C7441"/>
    <w:rsid w:val="002C768A"/>
    <w:rsid w:val="002C77AF"/>
    <w:rsid w:val="002C7860"/>
    <w:rsid w:val="002C78DA"/>
    <w:rsid w:val="002C7A89"/>
    <w:rsid w:val="002C7A93"/>
    <w:rsid w:val="002C7ADC"/>
    <w:rsid w:val="002C7CAF"/>
    <w:rsid w:val="002CEA2E"/>
    <w:rsid w:val="002D000D"/>
    <w:rsid w:val="002D0209"/>
    <w:rsid w:val="002D0243"/>
    <w:rsid w:val="002D0310"/>
    <w:rsid w:val="002D0319"/>
    <w:rsid w:val="002D037F"/>
    <w:rsid w:val="002D0479"/>
    <w:rsid w:val="002D0509"/>
    <w:rsid w:val="002D05D0"/>
    <w:rsid w:val="002D0669"/>
    <w:rsid w:val="002D0C59"/>
    <w:rsid w:val="002D0D83"/>
    <w:rsid w:val="002D0E5B"/>
    <w:rsid w:val="002D1122"/>
    <w:rsid w:val="002D139D"/>
    <w:rsid w:val="002D14F8"/>
    <w:rsid w:val="002D15A0"/>
    <w:rsid w:val="002D1635"/>
    <w:rsid w:val="002D1720"/>
    <w:rsid w:val="002D1852"/>
    <w:rsid w:val="002D185D"/>
    <w:rsid w:val="002D18A9"/>
    <w:rsid w:val="002D18F1"/>
    <w:rsid w:val="002D1A40"/>
    <w:rsid w:val="002D1A44"/>
    <w:rsid w:val="002D1ADC"/>
    <w:rsid w:val="002D1D4B"/>
    <w:rsid w:val="002D20F5"/>
    <w:rsid w:val="002D2159"/>
    <w:rsid w:val="002D2222"/>
    <w:rsid w:val="002D229B"/>
    <w:rsid w:val="002D22AF"/>
    <w:rsid w:val="002D234C"/>
    <w:rsid w:val="002D241F"/>
    <w:rsid w:val="002D276E"/>
    <w:rsid w:val="002D2B5D"/>
    <w:rsid w:val="002D2B94"/>
    <w:rsid w:val="002D2CE4"/>
    <w:rsid w:val="002D2DD6"/>
    <w:rsid w:val="002D2F01"/>
    <w:rsid w:val="002D2FA0"/>
    <w:rsid w:val="002D31C5"/>
    <w:rsid w:val="002D39FD"/>
    <w:rsid w:val="002D3A7E"/>
    <w:rsid w:val="002D3B3D"/>
    <w:rsid w:val="002D3B7A"/>
    <w:rsid w:val="002D3D06"/>
    <w:rsid w:val="002D3DBC"/>
    <w:rsid w:val="002D3F1C"/>
    <w:rsid w:val="002D4115"/>
    <w:rsid w:val="002D420F"/>
    <w:rsid w:val="002D4224"/>
    <w:rsid w:val="002D4357"/>
    <w:rsid w:val="002D442B"/>
    <w:rsid w:val="002D4550"/>
    <w:rsid w:val="002D4689"/>
    <w:rsid w:val="002D46BE"/>
    <w:rsid w:val="002D48CE"/>
    <w:rsid w:val="002D4977"/>
    <w:rsid w:val="002D498B"/>
    <w:rsid w:val="002D49D4"/>
    <w:rsid w:val="002D4A11"/>
    <w:rsid w:val="002D4A85"/>
    <w:rsid w:val="002D4DB8"/>
    <w:rsid w:val="002D4DE9"/>
    <w:rsid w:val="002D4E8F"/>
    <w:rsid w:val="002D4EC7"/>
    <w:rsid w:val="002D4F2A"/>
    <w:rsid w:val="002D5065"/>
    <w:rsid w:val="002D518D"/>
    <w:rsid w:val="002D535A"/>
    <w:rsid w:val="002D579A"/>
    <w:rsid w:val="002D59CF"/>
    <w:rsid w:val="002D59E5"/>
    <w:rsid w:val="002D5A37"/>
    <w:rsid w:val="002D5BDC"/>
    <w:rsid w:val="002D5C06"/>
    <w:rsid w:val="002D5C32"/>
    <w:rsid w:val="002D5DA1"/>
    <w:rsid w:val="002D5EEE"/>
    <w:rsid w:val="002D5F5A"/>
    <w:rsid w:val="002D6110"/>
    <w:rsid w:val="002D629D"/>
    <w:rsid w:val="002D6436"/>
    <w:rsid w:val="002D644C"/>
    <w:rsid w:val="002D6528"/>
    <w:rsid w:val="002D6831"/>
    <w:rsid w:val="002D68EF"/>
    <w:rsid w:val="002D6AEE"/>
    <w:rsid w:val="002D6B19"/>
    <w:rsid w:val="002D6E25"/>
    <w:rsid w:val="002D706A"/>
    <w:rsid w:val="002D71B9"/>
    <w:rsid w:val="002D733D"/>
    <w:rsid w:val="002D736A"/>
    <w:rsid w:val="002D7462"/>
    <w:rsid w:val="002D7544"/>
    <w:rsid w:val="002D7570"/>
    <w:rsid w:val="002D75EF"/>
    <w:rsid w:val="002D75F8"/>
    <w:rsid w:val="002D77BC"/>
    <w:rsid w:val="002D793F"/>
    <w:rsid w:val="002D7A99"/>
    <w:rsid w:val="002D7ACF"/>
    <w:rsid w:val="002D7B46"/>
    <w:rsid w:val="002D7C59"/>
    <w:rsid w:val="002D7CE0"/>
    <w:rsid w:val="002D7D2D"/>
    <w:rsid w:val="002D7D8B"/>
    <w:rsid w:val="002D8A17"/>
    <w:rsid w:val="002E0004"/>
    <w:rsid w:val="002E005E"/>
    <w:rsid w:val="002E01F0"/>
    <w:rsid w:val="002E0646"/>
    <w:rsid w:val="002E091E"/>
    <w:rsid w:val="002E0A71"/>
    <w:rsid w:val="002E0A7A"/>
    <w:rsid w:val="002E0AEE"/>
    <w:rsid w:val="002E0C31"/>
    <w:rsid w:val="002E0C5D"/>
    <w:rsid w:val="002E0D81"/>
    <w:rsid w:val="002E0ECB"/>
    <w:rsid w:val="002E1108"/>
    <w:rsid w:val="002E1405"/>
    <w:rsid w:val="002E150C"/>
    <w:rsid w:val="002E1931"/>
    <w:rsid w:val="002E1B37"/>
    <w:rsid w:val="002E1BCF"/>
    <w:rsid w:val="002E1C34"/>
    <w:rsid w:val="002E1C47"/>
    <w:rsid w:val="002E1C8B"/>
    <w:rsid w:val="002E1CE6"/>
    <w:rsid w:val="002E1E11"/>
    <w:rsid w:val="002E1E54"/>
    <w:rsid w:val="002E1E8B"/>
    <w:rsid w:val="002E1EE8"/>
    <w:rsid w:val="002E24AA"/>
    <w:rsid w:val="002E2527"/>
    <w:rsid w:val="002E2562"/>
    <w:rsid w:val="002E269E"/>
    <w:rsid w:val="002E282C"/>
    <w:rsid w:val="002E282F"/>
    <w:rsid w:val="002E2874"/>
    <w:rsid w:val="002E2A60"/>
    <w:rsid w:val="002E2B61"/>
    <w:rsid w:val="002E2E8F"/>
    <w:rsid w:val="002E2E9C"/>
    <w:rsid w:val="002E2FC3"/>
    <w:rsid w:val="002E309A"/>
    <w:rsid w:val="002E3113"/>
    <w:rsid w:val="002E3290"/>
    <w:rsid w:val="002E32E4"/>
    <w:rsid w:val="002E3309"/>
    <w:rsid w:val="002E37B0"/>
    <w:rsid w:val="002E37E0"/>
    <w:rsid w:val="002E383B"/>
    <w:rsid w:val="002E3A30"/>
    <w:rsid w:val="002E3AD7"/>
    <w:rsid w:val="002E3C8C"/>
    <w:rsid w:val="002E3CB8"/>
    <w:rsid w:val="002E3D61"/>
    <w:rsid w:val="002E3E47"/>
    <w:rsid w:val="002E3F1A"/>
    <w:rsid w:val="002E400F"/>
    <w:rsid w:val="002E4144"/>
    <w:rsid w:val="002E425D"/>
    <w:rsid w:val="002E4526"/>
    <w:rsid w:val="002E4536"/>
    <w:rsid w:val="002E45F6"/>
    <w:rsid w:val="002E4914"/>
    <w:rsid w:val="002E4979"/>
    <w:rsid w:val="002E49DC"/>
    <w:rsid w:val="002E4B8F"/>
    <w:rsid w:val="002E4D61"/>
    <w:rsid w:val="002E4D81"/>
    <w:rsid w:val="002E4EEF"/>
    <w:rsid w:val="002E4F52"/>
    <w:rsid w:val="002E4F59"/>
    <w:rsid w:val="002E50AD"/>
    <w:rsid w:val="002E51C7"/>
    <w:rsid w:val="002E52C4"/>
    <w:rsid w:val="002E53EA"/>
    <w:rsid w:val="002E5591"/>
    <w:rsid w:val="002E5676"/>
    <w:rsid w:val="002E56F5"/>
    <w:rsid w:val="002E5702"/>
    <w:rsid w:val="002E5725"/>
    <w:rsid w:val="002E5B34"/>
    <w:rsid w:val="002E5B80"/>
    <w:rsid w:val="002E5C12"/>
    <w:rsid w:val="002E5C40"/>
    <w:rsid w:val="002E5C43"/>
    <w:rsid w:val="002E5D10"/>
    <w:rsid w:val="002E5D77"/>
    <w:rsid w:val="002E60DF"/>
    <w:rsid w:val="002E616B"/>
    <w:rsid w:val="002E61B0"/>
    <w:rsid w:val="002E63D3"/>
    <w:rsid w:val="002E63E4"/>
    <w:rsid w:val="002E6480"/>
    <w:rsid w:val="002E655B"/>
    <w:rsid w:val="002E66AA"/>
    <w:rsid w:val="002E6B6D"/>
    <w:rsid w:val="002E6C72"/>
    <w:rsid w:val="002E6E91"/>
    <w:rsid w:val="002E6EB6"/>
    <w:rsid w:val="002E6ED6"/>
    <w:rsid w:val="002E7067"/>
    <w:rsid w:val="002E719A"/>
    <w:rsid w:val="002E71B1"/>
    <w:rsid w:val="002E731F"/>
    <w:rsid w:val="002E741B"/>
    <w:rsid w:val="002E750F"/>
    <w:rsid w:val="002E76D6"/>
    <w:rsid w:val="002E77AF"/>
    <w:rsid w:val="002E77B1"/>
    <w:rsid w:val="002E78EE"/>
    <w:rsid w:val="002E7935"/>
    <w:rsid w:val="002E796F"/>
    <w:rsid w:val="002E79CF"/>
    <w:rsid w:val="002E7A8C"/>
    <w:rsid w:val="002E7B6C"/>
    <w:rsid w:val="002E7D23"/>
    <w:rsid w:val="002ED4C3"/>
    <w:rsid w:val="002EEFC1"/>
    <w:rsid w:val="002F00B3"/>
    <w:rsid w:val="002F0129"/>
    <w:rsid w:val="002F0134"/>
    <w:rsid w:val="002F0144"/>
    <w:rsid w:val="002F0307"/>
    <w:rsid w:val="002F033D"/>
    <w:rsid w:val="002F0463"/>
    <w:rsid w:val="002F04DC"/>
    <w:rsid w:val="002F04F0"/>
    <w:rsid w:val="002F04F4"/>
    <w:rsid w:val="002F0517"/>
    <w:rsid w:val="002F05BD"/>
    <w:rsid w:val="002F0852"/>
    <w:rsid w:val="002F08DA"/>
    <w:rsid w:val="002F094E"/>
    <w:rsid w:val="002F097B"/>
    <w:rsid w:val="002F09C3"/>
    <w:rsid w:val="002F0AFF"/>
    <w:rsid w:val="002F0F3C"/>
    <w:rsid w:val="002F0F6D"/>
    <w:rsid w:val="002F0FE1"/>
    <w:rsid w:val="002F1020"/>
    <w:rsid w:val="002F11EA"/>
    <w:rsid w:val="002F12F3"/>
    <w:rsid w:val="002F1359"/>
    <w:rsid w:val="002F16AD"/>
    <w:rsid w:val="002F1729"/>
    <w:rsid w:val="002F1ACD"/>
    <w:rsid w:val="002F1B33"/>
    <w:rsid w:val="002F1B72"/>
    <w:rsid w:val="002F1B9B"/>
    <w:rsid w:val="002F1E29"/>
    <w:rsid w:val="002F1E6B"/>
    <w:rsid w:val="002F1EA2"/>
    <w:rsid w:val="002F210A"/>
    <w:rsid w:val="002F23EF"/>
    <w:rsid w:val="002F259F"/>
    <w:rsid w:val="002F263E"/>
    <w:rsid w:val="002F26A3"/>
    <w:rsid w:val="002F272C"/>
    <w:rsid w:val="002F2811"/>
    <w:rsid w:val="002F288D"/>
    <w:rsid w:val="002F289B"/>
    <w:rsid w:val="002F2A2D"/>
    <w:rsid w:val="002F2AAD"/>
    <w:rsid w:val="002F2C69"/>
    <w:rsid w:val="002F2D99"/>
    <w:rsid w:val="002F2E91"/>
    <w:rsid w:val="002F2EF2"/>
    <w:rsid w:val="002F2F26"/>
    <w:rsid w:val="002F2FA1"/>
    <w:rsid w:val="002F302A"/>
    <w:rsid w:val="002F360A"/>
    <w:rsid w:val="002F3880"/>
    <w:rsid w:val="002F3951"/>
    <w:rsid w:val="002F3AD3"/>
    <w:rsid w:val="002F3D41"/>
    <w:rsid w:val="002F3E36"/>
    <w:rsid w:val="002F4007"/>
    <w:rsid w:val="002F4185"/>
    <w:rsid w:val="002F4199"/>
    <w:rsid w:val="002F42DB"/>
    <w:rsid w:val="002F43BA"/>
    <w:rsid w:val="002F449D"/>
    <w:rsid w:val="002F44A9"/>
    <w:rsid w:val="002F456A"/>
    <w:rsid w:val="002F4604"/>
    <w:rsid w:val="002F4802"/>
    <w:rsid w:val="002F4825"/>
    <w:rsid w:val="002F4953"/>
    <w:rsid w:val="002F49C0"/>
    <w:rsid w:val="002F4A13"/>
    <w:rsid w:val="002F4A6E"/>
    <w:rsid w:val="002F4A7A"/>
    <w:rsid w:val="002F4BAD"/>
    <w:rsid w:val="002F4BB7"/>
    <w:rsid w:val="002F4C17"/>
    <w:rsid w:val="002F4C2C"/>
    <w:rsid w:val="002F4CC1"/>
    <w:rsid w:val="002F4D49"/>
    <w:rsid w:val="002F4E46"/>
    <w:rsid w:val="002F4FDF"/>
    <w:rsid w:val="002F504C"/>
    <w:rsid w:val="002F5069"/>
    <w:rsid w:val="002F50F3"/>
    <w:rsid w:val="002F513A"/>
    <w:rsid w:val="002F535A"/>
    <w:rsid w:val="002F539E"/>
    <w:rsid w:val="002F53E2"/>
    <w:rsid w:val="002F55FD"/>
    <w:rsid w:val="002F5655"/>
    <w:rsid w:val="002F56B8"/>
    <w:rsid w:val="002F56EA"/>
    <w:rsid w:val="002F5732"/>
    <w:rsid w:val="002F575B"/>
    <w:rsid w:val="002F57C5"/>
    <w:rsid w:val="002F5949"/>
    <w:rsid w:val="002F596B"/>
    <w:rsid w:val="002F5BA0"/>
    <w:rsid w:val="002F5C85"/>
    <w:rsid w:val="002F5C88"/>
    <w:rsid w:val="002F5D6F"/>
    <w:rsid w:val="002F5D94"/>
    <w:rsid w:val="002F5FB0"/>
    <w:rsid w:val="002F6010"/>
    <w:rsid w:val="002F614E"/>
    <w:rsid w:val="002F61FC"/>
    <w:rsid w:val="002F6239"/>
    <w:rsid w:val="002F62D8"/>
    <w:rsid w:val="002F6363"/>
    <w:rsid w:val="002F638E"/>
    <w:rsid w:val="002F6498"/>
    <w:rsid w:val="002F669D"/>
    <w:rsid w:val="002F66A2"/>
    <w:rsid w:val="002F69E8"/>
    <w:rsid w:val="002F6B37"/>
    <w:rsid w:val="002F6DAE"/>
    <w:rsid w:val="002F6DB7"/>
    <w:rsid w:val="002F6EA1"/>
    <w:rsid w:val="002F6EA7"/>
    <w:rsid w:val="002F6F56"/>
    <w:rsid w:val="002F6F63"/>
    <w:rsid w:val="002F701E"/>
    <w:rsid w:val="002F709F"/>
    <w:rsid w:val="002F718B"/>
    <w:rsid w:val="002F7429"/>
    <w:rsid w:val="002F7436"/>
    <w:rsid w:val="002F757B"/>
    <w:rsid w:val="002F7592"/>
    <w:rsid w:val="002F771B"/>
    <w:rsid w:val="002F7759"/>
    <w:rsid w:val="002F7768"/>
    <w:rsid w:val="002F776D"/>
    <w:rsid w:val="002F7935"/>
    <w:rsid w:val="002F7B17"/>
    <w:rsid w:val="002F7C56"/>
    <w:rsid w:val="002F7E80"/>
    <w:rsid w:val="002F7FAA"/>
    <w:rsid w:val="002FA5DD"/>
    <w:rsid w:val="00300124"/>
    <w:rsid w:val="003003D5"/>
    <w:rsid w:val="00300482"/>
    <w:rsid w:val="003004E8"/>
    <w:rsid w:val="00300528"/>
    <w:rsid w:val="00300538"/>
    <w:rsid w:val="0030060C"/>
    <w:rsid w:val="0030080F"/>
    <w:rsid w:val="00300C6C"/>
    <w:rsid w:val="00300C89"/>
    <w:rsid w:val="00300D92"/>
    <w:rsid w:val="00300DD6"/>
    <w:rsid w:val="00300DE7"/>
    <w:rsid w:val="00300EC4"/>
    <w:rsid w:val="00300F23"/>
    <w:rsid w:val="003010D7"/>
    <w:rsid w:val="003010FC"/>
    <w:rsid w:val="00301375"/>
    <w:rsid w:val="003014B2"/>
    <w:rsid w:val="00301649"/>
    <w:rsid w:val="00301733"/>
    <w:rsid w:val="0030181A"/>
    <w:rsid w:val="00301A1A"/>
    <w:rsid w:val="00301B24"/>
    <w:rsid w:val="00301BA4"/>
    <w:rsid w:val="00301C41"/>
    <w:rsid w:val="00301C53"/>
    <w:rsid w:val="00301CCA"/>
    <w:rsid w:val="00301D50"/>
    <w:rsid w:val="00301DF4"/>
    <w:rsid w:val="00301FFB"/>
    <w:rsid w:val="003020D9"/>
    <w:rsid w:val="003020E7"/>
    <w:rsid w:val="00302318"/>
    <w:rsid w:val="00302372"/>
    <w:rsid w:val="0030245A"/>
    <w:rsid w:val="0030265A"/>
    <w:rsid w:val="00302668"/>
    <w:rsid w:val="003026D7"/>
    <w:rsid w:val="00302718"/>
    <w:rsid w:val="003027CB"/>
    <w:rsid w:val="003027D6"/>
    <w:rsid w:val="00302896"/>
    <w:rsid w:val="00302A52"/>
    <w:rsid w:val="00302B03"/>
    <w:rsid w:val="00302B1B"/>
    <w:rsid w:val="00302B38"/>
    <w:rsid w:val="00302C16"/>
    <w:rsid w:val="00302CB3"/>
    <w:rsid w:val="00302D63"/>
    <w:rsid w:val="00302D8C"/>
    <w:rsid w:val="00302EBC"/>
    <w:rsid w:val="00302F1F"/>
    <w:rsid w:val="0030307E"/>
    <w:rsid w:val="003030F7"/>
    <w:rsid w:val="0030317C"/>
    <w:rsid w:val="00303377"/>
    <w:rsid w:val="003034C5"/>
    <w:rsid w:val="0030352D"/>
    <w:rsid w:val="003035CE"/>
    <w:rsid w:val="003036AC"/>
    <w:rsid w:val="00303882"/>
    <w:rsid w:val="003038B8"/>
    <w:rsid w:val="00303B1D"/>
    <w:rsid w:val="00303B38"/>
    <w:rsid w:val="00303C10"/>
    <w:rsid w:val="00303C40"/>
    <w:rsid w:val="00303C6E"/>
    <w:rsid w:val="00303CDF"/>
    <w:rsid w:val="00303CEC"/>
    <w:rsid w:val="00303D6E"/>
    <w:rsid w:val="00303DF4"/>
    <w:rsid w:val="00303E1A"/>
    <w:rsid w:val="00303EA3"/>
    <w:rsid w:val="0030404B"/>
    <w:rsid w:val="00304077"/>
    <w:rsid w:val="0030408A"/>
    <w:rsid w:val="0030420D"/>
    <w:rsid w:val="00304224"/>
    <w:rsid w:val="003043EF"/>
    <w:rsid w:val="00304410"/>
    <w:rsid w:val="003044BC"/>
    <w:rsid w:val="003045BF"/>
    <w:rsid w:val="0030470F"/>
    <w:rsid w:val="003047C0"/>
    <w:rsid w:val="0030486A"/>
    <w:rsid w:val="003049AE"/>
    <w:rsid w:val="00304DEF"/>
    <w:rsid w:val="00304F7F"/>
    <w:rsid w:val="00304FA1"/>
    <w:rsid w:val="003050C2"/>
    <w:rsid w:val="0030512E"/>
    <w:rsid w:val="0030517C"/>
    <w:rsid w:val="003051AF"/>
    <w:rsid w:val="00305254"/>
    <w:rsid w:val="003052D4"/>
    <w:rsid w:val="003052F7"/>
    <w:rsid w:val="003053D5"/>
    <w:rsid w:val="0030569D"/>
    <w:rsid w:val="003056CC"/>
    <w:rsid w:val="00305A00"/>
    <w:rsid w:val="00305A9E"/>
    <w:rsid w:val="00305AED"/>
    <w:rsid w:val="00305B66"/>
    <w:rsid w:val="00305B7F"/>
    <w:rsid w:val="00305CB8"/>
    <w:rsid w:val="00305CC7"/>
    <w:rsid w:val="00305CD5"/>
    <w:rsid w:val="00305F1F"/>
    <w:rsid w:val="00306042"/>
    <w:rsid w:val="00306068"/>
    <w:rsid w:val="00306179"/>
    <w:rsid w:val="003062D6"/>
    <w:rsid w:val="00306312"/>
    <w:rsid w:val="003063E6"/>
    <w:rsid w:val="0030663A"/>
    <w:rsid w:val="003066A5"/>
    <w:rsid w:val="0030672B"/>
    <w:rsid w:val="0030675F"/>
    <w:rsid w:val="003068D9"/>
    <w:rsid w:val="003069D6"/>
    <w:rsid w:val="00306BB7"/>
    <w:rsid w:val="00306BC0"/>
    <w:rsid w:val="00306BDA"/>
    <w:rsid w:val="00306C0B"/>
    <w:rsid w:val="00306C94"/>
    <w:rsid w:val="00306D56"/>
    <w:rsid w:val="00306ED9"/>
    <w:rsid w:val="00306F9E"/>
    <w:rsid w:val="0030704E"/>
    <w:rsid w:val="00307050"/>
    <w:rsid w:val="003072F9"/>
    <w:rsid w:val="00307377"/>
    <w:rsid w:val="00307390"/>
    <w:rsid w:val="003073F3"/>
    <w:rsid w:val="00307428"/>
    <w:rsid w:val="003074D7"/>
    <w:rsid w:val="0030799A"/>
    <w:rsid w:val="003079D2"/>
    <w:rsid w:val="00307ACF"/>
    <w:rsid w:val="00307AF0"/>
    <w:rsid w:val="00307B75"/>
    <w:rsid w:val="00307D98"/>
    <w:rsid w:val="00307DFD"/>
    <w:rsid w:val="00307E0F"/>
    <w:rsid w:val="00307E93"/>
    <w:rsid w:val="00307EAB"/>
    <w:rsid w:val="00307F9F"/>
    <w:rsid w:val="0030B335"/>
    <w:rsid w:val="00310022"/>
    <w:rsid w:val="00310057"/>
    <w:rsid w:val="0031012E"/>
    <w:rsid w:val="00310349"/>
    <w:rsid w:val="0031034B"/>
    <w:rsid w:val="00310435"/>
    <w:rsid w:val="0031044E"/>
    <w:rsid w:val="003104F1"/>
    <w:rsid w:val="00310891"/>
    <w:rsid w:val="003108C0"/>
    <w:rsid w:val="003108E4"/>
    <w:rsid w:val="0031095A"/>
    <w:rsid w:val="003109B8"/>
    <w:rsid w:val="003109CA"/>
    <w:rsid w:val="003109CC"/>
    <w:rsid w:val="00310C86"/>
    <w:rsid w:val="00310CD2"/>
    <w:rsid w:val="00310FAE"/>
    <w:rsid w:val="0031109C"/>
    <w:rsid w:val="00311113"/>
    <w:rsid w:val="00311200"/>
    <w:rsid w:val="003112CC"/>
    <w:rsid w:val="003115F8"/>
    <w:rsid w:val="00311632"/>
    <w:rsid w:val="0031166B"/>
    <w:rsid w:val="0031188E"/>
    <w:rsid w:val="00311940"/>
    <w:rsid w:val="003119DD"/>
    <w:rsid w:val="003119EF"/>
    <w:rsid w:val="00311A40"/>
    <w:rsid w:val="00311A88"/>
    <w:rsid w:val="00311ACC"/>
    <w:rsid w:val="00311BB3"/>
    <w:rsid w:val="00311C60"/>
    <w:rsid w:val="00311D0B"/>
    <w:rsid w:val="00311F5D"/>
    <w:rsid w:val="00311FA6"/>
    <w:rsid w:val="00312127"/>
    <w:rsid w:val="003122D2"/>
    <w:rsid w:val="00312360"/>
    <w:rsid w:val="003124DB"/>
    <w:rsid w:val="00312715"/>
    <w:rsid w:val="00312763"/>
    <w:rsid w:val="0031276E"/>
    <w:rsid w:val="003127A2"/>
    <w:rsid w:val="0031286B"/>
    <w:rsid w:val="00312A39"/>
    <w:rsid w:val="00312A72"/>
    <w:rsid w:val="00312BDC"/>
    <w:rsid w:val="00312D07"/>
    <w:rsid w:val="00312D97"/>
    <w:rsid w:val="00312E39"/>
    <w:rsid w:val="00312F36"/>
    <w:rsid w:val="00312FDF"/>
    <w:rsid w:val="00313092"/>
    <w:rsid w:val="003130CB"/>
    <w:rsid w:val="00313100"/>
    <w:rsid w:val="003131B6"/>
    <w:rsid w:val="003132AD"/>
    <w:rsid w:val="003135BA"/>
    <w:rsid w:val="0031360A"/>
    <w:rsid w:val="00313761"/>
    <w:rsid w:val="0031389E"/>
    <w:rsid w:val="00313987"/>
    <w:rsid w:val="003139B1"/>
    <w:rsid w:val="00313BD5"/>
    <w:rsid w:val="00313C4E"/>
    <w:rsid w:val="00313CAE"/>
    <w:rsid w:val="00313CF3"/>
    <w:rsid w:val="00313D17"/>
    <w:rsid w:val="00313D31"/>
    <w:rsid w:val="00313EB9"/>
    <w:rsid w:val="0031401D"/>
    <w:rsid w:val="0031406B"/>
    <w:rsid w:val="0031446F"/>
    <w:rsid w:val="003144C0"/>
    <w:rsid w:val="003146E5"/>
    <w:rsid w:val="00314A37"/>
    <w:rsid w:val="00314B8E"/>
    <w:rsid w:val="00314BC6"/>
    <w:rsid w:val="00314C3A"/>
    <w:rsid w:val="00314D62"/>
    <w:rsid w:val="00314ED9"/>
    <w:rsid w:val="0031514A"/>
    <w:rsid w:val="003151E5"/>
    <w:rsid w:val="00315262"/>
    <w:rsid w:val="0031533B"/>
    <w:rsid w:val="0031538D"/>
    <w:rsid w:val="0031544C"/>
    <w:rsid w:val="00315512"/>
    <w:rsid w:val="003155B0"/>
    <w:rsid w:val="003156E7"/>
    <w:rsid w:val="00315714"/>
    <w:rsid w:val="00315842"/>
    <w:rsid w:val="00315961"/>
    <w:rsid w:val="00315C2B"/>
    <w:rsid w:val="00315CBD"/>
    <w:rsid w:val="00315E2F"/>
    <w:rsid w:val="00315E43"/>
    <w:rsid w:val="00316088"/>
    <w:rsid w:val="00316159"/>
    <w:rsid w:val="00316297"/>
    <w:rsid w:val="00316423"/>
    <w:rsid w:val="003165E4"/>
    <w:rsid w:val="003165F8"/>
    <w:rsid w:val="003166E2"/>
    <w:rsid w:val="003167A4"/>
    <w:rsid w:val="003167EE"/>
    <w:rsid w:val="003168B6"/>
    <w:rsid w:val="003169C4"/>
    <w:rsid w:val="00316A01"/>
    <w:rsid w:val="00316A5C"/>
    <w:rsid w:val="00316C67"/>
    <w:rsid w:val="00316CAD"/>
    <w:rsid w:val="00316CBC"/>
    <w:rsid w:val="00316DC1"/>
    <w:rsid w:val="00316EAC"/>
    <w:rsid w:val="00316EC1"/>
    <w:rsid w:val="003171B9"/>
    <w:rsid w:val="00317435"/>
    <w:rsid w:val="00317462"/>
    <w:rsid w:val="00317476"/>
    <w:rsid w:val="0031749B"/>
    <w:rsid w:val="003174D7"/>
    <w:rsid w:val="003175C0"/>
    <w:rsid w:val="003175E5"/>
    <w:rsid w:val="003176D3"/>
    <w:rsid w:val="003177C3"/>
    <w:rsid w:val="0031786F"/>
    <w:rsid w:val="003178D7"/>
    <w:rsid w:val="00317948"/>
    <w:rsid w:val="00317AD4"/>
    <w:rsid w:val="00317B2E"/>
    <w:rsid w:val="00317B5C"/>
    <w:rsid w:val="00317D28"/>
    <w:rsid w:val="00317D86"/>
    <w:rsid w:val="00317DAE"/>
    <w:rsid w:val="00317FB1"/>
    <w:rsid w:val="0031BC09"/>
    <w:rsid w:val="003201C1"/>
    <w:rsid w:val="003203AE"/>
    <w:rsid w:val="003205B6"/>
    <w:rsid w:val="003207D3"/>
    <w:rsid w:val="003209E2"/>
    <w:rsid w:val="00320AA7"/>
    <w:rsid w:val="00320C2A"/>
    <w:rsid w:val="00320C55"/>
    <w:rsid w:val="00320D2D"/>
    <w:rsid w:val="0032101C"/>
    <w:rsid w:val="00321384"/>
    <w:rsid w:val="0032145B"/>
    <w:rsid w:val="003215A8"/>
    <w:rsid w:val="0032182F"/>
    <w:rsid w:val="00321941"/>
    <w:rsid w:val="00321B07"/>
    <w:rsid w:val="00321C88"/>
    <w:rsid w:val="00321E05"/>
    <w:rsid w:val="00321E74"/>
    <w:rsid w:val="00322042"/>
    <w:rsid w:val="0032204D"/>
    <w:rsid w:val="00322173"/>
    <w:rsid w:val="0032217D"/>
    <w:rsid w:val="0032228E"/>
    <w:rsid w:val="003223DD"/>
    <w:rsid w:val="0032245F"/>
    <w:rsid w:val="00322462"/>
    <w:rsid w:val="00322488"/>
    <w:rsid w:val="003226F8"/>
    <w:rsid w:val="0032276D"/>
    <w:rsid w:val="0032291A"/>
    <w:rsid w:val="00322972"/>
    <w:rsid w:val="00322978"/>
    <w:rsid w:val="00322B01"/>
    <w:rsid w:val="00322BC5"/>
    <w:rsid w:val="00322C29"/>
    <w:rsid w:val="00322CB4"/>
    <w:rsid w:val="00322CD6"/>
    <w:rsid w:val="00322D45"/>
    <w:rsid w:val="00322D5E"/>
    <w:rsid w:val="00322D6C"/>
    <w:rsid w:val="00322E75"/>
    <w:rsid w:val="00323056"/>
    <w:rsid w:val="003230F3"/>
    <w:rsid w:val="0032312D"/>
    <w:rsid w:val="0032317F"/>
    <w:rsid w:val="0032320C"/>
    <w:rsid w:val="00323222"/>
    <w:rsid w:val="0032323D"/>
    <w:rsid w:val="003232B4"/>
    <w:rsid w:val="00323626"/>
    <w:rsid w:val="00323756"/>
    <w:rsid w:val="0032384C"/>
    <w:rsid w:val="0032387D"/>
    <w:rsid w:val="003239A1"/>
    <w:rsid w:val="003239B6"/>
    <w:rsid w:val="00323AB5"/>
    <w:rsid w:val="00323B6E"/>
    <w:rsid w:val="00323D33"/>
    <w:rsid w:val="00323EF6"/>
    <w:rsid w:val="0032402B"/>
    <w:rsid w:val="003240DB"/>
    <w:rsid w:val="0032422C"/>
    <w:rsid w:val="00324446"/>
    <w:rsid w:val="003244B3"/>
    <w:rsid w:val="003244FD"/>
    <w:rsid w:val="0032451E"/>
    <w:rsid w:val="00324540"/>
    <w:rsid w:val="0032456E"/>
    <w:rsid w:val="003245DE"/>
    <w:rsid w:val="003245E0"/>
    <w:rsid w:val="00324A27"/>
    <w:rsid w:val="00324A94"/>
    <w:rsid w:val="00324BBF"/>
    <w:rsid w:val="00324C5A"/>
    <w:rsid w:val="00324E09"/>
    <w:rsid w:val="00324E95"/>
    <w:rsid w:val="00324FE1"/>
    <w:rsid w:val="003250BA"/>
    <w:rsid w:val="0032526B"/>
    <w:rsid w:val="00325296"/>
    <w:rsid w:val="00325326"/>
    <w:rsid w:val="003256F4"/>
    <w:rsid w:val="00325767"/>
    <w:rsid w:val="003257C5"/>
    <w:rsid w:val="00325891"/>
    <w:rsid w:val="00325B07"/>
    <w:rsid w:val="00325CB4"/>
    <w:rsid w:val="00325D62"/>
    <w:rsid w:val="00326137"/>
    <w:rsid w:val="003261DE"/>
    <w:rsid w:val="00326330"/>
    <w:rsid w:val="003263A2"/>
    <w:rsid w:val="0032645E"/>
    <w:rsid w:val="00326A02"/>
    <w:rsid w:val="00326A19"/>
    <w:rsid w:val="00326A86"/>
    <w:rsid w:val="00326BF7"/>
    <w:rsid w:val="00326CDA"/>
    <w:rsid w:val="00326DB6"/>
    <w:rsid w:val="00326DEA"/>
    <w:rsid w:val="00326EAE"/>
    <w:rsid w:val="00326F1E"/>
    <w:rsid w:val="00326F6B"/>
    <w:rsid w:val="00326F71"/>
    <w:rsid w:val="00326F8D"/>
    <w:rsid w:val="003272A9"/>
    <w:rsid w:val="0032748B"/>
    <w:rsid w:val="00327498"/>
    <w:rsid w:val="003275A2"/>
    <w:rsid w:val="0032773B"/>
    <w:rsid w:val="0032786E"/>
    <w:rsid w:val="0032790A"/>
    <w:rsid w:val="00327997"/>
    <w:rsid w:val="003279AB"/>
    <w:rsid w:val="00327A24"/>
    <w:rsid w:val="00327A68"/>
    <w:rsid w:val="00327BBC"/>
    <w:rsid w:val="00327CC7"/>
    <w:rsid w:val="00327D1A"/>
    <w:rsid w:val="00327D85"/>
    <w:rsid w:val="00327F3F"/>
    <w:rsid w:val="0032CE73"/>
    <w:rsid w:val="0032F9B7"/>
    <w:rsid w:val="003300AF"/>
    <w:rsid w:val="00330256"/>
    <w:rsid w:val="003302F0"/>
    <w:rsid w:val="0033043F"/>
    <w:rsid w:val="003304C1"/>
    <w:rsid w:val="003307F4"/>
    <w:rsid w:val="00330AD6"/>
    <w:rsid w:val="00330C01"/>
    <w:rsid w:val="00330D96"/>
    <w:rsid w:val="00330DD5"/>
    <w:rsid w:val="00330F9D"/>
    <w:rsid w:val="00331089"/>
    <w:rsid w:val="00331093"/>
    <w:rsid w:val="00331441"/>
    <w:rsid w:val="00331446"/>
    <w:rsid w:val="00331494"/>
    <w:rsid w:val="0033154C"/>
    <w:rsid w:val="003315B9"/>
    <w:rsid w:val="003315F0"/>
    <w:rsid w:val="003317AF"/>
    <w:rsid w:val="003317EB"/>
    <w:rsid w:val="0033191E"/>
    <w:rsid w:val="0033195C"/>
    <w:rsid w:val="00331AD3"/>
    <w:rsid w:val="00331C99"/>
    <w:rsid w:val="00331D68"/>
    <w:rsid w:val="00331E2F"/>
    <w:rsid w:val="00332087"/>
    <w:rsid w:val="00332097"/>
    <w:rsid w:val="0033230E"/>
    <w:rsid w:val="003323F3"/>
    <w:rsid w:val="0033247E"/>
    <w:rsid w:val="003324BC"/>
    <w:rsid w:val="003325B8"/>
    <w:rsid w:val="0033266E"/>
    <w:rsid w:val="00332810"/>
    <w:rsid w:val="0033290A"/>
    <w:rsid w:val="0033290E"/>
    <w:rsid w:val="003329A8"/>
    <w:rsid w:val="00332A4F"/>
    <w:rsid w:val="00332BC2"/>
    <w:rsid w:val="00332BDD"/>
    <w:rsid w:val="00332D94"/>
    <w:rsid w:val="00332DA6"/>
    <w:rsid w:val="00332E42"/>
    <w:rsid w:val="00333053"/>
    <w:rsid w:val="0033323E"/>
    <w:rsid w:val="00333241"/>
    <w:rsid w:val="003332E3"/>
    <w:rsid w:val="00333347"/>
    <w:rsid w:val="0033338E"/>
    <w:rsid w:val="003333DF"/>
    <w:rsid w:val="00333603"/>
    <w:rsid w:val="003336C5"/>
    <w:rsid w:val="003336E3"/>
    <w:rsid w:val="0033393B"/>
    <w:rsid w:val="00333A34"/>
    <w:rsid w:val="00333B82"/>
    <w:rsid w:val="00333F57"/>
    <w:rsid w:val="00333F9C"/>
    <w:rsid w:val="00334175"/>
    <w:rsid w:val="003342C3"/>
    <w:rsid w:val="0033434C"/>
    <w:rsid w:val="00334694"/>
    <w:rsid w:val="003346D1"/>
    <w:rsid w:val="0033483C"/>
    <w:rsid w:val="003349F5"/>
    <w:rsid w:val="00334A25"/>
    <w:rsid w:val="00334A9E"/>
    <w:rsid w:val="00334C24"/>
    <w:rsid w:val="00334C5C"/>
    <w:rsid w:val="00334C99"/>
    <w:rsid w:val="00334DEE"/>
    <w:rsid w:val="0033503F"/>
    <w:rsid w:val="0033513C"/>
    <w:rsid w:val="00335181"/>
    <w:rsid w:val="00335250"/>
    <w:rsid w:val="00335291"/>
    <w:rsid w:val="0033531B"/>
    <w:rsid w:val="003354B3"/>
    <w:rsid w:val="00335638"/>
    <w:rsid w:val="0033580A"/>
    <w:rsid w:val="0033586E"/>
    <w:rsid w:val="003358CC"/>
    <w:rsid w:val="00335A17"/>
    <w:rsid w:val="00335CE5"/>
    <w:rsid w:val="00335D5D"/>
    <w:rsid w:val="00335F5B"/>
    <w:rsid w:val="00336066"/>
    <w:rsid w:val="003361CF"/>
    <w:rsid w:val="0033622E"/>
    <w:rsid w:val="0033623A"/>
    <w:rsid w:val="0033650C"/>
    <w:rsid w:val="003367C4"/>
    <w:rsid w:val="00336878"/>
    <w:rsid w:val="0033692B"/>
    <w:rsid w:val="0033694A"/>
    <w:rsid w:val="003369EF"/>
    <w:rsid w:val="00336C65"/>
    <w:rsid w:val="00336D21"/>
    <w:rsid w:val="00336D51"/>
    <w:rsid w:val="00337088"/>
    <w:rsid w:val="00337153"/>
    <w:rsid w:val="003371E1"/>
    <w:rsid w:val="00337321"/>
    <w:rsid w:val="003373A2"/>
    <w:rsid w:val="0033753D"/>
    <w:rsid w:val="003376D7"/>
    <w:rsid w:val="00337722"/>
    <w:rsid w:val="00337829"/>
    <w:rsid w:val="003378B8"/>
    <w:rsid w:val="00337943"/>
    <w:rsid w:val="00337A32"/>
    <w:rsid w:val="00337A64"/>
    <w:rsid w:val="00337CF5"/>
    <w:rsid w:val="00337D01"/>
    <w:rsid w:val="00337D2E"/>
    <w:rsid w:val="00337DAC"/>
    <w:rsid w:val="00337DDB"/>
    <w:rsid w:val="00337F0C"/>
    <w:rsid w:val="00337FF6"/>
    <w:rsid w:val="00340068"/>
    <w:rsid w:val="00340206"/>
    <w:rsid w:val="003402A1"/>
    <w:rsid w:val="00340388"/>
    <w:rsid w:val="003403D1"/>
    <w:rsid w:val="003404D9"/>
    <w:rsid w:val="003407B6"/>
    <w:rsid w:val="003407E0"/>
    <w:rsid w:val="003408C8"/>
    <w:rsid w:val="00340C7F"/>
    <w:rsid w:val="00340DA6"/>
    <w:rsid w:val="00340DAC"/>
    <w:rsid w:val="00340E8A"/>
    <w:rsid w:val="00340F5E"/>
    <w:rsid w:val="00340FDB"/>
    <w:rsid w:val="00341020"/>
    <w:rsid w:val="0034104D"/>
    <w:rsid w:val="003410F2"/>
    <w:rsid w:val="00341530"/>
    <w:rsid w:val="0034181A"/>
    <w:rsid w:val="00341907"/>
    <w:rsid w:val="00341BC6"/>
    <w:rsid w:val="00341C2A"/>
    <w:rsid w:val="00341CAD"/>
    <w:rsid w:val="00341FD1"/>
    <w:rsid w:val="0034218D"/>
    <w:rsid w:val="00342273"/>
    <w:rsid w:val="003422E1"/>
    <w:rsid w:val="00342386"/>
    <w:rsid w:val="00342527"/>
    <w:rsid w:val="00342529"/>
    <w:rsid w:val="00342554"/>
    <w:rsid w:val="0034268B"/>
    <w:rsid w:val="003427B1"/>
    <w:rsid w:val="00342892"/>
    <w:rsid w:val="003428C0"/>
    <w:rsid w:val="003429E1"/>
    <w:rsid w:val="00342B17"/>
    <w:rsid w:val="00342B18"/>
    <w:rsid w:val="00342B72"/>
    <w:rsid w:val="00342B7F"/>
    <w:rsid w:val="00342BF6"/>
    <w:rsid w:val="00342C79"/>
    <w:rsid w:val="00342DC1"/>
    <w:rsid w:val="00342E39"/>
    <w:rsid w:val="00342F37"/>
    <w:rsid w:val="00342F40"/>
    <w:rsid w:val="00343000"/>
    <w:rsid w:val="0034302E"/>
    <w:rsid w:val="003430B5"/>
    <w:rsid w:val="003430D9"/>
    <w:rsid w:val="0034325D"/>
    <w:rsid w:val="00343393"/>
    <w:rsid w:val="003434D1"/>
    <w:rsid w:val="00343524"/>
    <w:rsid w:val="00343644"/>
    <w:rsid w:val="0034369E"/>
    <w:rsid w:val="00343781"/>
    <w:rsid w:val="00343856"/>
    <w:rsid w:val="003438B7"/>
    <w:rsid w:val="00343917"/>
    <w:rsid w:val="00343984"/>
    <w:rsid w:val="00343BE9"/>
    <w:rsid w:val="00343E00"/>
    <w:rsid w:val="00343E1B"/>
    <w:rsid w:val="00343EF4"/>
    <w:rsid w:val="00343FEF"/>
    <w:rsid w:val="00344007"/>
    <w:rsid w:val="00344014"/>
    <w:rsid w:val="00344235"/>
    <w:rsid w:val="00344424"/>
    <w:rsid w:val="0034446F"/>
    <w:rsid w:val="003444EA"/>
    <w:rsid w:val="003445B3"/>
    <w:rsid w:val="003446E0"/>
    <w:rsid w:val="003447CE"/>
    <w:rsid w:val="003448AF"/>
    <w:rsid w:val="003449A4"/>
    <w:rsid w:val="00344A76"/>
    <w:rsid w:val="00344AE4"/>
    <w:rsid w:val="00344B20"/>
    <w:rsid w:val="00344BEF"/>
    <w:rsid w:val="00344D5C"/>
    <w:rsid w:val="00345133"/>
    <w:rsid w:val="00345141"/>
    <w:rsid w:val="003451ED"/>
    <w:rsid w:val="0034539C"/>
    <w:rsid w:val="0034547C"/>
    <w:rsid w:val="0034548E"/>
    <w:rsid w:val="003457D2"/>
    <w:rsid w:val="0034589B"/>
    <w:rsid w:val="003458EB"/>
    <w:rsid w:val="003459DA"/>
    <w:rsid w:val="00345AA4"/>
    <w:rsid w:val="00345AB5"/>
    <w:rsid w:val="00345C69"/>
    <w:rsid w:val="00345D8F"/>
    <w:rsid w:val="00345F02"/>
    <w:rsid w:val="00345F81"/>
    <w:rsid w:val="00345FBE"/>
    <w:rsid w:val="00346186"/>
    <w:rsid w:val="00346359"/>
    <w:rsid w:val="0034645A"/>
    <w:rsid w:val="00346506"/>
    <w:rsid w:val="00346584"/>
    <w:rsid w:val="0034673F"/>
    <w:rsid w:val="003468DA"/>
    <w:rsid w:val="00346913"/>
    <w:rsid w:val="00346944"/>
    <w:rsid w:val="00346A34"/>
    <w:rsid w:val="00346B47"/>
    <w:rsid w:val="00346BBC"/>
    <w:rsid w:val="00346BE4"/>
    <w:rsid w:val="0034703F"/>
    <w:rsid w:val="003473D4"/>
    <w:rsid w:val="003474D2"/>
    <w:rsid w:val="0034750E"/>
    <w:rsid w:val="003476C2"/>
    <w:rsid w:val="00347704"/>
    <w:rsid w:val="0034770F"/>
    <w:rsid w:val="0034796B"/>
    <w:rsid w:val="00347A0A"/>
    <w:rsid w:val="00347A31"/>
    <w:rsid w:val="00347BAC"/>
    <w:rsid w:val="00347BB7"/>
    <w:rsid w:val="00347D24"/>
    <w:rsid w:val="00347D62"/>
    <w:rsid w:val="00347DC6"/>
    <w:rsid w:val="00347F47"/>
    <w:rsid w:val="00347F7C"/>
    <w:rsid w:val="0035002B"/>
    <w:rsid w:val="0035012A"/>
    <w:rsid w:val="0035014D"/>
    <w:rsid w:val="00350160"/>
    <w:rsid w:val="003502DB"/>
    <w:rsid w:val="00350493"/>
    <w:rsid w:val="003505C6"/>
    <w:rsid w:val="00350616"/>
    <w:rsid w:val="003507D8"/>
    <w:rsid w:val="00350802"/>
    <w:rsid w:val="0035089E"/>
    <w:rsid w:val="00350965"/>
    <w:rsid w:val="00350A37"/>
    <w:rsid w:val="00350B5C"/>
    <w:rsid w:val="00350BAB"/>
    <w:rsid w:val="00350C43"/>
    <w:rsid w:val="00350E23"/>
    <w:rsid w:val="00350E3D"/>
    <w:rsid w:val="00350E55"/>
    <w:rsid w:val="003510D6"/>
    <w:rsid w:val="00351135"/>
    <w:rsid w:val="0035122B"/>
    <w:rsid w:val="00351512"/>
    <w:rsid w:val="00351571"/>
    <w:rsid w:val="00351734"/>
    <w:rsid w:val="0035187B"/>
    <w:rsid w:val="0035190A"/>
    <w:rsid w:val="003519B6"/>
    <w:rsid w:val="003519F3"/>
    <w:rsid w:val="00351C93"/>
    <w:rsid w:val="00351CF6"/>
    <w:rsid w:val="00351CF9"/>
    <w:rsid w:val="00351D93"/>
    <w:rsid w:val="00351EEF"/>
    <w:rsid w:val="00352197"/>
    <w:rsid w:val="003521AC"/>
    <w:rsid w:val="0035235F"/>
    <w:rsid w:val="00352442"/>
    <w:rsid w:val="00352560"/>
    <w:rsid w:val="00352572"/>
    <w:rsid w:val="0035262D"/>
    <w:rsid w:val="003527F8"/>
    <w:rsid w:val="003529D6"/>
    <w:rsid w:val="00352A61"/>
    <w:rsid w:val="00352AB1"/>
    <w:rsid w:val="00352EAB"/>
    <w:rsid w:val="003530A6"/>
    <w:rsid w:val="003530CB"/>
    <w:rsid w:val="0035344C"/>
    <w:rsid w:val="003534C0"/>
    <w:rsid w:val="003534F3"/>
    <w:rsid w:val="0035351D"/>
    <w:rsid w:val="0035354D"/>
    <w:rsid w:val="0035367F"/>
    <w:rsid w:val="003538A8"/>
    <w:rsid w:val="00353B3D"/>
    <w:rsid w:val="00353B6E"/>
    <w:rsid w:val="00353B78"/>
    <w:rsid w:val="00353DE1"/>
    <w:rsid w:val="00353EB2"/>
    <w:rsid w:val="00353ED1"/>
    <w:rsid w:val="00353F59"/>
    <w:rsid w:val="00354115"/>
    <w:rsid w:val="00354365"/>
    <w:rsid w:val="0035451F"/>
    <w:rsid w:val="00354521"/>
    <w:rsid w:val="0035455C"/>
    <w:rsid w:val="00354580"/>
    <w:rsid w:val="003547AD"/>
    <w:rsid w:val="003548CD"/>
    <w:rsid w:val="003548E3"/>
    <w:rsid w:val="003548ED"/>
    <w:rsid w:val="0035490C"/>
    <w:rsid w:val="00354B07"/>
    <w:rsid w:val="00354DED"/>
    <w:rsid w:val="00354ECE"/>
    <w:rsid w:val="00355074"/>
    <w:rsid w:val="003550BF"/>
    <w:rsid w:val="00355196"/>
    <w:rsid w:val="00355383"/>
    <w:rsid w:val="003553F1"/>
    <w:rsid w:val="00355430"/>
    <w:rsid w:val="00355592"/>
    <w:rsid w:val="003555BF"/>
    <w:rsid w:val="003556CF"/>
    <w:rsid w:val="0035570F"/>
    <w:rsid w:val="003557E4"/>
    <w:rsid w:val="003558D8"/>
    <w:rsid w:val="0035595C"/>
    <w:rsid w:val="003559FA"/>
    <w:rsid w:val="00355A75"/>
    <w:rsid w:val="00355DF0"/>
    <w:rsid w:val="00355E90"/>
    <w:rsid w:val="003560B0"/>
    <w:rsid w:val="00356102"/>
    <w:rsid w:val="00356387"/>
    <w:rsid w:val="003563A3"/>
    <w:rsid w:val="003563F6"/>
    <w:rsid w:val="003565C5"/>
    <w:rsid w:val="00356686"/>
    <w:rsid w:val="00356943"/>
    <w:rsid w:val="00356BEC"/>
    <w:rsid w:val="00356FEC"/>
    <w:rsid w:val="00357018"/>
    <w:rsid w:val="00357022"/>
    <w:rsid w:val="00357150"/>
    <w:rsid w:val="00357305"/>
    <w:rsid w:val="0035737D"/>
    <w:rsid w:val="003573F6"/>
    <w:rsid w:val="00357823"/>
    <w:rsid w:val="0035786F"/>
    <w:rsid w:val="00357A57"/>
    <w:rsid w:val="00357B40"/>
    <w:rsid w:val="00357E4C"/>
    <w:rsid w:val="00357ECD"/>
    <w:rsid w:val="00357F06"/>
    <w:rsid w:val="00357F14"/>
    <w:rsid w:val="00357F70"/>
    <w:rsid w:val="00357FA5"/>
    <w:rsid w:val="0035A6BF"/>
    <w:rsid w:val="0035A8B4"/>
    <w:rsid w:val="00360025"/>
    <w:rsid w:val="0036038C"/>
    <w:rsid w:val="003603FC"/>
    <w:rsid w:val="00360416"/>
    <w:rsid w:val="00360427"/>
    <w:rsid w:val="00360492"/>
    <w:rsid w:val="003604A1"/>
    <w:rsid w:val="003604F3"/>
    <w:rsid w:val="0036053E"/>
    <w:rsid w:val="00360564"/>
    <w:rsid w:val="003605DA"/>
    <w:rsid w:val="0036068B"/>
    <w:rsid w:val="00360913"/>
    <w:rsid w:val="00360946"/>
    <w:rsid w:val="00360AB4"/>
    <w:rsid w:val="00360B17"/>
    <w:rsid w:val="00360C18"/>
    <w:rsid w:val="00360CF7"/>
    <w:rsid w:val="00360E30"/>
    <w:rsid w:val="0036104E"/>
    <w:rsid w:val="003610D1"/>
    <w:rsid w:val="0036112C"/>
    <w:rsid w:val="003611DF"/>
    <w:rsid w:val="00361293"/>
    <w:rsid w:val="00361366"/>
    <w:rsid w:val="00361389"/>
    <w:rsid w:val="003613EC"/>
    <w:rsid w:val="00361490"/>
    <w:rsid w:val="0036149F"/>
    <w:rsid w:val="0036158A"/>
    <w:rsid w:val="003615F4"/>
    <w:rsid w:val="00361791"/>
    <w:rsid w:val="0036182F"/>
    <w:rsid w:val="00361B3D"/>
    <w:rsid w:val="00361BC7"/>
    <w:rsid w:val="00361C2C"/>
    <w:rsid w:val="00361C50"/>
    <w:rsid w:val="00361E9E"/>
    <w:rsid w:val="00361EF8"/>
    <w:rsid w:val="00361F9E"/>
    <w:rsid w:val="003621DE"/>
    <w:rsid w:val="003621E8"/>
    <w:rsid w:val="00362240"/>
    <w:rsid w:val="00362274"/>
    <w:rsid w:val="0036235C"/>
    <w:rsid w:val="00362391"/>
    <w:rsid w:val="003623DC"/>
    <w:rsid w:val="00362614"/>
    <w:rsid w:val="0036268C"/>
    <w:rsid w:val="003626DD"/>
    <w:rsid w:val="00362770"/>
    <w:rsid w:val="0036277C"/>
    <w:rsid w:val="003628B9"/>
    <w:rsid w:val="003628E4"/>
    <w:rsid w:val="00362976"/>
    <w:rsid w:val="003629F3"/>
    <w:rsid w:val="00362CEE"/>
    <w:rsid w:val="00362D52"/>
    <w:rsid w:val="003630DF"/>
    <w:rsid w:val="0036314D"/>
    <w:rsid w:val="00363192"/>
    <w:rsid w:val="00363225"/>
    <w:rsid w:val="00363436"/>
    <w:rsid w:val="0036347F"/>
    <w:rsid w:val="00363738"/>
    <w:rsid w:val="0036377C"/>
    <w:rsid w:val="00363977"/>
    <w:rsid w:val="00363A6D"/>
    <w:rsid w:val="00363B85"/>
    <w:rsid w:val="00363C5F"/>
    <w:rsid w:val="00363CB4"/>
    <w:rsid w:val="00363DB9"/>
    <w:rsid w:val="00363F6A"/>
    <w:rsid w:val="003640DB"/>
    <w:rsid w:val="003641A1"/>
    <w:rsid w:val="00364249"/>
    <w:rsid w:val="003642A0"/>
    <w:rsid w:val="00364403"/>
    <w:rsid w:val="003644B3"/>
    <w:rsid w:val="00364696"/>
    <w:rsid w:val="00364875"/>
    <w:rsid w:val="00364896"/>
    <w:rsid w:val="003648F4"/>
    <w:rsid w:val="003649A5"/>
    <w:rsid w:val="003649B0"/>
    <w:rsid w:val="003649D5"/>
    <w:rsid w:val="00364A55"/>
    <w:rsid w:val="00364B56"/>
    <w:rsid w:val="00364C28"/>
    <w:rsid w:val="00364C59"/>
    <w:rsid w:val="00364D59"/>
    <w:rsid w:val="0036504A"/>
    <w:rsid w:val="00365262"/>
    <w:rsid w:val="003652F9"/>
    <w:rsid w:val="003657EC"/>
    <w:rsid w:val="00365870"/>
    <w:rsid w:val="00365C12"/>
    <w:rsid w:val="00365DD2"/>
    <w:rsid w:val="00366106"/>
    <w:rsid w:val="0036610E"/>
    <w:rsid w:val="003661B6"/>
    <w:rsid w:val="003661D1"/>
    <w:rsid w:val="003662C4"/>
    <w:rsid w:val="0036645F"/>
    <w:rsid w:val="00366576"/>
    <w:rsid w:val="00366A7D"/>
    <w:rsid w:val="00366B63"/>
    <w:rsid w:val="00366C15"/>
    <w:rsid w:val="00366DE1"/>
    <w:rsid w:val="00366E22"/>
    <w:rsid w:val="00366E47"/>
    <w:rsid w:val="00366F1D"/>
    <w:rsid w:val="00366F59"/>
    <w:rsid w:val="00366F67"/>
    <w:rsid w:val="0036702F"/>
    <w:rsid w:val="00367048"/>
    <w:rsid w:val="00367056"/>
    <w:rsid w:val="00367246"/>
    <w:rsid w:val="003672B1"/>
    <w:rsid w:val="0036749C"/>
    <w:rsid w:val="0036755E"/>
    <w:rsid w:val="00367581"/>
    <w:rsid w:val="003675DF"/>
    <w:rsid w:val="00367656"/>
    <w:rsid w:val="00367865"/>
    <w:rsid w:val="0036797E"/>
    <w:rsid w:val="00367A57"/>
    <w:rsid w:val="00367B72"/>
    <w:rsid w:val="00367E92"/>
    <w:rsid w:val="0036A42A"/>
    <w:rsid w:val="0037001E"/>
    <w:rsid w:val="00370085"/>
    <w:rsid w:val="0037013D"/>
    <w:rsid w:val="0037014F"/>
    <w:rsid w:val="00370160"/>
    <w:rsid w:val="00370192"/>
    <w:rsid w:val="0037024B"/>
    <w:rsid w:val="0037025D"/>
    <w:rsid w:val="003702DA"/>
    <w:rsid w:val="003703D6"/>
    <w:rsid w:val="0037055D"/>
    <w:rsid w:val="003706E6"/>
    <w:rsid w:val="003707C5"/>
    <w:rsid w:val="003708CC"/>
    <w:rsid w:val="00370C43"/>
    <w:rsid w:val="00370CCD"/>
    <w:rsid w:val="00370CFB"/>
    <w:rsid w:val="00370DD1"/>
    <w:rsid w:val="00370E50"/>
    <w:rsid w:val="00370F19"/>
    <w:rsid w:val="00371011"/>
    <w:rsid w:val="00371019"/>
    <w:rsid w:val="003713E2"/>
    <w:rsid w:val="0037145F"/>
    <w:rsid w:val="0037148F"/>
    <w:rsid w:val="00371558"/>
    <w:rsid w:val="003715D5"/>
    <w:rsid w:val="00371712"/>
    <w:rsid w:val="003717BB"/>
    <w:rsid w:val="0037199F"/>
    <w:rsid w:val="003719EC"/>
    <w:rsid w:val="00371A46"/>
    <w:rsid w:val="00371A59"/>
    <w:rsid w:val="00371AEF"/>
    <w:rsid w:val="00371B8E"/>
    <w:rsid w:val="00371C3E"/>
    <w:rsid w:val="00371D21"/>
    <w:rsid w:val="00371FB4"/>
    <w:rsid w:val="00372155"/>
    <w:rsid w:val="00372498"/>
    <w:rsid w:val="003725F6"/>
    <w:rsid w:val="003726E5"/>
    <w:rsid w:val="003726E9"/>
    <w:rsid w:val="0037275B"/>
    <w:rsid w:val="00372773"/>
    <w:rsid w:val="00372812"/>
    <w:rsid w:val="00372845"/>
    <w:rsid w:val="0037285A"/>
    <w:rsid w:val="00372985"/>
    <w:rsid w:val="00372A75"/>
    <w:rsid w:val="00372AC6"/>
    <w:rsid w:val="00372B3F"/>
    <w:rsid w:val="00372D6E"/>
    <w:rsid w:val="00372D8B"/>
    <w:rsid w:val="00372EFD"/>
    <w:rsid w:val="00372F09"/>
    <w:rsid w:val="00373098"/>
    <w:rsid w:val="00373208"/>
    <w:rsid w:val="00373230"/>
    <w:rsid w:val="0037398C"/>
    <w:rsid w:val="003739DC"/>
    <w:rsid w:val="00373B13"/>
    <w:rsid w:val="00373CA9"/>
    <w:rsid w:val="00373D4C"/>
    <w:rsid w:val="00373EBC"/>
    <w:rsid w:val="00373FFF"/>
    <w:rsid w:val="0037428D"/>
    <w:rsid w:val="003743AE"/>
    <w:rsid w:val="0037445A"/>
    <w:rsid w:val="003745C7"/>
    <w:rsid w:val="00374807"/>
    <w:rsid w:val="00374823"/>
    <w:rsid w:val="0037493A"/>
    <w:rsid w:val="003749FA"/>
    <w:rsid w:val="00374A82"/>
    <w:rsid w:val="00374B00"/>
    <w:rsid w:val="00374B08"/>
    <w:rsid w:val="00374D5D"/>
    <w:rsid w:val="00374D5F"/>
    <w:rsid w:val="00375086"/>
    <w:rsid w:val="00375454"/>
    <w:rsid w:val="00375483"/>
    <w:rsid w:val="003755E5"/>
    <w:rsid w:val="0037564C"/>
    <w:rsid w:val="0037580C"/>
    <w:rsid w:val="0037592C"/>
    <w:rsid w:val="00375A04"/>
    <w:rsid w:val="00375AC8"/>
    <w:rsid w:val="00375CCA"/>
    <w:rsid w:val="00375D66"/>
    <w:rsid w:val="00375DF6"/>
    <w:rsid w:val="00375E48"/>
    <w:rsid w:val="00375F21"/>
    <w:rsid w:val="00375F3C"/>
    <w:rsid w:val="00375F5E"/>
    <w:rsid w:val="00375F84"/>
    <w:rsid w:val="00376095"/>
    <w:rsid w:val="003760D2"/>
    <w:rsid w:val="0037616B"/>
    <w:rsid w:val="00376279"/>
    <w:rsid w:val="003762AE"/>
    <w:rsid w:val="0037638B"/>
    <w:rsid w:val="00376498"/>
    <w:rsid w:val="003769F4"/>
    <w:rsid w:val="00376B81"/>
    <w:rsid w:val="00376DB0"/>
    <w:rsid w:val="00376DBA"/>
    <w:rsid w:val="00376F6E"/>
    <w:rsid w:val="003770F1"/>
    <w:rsid w:val="00377230"/>
    <w:rsid w:val="00377238"/>
    <w:rsid w:val="0037779D"/>
    <w:rsid w:val="00377973"/>
    <w:rsid w:val="00377B61"/>
    <w:rsid w:val="00377B80"/>
    <w:rsid w:val="00377D02"/>
    <w:rsid w:val="00377DA9"/>
    <w:rsid w:val="00377DED"/>
    <w:rsid w:val="00377F20"/>
    <w:rsid w:val="00377F3D"/>
    <w:rsid w:val="00377F3E"/>
    <w:rsid w:val="00377FAE"/>
    <w:rsid w:val="0037F6ED"/>
    <w:rsid w:val="00380035"/>
    <w:rsid w:val="00380112"/>
    <w:rsid w:val="0038021F"/>
    <w:rsid w:val="00380401"/>
    <w:rsid w:val="0038041A"/>
    <w:rsid w:val="003804DB"/>
    <w:rsid w:val="0038053B"/>
    <w:rsid w:val="003806B2"/>
    <w:rsid w:val="0038077E"/>
    <w:rsid w:val="0038094F"/>
    <w:rsid w:val="003809AD"/>
    <w:rsid w:val="003809C3"/>
    <w:rsid w:val="00380AEF"/>
    <w:rsid w:val="00380C17"/>
    <w:rsid w:val="00380E0C"/>
    <w:rsid w:val="0038107A"/>
    <w:rsid w:val="0038119C"/>
    <w:rsid w:val="00381578"/>
    <w:rsid w:val="003815AB"/>
    <w:rsid w:val="003815D5"/>
    <w:rsid w:val="00381627"/>
    <w:rsid w:val="00381670"/>
    <w:rsid w:val="003817AF"/>
    <w:rsid w:val="00381854"/>
    <w:rsid w:val="00381861"/>
    <w:rsid w:val="0038199E"/>
    <w:rsid w:val="003819CB"/>
    <w:rsid w:val="00381AA6"/>
    <w:rsid w:val="00381ABE"/>
    <w:rsid w:val="00381B0C"/>
    <w:rsid w:val="00381BBC"/>
    <w:rsid w:val="00381D0E"/>
    <w:rsid w:val="00381EC7"/>
    <w:rsid w:val="00381ED2"/>
    <w:rsid w:val="00381F12"/>
    <w:rsid w:val="00381F55"/>
    <w:rsid w:val="00381FC0"/>
    <w:rsid w:val="00381FCE"/>
    <w:rsid w:val="00382080"/>
    <w:rsid w:val="00382093"/>
    <w:rsid w:val="003820AB"/>
    <w:rsid w:val="00382178"/>
    <w:rsid w:val="00382330"/>
    <w:rsid w:val="00382356"/>
    <w:rsid w:val="00382416"/>
    <w:rsid w:val="00382529"/>
    <w:rsid w:val="00382585"/>
    <w:rsid w:val="003826F9"/>
    <w:rsid w:val="00382743"/>
    <w:rsid w:val="00382765"/>
    <w:rsid w:val="00382766"/>
    <w:rsid w:val="003827DD"/>
    <w:rsid w:val="00382921"/>
    <w:rsid w:val="00382A76"/>
    <w:rsid w:val="00382DC2"/>
    <w:rsid w:val="00383206"/>
    <w:rsid w:val="003832F3"/>
    <w:rsid w:val="0038332A"/>
    <w:rsid w:val="00383378"/>
    <w:rsid w:val="00383382"/>
    <w:rsid w:val="003834C4"/>
    <w:rsid w:val="003834EE"/>
    <w:rsid w:val="00383577"/>
    <w:rsid w:val="0038367C"/>
    <w:rsid w:val="003836D0"/>
    <w:rsid w:val="0038374D"/>
    <w:rsid w:val="00383791"/>
    <w:rsid w:val="0038381C"/>
    <w:rsid w:val="003838A1"/>
    <w:rsid w:val="00383AB2"/>
    <w:rsid w:val="00383B6C"/>
    <w:rsid w:val="00383C26"/>
    <w:rsid w:val="00383C37"/>
    <w:rsid w:val="00383C98"/>
    <w:rsid w:val="00383D43"/>
    <w:rsid w:val="00383F33"/>
    <w:rsid w:val="00384060"/>
    <w:rsid w:val="0038408F"/>
    <w:rsid w:val="00384402"/>
    <w:rsid w:val="00384422"/>
    <w:rsid w:val="00384433"/>
    <w:rsid w:val="00384484"/>
    <w:rsid w:val="003845F8"/>
    <w:rsid w:val="00384714"/>
    <w:rsid w:val="003847C4"/>
    <w:rsid w:val="00384803"/>
    <w:rsid w:val="00384821"/>
    <w:rsid w:val="0038482A"/>
    <w:rsid w:val="00384A07"/>
    <w:rsid w:val="00384B3D"/>
    <w:rsid w:val="00384B58"/>
    <w:rsid w:val="00384C8A"/>
    <w:rsid w:val="00384E2B"/>
    <w:rsid w:val="00384EF3"/>
    <w:rsid w:val="00384F9F"/>
    <w:rsid w:val="00385264"/>
    <w:rsid w:val="003852A3"/>
    <w:rsid w:val="003852F0"/>
    <w:rsid w:val="00385348"/>
    <w:rsid w:val="003853E7"/>
    <w:rsid w:val="00385658"/>
    <w:rsid w:val="003856E9"/>
    <w:rsid w:val="003859F8"/>
    <w:rsid w:val="00385A66"/>
    <w:rsid w:val="00385CF0"/>
    <w:rsid w:val="00385D11"/>
    <w:rsid w:val="00385E29"/>
    <w:rsid w:val="00385ECB"/>
    <w:rsid w:val="00385F7C"/>
    <w:rsid w:val="00385FFE"/>
    <w:rsid w:val="0038602C"/>
    <w:rsid w:val="0038643B"/>
    <w:rsid w:val="00386476"/>
    <w:rsid w:val="003864A3"/>
    <w:rsid w:val="00386513"/>
    <w:rsid w:val="00386555"/>
    <w:rsid w:val="0038678F"/>
    <w:rsid w:val="003867EC"/>
    <w:rsid w:val="0038695C"/>
    <w:rsid w:val="003869BE"/>
    <w:rsid w:val="00386AEF"/>
    <w:rsid w:val="00386BDB"/>
    <w:rsid w:val="00386C2F"/>
    <w:rsid w:val="00386C3C"/>
    <w:rsid w:val="00386E85"/>
    <w:rsid w:val="00386EA7"/>
    <w:rsid w:val="00386F36"/>
    <w:rsid w:val="00386FFF"/>
    <w:rsid w:val="00387006"/>
    <w:rsid w:val="0038706C"/>
    <w:rsid w:val="00387133"/>
    <w:rsid w:val="003872BE"/>
    <w:rsid w:val="003872FB"/>
    <w:rsid w:val="0038733E"/>
    <w:rsid w:val="0038733F"/>
    <w:rsid w:val="003873E7"/>
    <w:rsid w:val="00387411"/>
    <w:rsid w:val="003874F8"/>
    <w:rsid w:val="003876EF"/>
    <w:rsid w:val="00387834"/>
    <w:rsid w:val="0038789B"/>
    <w:rsid w:val="003879FD"/>
    <w:rsid w:val="00387A1D"/>
    <w:rsid w:val="00387A57"/>
    <w:rsid w:val="00387ACB"/>
    <w:rsid w:val="00387B3C"/>
    <w:rsid w:val="00387C3F"/>
    <w:rsid w:val="00387C9A"/>
    <w:rsid w:val="00390062"/>
    <w:rsid w:val="00390147"/>
    <w:rsid w:val="0039019F"/>
    <w:rsid w:val="003902DC"/>
    <w:rsid w:val="00390382"/>
    <w:rsid w:val="0039042A"/>
    <w:rsid w:val="00390560"/>
    <w:rsid w:val="00390585"/>
    <w:rsid w:val="003906A6"/>
    <w:rsid w:val="0039070A"/>
    <w:rsid w:val="0039079C"/>
    <w:rsid w:val="00390875"/>
    <w:rsid w:val="00390897"/>
    <w:rsid w:val="00390ABE"/>
    <w:rsid w:val="00390B7C"/>
    <w:rsid w:val="00390BB4"/>
    <w:rsid w:val="00390EC4"/>
    <w:rsid w:val="00390F3A"/>
    <w:rsid w:val="003911A9"/>
    <w:rsid w:val="003911D3"/>
    <w:rsid w:val="003913F5"/>
    <w:rsid w:val="003915C7"/>
    <w:rsid w:val="00391619"/>
    <w:rsid w:val="0039166B"/>
    <w:rsid w:val="00391A17"/>
    <w:rsid w:val="00391ABB"/>
    <w:rsid w:val="00391B0F"/>
    <w:rsid w:val="00391B50"/>
    <w:rsid w:val="00391D44"/>
    <w:rsid w:val="00391E4F"/>
    <w:rsid w:val="00391E85"/>
    <w:rsid w:val="00391EC7"/>
    <w:rsid w:val="00392067"/>
    <w:rsid w:val="003920B7"/>
    <w:rsid w:val="0039210E"/>
    <w:rsid w:val="003922D3"/>
    <w:rsid w:val="0039240C"/>
    <w:rsid w:val="0039240F"/>
    <w:rsid w:val="003924A7"/>
    <w:rsid w:val="003924EA"/>
    <w:rsid w:val="00392664"/>
    <w:rsid w:val="00392702"/>
    <w:rsid w:val="00392755"/>
    <w:rsid w:val="003929B0"/>
    <w:rsid w:val="003929C7"/>
    <w:rsid w:val="00392C38"/>
    <w:rsid w:val="00392C4D"/>
    <w:rsid w:val="00392C7C"/>
    <w:rsid w:val="00392DC5"/>
    <w:rsid w:val="00392E08"/>
    <w:rsid w:val="00392E9B"/>
    <w:rsid w:val="00392FCA"/>
    <w:rsid w:val="00393009"/>
    <w:rsid w:val="0039302F"/>
    <w:rsid w:val="00393096"/>
    <w:rsid w:val="003931BC"/>
    <w:rsid w:val="003931DA"/>
    <w:rsid w:val="003932A4"/>
    <w:rsid w:val="003934A6"/>
    <w:rsid w:val="00393633"/>
    <w:rsid w:val="00393692"/>
    <w:rsid w:val="003937EA"/>
    <w:rsid w:val="0039394D"/>
    <w:rsid w:val="00393953"/>
    <w:rsid w:val="00393A0B"/>
    <w:rsid w:val="00393A50"/>
    <w:rsid w:val="00393A8A"/>
    <w:rsid w:val="00393CD2"/>
    <w:rsid w:val="00393D2D"/>
    <w:rsid w:val="00393DFA"/>
    <w:rsid w:val="00393E3F"/>
    <w:rsid w:val="00393E44"/>
    <w:rsid w:val="00393ED2"/>
    <w:rsid w:val="00393F41"/>
    <w:rsid w:val="00394355"/>
    <w:rsid w:val="003943AB"/>
    <w:rsid w:val="003947AC"/>
    <w:rsid w:val="0039491A"/>
    <w:rsid w:val="0039498E"/>
    <w:rsid w:val="00394B60"/>
    <w:rsid w:val="00394C62"/>
    <w:rsid w:val="00394D22"/>
    <w:rsid w:val="00394DB4"/>
    <w:rsid w:val="00394DE0"/>
    <w:rsid w:val="00394F49"/>
    <w:rsid w:val="00395040"/>
    <w:rsid w:val="00395196"/>
    <w:rsid w:val="00395424"/>
    <w:rsid w:val="0039554B"/>
    <w:rsid w:val="00395598"/>
    <w:rsid w:val="00395920"/>
    <w:rsid w:val="00395935"/>
    <w:rsid w:val="003959C7"/>
    <w:rsid w:val="00395C4F"/>
    <w:rsid w:val="00395CE8"/>
    <w:rsid w:val="00396018"/>
    <w:rsid w:val="0039608F"/>
    <w:rsid w:val="003960C7"/>
    <w:rsid w:val="00396199"/>
    <w:rsid w:val="003961FA"/>
    <w:rsid w:val="0039625A"/>
    <w:rsid w:val="0039626C"/>
    <w:rsid w:val="0039637E"/>
    <w:rsid w:val="003963B7"/>
    <w:rsid w:val="003963E6"/>
    <w:rsid w:val="00396451"/>
    <w:rsid w:val="00396460"/>
    <w:rsid w:val="00396474"/>
    <w:rsid w:val="00396493"/>
    <w:rsid w:val="0039649C"/>
    <w:rsid w:val="003964D0"/>
    <w:rsid w:val="00396504"/>
    <w:rsid w:val="00396652"/>
    <w:rsid w:val="003967B7"/>
    <w:rsid w:val="0039686B"/>
    <w:rsid w:val="00396B0C"/>
    <w:rsid w:val="00396C70"/>
    <w:rsid w:val="00396D1D"/>
    <w:rsid w:val="00396D90"/>
    <w:rsid w:val="00396E21"/>
    <w:rsid w:val="00397105"/>
    <w:rsid w:val="003971E1"/>
    <w:rsid w:val="00397296"/>
    <w:rsid w:val="003976C1"/>
    <w:rsid w:val="00397720"/>
    <w:rsid w:val="00397900"/>
    <w:rsid w:val="00397CD7"/>
    <w:rsid w:val="00397D41"/>
    <w:rsid w:val="00397DCE"/>
    <w:rsid w:val="00397E9C"/>
    <w:rsid w:val="0039D7A0"/>
    <w:rsid w:val="003A00B5"/>
    <w:rsid w:val="003A00E8"/>
    <w:rsid w:val="003A00F1"/>
    <w:rsid w:val="003A0100"/>
    <w:rsid w:val="003A0282"/>
    <w:rsid w:val="003A03B8"/>
    <w:rsid w:val="003A03E4"/>
    <w:rsid w:val="003A0694"/>
    <w:rsid w:val="003A0699"/>
    <w:rsid w:val="003A07B0"/>
    <w:rsid w:val="003A07F9"/>
    <w:rsid w:val="003A0860"/>
    <w:rsid w:val="003A09E2"/>
    <w:rsid w:val="003A0AC5"/>
    <w:rsid w:val="003A0AEA"/>
    <w:rsid w:val="003A0B1B"/>
    <w:rsid w:val="003A0B24"/>
    <w:rsid w:val="003A0B87"/>
    <w:rsid w:val="003A0C17"/>
    <w:rsid w:val="003A0E61"/>
    <w:rsid w:val="003A0E74"/>
    <w:rsid w:val="003A0EC9"/>
    <w:rsid w:val="003A0FEB"/>
    <w:rsid w:val="003A10FA"/>
    <w:rsid w:val="003A1148"/>
    <w:rsid w:val="003A13D9"/>
    <w:rsid w:val="003A140C"/>
    <w:rsid w:val="003A14FF"/>
    <w:rsid w:val="003A15AF"/>
    <w:rsid w:val="003A178D"/>
    <w:rsid w:val="003A1839"/>
    <w:rsid w:val="003A1882"/>
    <w:rsid w:val="003A198E"/>
    <w:rsid w:val="003A1B59"/>
    <w:rsid w:val="003A1E4B"/>
    <w:rsid w:val="003A1E62"/>
    <w:rsid w:val="003A1E75"/>
    <w:rsid w:val="003A1F6E"/>
    <w:rsid w:val="003A1FC5"/>
    <w:rsid w:val="003A1FD1"/>
    <w:rsid w:val="003A2084"/>
    <w:rsid w:val="003A20B4"/>
    <w:rsid w:val="003A230D"/>
    <w:rsid w:val="003A23F8"/>
    <w:rsid w:val="003A2921"/>
    <w:rsid w:val="003A2927"/>
    <w:rsid w:val="003A29C5"/>
    <w:rsid w:val="003A2B2E"/>
    <w:rsid w:val="003A2E6F"/>
    <w:rsid w:val="003A3100"/>
    <w:rsid w:val="003A3149"/>
    <w:rsid w:val="003A31AA"/>
    <w:rsid w:val="003A31CE"/>
    <w:rsid w:val="003A35AA"/>
    <w:rsid w:val="003A3681"/>
    <w:rsid w:val="003A3735"/>
    <w:rsid w:val="003A377C"/>
    <w:rsid w:val="003A3AA5"/>
    <w:rsid w:val="003A3F0F"/>
    <w:rsid w:val="003A3F3D"/>
    <w:rsid w:val="003A4101"/>
    <w:rsid w:val="003A4117"/>
    <w:rsid w:val="003A4173"/>
    <w:rsid w:val="003A4347"/>
    <w:rsid w:val="003A45A5"/>
    <w:rsid w:val="003A468F"/>
    <w:rsid w:val="003A46DC"/>
    <w:rsid w:val="003A47A8"/>
    <w:rsid w:val="003A47CA"/>
    <w:rsid w:val="003A4825"/>
    <w:rsid w:val="003A482F"/>
    <w:rsid w:val="003A4945"/>
    <w:rsid w:val="003A4C2F"/>
    <w:rsid w:val="003A4CF3"/>
    <w:rsid w:val="003A4FE2"/>
    <w:rsid w:val="003A5144"/>
    <w:rsid w:val="003A51D9"/>
    <w:rsid w:val="003A51EA"/>
    <w:rsid w:val="003A5397"/>
    <w:rsid w:val="003A54B2"/>
    <w:rsid w:val="003A56A8"/>
    <w:rsid w:val="003A5A9D"/>
    <w:rsid w:val="003A5AA6"/>
    <w:rsid w:val="003A5D79"/>
    <w:rsid w:val="003A60A3"/>
    <w:rsid w:val="003A6108"/>
    <w:rsid w:val="003A6331"/>
    <w:rsid w:val="003A64A9"/>
    <w:rsid w:val="003A64BB"/>
    <w:rsid w:val="003A64F1"/>
    <w:rsid w:val="003A6516"/>
    <w:rsid w:val="003A65B6"/>
    <w:rsid w:val="003A6736"/>
    <w:rsid w:val="003A67E8"/>
    <w:rsid w:val="003A692C"/>
    <w:rsid w:val="003A6931"/>
    <w:rsid w:val="003A6B12"/>
    <w:rsid w:val="003A6B34"/>
    <w:rsid w:val="003A6BED"/>
    <w:rsid w:val="003A6D2D"/>
    <w:rsid w:val="003A6EE9"/>
    <w:rsid w:val="003A70B2"/>
    <w:rsid w:val="003A720E"/>
    <w:rsid w:val="003A7462"/>
    <w:rsid w:val="003A7609"/>
    <w:rsid w:val="003A7672"/>
    <w:rsid w:val="003A7B30"/>
    <w:rsid w:val="003A7C0D"/>
    <w:rsid w:val="003ABA14"/>
    <w:rsid w:val="003B00C0"/>
    <w:rsid w:val="003B00CB"/>
    <w:rsid w:val="003B018C"/>
    <w:rsid w:val="003B02FF"/>
    <w:rsid w:val="003B033B"/>
    <w:rsid w:val="003B03B0"/>
    <w:rsid w:val="003B0486"/>
    <w:rsid w:val="003B04AE"/>
    <w:rsid w:val="003B04D0"/>
    <w:rsid w:val="003B052E"/>
    <w:rsid w:val="003B08DB"/>
    <w:rsid w:val="003B08ED"/>
    <w:rsid w:val="003B09A5"/>
    <w:rsid w:val="003B0A2B"/>
    <w:rsid w:val="003B0AD6"/>
    <w:rsid w:val="003B0AE2"/>
    <w:rsid w:val="003B0B48"/>
    <w:rsid w:val="003B0C03"/>
    <w:rsid w:val="003B0D7B"/>
    <w:rsid w:val="003B0DB3"/>
    <w:rsid w:val="003B0E03"/>
    <w:rsid w:val="003B0F7E"/>
    <w:rsid w:val="003B107E"/>
    <w:rsid w:val="003B1082"/>
    <w:rsid w:val="003B10AA"/>
    <w:rsid w:val="003B1222"/>
    <w:rsid w:val="003B1259"/>
    <w:rsid w:val="003B12C0"/>
    <w:rsid w:val="003B14B7"/>
    <w:rsid w:val="003B1504"/>
    <w:rsid w:val="003B1522"/>
    <w:rsid w:val="003B179D"/>
    <w:rsid w:val="003B1853"/>
    <w:rsid w:val="003B19FC"/>
    <w:rsid w:val="003B1AF0"/>
    <w:rsid w:val="003B1C18"/>
    <w:rsid w:val="003B1F15"/>
    <w:rsid w:val="003B1FDE"/>
    <w:rsid w:val="003B2020"/>
    <w:rsid w:val="003B2152"/>
    <w:rsid w:val="003B2199"/>
    <w:rsid w:val="003B221F"/>
    <w:rsid w:val="003B2260"/>
    <w:rsid w:val="003B24CA"/>
    <w:rsid w:val="003B2616"/>
    <w:rsid w:val="003B2707"/>
    <w:rsid w:val="003B2773"/>
    <w:rsid w:val="003B291E"/>
    <w:rsid w:val="003B29D8"/>
    <w:rsid w:val="003B2C9C"/>
    <w:rsid w:val="003B2CFE"/>
    <w:rsid w:val="003B2E65"/>
    <w:rsid w:val="003B2FAD"/>
    <w:rsid w:val="003B3080"/>
    <w:rsid w:val="003B3401"/>
    <w:rsid w:val="003B3552"/>
    <w:rsid w:val="003B3676"/>
    <w:rsid w:val="003B3B20"/>
    <w:rsid w:val="003B3C5F"/>
    <w:rsid w:val="003B3C69"/>
    <w:rsid w:val="003B3D76"/>
    <w:rsid w:val="003B3D8E"/>
    <w:rsid w:val="003B3E70"/>
    <w:rsid w:val="003B3F27"/>
    <w:rsid w:val="003B3FC1"/>
    <w:rsid w:val="003B414E"/>
    <w:rsid w:val="003B4251"/>
    <w:rsid w:val="003B4376"/>
    <w:rsid w:val="003B44C7"/>
    <w:rsid w:val="003B4508"/>
    <w:rsid w:val="003B4660"/>
    <w:rsid w:val="003B4675"/>
    <w:rsid w:val="003B46D8"/>
    <w:rsid w:val="003B4857"/>
    <w:rsid w:val="003B496F"/>
    <w:rsid w:val="003B4B7C"/>
    <w:rsid w:val="003B4DAC"/>
    <w:rsid w:val="003B4E31"/>
    <w:rsid w:val="003B4E6C"/>
    <w:rsid w:val="003B4F18"/>
    <w:rsid w:val="003B4F64"/>
    <w:rsid w:val="003B5091"/>
    <w:rsid w:val="003B5215"/>
    <w:rsid w:val="003B5269"/>
    <w:rsid w:val="003B52FB"/>
    <w:rsid w:val="003B530F"/>
    <w:rsid w:val="003B532E"/>
    <w:rsid w:val="003B53E5"/>
    <w:rsid w:val="003B549E"/>
    <w:rsid w:val="003B5567"/>
    <w:rsid w:val="003B55C2"/>
    <w:rsid w:val="003B575D"/>
    <w:rsid w:val="003B5A21"/>
    <w:rsid w:val="003B5BD8"/>
    <w:rsid w:val="003B5C86"/>
    <w:rsid w:val="003B5F70"/>
    <w:rsid w:val="003B604D"/>
    <w:rsid w:val="003B6050"/>
    <w:rsid w:val="003B6198"/>
    <w:rsid w:val="003B62C5"/>
    <w:rsid w:val="003B6409"/>
    <w:rsid w:val="003B646E"/>
    <w:rsid w:val="003B6585"/>
    <w:rsid w:val="003B65C5"/>
    <w:rsid w:val="003B6645"/>
    <w:rsid w:val="003B672F"/>
    <w:rsid w:val="003B67E5"/>
    <w:rsid w:val="003B68CC"/>
    <w:rsid w:val="003B68FD"/>
    <w:rsid w:val="003B6A09"/>
    <w:rsid w:val="003B6A7B"/>
    <w:rsid w:val="003B6CD2"/>
    <w:rsid w:val="003B6D54"/>
    <w:rsid w:val="003B7072"/>
    <w:rsid w:val="003B729E"/>
    <w:rsid w:val="003B72D3"/>
    <w:rsid w:val="003B7388"/>
    <w:rsid w:val="003B746D"/>
    <w:rsid w:val="003B76F9"/>
    <w:rsid w:val="003B77CD"/>
    <w:rsid w:val="003B7875"/>
    <w:rsid w:val="003B7916"/>
    <w:rsid w:val="003B793C"/>
    <w:rsid w:val="003B79DF"/>
    <w:rsid w:val="003B7AF1"/>
    <w:rsid w:val="003B7BA7"/>
    <w:rsid w:val="003B7D9F"/>
    <w:rsid w:val="003B7FDF"/>
    <w:rsid w:val="003C001C"/>
    <w:rsid w:val="003C008B"/>
    <w:rsid w:val="003C0160"/>
    <w:rsid w:val="003C016E"/>
    <w:rsid w:val="003C01A6"/>
    <w:rsid w:val="003C01EC"/>
    <w:rsid w:val="003C03C4"/>
    <w:rsid w:val="003C045B"/>
    <w:rsid w:val="003C0467"/>
    <w:rsid w:val="003C04A0"/>
    <w:rsid w:val="003C0742"/>
    <w:rsid w:val="003C0785"/>
    <w:rsid w:val="003C0E29"/>
    <w:rsid w:val="003C0E8F"/>
    <w:rsid w:val="003C10A2"/>
    <w:rsid w:val="003C10AA"/>
    <w:rsid w:val="003C1184"/>
    <w:rsid w:val="003C11C2"/>
    <w:rsid w:val="003C11EC"/>
    <w:rsid w:val="003C1276"/>
    <w:rsid w:val="003C139F"/>
    <w:rsid w:val="003C13AE"/>
    <w:rsid w:val="003C15B9"/>
    <w:rsid w:val="003C165C"/>
    <w:rsid w:val="003C166D"/>
    <w:rsid w:val="003C170E"/>
    <w:rsid w:val="003C178D"/>
    <w:rsid w:val="003C1816"/>
    <w:rsid w:val="003C1B48"/>
    <w:rsid w:val="003C1BE9"/>
    <w:rsid w:val="003C1C8A"/>
    <w:rsid w:val="003C1E74"/>
    <w:rsid w:val="003C204A"/>
    <w:rsid w:val="003C21AF"/>
    <w:rsid w:val="003C2248"/>
    <w:rsid w:val="003C2448"/>
    <w:rsid w:val="003C2647"/>
    <w:rsid w:val="003C26C0"/>
    <w:rsid w:val="003C27C6"/>
    <w:rsid w:val="003C2907"/>
    <w:rsid w:val="003C29C3"/>
    <w:rsid w:val="003C2A79"/>
    <w:rsid w:val="003C2AFA"/>
    <w:rsid w:val="003C2BCB"/>
    <w:rsid w:val="003C2E5D"/>
    <w:rsid w:val="003C2F8D"/>
    <w:rsid w:val="003C30DE"/>
    <w:rsid w:val="003C3168"/>
    <w:rsid w:val="003C31CB"/>
    <w:rsid w:val="003C31F2"/>
    <w:rsid w:val="003C3205"/>
    <w:rsid w:val="003C371A"/>
    <w:rsid w:val="003C3873"/>
    <w:rsid w:val="003C38EE"/>
    <w:rsid w:val="003C3972"/>
    <w:rsid w:val="003C39D7"/>
    <w:rsid w:val="003C3C81"/>
    <w:rsid w:val="003C3DE0"/>
    <w:rsid w:val="003C3EA6"/>
    <w:rsid w:val="003C3F9F"/>
    <w:rsid w:val="003C4005"/>
    <w:rsid w:val="003C403F"/>
    <w:rsid w:val="003C40A3"/>
    <w:rsid w:val="003C413B"/>
    <w:rsid w:val="003C4153"/>
    <w:rsid w:val="003C41C3"/>
    <w:rsid w:val="003C4209"/>
    <w:rsid w:val="003C4266"/>
    <w:rsid w:val="003C42FA"/>
    <w:rsid w:val="003C44F6"/>
    <w:rsid w:val="003C4612"/>
    <w:rsid w:val="003C46C1"/>
    <w:rsid w:val="003C4743"/>
    <w:rsid w:val="003C4786"/>
    <w:rsid w:val="003C47E4"/>
    <w:rsid w:val="003C48F8"/>
    <w:rsid w:val="003C492F"/>
    <w:rsid w:val="003C497C"/>
    <w:rsid w:val="003C4A21"/>
    <w:rsid w:val="003C4C01"/>
    <w:rsid w:val="003C4C36"/>
    <w:rsid w:val="003C4CA2"/>
    <w:rsid w:val="003C4DDB"/>
    <w:rsid w:val="003C4F63"/>
    <w:rsid w:val="003C4F77"/>
    <w:rsid w:val="003C5149"/>
    <w:rsid w:val="003C5266"/>
    <w:rsid w:val="003C52B8"/>
    <w:rsid w:val="003C5382"/>
    <w:rsid w:val="003C53F2"/>
    <w:rsid w:val="003C544B"/>
    <w:rsid w:val="003C54F7"/>
    <w:rsid w:val="003C550D"/>
    <w:rsid w:val="003C55AE"/>
    <w:rsid w:val="003C55C1"/>
    <w:rsid w:val="003C55E2"/>
    <w:rsid w:val="003C55EF"/>
    <w:rsid w:val="003C5605"/>
    <w:rsid w:val="003C5783"/>
    <w:rsid w:val="003C5828"/>
    <w:rsid w:val="003C5A90"/>
    <w:rsid w:val="003C5B54"/>
    <w:rsid w:val="003C5CD2"/>
    <w:rsid w:val="003C5D56"/>
    <w:rsid w:val="003C5DB7"/>
    <w:rsid w:val="003C5DCA"/>
    <w:rsid w:val="003C5F3E"/>
    <w:rsid w:val="003C5FB9"/>
    <w:rsid w:val="003C6237"/>
    <w:rsid w:val="003C66D8"/>
    <w:rsid w:val="003C66F5"/>
    <w:rsid w:val="003C6946"/>
    <w:rsid w:val="003C69FA"/>
    <w:rsid w:val="003C6A54"/>
    <w:rsid w:val="003C6BF2"/>
    <w:rsid w:val="003C6E8A"/>
    <w:rsid w:val="003C6F16"/>
    <w:rsid w:val="003C6F76"/>
    <w:rsid w:val="003C7088"/>
    <w:rsid w:val="003C7112"/>
    <w:rsid w:val="003C717C"/>
    <w:rsid w:val="003C73A4"/>
    <w:rsid w:val="003C7484"/>
    <w:rsid w:val="003C74D7"/>
    <w:rsid w:val="003C74EF"/>
    <w:rsid w:val="003C752E"/>
    <w:rsid w:val="003C75EC"/>
    <w:rsid w:val="003C7694"/>
    <w:rsid w:val="003C76A6"/>
    <w:rsid w:val="003C7AEB"/>
    <w:rsid w:val="003C7B93"/>
    <w:rsid w:val="003C7E78"/>
    <w:rsid w:val="003C7EAD"/>
    <w:rsid w:val="003D011E"/>
    <w:rsid w:val="003D01B6"/>
    <w:rsid w:val="003D021B"/>
    <w:rsid w:val="003D0229"/>
    <w:rsid w:val="003D03BD"/>
    <w:rsid w:val="003D03F0"/>
    <w:rsid w:val="003D04B2"/>
    <w:rsid w:val="003D0591"/>
    <w:rsid w:val="003D07E3"/>
    <w:rsid w:val="003D080F"/>
    <w:rsid w:val="003D0861"/>
    <w:rsid w:val="003D0896"/>
    <w:rsid w:val="003D0A5A"/>
    <w:rsid w:val="003D0AC3"/>
    <w:rsid w:val="003D0B80"/>
    <w:rsid w:val="003D0C01"/>
    <w:rsid w:val="003D0C4B"/>
    <w:rsid w:val="003D0F45"/>
    <w:rsid w:val="003D0F99"/>
    <w:rsid w:val="003D128A"/>
    <w:rsid w:val="003D14BD"/>
    <w:rsid w:val="003D14D2"/>
    <w:rsid w:val="003D164F"/>
    <w:rsid w:val="003D16FE"/>
    <w:rsid w:val="003D1ACC"/>
    <w:rsid w:val="003D1B25"/>
    <w:rsid w:val="003D1C40"/>
    <w:rsid w:val="003D1EB5"/>
    <w:rsid w:val="003D1F44"/>
    <w:rsid w:val="003D2013"/>
    <w:rsid w:val="003D209D"/>
    <w:rsid w:val="003D2106"/>
    <w:rsid w:val="003D2197"/>
    <w:rsid w:val="003D2213"/>
    <w:rsid w:val="003D23D1"/>
    <w:rsid w:val="003D240F"/>
    <w:rsid w:val="003D247D"/>
    <w:rsid w:val="003D24F3"/>
    <w:rsid w:val="003D251A"/>
    <w:rsid w:val="003D2620"/>
    <w:rsid w:val="003D270B"/>
    <w:rsid w:val="003D2764"/>
    <w:rsid w:val="003D28B2"/>
    <w:rsid w:val="003D29B8"/>
    <w:rsid w:val="003D2BDB"/>
    <w:rsid w:val="003D2DCE"/>
    <w:rsid w:val="003D31B9"/>
    <w:rsid w:val="003D345B"/>
    <w:rsid w:val="003D358A"/>
    <w:rsid w:val="003D36EC"/>
    <w:rsid w:val="003D379A"/>
    <w:rsid w:val="003D37E0"/>
    <w:rsid w:val="003D3886"/>
    <w:rsid w:val="003D38A7"/>
    <w:rsid w:val="003D3A64"/>
    <w:rsid w:val="003D3B7A"/>
    <w:rsid w:val="003D3BFF"/>
    <w:rsid w:val="003D3C54"/>
    <w:rsid w:val="003D3D55"/>
    <w:rsid w:val="003D3E62"/>
    <w:rsid w:val="003D3F38"/>
    <w:rsid w:val="003D4074"/>
    <w:rsid w:val="003D4096"/>
    <w:rsid w:val="003D41C2"/>
    <w:rsid w:val="003D432E"/>
    <w:rsid w:val="003D439C"/>
    <w:rsid w:val="003D4522"/>
    <w:rsid w:val="003D45A4"/>
    <w:rsid w:val="003D45BF"/>
    <w:rsid w:val="003D4620"/>
    <w:rsid w:val="003D4637"/>
    <w:rsid w:val="003D493D"/>
    <w:rsid w:val="003D495E"/>
    <w:rsid w:val="003D4AAC"/>
    <w:rsid w:val="003D4C05"/>
    <w:rsid w:val="003D4D09"/>
    <w:rsid w:val="003D4EB3"/>
    <w:rsid w:val="003D4FD1"/>
    <w:rsid w:val="003D4FD9"/>
    <w:rsid w:val="003D5005"/>
    <w:rsid w:val="003D519F"/>
    <w:rsid w:val="003D52A7"/>
    <w:rsid w:val="003D5309"/>
    <w:rsid w:val="003D5311"/>
    <w:rsid w:val="003D5378"/>
    <w:rsid w:val="003D53E1"/>
    <w:rsid w:val="003D545E"/>
    <w:rsid w:val="003D5589"/>
    <w:rsid w:val="003D572B"/>
    <w:rsid w:val="003D5746"/>
    <w:rsid w:val="003D5CC9"/>
    <w:rsid w:val="003D5CD1"/>
    <w:rsid w:val="003D5D70"/>
    <w:rsid w:val="003D5DD8"/>
    <w:rsid w:val="003D5EAE"/>
    <w:rsid w:val="003D5F8E"/>
    <w:rsid w:val="003D6058"/>
    <w:rsid w:val="003D6317"/>
    <w:rsid w:val="003D63A4"/>
    <w:rsid w:val="003D6427"/>
    <w:rsid w:val="003D6486"/>
    <w:rsid w:val="003D65B2"/>
    <w:rsid w:val="003D6614"/>
    <w:rsid w:val="003D697A"/>
    <w:rsid w:val="003D699C"/>
    <w:rsid w:val="003D69C4"/>
    <w:rsid w:val="003D69E9"/>
    <w:rsid w:val="003D69F6"/>
    <w:rsid w:val="003D6BFC"/>
    <w:rsid w:val="003D6C9F"/>
    <w:rsid w:val="003D6D1D"/>
    <w:rsid w:val="003D6D27"/>
    <w:rsid w:val="003D6D43"/>
    <w:rsid w:val="003D6E39"/>
    <w:rsid w:val="003D6F38"/>
    <w:rsid w:val="003D7017"/>
    <w:rsid w:val="003D711A"/>
    <w:rsid w:val="003D73EC"/>
    <w:rsid w:val="003D74D6"/>
    <w:rsid w:val="003D774C"/>
    <w:rsid w:val="003D774F"/>
    <w:rsid w:val="003D788D"/>
    <w:rsid w:val="003D7A2F"/>
    <w:rsid w:val="003D7B04"/>
    <w:rsid w:val="003D7B7D"/>
    <w:rsid w:val="003D7D38"/>
    <w:rsid w:val="003D7E33"/>
    <w:rsid w:val="003D7E66"/>
    <w:rsid w:val="003D7EEF"/>
    <w:rsid w:val="003D7FC6"/>
    <w:rsid w:val="003DFD6B"/>
    <w:rsid w:val="003E009D"/>
    <w:rsid w:val="003E01F6"/>
    <w:rsid w:val="003E039A"/>
    <w:rsid w:val="003E0570"/>
    <w:rsid w:val="003E057B"/>
    <w:rsid w:val="003E05DC"/>
    <w:rsid w:val="003E0912"/>
    <w:rsid w:val="003E0B07"/>
    <w:rsid w:val="003E0CB0"/>
    <w:rsid w:val="003E0D0D"/>
    <w:rsid w:val="003E103F"/>
    <w:rsid w:val="003E10DA"/>
    <w:rsid w:val="003E11B6"/>
    <w:rsid w:val="003E1257"/>
    <w:rsid w:val="003E130B"/>
    <w:rsid w:val="003E139F"/>
    <w:rsid w:val="003E148C"/>
    <w:rsid w:val="003E15B4"/>
    <w:rsid w:val="003E1856"/>
    <w:rsid w:val="003E18E0"/>
    <w:rsid w:val="003E19EE"/>
    <w:rsid w:val="003E1CEE"/>
    <w:rsid w:val="003E1ED3"/>
    <w:rsid w:val="003E2021"/>
    <w:rsid w:val="003E2032"/>
    <w:rsid w:val="003E213C"/>
    <w:rsid w:val="003E216A"/>
    <w:rsid w:val="003E22CB"/>
    <w:rsid w:val="003E279E"/>
    <w:rsid w:val="003E2840"/>
    <w:rsid w:val="003E28ED"/>
    <w:rsid w:val="003E2BE5"/>
    <w:rsid w:val="003E2C6E"/>
    <w:rsid w:val="003E2D49"/>
    <w:rsid w:val="003E2D95"/>
    <w:rsid w:val="003E2E40"/>
    <w:rsid w:val="003E3029"/>
    <w:rsid w:val="003E30CB"/>
    <w:rsid w:val="003E32E7"/>
    <w:rsid w:val="003E3346"/>
    <w:rsid w:val="003E3574"/>
    <w:rsid w:val="003E35F7"/>
    <w:rsid w:val="003E375B"/>
    <w:rsid w:val="003E39A2"/>
    <w:rsid w:val="003E4023"/>
    <w:rsid w:val="003E41CC"/>
    <w:rsid w:val="003E4242"/>
    <w:rsid w:val="003E433D"/>
    <w:rsid w:val="003E436E"/>
    <w:rsid w:val="003E4388"/>
    <w:rsid w:val="003E43EF"/>
    <w:rsid w:val="003E44DE"/>
    <w:rsid w:val="003E4886"/>
    <w:rsid w:val="003E4890"/>
    <w:rsid w:val="003E4BC9"/>
    <w:rsid w:val="003E4BDE"/>
    <w:rsid w:val="003E4CAE"/>
    <w:rsid w:val="003E4E71"/>
    <w:rsid w:val="003E4F53"/>
    <w:rsid w:val="003E50D2"/>
    <w:rsid w:val="003E5131"/>
    <w:rsid w:val="003E51E9"/>
    <w:rsid w:val="003E5252"/>
    <w:rsid w:val="003E5272"/>
    <w:rsid w:val="003E5360"/>
    <w:rsid w:val="003E545E"/>
    <w:rsid w:val="003E5500"/>
    <w:rsid w:val="003E5587"/>
    <w:rsid w:val="003E5591"/>
    <w:rsid w:val="003E5691"/>
    <w:rsid w:val="003E5697"/>
    <w:rsid w:val="003E56B5"/>
    <w:rsid w:val="003E57A3"/>
    <w:rsid w:val="003E582B"/>
    <w:rsid w:val="003E5906"/>
    <w:rsid w:val="003E59CC"/>
    <w:rsid w:val="003E5AB2"/>
    <w:rsid w:val="003E5AD7"/>
    <w:rsid w:val="003E5B49"/>
    <w:rsid w:val="003E60CC"/>
    <w:rsid w:val="003E635B"/>
    <w:rsid w:val="003E6933"/>
    <w:rsid w:val="003E69AA"/>
    <w:rsid w:val="003E69B5"/>
    <w:rsid w:val="003E6A81"/>
    <w:rsid w:val="003E6AFC"/>
    <w:rsid w:val="003E6B13"/>
    <w:rsid w:val="003E6B1C"/>
    <w:rsid w:val="003E6B33"/>
    <w:rsid w:val="003E6B40"/>
    <w:rsid w:val="003E6C16"/>
    <w:rsid w:val="003E6C35"/>
    <w:rsid w:val="003E6DB4"/>
    <w:rsid w:val="003E70DA"/>
    <w:rsid w:val="003E71F9"/>
    <w:rsid w:val="003E7218"/>
    <w:rsid w:val="003E7297"/>
    <w:rsid w:val="003E72DF"/>
    <w:rsid w:val="003E7315"/>
    <w:rsid w:val="003E7355"/>
    <w:rsid w:val="003E7387"/>
    <w:rsid w:val="003E73CE"/>
    <w:rsid w:val="003E7459"/>
    <w:rsid w:val="003E77B5"/>
    <w:rsid w:val="003E77C8"/>
    <w:rsid w:val="003E79A6"/>
    <w:rsid w:val="003E7AAA"/>
    <w:rsid w:val="003E7ACA"/>
    <w:rsid w:val="003E7B8D"/>
    <w:rsid w:val="003E7F2B"/>
    <w:rsid w:val="003E7F35"/>
    <w:rsid w:val="003E7F3C"/>
    <w:rsid w:val="003E7FFA"/>
    <w:rsid w:val="003ECC33"/>
    <w:rsid w:val="003ED97C"/>
    <w:rsid w:val="003F0012"/>
    <w:rsid w:val="003F0044"/>
    <w:rsid w:val="003F006D"/>
    <w:rsid w:val="003F017F"/>
    <w:rsid w:val="003F028A"/>
    <w:rsid w:val="003F02D6"/>
    <w:rsid w:val="003F0430"/>
    <w:rsid w:val="003F0497"/>
    <w:rsid w:val="003F04BC"/>
    <w:rsid w:val="003F0576"/>
    <w:rsid w:val="003F0670"/>
    <w:rsid w:val="003F0672"/>
    <w:rsid w:val="003F0696"/>
    <w:rsid w:val="003F06BB"/>
    <w:rsid w:val="003F06BF"/>
    <w:rsid w:val="003F06F0"/>
    <w:rsid w:val="003F0702"/>
    <w:rsid w:val="003F075B"/>
    <w:rsid w:val="003F0771"/>
    <w:rsid w:val="003F086A"/>
    <w:rsid w:val="003F08B6"/>
    <w:rsid w:val="003F0A02"/>
    <w:rsid w:val="003F0A99"/>
    <w:rsid w:val="003F0B38"/>
    <w:rsid w:val="003F0B43"/>
    <w:rsid w:val="003F0B7E"/>
    <w:rsid w:val="003F0BB1"/>
    <w:rsid w:val="003F0BD4"/>
    <w:rsid w:val="003F0D03"/>
    <w:rsid w:val="003F0E66"/>
    <w:rsid w:val="003F0E6F"/>
    <w:rsid w:val="003F0EB7"/>
    <w:rsid w:val="003F10B1"/>
    <w:rsid w:val="003F111F"/>
    <w:rsid w:val="003F11C1"/>
    <w:rsid w:val="003F144C"/>
    <w:rsid w:val="003F146C"/>
    <w:rsid w:val="003F17CA"/>
    <w:rsid w:val="003F1835"/>
    <w:rsid w:val="003F1846"/>
    <w:rsid w:val="003F185D"/>
    <w:rsid w:val="003F1884"/>
    <w:rsid w:val="003F18A2"/>
    <w:rsid w:val="003F19E5"/>
    <w:rsid w:val="003F1A59"/>
    <w:rsid w:val="003F1A83"/>
    <w:rsid w:val="003F1BE0"/>
    <w:rsid w:val="003F1CB1"/>
    <w:rsid w:val="003F1D44"/>
    <w:rsid w:val="003F1E2D"/>
    <w:rsid w:val="003F1E4C"/>
    <w:rsid w:val="003F1F47"/>
    <w:rsid w:val="003F1FF9"/>
    <w:rsid w:val="003F2384"/>
    <w:rsid w:val="003F241D"/>
    <w:rsid w:val="003F2491"/>
    <w:rsid w:val="003F258D"/>
    <w:rsid w:val="003F25C7"/>
    <w:rsid w:val="003F2654"/>
    <w:rsid w:val="003F26A3"/>
    <w:rsid w:val="003F26CF"/>
    <w:rsid w:val="003F27C8"/>
    <w:rsid w:val="003F29AA"/>
    <w:rsid w:val="003F2AF7"/>
    <w:rsid w:val="003F2B2D"/>
    <w:rsid w:val="003F2C50"/>
    <w:rsid w:val="003F2CB2"/>
    <w:rsid w:val="003F2CFF"/>
    <w:rsid w:val="003F2D00"/>
    <w:rsid w:val="003F2E28"/>
    <w:rsid w:val="003F2F1B"/>
    <w:rsid w:val="003F2FE8"/>
    <w:rsid w:val="003F3076"/>
    <w:rsid w:val="003F3171"/>
    <w:rsid w:val="003F345F"/>
    <w:rsid w:val="003F3537"/>
    <w:rsid w:val="003F370C"/>
    <w:rsid w:val="003F3773"/>
    <w:rsid w:val="003F3927"/>
    <w:rsid w:val="003F3A60"/>
    <w:rsid w:val="003F3A78"/>
    <w:rsid w:val="003F3AB7"/>
    <w:rsid w:val="003F3C57"/>
    <w:rsid w:val="003F3CC0"/>
    <w:rsid w:val="003F3D30"/>
    <w:rsid w:val="003F3DEE"/>
    <w:rsid w:val="003F3DF2"/>
    <w:rsid w:val="003F3E94"/>
    <w:rsid w:val="003F3F78"/>
    <w:rsid w:val="003F3F9F"/>
    <w:rsid w:val="003F4016"/>
    <w:rsid w:val="003F40D9"/>
    <w:rsid w:val="003F40EF"/>
    <w:rsid w:val="003F43B1"/>
    <w:rsid w:val="003F4490"/>
    <w:rsid w:val="003F456E"/>
    <w:rsid w:val="003F45BD"/>
    <w:rsid w:val="003F45E5"/>
    <w:rsid w:val="003F4610"/>
    <w:rsid w:val="003F4640"/>
    <w:rsid w:val="003F478D"/>
    <w:rsid w:val="003F4979"/>
    <w:rsid w:val="003F49A0"/>
    <w:rsid w:val="003F4A0A"/>
    <w:rsid w:val="003F4A56"/>
    <w:rsid w:val="003F4B0F"/>
    <w:rsid w:val="003F4BB5"/>
    <w:rsid w:val="003F4DC4"/>
    <w:rsid w:val="003F4FC2"/>
    <w:rsid w:val="003F51BF"/>
    <w:rsid w:val="003F51DE"/>
    <w:rsid w:val="003F526C"/>
    <w:rsid w:val="003F537C"/>
    <w:rsid w:val="003F5399"/>
    <w:rsid w:val="003F560C"/>
    <w:rsid w:val="003F589A"/>
    <w:rsid w:val="003F58D5"/>
    <w:rsid w:val="003F5A19"/>
    <w:rsid w:val="003F5A50"/>
    <w:rsid w:val="003F5AA8"/>
    <w:rsid w:val="003F5DDF"/>
    <w:rsid w:val="003F5EF8"/>
    <w:rsid w:val="003F601C"/>
    <w:rsid w:val="003F61F2"/>
    <w:rsid w:val="003F6382"/>
    <w:rsid w:val="003F6577"/>
    <w:rsid w:val="003F65E6"/>
    <w:rsid w:val="003F66D5"/>
    <w:rsid w:val="003F6800"/>
    <w:rsid w:val="003F6A8F"/>
    <w:rsid w:val="003F6C4A"/>
    <w:rsid w:val="003F6C57"/>
    <w:rsid w:val="003F6CE6"/>
    <w:rsid w:val="003F70A4"/>
    <w:rsid w:val="003F70E9"/>
    <w:rsid w:val="003F715C"/>
    <w:rsid w:val="003F7212"/>
    <w:rsid w:val="003F7378"/>
    <w:rsid w:val="003F73E0"/>
    <w:rsid w:val="003F7550"/>
    <w:rsid w:val="003F75E2"/>
    <w:rsid w:val="003F75FE"/>
    <w:rsid w:val="003F7720"/>
    <w:rsid w:val="003F77CC"/>
    <w:rsid w:val="003F77DD"/>
    <w:rsid w:val="003F7A88"/>
    <w:rsid w:val="003F7B07"/>
    <w:rsid w:val="003F7B34"/>
    <w:rsid w:val="003F7BAB"/>
    <w:rsid w:val="003F7C62"/>
    <w:rsid w:val="003F7D8D"/>
    <w:rsid w:val="003F7E18"/>
    <w:rsid w:val="003F7F0B"/>
    <w:rsid w:val="00400118"/>
    <w:rsid w:val="0040015E"/>
    <w:rsid w:val="00400199"/>
    <w:rsid w:val="00400516"/>
    <w:rsid w:val="004006A5"/>
    <w:rsid w:val="0040071E"/>
    <w:rsid w:val="00400742"/>
    <w:rsid w:val="00400888"/>
    <w:rsid w:val="0040095E"/>
    <w:rsid w:val="00400A7A"/>
    <w:rsid w:val="00400BE1"/>
    <w:rsid w:val="00400D53"/>
    <w:rsid w:val="00400EAF"/>
    <w:rsid w:val="00400EC1"/>
    <w:rsid w:val="00400EDE"/>
    <w:rsid w:val="00401032"/>
    <w:rsid w:val="00401138"/>
    <w:rsid w:val="00401227"/>
    <w:rsid w:val="00401246"/>
    <w:rsid w:val="0040128C"/>
    <w:rsid w:val="004012CB"/>
    <w:rsid w:val="004012D3"/>
    <w:rsid w:val="00401340"/>
    <w:rsid w:val="0040142C"/>
    <w:rsid w:val="00401502"/>
    <w:rsid w:val="0040162D"/>
    <w:rsid w:val="00401635"/>
    <w:rsid w:val="004017B7"/>
    <w:rsid w:val="004017D7"/>
    <w:rsid w:val="00401893"/>
    <w:rsid w:val="004019A2"/>
    <w:rsid w:val="00401A84"/>
    <w:rsid w:val="00401D19"/>
    <w:rsid w:val="00401D73"/>
    <w:rsid w:val="00401E9B"/>
    <w:rsid w:val="004020E6"/>
    <w:rsid w:val="004021B8"/>
    <w:rsid w:val="0040222E"/>
    <w:rsid w:val="00402259"/>
    <w:rsid w:val="00402270"/>
    <w:rsid w:val="004022AA"/>
    <w:rsid w:val="004025DE"/>
    <w:rsid w:val="00402737"/>
    <w:rsid w:val="00402A5A"/>
    <w:rsid w:val="00402BD8"/>
    <w:rsid w:val="00402C7F"/>
    <w:rsid w:val="00402CC2"/>
    <w:rsid w:val="00402D1B"/>
    <w:rsid w:val="00402F65"/>
    <w:rsid w:val="00402F71"/>
    <w:rsid w:val="00402F9B"/>
    <w:rsid w:val="00402FF2"/>
    <w:rsid w:val="00403034"/>
    <w:rsid w:val="0040303E"/>
    <w:rsid w:val="00403128"/>
    <w:rsid w:val="004031F9"/>
    <w:rsid w:val="004031FB"/>
    <w:rsid w:val="0040334E"/>
    <w:rsid w:val="00403380"/>
    <w:rsid w:val="004033E6"/>
    <w:rsid w:val="00403508"/>
    <w:rsid w:val="004035A4"/>
    <w:rsid w:val="00403670"/>
    <w:rsid w:val="00403756"/>
    <w:rsid w:val="0040376F"/>
    <w:rsid w:val="004038D7"/>
    <w:rsid w:val="0040392D"/>
    <w:rsid w:val="00403D8B"/>
    <w:rsid w:val="00403EBE"/>
    <w:rsid w:val="00403F13"/>
    <w:rsid w:val="00403FAF"/>
    <w:rsid w:val="004040C1"/>
    <w:rsid w:val="0040436E"/>
    <w:rsid w:val="004043D1"/>
    <w:rsid w:val="00404402"/>
    <w:rsid w:val="00404417"/>
    <w:rsid w:val="00404554"/>
    <w:rsid w:val="0040457E"/>
    <w:rsid w:val="0040461C"/>
    <w:rsid w:val="004047AC"/>
    <w:rsid w:val="0040481D"/>
    <w:rsid w:val="0040490F"/>
    <w:rsid w:val="00404C5B"/>
    <w:rsid w:val="00404DCC"/>
    <w:rsid w:val="00404FE6"/>
    <w:rsid w:val="00405008"/>
    <w:rsid w:val="0040512E"/>
    <w:rsid w:val="00405183"/>
    <w:rsid w:val="00405380"/>
    <w:rsid w:val="004055D4"/>
    <w:rsid w:val="00405791"/>
    <w:rsid w:val="00405C7C"/>
    <w:rsid w:val="00405C91"/>
    <w:rsid w:val="00405FC0"/>
    <w:rsid w:val="004060D8"/>
    <w:rsid w:val="00406289"/>
    <w:rsid w:val="004062BA"/>
    <w:rsid w:val="0040631F"/>
    <w:rsid w:val="004063D9"/>
    <w:rsid w:val="00406514"/>
    <w:rsid w:val="0040655F"/>
    <w:rsid w:val="0040665F"/>
    <w:rsid w:val="0040686E"/>
    <w:rsid w:val="00406A31"/>
    <w:rsid w:val="00406AA2"/>
    <w:rsid w:val="00406C76"/>
    <w:rsid w:val="00406CA2"/>
    <w:rsid w:val="00406CDF"/>
    <w:rsid w:val="00406D26"/>
    <w:rsid w:val="00406E96"/>
    <w:rsid w:val="00406EC6"/>
    <w:rsid w:val="0040704A"/>
    <w:rsid w:val="0040710F"/>
    <w:rsid w:val="00407144"/>
    <w:rsid w:val="0040742B"/>
    <w:rsid w:val="00407534"/>
    <w:rsid w:val="00407839"/>
    <w:rsid w:val="0040793D"/>
    <w:rsid w:val="00407AB7"/>
    <w:rsid w:val="00407AF3"/>
    <w:rsid w:val="00407B3B"/>
    <w:rsid w:val="00407C27"/>
    <w:rsid w:val="00410077"/>
    <w:rsid w:val="004100BA"/>
    <w:rsid w:val="00410143"/>
    <w:rsid w:val="00410176"/>
    <w:rsid w:val="004103A2"/>
    <w:rsid w:val="0041064E"/>
    <w:rsid w:val="004106B4"/>
    <w:rsid w:val="004106C0"/>
    <w:rsid w:val="00410731"/>
    <w:rsid w:val="0041082B"/>
    <w:rsid w:val="00410A2E"/>
    <w:rsid w:val="00410BFC"/>
    <w:rsid w:val="00410C7E"/>
    <w:rsid w:val="00410D51"/>
    <w:rsid w:val="00410D9F"/>
    <w:rsid w:val="00410ECD"/>
    <w:rsid w:val="00410F28"/>
    <w:rsid w:val="00410F69"/>
    <w:rsid w:val="004110F4"/>
    <w:rsid w:val="00411309"/>
    <w:rsid w:val="0041134C"/>
    <w:rsid w:val="0041135F"/>
    <w:rsid w:val="00411520"/>
    <w:rsid w:val="00411546"/>
    <w:rsid w:val="004116A6"/>
    <w:rsid w:val="00411762"/>
    <w:rsid w:val="0041185F"/>
    <w:rsid w:val="00411877"/>
    <w:rsid w:val="00411959"/>
    <w:rsid w:val="00411A06"/>
    <w:rsid w:val="00411C0D"/>
    <w:rsid w:val="00411C66"/>
    <w:rsid w:val="00411DA3"/>
    <w:rsid w:val="00411DE6"/>
    <w:rsid w:val="00411E4F"/>
    <w:rsid w:val="00411F92"/>
    <w:rsid w:val="00412074"/>
    <w:rsid w:val="0041211D"/>
    <w:rsid w:val="0041239E"/>
    <w:rsid w:val="00412733"/>
    <w:rsid w:val="004128CA"/>
    <w:rsid w:val="00412ADC"/>
    <w:rsid w:val="00412C23"/>
    <w:rsid w:val="00412C67"/>
    <w:rsid w:val="00412D57"/>
    <w:rsid w:val="00412D5D"/>
    <w:rsid w:val="00412FFF"/>
    <w:rsid w:val="00413064"/>
    <w:rsid w:val="0041339C"/>
    <w:rsid w:val="004135EA"/>
    <w:rsid w:val="004135EB"/>
    <w:rsid w:val="004139F6"/>
    <w:rsid w:val="00413A27"/>
    <w:rsid w:val="00413AAD"/>
    <w:rsid w:val="00413CDE"/>
    <w:rsid w:val="00413D64"/>
    <w:rsid w:val="00413D93"/>
    <w:rsid w:val="00413F0D"/>
    <w:rsid w:val="00413F99"/>
    <w:rsid w:val="00413FAF"/>
    <w:rsid w:val="00413FC1"/>
    <w:rsid w:val="00414005"/>
    <w:rsid w:val="004140F5"/>
    <w:rsid w:val="0041420D"/>
    <w:rsid w:val="0041425D"/>
    <w:rsid w:val="004142CB"/>
    <w:rsid w:val="004142F3"/>
    <w:rsid w:val="0041454C"/>
    <w:rsid w:val="0041454E"/>
    <w:rsid w:val="00414691"/>
    <w:rsid w:val="00414816"/>
    <w:rsid w:val="0041483E"/>
    <w:rsid w:val="0041489E"/>
    <w:rsid w:val="00414924"/>
    <w:rsid w:val="00414959"/>
    <w:rsid w:val="004149D7"/>
    <w:rsid w:val="00414A20"/>
    <w:rsid w:val="00414A69"/>
    <w:rsid w:val="00414B46"/>
    <w:rsid w:val="00414DE2"/>
    <w:rsid w:val="00414DFA"/>
    <w:rsid w:val="00414E8B"/>
    <w:rsid w:val="00415283"/>
    <w:rsid w:val="0041531D"/>
    <w:rsid w:val="004153A4"/>
    <w:rsid w:val="004153CA"/>
    <w:rsid w:val="0041552C"/>
    <w:rsid w:val="00415681"/>
    <w:rsid w:val="00415692"/>
    <w:rsid w:val="00415944"/>
    <w:rsid w:val="00415AEA"/>
    <w:rsid w:val="00415C5B"/>
    <w:rsid w:val="00415C81"/>
    <w:rsid w:val="00415CAE"/>
    <w:rsid w:val="00415E46"/>
    <w:rsid w:val="00415F07"/>
    <w:rsid w:val="0041603A"/>
    <w:rsid w:val="004160A0"/>
    <w:rsid w:val="0041610A"/>
    <w:rsid w:val="004162C1"/>
    <w:rsid w:val="004163BC"/>
    <w:rsid w:val="00416503"/>
    <w:rsid w:val="0041668C"/>
    <w:rsid w:val="0041673A"/>
    <w:rsid w:val="004167A7"/>
    <w:rsid w:val="00416802"/>
    <w:rsid w:val="0041681D"/>
    <w:rsid w:val="00416908"/>
    <w:rsid w:val="00416BAC"/>
    <w:rsid w:val="00416BF5"/>
    <w:rsid w:val="00416C46"/>
    <w:rsid w:val="00416CB6"/>
    <w:rsid w:val="00416DC2"/>
    <w:rsid w:val="00416E24"/>
    <w:rsid w:val="00416E2A"/>
    <w:rsid w:val="00416E42"/>
    <w:rsid w:val="00416EDA"/>
    <w:rsid w:val="00416FEB"/>
    <w:rsid w:val="00417020"/>
    <w:rsid w:val="0041712E"/>
    <w:rsid w:val="004171A4"/>
    <w:rsid w:val="00417247"/>
    <w:rsid w:val="0041735C"/>
    <w:rsid w:val="00417421"/>
    <w:rsid w:val="00417474"/>
    <w:rsid w:val="004174A3"/>
    <w:rsid w:val="00417672"/>
    <w:rsid w:val="004176A6"/>
    <w:rsid w:val="004176CB"/>
    <w:rsid w:val="004177BC"/>
    <w:rsid w:val="004178E0"/>
    <w:rsid w:val="004179FA"/>
    <w:rsid w:val="00417AC4"/>
    <w:rsid w:val="00417DB7"/>
    <w:rsid w:val="00417E6C"/>
    <w:rsid w:val="00417E92"/>
    <w:rsid w:val="0041951D"/>
    <w:rsid w:val="0042000B"/>
    <w:rsid w:val="00420061"/>
    <w:rsid w:val="004202B7"/>
    <w:rsid w:val="004202C9"/>
    <w:rsid w:val="004203D3"/>
    <w:rsid w:val="004203FF"/>
    <w:rsid w:val="004204F2"/>
    <w:rsid w:val="00420608"/>
    <w:rsid w:val="0042064B"/>
    <w:rsid w:val="00420662"/>
    <w:rsid w:val="00420884"/>
    <w:rsid w:val="00420888"/>
    <w:rsid w:val="004209B0"/>
    <w:rsid w:val="00420A48"/>
    <w:rsid w:val="00420D95"/>
    <w:rsid w:val="00420E3D"/>
    <w:rsid w:val="00421107"/>
    <w:rsid w:val="0042115D"/>
    <w:rsid w:val="00421223"/>
    <w:rsid w:val="004212E7"/>
    <w:rsid w:val="00421376"/>
    <w:rsid w:val="00421381"/>
    <w:rsid w:val="00421493"/>
    <w:rsid w:val="004214CF"/>
    <w:rsid w:val="004214D8"/>
    <w:rsid w:val="0042151E"/>
    <w:rsid w:val="004215C4"/>
    <w:rsid w:val="0042173A"/>
    <w:rsid w:val="00421785"/>
    <w:rsid w:val="0042181A"/>
    <w:rsid w:val="00421830"/>
    <w:rsid w:val="004218E1"/>
    <w:rsid w:val="00421937"/>
    <w:rsid w:val="00421A1A"/>
    <w:rsid w:val="00421A5C"/>
    <w:rsid w:val="00421B6B"/>
    <w:rsid w:val="00421C6E"/>
    <w:rsid w:val="00421D06"/>
    <w:rsid w:val="00421EA9"/>
    <w:rsid w:val="00421EF7"/>
    <w:rsid w:val="00421F74"/>
    <w:rsid w:val="00421FB8"/>
    <w:rsid w:val="0042204A"/>
    <w:rsid w:val="0042205A"/>
    <w:rsid w:val="004221C9"/>
    <w:rsid w:val="00422215"/>
    <w:rsid w:val="00422235"/>
    <w:rsid w:val="0042232C"/>
    <w:rsid w:val="00422483"/>
    <w:rsid w:val="0042250B"/>
    <w:rsid w:val="004226A6"/>
    <w:rsid w:val="0042273E"/>
    <w:rsid w:val="00422842"/>
    <w:rsid w:val="004229A9"/>
    <w:rsid w:val="00422ABD"/>
    <w:rsid w:val="00422B75"/>
    <w:rsid w:val="00423046"/>
    <w:rsid w:val="00423082"/>
    <w:rsid w:val="004231D5"/>
    <w:rsid w:val="0042326A"/>
    <w:rsid w:val="0042329E"/>
    <w:rsid w:val="004234E3"/>
    <w:rsid w:val="00423682"/>
    <w:rsid w:val="004236D6"/>
    <w:rsid w:val="0042382A"/>
    <w:rsid w:val="00423872"/>
    <w:rsid w:val="00423BB8"/>
    <w:rsid w:val="00423DA3"/>
    <w:rsid w:val="00423ECA"/>
    <w:rsid w:val="00423F88"/>
    <w:rsid w:val="004241F4"/>
    <w:rsid w:val="00424424"/>
    <w:rsid w:val="00424573"/>
    <w:rsid w:val="00424604"/>
    <w:rsid w:val="00424690"/>
    <w:rsid w:val="004246BF"/>
    <w:rsid w:val="004248EA"/>
    <w:rsid w:val="004249E6"/>
    <w:rsid w:val="00424A61"/>
    <w:rsid w:val="00424B6F"/>
    <w:rsid w:val="00424C06"/>
    <w:rsid w:val="00424C1A"/>
    <w:rsid w:val="00424C3A"/>
    <w:rsid w:val="00424C71"/>
    <w:rsid w:val="00424E8E"/>
    <w:rsid w:val="00424EAF"/>
    <w:rsid w:val="00424EBE"/>
    <w:rsid w:val="00424EE2"/>
    <w:rsid w:val="00425400"/>
    <w:rsid w:val="0042544B"/>
    <w:rsid w:val="0042545B"/>
    <w:rsid w:val="0042558B"/>
    <w:rsid w:val="004255ED"/>
    <w:rsid w:val="00425837"/>
    <w:rsid w:val="0042588B"/>
    <w:rsid w:val="0042593D"/>
    <w:rsid w:val="0042599E"/>
    <w:rsid w:val="004259FD"/>
    <w:rsid w:val="00425B65"/>
    <w:rsid w:val="00425D44"/>
    <w:rsid w:val="00425DAD"/>
    <w:rsid w:val="00425DBC"/>
    <w:rsid w:val="00425EB0"/>
    <w:rsid w:val="00425EEE"/>
    <w:rsid w:val="00425F04"/>
    <w:rsid w:val="00425F3D"/>
    <w:rsid w:val="00425FE5"/>
    <w:rsid w:val="004261DE"/>
    <w:rsid w:val="004263A7"/>
    <w:rsid w:val="00426444"/>
    <w:rsid w:val="0042651E"/>
    <w:rsid w:val="00426677"/>
    <w:rsid w:val="00426708"/>
    <w:rsid w:val="0042671B"/>
    <w:rsid w:val="0042677F"/>
    <w:rsid w:val="0042678A"/>
    <w:rsid w:val="00426B66"/>
    <w:rsid w:val="00426C13"/>
    <w:rsid w:val="00426C33"/>
    <w:rsid w:val="00426EE7"/>
    <w:rsid w:val="00426EEA"/>
    <w:rsid w:val="00427160"/>
    <w:rsid w:val="004272F4"/>
    <w:rsid w:val="004273C6"/>
    <w:rsid w:val="004274BD"/>
    <w:rsid w:val="004274EF"/>
    <w:rsid w:val="004276BA"/>
    <w:rsid w:val="004277C8"/>
    <w:rsid w:val="00427922"/>
    <w:rsid w:val="00427D35"/>
    <w:rsid w:val="00427D9C"/>
    <w:rsid w:val="00427E1C"/>
    <w:rsid w:val="0042844E"/>
    <w:rsid w:val="00430010"/>
    <w:rsid w:val="00430068"/>
    <w:rsid w:val="00430095"/>
    <w:rsid w:val="004300CC"/>
    <w:rsid w:val="004300D7"/>
    <w:rsid w:val="004301AB"/>
    <w:rsid w:val="004302D6"/>
    <w:rsid w:val="004303B0"/>
    <w:rsid w:val="00430440"/>
    <w:rsid w:val="004304E9"/>
    <w:rsid w:val="00430510"/>
    <w:rsid w:val="00430569"/>
    <w:rsid w:val="00430753"/>
    <w:rsid w:val="004307C2"/>
    <w:rsid w:val="00430837"/>
    <w:rsid w:val="004308F5"/>
    <w:rsid w:val="00430B26"/>
    <w:rsid w:val="00430C0F"/>
    <w:rsid w:val="00430E9E"/>
    <w:rsid w:val="00430F36"/>
    <w:rsid w:val="00430F54"/>
    <w:rsid w:val="004310B3"/>
    <w:rsid w:val="004310C2"/>
    <w:rsid w:val="004310FC"/>
    <w:rsid w:val="00431151"/>
    <w:rsid w:val="0043134F"/>
    <w:rsid w:val="00431569"/>
    <w:rsid w:val="004315B0"/>
    <w:rsid w:val="0043169A"/>
    <w:rsid w:val="0043186A"/>
    <w:rsid w:val="00431893"/>
    <w:rsid w:val="00431904"/>
    <w:rsid w:val="00431986"/>
    <w:rsid w:val="00431CD6"/>
    <w:rsid w:val="00431D0D"/>
    <w:rsid w:val="00431FA4"/>
    <w:rsid w:val="00431FC9"/>
    <w:rsid w:val="004321AC"/>
    <w:rsid w:val="004322B3"/>
    <w:rsid w:val="004325B8"/>
    <w:rsid w:val="004325EB"/>
    <w:rsid w:val="00432670"/>
    <w:rsid w:val="00432686"/>
    <w:rsid w:val="004326E0"/>
    <w:rsid w:val="00432709"/>
    <w:rsid w:val="00432927"/>
    <w:rsid w:val="00432AC8"/>
    <w:rsid w:val="00432BC6"/>
    <w:rsid w:val="00432C92"/>
    <w:rsid w:val="00432CB8"/>
    <w:rsid w:val="00432D82"/>
    <w:rsid w:val="00432EA9"/>
    <w:rsid w:val="004330A3"/>
    <w:rsid w:val="004330DC"/>
    <w:rsid w:val="004330FB"/>
    <w:rsid w:val="0043316A"/>
    <w:rsid w:val="00433173"/>
    <w:rsid w:val="004331C4"/>
    <w:rsid w:val="004332C1"/>
    <w:rsid w:val="00433404"/>
    <w:rsid w:val="00433409"/>
    <w:rsid w:val="0043345A"/>
    <w:rsid w:val="00433465"/>
    <w:rsid w:val="004334F9"/>
    <w:rsid w:val="0043361D"/>
    <w:rsid w:val="00433692"/>
    <w:rsid w:val="004336A5"/>
    <w:rsid w:val="00433813"/>
    <w:rsid w:val="00433870"/>
    <w:rsid w:val="00433871"/>
    <w:rsid w:val="00433922"/>
    <w:rsid w:val="00433B38"/>
    <w:rsid w:val="00433B62"/>
    <w:rsid w:val="00433BF8"/>
    <w:rsid w:val="00433C11"/>
    <w:rsid w:val="00433CBE"/>
    <w:rsid w:val="00433CCE"/>
    <w:rsid w:val="00433CD6"/>
    <w:rsid w:val="00433D3B"/>
    <w:rsid w:val="00433DB4"/>
    <w:rsid w:val="00433E44"/>
    <w:rsid w:val="00433EB5"/>
    <w:rsid w:val="004341BF"/>
    <w:rsid w:val="00434312"/>
    <w:rsid w:val="0043448D"/>
    <w:rsid w:val="00434542"/>
    <w:rsid w:val="004345AE"/>
    <w:rsid w:val="004345F4"/>
    <w:rsid w:val="004346CF"/>
    <w:rsid w:val="004347BD"/>
    <w:rsid w:val="0043499F"/>
    <w:rsid w:val="00434A83"/>
    <w:rsid w:val="00434AD8"/>
    <w:rsid w:val="00434C53"/>
    <w:rsid w:val="00434CE6"/>
    <w:rsid w:val="00434D76"/>
    <w:rsid w:val="00434F88"/>
    <w:rsid w:val="00434FED"/>
    <w:rsid w:val="00435021"/>
    <w:rsid w:val="00435043"/>
    <w:rsid w:val="0043504A"/>
    <w:rsid w:val="004350F6"/>
    <w:rsid w:val="004352BD"/>
    <w:rsid w:val="004352FC"/>
    <w:rsid w:val="004353FF"/>
    <w:rsid w:val="00435537"/>
    <w:rsid w:val="004355A1"/>
    <w:rsid w:val="00435791"/>
    <w:rsid w:val="00435894"/>
    <w:rsid w:val="0043598F"/>
    <w:rsid w:val="00435AF6"/>
    <w:rsid w:val="00435C39"/>
    <w:rsid w:val="00435C8D"/>
    <w:rsid w:val="00435CCB"/>
    <w:rsid w:val="00435DE0"/>
    <w:rsid w:val="00435F4F"/>
    <w:rsid w:val="00435FD9"/>
    <w:rsid w:val="00435FE6"/>
    <w:rsid w:val="00436083"/>
    <w:rsid w:val="004363D1"/>
    <w:rsid w:val="0043649D"/>
    <w:rsid w:val="004364D1"/>
    <w:rsid w:val="00436535"/>
    <w:rsid w:val="0043663B"/>
    <w:rsid w:val="004368B4"/>
    <w:rsid w:val="00436A6E"/>
    <w:rsid w:val="00436A8F"/>
    <w:rsid w:val="00436B5E"/>
    <w:rsid w:val="00436E23"/>
    <w:rsid w:val="00436F67"/>
    <w:rsid w:val="004371F5"/>
    <w:rsid w:val="004373E0"/>
    <w:rsid w:val="0043755C"/>
    <w:rsid w:val="0043760A"/>
    <w:rsid w:val="00437798"/>
    <w:rsid w:val="004377C3"/>
    <w:rsid w:val="00437936"/>
    <w:rsid w:val="004379D4"/>
    <w:rsid w:val="00437A1C"/>
    <w:rsid w:val="00437A4A"/>
    <w:rsid w:val="00437AA7"/>
    <w:rsid w:val="00437C67"/>
    <w:rsid w:val="00437CB4"/>
    <w:rsid w:val="00437DE4"/>
    <w:rsid w:val="00437EBF"/>
    <w:rsid w:val="0043DB1B"/>
    <w:rsid w:val="00440066"/>
    <w:rsid w:val="004400E0"/>
    <w:rsid w:val="0044014B"/>
    <w:rsid w:val="004401AC"/>
    <w:rsid w:val="004403E2"/>
    <w:rsid w:val="004403F7"/>
    <w:rsid w:val="004406A4"/>
    <w:rsid w:val="00440790"/>
    <w:rsid w:val="004407FB"/>
    <w:rsid w:val="00440AF3"/>
    <w:rsid w:val="00440CDF"/>
    <w:rsid w:val="00440D34"/>
    <w:rsid w:val="00440DF3"/>
    <w:rsid w:val="00440EA0"/>
    <w:rsid w:val="00440EBF"/>
    <w:rsid w:val="00441110"/>
    <w:rsid w:val="0044116A"/>
    <w:rsid w:val="004411D7"/>
    <w:rsid w:val="00441465"/>
    <w:rsid w:val="0044164A"/>
    <w:rsid w:val="00441697"/>
    <w:rsid w:val="004417F5"/>
    <w:rsid w:val="00441A65"/>
    <w:rsid w:val="00441AB4"/>
    <w:rsid w:val="00441BA4"/>
    <w:rsid w:val="00441C7D"/>
    <w:rsid w:val="00441D34"/>
    <w:rsid w:val="00441EC0"/>
    <w:rsid w:val="00441EFB"/>
    <w:rsid w:val="00441F8A"/>
    <w:rsid w:val="00441FC4"/>
    <w:rsid w:val="0044206A"/>
    <w:rsid w:val="00442089"/>
    <w:rsid w:val="004420CA"/>
    <w:rsid w:val="00442321"/>
    <w:rsid w:val="004424E7"/>
    <w:rsid w:val="0044250F"/>
    <w:rsid w:val="0044259A"/>
    <w:rsid w:val="004425C2"/>
    <w:rsid w:val="004425F1"/>
    <w:rsid w:val="00442609"/>
    <w:rsid w:val="0044263A"/>
    <w:rsid w:val="00442955"/>
    <w:rsid w:val="004429B6"/>
    <w:rsid w:val="00442BF0"/>
    <w:rsid w:val="00442C02"/>
    <w:rsid w:val="00442C3A"/>
    <w:rsid w:val="00442D25"/>
    <w:rsid w:val="00442EA7"/>
    <w:rsid w:val="00442F09"/>
    <w:rsid w:val="00442F53"/>
    <w:rsid w:val="00443010"/>
    <w:rsid w:val="004433ED"/>
    <w:rsid w:val="0044344C"/>
    <w:rsid w:val="00443450"/>
    <w:rsid w:val="0044359F"/>
    <w:rsid w:val="004435EB"/>
    <w:rsid w:val="00443670"/>
    <w:rsid w:val="00443800"/>
    <w:rsid w:val="0044381E"/>
    <w:rsid w:val="00443B2F"/>
    <w:rsid w:val="00443B4E"/>
    <w:rsid w:val="00443B8C"/>
    <w:rsid w:val="00443BE9"/>
    <w:rsid w:val="00443C61"/>
    <w:rsid w:val="00443D5C"/>
    <w:rsid w:val="00443E9D"/>
    <w:rsid w:val="00443F3F"/>
    <w:rsid w:val="00443F45"/>
    <w:rsid w:val="0044412B"/>
    <w:rsid w:val="004443BF"/>
    <w:rsid w:val="0044444E"/>
    <w:rsid w:val="0044449E"/>
    <w:rsid w:val="004445D0"/>
    <w:rsid w:val="004446DE"/>
    <w:rsid w:val="00444982"/>
    <w:rsid w:val="00444A4A"/>
    <w:rsid w:val="00444B8E"/>
    <w:rsid w:val="00444CCA"/>
    <w:rsid w:val="00444E79"/>
    <w:rsid w:val="00444E8E"/>
    <w:rsid w:val="00445046"/>
    <w:rsid w:val="004450A4"/>
    <w:rsid w:val="00445166"/>
    <w:rsid w:val="00445252"/>
    <w:rsid w:val="00445341"/>
    <w:rsid w:val="00445651"/>
    <w:rsid w:val="00445695"/>
    <w:rsid w:val="0044571B"/>
    <w:rsid w:val="0044574E"/>
    <w:rsid w:val="00445869"/>
    <w:rsid w:val="0044588C"/>
    <w:rsid w:val="00445935"/>
    <w:rsid w:val="004459DD"/>
    <w:rsid w:val="00445AF6"/>
    <w:rsid w:val="00445B93"/>
    <w:rsid w:val="00445BA1"/>
    <w:rsid w:val="00445DB8"/>
    <w:rsid w:val="00445FBA"/>
    <w:rsid w:val="0044608F"/>
    <w:rsid w:val="00446105"/>
    <w:rsid w:val="004461FD"/>
    <w:rsid w:val="004462EF"/>
    <w:rsid w:val="004464E4"/>
    <w:rsid w:val="00446505"/>
    <w:rsid w:val="00446514"/>
    <w:rsid w:val="00446666"/>
    <w:rsid w:val="004467C5"/>
    <w:rsid w:val="00446A6E"/>
    <w:rsid w:val="00446A8B"/>
    <w:rsid w:val="00446AD7"/>
    <w:rsid w:val="00446B45"/>
    <w:rsid w:val="00446B8D"/>
    <w:rsid w:val="00446BC2"/>
    <w:rsid w:val="00446DD4"/>
    <w:rsid w:val="00446E4B"/>
    <w:rsid w:val="00446E57"/>
    <w:rsid w:val="00446EC9"/>
    <w:rsid w:val="00446FC9"/>
    <w:rsid w:val="00447153"/>
    <w:rsid w:val="0044717E"/>
    <w:rsid w:val="0044754F"/>
    <w:rsid w:val="004478BD"/>
    <w:rsid w:val="00447957"/>
    <w:rsid w:val="00447989"/>
    <w:rsid w:val="004479CC"/>
    <w:rsid w:val="00447B6A"/>
    <w:rsid w:val="00447E1B"/>
    <w:rsid w:val="00447E2A"/>
    <w:rsid w:val="00447E3C"/>
    <w:rsid w:val="00447EA7"/>
    <w:rsid w:val="00447F74"/>
    <w:rsid w:val="0044C5F4"/>
    <w:rsid w:val="00450044"/>
    <w:rsid w:val="004501CC"/>
    <w:rsid w:val="004505E4"/>
    <w:rsid w:val="00450663"/>
    <w:rsid w:val="0045088C"/>
    <w:rsid w:val="0045090D"/>
    <w:rsid w:val="00450965"/>
    <w:rsid w:val="0045096A"/>
    <w:rsid w:val="004509F5"/>
    <w:rsid w:val="00450F2B"/>
    <w:rsid w:val="00451066"/>
    <w:rsid w:val="0045116F"/>
    <w:rsid w:val="004512F8"/>
    <w:rsid w:val="00451313"/>
    <w:rsid w:val="00451378"/>
    <w:rsid w:val="004515C6"/>
    <w:rsid w:val="00451612"/>
    <w:rsid w:val="004517B0"/>
    <w:rsid w:val="004517ED"/>
    <w:rsid w:val="00451910"/>
    <w:rsid w:val="00451A27"/>
    <w:rsid w:val="00451AFB"/>
    <w:rsid w:val="00451B29"/>
    <w:rsid w:val="00451BF3"/>
    <w:rsid w:val="00451C22"/>
    <w:rsid w:val="00451C7C"/>
    <w:rsid w:val="00451C99"/>
    <w:rsid w:val="00451CBF"/>
    <w:rsid w:val="00451CCE"/>
    <w:rsid w:val="004520D2"/>
    <w:rsid w:val="0045220E"/>
    <w:rsid w:val="0045227A"/>
    <w:rsid w:val="0045233E"/>
    <w:rsid w:val="004523CF"/>
    <w:rsid w:val="00452426"/>
    <w:rsid w:val="004524FA"/>
    <w:rsid w:val="00452594"/>
    <w:rsid w:val="004526A5"/>
    <w:rsid w:val="004526C5"/>
    <w:rsid w:val="00452804"/>
    <w:rsid w:val="004528A0"/>
    <w:rsid w:val="004528ED"/>
    <w:rsid w:val="004529C0"/>
    <w:rsid w:val="00452A90"/>
    <w:rsid w:val="00452B74"/>
    <w:rsid w:val="00452C25"/>
    <w:rsid w:val="00452C67"/>
    <w:rsid w:val="00452DF7"/>
    <w:rsid w:val="00452EFD"/>
    <w:rsid w:val="00453008"/>
    <w:rsid w:val="0045305D"/>
    <w:rsid w:val="004530EF"/>
    <w:rsid w:val="0045315A"/>
    <w:rsid w:val="004531A0"/>
    <w:rsid w:val="004531A1"/>
    <w:rsid w:val="0045343A"/>
    <w:rsid w:val="00453456"/>
    <w:rsid w:val="004534B4"/>
    <w:rsid w:val="00453649"/>
    <w:rsid w:val="00453650"/>
    <w:rsid w:val="004537CA"/>
    <w:rsid w:val="00453911"/>
    <w:rsid w:val="00453B5C"/>
    <w:rsid w:val="00453D6D"/>
    <w:rsid w:val="00453EFC"/>
    <w:rsid w:val="00453F5D"/>
    <w:rsid w:val="00453FA8"/>
    <w:rsid w:val="004543E1"/>
    <w:rsid w:val="00454498"/>
    <w:rsid w:val="0045459F"/>
    <w:rsid w:val="004545B1"/>
    <w:rsid w:val="004545BC"/>
    <w:rsid w:val="00454A04"/>
    <w:rsid w:val="00454B35"/>
    <w:rsid w:val="00454B8F"/>
    <w:rsid w:val="00454CE3"/>
    <w:rsid w:val="00454D15"/>
    <w:rsid w:val="00454EED"/>
    <w:rsid w:val="00454EF5"/>
    <w:rsid w:val="004552DA"/>
    <w:rsid w:val="00455456"/>
    <w:rsid w:val="004554E2"/>
    <w:rsid w:val="0045556E"/>
    <w:rsid w:val="0045577E"/>
    <w:rsid w:val="00455799"/>
    <w:rsid w:val="004557E7"/>
    <w:rsid w:val="004558D3"/>
    <w:rsid w:val="004559CC"/>
    <w:rsid w:val="00455AD3"/>
    <w:rsid w:val="00455C0D"/>
    <w:rsid w:val="00455E72"/>
    <w:rsid w:val="00455E7A"/>
    <w:rsid w:val="00455F4C"/>
    <w:rsid w:val="00455FB1"/>
    <w:rsid w:val="00456034"/>
    <w:rsid w:val="004561D1"/>
    <w:rsid w:val="004561ED"/>
    <w:rsid w:val="00456292"/>
    <w:rsid w:val="00456464"/>
    <w:rsid w:val="00456512"/>
    <w:rsid w:val="004565CB"/>
    <w:rsid w:val="004566AF"/>
    <w:rsid w:val="00456740"/>
    <w:rsid w:val="004568DC"/>
    <w:rsid w:val="004568DD"/>
    <w:rsid w:val="0045691A"/>
    <w:rsid w:val="00456AF3"/>
    <w:rsid w:val="00456C17"/>
    <w:rsid w:val="00456C6B"/>
    <w:rsid w:val="00456D01"/>
    <w:rsid w:val="00456E72"/>
    <w:rsid w:val="00456F22"/>
    <w:rsid w:val="0045701F"/>
    <w:rsid w:val="00457036"/>
    <w:rsid w:val="00457094"/>
    <w:rsid w:val="0045732A"/>
    <w:rsid w:val="004574E3"/>
    <w:rsid w:val="004574FF"/>
    <w:rsid w:val="0045751C"/>
    <w:rsid w:val="00457546"/>
    <w:rsid w:val="00457633"/>
    <w:rsid w:val="0045781A"/>
    <w:rsid w:val="0045793A"/>
    <w:rsid w:val="00457946"/>
    <w:rsid w:val="00457951"/>
    <w:rsid w:val="00457996"/>
    <w:rsid w:val="00457A73"/>
    <w:rsid w:val="00457BDB"/>
    <w:rsid w:val="00457ED5"/>
    <w:rsid w:val="00457FB1"/>
    <w:rsid w:val="00457FDF"/>
    <w:rsid w:val="00460040"/>
    <w:rsid w:val="00460218"/>
    <w:rsid w:val="00460394"/>
    <w:rsid w:val="00460514"/>
    <w:rsid w:val="0046061A"/>
    <w:rsid w:val="004606C7"/>
    <w:rsid w:val="0046074A"/>
    <w:rsid w:val="004607C2"/>
    <w:rsid w:val="004607D1"/>
    <w:rsid w:val="004608FD"/>
    <w:rsid w:val="004609F9"/>
    <w:rsid w:val="00460ABB"/>
    <w:rsid w:val="00460AEF"/>
    <w:rsid w:val="00460BC7"/>
    <w:rsid w:val="00460C20"/>
    <w:rsid w:val="00460DFF"/>
    <w:rsid w:val="00460E0B"/>
    <w:rsid w:val="00460EEA"/>
    <w:rsid w:val="00461066"/>
    <w:rsid w:val="00461071"/>
    <w:rsid w:val="00461398"/>
    <w:rsid w:val="004614B7"/>
    <w:rsid w:val="0046180F"/>
    <w:rsid w:val="00461821"/>
    <w:rsid w:val="004618E9"/>
    <w:rsid w:val="00461A9C"/>
    <w:rsid w:val="00461AD1"/>
    <w:rsid w:val="00461B5A"/>
    <w:rsid w:val="00461C44"/>
    <w:rsid w:val="00461F26"/>
    <w:rsid w:val="00461F9A"/>
    <w:rsid w:val="00462197"/>
    <w:rsid w:val="00462357"/>
    <w:rsid w:val="004623DA"/>
    <w:rsid w:val="00462424"/>
    <w:rsid w:val="0046242B"/>
    <w:rsid w:val="004624F7"/>
    <w:rsid w:val="004625C3"/>
    <w:rsid w:val="004626D7"/>
    <w:rsid w:val="00462782"/>
    <w:rsid w:val="004627C1"/>
    <w:rsid w:val="0046281E"/>
    <w:rsid w:val="0046298E"/>
    <w:rsid w:val="00462A6D"/>
    <w:rsid w:val="00462C2A"/>
    <w:rsid w:val="00462C35"/>
    <w:rsid w:val="00462C6D"/>
    <w:rsid w:val="00462CE0"/>
    <w:rsid w:val="00462D87"/>
    <w:rsid w:val="00462E5C"/>
    <w:rsid w:val="00462E6D"/>
    <w:rsid w:val="00462E94"/>
    <w:rsid w:val="00462FF1"/>
    <w:rsid w:val="00462FFC"/>
    <w:rsid w:val="0046321A"/>
    <w:rsid w:val="0046338F"/>
    <w:rsid w:val="00463393"/>
    <w:rsid w:val="004633BD"/>
    <w:rsid w:val="004634D3"/>
    <w:rsid w:val="004634E1"/>
    <w:rsid w:val="0046360B"/>
    <w:rsid w:val="00463689"/>
    <w:rsid w:val="004636EE"/>
    <w:rsid w:val="00463847"/>
    <w:rsid w:val="004638DC"/>
    <w:rsid w:val="004638EB"/>
    <w:rsid w:val="0046390E"/>
    <w:rsid w:val="004639F5"/>
    <w:rsid w:val="00463A46"/>
    <w:rsid w:val="00463AE3"/>
    <w:rsid w:val="00463C9B"/>
    <w:rsid w:val="00463D37"/>
    <w:rsid w:val="00464152"/>
    <w:rsid w:val="004641A6"/>
    <w:rsid w:val="004641C5"/>
    <w:rsid w:val="0046431F"/>
    <w:rsid w:val="004643BD"/>
    <w:rsid w:val="004645CF"/>
    <w:rsid w:val="004647CC"/>
    <w:rsid w:val="00464851"/>
    <w:rsid w:val="00464929"/>
    <w:rsid w:val="00464A2E"/>
    <w:rsid w:val="00464AC6"/>
    <w:rsid w:val="00464AD3"/>
    <w:rsid w:val="00464B4A"/>
    <w:rsid w:val="00464D05"/>
    <w:rsid w:val="00464E1C"/>
    <w:rsid w:val="0046502D"/>
    <w:rsid w:val="00465233"/>
    <w:rsid w:val="0046523D"/>
    <w:rsid w:val="00465330"/>
    <w:rsid w:val="0046533D"/>
    <w:rsid w:val="004653E4"/>
    <w:rsid w:val="0046545B"/>
    <w:rsid w:val="0046552A"/>
    <w:rsid w:val="0046558B"/>
    <w:rsid w:val="00465747"/>
    <w:rsid w:val="00465930"/>
    <w:rsid w:val="004659A4"/>
    <w:rsid w:val="004659CB"/>
    <w:rsid w:val="00465ADA"/>
    <w:rsid w:val="00465AF5"/>
    <w:rsid w:val="00465B3F"/>
    <w:rsid w:val="00465D0F"/>
    <w:rsid w:val="00465F3A"/>
    <w:rsid w:val="00465F86"/>
    <w:rsid w:val="00465FD3"/>
    <w:rsid w:val="004660C5"/>
    <w:rsid w:val="00466120"/>
    <w:rsid w:val="00466258"/>
    <w:rsid w:val="00466260"/>
    <w:rsid w:val="004662FC"/>
    <w:rsid w:val="00466479"/>
    <w:rsid w:val="0046665C"/>
    <w:rsid w:val="004666BE"/>
    <w:rsid w:val="004666CD"/>
    <w:rsid w:val="004668A8"/>
    <w:rsid w:val="004668E6"/>
    <w:rsid w:val="00466A3C"/>
    <w:rsid w:val="00466A4F"/>
    <w:rsid w:val="00466A62"/>
    <w:rsid w:val="00466B17"/>
    <w:rsid w:val="00466BCC"/>
    <w:rsid w:val="00466C11"/>
    <w:rsid w:val="00466CE5"/>
    <w:rsid w:val="00466D87"/>
    <w:rsid w:val="00467234"/>
    <w:rsid w:val="0046733C"/>
    <w:rsid w:val="00467347"/>
    <w:rsid w:val="00467361"/>
    <w:rsid w:val="004673D7"/>
    <w:rsid w:val="0046740A"/>
    <w:rsid w:val="0046742B"/>
    <w:rsid w:val="0046757B"/>
    <w:rsid w:val="004676F6"/>
    <w:rsid w:val="004677B7"/>
    <w:rsid w:val="0046783A"/>
    <w:rsid w:val="00467862"/>
    <w:rsid w:val="00467A93"/>
    <w:rsid w:val="00467E19"/>
    <w:rsid w:val="00467EB7"/>
    <w:rsid w:val="00467EFA"/>
    <w:rsid w:val="00467FFE"/>
    <w:rsid w:val="0046FC3E"/>
    <w:rsid w:val="00470026"/>
    <w:rsid w:val="004702C6"/>
    <w:rsid w:val="00470405"/>
    <w:rsid w:val="004704CB"/>
    <w:rsid w:val="0047060B"/>
    <w:rsid w:val="004708AB"/>
    <w:rsid w:val="00470B94"/>
    <w:rsid w:val="00470D52"/>
    <w:rsid w:val="00470DF1"/>
    <w:rsid w:val="00470EBE"/>
    <w:rsid w:val="00470EF9"/>
    <w:rsid w:val="00470F98"/>
    <w:rsid w:val="00470FEE"/>
    <w:rsid w:val="00471049"/>
    <w:rsid w:val="004710FE"/>
    <w:rsid w:val="0047124D"/>
    <w:rsid w:val="004712E7"/>
    <w:rsid w:val="00471370"/>
    <w:rsid w:val="004716AE"/>
    <w:rsid w:val="004716FE"/>
    <w:rsid w:val="0047185A"/>
    <w:rsid w:val="00471926"/>
    <w:rsid w:val="00471C2A"/>
    <w:rsid w:val="00471DCD"/>
    <w:rsid w:val="00471EF2"/>
    <w:rsid w:val="00471FA0"/>
    <w:rsid w:val="0047204E"/>
    <w:rsid w:val="00472081"/>
    <w:rsid w:val="0047218A"/>
    <w:rsid w:val="00472422"/>
    <w:rsid w:val="00472471"/>
    <w:rsid w:val="004724CE"/>
    <w:rsid w:val="0047252C"/>
    <w:rsid w:val="004725B8"/>
    <w:rsid w:val="00472A4E"/>
    <w:rsid w:val="00472BC5"/>
    <w:rsid w:val="00472BD9"/>
    <w:rsid w:val="00472C05"/>
    <w:rsid w:val="00472C42"/>
    <w:rsid w:val="00472DD6"/>
    <w:rsid w:val="00472EDF"/>
    <w:rsid w:val="00473174"/>
    <w:rsid w:val="0047324F"/>
    <w:rsid w:val="00473271"/>
    <w:rsid w:val="00473495"/>
    <w:rsid w:val="004735C5"/>
    <w:rsid w:val="00473699"/>
    <w:rsid w:val="004736D5"/>
    <w:rsid w:val="00473701"/>
    <w:rsid w:val="004737CC"/>
    <w:rsid w:val="00473834"/>
    <w:rsid w:val="0047385E"/>
    <w:rsid w:val="0047388F"/>
    <w:rsid w:val="004739B6"/>
    <w:rsid w:val="004739F7"/>
    <w:rsid w:val="00473CE9"/>
    <w:rsid w:val="00473DD1"/>
    <w:rsid w:val="00473E3D"/>
    <w:rsid w:val="00473F0A"/>
    <w:rsid w:val="00473F69"/>
    <w:rsid w:val="00474279"/>
    <w:rsid w:val="0047456A"/>
    <w:rsid w:val="0047456C"/>
    <w:rsid w:val="0047458A"/>
    <w:rsid w:val="00474660"/>
    <w:rsid w:val="00474C6C"/>
    <w:rsid w:val="0047511D"/>
    <w:rsid w:val="004751D2"/>
    <w:rsid w:val="004752D9"/>
    <w:rsid w:val="004753A5"/>
    <w:rsid w:val="004756E4"/>
    <w:rsid w:val="0047573F"/>
    <w:rsid w:val="004757BF"/>
    <w:rsid w:val="004758B1"/>
    <w:rsid w:val="00475A38"/>
    <w:rsid w:val="00475E61"/>
    <w:rsid w:val="00475F5E"/>
    <w:rsid w:val="004761F2"/>
    <w:rsid w:val="004762A1"/>
    <w:rsid w:val="004762E3"/>
    <w:rsid w:val="0047641B"/>
    <w:rsid w:val="004765F7"/>
    <w:rsid w:val="00476632"/>
    <w:rsid w:val="00476A99"/>
    <w:rsid w:val="00476C62"/>
    <w:rsid w:val="00476E26"/>
    <w:rsid w:val="00476E5A"/>
    <w:rsid w:val="00476EC9"/>
    <w:rsid w:val="0047713B"/>
    <w:rsid w:val="004771A1"/>
    <w:rsid w:val="0047761D"/>
    <w:rsid w:val="004776F1"/>
    <w:rsid w:val="00477795"/>
    <w:rsid w:val="004777DB"/>
    <w:rsid w:val="00477839"/>
    <w:rsid w:val="00477888"/>
    <w:rsid w:val="004778E4"/>
    <w:rsid w:val="0047791A"/>
    <w:rsid w:val="00477A3B"/>
    <w:rsid w:val="00477B8F"/>
    <w:rsid w:val="00477C24"/>
    <w:rsid w:val="00477C7A"/>
    <w:rsid w:val="00477CE6"/>
    <w:rsid w:val="00477DBF"/>
    <w:rsid w:val="00477F3B"/>
    <w:rsid w:val="00477F9E"/>
    <w:rsid w:val="00477FBC"/>
    <w:rsid w:val="00480390"/>
    <w:rsid w:val="0048042D"/>
    <w:rsid w:val="0048056A"/>
    <w:rsid w:val="00480598"/>
    <w:rsid w:val="004805F0"/>
    <w:rsid w:val="00480660"/>
    <w:rsid w:val="00480759"/>
    <w:rsid w:val="0048079D"/>
    <w:rsid w:val="004807EA"/>
    <w:rsid w:val="00480B9B"/>
    <w:rsid w:val="00480BFD"/>
    <w:rsid w:val="00480CCA"/>
    <w:rsid w:val="00480DA2"/>
    <w:rsid w:val="00480FB9"/>
    <w:rsid w:val="004810E2"/>
    <w:rsid w:val="0048115E"/>
    <w:rsid w:val="00481180"/>
    <w:rsid w:val="00481190"/>
    <w:rsid w:val="004811E5"/>
    <w:rsid w:val="004813B1"/>
    <w:rsid w:val="004813E1"/>
    <w:rsid w:val="00481433"/>
    <w:rsid w:val="004815CD"/>
    <w:rsid w:val="00481698"/>
    <w:rsid w:val="004817AE"/>
    <w:rsid w:val="00481B18"/>
    <w:rsid w:val="00481CA2"/>
    <w:rsid w:val="00481D65"/>
    <w:rsid w:val="00481D80"/>
    <w:rsid w:val="0048218E"/>
    <w:rsid w:val="0048219F"/>
    <w:rsid w:val="00482237"/>
    <w:rsid w:val="004822B8"/>
    <w:rsid w:val="004826D8"/>
    <w:rsid w:val="00482882"/>
    <w:rsid w:val="0048288B"/>
    <w:rsid w:val="004828D1"/>
    <w:rsid w:val="00482931"/>
    <w:rsid w:val="00482D74"/>
    <w:rsid w:val="00482E0D"/>
    <w:rsid w:val="00482F44"/>
    <w:rsid w:val="00482FC5"/>
    <w:rsid w:val="00482FFD"/>
    <w:rsid w:val="00483064"/>
    <w:rsid w:val="004830CE"/>
    <w:rsid w:val="00483197"/>
    <w:rsid w:val="004832E7"/>
    <w:rsid w:val="004834E6"/>
    <w:rsid w:val="004835C9"/>
    <w:rsid w:val="00483633"/>
    <w:rsid w:val="004837AA"/>
    <w:rsid w:val="004837D9"/>
    <w:rsid w:val="00483820"/>
    <w:rsid w:val="00483832"/>
    <w:rsid w:val="004838C2"/>
    <w:rsid w:val="004838E1"/>
    <w:rsid w:val="004839A9"/>
    <w:rsid w:val="004839AD"/>
    <w:rsid w:val="00483D60"/>
    <w:rsid w:val="00483D64"/>
    <w:rsid w:val="00483E89"/>
    <w:rsid w:val="00483E90"/>
    <w:rsid w:val="0048407C"/>
    <w:rsid w:val="0048426D"/>
    <w:rsid w:val="00484308"/>
    <w:rsid w:val="00484369"/>
    <w:rsid w:val="00484457"/>
    <w:rsid w:val="0048479D"/>
    <w:rsid w:val="004847A8"/>
    <w:rsid w:val="0048487E"/>
    <w:rsid w:val="00484970"/>
    <w:rsid w:val="00484A1C"/>
    <w:rsid w:val="00484A30"/>
    <w:rsid w:val="00484A41"/>
    <w:rsid w:val="00484B89"/>
    <w:rsid w:val="00484CBA"/>
    <w:rsid w:val="00484E54"/>
    <w:rsid w:val="0048504A"/>
    <w:rsid w:val="004850E3"/>
    <w:rsid w:val="00485352"/>
    <w:rsid w:val="004853FE"/>
    <w:rsid w:val="004855B4"/>
    <w:rsid w:val="0048566D"/>
    <w:rsid w:val="004858B2"/>
    <w:rsid w:val="0048593D"/>
    <w:rsid w:val="00485B51"/>
    <w:rsid w:val="00485B80"/>
    <w:rsid w:val="00485C1E"/>
    <w:rsid w:val="00485F0C"/>
    <w:rsid w:val="00485FC3"/>
    <w:rsid w:val="00486108"/>
    <w:rsid w:val="0048610C"/>
    <w:rsid w:val="0048611F"/>
    <w:rsid w:val="004861A6"/>
    <w:rsid w:val="00486272"/>
    <w:rsid w:val="0048630B"/>
    <w:rsid w:val="00486433"/>
    <w:rsid w:val="0048661E"/>
    <w:rsid w:val="00486640"/>
    <w:rsid w:val="0048669C"/>
    <w:rsid w:val="004866B7"/>
    <w:rsid w:val="004867E7"/>
    <w:rsid w:val="00486987"/>
    <w:rsid w:val="00486AAE"/>
    <w:rsid w:val="00486B43"/>
    <w:rsid w:val="00486D57"/>
    <w:rsid w:val="00486DB9"/>
    <w:rsid w:val="004870B0"/>
    <w:rsid w:val="00487138"/>
    <w:rsid w:val="0048741D"/>
    <w:rsid w:val="00487497"/>
    <w:rsid w:val="0048749E"/>
    <w:rsid w:val="00487530"/>
    <w:rsid w:val="0048775B"/>
    <w:rsid w:val="0048779C"/>
    <w:rsid w:val="004877B2"/>
    <w:rsid w:val="004879CD"/>
    <w:rsid w:val="00487FE7"/>
    <w:rsid w:val="00488C9F"/>
    <w:rsid w:val="0048AF8C"/>
    <w:rsid w:val="0048B19E"/>
    <w:rsid w:val="00490271"/>
    <w:rsid w:val="004902C8"/>
    <w:rsid w:val="00490329"/>
    <w:rsid w:val="004904BB"/>
    <w:rsid w:val="00490515"/>
    <w:rsid w:val="00490548"/>
    <w:rsid w:val="004905AD"/>
    <w:rsid w:val="004905ED"/>
    <w:rsid w:val="00490856"/>
    <w:rsid w:val="0049089B"/>
    <w:rsid w:val="00490A0E"/>
    <w:rsid w:val="00490A4A"/>
    <w:rsid w:val="00490AC3"/>
    <w:rsid w:val="00490BAC"/>
    <w:rsid w:val="00490DE7"/>
    <w:rsid w:val="00490EBE"/>
    <w:rsid w:val="0049101B"/>
    <w:rsid w:val="00491162"/>
    <w:rsid w:val="004911AA"/>
    <w:rsid w:val="00491302"/>
    <w:rsid w:val="004914E7"/>
    <w:rsid w:val="004916F8"/>
    <w:rsid w:val="00491776"/>
    <w:rsid w:val="00491A78"/>
    <w:rsid w:val="00491DD1"/>
    <w:rsid w:val="00491E1B"/>
    <w:rsid w:val="00492365"/>
    <w:rsid w:val="00492646"/>
    <w:rsid w:val="004927D1"/>
    <w:rsid w:val="00492895"/>
    <w:rsid w:val="004928CC"/>
    <w:rsid w:val="004929BA"/>
    <w:rsid w:val="00492CBD"/>
    <w:rsid w:val="00492CD8"/>
    <w:rsid w:val="00492DDF"/>
    <w:rsid w:val="00492E7F"/>
    <w:rsid w:val="00492F65"/>
    <w:rsid w:val="00492F7C"/>
    <w:rsid w:val="00493047"/>
    <w:rsid w:val="00493168"/>
    <w:rsid w:val="0049323E"/>
    <w:rsid w:val="004932F6"/>
    <w:rsid w:val="00493301"/>
    <w:rsid w:val="0049335D"/>
    <w:rsid w:val="0049340E"/>
    <w:rsid w:val="004934A1"/>
    <w:rsid w:val="0049351B"/>
    <w:rsid w:val="00493748"/>
    <w:rsid w:val="00493881"/>
    <w:rsid w:val="0049389D"/>
    <w:rsid w:val="004938E5"/>
    <w:rsid w:val="00493978"/>
    <w:rsid w:val="004939BB"/>
    <w:rsid w:val="00493AE7"/>
    <w:rsid w:val="00493B2B"/>
    <w:rsid w:val="00493F6A"/>
    <w:rsid w:val="004940FD"/>
    <w:rsid w:val="004942BD"/>
    <w:rsid w:val="0049432A"/>
    <w:rsid w:val="0049446F"/>
    <w:rsid w:val="0049459A"/>
    <w:rsid w:val="004945C1"/>
    <w:rsid w:val="00494743"/>
    <w:rsid w:val="00494748"/>
    <w:rsid w:val="0049475B"/>
    <w:rsid w:val="00494856"/>
    <w:rsid w:val="0049496E"/>
    <w:rsid w:val="004949CF"/>
    <w:rsid w:val="00494A55"/>
    <w:rsid w:val="00494CD5"/>
    <w:rsid w:val="00494D50"/>
    <w:rsid w:val="00494F20"/>
    <w:rsid w:val="00494F88"/>
    <w:rsid w:val="00494FCF"/>
    <w:rsid w:val="0049520C"/>
    <w:rsid w:val="0049538F"/>
    <w:rsid w:val="00495404"/>
    <w:rsid w:val="004954B9"/>
    <w:rsid w:val="004954C7"/>
    <w:rsid w:val="004954E4"/>
    <w:rsid w:val="004955CC"/>
    <w:rsid w:val="004956F2"/>
    <w:rsid w:val="004957E2"/>
    <w:rsid w:val="004959FB"/>
    <w:rsid w:val="00495A29"/>
    <w:rsid w:val="00495CDC"/>
    <w:rsid w:val="00495D94"/>
    <w:rsid w:val="00495E30"/>
    <w:rsid w:val="00495F23"/>
    <w:rsid w:val="00495F37"/>
    <w:rsid w:val="00495F71"/>
    <w:rsid w:val="0049602F"/>
    <w:rsid w:val="004960B5"/>
    <w:rsid w:val="004960BB"/>
    <w:rsid w:val="004961C1"/>
    <w:rsid w:val="004961F4"/>
    <w:rsid w:val="004962C4"/>
    <w:rsid w:val="004963ED"/>
    <w:rsid w:val="0049645A"/>
    <w:rsid w:val="00496506"/>
    <w:rsid w:val="0049663D"/>
    <w:rsid w:val="00496689"/>
    <w:rsid w:val="00496776"/>
    <w:rsid w:val="00496BC3"/>
    <w:rsid w:val="00496C09"/>
    <w:rsid w:val="00496C2B"/>
    <w:rsid w:val="00496D0B"/>
    <w:rsid w:val="004970C3"/>
    <w:rsid w:val="004970D4"/>
    <w:rsid w:val="004970D9"/>
    <w:rsid w:val="0049719A"/>
    <w:rsid w:val="00497378"/>
    <w:rsid w:val="004973D3"/>
    <w:rsid w:val="004973D8"/>
    <w:rsid w:val="004976BF"/>
    <w:rsid w:val="004977BC"/>
    <w:rsid w:val="004979F9"/>
    <w:rsid w:val="00497AB0"/>
    <w:rsid w:val="00497B3D"/>
    <w:rsid w:val="00497C21"/>
    <w:rsid w:val="00497CF7"/>
    <w:rsid w:val="00497DD3"/>
    <w:rsid w:val="00497DF6"/>
    <w:rsid w:val="00497E38"/>
    <w:rsid w:val="00497FC9"/>
    <w:rsid w:val="004A0257"/>
    <w:rsid w:val="004A02B7"/>
    <w:rsid w:val="004A0300"/>
    <w:rsid w:val="004A082D"/>
    <w:rsid w:val="004A0ACC"/>
    <w:rsid w:val="004A0B1C"/>
    <w:rsid w:val="004A0B73"/>
    <w:rsid w:val="004A0BAC"/>
    <w:rsid w:val="004A0D0F"/>
    <w:rsid w:val="004A0D50"/>
    <w:rsid w:val="004A0DAD"/>
    <w:rsid w:val="004A0E39"/>
    <w:rsid w:val="004A0F22"/>
    <w:rsid w:val="004A1237"/>
    <w:rsid w:val="004A12C3"/>
    <w:rsid w:val="004A1674"/>
    <w:rsid w:val="004A16F3"/>
    <w:rsid w:val="004A16F9"/>
    <w:rsid w:val="004A1787"/>
    <w:rsid w:val="004A18C8"/>
    <w:rsid w:val="004A18D6"/>
    <w:rsid w:val="004A1A27"/>
    <w:rsid w:val="004A1AA1"/>
    <w:rsid w:val="004A1BB0"/>
    <w:rsid w:val="004A1C91"/>
    <w:rsid w:val="004A1C98"/>
    <w:rsid w:val="004A1CAE"/>
    <w:rsid w:val="004A1CD8"/>
    <w:rsid w:val="004A1F88"/>
    <w:rsid w:val="004A1FE8"/>
    <w:rsid w:val="004A209B"/>
    <w:rsid w:val="004A2265"/>
    <w:rsid w:val="004A2282"/>
    <w:rsid w:val="004A22BE"/>
    <w:rsid w:val="004A24CD"/>
    <w:rsid w:val="004A25B7"/>
    <w:rsid w:val="004A2612"/>
    <w:rsid w:val="004A2648"/>
    <w:rsid w:val="004A282C"/>
    <w:rsid w:val="004A2886"/>
    <w:rsid w:val="004A292E"/>
    <w:rsid w:val="004A2932"/>
    <w:rsid w:val="004A2D74"/>
    <w:rsid w:val="004A2E47"/>
    <w:rsid w:val="004A2EA2"/>
    <w:rsid w:val="004A306A"/>
    <w:rsid w:val="004A3326"/>
    <w:rsid w:val="004A35FE"/>
    <w:rsid w:val="004A3630"/>
    <w:rsid w:val="004A3637"/>
    <w:rsid w:val="004A3723"/>
    <w:rsid w:val="004A378B"/>
    <w:rsid w:val="004A37B9"/>
    <w:rsid w:val="004A3987"/>
    <w:rsid w:val="004A39D1"/>
    <w:rsid w:val="004A3AAC"/>
    <w:rsid w:val="004A3B93"/>
    <w:rsid w:val="004A3CAF"/>
    <w:rsid w:val="004A3D20"/>
    <w:rsid w:val="004A3D3D"/>
    <w:rsid w:val="004A3D97"/>
    <w:rsid w:val="004A3E84"/>
    <w:rsid w:val="004A406C"/>
    <w:rsid w:val="004A4117"/>
    <w:rsid w:val="004A4123"/>
    <w:rsid w:val="004A4161"/>
    <w:rsid w:val="004A4170"/>
    <w:rsid w:val="004A41A9"/>
    <w:rsid w:val="004A4260"/>
    <w:rsid w:val="004A4358"/>
    <w:rsid w:val="004A44E9"/>
    <w:rsid w:val="004A44EA"/>
    <w:rsid w:val="004A4502"/>
    <w:rsid w:val="004A453C"/>
    <w:rsid w:val="004A455F"/>
    <w:rsid w:val="004A473D"/>
    <w:rsid w:val="004A48AF"/>
    <w:rsid w:val="004A4971"/>
    <w:rsid w:val="004A4B9E"/>
    <w:rsid w:val="004A4E59"/>
    <w:rsid w:val="004A515E"/>
    <w:rsid w:val="004A5248"/>
    <w:rsid w:val="004A52EF"/>
    <w:rsid w:val="004A5407"/>
    <w:rsid w:val="004A5593"/>
    <w:rsid w:val="004A5752"/>
    <w:rsid w:val="004A5768"/>
    <w:rsid w:val="004A5805"/>
    <w:rsid w:val="004A586D"/>
    <w:rsid w:val="004A5A0B"/>
    <w:rsid w:val="004A5CB1"/>
    <w:rsid w:val="004A5E02"/>
    <w:rsid w:val="004A5F44"/>
    <w:rsid w:val="004A605C"/>
    <w:rsid w:val="004A60BB"/>
    <w:rsid w:val="004A61BD"/>
    <w:rsid w:val="004A62CE"/>
    <w:rsid w:val="004A637D"/>
    <w:rsid w:val="004A63F6"/>
    <w:rsid w:val="004A63FF"/>
    <w:rsid w:val="004A64C6"/>
    <w:rsid w:val="004A6517"/>
    <w:rsid w:val="004A65FE"/>
    <w:rsid w:val="004A6674"/>
    <w:rsid w:val="004A66E1"/>
    <w:rsid w:val="004A66E4"/>
    <w:rsid w:val="004A680D"/>
    <w:rsid w:val="004A6A77"/>
    <w:rsid w:val="004A6B6F"/>
    <w:rsid w:val="004A6B9A"/>
    <w:rsid w:val="004A6CA1"/>
    <w:rsid w:val="004A6D2A"/>
    <w:rsid w:val="004A6D64"/>
    <w:rsid w:val="004A6F09"/>
    <w:rsid w:val="004A6F48"/>
    <w:rsid w:val="004A72B7"/>
    <w:rsid w:val="004A72FE"/>
    <w:rsid w:val="004A7572"/>
    <w:rsid w:val="004A75A2"/>
    <w:rsid w:val="004A7646"/>
    <w:rsid w:val="004A772A"/>
    <w:rsid w:val="004A78AC"/>
    <w:rsid w:val="004A78C3"/>
    <w:rsid w:val="004A7C24"/>
    <w:rsid w:val="004A7CB6"/>
    <w:rsid w:val="004A7D62"/>
    <w:rsid w:val="004A7E59"/>
    <w:rsid w:val="004A7F5A"/>
    <w:rsid w:val="004A7F9C"/>
    <w:rsid w:val="004B0270"/>
    <w:rsid w:val="004B036E"/>
    <w:rsid w:val="004B0576"/>
    <w:rsid w:val="004B060C"/>
    <w:rsid w:val="004B086B"/>
    <w:rsid w:val="004B0938"/>
    <w:rsid w:val="004B09FE"/>
    <w:rsid w:val="004B0A77"/>
    <w:rsid w:val="004B0B9A"/>
    <w:rsid w:val="004B0BDE"/>
    <w:rsid w:val="004B0C28"/>
    <w:rsid w:val="004B0C8A"/>
    <w:rsid w:val="004B0CB1"/>
    <w:rsid w:val="004B0D73"/>
    <w:rsid w:val="004B0DEB"/>
    <w:rsid w:val="004B0F87"/>
    <w:rsid w:val="004B0F99"/>
    <w:rsid w:val="004B120B"/>
    <w:rsid w:val="004B120C"/>
    <w:rsid w:val="004B1271"/>
    <w:rsid w:val="004B12AD"/>
    <w:rsid w:val="004B14FD"/>
    <w:rsid w:val="004B1599"/>
    <w:rsid w:val="004B1639"/>
    <w:rsid w:val="004B166B"/>
    <w:rsid w:val="004B17B1"/>
    <w:rsid w:val="004B1843"/>
    <w:rsid w:val="004B1A5B"/>
    <w:rsid w:val="004B1A8A"/>
    <w:rsid w:val="004B1B57"/>
    <w:rsid w:val="004B1C86"/>
    <w:rsid w:val="004B1CEE"/>
    <w:rsid w:val="004B1ECB"/>
    <w:rsid w:val="004B2172"/>
    <w:rsid w:val="004B2245"/>
    <w:rsid w:val="004B2331"/>
    <w:rsid w:val="004B2355"/>
    <w:rsid w:val="004B24E2"/>
    <w:rsid w:val="004B251C"/>
    <w:rsid w:val="004B2585"/>
    <w:rsid w:val="004B2596"/>
    <w:rsid w:val="004B25B9"/>
    <w:rsid w:val="004B25D8"/>
    <w:rsid w:val="004B271F"/>
    <w:rsid w:val="004B275F"/>
    <w:rsid w:val="004B277A"/>
    <w:rsid w:val="004B27AA"/>
    <w:rsid w:val="004B28CF"/>
    <w:rsid w:val="004B28E0"/>
    <w:rsid w:val="004B28E5"/>
    <w:rsid w:val="004B2922"/>
    <w:rsid w:val="004B2AB2"/>
    <w:rsid w:val="004B2ACC"/>
    <w:rsid w:val="004B2B0C"/>
    <w:rsid w:val="004B2DF5"/>
    <w:rsid w:val="004B2E37"/>
    <w:rsid w:val="004B2E86"/>
    <w:rsid w:val="004B2F7F"/>
    <w:rsid w:val="004B3083"/>
    <w:rsid w:val="004B3280"/>
    <w:rsid w:val="004B3335"/>
    <w:rsid w:val="004B33EB"/>
    <w:rsid w:val="004B353B"/>
    <w:rsid w:val="004B35BB"/>
    <w:rsid w:val="004B374D"/>
    <w:rsid w:val="004B399C"/>
    <w:rsid w:val="004B3A51"/>
    <w:rsid w:val="004B3ADA"/>
    <w:rsid w:val="004B3BB3"/>
    <w:rsid w:val="004B3BC5"/>
    <w:rsid w:val="004B3BDC"/>
    <w:rsid w:val="004B3CF1"/>
    <w:rsid w:val="004B4294"/>
    <w:rsid w:val="004B432C"/>
    <w:rsid w:val="004B435E"/>
    <w:rsid w:val="004B4374"/>
    <w:rsid w:val="004B438C"/>
    <w:rsid w:val="004B43D2"/>
    <w:rsid w:val="004B4457"/>
    <w:rsid w:val="004B4521"/>
    <w:rsid w:val="004B4662"/>
    <w:rsid w:val="004B476F"/>
    <w:rsid w:val="004B482E"/>
    <w:rsid w:val="004B4891"/>
    <w:rsid w:val="004B499A"/>
    <w:rsid w:val="004B4B47"/>
    <w:rsid w:val="004B4B51"/>
    <w:rsid w:val="004B4CB1"/>
    <w:rsid w:val="004B4F2D"/>
    <w:rsid w:val="004B4F99"/>
    <w:rsid w:val="004B5041"/>
    <w:rsid w:val="004B50C3"/>
    <w:rsid w:val="004B54B1"/>
    <w:rsid w:val="004B577F"/>
    <w:rsid w:val="004B586D"/>
    <w:rsid w:val="004B58B1"/>
    <w:rsid w:val="004B5A15"/>
    <w:rsid w:val="004B5BBB"/>
    <w:rsid w:val="004B5BFF"/>
    <w:rsid w:val="004B5D50"/>
    <w:rsid w:val="004B5D79"/>
    <w:rsid w:val="004B6061"/>
    <w:rsid w:val="004B6139"/>
    <w:rsid w:val="004B618F"/>
    <w:rsid w:val="004B625E"/>
    <w:rsid w:val="004B63DD"/>
    <w:rsid w:val="004B63EC"/>
    <w:rsid w:val="004B64A2"/>
    <w:rsid w:val="004B64BA"/>
    <w:rsid w:val="004B6509"/>
    <w:rsid w:val="004B6552"/>
    <w:rsid w:val="004B674B"/>
    <w:rsid w:val="004B6B55"/>
    <w:rsid w:val="004B6B83"/>
    <w:rsid w:val="004B6BDE"/>
    <w:rsid w:val="004B6C24"/>
    <w:rsid w:val="004B6C5B"/>
    <w:rsid w:val="004B6D8F"/>
    <w:rsid w:val="004B6E20"/>
    <w:rsid w:val="004B7059"/>
    <w:rsid w:val="004B70D6"/>
    <w:rsid w:val="004B711B"/>
    <w:rsid w:val="004B7307"/>
    <w:rsid w:val="004B73C0"/>
    <w:rsid w:val="004B754B"/>
    <w:rsid w:val="004B75F7"/>
    <w:rsid w:val="004B761C"/>
    <w:rsid w:val="004B7656"/>
    <w:rsid w:val="004B788B"/>
    <w:rsid w:val="004B7920"/>
    <w:rsid w:val="004B7936"/>
    <w:rsid w:val="004B7964"/>
    <w:rsid w:val="004B7A2D"/>
    <w:rsid w:val="004B7B36"/>
    <w:rsid w:val="004B7B3D"/>
    <w:rsid w:val="004B7E94"/>
    <w:rsid w:val="004C0067"/>
    <w:rsid w:val="004C013C"/>
    <w:rsid w:val="004C02C2"/>
    <w:rsid w:val="004C0381"/>
    <w:rsid w:val="004C0433"/>
    <w:rsid w:val="004C05D3"/>
    <w:rsid w:val="004C0828"/>
    <w:rsid w:val="004C0947"/>
    <w:rsid w:val="004C0966"/>
    <w:rsid w:val="004C0982"/>
    <w:rsid w:val="004C09EC"/>
    <w:rsid w:val="004C0A75"/>
    <w:rsid w:val="004C0B21"/>
    <w:rsid w:val="004C0B53"/>
    <w:rsid w:val="004C0C43"/>
    <w:rsid w:val="004C0E5C"/>
    <w:rsid w:val="004C0E6E"/>
    <w:rsid w:val="004C0F9A"/>
    <w:rsid w:val="004C0FDD"/>
    <w:rsid w:val="004C0FED"/>
    <w:rsid w:val="004C0FFA"/>
    <w:rsid w:val="004C1092"/>
    <w:rsid w:val="004C10A6"/>
    <w:rsid w:val="004C1131"/>
    <w:rsid w:val="004C116E"/>
    <w:rsid w:val="004C1186"/>
    <w:rsid w:val="004C1187"/>
    <w:rsid w:val="004C11E2"/>
    <w:rsid w:val="004C132C"/>
    <w:rsid w:val="004C138F"/>
    <w:rsid w:val="004C140F"/>
    <w:rsid w:val="004C1475"/>
    <w:rsid w:val="004C1483"/>
    <w:rsid w:val="004C14FE"/>
    <w:rsid w:val="004C1535"/>
    <w:rsid w:val="004C1597"/>
    <w:rsid w:val="004C173A"/>
    <w:rsid w:val="004C1813"/>
    <w:rsid w:val="004C1D7A"/>
    <w:rsid w:val="004C1EA5"/>
    <w:rsid w:val="004C1EB8"/>
    <w:rsid w:val="004C1FAD"/>
    <w:rsid w:val="004C24CF"/>
    <w:rsid w:val="004C2648"/>
    <w:rsid w:val="004C2677"/>
    <w:rsid w:val="004C278C"/>
    <w:rsid w:val="004C27EA"/>
    <w:rsid w:val="004C283B"/>
    <w:rsid w:val="004C2ABD"/>
    <w:rsid w:val="004C2C46"/>
    <w:rsid w:val="004C2DEB"/>
    <w:rsid w:val="004C3009"/>
    <w:rsid w:val="004C3054"/>
    <w:rsid w:val="004C30CD"/>
    <w:rsid w:val="004C3128"/>
    <w:rsid w:val="004C3177"/>
    <w:rsid w:val="004C31AD"/>
    <w:rsid w:val="004C31BE"/>
    <w:rsid w:val="004C321A"/>
    <w:rsid w:val="004C3314"/>
    <w:rsid w:val="004C334D"/>
    <w:rsid w:val="004C3369"/>
    <w:rsid w:val="004C36D1"/>
    <w:rsid w:val="004C3714"/>
    <w:rsid w:val="004C389B"/>
    <w:rsid w:val="004C3913"/>
    <w:rsid w:val="004C391C"/>
    <w:rsid w:val="004C3983"/>
    <w:rsid w:val="004C3B33"/>
    <w:rsid w:val="004C3B44"/>
    <w:rsid w:val="004C3B74"/>
    <w:rsid w:val="004C3BDA"/>
    <w:rsid w:val="004C3C11"/>
    <w:rsid w:val="004C3C57"/>
    <w:rsid w:val="004C3CA5"/>
    <w:rsid w:val="004C3CDD"/>
    <w:rsid w:val="004C3D1B"/>
    <w:rsid w:val="004C3EEC"/>
    <w:rsid w:val="004C4023"/>
    <w:rsid w:val="004C4071"/>
    <w:rsid w:val="004C41A1"/>
    <w:rsid w:val="004C42CF"/>
    <w:rsid w:val="004C434B"/>
    <w:rsid w:val="004C44BD"/>
    <w:rsid w:val="004C459B"/>
    <w:rsid w:val="004C45B5"/>
    <w:rsid w:val="004C4705"/>
    <w:rsid w:val="004C4963"/>
    <w:rsid w:val="004C49B3"/>
    <w:rsid w:val="004C4A09"/>
    <w:rsid w:val="004C4BE0"/>
    <w:rsid w:val="004C4CE2"/>
    <w:rsid w:val="004C4D4E"/>
    <w:rsid w:val="004C4D68"/>
    <w:rsid w:val="004C4DF8"/>
    <w:rsid w:val="004C4F8C"/>
    <w:rsid w:val="004C50F1"/>
    <w:rsid w:val="004C518A"/>
    <w:rsid w:val="004C51E2"/>
    <w:rsid w:val="004C51F0"/>
    <w:rsid w:val="004C539E"/>
    <w:rsid w:val="004C54F7"/>
    <w:rsid w:val="004C5500"/>
    <w:rsid w:val="004C5531"/>
    <w:rsid w:val="004C559F"/>
    <w:rsid w:val="004C566F"/>
    <w:rsid w:val="004C58B1"/>
    <w:rsid w:val="004C58BF"/>
    <w:rsid w:val="004C5952"/>
    <w:rsid w:val="004C5A5D"/>
    <w:rsid w:val="004C5B11"/>
    <w:rsid w:val="004C5C2A"/>
    <w:rsid w:val="004C5C7C"/>
    <w:rsid w:val="004C5DCF"/>
    <w:rsid w:val="004C5FCC"/>
    <w:rsid w:val="004C6084"/>
    <w:rsid w:val="004C619E"/>
    <w:rsid w:val="004C61DD"/>
    <w:rsid w:val="004C6248"/>
    <w:rsid w:val="004C62E0"/>
    <w:rsid w:val="004C6432"/>
    <w:rsid w:val="004C65AF"/>
    <w:rsid w:val="004C6621"/>
    <w:rsid w:val="004C6656"/>
    <w:rsid w:val="004C66D2"/>
    <w:rsid w:val="004C68A5"/>
    <w:rsid w:val="004C6C0F"/>
    <w:rsid w:val="004C7113"/>
    <w:rsid w:val="004C7193"/>
    <w:rsid w:val="004C7324"/>
    <w:rsid w:val="004C740E"/>
    <w:rsid w:val="004C74D1"/>
    <w:rsid w:val="004C7577"/>
    <w:rsid w:val="004C76CE"/>
    <w:rsid w:val="004C7821"/>
    <w:rsid w:val="004C782C"/>
    <w:rsid w:val="004C7965"/>
    <w:rsid w:val="004C7C43"/>
    <w:rsid w:val="004C7CB3"/>
    <w:rsid w:val="004C7DA3"/>
    <w:rsid w:val="004C7DD7"/>
    <w:rsid w:val="004C7E27"/>
    <w:rsid w:val="004C7EFA"/>
    <w:rsid w:val="004C7F49"/>
    <w:rsid w:val="004C7F7E"/>
    <w:rsid w:val="004CC930"/>
    <w:rsid w:val="004D0029"/>
    <w:rsid w:val="004D0038"/>
    <w:rsid w:val="004D0246"/>
    <w:rsid w:val="004D0256"/>
    <w:rsid w:val="004D0370"/>
    <w:rsid w:val="004D0372"/>
    <w:rsid w:val="004D0469"/>
    <w:rsid w:val="004D0589"/>
    <w:rsid w:val="004D0728"/>
    <w:rsid w:val="004D0893"/>
    <w:rsid w:val="004D09D0"/>
    <w:rsid w:val="004D09F5"/>
    <w:rsid w:val="004D0AC0"/>
    <w:rsid w:val="004D0AD6"/>
    <w:rsid w:val="004D0B6B"/>
    <w:rsid w:val="004D0BFE"/>
    <w:rsid w:val="004D0EC8"/>
    <w:rsid w:val="004D10CC"/>
    <w:rsid w:val="004D10D7"/>
    <w:rsid w:val="004D10F7"/>
    <w:rsid w:val="004D11E2"/>
    <w:rsid w:val="004D12E5"/>
    <w:rsid w:val="004D1465"/>
    <w:rsid w:val="004D1466"/>
    <w:rsid w:val="004D147B"/>
    <w:rsid w:val="004D14AB"/>
    <w:rsid w:val="004D14C4"/>
    <w:rsid w:val="004D152B"/>
    <w:rsid w:val="004D1621"/>
    <w:rsid w:val="004D16E9"/>
    <w:rsid w:val="004D1744"/>
    <w:rsid w:val="004D177A"/>
    <w:rsid w:val="004D1855"/>
    <w:rsid w:val="004D191D"/>
    <w:rsid w:val="004D1A6A"/>
    <w:rsid w:val="004D1AA6"/>
    <w:rsid w:val="004D1B51"/>
    <w:rsid w:val="004D1B95"/>
    <w:rsid w:val="004D1D25"/>
    <w:rsid w:val="004D1E18"/>
    <w:rsid w:val="004D1EBB"/>
    <w:rsid w:val="004D203F"/>
    <w:rsid w:val="004D2107"/>
    <w:rsid w:val="004D21AE"/>
    <w:rsid w:val="004D21F3"/>
    <w:rsid w:val="004D2214"/>
    <w:rsid w:val="004D2360"/>
    <w:rsid w:val="004D23CE"/>
    <w:rsid w:val="004D2410"/>
    <w:rsid w:val="004D27E3"/>
    <w:rsid w:val="004D27E4"/>
    <w:rsid w:val="004D28C3"/>
    <w:rsid w:val="004D2925"/>
    <w:rsid w:val="004D2930"/>
    <w:rsid w:val="004D2952"/>
    <w:rsid w:val="004D2AE8"/>
    <w:rsid w:val="004D2DB2"/>
    <w:rsid w:val="004D2DD5"/>
    <w:rsid w:val="004D2FA1"/>
    <w:rsid w:val="004D3086"/>
    <w:rsid w:val="004D311A"/>
    <w:rsid w:val="004D3138"/>
    <w:rsid w:val="004D323F"/>
    <w:rsid w:val="004D34C7"/>
    <w:rsid w:val="004D34FF"/>
    <w:rsid w:val="004D3602"/>
    <w:rsid w:val="004D37FD"/>
    <w:rsid w:val="004D3818"/>
    <w:rsid w:val="004D39F5"/>
    <w:rsid w:val="004D3AC0"/>
    <w:rsid w:val="004D3DA4"/>
    <w:rsid w:val="004D3E45"/>
    <w:rsid w:val="004D3E79"/>
    <w:rsid w:val="004D3E9D"/>
    <w:rsid w:val="004D3F1C"/>
    <w:rsid w:val="004D42A5"/>
    <w:rsid w:val="004D4541"/>
    <w:rsid w:val="004D46CF"/>
    <w:rsid w:val="004D4706"/>
    <w:rsid w:val="004D4763"/>
    <w:rsid w:val="004D481E"/>
    <w:rsid w:val="004D489A"/>
    <w:rsid w:val="004D495E"/>
    <w:rsid w:val="004D4C01"/>
    <w:rsid w:val="004D4D9F"/>
    <w:rsid w:val="004D4EA7"/>
    <w:rsid w:val="004D4FD9"/>
    <w:rsid w:val="004D528B"/>
    <w:rsid w:val="004D52C8"/>
    <w:rsid w:val="004D542A"/>
    <w:rsid w:val="004D54E6"/>
    <w:rsid w:val="004D5648"/>
    <w:rsid w:val="004D566C"/>
    <w:rsid w:val="004D56B0"/>
    <w:rsid w:val="004D578C"/>
    <w:rsid w:val="004D59FC"/>
    <w:rsid w:val="004D5A2D"/>
    <w:rsid w:val="004D5B39"/>
    <w:rsid w:val="004D5C7F"/>
    <w:rsid w:val="004D5E62"/>
    <w:rsid w:val="004D5FB3"/>
    <w:rsid w:val="004D6021"/>
    <w:rsid w:val="004D6172"/>
    <w:rsid w:val="004D61F6"/>
    <w:rsid w:val="004D6218"/>
    <w:rsid w:val="004D62B6"/>
    <w:rsid w:val="004D6451"/>
    <w:rsid w:val="004D647F"/>
    <w:rsid w:val="004D6500"/>
    <w:rsid w:val="004D657D"/>
    <w:rsid w:val="004D6698"/>
    <w:rsid w:val="004D669F"/>
    <w:rsid w:val="004D67D7"/>
    <w:rsid w:val="004D681A"/>
    <w:rsid w:val="004D681B"/>
    <w:rsid w:val="004D6910"/>
    <w:rsid w:val="004D6953"/>
    <w:rsid w:val="004D6968"/>
    <w:rsid w:val="004D6C3F"/>
    <w:rsid w:val="004D6FC3"/>
    <w:rsid w:val="004D7378"/>
    <w:rsid w:val="004D7496"/>
    <w:rsid w:val="004D7675"/>
    <w:rsid w:val="004D7CB8"/>
    <w:rsid w:val="004D7CD3"/>
    <w:rsid w:val="004D7F99"/>
    <w:rsid w:val="004D82B5"/>
    <w:rsid w:val="004E0022"/>
    <w:rsid w:val="004E0258"/>
    <w:rsid w:val="004E028C"/>
    <w:rsid w:val="004E0325"/>
    <w:rsid w:val="004E0568"/>
    <w:rsid w:val="004E056D"/>
    <w:rsid w:val="004E0685"/>
    <w:rsid w:val="004E085A"/>
    <w:rsid w:val="004E0892"/>
    <w:rsid w:val="004E0C5D"/>
    <w:rsid w:val="004E0E73"/>
    <w:rsid w:val="004E0F39"/>
    <w:rsid w:val="004E12D0"/>
    <w:rsid w:val="004E133B"/>
    <w:rsid w:val="004E135E"/>
    <w:rsid w:val="004E141E"/>
    <w:rsid w:val="004E156A"/>
    <w:rsid w:val="004E1642"/>
    <w:rsid w:val="004E16B3"/>
    <w:rsid w:val="004E1788"/>
    <w:rsid w:val="004E1793"/>
    <w:rsid w:val="004E1912"/>
    <w:rsid w:val="004E1981"/>
    <w:rsid w:val="004E1B22"/>
    <w:rsid w:val="004E1B34"/>
    <w:rsid w:val="004E1B82"/>
    <w:rsid w:val="004E1E93"/>
    <w:rsid w:val="004E1F74"/>
    <w:rsid w:val="004E1F9C"/>
    <w:rsid w:val="004E201D"/>
    <w:rsid w:val="004E226E"/>
    <w:rsid w:val="004E2329"/>
    <w:rsid w:val="004E23FD"/>
    <w:rsid w:val="004E2505"/>
    <w:rsid w:val="004E26FF"/>
    <w:rsid w:val="004E280B"/>
    <w:rsid w:val="004E2884"/>
    <w:rsid w:val="004E2950"/>
    <w:rsid w:val="004E296F"/>
    <w:rsid w:val="004E29F9"/>
    <w:rsid w:val="004E2B26"/>
    <w:rsid w:val="004E2BE3"/>
    <w:rsid w:val="004E2D64"/>
    <w:rsid w:val="004E2E15"/>
    <w:rsid w:val="004E2E5B"/>
    <w:rsid w:val="004E2F39"/>
    <w:rsid w:val="004E2F65"/>
    <w:rsid w:val="004E2FAD"/>
    <w:rsid w:val="004E312C"/>
    <w:rsid w:val="004E3691"/>
    <w:rsid w:val="004E36B9"/>
    <w:rsid w:val="004E36F7"/>
    <w:rsid w:val="004E36F8"/>
    <w:rsid w:val="004E389B"/>
    <w:rsid w:val="004E3959"/>
    <w:rsid w:val="004E3A28"/>
    <w:rsid w:val="004E3B0E"/>
    <w:rsid w:val="004E3B4B"/>
    <w:rsid w:val="004E3C57"/>
    <w:rsid w:val="004E3EB6"/>
    <w:rsid w:val="004E3F54"/>
    <w:rsid w:val="004E3FC0"/>
    <w:rsid w:val="004E3FCA"/>
    <w:rsid w:val="004E40F6"/>
    <w:rsid w:val="004E4174"/>
    <w:rsid w:val="004E4271"/>
    <w:rsid w:val="004E4367"/>
    <w:rsid w:val="004E44B9"/>
    <w:rsid w:val="004E4665"/>
    <w:rsid w:val="004E46D8"/>
    <w:rsid w:val="004E48FA"/>
    <w:rsid w:val="004E4907"/>
    <w:rsid w:val="004E4950"/>
    <w:rsid w:val="004E4A90"/>
    <w:rsid w:val="004E4B6C"/>
    <w:rsid w:val="004E4DC7"/>
    <w:rsid w:val="004E4F48"/>
    <w:rsid w:val="004E4FBD"/>
    <w:rsid w:val="004E5066"/>
    <w:rsid w:val="004E507B"/>
    <w:rsid w:val="004E516A"/>
    <w:rsid w:val="004E522A"/>
    <w:rsid w:val="004E5270"/>
    <w:rsid w:val="004E54B2"/>
    <w:rsid w:val="004E5536"/>
    <w:rsid w:val="004E5645"/>
    <w:rsid w:val="004E56E5"/>
    <w:rsid w:val="004E56F2"/>
    <w:rsid w:val="004E5808"/>
    <w:rsid w:val="004E5911"/>
    <w:rsid w:val="004E596F"/>
    <w:rsid w:val="004E5A0E"/>
    <w:rsid w:val="004E5A12"/>
    <w:rsid w:val="004E5A2F"/>
    <w:rsid w:val="004E5BD4"/>
    <w:rsid w:val="004E5C52"/>
    <w:rsid w:val="004E5C9F"/>
    <w:rsid w:val="004E5DEF"/>
    <w:rsid w:val="004E5E2E"/>
    <w:rsid w:val="004E6046"/>
    <w:rsid w:val="004E6212"/>
    <w:rsid w:val="004E62B5"/>
    <w:rsid w:val="004E6463"/>
    <w:rsid w:val="004E6584"/>
    <w:rsid w:val="004E661F"/>
    <w:rsid w:val="004E6684"/>
    <w:rsid w:val="004E6757"/>
    <w:rsid w:val="004E67CC"/>
    <w:rsid w:val="004E68F7"/>
    <w:rsid w:val="004E6A22"/>
    <w:rsid w:val="004E6A5C"/>
    <w:rsid w:val="004E6C45"/>
    <w:rsid w:val="004E6CA0"/>
    <w:rsid w:val="004E6CCB"/>
    <w:rsid w:val="004E6D24"/>
    <w:rsid w:val="004E6DA8"/>
    <w:rsid w:val="004E6DB7"/>
    <w:rsid w:val="004E6F96"/>
    <w:rsid w:val="004E7086"/>
    <w:rsid w:val="004E7235"/>
    <w:rsid w:val="004E72F6"/>
    <w:rsid w:val="004E74C4"/>
    <w:rsid w:val="004E7588"/>
    <w:rsid w:val="004E759F"/>
    <w:rsid w:val="004E7659"/>
    <w:rsid w:val="004E769F"/>
    <w:rsid w:val="004E76AF"/>
    <w:rsid w:val="004E7723"/>
    <w:rsid w:val="004E77AB"/>
    <w:rsid w:val="004E77C1"/>
    <w:rsid w:val="004E77F2"/>
    <w:rsid w:val="004E791C"/>
    <w:rsid w:val="004E79A8"/>
    <w:rsid w:val="004E7AD9"/>
    <w:rsid w:val="004E7B15"/>
    <w:rsid w:val="004E7C88"/>
    <w:rsid w:val="004E7D7B"/>
    <w:rsid w:val="004E7DBB"/>
    <w:rsid w:val="004E7ED7"/>
    <w:rsid w:val="004E9944"/>
    <w:rsid w:val="004EA0A4"/>
    <w:rsid w:val="004F01AF"/>
    <w:rsid w:val="004F04B2"/>
    <w:rsid w:val="004F0611"/>
    <w:rsid w:val="004F0762"/>
    <w:rsid w:val="004F07AB"/>
    <w:rsid w:val="004F07B3"/>
    <w:rsid w:val="004F07C0"/>
    <w:rsid w:val="004F08EC"/>
    <w:rsid w:val="004F08EE"/>
    <w:rsid w:val="004F095A"/>
    <w:rsid w:val="004F0971"/>
    <w:rsid w:val="004F099A"/>
    <w:rsid w:val="004F0B09"/>
    <w:rsid w:val="004F0D83"/>
    <w:rsid w:val="004F0E26"/>
    <w:rsid w:val="004F0E7D"/>
    <w:rsid w:val="004F0F7F"/>
    <w:rsid w:val="004F1021"/>
    <w:rsid w:val="004F1129"/>
    <w:rsid w:val="004F1250"/>
    <w:rsid w:val="004F1401"/>
    <w:rsid w:val="004F153D"/>
    <w:rsid w:val="004F178B"/>
    <w:rsid w:val="004F19F0"/>
    <w:rsid w:val="004F1B26"/>
    <w:rsid w:val="004F1B86"/>
    <w:rsid w:val="004F1BAE"/>
    <w:rsid w:val="004F1CB0"/>
    <w:rsid w:val="004F1D2B"/>
    <w:rsid w:val="004F1DDD"/>
    <w:rsid w:val="004F1E9A"/>
    <w:rsid w:val="004F1EEF"/>
    <w:rsid w:val="004F1F8A"/>
    <w:rsid w:val="004F1FD6"/>
    <w:rsid w:val="004F2025"/>
    <w:rsid w:val="004F204F"/>
    <w:rsid w:val="004F205C"/>
    <w:rsid w:val="004F21AE"/>
    <w:rsid w:val="004F23F4"/>
    <w:rsid w:val="004F24E0"/>
    <w:rsid w:val="004F250C"/>
    <w:rsid w:val="004F25AB"/>
    <w:rsid w:val="004F274B"/>
    <w:rsid w:val="004F2768"/>
    <w:rsid w:val="004F2777"/>
    <w:rsid w:val="004F28F5"/>
    <w:rsid w:val="004F2AC9"/>
    <w:rsid w:val="004F2BB6"/>
    <w:rsid w:val="004F2C1B"/>
    <w:rsid w:val="004F2E49"/>
    <w:rsid w:val="004F3007"/>
    <w:rsid w:val="004F3055"/>
    <w:rsid w:val="004F30F1"/>
    <w:rsid w:val="004F320E"/>
    <w:rsid w:val="004F3238"/>
    <w:rsid w:val="004F338F"/>
    <w:rsid w:val="004F33B4"/>
    <w:rsid w:val="004F348D"/>
    <w:rsid w:val="004F35D2"/>
    <w:rsid w:val="004F361F"/>
    <w:rsid w:val="004F3929"/>
    <w:rsid w:val="004F39BD"/>
    <w:rsid w:val="004F3AEB"/>
    <w:rsid w:val="004F3B03"/>
    <w:rsid w:val="004F3BBA"/>
    <w:rsid w:val="004F3D0D"/>
    <w:rsid w:val="004F3D4D"/>
    <w:rsid w:val="004F3D82"/>
    <w:rsid w:val="004F3D9E"/>
    <w:rsid w:val="004F3DA9"/>
    <w:rsid w:val="004F3E11"/>
    <w:rsid w:val="004F3E86"/>
    <w:rsid w:val="004F3F24"/>
    <w:rsid w:val="004F3F9E"/>
    <w:rsid w:val="004F4005"/>
    <w:rsid w:val="004F41D3"/>
    <w:rsid w:val="004F43ED"/>
    <w:rsid w:val="004F4490"/>
    <w:rsid w:val="004F47E3"/>
    <w:rsid w:val="004F484A"/>
    <w:rsid w:val="004F49A4"/>
    <w:rsid w:val="004F4C5D"/>
    <w:rsid w:val="004F4CA1"/>
    <w:rsid w:val="004F4D67"/>
    <w:rsid w:val="004F4D6B"/>
    <w:rsid w:val="004F4DBB"/>
    <w:rsid w:val="004F4E3A"/>
    <w:rsid w:val="004F4F71"/>
    <w:rsid w:val="004F4FE1"/>
    <w:rsid w:val="004F516A"/>
    <w:rsid w:val="004F5251"/>
    <w:rsid w:val="004F52A7"/>
    <w:rsid w:val="004F5304"/>
    <w:rsid w:val="004F53F4"/>
    <w:rsid w:val="004F5523"/>
    <w:rsid w:val="004F56C0"/>
    <w:rsid w:val="004F59D8"/>
    <w:rsid w:val="004F5BE3"/>
    <w:rsid w:val="004F5C82"/>
    <w:rsid w:val="004F5C87"/>
    <w:rsid w:val="004F5D68"/>
    <w:rsid w:val="004F5E79"/>
    <w:rsid w:val="004F5F8B"/>
    <w:rsid w:val="004F5FDC"/>
    <w:rsid w:val="004F603C"/>
    <w:rsid w:val="004F6097"/>
    <w:rsid w:val="004F60D6"/>
    <w:rsid w:val="004F60F6"/>
    <w:rsid w:val="004F6208"/>
    <w:rsid w:val="004F622B"/>
    <w:rsid w:val="004F6279"/>
    <w:rsid w:val="004F630D"/>
    <w:rsid w:val="004F6356"/>
    <w:rsid w:val="004F63C4"/>
    <w:rsid w:val="004F642D"/>
    <w:rsid w:val="004F656C"/>
    <w:rsid w:val="004F6630"/>
    <w:rsid w:val="004F66DC"/>
    <w:rsid w:val="004F68DA"/>
    <w:rsid w:val="004F69C8"/>
    <w:rsid w:val="004F6A08"/>
    <w:rsid w:val="004F6AB4"/>
    <w:rsid w:val="004F6AE4"/>
    <w:rsid w:val="004F6E09"/>
    <w:rsid w:val="004F6F67"/>
    <w:rsid w:val="004F6FED"/>
    <w:rsid w:val="004F6FF6"/>
    <w:rsid w:val="004F708A"/>
    <w:rsid w:val="004F716A"/>
    <w:rsid w:val="004F7217"/>
    <w:rsid w:val="004F72B8"/>
    <w:rsid w:val="004F7314"/>
    <w:rsid w:val="004F74BA"/>
    <w:rsid w:val="004F756F"/>
    <w:rsid w:val="004F75B5"/>
    <w:rsid w:val="004F7896"/>
    <w:rsid w:val="004F78FD"/>
    <w:rsid w:val="004F7980"/>
    <w:rsid w:val="004F7B93"/>
    <w:rsid w:val="004F7C0E"/>
    <w:rsid w:val="004F7CC2"/>
    <w:rsid w:val="004F7D72"/>
    <w:rsid w:val="004F7D90"/>
    <w:rsid w:val="004F7E9F"/>
    <w:rsid w:val="004F7F00"/>
    <w:rsid w:val="004F7F59"/>
    <w:rsid w:val="004F7F73"/>
    <w:rsid w:val="00500062"/>
    <w:rsid w:val="005000D7"/>
    <w:rsid w:val="00500196"/>
    <w:rsid w:val="00500270"/>
    <w:rsid w:val="00500485"/>
    <w:rsid w:val="005004B4"/>
    <w:rsid w:val="005005B0"/>
    <w:rsid w:val="005005B7"/>
    <w:rsid w:val="005005EC"/>
    <w:rsid w:val="00500721"/>
    <w:rsid w:val="005007BD"/>
    <w:rsid w:val="00500AC2"/>
    <w:rsid w:val="00500BAF"/>
    <w:rsid w:val="00500C37"/>
    <w:rsid w:val="00500D95"/>
    <w:rsid w:val="00500F7E"/>
    <w:rsid w:val="00500FE4"/>
    <w:rsid w:val="0050105F"/>
    <w:rsid w:val="00501159"/>
    <w:rsid w:val="00501197"/>
    <w:rsid w:val="005012B8"/>
    <w:rsid w:val="005012D2"/>
    <w:rsid w:val="00501300"/>
    <w:rsid w:val="0050131C"/>
    <w:rsid w:val="00501348"/>
    <w:rsid w:val="00501470"/>
    <w:rsid w:val="0050160E"/>
    <w:rsid w:val="00501730"/>
    <w:rsid w:val="00501751"/>
    <w:rsid w:val="005017BC"/>
    <w:rsid w:val="005017FB"/>
    <w:rsid w:val="005018A7"/>
    <w:rsid w:val="005018E1"/>
    <w:rsid w:val="00501B3C"/>
    <w:rsid w:val="00501BE6"/>
    <w:rsid w:val="00501C53"/>
    <w:rsid w:val="00501CEC"/>
    <w:rsid w:val="00501E40"/>
    <w:rsid w:val="00501E66"/>
    <w:rsid w:val="00501F45"/>
    <w:rsid w:val="0050205A"/>
    <w:rsid w:val="00502204"/>
    <w:rsid w:val="00502229"/>
    <w:rsid w:val="00502471"/>
    <w:rsid w:val="005024C4"/>
    <w:rsid w:val="00502526"/>
    <w:rsid w:val="00502603"/>
    <w:rsid w:val="0050279B"/>
    <w:rsid w:val="005027A4"/>
    <w:rsid w:val="005027B4"/>
    <w:rsid w:val="00502D97"/>
    <w:rsid w:val="00502DED"/>
    <w:rsid w:val="00502DF9"/>
    <w:rsid w:val="00502E85"/>
    <w:rsid w:val="00502FED"/>
    <w:rsid w:val="0050303A"/>
    <w:rsid w:val="00503084"/>
    <w:rsid w:val="005032C6"/>
    <w:rsid w:val="00503562"/>
    <w:rsid w:val="005036EC"/>
    <w:rsid w:val="0050372D"/>
    <w:rsid w:val="00503832"/>
    <w:rsid w:val="0050388C"/>
    <w:rsid w:val="00503F2D"/>
    <w:rsid w:val="00503FC3"/>
    <w:rsid w:val="00503FD0"/>
    <w:rsid w:val="0050403C"/>
    <w:rsid w:val="005040AC"/>
    <w:rsid w:val="005040E2"/>
    <w:rsid w:val="005042E4"/>
    <w:rsid w:val="00504421"/>
    <w:rsid w:val="0050449B"/>
    <w:rsid w:val="005046E7"/>
    <w:rsid w:val="0050483C"/>
    <w:rsid w:val="005048A5"/>
    <w:rsid w:val="00504903"/>
    <w:rsid w:val="005049FA"/>
    <w:rsid w:val="00504ABA"/>
    <w:rsid w:val="00504C6F"/>
    <w:rsid w:val="00504EF5"/>
    <w:rsid w:val="00504F1B"/>
    <w:rsid w:val="00504F1C"/>
    <w:rsid w:val="00504F74"/>
    <w:rsid w:val="00504F91"/>
    <w:rsid w:val="0050501A"/>
    <w:rsid w:val="00505026"/>
    <w:rsid w:val="00505073"/>
    <w:rsid w:val="005050A0"/>
    <w:rsid w:val="0050521F"/>
    <w:rsid w:val="0050523E"/>
    <w:rsid w:val="005055F0"/>
    <w:rsid w:val="005056C6"/>
    <w:rsid w:val="005057D2"/>
    <w:rsid w:val="00505817"/>
    <w:rsid w:val="00505837"/>
    <w:rsid w:val="005058DE"/>
    <w:rsid w:val="0050595B"/>
    <w:rsid w:val="00505AB1"/>
    <w:rsid w:val="00505FBE"/>
    <w:rsid w:val="0050609F"/>
    <w:rsid w:val="005060BA"/>
    <w:rsid w:val="0050611F"/>
    <w:rsid w:val="00506169"/>
    <w:rsid w:val="00506253"/>
    <w:rsid w:val="00506632"/>
    <w:rsid w:val="00506759"/>
    <w:rsid w:val="00506984"/>
    <w:rsid w:val="005069D7"/>
    <w:rsid w:val="005069E7"/>
    <w:rsid w:val="00506A53"/>
    <w:rsid w:val="00506B4D"/>
    <w:rsid w:val="00506C87"/>
    <w:rsid w:val="005070C1"/>
    <w:rsid w:val="005071AF"/>
    <w:rsid w:val="0050721E"/>
    <w:rsid w:val="00507259"/>
    <w:rsid w:val="005073FF"/>
    <w:rsid w:val="00507588"/>
    <w:rsid w:val="0050770F"/>
    <w:rsid w:val="005077AF"/>
    <w:rsid w:val="005077E0"/>
    <w:rsid w:val="0050794A"/>
    <w:rsid w:val="0050796C"/>
    <w:rsid w:val="005079B0"/>
    <w:rsid w:val="00507BA6"/>
    <w:rsid w:val="00507C5D"/>
    <w:rsid w:val="00507E01"/>
    <w:rsid w:val="00507E29"/>
    <w:rsid w:val="00507E98"/>
    <w:rsid w:val="00510139"/>
    <w:rsid w:val="0051022D"/>
    <w:rsid w:val="005102ED"/>
    <w:rsid w:val="0051051D"/>
    <w:rsid w:val="00510580"/>
    <w:rsid w:val="00510597"/>
    <w:rsid w:val="00510796"/>
    <w:rsid w:val="005107B9"/>
    <w:rsid w:val="0051089F"/>
    <w:rsid w:val="005109EC"/>
    <w:rsid w:val="00510A60"/>
    <w:rsid w:val="00510A82"/>
    <w:rsid w:val="00510B91"/>
    <w:rsid w:val="00510BAB"/>
    <w:rsid w:val="00510F0F"/>
    <w:rsid w:val="00511066"/>
    <w:rsid w:val="0051120F"/>
    <w:rsid w:val="0051123D"/>
    <w:rsid w:val="00511328"/>
    <w:rsid w:val="0051146D"/>
    <w:rsid w:val="005114A6"/>
    <w:rsid w:val="00511678"/>
    <w:rsid w:val="0051169A"/>
    <w:rsid w:val="00511725"/>
    <w:rsid w:val="0051186E"/>
    <w:rsid w:val="00511924"/>
    <w:rsid w:val="00511964"/>
    <w:rsid w:val="005119E1"/>
    <w:rsid w:val="00511B1A"/>
    <w:rsid w:val="00511CFC"/>
    <w:rsid w:val="00511E6C"/>
    <w:rsid w:val="00511F38"/>
    <w:rsid w:val="0051202A"/>
    <w:rsid w:val="00512558"/>
    <w:rsid w:val="005125B9"/>
    <w:rsid w:val="005125C2"/>
    <w:rsid w:val="005125ED"/>
    <w:rsid w:val="005126C8"/>
    <w:rsid w:val="005126E2"/>
    <w:rsid w:val="00512719"/>
    <w:rsid w:val="0051279F"/>
    <w:rsid w:val="005127DE"/>
    <w:rsid w:val="0051285C"/>
    <w:rsid w:val="00512C62"/>
    <w:rsid w:val="00512D32"/>
    <w:rsid w:val="00512E03"/>
    <w:rsid w:val="00512E4A"/>
    <w:rsid w:val="00512F35"/>
    <w:rsid w:val="00512F65"/>
    <w:rsid w:val="00512F68"/>
    <w:rsid w:val="00512FEF"/>
    <w:rsid w:val="005130D7"/>
    <w:rsid w:val="005131EE"/>
    <w:rsid w:val="00513455"/>
    <w:rsid w:val="0051353A"/>
    <w:rsid w:val="00513561"/>
    <w:rsid w:val="005136FB"/>
    <w:rsid w:val="005138C4"/>
    <w:rsid w:val="005138F1"/>
    <w:rsid w:val="00513927"/>
    <w:rsid w:val="00513A22"/>
    <w:rsid w:val="00513A4A"/>
    <w:rsid w:val="00513C1A"/>
    <w:rsid w:val="00513CEC"/>
    <w:rsid w:val="00513F20"/>
    <w:rsid w:val="00513F85"/>
    <w:rsid w:val="00513FC1"/>
    <w:rsid w:val="0051401E"/>
    <w:rsid w:val="00514085"/>
    <w:rsid w:val="005140EC"/>
    <w:rsid w:val="0051415D"/>
    <w:rsid w:val="005141AE"/>
    <w:rsid w:val="005141EA"/>
    <w:rsid w:val="0051427D"/>
    <w:rsid w:val="005142EE"/>
    <w:rsid w:val="005143B5"/>
    <w:rsid w:val="005143F7"/>
    <w:rsid w:val="00514440"/>
    <w:rsid w:val="00514503"/>
    <w:rsid w:val="005147C6"/>
    <w:rsid w:val="00514803"/>
    <w:rsid w:val="00514875"/>
    <w:rsid w:val="0051497D"/>
    <w:rsid w:val="005149C4"/>
    <w:rsid w:val="00514A62"/>
    <w:rsid w:val="00514B1F"/>
    <w:rsid w:val="00514C41"/>
    <w:rsid w:val="00514D4C"/>
    <w:rsid w:val="00514D89"/>
    <w:rsid w:val="00514EC7"/>
    <w:rsid w:val="00514F33"/>
    <w:rsid w:val="005150F0"/>
    <w:rsid w:val="005150FB"/>
    <w:rsid w:val="00515218"/>
    <w:rsid w:val="00515396"/>
    <w:rsid w:val="0051547F"/>
    <w:rsid w:val="00515577"/>
    <w:rsid w:val="00515605"/>
    <w:rsid w:val="00515779"/>
    <w:rsid w:val="005158D5"/>
    <w:rsid w:val="00515AF6"/>
    <w:rsid w:val="00515B40"/>
    <w:rsid w:val="00515B76"/>
    <w:rsid w:val="00515B78"/>
    <w:rsid w:val="00515C5B"/>
    <w:rsid w:val="00515C72"/>
    <w:rsid w:val="00515DDA"/>
    <w:rsid w:val="00515E91"/>
    <w:rsid w:val="00515E96"/>
    <w:rsid w:val="00515F24"/>
    <w:rsid w:val="00515F3A"/>
    <w:rsid w:val="00515FAF"/>
    <w:rsid w:val="0051604E"/>
    <w:rsid w:val="00516062"/>
    <w:rsid w:val="005161E0"/>
    <w:rsid w:val="00516230"/>
    <w:rsid w:val="005162BE"/>
    <w:rsid w:val="005163E0"/>
    <w:rsid w:val="005164C5"/>
    <w:rsid w:val="0051654E"/>
    <w:rsid w:val="005165E5"/>
    <w:rsid w:val="005169E8"/>
    <w:rsid w:val="00516C80"/>
    <w:rsid w:val="00516CBC"/>
    <w:rsid w:val="00516CD4"/>
    <w:rsid w:val="00516CD6"/>
    <w:rsid w:val="00516CE4"/>
    <w:rsid w:val="00516E2A"/>
    <w:rsid w:val="00516E71"/>
    <w:rsid w:val="00516F27"/>
    <w:rsid w:val="0051707B"/>
    <w:rsid w:val="00517154"/>
    <w:rsid w:val="00517515"/>
    <w:rsid w:val="005175FC"/>
    <w:rsid w:val="00517612"/>
    <w:rsid w:val="00517AAE"/>
    <w:rsid w:val="00517B82"/>
    <w:rsid w:val="00517D65"/>
    <w:rsid w:val="00517EAF"/>
    <w:rsid w:val="00517F53"/>
    <w:rsid w:val="00517F59"/>
    <w:rsid w:val="00517F7F"/>
    <w:rsid w:val="0051BA21"/>
    <w:rsid w:val="0052009D"/>
    <w:rsid w:val="00520327"/>
    <w:rsid w:val="005203DC"/>
    <w:rsid w:val="005204D8"/>
    <w:rsid w:val="005204F2"/>
    <w:rsid w:val="00520628"/>
    <w:rsid w:val="0052097D"/>
    <w:rsid w:val="0052098A"/>
    <w:rsid w:val="00520C06"/>
    <w:rsid w:val="00520C9B"/>
    <w:rsid w:val="00520D52"/>
    <w:rsid w:val="00520D99"/>
    <w:rsid w:val="00520DB2"/>
    <w:rsid w:val="00520E0B"/>
    <w:rsid w:val="00520F55"/>
    <w:rsid w:val="00521008"/>
    <w:rsid w:val="00521024"/>
    <w:rsid w:val="00521170"/>
    <w:rsid w:val="005212A6"/>
    <w:rsid w:val="0052135F"/>
    <w:rsid w:val="005214B0"/>
    <w:rsid w:val="005214DC"/>
    <w:rsid w:val="005214EA"/>
    <w:rsid w:val="005214FC"/>
    <w:rsid w:val="0052151D"/>
    <w:rsid w:val="0052155C"/>
    <w:rsid w:val="0052163B"/>
    <w:rsid w:val="00521663"/>
    <w:rsid w:val="00521793"/>
    <w:rsid w:val="005217A9"/>
    <w:rsid w:val="00521846"/>
    <w:rsid w:val="005218BA"/>
    <w:rsid w:val="00521951"/>
    <w:rsid w:val="0052196B"/>
    <w:rsid w:val="00521ABB"/>
    <w:rsid w:val="00521CA9"/>
    <w:rsid w:val="00521CF4"/>
    <w:rsid w:val="00521D4D"/>
    <w:rsid w:val="00521D98"/>
    <w:rsid w:val="00522082"/>
    <w:rsid w:val="0052209F"/>
    <w:rsid w:val="00522197"/>
    <w:rsid w:val="00522267"/>
    <w:rsid w:val="0052229A"/>
    <w:rsid w:val="005222F1"/>
    <w:rsid w:val="005223FE"/>
    <w:rsid w:val="0052252A"/>
    <w:rsid w:val="00522537"/>
    <w:rsid w:val="005225DF"/>
    <w:rsid w:val="0052267C"/>
    <w:rsid w:val="00522719"/>
    <w:rsid w:val="00522ACF"/>
    <w:rsid w:val="00522AF6"/>
    <w:rsid w:val="00522B94"/>
    <w:rsid w:val="00522BAE"/>
    <w:rsid w:val="00522D35"/>
    <w:rsid w:val="00522ED8"/>
    <w:rsid w:val="00522FE1"/>
    <w:rsid w:val="00523629"/>
    <w:rsid w:val="0052383F"/>
    <w:rsid w:val="0052389F"/>
    <w:rsid w:val="00523A25"/>
    <w:rsid w:val="00523C68"/>
    <w:rsid w:val="00523CDB"/>
    <w:rsid w:val="00523D1A"/>
    <w:rsid w:val="00523E95"/>
    <w:rsid w:val="00523FD1"/>
    <w:rsid w:val="00524308"/>
    <w:rsid w:val="005243DF"/>
    <w:rsid w:val="00524460"/>
    <w:rsid w:val="00524479"/>
    <w:rsid w:val="0052452A"/>
    <w:rsid w:val="0052452B"/>
    <w:rsid w:val="005245CD"/>
    <w:rsid w:val="0052476C"/>
    <w:rsid w:val="005247A6"/>
    <w:rsid w:val="005248A3"/>
    <w:rsid w:val="00524B61"/>
    <w:rsid w:val="00524C2D"/>
    <w:rsid w:val="00524FFF"/>
    <w:rsid w:val="005250F8"/>
    <w:rsid w:val="00525213"/>
    <w:rsid w:val="005252D2"/>
    <w:rsid w:val="00525315"/>
    <w:rsid w:val="00525340"/>
    <w:rsid w:val="0052541D"/>
    <w:rsid w:val="00525543"/>
    <w:rsid w:val="0052555E"/>
    <w:rsid w:val="00525596"/>
    <w:rsid w:val="005255E9"/>
    <w:rsid w:val="00525695"/>
    <w:rsid w:val="005256C4"/>
    <w:rsid w:val="00525A4F"/>
    <w:rsid w:val="00525A71"/>
    <w:rsid w:val="00525A76"/>
    <w:rsid w:val="00525AAC"/>
    <w:rsid w:val="00525AD8"/>
    <w:rsid w:val="00525B6D"/>
    <w:rsid w:val="00525D34"/>
    <w:rsid w:val="00525E1F"/>
    <w:rsid w:val="00525E62"/>
    <w:rsid w:val="00525F52"/>
    <w:rsid w:val="0052618C"/>
    <w:rsid w:val="005261A2"/>
    <w:rsid w:val="005262D0"/>
    <w:rsid w:val="005265BB"/>
    <w:rsid w:val="005265DB"/>
    <w:rsid w:val="005265FB"/>
    <w:rsid w:val="0052671A"/>
    <w:rsid w:val="00526A6D"/>
    <w:rsid w:val="00526D3F"/>
    <w:rsid w:val="00526E14"/>
    <w:rsid w:val="00526E38"/>
    <w:rsid w:val="00526E3F"/>
    <w:rsid w:val="00526E98"/>
    <w:rsid w:val="00526F45"/>
    <w:rsid w:val="00526F4E"/>
    <w:rsid w:val="00526F6D"/>
    <w:rsid w:val="00526F92"/>
    <w:rsid w:val="00526FF8"/>
    <w:rsid w:val="005270B0"/>
    <w:rsid w:val="0052723B"/>
    <w:rsid w:val="005273FF"/>
    <w:rsid w:val="0052747E"/>
    <w:rsid w:val="00527492"/>
    <w:rsid w:val="005275AC"/>
    <w:rsid w:val="005277C8"/>
    <w:rsid w:val="0052785D"/>
    <w:rsid w:val="0052791C"/>
    <w:rsid w:val="00527958"/>
    <w:rsid w:val="00527966"/>
    <w:rsid w:val="00527972"/>
    <w:rsid w:val="005279ED"/>
    <w:rsid w:val="00527B0E"/>
    <w:rsid w:val="00527B65"/>
    <w:rsid w:val="00527BBC"/>
    <w:rsid w:val="00527CDD"/>
    <w:rsid w:val="00527CE1"/>
    <w:rsid w:val="00527DAD"/>
    <w:rsid w:val="00527E21"/>
    <w:rsid w:val="00527ECD"/>
    <w:rsid w:val="00527FF1"/>
    <w:rsid w:val="00527FF3"/>
    <w:rsid w:val="0052BD14"/>
    <w:rsid w:val="005300C5"/>
    <w:rsid w:val="005301C4"/>
    <w:rsid w:val="0053024E"/>
    <w:rsid w:val="005306A5"/>
    <w:rsid w:val="005306BA"/>
    <w:rsid w:val="00530868"/>
    <w:rsid w:val="005308AA"/>
    <w:rsid w:val="00530A35"/>
    <w:rsid w:val="00530AA1"/>
    <w:rsid w:val="00530B59"/>
    <w:rsid w:val="00530BEA"/>
    <w:rsid w:val="00530CF6"/>
    <w:rsid w:val="00530DF4"/>
    <w:rsid w:val="00530ED7"/>
    <w:rsid w:val="00530F11"/>
    <w:rsid w:val="00530F4E"/>
    <w:rsid w:val="00531077"/>
    <w:rsid w:val="00531272"/>
    <w:rsid w:val="0053127E"/>
    <w:rsid w:val="0053142D"/>
    <w:rsid w:val="0053159B"/>
    <w:rsid w:val="0053172A"/>
    <w:rsid w:val="00531770"/>
    <w:rsid w:val="005317A5"/>
    <w:rsid w:val="0053182B"/>
    <w:rsid w:val="00531AB2"/>
    <w:rsid w:val="005320EC"/>
    <w:rsid w:val="00532211"/>
    <w:rsid w:val="005322BD"/>
    <w:rsid w:val="005322D3"/>
    <w:rsid w:val="00532335"/>
    <w:rsid w:val="005323E1"/>
    <w:rsid w:val="00532469"/>
    <w:rsid w:val="005324B0"/>
    <w:rsid w:val="0053251E"/>
    <w:rsid w:val="00532533"/>
    <w:rsid w:val="005325DC"/>
    <w:rsid w:val="0053286C"/>
    <w:rsid w:val="00532906"/>
    <w:rsid w:val="00532B5E"/>
    <w:rsid w:val="00532F57"/>
    <w:rsid w:val="00533068"/>
    <w:rsid w:val="0053316B"/>
    <w:rsid w:val="005332EE"/>
    <w:rsid w:val="00533462"/>
    <w:rsid w:val="00533491"/>
    <w:rsid w:val="00533620"/>
    <w:rsid w:val="00533629"/>
    <w:rsid w:val="00533719"/>
    <w:rsid w:val="00533772"/>
    <w:rsid w:val="00533945"/>
    <w:rsid w:val="005339CF"/>
    <w:rsid w:val="00533ACA"/>
    <w:rsid w:val="00533B63"/>
    <w:rsid w:val="00533CD7"/>
    <w:rsid w:val="00533D02"/>
    <w:rsid w:val="00533D3A"/>
    <w:rsid w:val="00533D51"/>
    <w:rsid w:val="00533DBC"/>
    <w:rsid w:val="00533EE6"/>
    <w:rsid w:val="00533F12"/>
    <w:rsid w:val="00533FEB"/>
    <w:rsid w:val="005342CC"/>
    <w:rsid w:val="0053438A"/>
    <w:rsid w:val="0053438B"/>
    <w:rsid w:val="00534466"/>
    <w:rsid w:val="005344D6"/>
    <w:rsid w:val="00534624"/>
    <w:rsid w:val="0053465B"/>
    <w:rsid w:val="0053476C"/>
    <w:rsid w:val="00534A69"/>
    <w:rsid w:val="00534B66"/>
    <w:rsid w:val="00534B99"/>
    <w:rsid w:val="00534CAE"/>
    <w:rsid w:val="00534D38"/>
    <w:rsid w:val="00534E39"/>
    <w:rsid w:val="0053508D"/>
    <w:rsid w:val="005350CA"/>
    <w:rsid w:val="005352E6"/>
    <w:rsid w:val="00535355"/>
    <w:rsid w:val="005353DF"/>
    <w:rsid w:val="00535448"/>
    <w:rsid w:val="00535535"/>
    <w:rsid w:val="00535678"/>
    <w:rsid w:val="005356F4"/>
    <w:rsid w:val="00535856"/>
    <w:rsid w:val="005358F0"/>
    <w:rsid w:val="00535918"/>
    <w:rsid w:val="00535921"/>
    <w:rsid w:val="005359D3"/>
    <w:rsid w:val="00535B1E"/>
    <w:rsid w:val="00535C21"/>
    <w:rsid w:val="00535C54"/>
    <w:rsid w:val="00535CC6"/>
    <w:rsid w:val="00535CE1"/>
    <w:rsid w:val="00535CE6"/>
    <w:rsid w:val="00535EB3"/>
    <w:rsid w:val="00535F57"/>
    <w:rsid w:val="0053605D"/>
    <w:rsid w:val="005360BD"/>
    <w:rsid w:val="005360F7"/>
    <w:rsid w:val="0053624E"/>
    <w:rsid w:val="00536475"/>
    <w:rsid w:val="00536563"/>
    <w:rsid w:val="005365C5"/>
    <w:rsid w:val="00536625"/>
    <w:rsid w:val="00536939"/>
    <w:rsid w:val="0053698E"/>
    <w:rsid w:val="00536A58"/>
    <w:rsid w:val="00536D83"/>
    <w:rsid w:val="00536F53"/>
    <w:rsid w:val="005371FC"/>
    <w:rsid w:val="00537202"/>
    <w:rsid w:val="0053728D"/>
    <w:rsid w:val="005372DF"/>
    <w:rsid w:val="00537336"/>
    <w:rsid w:val="00537467"/>
    <w:rsid w:val="0053746E"/>
    <w:rsid w:val="00537697"/>
    <w:rsid w:val="005378CE"/>
    <w:rsid w:val="0053797E"/>
    <w:rsid w:val="005379D2"/>
    <w:rsid w:val="00537A4E"/>
    <w:rsid w:val="00537AF3"/>
    <w:rsid w:val="00537B64"/>
    <w:rsid w:val="00537B8E"/>
    <w:rsid w:val="00537BD1"/>
    <w:rsid w:val="00537CB5"/>
    <w:rsid w:val="00537DB7"/>
    <w:rsid w:val="005400EE"/>
    <w:rsid w:val="005401A5"/>
    <w:rsid w:val="005402A4"/>
    <w:rsid w:val="005407A6"/>
    <w:rsid w:val="00540862"/>
    <w:rsid w:val="005409C8"/>
    <w:rsid w:val="00540B74"/>
    <w:rsid w:val="00540BC8"/>
    <w:rsid w:val="00540BF5"/>
    <w:rsid w:val="00540CF5"/>
    <w:rsid w:val="00540E9E"/>
    <w:rsid w:val="00540EF6"/>
    <w:rsid w:val="0054109A"/>
    <w:rsid w:val="005410E2"/>
    <w:rsid w:val="0054139C"/>
    <w:rsid w:val="005413AE"/>
    <w:rsid w:val="005415A7"/>
    <w:rsid w:val="00541903"/>
    <w:rsid w:val="00541963"/>
    <w:rsid w:val="00541A19"/>
    <w:rsid w:val="00542019"/>
    <w:rsid w:val="0054205E"/>
    <w:rsid w:val="00542187"/>
    <w:rsid w:val="0054221C"/>
    <w:rsid w:val="0054224E"/>
    <w:rsid w:val="00542384"/>
    <w:rsid w:val="0054241B"/>
    <w:rsid w:val="00542591"/>
    <w:rsid w:val="0054266F"/>
    <w:rsid w:val="00542788"/>
    <w:rsid w:val="005427DB"/>
    <w:rsid w:val="005427E0"/>
    <w:rsid w:val="00542836"/>
    <w:rsid w:val="005428D6"/>
    <w:rsid w:val="00542ACB"/>
    <w:rsid w:val="00542B58"/>
    <w:rsid w:val="00542C44"/>
    <w:rsid w:val="00542D22"/>
    <w:rsid w:val="00542D2E"/>
    <w:rsid w:val="00542D38"/>
    <w:rsid w:val="00542E44"/>
    <w:rsid w:val="00542F0E"/>
    <w:rsid w:val="00542FC9"/>
    <w:rsid w:val="0054322D"/>
    <w:rsid w:val="00543293"/>
    <w:rsid w:val="0054334C"/>
    <w:rsid w:val="00543518"/>
    <w:rsid w:val="0054353D"/>
    <w:rsid w:val="00543738"/>
    <w:rsid w:val="0054379C"/>
    <w:rsid w:val="005437CB"/>
    <w:rsid w:val="0054397E"/>
    <w:rsid w:val="00543A1F"/>
    <w:rsid w:val="00543BAB"/>
    <w:rsid w:val="00543C04"/>
    <w:rsid w:val="00543E13"/>
    <w:rsid w:val="00543FF1"/>
    <w:rsid w:val="005442D1"/>
    <w:rsid w:val="00544332"/>
    <w:rsid w:val="00544553"/>
    <w:rsid w:val="00544598"/>
    <w:rsid w:val="005445CF"/>
    <w:rsid w:val="005445F0"/>
    <w:rsid w:val="005445FA"/>
    <w:rsid w:val="00544611"/>
    <w:rsid w:val="0054465F"/>
    <w:rsid w:val="00544928"/>
    <w:rsid w:val="00544963"/>
    <w:rsid w:val="00544A18"/>
    <w:rsid w:val="00544A7A"/>
    <w:rsid w:val="00544AEB"/>
    <w:rsid w:val="00544BDA"/>
    <w:rsid w:val="00544CB4"/>
    <w:rsid w:val="00544DFE"/>
    <w:rsid w:val="00544EEB"/>
    <w:rsid w:val="00544F78"/>
    <w:rsid w:val="00545030"/>
    <w:rsid w:val="00545149"/>
    <w:rsid w:val="00545264"/>
    <w:rsid w:val="0054526D"/>
    <w:rsid w:val="00545321"/>
    <w:rsid w:val="005454B0"/>
    <w:rsid w:val="005456CE"/>
    <w:rsid w:val="00545712"/>
    <w:rsid w:val="00545727"/>
    <w:rsid w:val="00545737"/>
    <w:rsid w:val="00545798"/>
    <w:rsid w:val="00545855"/>
    <w:rsid w:val="005458F4"/>
    <w:rsid w:val="00545953"/>
    <w:rsid w:val="00545996"/>
    <w:rsid w:val="00545B07"/>
    <w:rsid w:val="00545CBF"/>
    <w:rsid w:val="00545CEE"/>
    <w:rsid w:val="00545E7D"/>
    <w:rsid w:val="00545FA7"/>
    <w:rsid w:val="0054604B"/>
    <w:rsid w:val="0054615E"/>
    <w:rsid w:val="005461C8"/>
    <w:rsid w:val="0054624F"/>
    <w:rsid w:val="00546476"/>
    <w:rsid w:val="00546484"/>
    <w:rsid w:val="0054666B"/>
    <w:rsid w:val="00546801"/>
    <w:rsid w:val="00546866"/>
    <w:rsid w:val="005469AC"/>
    <w:rsid w:val="005469DC"/>
    <w:rsid w:val="00546A7A"/>
    <w:rsid w:val="00546AD5"/>
    <w:rsid w:val="00546AF0"/>
    <w:rsid w:val="00546DF6"/>
    <w:rsid w:val="00546E16"/>
    <w:rsid w:val="00546E9A"/>
    <w:rsid w:val="00546F09"/>
    <w:rsid w:val="00546F33"/>
    <w:rsid w:val="00546F3C"/>
    <w:rsid w:val="00546F44"/>
    <w:rsid w:val="005470E6"/>
    <w:rsid w:val="005471B5"/>
    <w:rsid w:val="005472E6"/>
    <w:rsid w:val="0054731B"/>
    <w:rsid w:val="00547399"/>
    <w:rsid w:val="005476AA"/>
    <w:rsid w:val="005477A7"/>
    <w:rsid w:val="00547823"/>
    <w:rsid w:val="005479EB"/>
    <w:rsid w:val="00547A33"/>
    <w:rsid w:val="00547A5C"/>
    <w:rsid w:val="00547E00"/>
    <w:rsid w:val="00547E09"/>
    <w:rsid w:val="00547E28"/>
    <w:rsid w:val="00547E38"/>
    <w:rsid w:val="00547F7D"/>
    <w:rsid w:val="0055014A"/>
    <w:rsid w:val="005503CA"/>
    <w:rsid w:val="005504A9"/>
    <w:rsid w:val="0055056B"/>
    <w:rsid w:val="00550601"/>
    <w:rsid w:val="005506DC"/>
    <w:rsid w:val="0055071E"/>
    <w:rsid w:val="005508AC"/>
    <w:rsid w:val="0055092D"/>
    <w:rsid w:val="00550AD1"/>
    <w:rsid w:val="00550D03"/>
    <w:rsid w:val="00550D1B"/>
    <w:rsid w:val="00550EA4"/>
    <w:rsid w:val="00550FA8"/>
    <w:rsid w:val="0055100B"/>
    <w:rsid w:val="0055125C"/>
    <w:rsid w:val="005512B0"/>
    <w:rsid w:val="0055135F"/>
    <w:rsid w:val="0055151F"/>
    <w:rsid w:val="00551590"/>
    <w:rsid w:val="005515C2"/>
    <w:rsid w:val="005516FA"/>
    <w:rsid w:val="00551794"/>
    <w:rsid w:val="0055186B"/>
    <w:rsid w:val="00551A27"/>
    <w:rsid w:val="00551A71"/>
    <w:rsid w:val="00551B64"/>
    <w:rsid w:val="00551BB4"/>
    <w:rsid w:val="00551CAF"/>
    <w:rsid w:val="00551CB4"/>
    <w:rsid w:val="00551D02"/>
    <w:rsid w:val="00551D1C"/>
    <w:rsid w:val="00551E03"/>
    <w:rsid w:val="00552045"/>
    <w:rsid w:val="005520B6"/>
    <w:rsid w:val="00552227"/>
    <w:rsid w:val="0055232A"/>
    <w:rsid w:val="0055236F"/>
    <w:rsid w:val="005523DE"/>
    <w:rsid w:val="0055249B"/>
    <w:rsid w:val="0055262B"/>
    <w:rsid w:val="0055289F"/>
    <w:rsid w:val="00552A0C"/>
    <w:rsid w:val="00552A18"/>
    <w:rsid w:val="00552ABD"/>
    <w:rsid w:val="00552C42"/>
    <w:rsid w:val="00552CEC"/>
    <w:rsid w:val="00552D4E"/>
    <w:rsid w:val="00552D5C"/>
    <w:rsid w:val="005531A0"/>
    <w:rsid w:val="0055322A"/>
    <w:rsid w:val="00553606"/>
    <w:rsid w:val="00553664"/>
    <w:rsid w:val="005536E7"/>
    <w:rsid w:val="0055378D"/>
    <w:rsid w:val="005537F3"/>
    <w:rsid w:val="005538F6"/>
    <w:rsid w:val="00553A5F"/>
    <w:rsid w:val="00553AE8"/>
    <w:rsid w:val="00553D22"/>
    <w:rsid w:val="00553E02"/>
    <w:rsid w:val="00553F5A"/>
    <w:rsid w:val="0055408C"/>
    <w:rsid w:val="00554276"/>
    <w:rsid w:val="005542B8"/>
    <w:rsid w:val="00554417"/>
    <w:rsid w:val="00554421"/>
    <w:rsid w:val="0055443E"/>
    <w:rsid w:val="00554583"/>
    <w:rsid w:val="005545DA"/>
    <w:rsid w:val="0055470E"/>
    <w:rsid w:val="005549B1"/>
    <w:rsid w:val="00554AEA"/>
    <w:rsid w:val="00554DF3"/>
    <w:rsid w:val="00554EB8"/>
    <w:rsid w:val="00555090"/>
    <w:rsid w:val="00555115"/>
    <w:rsid w:val="00555275"/>
    <w:rsid w:val="0055539B"/>
    <w:rsid w:val="005553F1"/>
    <w:rsid w:val="005553FD"/>
    <w:rsid w:val="0055561A"/>
    <w:rsid w:val="00555623"/>
    <w:rsid w:val="00555798"/>
    <w:rsid w:val="0055583D"/>
    <w:rsid w:val="0055592C"/>
    <w:rsid w:val="00555D7D"/>
    <w:rsid w:val="00555E0D"/>
    <w:rsid w:val="00555E57"/>
    <w:rsid w:val="00555E92"/>
    <w:rsid w:val="00555F21"/>
    <w:rsid w:val="00555F72"/>
    <w:rsid w:val="00556030"/>
    <w:rsid w:val="00556183"/>
    <w:rsid w:val="005561CC"/>
    <w:rsid w:val="005563FE"/>
    <w:rsid w:val="005564D1"/>
    <w:rsid w:val="00556610"/>
    <w:rsid w:val="00556711"/>
    <w:rsid w:val="0055697C"/>
    <w:rsid w:val="00556A37"/>
    <w:rsid w:val="00556AFA"/>
    <w:rsid w:val="00556B04"/>
    <w:rsid w:val="00556B11"/>
    <w:rsid w:val="00556CF4"/>
    <w:rsid w:val="00556D4F"/>
    <w:rsid w:val="00556DC6"/>
    <w:rsid w:val="00556E0E"/>
    <w:rsid w:val="00556E3E"/>
    <w:rsid w:val="00556ED3"/>
    <w:rsid w:val="00556EE5"/>
    <w:rsid w:val="005572E1"/>
    <w:rsid w:val="0055749A"/>
    <w:rsid w:val="00557514"/>
    <w:rsid w:val="0055755C"/>
    <w:rsid w:val="005575D9"/>
    <w:rsid w:val="0055767A"/>
    <w:rsid w:val="005576FD"/>
    <w:rsid w:val="00557714"/>
    <w:rsid w:val="005578D6"/>
    <w:rsid w:val="00557BD3"/>
    <w:rsid w:val="00557C14"/>
    <w:rsid w:val="00557C79"/>
    <w:rsid w:val="00557CE7"/>
    <w:rsid w:val="00557FEE"/>
    <w:rsid w:val="00559D9F"/>
    <w:rsid w:val="00560095"/>
    <w:rsid w:val="00560226"/>
    <w:rsid w:val="00560345"/>
    <w:rsid w:val="005603CA"/>
    <w:rsid w:val="005603CC"/>
    <w:rsid w:val="00560438"/>
    <w:rsid w:val="005607BC"/>
    <w:rsid w:val="005607D0"/>
    <w:rsid w:val="00560B1F"/>
    <w:rsid w:val="00560C08"/>
    <w:rsid w:val="00560C4E"/>
    <w:rsid w:val="00560D0D"/>
    <w:rsid w:val="00560DFA"/>
    <w:rsid w:val="00560E51"/>
    <w:rsid w:val="00560F42"/>
    <w:rsid w:val="0056108B"/>
    <w:rsid w:val="0056114E"/>
    <w:rsid w:val="005611CB"/>
    <w:rsid w:val="005611E5"/>
    <w:rsid w:val="005612CF"/>
    <w:rsid w:val="00561373"/>
    <w:rsid w:val="00561544"/>
    <w:rsid w:val="00561721"/>
    <w:rsid w:val="005617CB"/>
    <w:rsid w:val="00561AD5"/>
    <w:rsid w:val="00561AD7"/>
    <w:rsid w:val="00561AE2"/>
    <w:rsid w:val="00561B4F"/>
    <w:rsid w:val="00561B5C"/>
    <w:rsid w:val="00561C73"/>
    <w:rsid w:val="00561F62"/>
    <w:rsid w:val="00561FBA"/>
    <w:rsid w:val="00561FC6"/>
    <w:rsid w:val="0056202E"/>
    <w:rsid w:val="005620D5"/>
    <w:rsid w:val="0056237D"/>
    <w:rsid w:val="005623B1"/>
    <w:rsid w:val="00562643"/>
    <w:rsid w:val="00562726"/>
    <w:rsid w:val="00562779"/>
    <w:rsid w:val="00562919"/>
    <w:rsid w:val="00562A51"/>
    <w:rsid w:val="00562BA0"/>
    <w:rsid w:val="00562C26"/>
    <w:rsid w:val="00562F36"/>
    <w:rsid w:val="00562FAA"/>
    <w:rsid w:val="005630BC"/>
    <w:rsid w:val="005631F6"/>
    <w:rsid w:val="00563274"/>
    <w:rsid w:val="005632DF"/>
    <w:rsid w:val="005632FD"/>
    <w:rsid w:val="0056335D"/>
    <w:rsid w:val="0056336F"/>
    <w:rsid w:val="0056354F"/>
    <w:rsid w:val="0056358E"/>
    <w:rsid w:val="005635A3"/>
    <w:rsid w:val="005635B2"/>
    <w:rsid w:val="005635C4"/>
    <w:rsid w:val="005637C7"/>
    <w:rsid w:val="00563D19"/>
    <w:rsid w:val="00563E5C"/>
    <w:rsid w:val="00563FD2"/>
    <w:rsid w:val="00564416"/>
    <w:rsid w:val="005644E0"/>
    <w:rsid w:val="0056456D"/>
    <w:rsid w:val="00564821"/>
    <w:rsid w:val="0056496F"/>
    <w:rsid w:val="00564A07"/>
    <w:rsid w:val="00564A44"/>
    <w:rsid w:val="00564A46"/>
    <w:rsid w:val="00564B0F"/>
    <w:rsid w:val="00564C38"/>
    <w:rsid w:val="00564CAD"/>
    <w:rsid w:val="005650DD"/>
    <w:rsid w:val="005651A1"/>
    <w:rsid w:val="0056530F"/>
    <w:rsid w:val="0056535B"/>
    <w:rsid w:val="0056543C"/>
    <w:rsid w:val="005655DA"/>
    <w:rsid w:val="005657EF"/>
    <w:rsid w:val="00565939"/>
    <w:rsid w:val="0056593C"/>
    <w:rsid w:val="00565968"/>
    <w:rsid w:val="00565E51"/>
    <w:rsid w:val="00565E5C"/>
    <w:rsid w:val="005660FC"/>
    <w:rsid w:val="00566306"/>
    <w:rsid w:val="00566309"/>
    <w:rsid w:val="005663A4"/>
    <w:rsid w:val="005663FB"/>
    <w:rsid w:val="005665C8"/>
    <w:rsid w:val="0056667C"/>
    <w:rsid w:val="005666AE"/>
    <w:rsid w:val="005667C4"/>
    <w:rsid w:val="005667CB"/>
    <w:rsid w:val="00566853"/>
    <w:rsid w:val="005668AA"/>
    <w:rsid w:val="005668C4"/>
    <w:rsid w:val="005668D7"/>
    <w:rsid w:val="005668FE"/>
    <w:rsid w:val="00566972"/>
    <w:rsid w:val="005669C0"/>
    <w:rsid w:val="00566BE8"/>
    <w:rsid w:val="00566C4D"/>
    <w:rsid w:val="00566D03"/>
    <w:rsid w:val="00566D1C"/>
    <w:rsid w:val="00566D6F"/>
    <w:rsid w:val="00566DA0"/>
    <w:rsid w:val="00566DE0"/>
    <w:rsid w:val="00566E13"/>
    <w:rsid w:val="00566FF3"/>
    <w:rsid w:val="005670CE"/>
    <w:rsid w:val="005671C8"/>
    <w:rsid w:val="00567655"/>
    <w:rsid w:val="00567700"/>
    <w:rsid w:val="00567773"/>
    <w:rsid w:val="005677A8"/>
    <w:rsid w:val="005679D3"/>
    <w:rsid w:val="00567A2E"/>
    <w:rsid w:val="00567A6D"/>
    <w:rsid w:val="00567D6C"/>
    <w:rsid w:val="00567DB2"/>
    <w:rsid w:val="00567E56"/>
    <w:rsid w:val="00567E9F"/>
    <w:rsid w:val="005702AC"/>
    <w:rsid w:val="0057032A"/>
    <w:rsid w:val="0057032E"/>
    <w:rsid w:val="00570399"/>
    <w:rsid w:val="005703EA"/>
    <w:rsid w:val="00570460"/>
    <w:rsid w:val="0057053E"/>
    <w:rsid w:val="00570640"/>
    <w:rsid w:val="005706A9"/>
    <w:rsid w:val="00570705"/>
    <w:rsid w:val="0057081C"/>
    <w:rsid w:val="00570A5B"/>
    <w:rsid w:val="00570B4A"/>
    <w:rsid w:val="00570C07"/>
    <w:rsid w:val="00570E10"/>
    <w:rsid w:val="00570FAD"/>
    <w:rsid w:val="00570FB9"/>
    <w:rsid w:val="00571344"/>
    <w:rsid w:val="00571497"/>
    <w:rsid w:val="00571498"/>
    <w:rsid w:val="005714AF"/>
    <w:rsid w:val="00571606"/>
    <w:rsid w:val="005716A8"/>
    <w:rsid w:val="00571736"/>
    <w:rsid w:val="005717C9"/>
    <w:rsid w:val="00571BB3"/>
    <w:rsid w:val="00571BDD"/>
    <w:rsid w:val="00571C2E"/>
    <w:rsid w:val="00571C8A"/>
    <w:rsid w:val="00571F21"/>
    <w:rsid w:val="005721B7"/>
    <w:rsid w:val="00572294"/>
    <w:rsid w:val="005723D3"/>
    <w:rsid w:val="005724E2"/>
    <w:rsid w:val="00572523"/>
    <w:rsid w:val="00572589"/>
    <w:rsid w:val="005725FB"/>
    <w:rsid w:val="005726DD"/>
    <w:rsid w:val="0057286A"/>
    <w:rsid w:val="00572934"/>
    <w:rsid w:val="00572948"/>
    <w:rsid w:val="00572996"/>
    <w:rsid w:val="005729B3"/>
    <w:rsid w:val="00572C5F"/>
    <w:rsid w:val="00572C68"/>
    <w:rsid w:val="00572C6F"/>
    <w:rsid w:val="00572E2C"/>
    <w:rsid w:val="00573080"/>
    <w:rsid w:val="005731CC"/>
    <w:rsid w:val="005732E6"/>
    <w:rsid w:val="00573370"/>
    <w:rsid w:val="005735C1"/>
    <w:rsid w:val="00573657"/>
    <w:rsid w:val="00573695"/>
    <w:rsid w:val="005738B6"/>
    <w:rsid w:val="005738D7"/>
    <w:rsid w:val="005739DF"/>
    <w:rsid w:val="005739E9"/>
    <w:rsid w:val="00573B4E"/>
    <w:rsid w:val="00573D58"/>
    <w:rsid w:val="00573EDC"/>
    <w:rsid w:val="005740D2"/>
    <w:rsid w:val="00574289"/>
    <w:rsid w:val="005742F2"/>
    <w:rsid w:val="005744B6"/>
    <w:rsid w:val="005748FB"/>
    <w:rsid w:val="0057498A"/>
    <w:rsid w:val="0057498D"/>
    <w:rsid w:val="005749AC"/>
    <w:rsid w:val="005749D8"/>
    <w:rsid w:val="00574A47"/>
    <w:rsid w:val="00574A7F"/>
    <w:rsid w:val="00574D8A"/>
    <w:rsid w:val="00574FB3"/>
    <w:rsid w:val="00574FC7"/>
    <w:rsid w:val="0057505A"/>
    <w:rsid w:val="0057513F"/>
    <w:rsid w:val="0057519A"/>
    <w:rsid w:val="00575227"/>
    <w:rsid w:val="005752D8"/>
    <w:rsid w:val="00575415"/>
    <w:rsid w:val="005754E5"/>
    <w:rsid w:val="00575584"/>
    <w:rsid w:val="005755B1"/>
    <w:rsid w:val="005755E5"/>
    <w:rsid w:val="00575668"/>
    <w:rsid w:val="005758EA"/>
    <w:rsid w:val="00575919"/>
    <w:rsid w:val="00575BF2"/>
    <w:rsid w:val="00575C80"/>
    <w:rsid w:val="00575CA8"/>
    <w:rsid w:val="00575E71"/>
    <w:rsid w:val="00575E7A"/>
    <w:rsid w:val="00575EB3"/>
    <w:rsid w:val="00575EB5"/>
    <w:rsid w:val="00575ED2"/>
    <w:rsid w:val="00575F51"/>
    <w:rsid w:val="00575F71"/>
    <w:rsid w:val="00576144"/>
    <w:rsid w:val="00576335"/>
    <w:rsid w:val="0057638E"/>
    <w:rsid w:val="005763E2"/>
    <w:rsid w:val="005764CC"/>
    <w:rsid w:val="005764EF"/>
    <w:rsid w:val="005767BC"/>
    <w:rsid w:val="00576B53"/>
    <w:rsid w:val="00576C08"/>
    <w:rsid w:val="00576C1A"/>
    <w:rsid w:val="00576E7B"/>
    <w:rsid w:val="00576EAA"/>
    <w:rsid w:val="00576F95"/>
    <w:rsid w:val="0057701B"/>
    <w:rsid w:val="00577180"/>
    <w:rsid w:val="0057721C"/>
    <w:rsid w:val="00577477"/>
    <w:rsid w:val="00577544"/>
    <w:rsid w:val="00577565"/>
    <w:rsid w:val="00577576"/>
    <w:rsid w:val="005776BC"/>
    <w:rsid w:val="005776D9"/>
    <w:rsid w:val="0057770C"/>
    <w:rsid w:val="00577882"/>
    <w:rsid w:val="00577A66"/>
    <w:rsid w:val="00577AF3"/>
    <w:rsid w:val="00577BF7"/>
    <w:rsid w:val="00577C2C"/>
    <w:rsid w:val="00577CE2"/>
    <w:rsid w:val="00577EDF"/>
    <w:rsid w:val="00577F76"/>
    <w:rsid w:val="00577F83"/>
    <w:rsid w:val="005800CF"/>
    <w:rsid w:val="005800D6"/>
    <w:rsid w:val="005801F8"/>
    <w:rsid w:val="005805B2"/>
    <w:rsid w:val="005806CC"/>
    <w:rsid w:val="005806E2"/>
    <w:rsid w:val="00580A68"/>
    <w:rsid w:val="00580D6B"/>
    <w:rsid w:val="00580D84"/>
    <w:rsid w:val="00580DC7"/>
    <w:rsid w:val="00580DF2"/>
    <w:rsid w:val="00580EA8"/>
    <w:rsid w:val="00581171"/>
    <w:rsid w:val="005813EB"/>
    <w:rsid w:val="0058140A"/>
    <w:rsid w:val="0058160E"/>
    <w:rsid w:val="005816DC"/>
    <w:rsid w:val="005817B9"/>
    <w:rsid w:val="005817C3"/>
    <w:rsid w:val="00581989"/>
    <w:rsid w:val="00581ADC"/>
    <w:rsid w:val="00581B25"/>
    <w:rsid w:val="00581BE9"/>
    <w:rsid w:val="00581C12"/>
    <w:rsid w:val="00581D2E"/>
    <w:rsid w:val="00581DA0"/>
    <w:rsid w:val="00581F8B"/>
    <w:rsid w:val="00581FBA"/>
    <w:rsid w:val="00582178"/>
    <w:rsid w:val="00582214"/>
    <w:rsid w:val="00582266"/>
    <w:rsid w:val="0058229C"/>
    <w:rsid w:val="005822C7"/>
    <w:rsid w:val="00582343"/>
    <w:rsid w:val="0058247C"/>
    <w:rsid w:val="005826C1"/>
    <w:rsid w:val="005826C5"/>
    <w:rsid w:val="0058275C"/>
    <w:rsid w:val="00582AD8"/>
    <w:rsid w:val="00582C06"/>
    <w:rsid w:val="00582DA1"/>
    <w:rsid w:val="0058305E"/>
    <w:rsid w:val="005832BE"/>
    <w:rsid w:val="005833CE"/>
    <w:rsid w:val="005833EE"/>
    <w:rsid w:val="00583474"/>
    <w:rsid w:val="00583565"/>
    <w:rsid w:val="0058360C"/>
    <w:rsid w:val="0058378D"/>
    <w:rsid w:val="00583AC4"/>
    <w:rsid w:val="00583C3C"/>
    <w:rsid w:val="00583C77"/>
    <w:rsid w:val="00583F80"/>
    <w:rsid w:val="00583F93"/>
    <w:rsid w:val="00584138"/>
    <w:rsid w:val="0058415E"/>
    <w:rsid w:val="00584299"/>
    <w:rsid w:val="005845A1"/>
    <w:rsid w:val="00584744"/>
    <w:rsid w:val="00584790"/>
    <w:rsid w:val="005847E2"/>
    <w:rsid w:val="00584912"/>
    <w:rsid w:val="00584959"/>
    <w:rsid w:val="00584965"/>
    <w:rsid w:val="00584C83"/>
    <w:rsid w:val="00584D54"/>
    <w:rsid w:val="00584D8C"/>
    <w:rsid w:val="00584DDB"/>
    <w:rsid w:val="00584E59"/>
    <w:rsid w:val="00584EAD"/>
    <w:rsid w:val="00584FE2"/>
    <w:rsid w:val="005851EE"/>
    <w:rsid w:val="005853D0"/>
    <w:rsid w:val="00585420"/>
    <w:rsid w:val="00585591"/>
    <w:rsid w:val="00585666"/>
    <w:rsid w:val="00585901"/>
    <w:rsid w:val="00585A03"/>
    <w:rsid w:val="00585A5B"/>
    <w:rsid w:val="00585A5E"/>
    <w:rsid w:val="00585AD0"/>
    <w:rsid w:val="00585CA3"/>
    <w:rsid w:val="00585DEC"/>
    <w:rsid w:val="00585E47"/>
    <w:rsid w:val="00585E6A"/>
    <w:rsid w:val="00585EC4"/>
    <w:rsid w:val="005861C2"/>
    <w:rsid w:val="0058629D"/>
    <w:rsid w:val="0058633D"/>
    <w:rsid w:val="0058653B"/>
    <w:rsid w:val="0058668D"/>
    <w:rsid w:val="005866F5"/>
    <w:rsid w:val="00586820"/>
    <w:rsid w:val="00586868"/>
    <w:rsid w:val="00586875"/>
    <w:rsid w:val="0058692B"/>
    <w:rsid w:val="00586A5A"/>
    <w:rsid w:val="00586AA0"/>
    <w:rsid w:val="00586BC5"/>
    <w:rsid w:val="00586BE2"/>
    <w:rsid w:val="00586C34"/>
    <w:rsid w:val="00586C5C"/>
    <w:rsid w:val="00586CE0"/>
    <w:rsid w:val="00586D0C"/>
    <w:rsid w:val="00586D70"/>
    <w:rsid w:val="00586E6C"/>
    <w:rsid w:val="00586E86"/>
    <w:rsid w:val="00586ED0"/>
    <w:rsid w:val="00586F22"/>
    <w:rsid w:val="00586F2C"/>
    <w:rsid w:val="00586F8D"/>
    <w:rsid w:val="005870C8"/>
    <w:rsid w:val="00587111"/>
    <w:rsid w:val="005874B5"/>
    <w:rsid w:val="00587527"/>
    <w:rsid w:val="00587647"/>
    <w:rsid w:val="0058786A"/>
    <w:rsid w:val="00587900"/>
    <w:rsid w:val="0058790D"/>
    <w:rsid w:val="0058792C"/>
    <w:rsid w:val="00587971"/>
    <w:rsid w:val="00587AD6"/>
    <w:rsid w:val="00587B04"/>
    <w:rsid w:val="00587C0C"/>
    <w:rsid w:val="00587DFE"/>
    <w:rsid w:val="00587EF5"/>
    <w:rsid w:val="00587F2D"/>
    <w:rsid w:val="00587F8B"/>
    <w:rsid w:val="0059010C"/>
    <w:rsid w:val="0059022A"/>
    <w:rsid w:val="00590308"/>
    <w:rsid w:val="00590364"/>
    <w:rsid w:val="00590481"/>
    <w:rsid w:val="005904AF"/>
    <w:rsid w:val="00590575"/>
    <w:rsid w:val="005907A4"/>
    <w:rsid w:val="005909F8"/>
    <w:rsid w:val="00590BF5"/>
    <w:rsid w:val="00590C43"/>
    <w:rsid w:val="00590C91"/>
    <w:rsid w:val="00590D04"/>
    <w:rsid w:val="00590D3C"/>
    <w:rsid w:val="005910F0"/>
    <w:rsid w:val="00591170"/>
    <w:rsid w:val="00591291"/>
    <w:rsid w:val="00591542"/>
    <w:rsid w:val="00591554"/>
    <w:rsid w:val="005916AF"/>
    <w:rsid w:val="00591738"/>
    <w:rsid w:val="0059176A"/>
    <w:rsid w:val="005918A4"/>
    <w:rsid w:val="005918BE"/>
    <w:rsid w:val="00591949"/>
    <w:rsid w:val="0059197D"/>
    <w:rsid w:val="00591A07"/>
    <w:rsid w:val="00591A15"/>
    <w:rsid w:val="00591A1C"/>
    <w:rsid w:val="00591A43"/>
    <w:rsid w:val="00591C9F"/>
    <w:rsid w:val="00591E1A"/>
    <w:rsid w:val="00591E44"/>
    <w:rsid w:val="005921DD"/>
    <w:rsid w:val="0059229D"/>
    <w:rsid w:val="00592365"/>
    <w:rsid w:val="005924D8"/>
    <w:rsid w:val="0059255F"/>
    <w:rsid w:val="005925C2"/>
    <w:rsid w:val="005928E0"/>
    <w:rsid w:val="00592A60"/>
    <w:rsid w:val="00592AE0"/>
    <w:rsid w:val="00592D1D"/>
    <w:rsid w:val="00592D99"/>
    <w:rsid w:val="00592E6C"/>
    <w:rsid w:val="00592F10"/>
    <w:rsid w:val="00592F6C"/>
    <w:rsid w:val="005933B5"/>
    <w:rsid w:val="00593540"/>
    <w:rsid w:val="005936A7"/>
    <w:rsid w:val="0059385A"/>
    <w:rsid w:val="0059386B"/>
    <w:rsid w:val="005939E9"/>
    <w:rsid w:val="00593A55"/>
    <w:rsid w:val="00593C32"/>
    <w:rsid w:val="00593CD6"/>
    <w:rsid w:val="00593F81"/>
    <w:rsid w:val="00594067"/>
    <w:rsid w:val="005940A7"/>
    <w:rsid w:val="0059428C"/>
    <w:rsid w:val="00594312"/>
    <w:rsid w:val="005943D3"/>
    <w:rsid w:val="005944C6"/>
    <w:rsid w:val="005944FD"/>
    <w:rsid w:val="00594562"/>
    <w:rsid w:val="00594687"/>
    <w:rsid w:val="0059496A"/>
    <w:rsid w:val="00594A13"/>
    <w:rsid w:val="00594BD3"/>
    <w:rsid w:val="00594D1F"/>
    <w:rsid w:val="00594D34"/>
    <w:rsid w:val="00594DF1"/>
    <w:rsid w:val="00594FA7"/>
    <w:rsid w:val="00595062"/>
    <w:rsid w:val="00595244"/>
    <w:rsid w:val="005953C4"/>
    <w:rsid w:val="005954BA"/>
    <w:rsid w:val="005954CB"/>
    <w:rsid w:val="0059551B"/>
    <w:rsid w:val="005957A8"/>
    <w:rsid w:val="0059588D"/>
    <w:rsid w:val="00595897"/>
    <w:rsid w:val="00595905"/>
    <w:rsid w:val="00595960"/>
    <w:rsid w:val="00595A2D"/>
    <w:rsid w:val="00595B1B"/>
    <w:rsid w:val="00595C04"/>
    <w:rsid w:val="00595D9E"/>
    <w:rsid w:val="00595E80"/>
    <w:rsid w:val="00595F3D"/>
    <w:rsid w:val="00595F94"/>
    <w:rsid w:val="00595FE1"/>
    <w:rsid w:val="005961DB"/>
    <w:rsid w:val="005962D7"/>
    <w:rsid w:val="005962DD"/>
    <w:rsid w:val="005963B6"/>
    <w:rsid w:val="00596553"/>
    <w:rsid w:val="005965F7"/>
    <w:rsid w:val="00596650"/>
    <w:rsid w:val="00596738"/>
    <w:rsid w:val="00596786"/>
    <w:rsid w:val="00596836"/>
    <w:rsid w:val="0059691B"/>
    <w:rsid w:val="005969A8"/>
    <w:rsid w:val="005969D3"/>
    <w:rsid w:val="00596A4D"/>
    <w:rsid w:val="00596AE9"/>
    <w:rsid w:val="00596BAA"/>
    <w:rsid w:val="00596CF8"/>
    <w:rsid w:val="00596D88"/>
    <w:rsid w:val="00596DB9"/>
    <w:rsid w:val="00596ED3"/>
    <w:rsid w:val="00596F53"/>
    <w:rsid w:val="0059706C"/>
    <w:rsid w:val="00597435"/>
    <w:rsid w:val="00597535"/>
    <w:rsid w:val="00597618"/>
    <w:rsid w:val="0059768D"/>
    <w:rsid w:val="005976B7"/>
    <w:rsid w:val="0059773B"/>
    <w:rsid w:val="005977EA"/>
    <w:rsid w:val="0059783C"/>
    <w:rsid w:val="00597840"/>
    <w:rsid w:val="005979CF"/>
    <w:rsid w:val="00597A26"/>
    <w:rsid w:val="00597A3B"/>
    <w:rsid w:val="00597ADF"/>
    <w:rsid w:val="00597D14"/>
    <w:rsid w:val="00597EBF"/>
    <w:rsid w:val="005A005F"/>
    <w:rsid w:val="005A0075"/>
    <w:rsid w:val="005A00C5"/>
    <w:rsid w:val="005A0187"/>
    <w:rsid w:val="005A01A6"/>
    <w:rsid w:val="005A0338"/>
    <w:rsid w:val="005A0389"/>
    <w:rsid w:val="005A03A2"/>
    <w:rsid w:val="005A0409"/>
    <w:rsid w:val="005A0466"/>
    <w:rsid w:val="005A04C6"/>
    <w:rsid w:val="005A055E"/>
    <w:rsid w:val="005A0584"/>
    <w:rsid w:val="005A058D"/>
    <w:rsid w:val="005A0596"/>
    <w:rsid w:val="005A05A4"/>
    <w:rsid w:val="005A05BA"/>
    <w:rsid w:val="005A078D"/>
    <w:rsid w:val="005A07A3"/>
    <w:rsid w:val="005A07E5"/>
    <w:rsid w:val="005A0903"/>
    <w:rsid w:val="005A09AE"/>
    <w:rsid w:val="005A0A41"/>
    <w:rsid w:val="005A0BF0"/>
    <w:rsid w:val="005A0CDC"/>
    <w:rsid w:val="005A0D5C"/>
    <w:rsid w:val="005A0DBF"/>
    <w:rsid w:val="005A0DE3"/>
    <w:rsid w:val="005A0E10"/>
    <w:rsid w:val="005A112E"/>
    <w:rsid w:val="005A11B2"/>
    <w:rsid w:val="005A132A"/>
    <w:rsid w:val="005A133A"/>
    <w:rsid w:val="005A1454"/>
    <w:rsid w:val="005A14B6"/>
    <w:rsid w:val="005A1533"/>
    <w:rsid w:val="005A153E"/>
    <w:rsid w:val="005A1754"/>
    <w:rsid w:val="005A17E7"/>
    <w:rsid w:val="005A19D0"/>
    <w:rsid w:val="005A1AD6"/>
    <w:rsid w:val="005A1B14"/>
    <w:rsid w:val="005A1CAA"/>
    <w:rsid w:val="005A1E0F"/>
    <w:rsid w:val="005A1E40"/>
    <w:rsid w:val="005A1EEC"/>
    <w:rsid w:val="005A1EFA"/>
    <w:rsid w:val="005A1F2A"/>
    <w:rsid w:val="005A1F4F"/>
    <w:rsid w:val="005A1FF7"/>
    <w:rsid w:val="005A200D"/>
    <w:rsid w:val="005A216B"/>
    <w:rsid w:val="005A21AB"/>
    <w:rsid w:val="005A22E8"/>
    <w:rsid w:val="005A233A"/>
    <w:rsid w:val="005A2475"/>
    <w:rsid w:val="005A264A"/>
    <w:rsid w:val="005A27B0"/>
    <w:rsid w:val="005A27B4"/>
    <w:rsid w:val="005A2827"/>
    <w:rsid w:val="005A28B7"/>
    <w:rsid w:val="005A2A6C"/>
    <w:rsid w:val="005A2A88"/>
    <w:rsid w:val="005A2B6A"/>
    <w:rsid w:val="005A2BAC"/>
    <w:rsid w:val="005A2CE5"/>
    <w:rsid w:val="005A2E98"/>
    <w:rsid w:val="005A317F"/>
    <w:rsid w:val="005A319B"/>
    <w:rsid w:val="005A31E9"/>
    <w:rsid w:val="005A32B2"/>
    <w:rsid w:val="005A34D1"/>
    <w:rsid w:val="005A34E9"/>
    <w:rsid w:val="005A3505"/>
    <w:rsid w:val="005A3534"/>
    <w:rsid w:val="005A3547"/>
    <w:rsid w:val="005A3551"/>
    <w:rsid w:val="005A387E"/>
    <w:rsid w:val="005A390E"/>
    <w:rsid w:val="005A398F"/>
    <w:rsid w:val="005A3C47"/>
    <w:rsid w:val="005A3D82"/>
    <w:rsid w:val="005A3DCF"/>
    <w:rsid w:val="005A402C"/>
    <w:rsid w:val="005A4039"/>
    <w:rsid w:val="005A425A"/>
    <w:rsid w:val="005A4364"/>
    <w:rsid w:val="005A4396"/>
    <w:rsid w:val="005A4443"/>
    <w:rsid w:val="005A4542"/>
    <w:rsid w:val="005A456B"/>
    <w:rsid w:val="005A4594"/>
    <w:rsid w:val="005A485C"/>
    <w:rsid w:val="005A48F2"/>
    <w:rsid w:val="005A48F3"/>
    <w:rsid w:val="005A490B"/>
    <w:rsid w:val="005A4D9F"/>
    <w:rsid w:val="005A5163"/>
    <w:rsid w:val="005A5401"/>
    <w:rsid w:val="005A5611"/>
    <w:rsid w:val="005A56CC"/>
    <w:rsid w:val="005A5901"/>
    <w:rsid w:val="005A5912"/>
    <w:rsid w:val="005A5951"/>
    <w:rsid w:val="005A5B08"/>
    <w:rsid w:val="005A5C74"/>
    <w:rsid w:val="005A5C89"/>
    <w:rsid w:val="005A5CDA"/>
    <w:rsid w:val="005A5D64"/>
    <w:rsid w:val="005A5DA6"/>
    <w:rsid w:val="005A5E63"/>
    <w:rsid w:val="005A5E7E"/>
    <w:rsid w:val="005A5EBF"/>
    <w:rsid w:val="005A5EF5"/>
    <w:rsid w:val="005A60B0"/>
    <w:rsid w:val="005A621D"/>
    <w:rsid w:val="005A623A"/>
    <w:rsid w:val="005A62A3"/>
    <w:rsid w:val="005A6515"/>
    <w:rsid w:val="005A6596"/>
    <w:rsid w:val="005A6640"/>
    <w:rsid w:val="005A670A"/>
    <w:rsid w:val="005A6737"/>
    <w:rsid w:val="005A67A5"/>
    <w:rsid w:val="005A682E"/>
    <w:rsid w:val="005A6932"/>
    <w:rsid w:val="005A6955"/>
    <w:rsid w:val="005A69AD"/>
    <w:rsid w:val="005A69F8"/>
    <w:rsid w:val="005A6A9C"/>
    <w:rsid w:val="005A6BAC"/>
    <w:rsid w:val="005A6D76"/>
    <w:rsid w:val="005A6EB3"/>
    <w:rsid w:val="005A6EEC"/>
    <w:rsid w:val="005A6F8F"/>
    <w:rsid w:val="005A6FD1"/>
    <w:rsid w:val="005A74FB"/>
    <w:rsid w:val="005A7576"/>
    <w:rsid w:val="005A7599"/>
    <w:rsid w:val="005A7611"/>
    <w:rsid w:val="005A764B"/>
    <w:rsid w:val="005A76B0"/>
    <w:rsid w:val="005A76E3"/>
    <w:rsid w:val="005A7777"/>
    <w:rsid w:val="005A7A70"/>
    <w:rsid w:val="005A7AF5"/>
    <w:rsid w:val="005A7C02"/>
    <w:rsid w:val="005A7E8D"/>
    <w:rsid w:val="005B0086"/>
    <w:rsid w:val="005B00A2"/>
    <w:rsid w:val="005B0143"/>
    <w:rsid w:val="005B0297"/>
    <w:rsid w:val="005B03E0"/>
    <w:rsid w:val="005B0600"/>
    <w:rsid w:val="005B07D7"/>
    <w:rsid w:val="005B08B9"/>
    <w:rsid w:val="005B096C"/>
    <w:rsid w:val="005B0B09"/>
    <w:rsid w:val="005B0C63"/>
    <w:rsid w:val="005B0CA2"/>
    <w:rsid w:val="005B0DDC"/>
    <w:rsid w:val="005B142D"/>
    <w:rsid w:val="005B146F"/>
    <w:rsid w:val="005B1595"/>
    <w:rsid w:val="005B182C"/>
    <w:rsid w:val="005B18D4"/>
    <w:rsid w:val="005B1A4F"/>
    <w:rsid w:val="005B1A68"/>
    <w:rsid w:val="005B1D36"/>
    <w:rsid w:val="005B224A"/>
    <w:rsid w:val="005B234B"/>
    <w:rsid w:val="005B246A"/>
    <w:rsid w:val="005B259C"/>
    <w:rsid w:val="005B25AA"/>
    <w:rsid w:val="005B264A"/>
    <w:rsid w:val="005B26E6"/>
    <w:rsid w:val="005B2737"/>
    <w:rsid w:val="005B275E"/>
    <w:rsid w:val="005B2803"/>
    <w:rsid w:val="005B2809"/>
    <w:rsid w:val="005B287F"/>
    <w:rsid w:val="005B2983"/>
    <w:rsid w:val="005B2A47"/>
    <w:rsid w:val="005B2B2F"/>
    <w:rsid w:val="005B2FB2"/>
    <w:rsid w:val="005B31A7"/>
    <w:rsid w:val="005B31EC"/>
    <w:rsid w:val="005B37BB"/>
    <w:rsid w:val="005B382E"/>
    <w:rsid w:val="005B392D"/>
    <w:rsid w:val="005B394F"/>
    <w:rsid w:val="005B3ABE"/>
    <w:rsid w:val="005B3B0E"/>
    <w:rsid w:val="005B3C2F"/>
    <w:rsid w:val="005B3D1C"/>
    <w:rsid w:val="005B3F4F"/>
    <w:rsid w:val="005B4074"/>
    <w:rsid w:val="005B4094"/>
    <w:rsid w:val="005B411E"/>
    <w:rsid w:val="005B4122"/>
    <w:rsid w:val="005B4339"/>
    <w:rsid w:val="005B4378"/>
    <w:rsid w:val="005B4478"/>
    <w:rsid w:val="005B4616"/>
    <w:rsid w:val="005B467E"/>
    <w:rsid w:val="005B4730"/>
    <w:rsid w:val="005B48A5"/>
    <w:rsid w:val="005B48B1"/>
    <w:rsid w:val="005B48BB"/>
    <w:rsid w:val="005B4962"/>
    <w:rsid w:val="005B4A06"/>
    <w:rsid w:val="005B4A3D"/>
    <w:rsid w:val="005B4AF1"/>
    <w:rsid w:val="005B4BC8"/>
    <w:rsid w:val="005B4CA7"/>
    <w:rsid w:val="005B4D58"/>
    <w:rsid w:val="005B4E2F"/>
    <w:rsid w:val="005B4E40"/>
    <w:rsid w:val="005B4EE0"/>
    <w:rsid w:val="005B4FB2"/>
    <w:rsid w:val="005B5051"/>
    <w:rsid w:val="005B51CE"/>
    <w:rsid w:val="005B520E"/>
    <w:rsid w:val="005B5395"/>
    <w:rsid w:val="005B539C"/>
    <w:rsid w:val="005B550E"/>
    <w:rsid w:val="005B56CF"/>
    <w:rsid w:val="005B5948"/>
    <w:rsid w:val="005B5C58"/>
    <w:rsid w:val="005B5CA2"/>
    <w:rsid w:val="005B5D2F"/>
    <w:rsid w:val="005B62E5"/>
    <w:rsid w:val="005B6335"/>
    <w:rsid w:val="005B643F"/>
    <w:rsid w:val="005B646E"/>
    <w:rsid w:val="005B6488"/>
    <w:rsid w:val="005B651E"/>
    <w:rsid w:val="005B653E"/>
    <w:rsid w:val="005B65A0"/>
    <w:rsid w:val="005B65FF"/>
    <w:rsid w:val="005B6748"/>
    <w:rsid w:val="005B67B0"/>
    <w:rsid w:val="005B6A6F"/>
    <w:rsid w:val="005B6BA8"/>
    <w:rsid w:val="005B6BE0"/>
    <w:rsid w:val="005B6C2F"/>
    <w:rsid w:val="005B6C90"/>
    <w:rsid w:val="005B6CE7"/>
    <w:rsid w:val="005B6D59"/>
    <w:rsid w:val="005B6E10"/>
    <w:rsid w:val="005B7061"/>
    <w:rsid w:val="005B72B6"/>
    <w:rsid w:val="005B74C4"/>
    <w:rsid w:val="005B771F"/>
    <w:rsid w:val="005B773A"/>
    <w:rsid w:val="005B7815"/>
    <w:rsid w:val="005B793A"/>
    <w:rsid w:val="005B79AA"/>
    <w:rsid w:val="005B79E9"/>
    <w:rsid w:val="005B7B8E"/>
    <w:rsid w:val="005B7C0B"/>
    <w:rsid w:val="005B7D5C"/>
    <w:rsid w:val="005B7E61"/>
    <w:rsid w:val="005C0036"/>
    <w:rsid w:val="005C016B"/>
    <w:rsid w:val="005C01E9"/>
    <w:rsid w:val="005C04C8"/>
    <w:rsid w:val="005C0525"/>
    <w:rsid w:val="005C05DF"/>
    <w:rsid w:val="005C06DE"/>
    <w:rsid w:val="005C07CE"/>
    <w:rsid w:val="005C0AAC"/>
    <w:rsid w:val="005C0CD2"/>
    <w:rsid w:val="005C0D73"/>
    <w:rsid w:val="005C0E26"/>
    <w:rsid w:val="005C115A"/>
    <w:rsid w:val="005C119A"/>
    <w:rsid w:val="005C13B7"/>
    <w:rsid w:val="005C15F7"/>
    <w:rsid w:val="005C16CC"/>
    <w:rsid w:val="005C17CB"/>
    <w:rsid w:val="005C1898"/>
    <w:rsid w:val="005C18B4"/>
    <w:rsid w:val="005C1A12"/>
    <w:rsid w:val="005C1ACE"/>
    <w:rsid w:val="005C1DEE"/>
    <w:rsid w:val="005C2066"/>
    <w:rsid w:val="005C21B4"/>
    <w:rsid w:val="005C21B6"/>
    <w:rsid w:val="005C21F0"/>
    <w:rsid w:val="005C23B9"/>
    <w:rsid w:val="005C2478"/>
    <w:rsid w:val="005C253D"/>
    <w:rsid w:val="005C254D"/>
    <w:rsid w:val="005C29FC"/>
    <w:rsid w:val="005C2C80"/>
    <w:rsid w:val="005C2C89"/>
    <w:rsid w:val="005C2CCF"/>
    <w:rsid w:val="005C2EDE"/>
    <w:rsid w:val="005C2EEF"/>
    <w:rsid w:val="005C3085"/>
    <w:rsid w:val="005C30AE"/>
    <w:rsid w:val="005C318D"/>
    <w:rsid w:val="005C320B"/>
    <w:rsid w:val="005C3623"/>
    <w:rsid w:val="005C367B"/>
    <w:rsid w:val="005C3702"/>
    <w:rsid w:val="005C37EF"/>
    <w:rsid w:val="005C3819"/>
    <w:rsid w:val="005C38BA"/>
    <w:rsid w:val="005C3CD9"/>
    <w:rsid w:val="005C3DBA"/>
    <w:rsid w:val="005C443C"/>
    <w:rsid w:val="005C45A0"/>
    <w:rsid w:val="005C4662"/>
    <w:rsid w:val="005C47B8"/>
    <w:rsid w:val="005C4900"/>
    <w:rsid w:val="005C4989"/>
    <w:rsid w:val="005C4BDF"/>
    <w:rsid w:val="005C4C62"/>
    <w:rsid w:val="005C4E90"/>
    <w:rsid w:val="005C4EBB"/>
    <w:rsid w:val="005C4F7D"/>
    <w:rsid w:val="005C4FB0"/>
    <w:rsid w:val="005C50C8"/>
    <w:rsid w:val="005C519D"/>
    <w:rsid w:val="005C51C1"/>
    <w:rsid w:val="005C52A7"/>
    <w:rsid w:val="005C52B8"/>
    <w:rsid w:val="005C5309"/>
    <w:rsid w:val="005C53F5"/>
    <w:rsid w:val="005C54B4"/>
    <w:rsid w:val="005C5524"/>
    <w:rsid w:val="005C56C1"/>
    <w:rsid w:val="005C574C"/>
    <w:rsid w:val="005C5B82"/>
    <w:rsid w:val="005C5D4A"/>
    <w:rsid w:val="005C5D92"/>
    <w:rsid w:val="005C5DE9"/>
    <w:rsid w:val="005C5E05"/>
    <w:rsid w:val="005C607F"/>
    <w:rsid w:val="005C64CD"/>
    <w:rsid w:val="005C64F1"/>
    <w:rsid w:val="005C653D"/>
    <w:rsid w:val="005C65D6"/>
    <w:rsid w:val="005C66FD"/>
    <w:rsid w:val="005C675D"/>
    <w:rsid w:val="005C67BD"/>
    <w:rsid w:val="005C6912"/>
    <w:rsid w:val="005C691F"/>
    <w:rsid w:val="005C693C"/>
    <w:rsid w:val="005C6A14"/>
    <w:rsid w:val="005C6A6F"/>
    <w:rsid w:val="005C6B91"/>
    <w:rsid w:val="005C6B93"/>
    <w:rsid w:val="005C6C09"/>
    <w:rsid w:val="005C6E7F"/>
    <w:rsid w:val="005C6ED3"/>
    <w:rsid w:val="005C7039"/>
    <w:rsid w:val="005C70AF"/>
    <w:rsid w:val="005C70D4"/>
    <w:rsid w:val="005C70F1"/>
    <w:rsid w:val="005C711E"/>
    <w:rsid w:val="005C71BF"/>
    <w:rsid w:val="005C72C6"/>
    <w:rsid w:val="005C740F"/>
    <w:rsid w:val="005C77CE"/>
    <w:rsid w:val="005C7820"/>
    <w:rsid w:val="005C78E4"/>
    <w:rsid w:val="005C7911"/>
    <w:rsid w:val="005C7942"/>
    <w:rsid w:val="005C7A90"/>
    <w:rsid w:val="005C7BFD"/>
    <w:rsid w:val="005C7C3E"/>
    <w:rsid w:val="005C7D5B"/>
    <w:rsid w:val="005C7F5D"/>
    <w:rsid w:val="005CB130"/>
    <w:rsid w:val="005D00F9"/>
    <w:rsid w:val="005D0144"/>
    <w:rsid w:val="005D020D"/>
    <w:rsid w:val="005D0385"/>
    <w:rsid w:val="005D0434"/>
    <w:rsid w:val="005D045A"/>
    <w:rsid w:val="005D0515"/>
    <w:rsid w:val="005D0716"/>
    <w:rsid w:val="005D087D"/>
    <w:rsid w:val="005D0C12"/>
    <w:rsid w:val="005D0C97"/>
    <w:rsid w:val="005D0CBC"/>
    <w:rsid w:val="005D0D6A"/>
    <w:rsid w:val="005D0DDA"/>
    <w:rsid w:val="005D0E4F"/>
    <w:rsid w:val="005D0E67"/>
    <w:rsid w:val="005D10B3"/>
    <w:rsid w:val="005D120B"/>
    <w:rsid w:val="005D1284"/>
    <w:rsid w:val="005D12D3"/>
    <w:rsid w:val="005D13C4"/>
    <w:rsid w:val="005D1583"/>
    <w:rsid w:val="005D17D6"/>
    <w:rsid w:val="005D183E"/>
    <w:rsid w:val="005D1ACF"/>
    <w:rsid w:val="005D1C81"/>
    <w:rsid w:val="005D1E5C"/>
    <w:rsid w:val="005D1EB3"/>
    <w:rsid w:val="005D1FE4"/>
    <w:rsid w:val="005D2052"/>
    <w:rsid w:val="005D217D"/>
    <w:rsid w:val="005D21C1"/>
    <w:rsid w:val="005D2585"/>
    <w:rsid w:val="005D25DB"/>
    <w:rsid w:val="005D26B8"/>
    <w:rsid w:val="005D2810"/>
    <w:rsid w:val="005D2915"/>
    <w:rsid w:val="005D2956"/>
    <w:rsid w:val="005D2A24"/>
    <w:rsid w:val="005D2A88"/>
    <w:rsid w:val="005D2B01"/>
    <w:rsid w:val="005D2B94"/>
    <w:rsid w:val="005D2BC7"/>
    <w:rsid w:val="005D2D85"/>
    <w:rsid w:val="005D2EC4"/>
    <w:rsid w:val="005D2F60"/>
    <w:rsid w:val="005D3207"/>
    <w:rsid w:val="005D3391"/>
    <w:rsid w:val="005D3430"/>
    <w:rsid w:val="005D3477"/>
    <w:rsid w:val="005D34B6"/>
    <w:rsid w:val="005D3514"/>
    <w:rsid w:val="005D363F"/>
    <w:rsid w:val="005D3960"/>
    <w:rsid w:val="005D3B61"/>
    <w:rsid w:val="005D3BAC"/>
    <w:rsid w:val="005D3C1C"/>
    <w:rsid w:val="005D3D64"/>
    <w:rsid w:val="005D3D73"/>
    <w:rsid w:val="005D40F3"/>
    <w:rsid w:val="005D4135"/>
    <w:rsid w:val="005D41F3"/>
    <w:rsid w:val="005D420F"/>
    <w:rsid w:val="005D4267"/>
    <w:rsid w:val="005D43F1"/>
    <w:rsid w:val="005D4415"/>
    <w:rsid w:val="005D44AB"/>
    <w:rsid w:val="005D451E"/>
    <w:rsid w:val="005D4534"/>
    <w:rsid w:val="005D45EA"/>
    <w:rsid w:val="005D4663"/>
    <w:rsid w:val="005D4854"/>
    <w:rsid w:val="005D4B1D"/>
    <w:rsid w:val="005D4B33"/>
    <w:rsid w:val="005D4C99"/>
    <w:rsid w:val="005D4CC5"/>
    <w:rsid w:val="005D4D70"/>
    <w:rsid w:val="005D4E0D"/>
    <w:rsid w:val="005D5024"/>
    <w:rsid w:val="005D5037"/>
    <w:rsid w:val="005D50F6"/>
    <w:rsid w:val="005D5189"/>
    <w:rsid w:val="005D51E0"/>
    <w:rsid w:val="005D51EF"/>
    <w:rsid w:val="005D53C3"/>
    <w:rsid w:val="005D5401"/>
    <w:rsid w:val="005D552F"/>
    <w:rsid w:val="005D569B"/>
    <w:rsid w:val="005D57AF"/>
    <w:rsid w:val="005D58DC"/>
    <w:rsid w:val="005D5C83"/>
    <w:rsid w:val="005D5D83"/>
    <w:rsid w:val="005D5FCE"/>
    <w:rsid w:val="005D5FEC"/>
    <w:rsid w:val="005D6077"/>
    <w:rsid w:val="005D6091"/>
    <w:rsid w:val="005D60F6"/>
    <w:rsid w:val="005D612F"/>
    <w:rsid w:val="005D64B3"/>
    <w:rsid w:val="005D6816"/>
    <w:rsid w:val="005D68D8"/>
    <w:rsid w:val="005D695C"/>
    <w:rsid w:val="005D6A1B"/>
    <w:rsid w:val="005D6A30"/>
    <w:rsid w:val="005D6AC8"/>
    <w:rsid w:val="005D6B84"/>
    <w:rsid w:val="005D6D73"/>
    <w:rsid w:val="005D6E91"/>
    <w:rsid w:val="005D6F30"/>
    <w:rsid w:val="005D7180"/>
    <w:rsid w:val="005D72A3"/>
    <w:rsid w:val="005D72E1"/>
    <w:rsid w:val="005D7339"/>
    <w:rsid w:val="005D737F"/>
    <w:rsid w:val="005D7391"/>
    <w:rsid w:val="005D7444"/>
    <w:rsid w:val="005D7571"/>
    <w:rsid w:val="005D78AA"/>
    <w:rsid w:val="005D795B"/>
    <w:rsid w:val="005D798F"/>
    <w:rsid w:val="005D79DB"/>
    <w:rsid w:val="005D7A9D"/>
    <w:rsid w:val="005D7BBA"/>
    <w:rsid w:val="005D7C6B"/>
    <w:rsid w:val="005D7CB5"/>
    <w:rsid w:val="005D7CD8"/>
    <w:rsid w:val="005D7CFA"/>
    <w:rsid w:val="005D7D07"/>
    <w:rsid w:val="005D7E39"/>
    <w:rsid w:val="005D7FE0"/>
    <w:rsid w:val="005DB67F"/>
    <w:rsid w:val="005E010E"/>
    <w:rsid w:val="005E0154"/>
    <w:rsid w:val="005E01A2"/>
    <w:rsid w:val="005E0221"/>
    <w:rsid w:val="005E0444"/>
    <w:rsid w:val="005E0478"/>
    <w:rsid w:val="005E04B8"/>
    <w:rsid w:val="005E04DE"/>
    <w:rsid w:val="005E06E8"/>
    <w:rsid w:val="005E0709"/>
    <w:rsid w:val="005E087F"/>
    <w:rsid w:val="005E0918"/>
    <w:rsid w:val="005E0A91"/>
    <w:rsid w:val="005E0AA3"/>
    <w:rsid w:val="005E0B9B"/>
    <w:rsid w:val="005E0C12"/>
    <w:rsid w:val="005E0C59"/>
    <w:rsid w:val="005E0CBF"/>
    <w:rsid w:val="005E0E18"/>
    <w:rsid w:val="005E0E5A"/>
    <w:rsid w:val="005E0E7A"/>
    <w:rsid w:val="005E0E7F"/>
    <w:rsid w:val="005E1141"/>
    <w:rsid w:val="005E1146"/>
    <w:rsid w:val="005E1337"/>
    <w:rsid w:val="005E1342"/>
    <w:rsid w:val="005E146F"/>
    <w:rsid w:val="005E14D1"/>
    <w:rsid w:val="005E15BA"/>
    <w:rsid w:val="005E1863"/>
    <w:rsid w:val="005E1B88"/>
    <w:rsid w:val="005E1E51"/>
    <w:rsid w:val="005E1EC5"/>
    <w:rsid w:val="005E209B"/>
    <w:rsid w:val="005E239C"/>
    <w:rsid w:val="005E263D"/>
    <w:rsid w:val="005E26EA"/>
    <w:rsid w:val="005E298A"/>
    <w:rsid w:val="005E2A07"/>
    <w:rsid w:val="005E2BE6"/>
    <w:rsid w:val="005E2C7E"/>
    <w:rsid w:val="005E2E16"/>
    <w:rsid w:val="005E2F30"/>
    <w:rsid w:val="005E30BA"/>
    <w:rsid w:val="005E30D1"/>
    <w:rsid w:val="005E3115"/>
    <w:rsid w:val="005E3362"/>
    <w:rsid w:val="005E33CA"/>
    <w:rsid w:val="005E3464"/>
    <w:rsid w:val="005E349A"/>
    <w:rsid w:val="005E3752"/>
    <w:rsid w:val="005E39EF"/>
    <w:rsid w:val="005E3B00"/>
    <w:rsid w:val="005E3BDD"/>
    <w:rsid w:val="005E3C1F"/>
    <w:rsid w:val="005E3D4E"/>
    <w:rsid w:val="005E3DA3"/>
    <w:rsid w:val="005E3E5E"/>
    <w:rsid w:val="005E40E3"/>
    <w:rsid w:val="005E414D"/>
    <w:rsid w:val="005E4152"/>
    <w:rsid w:val="005E4208"/>
    <w:rsid w:val="005E42DC"/>
    <w:rsid w:val="005E43E3"/>
    <w:rsid w:val="005E4490"/>
    <w:rsid w:val="005E44BA"/>
    <w:rsid w:val="005E45AA"/>
    <w:rsid w:val="005E465D"/>
    <w:rsid w:val="005E46A6"/>
    <w:rsid w:val="005E46BD"/>
    <w:rsid w:val="005E4761"/>
    <w:rsid w:val="005E47C7"/>
    <w:rsid w:val="005E4B0C"/>
    <w:rsid w:val="005E4D30"/>
    <w:rsid w:val="005E4E40"/>
    <w:rsid w:val="005E5022"/>
    <w:rsid w:val="005E52EA"/>
    <w:rsid w:val="005E5459"/>
    <w:rsid w:val="005E5499"/>
    <w:rsid w:val="005E54A8"/>
    <w:rsid w:val="005E552A"/>
    <w:rsid w:val="005E5716"/>
    <w:rsid w:val="005E57B5"/>
    <w:rsid w:val="005E57D5"/>
    <w:rsid w:val="005E5B14"/>
    <w:rsid w:val="005E5BA1"/>
    <w:rsid w:val="005E5CE6"/>
    <w:rsid w:val="005E5DB1"/>
    <w:rsid w:val="005E5E3E"/>
    <w:rsid w:val="005E5E76"/>
    <w:rsid w:val="005E5F9B"/>
    <w:rsid w:val="005E621B"/>
    <w:rsid w:val="005E6340"/>
    <w:rsid w:val="005E63F1"/>
    <w:rsid w:val="005E66D0"/>
    <w:rsid w:val="005E66D6"/>
    <w:rsid w:val="005E66FE"/>
    <w:rsid w:val="005E67BF"/>
    <w:rsid w:val="005E67C2"/>
    <w:rsid w:val="005E685F"/>
    <w:rsid w:val="005E68CD"/>
    <w:rsid w:val="005E693C"/>
    <w:rsid w:val="005E6A01"/>
    <w:rsid w:val="005E6A70"/>
    <w:rsid w:val="005E6A77"/>
    <w:rsid w:val="005E6ABF"/>
    <w:rsid w:val="005E6B0C"/>
    <w:rsid w:val="005E6B82"/>
    <w:rsid w:val="005E6BB7"/>
    <w:rsid w:val="005E6C79"/>
    <w:rsid w:val="005E6E23"/>
    <w:rsid w:val="005E703F"/>
    <w:rsid w:val="005E728F"/>
    <w:rsid w:val="005E7411"/>
    <w:rsid w:val="005E748C"/>
    <w:rsid w:val="005E755F"/>
    <w:rsid w:val="005E75A7"/>
    <w:rsid w:val="005E7824"/>
    <w:rsid w:val="005E7860"/>
    <w:rsid w:val="005E7978"/>
    <w:rsid w:val="005E7D91"/>
    <w:rsid w:val="005E7E0C"/>
    <w:rsid w:val="005E7E1A"/>
    <w:rsid w:val="005E7F53"/>
    <w:rsid w:val="005E7F6C"/>
    <w:rsid w:val="005E7F93"/>
    <w:rsid w:val="005E7FE5"/>
    <w:rsid w:val="005F024F"/>
    <w:rsid w:val="005F0359"/>
    <w:rsid w:val="005F03B3"/>
    <w:rsid w:val="005F0420"/>
    <w:rsid w:val="005F0647"/>
    <w:rsid w:val="005F07E2"/>
    <w:rsid w:val="005F0838"/>
    <w:rsid w:val="005F08E7"/>
    <w:rsid w:val="005F0903"/>
    <w:rsid w:val="005F0AFA"/>
    <w:rsid w:val="005F0BE9"/>
    <w:rsid w:val="005F0D45"/>
    <w:rsid w:val="005F0E21"/>
    <w:rsid w:val="005F1233"/>
    <w:rsid w:val="005F1342"/>
    <w:rsid w:val="005F152D"/>
    <w:rsid w:val="005F15DC"/>
    <w:rsid w:val="005F1651"/>
    <w:rsid w:val="005F1661"/>
    <w:rsid w:val="005F16B3"/>
    <w:rsid w:val="005F18AE"/>
    <w:rsid w:val="005F18B7"/>
    <w:rsid w:val="005F1953"/>
    <w:rsid w:val="005F1A43"/>
    <w:rsid w:val="005F1AFA"/>
    <w:rsid w:val="005F1B1F"/>
    <w:rsid w:val="005F1D40"/>
    <w:rsid w:val="005F1D56"/>
    <w:rsid w:val="005F1FF4"/>
    <w:rsid w:val="005F221F"/>
    <w:rsid w:val="005F2312"/>
    <w:rsid w:val="005F24C7"/>
    <w:rsid w:val="005F26FF"/>
    <w:rsid w:val="005F2810"/>
    <w:rsid w:val="005F2934"/>
    <w:rsid w:val="005F2AD0"/>
    <w:rsid w:val="005F2B1D"/>
    <w:rsid w:val="005F2B2E"/>
    <w:rsid w:val="005F2B42"/>
    <w:rsid w:val="005F2CAF"/>
    <w:rsid w:val="005F2D66"/>
    <w:rsid w:val="005F2D6E"/>
    <w:rsid w:val="005F2D77"/>
    <w:rsid w:val="005F2DCB"/>
    <w:rsid w:val="005F2EDD"/>
    <w:rsid w:val="005F2F93"/>
    <w:rsid w:val="005F30E6"/>
    <w:rsid w:val="005F31A7"/>
    <w:rsid w:val="005F31DB"/>
    <w:rsid w:val="005F31E0"/>
    <w:rsid w:val="005F3375"/>
    <w:rsid w:val="005F33DA"/>
    <w:rsid w:val="005F3A9D"/>
    <w:rsid w:val="005F3C00"/>
    <w:rsid w:val="005F3C0B"/>
    <w:rsid w:val="005F3C49"/>
    <w:rsid w:val="005F3C99"/>
    <w:rsid w:val="005F3E5D"/>
    <w:rsid w:val="005F3FBD"/>
    <w:rsid w:val="005F42AA"/>
    <w:rsid w:val="005F42B8"/>
    <w:rsid w:val="005F4389"/>
    <w:rsid w:val="005F446A"/>
    <w:rsid w:val="005F44BA"/>
    <w:rsid w:val="005F4506"/>
    <w:rsid w:val="005F45D2"/>
    <w:rsid w:val="005F46AF"/>
    <w:rsid w:val="005F46EC"/>
    <w:rsid w:val="005F4782"/>
    <w:rsid w:val="005F488C"/>
    <w:rsid w:val="005F48E6"/>
    <w:rsid w:val="005F49E0"/>
    <w:rsid w:val="005F4AC4"/>
    <w:rsid w:val="005F4BAF"/>
    <w:rsid w:val="005F4D5B"/>
    <w:rsid w:val="005F4D81"/>
    <w:rsid w:val="005F4DB0"/>
    <w:rsid w:val="005F4E55"/>
    <w:rsid w:val="005F4FB6"/>
    <w:rsid w:val="005F4FDF"/>
    <w:rsid w:val="005F4FF6"/>
    <w:rsid w:val="005F4FF8"/>
    <w:rsid w:val="005F503B"/>
    <w:rsid w:val="005F509B"/>
    <w:rsid w:val="005F5186"/>
    <w:rsid w:val="005F537F"/>
    <w:rsid w:val="005F5511"/>
    <w:rsid w:val="005F5790"/>
    <w:rsid w:val="005F5839"/>
    <w:rsid w:val="005F59B4"/>
    <w:rsid w:val="005F5A60"/>
    <w:rsid w:val="005F5AFC"/>
    <w:rsid w:val="005F5B48"/>
    <w:rsid w:val="005F5B92"/>
    <w:rsid w:val="005F5CCC"/>
    <w:rsid w:val="005F5E59"/>
    <w:rsid w:val="005F5EAE"/>
    <w:rsid w:val="005F5F10"/>
    <w:rsid w:val="005F5FC8"/>
    <w:rsid w:val="005F607B"/>
    <w:rsid w:val="005F6212"/>
    <w:rsid w:val="005F6340"/>
    <w:rsid w:val="005F635E"/>
    <w:rsid w:val="005F6525"/>
    <w:rsid w:val="005F6551"/>
    <w:rsid w:val="005F659B"/>
    <w:rsid w:val="005F6601"/>
    <w:rsid w:val="005F673E"/>
    <w:rsid w:val="005F6763"/>
    <w:rsid w:val="005F6777"/>
    <w:rsid w:val="005F6830"/>
    <w:rsid w:val="005F68E2"/>
    <w:rsid w:val="005F68FC"/>
    <w:rsid w:val="005F6A7C"/>
    <w:rsid w:val="005F6A8A"/>
    <w:rsid w:val="005F6B00"/>
    <w:rsid w:val="005F6BD1"/>
    <w:rsid w:val="005F6C4D"/>
    <w:rsid w:val="005F6F7D"/>
    <w:rsid w:val="005F70B9"/>
    <w:rsid w:val="005F70DC"/>
    <w:rsid w:val="005F7178"/>
    <w:rsid w:val="005F7199"/>
    <w:rsid w:val="005F7353"/>
    <w:rsid w:val="005F74B9"/>
    <w:rsid w:val="005F74F1"/>
    <w:rsid w:val="005F755F"/>
    <w:rsid w:val="005F76BB"/>
    <w:rsid w:val="005F7755"/>
    <w:rsid w:val="005F78B5"/>
    <w:rsid w:val="005F7B89"/>
    <w:rsid w:val="005F7D5A"/>
    <w:rsid w:val="005F7DA2"/>
    <w:rsid w:val="005F7E13"/>
    <w:rsid w:val="005FC109"/>
    <w:rsid w:val="0060015E"/>
    <w:rsid w:val="00600206"/>
    <w:rsid w:val="0060048F"/>
    <w:rsid w:val="006004B4"/>
    <w:rsid w:val="006004F5"/>
    <w:rsid w:val="00600540"/>
    <w:rsid w:val="00600544"/>
    <w:rsid w:val="006007B4"/>
    <w:rsid w:val="00600901"/>
    <w:rsid w:val="00600A44"/>
    <w:rsid w:val="00600D3E"/>
    <w:rsid w:val="00600D4F"/>
    <w:rsid w:val="00600D9D"/>
    <w:rsid w:val="00600F5C"/>
    <w:rsid w:val="006013D8"/>
    <w:rsid w:val="006013FE"/>
    <w:rsid w:val="0060146D"/>
    <w:rsid w:val="00601475"/>
    <w:rsid w:val="0060155B"/>
    <w:rsid w:val="006016EF"/>
    <w:rsid w:val="0060172F"/>
    <w:rsid w:val="0060174C"/>
    <w:rsid w:val="00601AA2"/>
    <w:rsid w:val="00601BB0"/>
    <w:rsid w:val="00601BD0"/>
    <w:rsid w:val="00601C0C"/>
    <w:rsid w:val="00601C20"/>
    <w:rsid w:val="00601D37"/>
    <w:rsid w:val="00601D98"/>
    <w:rsid w:val="00601E93"/>
    <w:rsid w:val="00601ECD"/>
    <w:rsid w:val="00601FEB"/>
    <w:rsid w:val="00602195"/>
    <w:rsid w:val="006021D2"/>
    <w:rsid w:val="00602257"/>
    <w:rsid w:val="0060232E"/>
    <w:rsid w:val="00602343"/>
    <w:rsid w:val="0060234D"/>
    <w:rsid w:val="00602401"/>
    <w:rsid w:val="00602403"/>
    <w:rsid w:val="00602729"/>
    <w:rsid w:val="00602751"/>
    <w:rsid w:val="00602929"/>
    <w:rsid w:val="00602D89"/>
    <w:rsid w:val="00602E33"/>
    <w:rsid w:val="00602ED8"/>
    <w:rsid w:val="00603132"/>
    <w:rsid w:val="00603267"/>
    <w:rsid w:val="0060331E"/>
    <w:rsid w:val="0060334F"/>
    <w:rsid w:val="00603581"/>
    <w:rsid w:val="006036A2"/>
    <w:rsid w:val="006036D1"/>
    <w:rsid w:val="006036E9"/>
    <w:rsid w:val="0060372D"/>
    <w:rsid w:val="0060374A"/>
    <w:rsid w:val="0060376B"/>
    <w:rsid w:val="00603A29"/>
    <w:rsid w:val="00603B49"/>
    <w:rsid w:val="00603C32"/>
    <w:rsid w:val="00603C89"/>
    <w:rsid w:val="00603CC0"/>
    <w:rsid w:val="00603CFF"/>
    <w:rsid w:val="00603E1F"/>
    <w:rsid w:val="00603F13"/>
    <w:rsid w:val="00603FF1"/>
    <w:rsid w:val="0060408A"/>
    <w:rsid w:val="00604328"/>
    <w:rsid w:val="00604360"/>
    <w:rsid w:val="00604526"/>
    <w:rsid w:val="00604753"/>
    <w:rsid w:val="00604853"/>
    <w:rsid w:val="006048C0"/>
    <w:rsid w:val="006048E5"/>
    <w:rsid w:val="00604978"/>
    <w:rsid w:val="006049C7"/>
    <w:rsid w:val="006049F3"/>
    <w:rsid w:val="00604B2F"/>
    <w:rsid w:val="00604BBF"/>
    <w:rsid w:val="00604C38"/>
    <w:rsid w:val="00604DB3"/>
    <w:rsid w:val="00604E00"/>
    <w:rsid w:val="00604E06"/>
    <w:rsid w:val="00604E1C"/>
    <w:rsid w:val="0060544D"/>
    <w:rsid w:val="006055D6"/>
    <w:rsid w:val="00605621"/>
    <w:rsid w:val="00605659"/>
    <w:rsid w:val="00605666"/>
    <w:rsid w:val="006057BA"/>
    <w:rsid w:val="006058B6"/>
    <w:rsid w:val="0060592F"/>
    <w:rsid w:val="006059EC"/>
    <w:rsid w:val="00605AC9"/>
    <w:rsid w:val="00605DA2"/>
    <w:rsid w:val="00605E9D"/>
    <w:rsid w:val="0060625D"/>
    <w:rsid w:val="006062D5"/>
    <w:rsid w:val="0060630A"/>
    <w:rsid w:val="006064BE"/>
    <w:rsid w:val="006065B3"/>
    <w:rsid w:val="006066E8"/>
    <w:rsid w:val="006067C9"/>
    <w:rsid w:val="00606837"/>
    <w:rsid w:val="00606911"/>
    <w:rsid w:val="00606B07"/>
    <w:rsid w:val="00606E36"/>
    <w:rsid w:val="00606E49"/>
    <w:rsid w:val="00606F45"/>
    <w:rsid w:val="00606FDA"/>
    <w:rsid w:val="00607067"/>
    <w:rsid w:val="00607122"/>
    <w:rsid w:val="006071E2"/>
    <w:rsid w:val="0060740B"/>
    <w:rsid w:val="0060748D"/>
    <w:rsid w:val="00607595"/>
    <w:rsid w:val="006075A7"/>
    <w:rsid w:val="00607612"/>
    <w:rsid w:val="0060776D"/>
    <w:rsid w:val="006077FA"/>
    <w:rsid w:val="0060781E"/>
    <w:rsid w:val="00607843"/>
    <w:rsid w:val="00607A5B"/>
    <w:rsid w:val="00607B19"/>
    <w:rsid w:val="00607B84"/>
    <w:rsid w:val="00607C48"/>
    <w:rsid w:val="00607DBC"/>
    <w:rsid w:val="00607F5D"/>
    <w:rsid w:val="00607FCA"/>
    <w:rsid w:val="0061004B"/>
    <w:rsid w:val="006100A2"/>
    <w:rsid w:val="00610204"/>
    <w:rsid w:val="00610440"/>
    <w:rsid w:val="00610496"/>
    <w:rsid w:val="00610701"/>
    <w:rsid w:val="00610726"/>
    <w:rsid w:val="00610965"/>
    <w:rsid w:val="00610AE5"/>
    <w:rsid w:val="00610D52"/>
    <w:rsid w:val="00611013"/>
    <w:rsid w:val="00611117"/>
    <w:rsid w:val="0061127F"/>
    <w:rsid w:val="006112C9"/>
    <w:rsid w:val="00611358"/>
    <w:rsid w:val="006113B1"/>
    <w:rsid w:val="00611429"/>
    <w:rsid w:val="00611487"/>
    <w:rsid w:val="006114A0"/>
    <w:rsid w:val="00611501"/>
    <w:rsid w:val="00611512"/>
    <w:rsid w:val="0061153B"/>
    <w:rsid w:val="00611580"/>
    <w:rsid w:val="0061169A"/>
    <w:rsid w:val="006116EC"/>
    <w:rsid w:val="006117F9"/>
    <w:rsid w:val="00611919"/>
    <w:rsid w:val="00611956"/>
    <w:rsid w:val="00611A31"/>
    <w:rsid w:val="00611C08"/>
    <w:rsid w:val="00611E8E"/>
    <w:rsid w:val="00611E98"/>
    <w:rsid w:val="00611F15"/>
    <w:rsid w:val="00611FBF"/>
    <w:rsid w:val="00611FD8"/>
    <w:rsid w:val="0061204C"/>
    <w:rsid w:val="00612085"/>
    <w:rsid w:val="0061219A"/>
    <w:rsid w:val="006121F7"/>
    <w:rsid w:val="00612285"/>
    <w:rsid w:val="006122BA"/>
    <w:rsid w:val="006123D9"/>
    <w:rsid w:val="006125BA"/>
    <w:rsid w:val="006125C7"/>
    <w:rsid w:val="00612616"/>
    <w:rsid w:val="006126D3"/>
    <w:rsid w:val="006126F9"/>
    <w:rsid w:val="00612753"/>
    <w:rsid w:val="0061278C"/>
    <w:rsid w:val="006128C8"/>
    <w:rsid w:val="00612946"/>
    <w:rsid w:val="006129E5"/>
    <w:rsid w:val="006129F8"/>
    <w:rsid w:val="00612A0D"/>
    <w:rsid w:val="00612AD5"/>
    <w:rsid w:val="00612B47"/>
    <w:rsid w:val="00612C62"/>
    <w:rsid w:val="00612D3E"/>
    <w:rsid w:val="00612D75"/>
    <w:rsid w:val="00612DCE"/>
    <w:rsid w:val="00612F09"/>
    <w:rsid w:val="00613165"/>
    <w:rsid w:val="00613223"/>
    <w:rsid w:val="00613271"/>
    <w:rsid w:val="0061345A"/>
    <w:rsid w:val="006135AE"/>
    <w:rsid w:val="00613697"/>
    <w:rsid w:val="00613727"/>
    <w:rsid w:val="0061380C"/>
    <w:rsid w:val="00613839"/>
    <w:rsid w:val="006138CA"/>
    <w:rsid w:val="00613A3E"/>
    <w:rsid w:val="00613AD8"/>
    <w:rsid w:val="00613B6E"/>
    <w:rsid w:val="00613BB8"/>
    <w:rsid w:val="00613D09"/>
    <w:rsid w:val="00613E10"/>
    <w:rsid w:val="00613E18"/>
    <w:rsid w:val="00613F09"/>
    <w:rsid w:val="00613F94"/>
    <w:rsid w:val="00613F95"/>
    <w:rsid w:val="006140E3"/>
    <w:rsid w:val="006141F1"/>
    <w:rsid w:val="006141F7"/>
    <w:rsid w:val="006142A1"/>
    <w:rsid w:val="006143D4"/>
    <w:rsid w:val="0061453B"/>
    <w:rsid w:val="0061465D"/>
    <w:rsid w:val="006146E0"/>
    <w:rsid w:val="00614A02"/>
    <w:rsid w:val="00614A95"/>
    <w:rsid w:val="00614C32"/>
    <w:rsid w:val="00614F69"/>
    <w:rsid w:val="00614FBC"/>
    <w:rsid w:val="00615056"/>
    <w:rsid w:val="006151B5"/>
    <w:rsid w:val="006152BD"/>
    <w:rsid w:val="00615303"/>
    <w:rsid w:val="0061543F"/>
    <w:rsid w:val="00615485"/>
    <w:rsid w:val="006156EA"/>
    <w:rsid w:val="006157DC"/>
    <w:rsid w:val="0061588D"/>
    <w:rsid w:val="00615C1A"/>
    <w:rsid w:val="00615D37"/>
    <w:rsid w:val="00615D46"/>
    <w:rsid w:val="00615E06"/>
    <w:rsid w:val="00615E58"/>
    <w:rsid w:val="00615FDE"/>
    <w:rsid w:val="0061610B"/>
    <w:rsid w:val="006163CC"/>
    <w:rsid w:val="0061659B"/>
    <w:rsid w:val="006165EA"/>
    <w:rsid w:val="006167BB"/>
    <w:rsid w:val="00616853"/>
    <w:rsid w:val="00616AC9"/>
    <w:rsid w:val="00616BD6"/>
    <w:rsid w:val="00616C0A"/>
    <w:rsid w:val="00616CC2"/>
    <w:rsid w:val="00616E34"/>
    <w:rsid w:val="00616EAE"/>
    <w:rsid w:val="00616F31"/>
    <w:rsid w:val="006170EA"/>
    <w:rsid w:val="006173CF"/>
    <w:rsid w:val="00617414"/>
    <w:rsid w:val="0061755B"/>
    <w:rsid w:val="006177E0"/>
    <w:rsid w:val="00617896"/>
    <w:rsid w:val="00617997"/>
    <w:rsid w:val="006179DE"/>
    <w:rsid w:val="00617D35"/>
    <w:rsid w:val="00617D3E"/>
    <w:rsid w:val="0061C0D5"/>
    <w:rsid w:val="00620089"/>
    <w:rsid w:val="00620181"/>
    <w:rsid w:val="00620250"/>
    <w:rsid w:val="00620293"/>
    <w:rsid w:val="00620986"/>
    <w:rsid w:val="0062099F"/>
    <w:rsid w:val="006209BA"/>
    <w:rsid w:val="006209FE"/>
    <w:rsid w:val="00620B35"/>
    <w:rsid w:val="00620B87"/>
    <w:rsid w:val="00620BF3"/>
    <w:rsid w:val="00620C9B"/>
    <w:rsid w:val="00620CF7"/>
    <w:rsid w:val="00620F37"/>
    <w:rsid w:val="00621048"/>
    <w:rsid w:val="0062106F"/>
    <w:rsid w:val="00621163"/>
    <w:rsid w:val="00621456"/>
    <w:rsid w:val="00621614"/>
    <w:rsid w:val="00621664"/>
    <w:rsid w:val="00621742"/>
    <w:rsid w:val="00621746"/>
    <w:rsid w:val="006218A2"/>
    <w:rsid w:val="00621915"/>
    <w:rsid w:val="00621AAF"/>
    <w:rsid w:val="00621C2A"/>
    <w:rsid w:val="00621C52"/>
    <w:rsid w:val="00621C71"/>
    <w:rsid w:val="00621D00"/>
    <w:rsid w:val="00621F58"/>
    <w:rsid w:val="00621FC6"/>
    <w:rsid w:val="0062204F"/>
    <w:rsid w:val="00622111"/>
    <w:rsid w:val="0062241B"/>
    <w:rsid w:val="00622424"/>
    <w:rsid w:val="00622436"/>
    <w:rsid w:val="006225FD"/>
    <w:rsid w:val="0062277D"/>
    <w:rsid w:val="006227BA"/>
    <w:rsid w:val="0062290E"/>
    <w:rsid w:val="00622951"/>
    <w:rsid w:val="00622975"/>
    <w:rsid w:val="00622985"/>
    <w:rsid w:val="00622BC7"/>
    <w:rsid w:val="00622C0F"/>
    <w:rsid w:val="00622F87"/>
    <w:rsid w:val="006230D7"/>
    <w:rsid w:val="006231DE"/>
    <w:rsid w:val="0062327B"/>
    <w:rsid w:val="00623282"/>
    <w:rsid w:val="006233F3"/>
    <w:rsid w:val="0062363F"/>
    <w:rsid w:val="0062364F"/>
    <w:rsid w:val="006236AF"/>
    <w:rsid w:val="00623829"/>
    <w:rsid w:val="0062382A"/>
    <w:rsid w:val="006238FC"/>
    <w:rsid w:val="00623907"/>
    <w:rsid w:val="00623C64"/>
    <w:rsid w:val="00623DB9"/>
    <w:rsid w:val="00623F3B"/>
    <w:rsid w:val="00624015"/>
    <w:rsid w:val="0062408A"/>
    <w:rsid w:val="006240C6"/>
    <w:rsid w:val="0062432D"/>
    <w:rsid w:val="0062456C"/>
    <w:rsid w:val="00624730"/>
    <w:rsid w:val="00624837"/>
    <w:rsid w:val="00624881"/>
    <w:rsid w:val="006249BF"/>
    <w:rsid w:val="00624A20"/>
    <w:rsid w:val="00624A9D"/>
    <w:rsid w:val="00624B0B"/>
    <w:rsid w:val="00624D10"/>
    <w:rsid w:val="00624D54"/>
    <w:rsid w:val="00624ECE"/>
    <w:rsid w:val="00624ED6"/>
    <w:rsid w:val="00624F33"/>
    <w:rsid w:val="0062500D"/>
    <w:rsid w:val="00625174"/>
    <w:rsid w:val="006251A5"/>
    <w:rsid w:val="00625298"/>
    <w:rsid w:val="006252CC"/>
    <w:rsid w:val="0062553E"/>
    <w:rsid w:val="00625592"/>
    <w:rsid w:val="00625669"/>
    <w:rsid w:val="0062568B"/>
    <w:rsid w:val="0062578E"/>
    <w:rsid w:val="00625976"/>
    <w:rsid w:val="0062597D"/>
    <w:rsid w:val="006259B7"/>
    <w:rsid w:val="00625A9E"/>
    <w:rsid w:val="00625C02"/>
    <w:rsid w:val="00625C11"/>
    <w:rsid w:val="00625F7F"/>
    <w:rsid w:val="0062613B"/>
    <w:rsid w:val="0062613F"/>
    <w:rsid w:val="0062615B"/>
    <w:rsid w:val="00626163"/>
    <w:rsid w:val="00626199"/>
    <w:rsid w:val="006261C4"/>
    <w:rsid w:val="00626430"/>
    <w:rsid w:val="006264C8"/>
    <w:rsid w:val="00626546"/>
    <w:rsid w:val="00626656"/>
    <w:rsid w:val="0062666B"/>
    <w:rsid w:val="00626693"/>
    <w:rsid w:val="00626718"/>
    <w:rsid w:val="0062681C"/>
    <w:rsid w:val="0062685C"/>
    <w:rsid w:val="0062696D"/>
    <w:rsid w:val="00626B78"/>
    <w:rsid w:val="00626C1D"/>
    <w:rsid w:val="00626CCB"/>
    <w:rsid w:val="00626E4D"/>
    <w:rsid w:val="00626E6A"/>
    <w:rsid w:val="00626E94"/>
    <w:rsid w:val="00626EA3"/>
    <w:rsid w:val="00626EB3"/>
    <w:rsid w:val="00626EE1"/>
    <w:rsid w:val="00626F44"/>
    <w:rsid w:val="006271B4"/>
    <w:rsid w:val="00627468"/>
    <w:rsid w:val="006275A7"/>
    <w:rsid w:val="00627614"/>
    <w:rsid w:val="00627648"/>
    <w:rsid w:val="00627D3E"/>
    <w:rsid w:val="00627F5D"/>
    <w:rsid w:val="00627FFE"/>
    <w:rsid w:val="0062994A"/>
    <w:rsid w:val="00630065"/>
    <w:rsid w:val="006301A8"/>
    <w:rsid w:val="006301CC"/>
    <w:rsid w:val="006302D7"/>
    <w:rsid w:val="006304CB"/>
    <w:rsid w:val="00630590"/>
    <w:rsid w:val="006305E9"/>
    <w:rsid w:val="00630611"/>
    <w:rsid w:val="00630754"/>
    <w:rsid w:val="00630960"/>
    <w:rsid w:val="006309D5"/>
    <w:rsid w:val="00630AE3"/>
    <w:rsid w:val="00630AFD"/>
    <w:rsid w:val="00630BF8"/>
    <w:rsid w:val="00630FF0"/>
    <w:rsid w:val="006310EE"/>
    <w:rsid w:val="00631201"/>
    <w:rsid w:val="00631438"/>
    <w:rsid w:val="00631544"/>
    <w:rsid w:val="00631662"/>
    <w:rsid w:val="0063167D"/>
    <w:rsid w:val="0063181B"/>
    <w:rsid w:val="0063182B"/>
    <w:rsid w:val="00631951"/>
    <w:rsid w:val="006319C1"/>
    <w:rsid w:val="00631A21"/>
    <w:rsid w:val="00631A4E"/>
    <w:rsid w:val="00631A9A"/>
    <w:rsid w:val="00631ACF"/>
    <w:rsid w:val="00631B0F"/>
    <w:rsid w:val="00631C48"/>
    <w:rsid w:val="00631E9E"/>
    <w:rsid w:val="00631F86"/>
    <w:rsid w:val="00632005"/>
    <w:rsid w:val="006320B2"/>
    <w:rsid w:val="00632127"/>
    <w:rsid w:val="0063215C"/>
    <w:rsid w:val="0063216C"/>
    <w:rsid w:val="00632212"/>
    <w:rsid w:val="006323EA"/>
    <w:rsid w:val="00632D35"/>
    <w:rsid w:val="00632E95"/>
    <w:rsid w:val="00632F8A"/>
    <w:rsid w:val="0063301A"/>
    <w:rsid w:val="00633096"/>
    <w:rsid w:val="006330B5"/>
    <w:rsid w:val="00633106"/>
    <w:rsid w:val="00633170"/>
    <w:rsid w:val="00633380"/>
    <w:rsid w:val="00633560"/>
    <w:rsid w:val="00633634"/>
    <w:rsid w:val="006338B5"/>
    <w:rsid w:val="006338D5"/>
    <w:rsid w:val="00633943"/>
    <w:rsid w:val="006339D3"/>
    <w:rsid w:val="00633A22"/>
    <w:rsid w:val="00633CF8"/>
    <w:rsid w:val="00633E52"/>
    <w:rsid w:val="00633FC0"/>
    <w:rsid w:val="0063414E"/>
    <w:rsid w:val="00634357"/>
    <w:rsid w:val="00634400"/>
    <w:rsid w:val="00634429"/>
    <w:rsid w:val="0063448A"/>
    <w:rsid w:val="00634635"/>
    <w:rsid w:val="0063487D"/>
    <w:rsid w:val="00634914"/>
    <w:rsid w:val="00634929"/>
    <w:rsid w:val="006349DB"/>
    <w:rsid w:val="00634C02"/>
    <w:rsid w:val="00634D6A"/>
    <w:rsid w:val="00634DBD"/>
    <w:rsid w:val="00634DC1"/>
    <w:rsid w:val="00635000"/>
    <w:rsid w:val="0063514C"/>
    <w:rsid w:val="00635164"/>
    <w:rsid w:val="0063521E"/>
    <w:rsid w:val="0063542E"/>
    <w:rsid w:val="006358CA"/>
    <w:rsid w:val="00635917"/>
    <w:rsid w:val="00635AB1"/>
    <w:rsid w:val="00635B47"/>
    <w:rsid w:val="00635B95"/>
    <w:rsid w:val="00635C07"/>
    <w:rsid w:val="00635C77"/>
    <w:rsid w:val="00635D33"/>
    <w:rsid w:val="00635DB2"/>
    <w:rsid w:val="00635DE2"/>
    <w:rsid w:val="00635E2D"/>
    <w:rsid w:val="00635F0E"/>
    <w:rsid w:val="00636154"/>
    <w:rsid w:val="00636158"/>
    <w:rsid w:val="006361EB"/>
    <w:rsid w:val="006364E8"/>
    <w:rsid w:val="00636521"/>
    <w:rsid w:val="0063653D"/>
    <w:rsid w:val="00636561"/>
    <w:rsid w:val="006365BD"/>
    <w:rsid w:val="006365C3"/>
    <w:rsid w:val="00636654"/>
    <w:rsid w:val="006366DA"/>
    <w:rsid w:val="00636775"/>
    <w:rsid w:val="006367C9"/>
    <w:rsid w:val="00636892"/>
    <w:rsid w:val="00636A6C"/>
    <w:rsid w:val="00636B96"/>
    <w:rsid w:val="00636EC5"/>
    <w:rsid w:val="00636EC7"/>
    <w:rsid w:val="0063708A"/>
    <w:rsid w:val="00637161"/>
    <w:rsid w:val="00637280"/>
    <w:rsid w:val="00637405"/>
    <w:rsid w:val="006374A5"/>
    <w:rsid w:val="00637611"/>
    <w:rsid w:val="00637671"/>
    <w:rsid w:val="006376CB"/>
    <w:rsid w:val="006376D4"/>
    <w:rsid w:val="006378E6"/>
    <w:rsid w:val="00637961"/>
    <w:rsid w:val="0063797B"/>
    <w:rsid w:val="00637B87"/>
    <w:rsid w:val="00637C4C"/>
    <w:rsid w:val="00637CC9"/>
    <w:rsid w:val="00637DB5"/>
    <w:rsid w:val="006398AA"/>
    <w:rsid w:val="0063E569"/>
    <w:rsid w:val="00640087"/>
    <w:rsid w:val="00640162"/>
    <w:rsid w:val="006404B2"/>
    <w:rsid w:val="00640A55"/>
    <w:rsid w:val="00640B67"/>
    <w:rsid w:val="00640B92"/>
    <w:rsid w:val="00640C14"/>
    <w:rsid w:val="00640C4A"/>
    <w:rsid w:val="00640CA5"/>
    <w:rsid w:val="00640E11"/>
    <w:rsid w:val="00640F08"/>
    <w:rsid w:val="00640F4A"/>
    <w:rsid w:val="00640F8F"/>
    <w:rsid w:val="00640FE8"/>
    <w:rsid w:val="00641021"/>
    <w:rsid w:val="006411E4"/>
    <w:rsid w:val="0064121F"/>
    <w:rsid w:val="00641399"/>
    <w:rsid w:val="006413CA"/>
    <w:rsid w:val="006415CF"/>
    <w:rsid w:val="006415E8"/>
    <w:rsid w:val="00641628"/>
    <w:rsid w:val="0064166C"/>
    <w:rsid w:val="0064184E"/>
    <w:rsid w:val="0064196B"/>
    <w:rsid w:val="00641A5B"/>
    <w:rsid w:val="00641A8B"/>
    <w:rsid w:val="00641AEF"/>
    <w:rsid w:val="00641BE8"/>
    <w:rsid w:val="00641E1C"/>
    <w:rsid w:val="00641F60"/>
    <w:rsid w:val="00641FE5"/>
    <w:rsid w:val="00642133"/>
    <w:rsid w:val="006422C4"/>
    <w:rsid w:val="0064240E"/>
    <w:rsid w:val="00642471"/>
    <w:rsid w:val="00642598"/>
    <w:rsid w:val="00642701"/>
    <w:rsid w:val="006427ED"/>
    <w:rsid w:val="00642B1B"/>
    <w:rsid w:val="00642C3E"/>
    <w:rsid w:val="00642CA2"/>
    <w:rsid w:val="00642CC7"/>
    <w:rsid w:val="00642D7F"/>
    <w:rsid w:val="00642D83"/>
    <w:rsid w:val="00642F93"/>
    <w:rsid w:val="0064301C"/>
    <w:rsid w:val="006430E4"/>
    <w:rsid w:val="006431FB"/>
    <w:rsid w:val="006432DA"/>
    <w:rsid w:val="00643413"/>
    <w:rsid w:val="00643552"/>
    <w:rsid w:val="006435D8"/>
    <w:rsid w:val="00643635"/>
    <w:rsid w:val="0064369F"/>
    <w:rsid w:val="006437DB"/>
    <w:rsid w:val="006438F0"/>
    <w:rsid w:val="00643A06"/>
    <w:rsid w:val="00643AF4"/>
    <w:rsid w:val="00643BC5"/>
    <w:rsid w:val="00643BF7"/>
    <w:rsid w:val="00643BFA"/>
    <w:rsid w:val="00643C26"/>
    <w:rsid w:val="00643CDD"/>
    <w:rsid w:val="00643DEB"/>
    <w:rsid w:val="00643F9A"/>
    <w:rsid w:val="00643FD0"/>
    <w:rsid w:val="0064402E"/>
    <w:rsid w:val="006440EF"/>
    <w:rsid w:val="00644197"/>
    <w:rsid w:val="006443A1"/>
    <w:rsid w:val="00644461"/>
    <w:rsid w:val="00644473"/>
    <w:rsid w:val="00644554"/>
    <w:rsid w:val="00644560"/>
    <w:rsid w:val="00644642"/>
    <w:rsid w:val="00644649"/>
    <w:rsid w:val="006446BA"/>
    <w:rsid w:val="006447F4"/>
    <w:rsid w:val="006448CA"/>
    <w:rsid w:val="006449E2"/>
    <w:rsid w:val="00644A23"/>
    <w:rsid w:val="00644AF1"/>
    <w:rsid w:val="00644B2F"/>
    <w:rsid w:val="00644D8F"/>
    <w:rsid w:val="00644DA8"/>
    <w:rsid w:val="00644EC8"/>
    <w:rsid w:val="00644F03"/>
    <w:rsid w:val="00644FAF"/>
    <w:rsid w:val="0064506D"/>
    <w:rsid w:val="006452F0"/>
    <w:rsid w:val="006452FB"/>
    <w:rsid w:val="0064539B"/>
    <w:rsid w:val="00645452"/>
    <w:rsid w:val="006454D5"/>
    <w:rsid w:val="006455F4"/>
    <w:rsid w:val="00645615"/>
    <w:rsid w:val="006457ED"/>
    <w:rsid w:val="00645A36"/>
    <w:rsid w:val="00645BA5"/>
    <w:rsid w:val="00645C85"/>
    <w:rsid w:val="00645F7B"/>
    <w:rsid w:val="00646005"/>
    <w:rsid w:val="006460DA"/>
    <w:rsid w:val="00646196"/>
    <w:rsid w:val="006461B6"/>
    <w:rsid w:val="006461E7"/>
    <w:rsid w:val="00646223"/>
    <w:rsid w:val="00646234"/>
    <w:rsid w:val="0064638B"/>
    <w:rsid w:val="006464C6"/>
    <w:rsid w:val="006466B4"/>
    <w:rsid w:val="00646753"/>
    <w:rsid w:val="00646779"/>
    <w:rsid w:val="006469F2"/>
    <w:rsid w:val="00646AC9"/>
    <w:rsid w:val="00646B8D"/>
    <w:rsid w:val="00646E7A"/>
    <w:rsid w:val="00646EA2"/>
    <w:rsid w:val="00646EC9"/>
    <w:rsid w:val="00646ECB"/>
    <w:rsid w:val="00646EF6"/>
    <w:rsid w:val="00647065"/>
    <w:rsid w:val="006471C0"/>
    <w:rsid w:val="0064726E"/>
    <w:rsid w:val="0064734B"/>
    <w:rsid w:val="0064745F"/>
    <w:rsid w:val="006474D0"/>
    <w:rsid w:val="006474D3"/>
    <w:rsid w:val="0064750B"/>
    <w:rsid w:val="00647513"/>
    <w:rsid w:val="006475E8"/>
    <w:rsid w:val="00647612"/>
    <w:rsid w:val="00647655"/>
    <w:rsid w:val="00647827"/>
    <w:rsid w:val="006479D6"/>
    <w:rsid w:val="00647BD2"/>
    <w:rsid w:val="00647DD7"/>
    <w:rsid w:val="00647DE7"/>
    <w:rsid w:val="00647FFC"/>
    <w:rsid w:val="0064B3A4"/>
    <w:rsid w:val="0065025F"/>
    <w:rsid w:val="00650267"/>
    <w:rsid w:val="00650297"/>
    <w:rsid w:val="0065042C"/>
    <w:rsid w:val="00650451"/>
    <w:rsid w:val="0065051B"/>
    <w:rsid w:val="006505FF"/>
    <w:rsid w:val="006506F3"/>
    <w:rsid w:val="00650702"/>
    <w:rsid w:val="0065071A"/>
    <w:rsid w:val="0065074B"/>
    <w:rsid w:val="00650940"/>
    <w:rsid w:val="006509C1"/>
    <w:rsid w:val="00650A86"/>
    <w:rsid w:val="00650A98"/>
    <w:rsid w:val="00650BAD"/>
    <w:rsid w:val="00650C6B"/>
    <w:rsid w:val="00650D30"/>
    <w:rsid w:val="00650E31"/>
    <w:rsid w:val="00650FA9"/>
    <w:rsid w:val="006510C4"/>
    <w:rsid w:val="006510C5"/>
    <w:rsid w:val="00651149"/>
    <w:rsid w:val="00651176"/>
    <w:rsid w:val="0065139C"/>
    <w:rsid w:val="006514BC"/>
    <w:rsid w:val="006515EC"/>
    <w:rsid w:val="006516D5"/>
    <w:rsid w:val="00651718"/>
    <w:rsid w:val="00651849"/>
    <w:rsid w:val="00651868"/>
    <w:rsid w:val="006519C5"/>
    <w:rsid w:val="00651AE5"/>
    <w:rsid w:val="00651B25"/>
    <w:rsid w:val="00651D70"/>
    <w:rsid w:val="00651DBC"/>
    <w:rsid w:val="00651EBE"/>
    <w:rsid w:val="00651FEC"/>
    <w:rsid w:val="0065204A"/>
    <w:rsid w:val="00652119"/>
    <w:rsid w:val="00652223"/>
    <w:rsid w:val="0065243C"/>
    <w:rsid w:val="00652483"/>
    <w:rsid w:val="00652490"/>
    <w:rsid w:val="0065253A"/>
    <w:rsid w:val="00652677"/>
    <w:rsid w:val="006526AB"/>
    <w:rsid w:val="00652800"/>
    <w:rsid w:val="0065284D"/>
    <w:rsid w:val="006528DD"/>
    <w:rsid w:val="00652975"/>
    <w:rsid w:val="006529A3"/>
    <w:rsid w:val="00652C76"/>
    <w:rsid w:val="00652D91"/>
    <w:rsid w:val="00652E9C"/>
    <w:rsid w:val="00652ECA"/>
    <w:rsid w:val="00652ED5"/>
    <w:rsid w:val="00653063"/>
    <w:rsid w:val="006530C5"/>
    <w:rsid w:val="00653147"/>
    <w:rsid w:val="0065314E"/>
    <w:rsid w:val="006532D9"/>
    <w:rsid w:val="00653676"/>
    <w:rsid w:val="0065381D"/>
    <w:rsid w:val="006538AA"/>
    <w:rsid w:val="006538D7"/>
    <w:rsid w:val="00653B08"/>
    <w:rsid w:val="00653D6E"/>
    <w:rsid w:val="00653DD9"/>
    <w:rsid w:val="00653E22"/>
    <w:rsid w:val="00653F1B"/>
    <w:rsid w:val="006541D5"/>
    <w:rsid w:val="006542B4"/>
    <w:rsid w:val="00654385"/>
    <w:rsid w:val="006543C1"/>
    <w:rsid w:val="00654430"/>
    <w:rsid w:val="006545AA"/>
    <w:rsid w:val="0065466C"/>
    <w:rsid w:val="006546B2"/>
    <w:rsid w:val="0065471D"/>
    <w:rsid w:val="0065474E"/>
    <w:rsid w:val="00654777"/>
    <w:rsid w:val="006547AD"/>
    <w:rsid w:val="00654883"/>
    <w:rsid w:val="00654927"/>
    <w:rsid w:val="006549F1"/>
    <w:rsid w:val="00654BB3"/>
    <w:rsid w:val="00654CE4"/>
    <w:rsid w:val="00654D0A"/>
    <w:rsid w:val="00654D7B"/>
    <w:rsid w:val="00654E8F"/>
    <w:rsid w:val="0065506E"/>
    <w:rsid w:val="006551CD"/>
    <w:rsid w:val="0065532E"/>
    <w:rsid w:val="0065534C"/>
    <w:rsid w:val="006554B6"/>
    <w:rsid w:val="00655567"/>
    <w:rsid w:val="006555B4"/>
    <w:rsid w:val="0065574A"/>
    <w:rsid w:val="00655837"/>
    <w:rsid w:val="00655908"/>
    <w:rsid w:val="00655A87"/>
    <w:rsid w:val="00655A8A"/>
    <w:rsid w:val="00655B11"/>
    <w:rsid w:val="00655F44"/>
    <w:rsid w:val="00655F89"/>
    <w:rsid w:val="0065611F"/>
    <w:rsid w:val="006561AB"/>
    <w:rsid w:val="0065626C"/>
    <w:rsid w:val="006563CD"/>
    <w:rsid w:val="0065649F"/>
    <w:rsid w:val="00656963"/>
    <w:rsid w:val="0065696B"/>
    <w:rsid w:val="00656B1E"/>
    <w:rsid w:val="00656C23"/>
    <w:rsid w:val="00656D6D"/>
    <w:rsid w:val="00656D9A"/>
    <w:rsid w:val="00656E2A"/>
    <w:rsid w:val="00656EF4"/>
    <w:rsid w:val="00656EFA"/>
    <w:rsid w:val="006573A3"/>
    <w:rsid w:val="006573D5"/>
    <w:rsid w:val="006574A9"/>
    <w:rsid w:val="00657608"/>
    <w:rsid w:val="0065764B"/>
    <w:rsid w:val="006576F6"/>
    <w:rsid w:val="00657714"/>
    <w:rsid w:val="006577FA"/>
    <w:rsid w:val="00657858"/>
    <w:rsid w:val="006578E1"/>
    <w:rsid w:val="006579E8"/>
    <w:rsid w:val="00657B5E"/>
    <w:rsid w:val="00657C05"/>
    <w:rsid w:val="00657C7A"/>
    <w:rsid w:val="00657D0F"/>
    <w:rsid w:val="00657D7B"/>
    <w:rsid w:val="006600FF"/>
    <w:rsid w:val="0066030E"/>
    <w:rsid w:val="006603DA"/>
    <w:rsid w:val="00660422"/>
    <w:rsid w:val="00660488"/>
    <w:rsid w:val="00660509"/>
    <w:rsid w:val="00660551"/>
    <w:rsid w:val="00660558"/>
    <w:rsid w:val="00660569"/>
    <w:rsid w:val="0066057E"/>
    <w:rsid w:val="0066068B"/>
    <w:rsid w:val="006607DB"/>
    <w:rsid w:val="0066099F"/>
    <w:rsid w:val="00660A16"/>
    <w:rsid w:val="00660AFF"/>
    <w:rsid w:val="00660D09"/>
    <w:rsid w:val="00660E19"/>
    <w:rsid w:val="00660E52"/>
    <w:rsid w:val="00660FB5"/>
    <w:rsid w:val="006611E9"/>
    <w:rsid w:val="00661393"/>
    <w:rsid w:val="0066143A"/>
    <w:rsid w:val="0066147A"/>
    <w:rsid w:val="0066148D"/>
    <w:rsid w:val="00661546"/>
    <w:rsid w:val="00661596"/>
    <w:rsid w:val="006615F4"/>
    <w:rsid w:val="00661761"/>
    <w:rsid w:val="00661908"/>
    <w:rsid w:val="006619C6"/>
    <w:rsid w:val="00661AB4"/>
    <w:rsid w:val="00661AD9"/>
    <w:rsid w:val="0066201A"/>
    <w:rsid w:val="0066202E"/>
    <w:rsid w:val="006624AD"/>
    <w:rsid w:val="0066255F"/>
    <w:rsid w:val="006625A7"/>
    <w:rsid w:val="00662618"/>
    <w:rsid w:val="00662690"/>
    <w:rsid w:val="00662A28"/>
    <w:rsid w:val="00662B3A"/>
    <w:rsid w:val="00662B97"/>
    <w:rsid w:val="00662C6D"/>
    <w:rsid w:val="00662CAD"/>
    <w:rsid w:val="00662D0E"/>
    <w:rsid w:val="00662D81"/>
    <w:rsid w:val="00662E92"/>
    <w:rsid w:val="00662F70"/>
    <w:rsid w:val="00662FDD"/>
    <w:rsid w:val="00663121"/>
    <w:rsid w:val="0066314C"/>
    <w:rsid w:val="006631CD"/>
    <w:rsid w:val="00663224"/>
    <w:rsid w:val="006632D8"/>
    <w:rsid w:val="00663309"/>
    <w:rsid w:val="00663356"/>
    <w:rsid w:val="006633B6"/>
    <w:rsid w:val="006635AB"/>
    <w:rsid w:val="006635C8"/>
    <w:rsid w:val="00663639"/>
    <w:rsid w:val="006637AB"/>
    <w:rsid w:val="006637B2"/>
    <w:rsid w:val="006639B6"/>
    <w:rsid w:val="00663AB1"/>
    <w:rsid w:val="0066401F"/>
    <w:rsid w:val="0066407B"/>
    <w:rsid w:val="00664172"/>
    <w:rsid w:val="00664255"/>
    <w:rsid w:val="0066431C"/>
    <w:rsid w:val="00664368"/>
    <w:rsid w:val="00664371"/>
    <w:rsid w:val="0066442B"/>
    <w:rsid w:val="006644A3"/>
    <w:rsid w:val="006644F1"/>
    <w:rsid w:val="00664606"/>
    <w:rsid w:val="0066493F"/>
    <w:rsid w:val="006649E8"/>
    <w:rsid w:val="00664A9A"/>
    <w:rsid w:val="00664BCD"/>
    <w:rsid w:val="00664C37"/>
    <w:rsid w:val="00664C99"/>
    <w:rsid w:val="00664D06"/>
    <w:rsid w:val="00664D50"/>
    <w:rsid w:val="00664E14"/>
    <w:rsid w:val="00664E3E"/>
    <w:rsid w:val="00664E75"/>
    <w:rsid w:val="00664FD1"/>
    <w:rsid w:val="00664FEA"/>
    <w:rsid w:val="00664FF7"/>
    <w:rsid w:val="006651EA"/>
    <w:rsid w:val="00665410"/>
    <w:rsid w:val="006655E3"/>
    <w:rsid w:val="006656E9"/>
    <w:rsid w:val="006657F9"/>
    <w:rsid w:val="00665948"/>
    <w:rsid w:val="0066595C"/>
    <w:rsid w:val="00665A3B"/>
    <w:rsid w:val="00665AB7"/>
    <w:rsid w:val="00665B31"/>
    <w:rsid w:val="00665B9B"/>
    <w:rsid w:val="00665C21"/>
    <w:rsid w:val="00665D0B"/>
    <w:rsid w:val="00665EA1"/>
    <w:rsid w:val="00665EC9"/>
    <w:rsid w:val="00665F1B"/>
    <w:rsid w:val="0066627E"/>
    <w:rsid w:val="006662AF"/>
    <w:rsid w:val="006662F6"/>
    <w:rsid w:val="0066649E"/>
    <w:rsid w:val="006664A0"/>
    <w:rsid w:val="00666611"/>
    <w:rsid w:val="00666697"/>
    <w:rsid w:val="006667D0"/>
    <w:rsid w:val="006669DA"/>
    <w:rsid w:val="00666A01"/>
    <w:rsid w:val="00666A43"/>
    <w:rsid w:val="00666B12"/>
    <w:rsid w:val="00666B87"/>
    <w:rsid w:val="00666BD1"/>
    <w:rsid w:val="00666C21"/>
    <w:rsid w:val="00666C34"/>
    <w:rsid w:val="00666C8C"/>
    <w:rsid w:val="00666CFC"/>
    <w:rsid w:val="00666E07"/>
    <w:rsid w:val="00666E19"/>
    <w:rsid w:val="00666ECD"/>
    <w:rsid w:val="00666F09"/>
    <w:rsid w:val="00666F39"/>
    <w:rsid w:val="00667111"/>
    <w:rsid w:val="0066723C"/>
    <w:rsid w:val="006672D2"/>
    <w:rsid w:val="006672EC"/>
    <w:rsid w:val="006673B2"/>
    <w:rsid w:val="00667499"/>
    <w:rsid w:val="00667720"/>
    <w:rsid w:val="00667733"/>
    <w:rsid w:val="006677DF"/>
    <w:rsid w:val="0066797A"/>
    <w:rsid w:val="00667994"/>
    <w:rsid w:val="00667A58"/>
    <w:rsid w:val="00667B29"/>
    <w:rsid w:val="00667B5D"/>
    <w:rsid w:val="00667CB2"/>
    <w:rsid w:val="00667CF5"/>
    <w:rsid w:val="00667E1E"/>
    <w:rsid w:val="00667F36"/>
    <w:rsid w:val="00667FBD"/>
    <w:rsid w:val="00668A25"/>
    <w:rsid w:val="0067006E"/>
    <w:rsid w:val="00670126"/>
    <w:rsid w:val="006702E4"/>
    <w:rsid w:val="0067067D"/>
    <w:rsid w:val="006706BA"/>
    <w:rsid w:val="0067072C"/>
    <w:rsid w:val="00670775"/>
    <w:rsid w:val="006707B6"/>
    <w:rsid w:val="006707C2"/>
    <w:rsid w:val="0067080E"/>
    <w:rsid w:val="00670A21"/>
    <w:rsid w:val="00670A71"/>
    <w:rsid w:val="00670A9A"/>
    <w:rsid w:val="00670A9B"/>
    <w:rsid w:val="00670AA3"/>
    <w:rsid w:val="00670B74"/>
    <w:rsid w:val="00670BAC"/>
    <w:rsid w:val="00670C37"/>
    <w:rsid w:val="00670D2D"/>
    <w:rsid w:val="00670D4E"/>
    <w:rsid w:val="00670EAF"/>
    <w:rsid w:val="00670FAF"/>
    <w:rsid w:val="00671341"/>
    <w:rsid w:val="006714FA"/>
    <w:rsid w:val="0067193F"/>
    <w:rsid w:val="006719FA"/>
    <w:rsid w:val="00671B72"/>
    <w:rsid w:val="00671D58"/>
    <w:rsid w:val="00671DFB"/>
    <w:rsid w:val="00671EDF"/>
    <w:rsid w:val="00671F08"/>
    <w:rsid w:val="00671FA0"/>
    <w:rsid w:val="00671FCF"/>
    <w:rsid w:val="00671FD8"/>
    <w:rsid w:val="00671FF4"/>
    <w:rsid w:val="00671FF6"/>
    <w:rsid w:val="00672047"/>
    <w:rsid w:val="00672083"/>
    <w:rsid w:val="0067245D"/>
    <w:rsid w:val="00672537"/>
    <w:rsid w:val="00672652"/>
    <w:rsid w:val="00672703"/>
    <w:rsid w:val="006729CE"/>
    <w:rsid w:val="00672B09"/>
    <w:rsid w:val="00672C18"/>
    <w:rsid w:val="00672C97"/>
    <w:rsid w:val="00672C9A"/>
    <w:rsid w:val="00672CA5"/>
    <w:rsid w:val="0067308E"/>
    <w:rsid w:val="00673157"/>
    <w:rsid w:val="006732F0"/>
    <w:rsid w:val="0067330B"/>
    <w:rsid w:val="0067338C"/>
    <w:rsid w:val="00673443"/>
    <w:rsid w:val="0067348D"/>
    <w:rsid w:val="00673595"/>
    <w:rsid w:val="00673644"/>
    <w:rsid w:val="006736A1"/>
    <w:rsid w:val="00673805"/>
    <w:rsid w:val="00673ACB"/>
    <w:rsid w:val="00673B30"/>
    <w:rsid w:val="00673B42"/>
    <w:rsid w:val="00673C06"/>
    <w:rsid w:val="00673C30"/>
    <w:rsid w:val="00673C63"/>
    <w:rsid w:val="00673CA1"/>
    <w:rsid w:val="00673D6A"/>
    <w:rsid w:val="00673E2D"/>
    <w:rsid w:val="00674147"/>
    <w:rsid w:val="006741FE"/>
    <w:rsid w:val="00674310"/>
    <w:rsid w:val="00674366"/>
    <w:rsid w:val="0067441E"/>
    <w:rsid w:val="00674A1E"/>
    <w:rsid w:val="00674A6E"/>
    <w:rsid w:val="00674C15"/>
    <w:rsid w:val="00674CA4"/>
    <w:rsid w:val="00674ED3"/>
    <w:rsid w:val="006754E4"/>
    <w:rsid w:val="0067554C"/>
    <w:rsid w:val="0067557F"/>
    <w:rsid w:val="00675601"/>
    <w:rsid w:val="00675697"/>
    <w:rsid w:val="00675733"/>
    <w:rsid w:val="0067575C"/>
    <w:rsid w:val="006759F4"/>
    <w:rsid w:val="00675B1D"/>
    <w:rsid w:val="00675BFA"/>
    <w:rsid w:val="00675D97"/>
    <w:rsid w:val="00675F1D"/>
    <w:rsid w:val="00675F36"/>
    <w:rsid w:val="00675F48"/>
    <w:rsid w:val="00676130"/>
    <w:rsid w:val="00676157"/>
    <w:rsid w:val="006761E4"/>
    <w:rsid w:val="00676504"/>
    <w:rsid w:val="00676508"/>
    <w:rsid w:val="00676529"/>
    <w:rsid w:val="00676956"/>
    <w:rsid w:val="00676961"/>
    <w:rsid w:val="00676A31"/>
    <w:rsid w:val="00676A82"/>
    <w:rsid w:val="00676A86"/>
    <w:rsid w:val="00676AB0"/>
    <w:rsid w:val="00676B78"/>
    <w:rsid w:val="00676BDE"/>
    <w:rsid w:val="00676BE0"/>
    <w:rsid w:val="00676CAB"/>
    <w:rsid w:val="00676D34"/>
    <w:rsid w:val="00676D7E"/>
    <w:rsid w:val="00676EB3"/>
    <w:rsid w:val="00676F6E"/>
    <w:rsid w:val="00677464"/>
    <w:rsid w:val="006774B2"/>
    <w:rsid w:val="00677827"/>
    <w:rsid w:val="00677859"/>
    <w:rsid w:val="0067799D"/>
    <w:rsid w:val="00677A12"/>
    <w:rsid w:val="00677A80"/>
    <w:rsid w:val="00677BBD"/>
    <w:rsid w:val="00677C49"/>
    <w:rsid w:val="00677C60"/>
    <w:rsid w:val="00677C90"/>
    <w:rsid w:val="00677D64"/>
    <w:rsid w:val="00677D7C"/>
    <w:rsid w:val="00677F49"/>
    <w:rsid w:val="00677FC8"/>
    <w:rsid w:val="0067BAA5"/>
    <w:rsid w:val="00680551"/>
    <w:rsid w:val="00680746"/>
    <w:rsid w:val="0068088E"/>
    <w:rsid w:val="006808B0"/>
    <w:rsid w:val="00680A6E"/>
    <w:rsid w:val="00680A8C"/>
    <w:rsid w:val="00680AB7"/>
    <w:rsid w:val="00680B11"/>
    <w:rsid w:val="00680B6C"/>
    <w:rsid w:val="00680B78"/>
    <w:rsid w:val="00680C0B"/>
    <w:rsid w:val="00680CB2"/>
    <w:rsid w:val="00680D62"/>
    <w:rsid w:val="00680F2B"/>
    <w:rsid w:val="006810A9"/>
    <w:rsid w:val="006813C4"/>
    <w:rsid w:val="00681643"/>
    <w:rsid w:val="006818FB"/>
    <w:rsid w:val="00681A61"/>
    <w:rsid w:val="00681E3D"/>
    <w:rsid w:val="00681F6C"/>
    <w:rsid w:val="00681FAF"/>
    <w:rsid w:val="0068202E"/>
    <w:rsid w:val="0068246E"/>
    <w:rsid w:val="0068253E"/>
    <w:rsid w:val="0068256D"/>
    <w:rsid w:val="006825A6"/>
    <w:rsid w:val="006826D7"/>
    <w:rsid w:val="00682903"/>
    <w:rsid w:val="00682B97"/>
    <w:rsid w:val="00682BA3"/>
    <w:rsid w:val="00682C0F"/>
    <w:rsid w:val="00682C85"/>
    <w:rsid w:val="006830A1"/>
    <w:rsid w:val="006831E5"/>
    <w:rsid w:val="006831F6"/>
    <w:rsid w:val="00683203"/>
    <w:rsid w:val="00683397"/>
    <w:rsid w:val="006833B7"/>
    <w:rsid w:val="006833F8"/>
    <w:rsid w:val="00683464"/>
    <w:rsid w:val="006834DB"/>
    <w:rsid w:val="00683596"/>
    <w:rsid w:val="0068393E"/>
    <w:rsid w:val="0068396A"/>
    <w:rsid w:val="00683A82"/>
    <w:rsid w:val="00683AB1"/>
    <w:rsid w:val="00683ABD"/>
    <w:rsid w:val="00683AEF"/>
    <w:rsid w:val="00683C87"/>
    <w:rsid w:val="00683D78"/>
    <w:rsid w:val="00683E39"/>
    <w:rsid w:val="00683F97"/>
    <w:rsid w:val="006840DF"/>
    <w:rsid w:val="006842D1"/>
    <w:rsid w:val="00684309"/>
    <w:rsid w:val="00684401"/>
    <w:rsid w:val="0068452A"/>
    <w:rsid w:val="006845C7"/>
    <w:rsid w:val="0068463B"/>
    <w:rsid w:val="006846BE"/>
    <w:rsid w:val="00684750"/>
    <w:rsid w:val="0068475E"/>
    <w:rsid w:val="00684869"/>
    <w:rsid w:val="00684950"/>
    <w:rsid w:val="00684A65"/>
    <w:rsid w:val="00684A98"/>
    <w:rsid w:val="00684AF1"/>
    <w:rsid w:val="00684BBB"/>
    <w:rsid w:val="00684BDA"/>
    <w:rsid w:val="00684D85"/>
    <w:rsid w:val="00684E25"/>
    <w:rsid w:val="00684E84"/>
    <w:rsid w:val="00684F77"/>
    <w:rsid w:val="00684FFE"/>
    <w:rsid w:val="006852BC"/>
    <w:rsid w:val="006854B2"/>
    <w:rsid w:val="006855C0"/>
    <w:rsid w:val="006856A6"/>
    <w:rsid w:val="006856E4"/>
    <w:rsid w:val="00685753"/>
    <w:rsid w:val="006859D2"/>
    <w:rsid w:val="006859E2"/>
    <w:rsid w:val="00685A0B"/>
    <w:rsid w:val="00685B8C"/>
    <w:rsid w:val="00685C4D"/>
    <w:rsid w:val="00685CA5"/>
    <w:rsid w:val="00685D15"/>
    <w:rsid w:val="00685D96"/>
    <w:rsid w:val="00685DA3"/>
    <w:rsid w:val="00686058"/>
    <w:rsid w:val="006861F4"/>
    <w:rsid w:val="0068625D"/>
    <w:rsid w:val="00686322"/>
    <w:rsid w:val="00686492"/>
    <w:rsid w:val="0068655B"/>
    <w:rsid w:val="006866B1"/>
    <w:rsid w:val="006866EA"/>
    <w:rsid w:val="00686794"/>
    <w:rsid w:val="0068681E"/>
    <w:rsid w:val="00686B5D"/>
    <w:rsid w:val="00686B96"/>
    <w:rsid w:val="00686FB2"/>
    <w:rsid w:val="00687288"/>
    <w:rsid w:val="00687305"/>
    <w:rsid w:val="006874DE"/>
    <w:rsid w:val="00687622"/>
    <w:rsid w:val="00687628"/>
    <w:rsid w:val="006876AB"/>
    <w:rsid w:val="00687785"/>
    <w:rsid w:val="006877AE"/>
    <w:rsid w:val="00687857"/>
    <w:rsid w:val="00687BE0"/>
    <w:rsid w:val="00687D01"/>
    <w:rsid w:val="00687D3B"/>
    <w:rsid w:val="00687E4A"/>
    <w:rsid w:val="00687F1A"/>
    <w:rsid w:val="00687FC9"/>
    <w:rsid w:val="0068E73C"/>
    <w:rsid w:val="00690404"/>
    <w:rsid w:val="00690659"/>
    <w:rsid w:val="00690672"/>
    <w:rsid w:val="006907E5"/>
    <w:rsid w:val="00690834"/>
    <w:rsid w:val="00690897"/>
    <w:rsid w:val="006908BA"/>
    <w:rsid w:val="00690AA5"/>
    <w:rsid w:val="00690E56"/>
    <w:rsid w:val="00690F2F"/>
    <w:rsid w:val="00690F8C"/>
    <w:rsid w:val="00691227"/>
    <w:rsid w:val="00691279"/>
    <w:rsid w:val="006912D2"/>
    <w:rsid w:val="00691338"/>
    <w:rsid w:val="0069144A"/>
    <w:rsid w:val="006914EB"/>
    <w:rsid w:val="00691716"/>
    <w:rsid w:val="0069179B"/>
    <w:rsid w:val="00691A13"/>
    <w:rsid w:val="00691A9F"/>
    <w:rsid w:val="00691B23"/>
    <w:rsid w:val="00691CE7"/>
    <w:rsid w:val="00691D42"/>
    <w:rsid w:val="00691EAD"/>
    <w:rsid w:val="00691FD1"/>
    <w:rsid w:val="006920DD"/>
    <w:rsid w:val="006920EB"/>
    <w:rsid w:val="00692120"/>
    <w:rsid w:val="0069215A"/>
    <w:rsid w:val="0069217F"/>
    <w:rsid w:val="00692205"/>
    <w:rsid w:val="00692235"/>
    <w:rsid w:val="00692265"/>
    <w:rsid w:val="0069254E"/>
    <w:rsid w:val="00692703"/>
    <w:rsid w:val="00692865"/>
    <w:rsid w:val="006928BF"/>
    <w:rsid w:val="00692BC9"/>
    <w:rsid w:val="00692BCF"/>
    <w:rsid w:val="00692E14"/>
    <w:rsid w:val="00692E51"/>
    <w:rsid w:val="00692F33"/>
    <w:rsid w:val="006930DE"/>
    <w:rsid w:val="006931D3"/>
    <w:rsid w:val="006932ED"/>
    <w:rsid w:val="006934DB"/>
    <w:rsid w:val="00693687"/>
    <w:rsid w:val="00693695"/>
    <w:rsid w:val="00693A19"/>
    <w:rsid w:val="00693A58"/>
    <w:rsid w:val="00693CB3"/>
    <w:rsid w:val="00693E56"/>
    <w:rsid w:val="00693EFB"/>
    <w:rsid w:val="006940D1"/>
    <w:rsid w:val="006940F5"/>
    <w:rsid w:val="00694141"/>
    <w:rsid w:val="006941E9"/>
    <w:rsid w:val="006941F4"/>
    <w:rsid w:val="00694302"/>
    <w:rsid w:val="006944B9"/>
    <w:rsid w:val="006944BA"/>
    <w:rsid w:val="006945CB"/>
    <w:rsid w:val="0069465F"/>
    <w:rsid w:val="0069469B"/>
    <w:rsid w:val="006946F6"/>
    <w:rsid w:val="00694834"/>
    <w:rsid w:val="00694888"/>
    <w:rsid w:val="00694B96"/>
    <w:rsid w:val="00694BE9"/>
    <w:rsid w:val="00694C86"/>
    <w:rsid w:val="00694CD9"/>
    <w:rsid w:val="00694FF2"/>
    <w:rsid w:val="00695207"/>
    <w:rsid w:val="00695403"/>
    <w:rsid w:val="00695449"/>
    <w:rsid w:val="006955E4"/>
    <w:rsid w:val="0069564C"/>
    <w:rsid w:val="0069573E"/>
    <w:rsid w:val="00695843"/>
    <w:rsid w:val="0069590C"/>
    <w:rsid w:val="00695980"/>
    <w:rsid w:val="00695A54"/>
    <w:rsid w:val="00695A58"/>
    <w:rsid w:val="00695C4D"/>
    <w:rsid w:val="00695CD7"/>
    <w:rsid w:val="00695DA1"/>
    <w:rsid w:val="00695F82"/>
    <w:rsid w:val="0069602A"/>
    <w:rsid w:val="006960FF"/>
    <w:rsid w:val="00696112"/>
    <w:rsid w:val="006961E1"/>
    <w:rsid w:val="0069621B"/>
    <w:rsid w:val="0069621D"/>
    <w:rsid w:val="006962B0"/>
    <w:rsid w:val="006962D9"/>
    <w:rsid w:val="006963A2"/>
    <w:rsid w:val="006965D7"/>
    <w:rsid w:val="006966FC"/>
    <w:rsid w:val="00696967"/>
    <w:rsid w:val="00696C28"/>
    <w:rsid w:val="00696C33"/>
    <w:rsid w:val="00696C4F"/>
    <w:rsid w:val="00696EB6"/>
    <w:rsid w:val="00696FC1"/>
    <w:rsid w:val="006970EA"/>
    <w:rsid w:val="00697135"/>
    <w:rsid w:val="0069719C"/>
    <w:rsid w:val="00697488"/>
    <w:rsid w:val="006974E6"/>
    <w:rsid w:val="0069760A"/>
    <w:rsid w:val="00697924"/>
    <w:rsid w:val="00697AA7"/>
    <w:rsid w:val="00697B1E"/>
    <w:rsid w:val="00697CB0"/>
    <w:rsid w:val="00697DF4"/>
    <w:rsid w:val="00697EEA"/>
    <w:rsid w:val="0069AABF"/>
    <w:rsid w:val="006A000D"/>
    <w:rsid w:val="006A003B"/>
    <w:rsid w:val="006A00C3"/>
    <w:rsid w:val="006A0319"/>
    <w:rsid w:val="006A03AC"/>
    <w:rsid w:val="006A049D"/>
    <w:rsid w:val="006A04A4"/>
    <w:rsid w:val="006A04DF"/>
    <w:rsid w:val="006A0584"/>
    <w:rsid w:val="006A066F"/>
    <w:rsid w:val="006A0754"/>
    <w:rsid w:val="006A0808"/>
    <w:rsid w:val="006A0B10"/>
    <w:rsid w:val="006A0B85"/>
    <w:rsid w:val="006A0BA4"/>
    <w:rsid w:val="006A0E31"/>
    <w:rsid w:val="006A12B9"/>
    <w:rsid w:val="006A147E"/>
    <w:rsid w:val="006A161D"/>
    <w:rsid w:val="006A1676"/>
    <w:rsid w:val="006A172A"/>
    <w:rsid w:val="006A1772"/>
    <w:rsid w:val="006A1AAD"/>
    <w:rsid w:val="006A1B1E"/>
    <w:rsid w:val="006A1B29"/>
    <w:rsid w:val="006A1B4B"/>
    <w:rsid w:val="006A1C19"/>
    <w:rsid w:val="006A1D40"/>
    <w:rsid w:val="006A1EE2"/>
    <w:rsid w:val="006A1EE8"/>
    <w:rsid w:val="006A1FFE"/>
    <w:rsid w:val="006A2147"/>
    <w:rsid w:val="006A22A8"/>
    <w:rsid w:val="006A23A6"/>
    <w:rsid w:val="006A24F5"/>
    <w:rsid w:val="006A250C"/>
    <w:rsid w:val="006A2518"/>
    <w:rsid w:val="006A2655"/>
    <w:rsid w:val="006A26FA"/>
    <w:rsid w:val="006A28B1"/>
    <w:rsid w:val="006A2B02"/>
    <w:rsid w:val="006A2BF4"/>
    <w:rsid w:val="006A2C2B"/>
    <w:rsid w:val="006A2C87"/>
    <w:rsid w:val="006A2C8D"/>
    <w:rsid w:val="006A2CD6"/>
    <w:rsid w:val="006A2D88"/>
    <w:rsid w:val="006A3181"/>
    <w:rsid w:val="006A3292"/>
    <w:rsid w:val="006A335C"/>
    <w:rsid w:val="006A33DF"/>
    <w:rsid w:val="006A34C0"/>
    <w:rsid w:val="006A35BB"/>
    <w:rsid w:val="006A368C"/>
    <w:rsid w:val="006A37EB"/>
    <w:rsid w:val="006A3966"/>
    <w:rsid w:val="006A39BF"/>
    <w:rsid w:val="006A3A2D"/>
    <w:rsid w:val="006A3A5B"/>
    <w:rsid w:val="006A3B4B"/>
    <w:rsid w:val="006A3D20"/>
    <w:rsid w:val="006A3E58"/>
    <w:rsid w:val="006A3E63"/>
    <w:rsid w:val="006A419B"/>
    <w:rsid w:val="006A441E"/>
    <w:rsid w:val="006A44FC"/>
    <w:rsid w:val="006A461F"/>
    <w:rsid w:val="006A4774"/>
    <w:rsid w:val="006A478F"/>
    <w:rsid w:val="006A47B8"/>
    <w:rsid w:val="006A488B"/>
    <w:rsid w:val="006A4892"/>
    <w:rsid w:val="006A4936"/>
    <w:rsid w:val="006A4942"/>
    <w:rsid w:val="006A495F"/>
    <w:rsid w:val="006A4A53"/>
    <w:rsid w:val="006A4A9F"/>
    <w:rsid w:val="006A4C62"/>
    <w:rsid w:val="006A4DFE"/>
    <w:rsid w:val="006A4EB7"/>
    <w:rsid w:val="006A5145"/>
    <w:rsid w:val="006A528F"/>
    <w:rsid w:val="006A52D9"/>
    <w:rsid w:val="006A5569"/>
    <w:rsid w:val="006A558E"/>
    <w:rsid w:val="006A55C0"/>
    <w:rsid w:val="006A55E0"/>
    <w:rsid w:val="006A5709"/>
    <w:rsid w:val="006A57DD"/>
    <w:rsid w:val="006A5A58"/>
    <w:rsid w:val="006A5ACF"/>
    <w:rsid w:val="006A5BA9"/>
    <w:rsid w:val="006A5C89"/>
    <w:rsid w:val="006A5C8A"/>
    <w:rsid w:val="006A5CAA"/>
    <w:rsid w:val="006A5EFB"/>
    <w:rsid w:val="006A5FA5"/>
    <w:rsid w:val="006A606E"/>
    <w:rsid w:val="006A60EE"/>
    <w:rsid w:val="006A62F6"/>
    <w:rsid w:val="006A641C"/>
    <w:rsid w:val="006A64FC"/>
    <w:rsid w:val="006A6541"/>
    <w:rsid w:val="006A6D1E"/>
    <w:rsid w:val="006A6E60"/>
    <w:rsid w:val="006A70F0"/>
    <w:rsid w:val="006A7123"/>
    <w:rsid w:val="006A7314"/>
    <w:rsid w:val="006A73F5"/>
    <w:rsid w:val="006A74D8"/>
    <w:rsid w:val="006A7A03"/>
    <w:rsid w:val="006A7A74"/>
    <w:rsid w:val="006A7B35"/>
    <w:rsid w:val="006A7CF6"/>
    <w:rsid w:val="006A7DA1"/>
    <w:rsid w:val="006A7E0E"/>
    <w:rsid w:val="006A7E26"/>
    <w:rsid w:val="006A7EDF"/>
    <w:rsid w:val="006A7F1E"/>
    <w:rsid w:val="006B0115"/>
    <w:rsid w:val="006B0135"/>
    <w:rsid w:val="006B020F"/>
    <w:rsid w:val="006B04BA"/>
    <w:rsid w:val="006B0509"/>
    <w:rsid w:val="006B087E"/>
    <w:rsid w:val="006B08D1"/>
    <w:rsid w:val="006B0A8F"/>
    <w:rsid w:val="006B0AA2"/>
    <w:rsid w:val="006B0AA5"/>
    <w:rsid w:val="006B0ACF"/>
    <w:rsid w:val="006B0C99"/>
    <w:rsid w:val="006B0D9D"/>
    <w:rsid w:val="006B0DC8"/>
    <w:rsid w:val="006B0F42"/>
    <w:rsid w:val="006B10B4"/>
    <w:rsid w:val="006B12A1"/>
    <w:rsid w:val="006B13B1"/>
    <w:rsid w:val="006B146C"/>
    <w:rsid w:val="006B149D"/>
    <w:rsid w:val="006B14DC"/>
    <w:rsid w:val="006B1582"/>
    <w:rsid w:val="006B1800"/>
    <w:rsid w:val="006B18D6"/>
    <w:rsid w:val="006B1946"/>
    <w:rsid w:val="006B197A"/>
    <w:rsid w:val="006B1B4D"/>
    <w:rsid w:val="006B1D86"/>
    <w:rsid w:val="006B1E57"/>
    <w:rsid w:val="006B1F21"/>
    <w:rsid w:val="006B2010"/>
    <w:rsid w:val="006B2097"/>
    <w:rsid w:val="006B21AA"/>
    <w:rsid w:val="006B2248"/>
    <w:rsid w:val="006B2259"/>
    <w:rsid w:val="006B22C1"/>
    <w:rsid w:val="006B22F8"/>
    <w:rsid w:val="006B251F"/>
    <w:rsid w:val="006B26B1"/>
    <w:rsid w:val="006B26C3"/>
    <w:rsid w:val="006B276E"/>
    <w:rsid w:val="006B27AF"/>
    <w:rsid w:val="006B29C6"/>
    <w:rsid w:val="006B2A1E"/>
    <w:rsid w:val="006B2A73"/>
    <w:rsid w:val="006B2B88"/>
    <w:rsid w:val="006B2BEA"/>
    <w:rsid w:val="006B2CF0"/>
    <w:rsid w:val="006B2E50"/>
    <w:rsid w:val="006B2EBF"/>
    <w:rsid w:val="006B3023"/>
    <w:rsid w:val="006B30E8"/>
    <w:rsid w:val="006B32E1"/>
    <w:rsid w:val="006B3461"/>
    <w:rsid w:val="006B3466"/>
    <w:rsid w:val="006B34D0"/>
    <w:rsid w:val="006B3519"/>
    <w:rsid w:val="006B3530"/>
    <w:rsid w:val="006B359F"/>
    <w:rsid w:val="006B365D"/>
    <w:rsid w:val="006B3823"/>
    <w:rsid w:val="006B38C7"/>
    <w:rsid w:val="006B395F"/>
    <w:rsid w:val="006B3A36"/>
    <w:rsid w:val="006B3ADD"/>
    <w:rsid w:val="006B3D7A"/>
    <w:rsid w:val="006B3DDF"/>
    <w:rsid w:val="006B3FDA"/>
    <w:rsid w:val="006B4030"/>
    <w:rsid w:val="006B4122"/>
    <w:rsid w:val="006B4197"/>
    <w:rsid w:val="006B4245"/>
    <w:rsid w:val="006B42B3"/>
    <w:rsid w:val="006B43B0"/>
    <w:rsid w:val="006B446A"/>
    <w:rsid w:val="006B4482"/>
    <w:rsid w:val="006B44F2"/>
    <w:rsid w:val="006B44FB"/>
    <w:rsid w:val="006B4553"/>
    <w:rsid w:val="006B45FF"/>
    <w:rsid w:val="006B477B"/>
    <w:rsid w:val="006B47D0"/>
    <w:rsid w:val="006B4853"/>
    <w:rsid w:val="006B4878"/>
    <w:rsid w:val="006B4A18"/>
    <w:rsid w:val="006B4A9C"/>
    <w:rsid w:val="006B4EB5"/>
    <w:rsid w:val="006B4EDA"/>
    <w:rsid w:val="006B4F6F"/>
    <w:rsid w:val="006B50BC"/>
    <w:rsid w:val="006B5260"/>
    <w:rsid w:val="006B5279"/>
    <w:rsid w:val="006B53F8"/>
    <w:rsid w:val="006B5478"/>
    <w:rsid w:val="006B560E"/>
    <w:rsid w:val="006B5716"/>
    <w:rsid w:val="006B5727"/>
    <w:rsid w:val="006B5824"/>
    <w:rsid w:val="006B5943"/>
    <w:rsid w:val="006B5BB9"/>
    <w:rsid w:val="006B5BDA"/>
    <w:rsid w:val="006B5BE7"/>
    <w:rsid w:val="006B5DDB"/>
    <w:rsid w:val="006B5E41"/>
    <w:rsid w:val="006B5F57"/>
    <w:rsid w:val="006B5F67"/>
    <w:rsid w:val="006B5FB0"/>
    <w:rsid w:val="006B5FE3"/>
    <w:rsid w:val="006B603D"/>
    <w:rsid w:val="006B621E"/>
    <w:rsid w:val="006B6249"/>
    <w:rsid w:val="006B63ED"/>
    <w:rsid w:val="006B658B"/>
    <w:rsid w:val="006B6627"/>
    <w:rsid w:val="006B6728"/>
    <w:rsid w:val="006B68AB"/>
    <w:rsid w:val="006B698C"/>
    <w:rsid w:val="006B6A5A"/>
    <w:rsid w:val="006B6CB2"/>
    <w:rsid w:val="006B6D7D"/>
    <w:rsid w:val="006B6EAE"/>
    <w:rsid w:val="006B6EBF"/>
    <w:rsid w:val="006B6F7A"/>
    <w:rsid w:val="006B7319"/>
    <w:rsid w:val="006B7352"/>
    <w:rsid w:val="006B73DA"/>
    <w:rsid w:val="006B743A"/>
    <w:rsid w:val="006B754F"/>
    <w:rsid w:val="006B76A9"/>
    <w:rsid w:val="006B76F2"/>
    <w:rsid w:val="006B782B"/>
    <w:rsid w:val="006B7877"/>
    <w:rsid w:val="006B78A7"/>
    <w:rsid w:val="006B7A77"/>
    <w:rsid w:val="006B7CB0"/>
    <w:rsid w:val="006B7CBA"/>
    <w:rsid w:val="006B7E13"/>
    <w:rsid w:val="006BA94E"/>
    <w:rsid w:val="006C0025"/>
    <w:rsid w:val="006C024C"/>
    <w:rsid w:val="006C04A9"/>
    <w:rsid w:val="006C050A"/>
    <w:rsid w:val="006C087E"/>
    <w:rsid w:val="006C0D2A"/>
    <w:rsid w:val="006C0D98"/>
    <w:rsid w:val="006C0DCA"/>
    <w:rsid w:val="006C0E13"/>
    <w:rsid w:val="006C1082"/>
    <w:rsid w:val="006C119C"/>
    <w:rsid w:val="006C1278"/>
    <w:rsid w:val="006C12C7"/>
    <w:rsid w:val="006C1549"/>
    <w:rsid w:val="006C15B1"/>
    <w:rsid w:val="006C1715"/>
    <w:rsid w:val="006C171D"/>
    <w:rsid w:val="006C177F"/>
    <w:rsid w:val="006C191E"/>
    <w:rsid w:val="006C1A9B"/>
    <w:rsid w:val="006C1D29"/>
    <w:rsid w:val="006C1D64"/>
    <w:rsid w:val="006C1D9E"/>
    <w:rsid w:val="006C1E11"/>
    <w:rsid w:val="006C1F04"/>
    <w:rsid w:val="006C1F61"/>
    <w:rsid w:val="006C1F72"/>
    <w:rsid w:val="006C201F"/>
    <w:rsid w:val="006C2198"/>
    <w:rsid w:val="006C2336"/>
    <w:rsid w:val="006C23A3"/>
    <w:rsid w:val="006C26A7"/>
    <w:rsid w:val="006C26C4"/>
    <w:rsid w:val="006C281B"/>
    <w:rsid w:val="006C28D6"/>
    <w:rsid w:val="006C2AA1"/>
    <w:rsid w:val="006C2ACB"/>
    <w:rsid w:val="006C2C16"/>
    <w:rsid w:val="006C2C3B"/>
    <w:rsid w:val="006C2DFB"/>
    <w:rsid w:val="006C2E46"/>
    <w:rsid w:val="006C2EA9"/>
    <w:rsid w:val="006C2EEA"/>
    <w:rsid w:val="006C2FFF"/>
    <w:rsid w:val="006C30F8"/>
    <w:rsid w:val="006C31E6"/>
    <w:rsid w:val="006C3210"/>
    <w:rsid w:val="006C32A3"/>
    <w:rsid w:val="006C32D6"/>
    <w:rsid w:val="006C342C"/>
    <w:rsid w:val="006C34FB"/>
    <w:rsid w:val="006C3506"/>
    <w:rsid w:val="006C35B9"/>
    <w:rsid w:val="006C36FC"/>
    <w:rsid w:val="006C379E"/>
    <w:rsid w:val="006C3A31"/>
    <w:rsid w:val="006C3B3A"/>
    <w:rsid w:val="006C3E8A"/>
    <w:rsid w:val="006C3F5D"/>
    <w:rsid w:val="006C3F95"/>
    <w:rsid w:val="006C3FDC"/>
    <w:rsid w:val="006C432E"/>
    <w:rsid w:val="006C4331"/>
    <w:rsid w:val="006C4411"/>
    <w:rsid w:val="006C44E3"/>
    <w:rsid w:val="006C4557"/>
    <w:rsid w:val="006C45F2"/>
    <w:rsid w:val="006C46F8"/>
    <w:rsid w:val="006C47B0"/>
    <w:rsid w:val="006C47E9"/>
    <w:rsid w:val="006C4858"/>
    <w:rsid w:val="006C4A62"/>
    <w:rsid w:val="006C4D4C"/>
    <w:rsid w:val="006C4D60"/>
    <w:rsid w:val="006C4DD7"/>
    <w:rsid w:val="006C4E78"/>
    <w:rsid w:val="006C4F24"/>
    <w:rsid w:val="006C4FE8"/>
    <w:rsid w:val="006C5010"/>
    <w:rsid w:val="006C5088"/>
    <w:rsid w:val="006C5134"/>
    <w:rsid w:val="006C5344"/>
    <w:rsid w:val="006C53D6"/>
    <w:rsid w:val="006C5529"/>
    <w:rsid w:val="006C5649"/>
    <w:rsid w:val="006C5677"/>
    <w:rsid w:val="006C570A"/>
    <w:rsid w:val="006C57E7"/>
    <w:rsid w:val="006C58ED"/>
    <w:rsid w:val="006C5B4D"/>
    <w:rsid w:val="006C5B87"/>
    <w:rsid w:val="006C5C36"/>
    <w:rsid w:val="006C5C86"/>
    <w:rsid w:val="006C5CD4"/>
    <w:rsid w:val="006C5E38"/>
    <w:rsid w:val="006C5E5F"/>
    <w:rsid w:val="006C5F58"/>
    <w:rsid w:val="006C5FAE"/>
    <w:rsid w:val="006C5FBB"/>
    <w:rsid w:val="006C5FEF"/>
    <w:rsid w:val="006C6038"/>
    <w:rsid w:val="006C61E5"/>
    <w:rsid w:val="006C6208"/>
    <w:rsid w:val="006C6401"/>
    <w:rsid w:val="006C6489"/>
    <w:rsid w:val="006C6565"/>
    <w:rsid w:val="006C6674"/>
    <w:rsid w:val="006C69EE"/>
    <w:rsid w:val="006C6B42"/>
    <w:rsid w:val="006C6B99"/>
    <w:rsid w:val="006C6E52"/>
    <w:rsid w:val="006C7163"/>
    <w:rsid w:val="006C72A5"/>
    <w:rsid w:val="006C7394"/>
    <w:rsid w:val="006C7527"/>
    <w:rsid w:val="006C76D9"/>
    <w:rsid w:val="006C770E"/>
    <w:rsid w:val="006C7B5C"/>
    <w:rsid w:val="006C7BA3"/>
    <w:rsid w:val="006C7BCA"/>
    <w:rsid w:val="006C7DCA"/>
    <w:rsid w:val="006C7E23"/>
    <w:rsid w:val="006C7E49"/>
    <w:rsid w:val="006C7F4D"/>
    <w:rsid w:val="006CD6BF"/>
    <w:rsid w:val="006CF0AE"/>
    <w:rsid w:val="006D010E"/>
    <w:rsid w:val="006D0276"/>
    <w:rsid w:val="006D02A8"/>
    <w:rsid w:val="006D031D"/>
    <w:rsid w:val="006D03B8"/>
    <w:rsid w:val="006D0412"/>
    <w:rsid w:val="006D0660"/>
    <w:rsid w:val="006D0899"/>
    <w:rsid w:val="006D093D"/>
    <w:rsid w:val="006D0944"/>
    <w:rsid w:val="006D09BC"/>
    <w:rsid w:val="006D0A32"/>
    <w:rsid w:val="006D0A7C"/>
    <w:rsid w:val="006D0B36"/>
    <w:rsid w:val="006D0BA7"/>
    <w:rsid w:val="006D0BA8"/>
    <w:rsid w:val="006D0C68"/>
    <w:rsid w:val="006D0CDD"/>
    <w:rsid w:val="006D0E1C"/>
    <w:rsid w:val="006D0F16"/>
    <w:rsid w:val="006D0F26"/>
    <w:rsid w:val="006D11D1"/>
    <w:rsid w:val="006D11FE"/>
    <w:rsid w:val="006D13FE"/>
    <w:rsid w:val="006D143B"/>
    <w:rsid w:val="006D15BC"/>
    <w:rsid w:val="006D16F5"/>
    <w:rsid w:val="006D180D"/>
    <w:rsid w:val="006D1A93"/>
    <w:rsid w:val="006D1AF2"/>
    <w:rsid w:val="006D1C33"/>
    <w:rsid w:val="006D1E5A"/>
    <w:rsid w:val="006D1EAE"/>
    <w:rsid w:val="006D2243"/>
    <w:rsid w:val="006D24A9"/>
    <w:rsid w:val="006D2524"/>
    <w:rsid w:val="006D25C9"/>
    <w:rsid w:val="006D2734"/>
    <w:rsid w:val="006D27B4"/>
    <w:rsid w:val="006D282F"/>
    <w:rsid w:val="006D2943"/>
    <w:rsid w:val="006D29B9"/>
    <w:rsid w:val="006D2C90"/>
    <w:rsid w:val="006D2F41"/>
    <w:rsid w:val="006D2F94"/>
    <w:rsid w:val="006D3212"/>
    <w:rsid w:val="006D3260"/>
    <w:rsid w:val="006D32DC"/>
    <w:rsid w:val="006D33FA"/>
    <w:rsid w:val="006D344A"/>
    <w:rsid w:val="006D347F"/>
    <w:rsid w:val="006D3535"/>
    <w:rsid w:val="006D3613"/>
    <w:rsid w:val="006D36E5"/>
    <w:rsid w:val="006D375C"/>
    <w:rsid w:val="006D3822"/>
    <w:rsid w:val="006D38AB"/>
    <w:rsid w:val="006D39C9"/>
    <w:rsid w:val="006D3A64"/>
    <w:rsid w:val="006D3A7C"/>
    <w:rsid w:val="006D3D64"/>
    <w:rsid w:val="006D3E11"/>
    <w:rsid w:val="006D3E54"/>
    <w:rsid w:val="006D3EB1"/>
    <w:rsid w:val="006D3F37"/>
    <w:rsid w:val="006D3FD8"/>
    <w:rsid w:val="006D4062"/>
    <w:rsid w:val="006D409F"/>
    <w:rsid w:val="006D41A3"/>
    <w:rsid w:val="006D4234"/>
    <w:rsid w:val="006D4267"/>
    <w:rsid w:val="006D427D"/>
    <w:rsid w:val="006D4536"/>
    <w:rsid w:val="006D45A6"/>
    <w:rsid w:val="006D465E"/>
    <w:rsid w:val="006D471B"/>
    <w:rsid w:val="006D4737"/>
    <w:rsid w:val="006D4763"/>
    <w:rsid w:val="006D48EC"/>
    <w:rsid w:val="006D4943"/>
    <w:rsid w:val="006D49B6"/>
    <w:rsid w:val="006D4C0A"/>
    <w:rsid w:val="006D4D48"/>
    <w:rsid w:val="006D4E2D"/>
    <w:rsid w:val="006D4FAB"/>
    <w:rsid w:val="006D508A"/>
    <w:rsid w:val="006D5219"/>
    <w:rsid w:val="006D5355"/>
    <w:rsid w:val="006D53BB"/>
    <w:rsid w:val="006D53F9"/>
    <w:rsid w:val="006D5526"/>
    <w:rsid w:val="006D55F3"/>
    <w:rsid w:val="006D56CE"/>
    <w:rsid w:val="006D5927"/>
    <w:rsid w:val="006D5947"/>
    <w:rsid w:val="006D5CCD"/>
    <w:rsid w:val="006D6025"/>
    <w:rsid w:val="006D6058"/>
    <w:rsid w:val="006D60A3"/>
    <w:rsid w:val="006D60A9"/>
    <w:rsid w:val="006D610F"/>
    <w:rsid w:val="006D6302"/>
    <w:rsid w:val="006D63BF"/>
    <w:rsid w:val="006D65D2"/>
    <w:rsid w:val="006D66F8"/>
    <w:rsid w:val="006D6815"/>
    <w:rsid w:val="006D68AD"/>
    <w:rsid w:val="006D68F1"/>
    <w:rsid w:val="006D6991"/>
    <w:rsid w:val="006D6A36"/>
    <w:rsid w:val="006D6AA8"/>
    <w:rsid w:val="006D6BB9"/>
    <w:rsid w:val="006D6C77"/>
    <w:rsid w:val="006D6E6D"/>
    <w:rsid w:val="006D6F0F"/>
    <w:rsid w:val="006D6F2A"/>
    <w:rsid w:val="006D70B0"/>
    <w:rsid w:val="006D72EF"/>
    <w:rsid w:val="006D73AB"/>
    <w:rsid w:val="006D74CF"/>
    <w:rsid w:val="006D74EC"/>
    <w:rsid w:val="006D7741"/>
    <w:rsid w:val="006D77ED"/>
    <w:rsid w:val="006D7ABF"/>
    <w:rsid w:val="006D7B0D"/>
    <w:rsid w:val="006D7BBD"/>
    <w:rsid w:val="006D7DB5"/>
    <w:rsid w:val="006D7DC7"/>
    <w:rsid w:val="006D7EDB"/>
    <w:rsid w:val="006D7EDF"/>
    <w:rsid w:val="006D7FD6"/>
    <w:rsid w:val="006E0125"/>
    <w:rsid w:val="006E015A"/>
    <w:rsid w:val="006E01F8"/>
    <w:rsid w:val="006E01F9"/>
    <w:rsid w:val="006E0310"/>
    <w:rsid w:val="006E05AE"/>
    <w:rsid w:val="006E0660"/>
    <w:rsid w:val="006E0709"/>
    <w:rsid w:val="006E076B"/>
    <w:rsid w:val="006E09FA"/>
    <w:rsid w:val="006E09FE"/>
    <w:rsid w:val="006E0AB4"/>
    <w:rsid w:val="006E0AE8"/>
    <w:rsid w:val="006E0B20"/>
    <w:rsid w:val="006E0F03"/>
    <w:rsid w:val="006E1011"/>
    <w:rsid w:val="006E117E"/>
    <w:rsid w:val="006E118E"/>
    <w:rsid w:val="006E1205"/>
    <w:rsid w:val="006E1355"/>
    <w:rsid w:val="006E13B8"/>
    <w:rsid w:val="006E13FB"/>
    <w:rsid w:val="006E1702"/>
    <w:rsid w:val="006E1750"/>
    <w:rsid w:val="006E18B7"/>
    <w:rsid w:val="006E1915"/>
    <w:rsid w:val="006E199D"/>
    <w:rsid w:val="006E1BD8"/>
    <w:rsid w:val="006E1D4C"/>
    <w:rsid w:val="006E1D97"/>
    <w:rsid w:val="006E1DA5"/>
    <w:rsid w:val="006E1DFC"/>
    <w:rsid w:val="006E1EC8"/>
    <w:rsid w:val="006E1EE1"/>
    <w:rsid w:val="006E1F1A"/>
    <w:rsid w:val="006E1FAB"/>
    <w:rsid w:val="006E23EB"/>
    <w:rsid w:val="006E24B5"/>
    <w:rsid w:val="006E2502"/>
    <w:rsid w:val="006E2507"/>
    <w:rsid w:val="006E2951"/>
    <w:rsid w:val="006E2C53"/>
    <w:rsid w:val="006E2C6A"/>
    <w:rsid w:val="006E2FE9"/>
    <w:rsid w:val="006E315A"/>
    <w:rsid w:val="006E31D5"/>
    <w:rsid w:val="006E3241"/>
    <w:rsid w:val="006E3491"/>
    <w:rsid w:val="006E35AC"/>
    <w:rsid w:val="006E367D"/>
    <w:rsid w:val="006E39EB"/>
    <w:rsid w:val="006E3DD2"/>
    <w:rsid w:val="006E3E61"/>
    <w:rsid w:val="006E400C"/>
    <w:rsid w:val="006E4117"/>
    <w:rsid w:val="006E4134"/>
    <w:rsid w:val="006E416A"/>
    <w:rsid w:val="006E425A"/>
    <w:rsid w:val="006E426A"/>
    <w:rsid w:val="006E445C"/>
    <w:rsid w:val="006E45CF"/>
    <w:rsid w:val="006E474F"/>
    <w:rsid w:val="006E475B"/>
    <w:rsid w:val="006E49EC"/>
    <w:rsid w:val="006E4ABA"/>
    <w:rsid w:val="006E4AEA"/>
    <w:rsid w:val="006E4DB3"/>
    <w:rsid w:val="006E4F45"/>
    <w:rsid w:val="006E4FBE"/>
    <w:rsid w:val="006E5019"/>
    <w:rsid w:val="006E503F"/>
    <w:rsid w:val="006E50B1"/>
    <w:rsid w:val="006E50C4"/>
    <w:rsid w:val="006E51D6"/>
    <w:rsid w:val="006E54A4"/>
    <w:rsid w:val="006E5577"/>
    <w:rsid w:val="006E5600"/>
    <w:rsid w:val="006E5615"/>
    <w:rsid w:val="006E5673"/>
    <w:rsid w:val="006E577C"/>
    <w:rsid w:val="006E5945"/>
    <w:rsid w:val="006E5BC5"/>
    <w:rsid w:val="006E5E73"/>
    <w:rsid w:val="006E5E8C"/>
    <w:rsid w:val="006E5F8D"/>
    <w:rsid w:val="006E606C"/>
    <w:rsid w:val="006E60CB"/>
    <w:rsid w:val="006E6184"/>
    <w:rsid w:val="006E61EE"/>
    <w:rsid w:val="006E638A"/>
    <w:rsid w:val="006E656A"/>
    <w:rsid w:val="006E65A2"/>
    <w:rsid w:val="006E65FA"/>
    <w:rsid w:val="006E6756"/>
    <w:rsid w:val="006E681A"/>
    <w:rsid w:val="006E6903"/>
    <w:rsid w:val="006E6942"/>
    <w:rsid w:val="006E6A49"/>
    <w:rsid w:val="006E6B11"/>
    <w:rsid w:val="006E6B96"/>
    <w:rsid w:val="006E6C05"/>
    <w:rsid w:val="006E6C5E"/>
    <w:rsid w:val="006E6C88"/>
    <w:rsid w:val="006E6CE9"/>
    <w:rsid w:val="006E6E3A"/>
    <w:rsid w:val="006E6F51"/>
    <w:rsid w:val="006E7477"/>
    <w:rsid w:val="006E7743"/>
    <w:rsid w:val="006E78F7"/>
    <w:rsid w:val="006E7BC9"/>
    <w:rsid w:val="006E7C20"/>
    <w:rsid w:val="006E7CF0"/>
    <w:rsid w:val="006E7DAD"/>
    <w:rsid w:val="006F003A"/>
    <w:rsid w:val="006F03BC"/>
    <w:rsid w:val="006F03FA"/>
    <w:rsid w:val="006F04DC"/>
    <w:rsid w:val="006F0502"/>
    <w:rsid w:val="006F0624"/>
    <w:rsid w:val="006F0761"/>
    <w:rsid w:val="006F07CF"/>
    <w:rsid w:val="006F0847"/>
    <w:rsid w:val="006F08CB"/>
    <w:rsid w:val="006F0A74"/>
    <w:rsid w:val="006F0B7D"/>
    <w:rsid w:val="006F0BDB"/>
    <w:rsid w:val="006F0F48"/>
    <w:rsid w:val="006F0FE9"/>
    <w:rsid w:val="006F10DC"/>
    <w:rsid w:val="006F125E"/>
    <w:rsid w:val="006F12A5"/>
    <w:rsid w:val="006F12E0"/>
    <w:rsid w:val="006F1317"/>
    <w:rsid w:val="006F1391"/>
    <w:rsid w:val="006F14AE"/>
    <w:rsid w:val="006F1679"/>
    <w:rsid w:val="006F16BC"/>
    <w:rsid w:val="006F16E5"/>
    <w:rsid w:val="006F1945"/>
    <w:rsid w:val="006F1AC8"/>
    <w:rsid w:val="006F1B47"/>
    <w:rsid w:val="006F1BE1"/>
    <w:rsid w:val="006F1CC2"/>
    <w:rsid w:val="006F1DA7"/>
    <w:rsid w:val="006F1E44"/>
    <w:rsid w:val="006F205E"/>
    <w:rsid w:val="006F2161"/>
    <w:rsid w:val="006F216A"/>
    <w:rsid w:val="006F22C1"/>
    <w:rsid w:val="006F22DC"/>
    <w:rsid w:val="006F25CD"/>
    <w:rsid w:val="006F25E0"/>
    <w:rsid w:val="006F25FC"/>
    <w:rsid w:val="006F2621"/>
    <w:rsid w:val="006F2643"/>
    <w:rsid w:val="006F26DA"/>
    <w:rsid w:val="006F26F0"/>
    <w:rsid w:val="006F28A3"/>
    <w:rsid w:val="006F28D1"/>
    <w:rsid w:val="006F2B14"/>
    <w:rsid w:val="006F2C0E"/>
    <w:rsid w:val="006F2C7C"/>
    <w:rsid w:val="006F2CD8"/>
    <w:rsid w:val="006F2D3B"/>
    <w:rsid w:val="006F2DDA"/>
    <w:rsid w:val="006F3056"/>
    <w:rsid w:val="006F3188"/>
    <w:rsid w:val="006F31E5"/>
    <w:rsid w:val="006F3257"/>
    <w:rsid w:val="006F358F"/>
    <w:rsid w:val="006F3727"/>
    <w:rsid w:val="006F3895"/>
    <w:rsid w:val="006F38A9"/>
    <w:rsid w:val="006F38DC"/>
    <w:rsid w:val="006F3D88"/>
    <w:rsid w:val="006F3DAA"/>
    <w:rsid w:val="006F3DD7"/>
    <w:rsid w:val="006F3F01"/>
    <w:rsid w:val="006F3FCD"/>
    <w:rsid w:val="006F40B8"/>
    <w:rsid w:val="006F41A4"/>
    <w:rsid w:val="006F4340"/>
    <w:rsid w:val="006F436D"/>
    <w:rsid w:val="006F43C2"/>
    <w:rsid w:val="006F45AF"/>
    <w:rsid w:val="006F45E2"/>
    <w:rsid w:val="006F4823"/>
    <w:rsid w:val="006F4A55"/>
    <w:rsid w:val="006F4AFC"/>
    <w:rsid w:val="006F4CCA"/>
    <w:rsid w:val="006F4D52"/>
    <w:rsid w:val="006F4E0E"/>
    <w:rsid w:val="006F4E17"/>
    <w:rsid w:val="006F4E69"/>
    <w:rsid w:val="006F506E"/>
    <w:rsid w:val="006F51DA"/>
    <w:rsid w:val="006F528A"/>
    <w:rsid w:val="006F5352"/>
    <w:rsid w:val="006F53A2"/>
    <w:rsid w:val="006F5446"/>
    <w:rsid w:val="006F566F"/>
    <w:rsid w:val="006F58C5"/>
    <w:rsid w:val="006F5940"/>
    <w:rsid w:val="006F59AB"/>
    <w:rsid w:val="006F59F1"/>
    <w:rsid w:val="006F5B39"/>
    <w:rsid w:val="006F5B64"/>
    <w:rsid w:val="006F5B87"/>
    <w:rsid w:val="006F5BAE"/>
    <w:rsid w:val="006F5CE6"/>
    <w:rsid w:val="006F5DA2"/>
    <w:rsid w:val="006F5E2A"/>
    <w:rsid w:val="006F5E7A"/>
    <w:rsid w:val="006F6003"/>
    <w:rsid w:val="006F6007"/>
    <w:rsid w:val="006F60F1"/>
    <w:rsid w:val="006F6162"/>
    <w:rsid w:val="006F626C"/>
    <w:rsid w:val="006F62EE"/>
    <w:rsid w:val="006F63D7"/>
    <w:rsid w:val="006F64B3"/>
    <w:rsid w:val="006F6614"/>
    <w:rsid w:val="006F66AA"/>
    <w:rsid w:val="006F66D0"/>
    <w:rsid w:val="006F66EC"/>
    <w:rsid w:val="006F69ED"/>
    <w:rsid w:val="006F6A1D"/>
    <w:rsid w:val="006F6AE8"/>
    <w:rsid w:val="006F6B26"/>
    <w:rsid w:val="006F6C18"/>
    <w:rsid w:val="006F6C7E"/>
    <w:rsid w:val="006F6D3A"/>
    <w:rsid w:val="006F6D41"/>
    <w:rsid w:val="006F6E43"/>
    <w:rsid w:val="006F6ED7"/>
    <w:rsid w:val="006F6F10"/>
    <w:rsid w:val="006F73F8"/>
    <w:rsid w:val="006F74B3"/>
    <w:rsid w:val="006F776B"/>
    <w:rsid w:val="006F788C"/>
    <w:rsid w:val="006F7901"/>
    <w:rsid w:val="006F7944"/>
    <w:rsid w:val="006F7B60"/>
    <w:rsid w:val="006F7D74"/>
    <w:rsid w:val="006F7E20"/>
    <w:rsid w:val="006F7E53"/>
    <w:rsid w:val="006F7E57"/>
    <w:rsid w:val="006F7E6D"/>
    <w:rsid w:val="006F7E92"/>
    <w:rsid w:val="006F7FF0"/>
    <w:rsid w:val="00700003"/>
    <w:rsid w:val="0070032B"/>
    <w:rsid w:val="007003A7"/>
    <w:rsid w:val="007003D1"/>
    <w:rsid w:val="0070058D"/>
    <w:rsid w:val="0070062F"/>
    <w:rsid w:val="00700639"/>
    <w:rsid w:val="00700641"/>
    <w:rsid w:val="00700679"/>
    <w:rsid w:val="00700709"/>
    <w:rsid w:val="00700817"/>
    <w:rsid w:val="00700912"/>
    <w:rsid w:val="0070091F"/>
    <w:rsid w:val="007009E4"/>
    <w:rsid w:val="00700BE3"/>
    <w:rsid w:val="00700CEC"/>
    <w:rsid w:val="00700D30"/>
    <w:rsid w:val="00700DC9"/>
    <w:rsid w:val="00700EB7"/>
    <w:rsid w:val="00700EDD"/>
    <w:rsid w:val="007011B0"/>
    <w:rsid w:val="007011E5"/>
    <w:rsid w:val="007012D5"/>
    <w:rsid w:val="007012EF"/>
    <w:rsid w:val="007014AA"/>
    <w:rsid w:val="0070173A"/>
    <w:rsid w:val="0070176F"/>
    <w:rsid w:val="007018BE"/>
    <w:rsid w:val="00701A56"/>
    <w:rsid w:val="00701BF5"/>
    <w:rsid w:val="00701D1F"/>
    <w:rsid w:val="00701F15"/>
    <w:rsid w:val="007022C7"/>
    <w:rsid w:val="007022E6"/>
    <w:rsid w:val="00702420"/>
    <w:rsid w:val="00702542"/>
    <w:rsid w:val="007025D5"/>
    <w:rsid w:val="0070278F"/>
    <w:rsid w:val="0070294A"/>
    <w:rsid w:val="0070304D"/>
    <w:rsid w:val="00703253"/>
    <w:rsid w:val="00703297"/>
    <w:rsid w:val="0070357B"/>
    <w:rsid w:val="00703690"/>
    <w:rsid w:val="007036ED"/>
    <w:rsid w:val="007039C0"/>
    <w:rsid w:val="00703A47"/>
    <w:rsid w:val="00703AC4"/>
    <w:rsid w:val="00703B40"/>
    <w:rsid w:val="00703D9F"/>
    <w:rsid w:val="00704096"/>
    <w:rsid w:val="0070427C"/>
    <w:rsid w:val="0070445B"/>
    <w:rsid w:val="00704606"/>
    <w:rsid w:val="0070467C"/>
    <w:rsid w:val="0070468C"/>
    <w:rsid w:val="007047A9"/>
    <w:rsid w:val="007047C5"/>
    <w:rsid w:val="00704896"/>
    <w:rsid w:val="007049FA"/>
    <w:rsid w:val="00704A81"/>
    <w:rsid w:val="00704C7A"/>
    <w:rsid w:val="00704E4A"/>
    <w:rsid w:val="00704F6D"/>
    <w:rsid w:val="00704FA8"/>
    <w:rsid w:val="00705415"/>
    <w:rsid w:val="007054BE"/>
    <w:rsid w:val="007056FD"/>
    <w:rsid w:val="00705735"/>
    <w:rsid w:val="00705838"/>
    <w:rsid w:val="0070589C"/>
    <w:rsid w:val="007058A0"/>
    <w:rsid w:val="00705915"/>
    <w:rsid w:val="00705B57"/>
    <w:rsid w:val="00705B6E"/>
    <w:rsid w:val="00705CCB"/>
    <w:rsid w:val="00705E2E"/>
    <w:rsid w:val="00705EAD"/>
    <w:rsid w:val="00705FA1"/>
    <w:rsid w:val="00705FE2"/>
    <w:rsid w:val="007060F8"/>
    <w:rsid w:val="0070620B"/>
    <w:rsid w:val="00706302"/>
    <w:rsid w:val="00706369"/>
    <w:rsid w:val="00706556"/>
    <w:rsid w:val="00706833"/>
    <w:rsid w:val="00706844"/>
    <w:rsid w:val="00706861"/>
    <w:rsid w:val="00706A25"/>
    <w:rsid w:val="00706C16"/>
    <w:rsid w:val="00706E18"/>
    <w:rsid w:val="00706F63"/>
    <w:rsid w:val="00706F93"/>
    <w:rsid w:val="00706FB4"/>
    <w:rsid w:val="00706FC7"/>
    <w:rsid w:val="00707096"/>
    <w:rsid w:val="007071A8"/>
    <w:rsid w:val="007071D7"/>
    <w:rsid w:val="007071EF"/>
    <w:rsid w:val="0070724D"/>
    <w:rsid w:val="0070741A"/>
    <w:rsid w:val="007075DF"/>
    <w:rsid w:val="0070769F"/>
    <w:rsid w:val="00707707"/>
    <w:rsid w:val="007078AF"/>
    <w:rsid w:val="007079EC"/>
    <w:rsid w:val="00707D1C"/>
    <w:rsid w:val="00707E47"/>
    <w:rsid w:val="00707EDF"/>
    <w:rsid w:val="00707EE7"/>
    <w:rsid w:val="00707EF8"/>
    <w:rsid w:val="00708E90"/>
    <w:rsid w:val="0071005E"/>
    <w:rsid w:val="0071011F"/>
    <w:rsid w:val="0071044F"/>
    <w:rsid w:val="007104C0"/>
    <w:rsid w:val="00710626"/>
    <w:rsid w:val="00710691"/>
    <w:rsid w:val="0071073F"/>
    <w:rsid w:val="00710757"/>
    <w:rsid w:val="00710780"/>
    <w:rsid w:val="00710966"/>
    <w:rsid w:val="00710A68"/>
    <w:rsid w:val="00710AB6"/>
    <w:rsid w:val="00710B03"/>
    <w:rsid w:val="00710B90"/>
    <w:rsid w:val="00710C59"/>
    <w:rsid w:val="00710DF8"/>
    <w:rsid w:val="00710EC9"/>
    <w:rsid w:val="00710FC3"/>
    <w:rsid w:val="00710FD5"/>
    <w:rsid w:val="0071114B"/>
    <w:rsid w:val="00711341"/>
    <w:rsid w:val="007113F3"/>
    <w:rsid w:val="0071148D"/>
    <w:rsid w:val="007115BB"/>
    <w:rsid w:val="0071186B"/>
    <w:rsid w:val="007118EA"/>
    <w:rsid w:val="00711A2D"/>
    <w:rsid w:val="00711BA7"/>
    <w:rsid w:val="00711CE4"/>
    <w:rsid w:val="00711DB9"/>
    <w:rsid w:val="00711EF3"/>
    <w:rsid w:val="00711FA8"/>
    <w:rsid w:val="007122C6"/>
    <w:rsid w:val="007122E2"/>
    <w:rsid w:val="00712315"/>
    <w:rsid w:val="007123CD"/>
    <w:rsid w:val="00712429"/>
    <w:rsid w:val="00712550"/>
    <w:rsid w:val="007125D9"/>
    <w:rsid w:val="007125DF"/>
    <w:rsid w:val="00712630"/>
    <w:rsid w:val="00712995"/>
    <w:rsid w:val="00712B9A"/>
    <w:rsid w:val="00712BBF"/>
    <w:rsid w:val="00712CB4"/>
    <w:rsid w:val="00712DFF"/>
    <w:rsid w:val="007130AD"/>
    <w:rsid w:val="007130CA"/>
    <w:rsid w:val="00713146"/>
    <w:rsid w:val="00713157"/>
    <w:rsid w:val="00713232"/>
    <w:rsid w:val="007133B2"/>
    <w:rsid w:val="007133E5"/>
    <w:rsid w:val="0071347C"/>
    <w:rsid w:val="007136CC"/>
    <w:rsid w:val="00713857"/>
    <w:rsid w:val="0071392E"/>
    <w:rsid w:val="007139F0"/>
    <w:rsid w:val="00713A19"/>
    <w:rsid w:val="00713C9F"/>
    <w:rsid w:val="00713CBB"/>
    <w:rsid w:val="00713CD3"/>
    <w:rsid w:val="00713DC9"/>
    <w:rsid w:val="00713E1D"/>
    <w:rsid w:val="00713E35"/>
    <w:rsid w:val="00713FB9"/>
    <w:rsid w:val="00713FE6"/>
    <w:rsid w:val="00713FF9"/>
    <w:rsid w:val="00714027"/>
    <w:rsid w:val="007141E6"/>
    <w:rsid w:val="0071429A"/>
    <w:rsid w:val="0071437C"/>
    <w:rsid w:val="00714409"/>
    <w:rsid w:val="00714461"/>
    <w:rsid w:val="00714692"/>
    <w:rsid w:val="00714700"/>
    <w:rsid w:val="007147C4"/>
    <w:rsid w:val="00714885"/>
    <w:rsid w:val="00714CC4"/>
    <w:rsid w:val="00714D12"/>
    <w:rsid w:val="00714DAE"/>
    <w:rsid w:val="00714ECE"/>
    <w:rsid w:val="00714F36"/>
    <w:rsid w:val="007150F9"/>
    <w:rsid w:val="00715165"/>
    <w:rsid w:val="00715189"/>
    <w:rsid w:val="007153B5"/>
    <w:rsid w:val="007153B7"/>
    <w:rsid w:val="007153E6"/>
    <w:rsid w:val="007153FD"/>
    <w:rsid w:val="00715487"/>
    <w:rsid w:val="007154B8"/>
    <w:rsid w:val="007156AC"/>
    <w:rsid w:val="0071576B"/>
    <w:rsid w:val="007159A6"/>
    <w:rsid w:val="00715AD8"/>
    <w:rsid w:val="00715C4A"/>
    <w:rsid w:val="00715F3E"/>
    <w:rsid w:val="0071621C"/>
    <w:rsid w:val="00716457"/>
    <w:rsid w:val="007165D3"/>
    <w:rsid w:val="0071662E"/>
    <w:rsid w:val="007166A4"/>
    <w:rsid w:val="007167F6"/>
    <w:rsid w:val="00716836"/>
    <w:rsid w:val="007168CB"/>
    <w:rsid w:val="00716974"/>
    <w:rsid w:val="00716A01"/>
    <w:rsid w:val="00716A9B"/>
    <w:rsid w:val="00716AA1"/>
    <w:rsid w:val="00716F1B"/>
    <w:rsid w:val="00716F3F"/>
    <w:rsid w:val="007170E3"/>
    <w:rsid w:val="0071716A"/>
    <w:rsid w:val="007172C2"/>
    <w:rsid w:val="007172C9"/>
    <w:rsid w:val="00717391"/>
    <w:rsid w:val="007173B2"/>
    <w:rsid w:val="007174D5"/>
    <w:rsid w:val="007175C6"/>
    <w:rsid w:val="0071783A"/>
    <w:rsid w:val="00717891"/>
    <w:rsid w:val="007178A0"/>
    <w:rsid w:val="007179D5"/>
    <w:rsid w:val="00717A8F"/>
    <w:rsid w:val="00717AC6"/>
    <w:rsid w:val="00717B66"/>
    <w:rsid w:val="00717BCD"/>
    <w:rsid w:val="007202F2"/>
    <w:rsid w:val="0072032F"/>
    <w:rsid w:val="00720454"/>
    <w:rsid w:val="00720856"/>
    <w:rsid w:val="00720865"/>
    <w:rsid w:val="007208FD"/>
    <w:rsid w:val="0072096F"/>
    <w:rsid w:val="00720A4C"/>
    <w:rsid w:val="00720C69"/>
    <w:rsid w:val="00720D91"/>
    <w:rsid w:val="00720ECC"/>
    <w:rsid w:val="00720ED8"/>
    <w:rsid w:val="00720F16"/>
    <w:rsid w:val="0072111A"/>
    <w:rsid w:val="0072119C"/>
    <w:rsid w:val="007211F5"/>
    <w:rsid w:val="007212C4"/>
    <w:rsid w:val="007213BE"/>
    <w:rsid w:val="00721406"/>
    <w:rsid w:val="00721446"/>
    <w:rsid w:val="0072169C"/>
    <w:rsid w:val="00721847"/>
    <w:rsid w:val="007218C8"/>
    <w:rsid w:val="00721947"/>
    <w:rsid w:val="00721BC0"/>
    <w:rsid w:val="00721C1D"/>
    <w:rsid w:val="00721C74"/>
    <w:rsid w:val="00721D42"/>
    <w:rsid w:val="00721E80"/>
    <w:rsid w:val="00721FBD"/>
    <w:rsid w:val="0072202C"/>
    <w:rsid w:val="00722092"/>
    <w:rsid w:val="00722096"/>
    <w:rsid w:val="0072217E"/>
    <w:rsid w:val="007221CE"/>
    <w:rsid w:val="007222E2"/>
    <w:rsid w:val="00722316"/>
    <w:rsid w:val="0072231D"/>
    <w:rsid w:val="0072246D"/>
    <w:rsid w:val="007224A5"/>
    <w:rsid w:val="007224AA"/>
    <w:rsid w:val="00722598"/>
    <w:rsid w:val="007225F3"/>
    <w:rsid w:val="007228B7"/>
    <w:rsid w:val="00722944"/>
    <w:rsid w:val="00722954"/>
    <w:rsid w:val="00722AA1"/>
    <w:rsid w:val="00722D47"/>
    <w:rsid w:val="00722DD9"/>
    <w:rsid w:val="00722E7B"/>
    <w:rsid w:val="00723048"/>
    <w:rsid w:val="00723075"/>
    <w:rsid w:val="0072342E"/>
    <w:rsid w:val="0072343A"/>
    <w:rsid w:val="00723556"/>
    <w:rsid w:val="00723573"/>
    <w:rsid w:val="007235AE"/>
    <w:rsid w:val="0072364A"/>
    <w:rsid w:val="007236E5"/>
    <w:rsid w:val="00723737"/>
    <w:rsid w:val="0072396C"/>
    <w:rsid w:val="007239D7"/>
    <w:rsid w:val="00723AF7"/>
    <w:rsid w:val="00723BB9"/>
    <w:rsid w:val="00724084"/>
    <w:rsid w:val="007240E4"/>
    <w:rsid w:val="00724115"/>
    <w:rsid w:val="00724261"/>
    <w:rsid w:val="007242D0"/>
    <w:rsid w:val="007243F8"/>
    <w:rsid w:val="007245D5"/>
    <w:rsid w:val="0072469E"/>
    <w:rsid w:val="00724981"/>
    <w:rsid w:val="00724A23"/>
    <w:rsid w:val="00724B65"/>
    <w:rsid w:val="00724D0D"/>
    <w:rsid w:val="00724D97"/>
    <w:rsid w:val="00724FDC"/>
    <w:rsid w:val="0072517E"/>
    <w:rsid w:val="0072538D"/>
    <w:rsid w:val="007254A6"/>
    <w:rsid w:val="007254DE"/>
    <w:rsid w:val="00725623"/>
    <w:rsid w:val="007256A9"/>
    <w:rsid w:val="00725746"/>
    <w:rsid w:val="00725783"/>
    <w:rsid w:val="00725A1A"/>
    <w:rsid w:val="00725A83"/>
    <w:rsid w:val="00725AF0"/>
    <w:rsid w:val="00725D0E"/>
    <w:rsid w:val="00725D55"/>
    <w:rsid w:val="00725D5A"/>
    <w:rsid w:val="00725E68"/>
    <w:rsid w:val="00725ECF"/>
    <w:rsid w:val="00725ED5"/>
    <w:rsid w:val="00725FCC"/>
    <w:rsid w:val="0072604F"/>
    <w:rsid w:val="007260C3"/>
    <w:rsid w:val="0072629C"/>
    <w:rsid w:val="0072641B"/>
    <w:rsid w:val="00726534"/>
    <w:rsid w:val="00726648"/>
    <w:rsid w:val="007266C7"/>
    <w:rsid w:val="00726737"/>
    <w:rsid w:val="00726757"/>
    <w:rsid w:val="0072675E"/>
    <w:rsid w:val="00726781"/>
    <w:rsid w:val="007267BA"/>
    <w:rsid w:val="00726877"/>
    <w:rsid w:val="007268A4"/>
    <w:rsid w:val="00726B0F"/>
    <w:rsid w:val="00726B61"/>
    <w:rsid w:val="00727032"/>
    <w:rsid w:val="0072713E"/>
    <w:rsid w:val="00727161"/>
    <w:rsid w:val="0072721D"/>
    <w:rsid w:val="007272B4"/>
    <w:rsid w:val="007272B9"/>
    <w:rsid w:val="007272BC"/>
    <w:rsid w:val="007274F4"/>
    <w:rsid w:val="00727528"/>
    <w:rsid w:val="00727619"/>
    <w:rsid w:val="007276A6"/>
    <w:rsid w:val="00727859"/>
    <w:rsid w:val="007279DB"/>
    <w:rsid w:val="00727B07"/>
    <w:rsid w:val="00727B87"/>
    <w:rsid w:val="00727BE8"/>
    <w:rsid w:val="00727C33"/>
    <w:rsid w:val="00727D00"/>
    <w:rsid w:val="00727ECF"/>
    <w:rsid w:val="00727F22"/>
    <w:rsid w:val="00727F7B"/>
    <w:rsid w:val="0073007E"/>
    <w:rsid w:val="007300F1"/>
    <w:rsid w:val="007301BD"/>
    <w:rsid w:val="00730285"/>
    <w:rsid w:val="00730323"/>
    <w:rsid w:val="0073039B"/>
    <w:rsid w:val="00730523"/>
    <w:rsid w:val="00730567"/>
    <w:rsid w:val="00730653"/>
    <w:rsid w:val="007306A6"/>
    <w:rsid w:val="007308C8"/>
    <w:rsid w:val="007308E1"/>
    <w:rsid w:val="00730B6A"/>
    <w:rsid w:val="00730C40"/>
    <w:rsid w:val="00730CB5"/>
    <w:rsid w:val="00730E77"/>
    <w:rsid w:val="00730EF1"/>
    <w:rsid w:val="0073100B"/>
    <w:rsid w:val="007310C4"/>
    <w:rsid w:val="00731137"/>
    <w:rsid w:val="0073117F"/>
    <w:rsid w:val="00731199"/>
    <w:rsid w:val="007311F3"/>
    <w:rsid w:val="007312E7"/>
    <w:rsid w:val="0073142A"/>
    <w:rsid w:val="00731439"/>
    <w:rsid w:val="00731502"/>
    <w:rsid w:val="007315BF"/>
    <w:rsid w:val="0073162E"/>
    <w:rsid w:val="0073170B"/>
    <w:rsid w:val="00731A05"/>
    <w:rsid w:val="00731A91"/>
    <w:rsid w:val="00731AFD"/>
    <w:rsid w:val="00731B62"/>
    <w:rsid w:val="00731B66"/>
    <w:rsid w:val="00731BD8"/>
    <w:rsid w:val="00731C09"/>
    <w:rsid w:val="00731D9E"/>
    <w:rsid w:val="00731DDC"/>
    <w:rsid w:val="00731EC8"/>
    <w:rsid w:val="0073201C"/>
    <w:rsid w:val="0073225B"/>
    <w:rsid w:val="007324F2"/>
    <w:rsid w:val="007325A7"/>
    <w:rsid w:val="00732657"/>
    <w:rsid w:val="00732868"/>
    <w:rsid w:val="007328B5"/>
    <w:rsid w:val="007329DD"/>
    <w:rsid w:val="00732B24"/>
    <w:rsid w:val="00732C09"/>
    <w:rsid w:val="0073310E"/>
    <w:rsid w:val="0073313A"/>
    <w:rsid w:val="00733205"/>
    <w:rsid w:val="0073322D"/>
    <w:rsid w:val="00733256"/>
    <w:rsid w:val="007332CA"/>
    <w:rsid w:val="007334F7"/>
    <w:rsid w:val="007336C8"/>
    <w:rsid w:val="00733736"/>
    <w:rsid w:val="00733792"/>
    <w:rsid w:val="00733809"/>
    <w:rsid w:val="00733ED7"/>
    <w:rsid w:val="00734118"/>
    <w:rsid w:val="007341F5"/>
    <w:rsid w:val="00734232"/>
    <w:rsid w:val="00734253"/>
    <w:rsid w:val="007343DB"/>
    <w:rsid w:val="007346A6"/>
    <w:rsid w:val="007346D1"/>
    <w:rsid w:val="007347B0"/>
    <w:rsid w:val="007348D0"/>
    <w:rsid w:val="00734944"/>
    <w:rsid w:val="00734AA7"/>
    <w:rsid w:val="00734D0D"/>
    <w:rsid w:val="0073512B"/>
    <w:rsid w:val="00735280"/>
    <w:rsid w:val="007353DE"/>
    <w:rsid w:val="0073577B"/>
    <w:rsid w:val="007357D1"/>
    <w:rsid w:val="007357EE"/>
    <w:rsid w:val="00735A46"/>
    <w:rsid w:val="00735EBD"/>
    <w:rsid w:val="00735EF2"/>
    <w:rsid w:val="00736355"/>
    <w:rsid w:val="007364F1"/>
    <w:rsid w:val="0073657C"/>
    <w:rsid w:val="00736691"/>
    <w:rsid w:val="007368F4"/>
    <w:rsid w:val="00736A18"/>
    <w:rsid w:val="00736B7B"/>
    <w:rsid w:val="00736EB6"/>
    <w:rsid w:val="00736FB1"/>
    <w:rsid w:val="007371CA"/>
    <w:rsid w:val="00737283"/>
    <w:rsid w:val="007372E3"/>
    <w:rsid w:val="00737377"/>
    <w:rsid w:val="007373C0"/>
    <w:rsid w:val="007373FD"/>
    <w:rsid w:val="00737574"/>
    <w:rsid w:val="00737905"/>
    <w:rsid w:val="00737949"/>
    <w:rsid w:val="007379DF"/>
    <w:rsid w:val="00737B6C"/>
    <w:rsid w:val="00737D4B"/>
    <w:rsid w:val="00737DB9"/>
    <w:rsid w:val="00737E23"/>
    <w:rsid w:val="00737E3A"/>
    <w:rsid w:val="00737F0A"/>
    <w:rsid w:val="00737F38"/>
    <w:rsid w:val="00737F98"/>
    <w:rsid w:val="00737FFB"/>
    <w:rsid w:val="0073E185"/>
    <w:rsid w:val="0073FB42"/>
    <w:rsid w:val="00740094"/>
    <w:rsid w:val="00740095"/>
    <w:rsid w:val="00740353"/>
    <w:rsid w:val="00740361"/>
    <w:rsid w:val="00740379"/>
    <w:rsid w:val="00740481"/>
    <w:rsid w:val="007404B0"/>
    <w:rsid w:val="007404C9"/>
    <w:rsid w:val="00740518"/>
    <w:rsid w:val="00740672"/>
    <w:rsid w:val="00740A52"/>
    <w:rsid w:val="00740A67"/>
    <w:rsid w:val="00740ADB"/>
    <w:rsid w:val="00740BC1"/>
    <w:rsid w:val="00740E48"/>
    <w:rsid w:val="00740EE9"/>
    <w:rsid w:val="00740F5E"/>
    <w:rsid w:val="00740FA0"/>
    <w:rsid w:val="00741012"/>
    <w:rsid w:val="0074107E"/>
    <w:rsid w:val="007411FB"/>
    <w:rsid w:val="0074127E"/>
    <w:rsid w:val="00741341"/>
    <w:rsid w:val="007415CD"/>
    <w:rsid w:val="00741701"/>
    <w:rsid w:val="0074180A"/>
    <w:rsid w:val="007419D3"/>
    <w:rsid w:val="00741A82"/>
    <w:rsid w:val="00741B59"/>
    <w:rsid w:val="00741C79"/>
    <w:rsid w:val="00741F2D"/>
    <w:rsid w:val="00741F63"/>
    <w:rsid w:val="00741F7A"/>
    <w:rsid w:val="00742235"/>
    <w:rsid w:val="007422CE"/>
    <w:rsid w:val="00742308"/>
    <w:rsid w:val="007423BD"/>
    <w:rsid w:val="00742524"/>
    <w:rsid w:val="007425CE"/>
    <w:rsid w:val="007429F9"/>
    <w:rsid w:val="00742AB3"/>
    <w:rsid w:val="00742AB6"/>
    <w:rsid w:val="00742B46"/>
    <w:rsid w:val="00742BFB"/>
    <w:rsid w:val="00742CF0"/>
    <w:rsid w:val="00742D0D"/>
    <w:rsid w:val="00742DA4"/>
    <w:rsid w:val="00742E50"/>
    <w:rsid w:val="00742E91"/>
    <w:rsid w:val="00742FF6"/>
    <w:rsid w:val="00743177"/>
    <w:rsid w:val="0074326C"/>
    <w:rsid w:val="007432F3"/>
    <w:rsid w:val="0074351F"/>
    <w:rsid w:val="00743854"/>
    <w:rsid w:val="0074387D"/>
    <w:rsid w:val="00743934"/>
    <w:rsid w:val="00743A50"/>
    <w:rsid w:val="00743A70"/>
    <w:rsid w:val="00743C91"/>
    <w:rsid w:val="00743DDD"/>
    <w:rsid w:val="00743E3D"/>
    <w:rsid w:val="00743F5E"/>
    <w:rsid w:val="00744249"/>
    <w:rsid w:val="007443E8"/>
    <w:rsid w:val="00744428"/>
    <w:rsid w:val="007445AD"/>
    <w:rsid w:val="007445E1"/>
    <w:rsid w:val="00744692"/>
    <w:rsid w:val="0074480A"/>
    <w:rsid w:val="007448C8"/>
    <w:rsid w:val="00744905"/>
    <w:rsid w:val="00744908"/>
    <w:rsid w:val="00744A3F"/>
    <w:rsid w:val="00744BB5"/>
    <w:rsid w:val="00744C04"/>
    <w:rsid w:val="00744D31"/>
    <w:rsid w:val="00744F4D"/>
    <w:rsid w:val="0074501B"/>
    <w:rsid w:val="00745056"/>
    <w:rsid w:val="007450A7"/>
    <w:rsid w:val="007450F6"/>
    <w:rsid w:val="0074511C"/>
    <w:rsid w:val="0074513C"/>
    <w:rsid w:val="00745203"/>
    <w:rsid w:val="00745290"/>
    <w:rsid w:val="00745533"/>
    <w:rsid w:val="0074553B"/>
    <w:rsid w:val="007455FB"/>
    <w:rsid w:val="00745630"/>
    <w:rsid w:val="007459BF"/>
    <w:rsid w:val="00745B7E"/>
    <w:rsid w:val="00745BCE"/>
    <w:rsid w:val="00745CCC"/>
    <w:rsid w:val="00745D5C"/>
    <w:rsid w:val="00745EE9"/>
    <w:rsid w:val="00745F24"/>
    <w:rsid w:val="00746054"/>
    <w:rsid w:val="00746112"/>
    <w:rsid w:val="0074620E"/>
    <w:rsid w:val="0074631E"/>
    <w:rsid w:val="007463FA"/>
    <w:rsid w:val="007464CE"/>
    <w:rsid w:val="0074653B"/>
    <w:rsid w:val="0074653E"/>
    <w:rsid w:val="0074662A"/>
    <w:rsid w:val="007466AF"/>
    <w:rsid w:val="00746731"/>
    <w:rsid w:val="00746827"/>
    <w:rsid w:val="00746841"/>
    <w:rsid w:val="00746847"/>
    <w:rsid w:val="00746A5C"/>
    <w:rsid w:val="00746AA1"/>
    <w:rsid w:val="00746BA0"/>
    <w:rsid w:val="00746C20"/>
    <w:rsid w:val="00746E06"/>
    <w:rsid w:val="00746E52"/>
    <w:rsid w:val="00746E68"/>
    <w:rsid w:val="00746EF8"/>
    <w:rsid w:val="0074700D"/>
    <w:rsid w:val="00747017"/>
    <w:rsid w:val="0074704E"/>
    <w:rsid w:val="007470A8"/>
    <w:rsid w:val="007470B9"/>
    <w:rsid w:val="0074717B"/>
    <w:rsid w:val="007471FC"/>
    <w:rsid w:val="00747248"/>
    <w:rsid w:val="007472DA"/>
    <w:rsid w:val="00747308"/>
    <w:rsid w:val="0074758A"/>
    <w:rsid w:val="00747641"/>
    <w:rsid w:val="00747764"/>
    <w:rsid w:val="00747956"/>
    <w:rsid w:val="007479B9"/>
    <w:rsid w:val="00747A3C"/>
    <w:rsid w:val="00747A61"/>
    <w:rsid w:val="00747A93"/>
    <w:rsid w:val="00747C8C"/>
    <w:rsid w:val="00747C97"/>
    <w:rsid w:val="00747D57"/>
    <w:rsid w:val="00747D70"/>
    <w:rsid w:val="00747D91"/>
    <w:rsid w:val="0074D230"/>
    <w:rsid w:val="00750188"/>
    <w:rsid w:val="007501D1"/>
    <w:rsid w:val="0075034A"/>
    <w:rsid w:val="0075034B"/>
    <w:rsid w:val="0075055D"/>
    <w:rsid w:val="007505D9"/>
    <w:rsid w:val="007507D2"/>
    <w:rsid w:val="00750833"/>
    <w:rsid w:val="0075091E"/>
    <w:rsid w:val="00750928"/>
    <w:rsid w:val="00750AEF"/>
    <w:rsid w:val="00750AFF"/>
    <w:rsid w:val="00750C0A"/>
    <w:rsid w:val="00750CE6"/>
    <w:rsid w:val="00750D74"/>
    <w:rsid w:val="00751089"/>
    <w:rsid w:val="007510CB"/>
    <w:rsid w:val="0075116C"/>
    <w:rsid w:val="00751538"/>
    <w:rsid w:val="007517D0"/>
    <w:rsid w:val="007518E9"/>
    <w:rsid w:val="00751968"/>
    <w:rsid w:val="00751AA4"/>
    <w:rsid w:val="00751B1B"/>
    <w:rsid w:val="00751BCB"/>
    <w:rsid w:val="00751CE6"/>
    <w:rsid w:val="00751E2B"/>
    <w:rsid w:val="00752191"/>
    <w:rsid w:val="00752265"/>
    <w:rsid w:val="007524C2"/>
    <w:rsid w:val="00752534"/>
    <w:rsid w:val="00752655"/>
    <w:rsid w:val="00752789"/>
    <w:rsid w:val="0075295E"/>
    <w:rsid w:val="00752A30"/>
    <w:rsid w:val="00752A39"/>
    <w:rsid w:val="00752A3B"/>
    <w:rsid w:val="00752AC4"/>
    <w:rsid w:val="00752B42"/>
    <w:rsid w:val="00752BC9"/>
    <w:rsid w:val="00752D26"/>
    <w:rsid w:val="00752DEE"/>
    <w:rsid w:val="0075316A"/>
    <w:rsid w:val="00753253"/>
    <w:rsid w:val="00753292"/>
    <w:rsid w:val="007532A7"/>
    <w:rsid w:val="0075335A"/>
    <w:rsid w:val="00753463"/>
    <w:rsid w:val="0075349E"/>
    <w:rsid w:val="007534FB"/>
    <w:rsid w:val="00753556"/>
    <w:rsid w:val="00753569"/>
    <w:rsid w:val="0075359B"/>
    <w:rsid w:val="007537CC"/>
    <w:rsid w:val="00753942"/>
    <w:rsid w:val="00753A6D"/>
    <w:rsid w:val="00753B22"/>
    <w:rsid w:val="00753DE0"/>
    <w:rsid w:val="00753E76"/>
    <w:rsid w:val="00753EC4"/>
    <w:rsid w:val="00753F40"/>
    <w:rsid w:val="0075408F"/>
    <w:rsid w:val="007541C7"/>
    <w:rsid w:val="007542F3"/>
    <w:rsid w:val="0075443F"/>
    <w:rsid w:val="00754448"/>
    <w:rsid w:val="0075454E"/>
    <w:rsid w:val="00754554"/>
    <w:rsid w:val="007545F8"/>
    <w:rsid w:val="00754A6D"/>
    <w:rsid w:val="00754B0C"/>
    <w:rsid w:val="00754BCC"/>
    <w:rsid w:val="00754CA7"/>
    <w:rsid w:val="00754D19"/>
    <w:rsid w:val="00754DD3"/>
    <w:rsid w:val="00754E02"/>
    <w:rsid w:val="00754EAE"/>
    <w:rsid w:val="00754EB9"/>
    <w:rsid w:val="00754F3B"/>
    <w:rsid w:val="007550BE"/>
    <w:rsid w:val="00755116"/>
    <w:rsid w:val="00755168"/>
    <w:rsid w:val="00755184"/>
    <w:rsid w:val="0075551D"/>
    <w:rsid w:val="007555EC"/>
    <w:rsid w:val="00755638"/>
    <w:rsid w:val="007556CF"/>
    <w:rsid w:val="00755708"/>
    <w:rsid w:val="0075576B"/>
    <w:rsid w:val="00755B3F"/>
    <w:rsid w:val="00755BAB"/>
    <w:rsid w:val="00755BE2"/>
    <w:rsid w:val="00755CB4"/>
    <w:rsid w:val="00755F0D"/>
    <w:rsid w:val="00756044"/>
    <w:rsid w:val="007560A6"/>
    <w:rsid w:val="007560CC"/>
    <w:rsid w:val="00756329"/>
    <w:rsid w:val="0075642D"/>
    <w:rsid w:val="0075672C"/>
    <w:rsid w:val="00756788"/>
    <w:rsid w:val="007567D4"/>
    <w:rsid w:val="007568BC"/>
    <w:rsid w:val="00756923"/>
    <w:rsid w:val="00756974"/>
    <w:rsid w:val="00756A1F"/>
    <w:rsid w:val="00756AF3"/>
    <w:rsid w:val="00756B96"/>
    <w:rsid w:val="00756BD0"/>
    <w:rsid w:val="00756BED"/>
    <w:rsid w:val="00756C04"/>
    <w:rsid w:val="00756CED"/>
    <w:rsid w:val="00756D6B"/>
    <w:rsid w:val="00756E8E"/>
    <w:rsid w:val="00756E96"/>
    <w:rsid w:val="0075713A"/>
    <w:rsid w:val="007571B8"/>
    <w:rsid w:val="007571FD"/>
    <w:rsid w:val="0075723E"/>
    <w:rsid w:val="007572E0"/>
    <w:rsid w:val="00757303"/>
    <w:rsid w:val="0075750E"/>
    <w:rsid w:val="0075754F"/>
    <w:rsid w:val="007575EC"/>
    <w:rsid w:val="007577CC"/>
    <w:rsid w:val="00757969"/>
    <w:rsid w:val="007579AA"/>
    <w:rsid w:val="00757A43"/>
    <w:rsid w:val="00757AE4"/>
    <w:rsid w:val="00757CE7"/>
    <w:rsid w:val="00757E3C"/>
    <w:rsid w:val="00757E61"/>
    <w:rsid w:val="00757E73"/>
    <w:rsid w:val="00760130"/>
    <w:rsid w:val="0076022A"/>
    <w:rsid w:val="007604DB"/>
    <w:rsid w:val="0076055D"/>
    <w:rsid w:val="007605C4"/>
    <w:rsid w:val="0076063D"/>
    <w:rsid w:val="00760789"/>
    <w:rsid w:val="007607D6"/>
    <w:rsid w:val="0076099C"/>
    <w:rsid w:val="00760A71"/>
    <w:rsid w:val="00760DE8"/>
    <w:rsid w:val="00760E0C"/>
    <w:rsid w:val="00760E0E"/>
    <w:rsid w:val="00760F65"/>
    <w:rsid w:val="0076142F"/>
    <w:rsid w:val="0076144B"/>
    <w:rsid w:val="00761708"/>
    <w:rsid w:val="0076171D"/>
    <w:rsid w:val="007619AA"/>
    <w:rsid w:val="007619E5"/>
    <w:rsid w:val="00761A2B"/>
    <w:rsid w:val="00761AB4"/>
    <w:rsid w:val="00761B06"/>
    <w:rsid w:val="00761B41"/>
    <w:rsid w:val="00761BAD"/>
    <w:rsid w:val="00761D0D"/>
    <w:rsid w:val="00761DE5"/>
    <w:rsid w:val="007620F4"/>
    <w:rsid w:val="007621AB"/>
    <w:rsid w:val="00762246"/>
    <w:rsid w:val="00762398"/>
    <w:rsid w:val="0076248A"/>
    <w:rsid w:val="00762490"/>
    <w:rsid w:val="007624D5"/>
    <w:rsid w:val="0076251F"/>
    <w:rsid w:val="00762644"/>
    <w:rsid w:val="007626D2"/>
    <w:rsid w:val="007628BD"/>
    <w:rsid w:val="00762A43"/>
    <w:rsid w:val="00762A9E"/>
    <w:rsid w:val="00762CA2"/>
    <w:rsid w:val="00762CC6"/>
    <w:rsid w:val="00762CDE"/>
    <w:rsid w:val="00762DE8"/>
    <w:rsid w:val="00762E83"/>
    <w:rsid w:val="00762F46"/>
    <w:rsid w:val="00762F82"/>
    <w:rsid w:val="00763076"/>
    <w:rsid w:val="007631CA"/>
    <w:rsid w:val="007632EB"/>
    <w:rsid w:val="007633E7"/>
    <w:rsid w:val="00763668"/>
    <w:rsid w:val="0076384F"/>
    <w:rsid w:val="00763B01"/>
    <w:rsid w:val="00763C0B"/>
    <w:rsid w:val="00763C73"/>
    <w:rsid w:val="00763DB8"/>
    <w:rsid w:val="00763E85"/>
    <w:rsid w:val="00764126"/>
    <w:rsid w:val="0076416A"/>
    <w:rsid w:val="00764292"/>
    <w:rsid w:val="007644BA"/>
    <w:rsid w:val="00764530"/>
    <w:rsid w:val="00764628"/>
    <w:rsid w:val="007646AF"/>
    <w:rsid w:val="0076476A"/>
    <w:rsid w:val="007647C9"/>
    <w:rsid w:val="00764A9F"/>
    <w:rsid w:val="00764B58"/>
    <w:rsid w:val="00764C11"/>
    <w:rsid w:val="00764C58"/>
    <w:rsid w:val="00764C7E"/>
    <w:rsid w:val="00764DEA"/>
    <w:rsid w:val="00764ECD"/>
    <w:rsid w:val="007650BE"/>
    <w:rsid w:val="0076513E"/>
    <w:rsid w:val="00765206"/>
    <w:rsid w:val="0076527C"/>
    <w:rsid w:val="0076532D"/>
    <w:rsid w:val="0076538A"/>
    <w:rsid w:val="007653FB"/>
    <w:rsid w:val="00765414"/>
    <w:rsid w:val="0076549E"/>
    <w:rsid w:val="007654CA"/>
    <w:rsid w:val="0076565F"/>
    <w:rsid w:val="0076573B"/>
    <w:rsid w:val="007658F0"/>
    <w:rsid w:val="00765964"/>
    <w:rsid w:val="007659FB"/>
    <w:rsid w:val="00765A65"/>
    <w:rsid w:val="00765B55"/>
    <w:rsid w:val="00765B62"/>
    <w:rsid w:val="00765B6B"/>
    <w:rsid w:val="00765BA7"/>
    <w:rsid w:val="00765CC4"/>
    <w:rsid w:val="00765DB6"/>
    <w:rsid w:val="007662C5"/>
    <w:rsid w:val="007663D6"/>
    <w:rsid w:val="007663F2"/>
    <w:rsid w:val="00766411"/>
    <w:rsid w:val="00766420"/>
    <w:rsid w:val="00766476"/>
    <w:rsid w:val="007665D2"/>
    <w:rsid w:val="00766648"/>
    <w:rsid w:val="007666E8"/>
    <w:rsid w:val="00766946"/>
    <w:rsid w:val="00766AD3"/>
    <w:rsid w:val="00766AFC"/>
    <w:rsid w:val="00766B6A"/>
    <w:rsid w:val="00766BAA"/>
    <w:rsid w:val="00766BE7"/>
    <w:rsid w:val="00766C7D"/>
    <w:rsid w:val="00766C97"/>
    <w:rsid w:val="00766D49"/>
    <w:rsid w:val="00766F63"/>
    <w:rsid w:val="00766FB3"/>
    <w:rsid w:val="007672AF"/>
    <w:rsid w:val="0076736C"/>
    <w:rsid w:val="00767755"/>
    <w:rsid w:val="00767779"/>
    <w:rsid w:val="0076780C"/>
    <w:rsid w:val="007678FE"/>
    <w:rsid w:val="0076795D"/>
    <w:rsid w:val="00767A97"/>
    <w:rsid w:val="00767CEE"/>
    <w:rsid w:val="00767CF4"/>
    <w:rsid w:val="00767F86"/>
    <w:rsid w:val="0076833A"/>
    <w:rsid w:val="0076F723"/>
    <w:rsid w:val="0077000D"/>
    <w:rsid w:val="007702EF"/>
    <w:rsid w:val="007702F4"/>
    <w:rsid w:val="00770598"/>
    <w:rsid w:val="007706F1"/>
    <w:rsid w:val="007707B8"/>
    <w:rsid w:val="0077083C"/>
    <w:rsid w:val="00770932"/>
    <w:rsid w:val="0077096F"/>
    <w:rsid w:val="00770C20"/>
    <w:rsid w:val="00770C76"/>
    <w:rsid w:val="00770E49"/>
    <w:rsid w:val="00770EE5"/>
    <w:rsid w:val="00770F9C"/>
    <w:rsid w:val="00770FBA"/>
    <w:rsid w:val="0077104D"/>
    <w:rsid w:val="00771167"/>
    <w:rsid w:val="0077116E"/>
    <w:rsid w:val="007711FB"/>
    <w:rsid w:val="00771207"/>
    <w:rsid w:val="0077120D"/>
    <w:rsid w:val="00771216"/>
    <w:rsid w:val="0077145A"/>
    <w:rsid w:val="00771486"/>
    <w:rsid w:val="007714B6"/>
    <w:rsid w:val="007714F6"/>
    <w:rsid w:val="0077156A"/>
    <w:rsid w:val="0077157C"/>
    <w:rsid w:val="007715A6"/>
    <w:rsid w:val="0077176F"/>
    <w:rsid w:val="00771854"/>
    <w:rsid w:val="007718DB"/>
    <w:rsid w:val="007719B0"/>
    <w:rsid w:val="00771AEA"/>
    <w:rsid w:val="00771B83"/>
    <w:rsid w:val="00771C8A"/>
    <w:rsid w:val="00771F97"/>
    <w:rsid w:val="00772018"/>
    <w:rsid w:val="007721B6"/>
    <w:rsid w:val="0077263A"/>
    <w:rsid w:val="007726C1"/>
    <w:rsid w:val="00772918"/>
    <w:rsid w:val="00772923"/>
    <w:rsid w:val="007729E5"/>
    <w:rsid w:val="00772A36"/>
    <w:rsid w:val="00772DCB"/>
    <w:rsid w:val="00772E54"/>
    <w:rsid w:val="00772F49"/>
    <w:rsid w:val="007730B1"/>
    <w:rsid w:val="00773104"/>
    <w:rsid w:val="0077327F"/>
    <w:rsid w:val="0077335F"/>
    <w:rsid w:val="007733BD"/>
    <w:rsid w:val="00773465"/>
    <w:rsid w:val="00773506"/>
    <w:rsid w:val="00773602"/>
    <w:rsid w:val="0077366E"/>
    <w:rsid w:val="00773811"/>
    <w:rsid w:val="0077387C"/>
    <w:rsid w:val="00773934"/>
    <w:rsid w:val="00773955"/>
    <w:rsid w:val="00773AFB"/>
    <w:rsid w:val="00773B22"/>
    <w:rsid w:val="00773B4A"/>
    <w:rsid w:val="00773BB0"/>
    <w:rsid w:val="00773C3A"/>
    <w:rsid w:val="00773C44"/>
    <w:rsid w:val="00773C8C"/>
    <w:rsid w:val="00773FCE"/>
    <w:rsid w:val="0077418F"/>
    <w:rsid w:val="007741A5"/>
    <w:rsid w:val="00774297"/>
    <w:rsid w:val="00774304"/>
    <w:rsid w:val="00774351"/>
    <w:rsid w:val="00774515"/>
    <w:rsid w:val="00774647"/>
    <w:rsid w:val="00774680"/>
    <w:rsid w:val="00774879"/>
    <w:rsid w:val="007748B2"/>
    <w:rsid w:val="0077497B"/>
    <w:rsid w:val="00774A99"/>
    <w:rsid w:val="00774B9A"/>
    <w:rsid w:val="00774FCC"/>
    <w:rsid w:val="0077504B"/>
    <w:rsid w:val="00775232"/>
    <w:rsid w:val="00775252"/>
    <w:rsid w:val="007752F6"/>
    <w:rsid w:val="00775328"/>
    <w:rsid w:val="00775358"/>
    <w:rsid w:val="00775724"/>
    <w:rsid w:val="00775760"/>
    <w:rsid w:val="007758C3"/>
    <w:rsid w:val="00775976"/>
    <w:rsid w:val="00775B46"/>
    <w:rsid w:val="00775C70"/>
    <w:rsid w:val="00775D1F"/>
    <w:rsid w:val="00775DAF"/>
    <w:rsid w:val="00775DCC"/>
    <w:rsid w:val="00775F34"/>
    <w:rsid w:val="00775F99"/>
    <w:rsid w:val="00776173"/>
    <w:rsid w:val="00776191"/>
    <w:rsid w:val="00776291"/>
    <w:rsid w:val="00776542"/>
    <w:rsid w:val="007766C7"/>
    <w:rsid w:val="007766DA"/>
    <w:rsid w:val="007769BE"/>
    <w:rsid w:val="00776B5A"/>
    <w:rsid w:val="00776CEA"/>
    <w:rsid w:val="00776CED"/>
    <w:rsid w:val="00776F67"/>
    <w:rsid w:val="00776F7E"/>
    <w:rsid w:val="0077700C"/>
    <w:rsid w:val="00777237"/>
    <w:rsid w:val="0077723C"/>
    <w:rsid w:val="007772C3"/>
    <w:rsid w:val="00777380"/>
    <w:rsid w:val="00777395"/>
    <w:rsid w:val="007773BB"/>
    <w:rsid w:val="007774B6"/>
    <w:rsid w:val="00777538"/>
    <w:rsid w:val="00777667"/>
    <w:rsid w:val="0077786C"/>
    <w:rsid w:val="007778FD"/>
    <w:rsid w:val="007778FE"/>
    <w:rsid w:val="00777AE4"/>
    <w:rsid w:val="00777DE1"/>
    <w:rsid w:val="00777F82"/>
    <w:rsid w:val="00780021"/>
    <w:rsid w:val="0078008E"/>
    <w:rsid w:val="007802B1"/>
    <w:rsid w:val="00780430"/>
    <w:rsid w:val="0078050F"/>
    <w:rsid w:val="00780535"/>
    <w:rsid w:val="0078057B"/>
    <w:rsid w:val="007806BC"/>
    <w:rsid w:val="00780A04"/>
    <w:rsid w:val="00780A19"/>
    <w:rsid w:val="00780B3D"/>
    <w:rsid w:val="00780BF3"/>
    <w:rsid w:val="00780E68"/>
    <w:rsid w:val="0078118B"/>
    <w:rsid w:val="00781307"/>
    <w:rsid w:val="0078142C"/>
    <w:rsid w:val="00781582"/>
    <w:rsid w:val="007816C2"/>
    <w:rsid w:val="007816F5"/>
    <w:rsid w:val="00781723"/>
    <w:rsid w:val="0078191C"/>
    <w:rsid w:val="0078192A"/>
    <w:rsid w:val="00781952"/>
    <w:rsid w:val="0078196E"/>
    <w:rsid w:val="00781990"/>
    <w:rsid w:val="00781BA4"/>
    <w:rsid w:val="00781C73"/>
    <w:rsid w:val="00781F81"/>
    <w:rsid w:val="00782149"/>
    <w:rsid w:val="007822F4"/>
    <w:rsid w:val="007823A2"/>
    <w:rsid w:val="007823A3"/>
    <w:rsid w:val="0078244B"/>
    <w:rsid w:val="007824CC"/>
    <w:rsid w:val="007824EA"/>
    <w:rsid w:val="007825CB"/>
    <w:rsid w:val="0078266B"/>
    <w:rsid w:val="00782691"/>
    <w:rsid w:val="0078286D"/>
    <w:rsid w:val="00782910"/>
    <w:rsid w:val="00782A12"/>
    <w:rsid w:val="00782B5F"/>
    <w:rsid w:val="00782C70"/>
    <w:rsid w:val="00782CAE"/>
    <w:rsid w:val="00782D60"/>
    <w:rsid w:val="00782E37"/>
    <w:rsid w:val="0078309F"/>
    <w:rsid w:val="0078345C"/>
    <w:rsid w:val="0078348A"/>
    <w:rsid w:val="00783565"/>
    <w:rsid w:val="00783632"/>
    <w:rsid w:val="007836A0"/>
    <w:rsid w:val="007836E5"/>
    <w:rsid w:val="007837ED"/>
    <w:rsid w:val="0078394B"/>
    <w:rsid w:val="007839A9"/>
    <w:rsid w:val="00783AAE"/>
    <w:rsid w:val="00783C00"/>
    <w:rsid w:val="00783C35"/>
    <w:rsid w:val="00783C36"/>
    <w:rsid w:val="00783CEC"/>
    <w:rsid w:val="00783E57"/>
    <w:rsid w:val="00783FB9"/>
    <w:rsid w:val="00784087"/>
    <w:rsid w:val="00784113"/>
    <w:rsid w:val="00784138"/>
    <w:rsid w:val="00784432"/>
    <w:rsid w:val="00784527"/>
    <w:rsid w:val="00784533"/>
    <w:rsid w:val="00784603"/>
    <w:rsid w:val="007847E8"/>
    <w:rsid w:val="007847F6"/>
    <w:rsid w:val="00784AC9"/>
    <w:rsid w:val="00784C09"/>
    <w:rsid w:val="00784C65"/>
    <w:rsid w:val="00784D36"/>
    <w:rsid w:val="00784D56"/>
    <w:rsid w:val="00784F2B"/>
    <w:rsid w:val="00784FB0"/>
    <w:rsid w:val="00785024"/>
    <w:rsid w:val="007850A0"/>
    <w:rsid w:val="007850B9"/>
    <w:rsid w:val="007850E0"/>
    <w:rsid w:val="00785184"/>
    <w:rsid w:val="00785413"/>
    <w:rsid w:val="00785463"/>
    <w:rsid w:val="007856B0"/>
    <w:rsid w:val="007856DB"/>
    <w:rsid w:val="0078584A"/>
    <w:rsid w:val="007858EF"/>
    <w:rsid w:val="00785A0D"/>
    <w:rsid w:val="00785A77"/>
    <w:rsid w:val="00785A8C"/>
    <w:rsid w:val="00785C21"/>
    <w:rsid w:val="00785C43"/>
    <w:rsid w:val="00785D5D"/>
    <w:rsid w:val="0078601E"/>
    <w:rsid w:val="0078610A"/>
    <w:rsid w:val="0078613E"/>
    <w:rsid w:val="00786140"/>
    <w:rsid w:val="007861E4"/>
    <w:rsid w:val="00786356"/>
    <w:rsid w:val="00786408"/>
    <w:rsid w:val="0078664B"/>
    <w:rsid w:val="00786692"/>
    <w:rsid w:val="007866DD"/>
    <w:rsid w:val="00786741"/>
    <w:rsid w:val="00786922"/>
    <w:rsid w:val="0078696E"/>
    <w:rsid w:val="00786A91"/>
    <w:rsid w:val="00786B14"/>
    <w:rsid w:val="00786B55"/>
    <w:rsid w:val="00786CFF"/>
    <w:rsid w:val="00786ED3"/>
    <w:rsid w:val="0078710C"/>
    <w:rsid w:val="00787177"/>
    <w:rsid w:val="00787242"/>
    <w:rsid w:val="0078742F"/>
    <w:rsid w:val="007874D0"/>
    <w:rsid w:val="007874E4"/>
    <w:rsid w:val="007874E6"/>
    <w:rsid w:val="00787530"/>
    <w:rsid w:val="00787566"/>
    <w:rsid w:val="007875C0"/>
    <w:rsid w:val="00787B00"/>
    <w:rsid w:val="00787C9F"/>
    <w:rsid w:val="00787D1A"/>
    <w:rsid w:val="00787E26"/>
    <w:rsid w:val="00787E80"/>
    <w:rsid w:val="00787ECD"/>
    <w:rsid w:val="00789C0D"/>
    <w:rsid w:val="00790304"/>
    <w:rsid w:val="00790338"/>
    <w:rsid w:val="0079033B"/>
    <w:rsid w:val="007906AB"/>
    <w:rsid w:val="00790763"/>
    <w:rsid w:val="00790777"/>
    <w:rsid w:val="00790833"/>
    <w:rsid w:val="00790A1F"/>
    <w:rsid w:val="00790A27"/>
    <w:rsid w:val="00790A92"/>
    <w:rsid w:val="00790AA0"/>
    <w:rsid w:val="00790B93"/>
    <w:rsid w:val="00790BEB"/>
    <w:rsid w:val="00790C2F"/>
    <w:rsid w:val="00790D69"/>
    <w:rsid w:val="00790D85"/>
    <w:rsid w:val="00790EB8"/>
    <w:rsid w:val="00790FA6"/>
    <w:rsid w:val="0079101F"/>
    <w:rsid w:val="00791049"/>
    <w:rsid w:val="00791089"/>
    <w:rsid w:val="007910C0"/>
    <w:rsid w:val="00791162"/>
    <w:rsid w:val="007912D5"/>
    <w:rsid w:val="00791537"/>
    <w:rsid w:val="007916C9"/>
    <w:rsid w:val="0079182B"/>
    <w:rsid w:val="0079187A"/>
    <w:rsid w:val="007919B8"/>
    <w:rsid w:val="007919B9"/>
    <w:rsid w:val="00791CBB"/>
    <w:rsid w:val="00791CC6"/>
    <w:rsid w:val="00791F40"/>
    <w:rsid w:val="00792134"/>
    <w:rsid w:val="00792147"/>
    <w:rsid w:val="00792206"/>
    <w:rsid w:val="0079221C"/>
    <w:rsid w:val="0079227B"/>
    <w:rsid w:val="0079228E"/>
    <w:rsid w:val="00792423"/>
    <w:rsid w:val="007928A5"/>
    <w:rsid w:val="007928B8"/>
    <w:rsid w:val="007928C1"/>
    <w:rsid w:val="0079295A"/>
    <w:rsid w:val="00792A39"/>
    <w:rsid w:val="00792AAC"/>
    <w:rsid w:val="00792BD6"/>
    <w:rsid w:val="00792CE5"/>
    <w:rsid w:val="00792E96"/>
    <w:rsid w:val="00792F09"/>
    <w:rsid w:val="00792F70"/>
    <w:rsid w:val="00792F86"/>
    <w:rsid w:val="007932E4"/>
    <w:rsid w:val="0079332C"/>
    <w:rsid w:val="00793338"/>
    <w:rsid w:val="00793474"/>
    <w:rsid w:val="007935B3"/>
    <w:rsid w:val="007935B6"/>
    <w:rsid w:val="0079363E"/>
    <w:rsid w:val="007938C9"/>
    <w:rsid w:val="00793BFA"/>
    <w:rsid w:val="00793CFF"/>
    <w:rsid w:val="00793D8F"/>
    <w:rsid w:val="00793D93"/>
    <w:rsid w:val="00793E4A"/>
    <w:rsid w:val="00793EBB"/>
    <w:rsid w:val="00793EFA"/>
    <w:rsid w:val="00793F7E"/>
    <w:rsid w:val="00793FF2"/>
    <w:rsid w:val="00793FFE"/>
    <w:rsid w:val="0079404C"/>
    <w:rsid w:val="00794157"/>
    <w:rsid w:val="007941B9"/>
    <w:rsid w:val="00794264"/>
    <w:rsid w:val="0079428A"/>
    <w:rsid w:val="00794505"/>
    <w:rsid w:val="00794872"/>
    <w:rsid w:val="00794928"/>
    <w:rsid w:val="00794980"/>
    <w:rsid w:val="00794A93"/>
    <w:rsid w:val="0079516D"/>
    <w:rsid w:val="007952EF"/>
    <w:rsid w:val="00795325"/>
    <w:rsid w:val="0079533E"/>
    <w:rsid w:val="00795390"/>
    <w:rsid w:val="007953BB"/>
    <w:rsid w:val="00795602"/>
    <w:rsid w:val="007959A8"/>
    <w:rsid w:val="00795B86"/>
    <w:rsid w:val="00795D3D"/>
    <w:rsid w:val="00795F2B"/>
    <w:rsid w:val="00795FFD"/>
    <w:rsid w:val="007960EA"/>
    <w:rsid w:val="0079610D"/>
    <w:rsid w:val="007961A5"/>
    <w:rsid w:val="007962A2"/>
    <w:rsid w:val="007963ED"/>
    <w:rsid w:val="00796404"/>
    <w:rsid w:val="0079652B"/>
    <w:rsid w:val="0079659E"/>
    <w:rsid w:val="00796641"/>
    <w:rsid w:val="0079677F"/>
    <w:rsid w:val="007967B0"/>
    <w:rsid w:val="00796873"/>
    <w:rsid w:val="0079691F"/>
    <w:rsid w:val="007969FA"/>
    <w:rsid w:val="00796CAC"/>
    <w:rsid w:val="00796E8E"/>
    <w:rsid w:val="00796EC0"/>
    <w:rsid w:val="00796F55"/>
    <w:rsid w:val="00796F9B"/>
    <w:rsid w:val="00796FF0"/>
    <w:rsid w:val="00797051"/>
    <w:rsid w:val="00797086"/>
    <w:rsid w:val="007970FB"/>
    <w:rsid w:val="00797459"/>
    <w:rsid w:val="007975C4"/>
    <w:rsid w:val="0079777C"/>
    <w:rsid w:val="0079786A"/>
    <w:rsid w:val="0079791B"/>
    <w:rsid w:val="00797AD3"/>
    <w:rsid w:val="00797BE1"/>
    <w:rsid w:val="00797CA0"/>
    <w:rsid w:val="00797D4E"/>
    <w:rsid w:val="00797F3E"/>
    <w:rsid w:val="00797F77"/>
    <w:rsid w:val="0079CB4A"/>
    <w:rsid w:val="0079E900"/>
    <w:rsid w:val="0079ED59"/>
    <w:rsid w:val="007A00BD"/>
    <w:rsid w:val="007A00DF"/>
    <w:rsid w:val="007A0263"/>
    <w:rsid w:val="007A02F7"/>
    <w:rsid w:val="007A03F8"/>
    <w:rsid w:val="007A0529"/>
    <w:rsid w:val="007A057A"/>
    <w:rsid w:val="007A0792"/>
    <w:rsid w:val="007A0883"/>
    <w:rsid w:val="007A096D"/>
    <w:rsid w:val="007A0BC3"/>
    <w:rsid w:val="007A0D21"/>
    <w:rsid w:val="007A0D50"/>
    <w:rsid w:val="007A0EFC"/>
    <w:rsid w:val="007A0FC8"/>
    <w:rsid w:val="007A0FFB"/>
    <w:rsid w:val="007A1321"/>
    <w:rsid w:val="007A13EE"/>
    <w:rsid w:val="007A1402"/>
    <w:rsid w:val="007A144C"/>
    <w:rsid w:val="007A17F4"/>
    <w:rsid w:val="007A1844"/>
    <w:rsid w:val="007A1BBB"/>
    <w:rsid w:val="007A1C3D"/>
    <w:rsid w:val="007A1C55"/>
    <w:rsid w:val="007A1CB7"/>
    <w:rsid w:val="007A1D82"/>
    <w:rsid w:val="007A1DFE"/>
    <w:rsid w:val="007A1E20"/>
    <w:rsid w:val="007A1E9F"/>
    <w:rsid w:val="007A221F"/>
    <w:rsid w:val="007A227D"/>
    <w:rsid w:val="007A2389"/>
    <w:rsid w:val="007A27F4"/>
    <w:rsid w:val="007A2897"/>
    <w:rsid w:val="007A28AE"/>
    <w:rsid w:val="007A29E0"/>
    <w:rsid w:val="007A2A88"/>
    <w:rsid w:val="007A2B70"/>
    <w:rsid w:val="007A2D91"/>
    <w:rsid w:val="007A3008"/>
    <w:rsid w:val="007A3109"/>
    <w:rsid w:val="007A33F4"/>
    <w:rsid w:val="007A35EF"/>
    <w:rsid w:val="007A36E6"/>
    <w:rsid w:val="007A37F6"/>
    <w:rsid w:val="007A3878"/>
    <w:rsid w:val="007A388A"/>
    <w:rsid w:val="007A3AC8"/>
    <w:rsid w:val="007A3AF3"/>
    <w:rsid w:val="007A3C18"/>
    <w:rsid w:val="007A3CA7"/>
    <w:rsid w:val="007A3E2A"/>
    <w:rsid w:val="007A3E49"/>
    <w:rsid w:val="007A3E9F"/>
    <w:rsid w:val="007A3FFB"/>
    <w:rsid w:val="007A4016"/>
    <w:rsid w:val="007A4127"/>
    <w:rsid w:val="007A41BA"/>
    <w:rsid w:val="007A43DB"/>
    <w:rsid w:val="007A49AC"/>
    <w:rsid w:val="007A4B6F"/>
    <w:rsid w:val="007A4F00"/>
    <w:rsid w:val="007A4F54"/>
    <w:rsid w:val="007A511E"/>
    <w:rsid w:val="007A5159"/>
    <w:rsid w:val="007A5198"/>
    <w:rsid w:val="007A51E5"/>
    <w:rsid w:val="007A5407"/>
    <w:rsid w:val="007A5421"/>
    <w:rsid w:val="007A54D5"/>
    <w:rsid w:val="007A54EC"/>
    <w:rsid w:val="007A55B7"/>
    <w:rsid w:val="007A55E8"/>
    <w:rsid w:val="007A576D"/>
    <w:rsid w:val="007A57D0"/>
    <w:rsid w:val="007A5800"/>
    <w:rsid w:val="007A5871"/>
    <w:rsid w:val="007A58B1"/>
    <w:rsid w:val="007A5929"/>
    <w:rsid w:val="007A5B93"/>
    <w:rsid w:val="007A5C57"/>
    <w:rsid w:val="007A5F69"/>
    <w:rsid w:val="007A600E"/>
    <w:rsid w:val="007A6100"/>
    <w:rsid w:val="007A6127"/>
    <w:rsid w:val="007A62AB"/>
    <w:rsid w:val="007A64E8"/>
    <w:rsid w:val="007A65BF"/>
    <w:rsid w:val="007A669B"/>
    <w:rsid w:val="007A66F4"/>
    <w:rsid w:val="007A6719"/>
    <w:rsid w:val="007A6722"/>
    <w:rsid w:val="007A6747"/>
    <w:rsid w:val="007A67C4"/>
    <w:rsid w:val="007A6834"/>
    <w:rsid w:val="007A684D"/>
    <w:rsid w:val="007A6A16"/>
    <w:rsid w:val="007A6B05"/>
    <w:rsid w:val="007A6B21"/>
    <w:rsid w:val="007A6C94"/>
    <w:rsid w:val="007A6E01"/>
    <w:rsid w:val="007A6EE2"/>
    <w:rsid w:val="007A7447"/>
    <w:rsid w:val="007A74FC"/>
    <w:rsid w:val="007A75D0"/>
    <w:rsid w:val="007A771A"/>
    <w:rsid w:val="007A78A5"/>
    <w:rsid w:val="007A79C2"/>
    <w:rsid w:val="007A7A8A"/>
    <w:rsid w:val="007A7DAB"/>
    <w:rsid w:val="007A7DAF"/>
    <w:rsid w:val="007A7E19"/>
    <w:rsid w:val="007A7ED7"/>
    <w:rsid w:val="007A7EF8"/>
    <w:rsid w:val="007B00DD"/>
    <w:rsid w:val="007B0165"/>
    <w:rsid w:val="007B0266"/>
    <w:rsid w:val="007B0280"/>
    <w:rsid w:val="007B04C9"/>
    <w:rsid w:val="007B0563"/>
    <w:rsid w:val="007B0569"/>
    <w:rsid w:val="007B07AE"/>
    <w:rsid w:val="007B07C7"/>
    <w:rsid w:val="007B084A"/>
    <w:rsid w:val="007B0B02"/>
    <w:rsid w:val="007B0BE4"/>
    <w:rsid w:val="007B0C6D"/>
    <w:rsid w:val="007B0DE6"/>
    <w:rsid w:val="007B0E11"/>
    <w:rsid w:val="007B0EE8"/>
    <w:rsid w:val="007B1142"/>
    <w:rsid w:val="007B145C"/>
    <w:rsid w:val="007B14E2"/>
    <w:rsid w:val="007B174E"/>
    <w:rsid w:val="007B1AD6"/>
    <w:rsid w:val="007B1B39"/>
    <w:rsid w:val="007B1C58"/>
    <w:rsid w:val="007B1D52"/>
    <w:rsid w:val="007B1E24"/>
    <w:rsid w:val="007B1FED"/>
    <w:rsid w:val="007B2382"/>
    <w:rsid w:val="007B24A9"/>
    <w:rsid w:val="007B2625"/>
    <w:rsid w:val="007B2644"/>
    <w:rsid w:val="007B26EC"/>
    <w:rsid w:val="007B2850"/>
    <w:rsid w:val="007B28E7"/>
    <w:rsid w:val="007B2B0E"/>
    <w:rsid w:val="007B2CF3"/>
    <w:rsid w:val="007B2D23"/>
    <w:rsid w:val="007B2DFD"/>
    <w:rsid w:val="007B2EDE"/>
    <w:rsid w:val="007B304C"/>
    <w:rsid w:val="007B3090"/>
    <w:rsid w:val="007B30D6"/>
    <w:rsid w:val="007B313F"/>
    <w:rsid w:val="007B344C"/>
    <w:rsid w:val="007B34EC"/>
    <w:rsid w:val="007B36CE"/>
    <w:rsid w:val="007B3784"/>
    <w:rsid w:val="007B384F"/>
    <w:rsid w:val="007B3851"/>
    <w:rsid w:val="007B3AFB"/>
    <w:rsid w:val="007B3B3A"/>
    <w:rsid w:val="007B3B66"/>
    <w:rsid w:val="007B3B78"/>
    <w:rsid w:val="007B3C24"/>
    <w:rsid w:val="007B3C53"/>
    <w:rsid w:val="007B3CBC"/>
    <w:rsid w:val="007B3DF3"/>
    <w:rsid w:val="007B3E47"/>
    <w:rsid w:val="007B3E58"/>
    <w:rsid w:val="007B3F0F"/>
    <w:rsid w:val="007B3F7E"/>
    <w:rsid w:val="007B4142"/>
    <w:rsid w:val="007B41EF"/>
    <w:rsid w:val="007B42EA"/>
    <w:rsid w:val="007B431D"/>
    <w:rsid w:val="007B45CC"/>
    <w:rsid w:val="007B4680"/>
    <w:rsid w:val="007B4684"/>
    <w:rsid w:val="007B47D6"/>
    <w:rsid w:val="007B48FE"/>
    <w:rsid w:val="007B4BFE"/>
    <w:rsid w:val="007B4C34"/>
    <w:rsid w:val="007B4F28"/>
    <w:rsid w:val="007B5091"/>
    <w:rsid w:val="007B50E5"/>
    <w:rsid w:val="007B539A"/>
    <w:rsid w:val="007B53FE"/>
    <w:rsid w:val="007B5607"/>
    <w:rsid w:val="007B569D"/>
    <w:rsid w:val="007B57B0"/>
    <w:rsid w:val="007B57C3"/>
    <w:rsid w:val="007B58A5"/>
    <w:rsid w:val="007B59DB"/>
    <w:rsid w:val="007B5C8B"/>
    <w:rsid w:val="007B5C98"/>
    <w:rsid w:val="007B5D6C"/>
    <w:rsid w:val="007B60F1"/>
    <w:rsid w:val="007B610A"/>
    <w:rsid w:val="007B62A2"/>
    <w:rsid w:val="007B62DE"/>
    <w:rsid w:val="007B6377"/>
    <w:rsid w:val="007B6384"/>
    <w:rsid w:val="007B68BD"/>
    <w:rsid w:val="007B68F0"/>
    <w:rsid w:val="007B690F"/>
    <w:rsid w:val="007B6ABF"/>
    <w:rsid w:val="007B6B6B"/>
    <w:rsid w:val="007B6C2E"/>
    <w:rsid w:val="007B6CB6"/>
    <w:rsid w:val="007B6EC5"/>
    <w:rsid w:val="007B6F6E"/>
    <w:rsid w:val="007B71AC"/>
    <w:rsid w:val="007B722C"/>
    <w:rsid w:val="007B74AD"/>
    <w:rsid w:val="007B74F1"/>
    <w:rsid w:val="007B756D"/>
    <w:rsid w:val="007B756E"/>
    <w:rsid w:val="007B7646"/>
    <w:rsid w:val="007B7685"/>
    <w:rsid w:val="007B7689"/>
    <w:rsid w:val="007B76DE"/>
    <w:rsid w:val="007B770B"/>
    <w:rsid w:val="007B770D"/>
    <w:rsid w:val="007B778E"/>
    <w:rsid w:val="007B790F"/>
    <w:rsid w:val="007B7A42"/>
    <w:rsid w:val="007B7C06"/>
    <w:rsid w:val="007B7D37"/>
    <w:rsid w:val="007B7FEF"/>
    <w:rsid w:val="007BE184"/>
    <w:rsid w:val="007BFFD6"/>
    <w:rsid w:val="007C0050"/>
    <w:rsid w:val="007C00E1"/>
    <w:rsid w:val="007C01AC"/>
    <w:rsid w:val="007C01FD"/>
    <w:rsid w:val="007C03BC"/>
    <w:rsid w:val="007C03D1"/>
    <w:rsid w:val="007C04BE"/>
    <w:rsid w:val="007C0663"/>
    <w:rsid w:val="007C06FB"/>
    <w:rsid w:val="007C094E"/>
    <w:rsid w:val="007C097E"/>
    <w:rsid w:val="007C097F"/>
    <w:rsid w:val="007C0A12"/>
    <w:rsid w:val="007C0B11"/>
    <w:rsid w:val="007C0C7A"/>
    <w:rsid w:val="007C0CD2"/>
    <w:rsid w:val="007C0F57"/>
    <w:rsid w:val="007C12A6"/>
    <w:rsid w:val="007C152C"/>
    <w:rsid w:val="007C15BF"/>
    <w:rsid w:val="007C164E"/>
    <w:rsid w:val="007C197D"/>
    <w:rsid w:val="007C1A16"/>
    <w:rsid w:val="007C1BE3"/>
    <w:rsid w:val="007C1CE7"/>
    <w:rsid w:val="007C1E9D"/>
    <w:rsid w:val="007C1F59"/>
    <w:rsid w:val="007C1FEF"/>
    <w:rsid w:val="007C2035"/>
    <w:rsid w:val="007C223B"/>
    <w:rsid w:val="007C22CC"/>
    <w:rsid w:val="007C2342"/>
    <w:rsid w:val="007C254F"/>
    <w:rsid w:val="007C26F9"/>
    <w:rsid w:val="007C2835"/>
    <w:rsid w:val="007C283D"/>
    <w:rsid w:val="007C28A4"/>
    <w:rsid w:val="007C29DF"/>
    <w:rsid w:val="007C2AA3"/>
    <w:rsid w:val="007C2CA2"/>
    <w:rsid w:val="007C2D30"/>
    <w:rsid w:val="007C2E10"/>
    <w:rsid w:val="007C319C"/>
    <w:rsid w:val="007C3711"/>
    <w:rsid w:val="007C3712"/>
    <w:rsid w:val="007C3776"/>
    <w:rsid w:val="007C37B4"/>
    <w:rsid w:val="007C37F3"/>
    <w:rsid w:val="007C3857"/>
    <w:rsid w:val="007C3ABF"/>
    <w:rsid w:val="007C3B97"/>
    <w:rsid w:val="007C3D6A"/>
    <w:rsid w:val="007C3DB4"/>
    <w:rsid w:val="007C3F08"/>
    <w:rsid w:val="007C40F8"/>
    <w:rsid w:val="007C4189"/>
    <w:rsid w:val="007C4210"/>
    <w:rsid w:val="007C4387"/>
    <w:rsid w:val="007C4405"/>
    <w:rsid w:val="007C4A63"/>
    <w:rsid w:val="007C4A8E"/>
    <w:rsid w:val="007C4AC0"/>
    <w:rsid w:val="007C4B78"/>
    <w:rsid w:val="007C4DCE"/>
    <w:rsid w:val="007C4DFB"/>
    <w:rsid w:val="007C4E9A"/>
    <w:rsid w:val="007C4F9E"/>
    <w:rsid w:val="007C4FE2"/>
    <w:rsid w:val="007C5045"/>
    <w:rsid w:val="007C512D"/>
    <w:rsid w:val="007C518C"/>
    <w:rsid w:val="007C518F"/>
    <w:rsid w:val="007C52C6"/>
    <w:rsid w:val="007C538E"/>
    <w:rsid w:val="007C55EB"/>
    <w:rsid w:val="007C5778"/>
    <w:rsid w:val="007C585E"/>
    <w:rsid w:val="007C58CC"/>
    <w:rsid w:val="007C58D3"/>
    <w:rsid w:val="007C59E3"/>
    <w:rsid w:val="007C5A6D"/>
    <w:rsid w:val="007C5BD2"/>
    <w:rsid w:val="007C5DB6"/>
    <w:rsid w:val="007C6126"/>
    <w:rsid w:val="007C61B9"/>
    <w:rsid w:val="007C6314"/>
    <w:rsid w:val="007C658C"/>
    <w:rsid w:val="007C6720"/>
    <w:rsid w:val="007C679B"/>
    <w:rsid w:val="007C6801"/>
    <w:rsid w:val="007C69EF"/>
    <w:rsid w:val="007C6B38"/>
    <w:rsid w:val="007C6B3C"/>
    <w:rsid w:val="007C6BFA"/>
    <w:rsid w:val="007C6CDB"/>
    <w:rsid w:val="007C6CDD"/>
    <w:rsid w:val="007C6D0E"/>
    <w:rsid w:val="007C6E64"/>
    <w:rsid w:val="007C704B"/>
    <w:rsid w:val="007C7193"/>
    <w:rsid w:val="007C719B"/>
    <w:rsid w:val="007C778F"/>
    <w:rsid w:val="007C77DE"/>
    <w:rsid w:val="007C77FD"/>
    <w:rsid w:val="007C791D"/>
    <w:rsid w:val="007C7995"/>
    <w:rsid w:val="007C79BB"/>
    <w:rsid w:val="007C7B56"/>
    <w:rsid w:val="007C7DA5"/>
    <w:rsid w:val="007C7E00"/>
    <w:rsid w:val="007C7E81"/>
    <w:rsid w:val="007C7EF8"/>
    <w:rsid w:val="007C7F44"/>
    <w:rsid w:val="007C7F99"/>
    <w:rsid w:val="007C9911"/>
    <w:rsid w:val="007CFD32"/>
    <w:rsid w:val="007D0283"/>
    <w:rsid w:val="007D02E4"/>
    <w:rsid w:val="007D0382"/>
    <w:rsid w:val="007D04B7"/>
    <w:rsid w:val="007D04ED"/>
    <w:rsid w:val="007D0650"/>
    <w:rsid w:val="007D069E"/>
    <w:rsid w:val="007D08EB"/>
    <w:rsid w:val="007D0C0A"/>
    <w:rsid w:val="007D0C67"/>
    <w:rsid w:val="007D0DA0"/>
    <w:rsid w:val="007D0DE5"/>
    <w:rsid w:val="007D1089"/>
    <w:rsid w:val="007D10A7"/>
    <w:rsid w:val="007D1104"/>
    <w:rsid w:val="007D1234"/>
    <w:rsid w:val="007D124F"/>
    <w:rsid w:val="007D127D"/>
    <w:rsid w:val="007D1368"/>
    <w:rsid w:val="007D136A"/>
    <w:rsid w:val="007D13B4"/>
    <w:rsid w:val="007D170D"/>
    <w:rsid w:val="007D18D9"/>
    <w:rsid w:val="007D1943"/>
    <w:rsid w:val="007D1983"/>
    <w:rsid w:val="007D1AE5"/>
    <w:rsid w:val="007D1B6F"/>
    <w:rsid w:val="007D1BF2"/>
    <w:rsid w:val="007D1CB0"/>
    <w:rsid w:val="007D1D71"/>
    <w:rsid w:val="007D1D72"/>
    <w:rsid w:val="007D1DAE"/>
    <w:rsid w:val="007D1E20"/>
    <w:rsid w:val="007D1E4F"/>
    <w:rsid w:val="007D1E59"/>
    <w:rsid w:val="007D1ED7"/>
    <w:rsid w:val="007D2149"/>
    <w:rsid w:val="007D214E"/>
    <w:rsid w:val="007D21D9"/>
    <w:rsid w:val="007D248A"/>
    <w:rsid w:val="007D24E3"/>
    <w:rsid w:val="007D25A9"/>
    <w:rsid w:val="007D265A"/>
    <w:rsid w:val="007D2765"/>
    <w:rsid w:val="007D27E1"/>
    <w:rsid w:val="007D2812"/>
    <w:rsid w:val="007D2918"/>
    <w:rsid w:val="007D2A17"/>
    <w:rsid w:val="007D2A34"/>
    <w:rsid w:val="007D2ADF"/>
    <w:rsid w:val="007D2AF7"/>
    <w:rsid w:val="007D2C96"/>
    <w:rsid w:val="007D2CFE"/>
    <w:rsid w:val="007D2D44"/>
    <w:rsid w:val="007D2D6F"/>
    <w:rsid w:val="007D2E72"/>
    <w:rsid w:val="007D3178"/>
    <w:rsid w:val="007D31E4"/>
    <w:rsid w:val="007D323C"/>
    <w:rsid w:val="007D3759"/>
    <w:rsid w:val="007D3826"/>
    <w:rsid w:val="007D396B"/>
    <w:rsid w:val="007D3A90"/>
    <w:rsid w:val="007D3B44"/>
    <w:rsid w:val="007D3B9D"/>
    <w:rsid w:val="007D3BA9"/>
    <w:rsid w:val="007D3D6F"/>
    <w:rsid w:val="007D3E5B"/>
    <w:rsid w:val="007D3F3D"/>
    <w:rsid w:val="007D3FA5"/>
    <w:rsid w:val="007D4228"/>
    <w:rsid w:val="007D45B9"/>
    <w:rsid w:val="007D4819"/>
    <w:rsid w:val="007D494C"/>
    <w:rsid w:val="007D4A3E"/>
    <w:rsid w:val="007D4B2E"/>
    <w:rsid w:val="007D4BB3"/>
    <w:rsid w:val="007D4CB8"/>
    <w:rsid w:val="007D4ECB"/>
    <w:rsid w:val="007D50D2"/>
    <w:rsid w:val="007D5101"/>
    <w:rsid w:val="007D5161"/>
    <w:rsid w:val="007D5195"/>
    <w:rsid w:val="007D5219"/>
    <w:rsid w:val="007D54E3"/>
    <w:rsid w:val="007D5583"/>
    <w:rsid w:val="007D55CC"/>
    <w:rsid w:val="007D5614"/>
    <w:rsid w:val="007D5626"/>
    <w:rsid w:val="007D5647"/>
    <w:rsid w:val="007D5977"/>
    <w:rsid w:val="007D5B67"/>
    <w:rsid w:val="007D5B72"/>
    <w:rsid w:val="007D5C2D"/>
    <w:rsid w:val="007D5D38"/>
    <w:rsid w:val="007D5D45"/>
    <w:rsid w:val="007D5D60"/>
    <w:rsid w:val="007D5DE2"/>
    <w:rsid w:val="007D5E70"/>
    <w:rsid w:val="007D5E8F"/>
    <w:rsid w:val="007D5EE4"/>
    <w:rsid w:val="007D5F10"/>
    <w:rsid w:val="007D5F73"/>
    <w:rsid w:val="007D604F"/>
    <w:rsid w:val="007D614A"/>
    <w:rsid w:val="007D648D"/>
    <w:rsid w:val="007D64E6"/>
    <w:rsid w:val="007D6566"/>
    <w:rsid w:val="007D65E4"/>
    <w:rsid w:val="007D66CC"/>
    <w:rsid w:val="007D66F9"/>
    <w:rsid w:val="007D69D3"/>
    <w:rsid w:val="007D6A7D"/>
    <w:rsid w:val="007D6A89"/>
    <w:rsid w:val="007D6D44"/>
    <w:rsid w:val="007D6FC7"/>
    <w:rsid w:val="007D6FF5"/>
    <w:rsid w:val="007D7296"/>
    <w:rsid w:val="007D72D2"/>
    <w:rsid w:val="007D7340"/>
    <w:rsid w:val="007D73C5"/>
    <w:rsid w:val="007D74F9"/>
    <w:rsid w:val="007D7654"/>
    <w:rsid w:val="007D77A0"/>
    <w:rsid w:val="007D77B5"/>
    <w:rsid w:val="007D77DB"/>
    <w:rsid w:val="007D7809"/>
    <w:rsid w:val="007D780F"/>
    <w:rsid w:val="007D7835"/>
    <w:rsid w:val="007D7885"/>
    <w:rsid w:val="007D7A42"/>
    <w:rsid w:val="007D7C8C"/>
    <w:rsid w:val="007D7CE6"/>
    <w:rsid w:val="007D7CF5"/>
    <w:rsid w:val="007D7EF4"/>
    <w:rsid w:val="007D7F05"/>
    <w:rsid w:val="007D7FBA"/>
    <w:rsid w:val="007D7FCA"/>
    <w:rsid w:val="007D862A"/>
    <w:rsid w:val="007D90B5"/>
    <w:rsid w:val="007DC88A"/>
    <w:rsid w:val="007DDBE4"/>
    <w:rsid w:val="007E02F5"/>
    <w:rsid w:val="007E04DE"/>
    <w:rsid w:val="007E0609"/>
    <w:rsid w:val="007E074C"/>
    <w:rsid w:val="007E07BA"/>
    <w:rsid w:val="007E0C85"/>
    <w:rsid w:val="007E0CC4"/>
    <w:rsid w:val="007E0DCE"/>
    <w:rsid w:val="007E0FEE"/>
    <w:rsid w:val="007E1053"/>
    <w:rsid w:val="007E1091"/>
    <w:rsid w:val="007E1109"/>
    <w:rsid w:val="007E1127"/>
    <w:rsid w:val="007E1129"/>
    <w:rsid w:val="007E1452"/>
    <w:rsid w:val="007E1515"/>
    <w:rsid w:val="007E16DD"/>
    <w:rsid w:val="007E1791"/>
    <w:rsid w:val="007E1DAA"/>
    <w:rsid w:val="007E1DC2"/>
    <w:rsid w:val="007E1E4C"/>
    <w:rsid w:val="007E203B"/>
    <w:rsid w:val="007E20F7"/>
    <w:rsid w:val="007E21EA"/>
    <w:rsid w:val="007E2258"/>
    <w:rsid w:val="007E2317"/>
    <w:rsid w:val="007E23D3"/>
    <w:rsid w:val="007E23DF"/>
    <w:rsid w:val="007E25CC"/>
    <w:rsid w:val="007E2825"/>
    <w:rsid w:val="007E2858"/>
    <w:rsid w:val="007E28E1"/>
    <w:rsid w:val="007E2ABD"/>
    <w:rsid w:val="007E2B2B"/>
    <w:rsid w:val="007E2B8F"/>
    <w:rsid w:val="007E2DB7"/>
    <w:rsid w:val="007E2DE2"/>
    <w:rsid w:val="007E2F6D"/>
    <w:rsid w:val="007E2F82"/>
    <w:rsid w:val="007E327A"/>
    <w:rsid w:val="007E3294"/>
    <w:rsid w:val="007E339D"/>
    <w:rsid w:val="007E343E"/>
    <w:rsid w:val="007E358A"/>
    <w:rsid w:val="007E359F"/>
    <w:rsid w:val="007E3838"/>
    <w:rsid w:val="007E3B8B"/>
    <w:rsid w:val="007E3CA2"/>
    <w:rsid w:val="007E3DEA"/>
    <w:rsid w:val="007E41A0"/>
    <w:rsid w:val="007E427C"/>
    <w:rsid w:val="007E42F1"/>
    <w:rsid w:val="007E46B9"/>
    <w:rsid w:val="007E472F"/>
    <w:rsid w:val="007E47C5"/>
    <w:rsid w:val="007E4929"/>
    <w:rsid w:val="007E4957"/>
    <w:rsid w:val="007E4AD0"/>
    <w:rsid w:val="007E4BD7"/>
    <w:rsid w:val="007E4BE4"/>
    <w:rsid w:val="007E4C92"/>
    <w:rsid w:val="007E4CAE"/>
    <w:rsid w:val="007E4CCB"/>
    <w:rsid w:val="007E4CDE"/>
    <w:rsid w:val="007E4D27"/>
    <w:rsid w:val="007E4E98"/>
    <w:rsid w:val="007E4EAE"/>
    <w:rsid w:val="007E4ED0"/>
    <w:rsid w:val="007E4ED6"/>
    <w:rsid w:val="007E4F42"/>
    <w:rsid w:val="007E4F4F"/>
    <w:rsid w:val="007E4FD7"/>
    <w:rsid w:val="007E5151"/>
    <w:rsid w:val="007E526A"/>
    <w:rsid w:val="007E526B"/>
    <w:rsid w:val="007E52BC"/>
    <w:rsid w:val="007E54E9"/>
    <w:rsid w:val="007E5777"/>
    <w:rsid w:val="007E5C42"/>
    <w:rsid w:val="007E5C60"/>
    <w:rsid w:val="007E5CF6"/>
    <w:rsid w:val="007E6127"/>
    <w:rsid w:val="007E614F"/>
    <w:rsid w:val="007E62C4"/>
    <w:rsid w:val="007E639E"/>
    <w:rsid w:val="007E63D9"/>
    <w:rsid w:val="007E6469"/>
    <w:rsid w:val="007E64F6"/>
    <w:rsid w:val="007E6544"/>
    <w:rsid w:val="007E6578"/>
    <w:rsid w:val="007E65A4"/>
    <w:rsid w:val="007E6638"/>
    <w:rsid w:val="007E6783"/>
    <w:rsid w:val="007E6787"/>
    <w:rsid w:val="007E67FE"/>
    <w:rsid w:val="007E692C"/>
    <w:rsid w:val="007E6A00"/>
    <w:rsid w:val="007E6B92"/>
    <w:rsid w:val="007E6BB7"/>
    <w:rsid w:val="007E6CAF"/>
    <w:rsid w:val="007E6E64"/>
    <w:rsid w:val="007E6F0D"/>
    <w:rsid w:val="007E6FD7"/>
    <w:rsid w:val="007E7072"/>
    <w:rsid w:val="007E70A7"/>
    <w:rsid w:val="007E70D2"/>
    <w:rsid w:val="007E70D8"/>
    <w:rsid w:val="007E7104"/>
    <w:rsid w:val="007E7199"/>
    <w:rsid w:val="007E72A3"/>
    <w:rsid w:val="007E72CB"/>
    <w:rsid w:val="007E7360"/>
    <w:rsid w:val="007E7452"/>
    <w:rsid w:val="007E75E5"/>
    <w:rsid w:val="007E7632"/>
    <w:rsid w:val="007E76BA"/>
    <w:rsid w:val="007E788F"/>
    <w:rsid w:val="007E78D6"/>
    <w:rsid w:val="007E7916"/>
    <w:rsid w:val="007E7AD2"/>
    <w:rsid w:val="007E7B1B"/>
    <w:rsid w:val="007E7CBE"/>
    <w:rsid w:val="007E7CC9"/>
    <w:rsid w:val="007E7D22"/>
    <w:rsid w:val="007E7DA1"/>
    <w:rsid w:val="007E7FE2"/>
    <w:rsid w:val="007F011F"/>
    <w:rsid w:val="007F021B"/>
    <w:rsid w:val="007F054D"/>
    <w:rsid w:val="007F0686"/>
    <w:rsid w:val="007F099B"/>
    <w:rsid w:val="007F0BB3"/>
    <w:rsid w:val="007F0BC6"/>
    <w:rsid w:val="007F0BDC"/>
    <w:rsid w:val="007F0CC1"/>
    <w:rsid w:val="007F0E9B"/>
    <w:rsid w:val="007F0FCB"/>
    <w:rsid w:val="007F0FE2"/>
    <w:rsid w:val="007F1153"/>
    <w:rsid w:val="007F115F"/>
    <w:rsid w:val="007F11F5"/>
    <w:rsid w:val="007F121A"/>
    <w:rsid w:val="007F127C"/>
    <w:rsid w:val="007F132C"/>
    <w:rsid w:val="007F13AC"/>
    <w:rsid w:val="007F14D4"/>
    <w:rsid w:val="007F15B8"/>
    <w:rsid w:val="007F16CA"/>
    <w:rsid w:val="007F17A9"/>
    <w:rsid w:val="007F1817"/>
    <w:rsid w:val="007F1926"/>
    <w:rsid w:val="007F1942"/>
    <w:rsid w:val="007F1B6E"/>
    <w:rsid w:val="007F1C53"/>
    <w:rsid w:val="007F1C55"/>
    <w:rsid w:val="007F1E6C"/>
    <w:rsid w:val="007F1F18"/>
    <w:rsid w:val="007F1F8E"/>
    <w:rsid w:val="007F1FCA"/>
    <w:rsid w:val="007F2280"/>
    <w:rsid w:val="007F2431"/>
    <w:rsid w:val="007F24EE"/>
    <w:rsid w:val="007F2583"/>
    <w:rsid w:val="007F2771"/>
    <w:rsid w:val="007F2854"/>
    <w:rsid w:val="007F28C7"/>
    <w:rsid w:val="007F2AB5"/>
    <w:rsid w:val="007F2C9E"/>
    <w:rsid w:val="007F2E40"/>
    <w:rsid w:val="007F2E8B"/>
    <w:rsid w:val="007F2ED7"/>
    <w:rsid w:val="007F2F43"/>
    <w:rsid w:val="007F3105"/>
    <w:rsid w:val="007F3108"/>
    <w:rsid w:val="007F3277"/>
    <w:rsid w:val="007F32D0"/>
    <w:rsid w:val="007F33B5"/>
    <w:rsid w:val="007F342E"/>
    <w:rsid w:val="007F3526"/>
    <w:rsid w:val="007F359B"/>
    <w:rsid w:val="007F37CD"/>
    <w:rsid w:val="007F37F8"/>
    <w:rsid w:val="007F380A"/>
    <w:rsid w:val="007F3822"/>
    <w:rsid w:val="007F3823"/>
    <w:rsid w:val="007F39FA"/>
    <w:rsid w:val="007F3A39"/>
    <w:rsid w:val="007F3A44"/>
    <w:rsid w:val="007F3C00"/>
    <w:rsid w:val="007F3DA1"/>
    <w:rsid w:val="007F3FB1"/>
    <w:rsid w:val="007F4063"/>
    <w:rsid w:val="007F4115"/>
    <w:rsid w:val="007F413C"/>
    <w:rsid w:val="007F41D7"/>
    <w:rsid w:val="007F421A"/>
    <w:rsid w:val="007F449D"/>
    <w:rsid w:val="007F449F"/>
    <w:rsid w:val="007F44B4"/>
    <w:rsid w:val="007F45B4"/>
    <w:rsid w:val="007F4B16"/>
    <w:rsid w:val="007F4D24"/>
    <w:rsid w:val="007F4D6C"/>
    <w:rsid w:val="007F4E1B"/>
    <w:rsid w:val="007F4E34"/>
    <w:rsid w:val="007F4EAF"/>
    <w:rsid w:val="007F4F8B"/>
    <w:rsid w:val="007F4FD9"/>
    <w:rsid w:val="007F4FE7"/>
    <w:rsid w:val="007F521A"/>
    <w:rsid w:val="007F530C"/>
    <w:rsid w:val="007F53C7"/>
    <w:rsid w:val="007F542B"/>
    <w:rsid w:val="007F558F"/>
    <w:rsid w:val="007F574F"/>
    <w:rsid w:val="007F598A"/>
    <w:rsid w:val="007F59E2"/>
    <w:rsid w:val="007F5A63"/>
    <w:rsid w:val="007F5A6A"/>
    <w:rsid w:val="007F5ACC"/>
    <w:rsid w:val="007F5C80"/>
    <w:rsid w:val="007F5CC5"/>
    <w:rsid w:val="007F5D80"/>
    <w:rsid w:val="007F5E1F"/>
    <w:rsid w:val="007F5ED3"/>
    <w:rsid w:val="007F5F53"/>
    <w:rsid w:val="007F5F59"/>
    <w:rsid w:val="007F5F93"/>
    <w:rsid w:val="007F5F9C"/>
    <w:rsid w:val="007F6028"/>
    <w:rsid w:val="007F611A"/>
    <w:rsid w:val="007F61D7"/>
    <w:rsid w:val="007F6323"/>
    <w:rsid w:val="007F6325"/>
    <w:rsid w:val="007F6341"/>
    <w:rsid w:val="007F649E"/>
    <w:rsid w:val="007F651F"/>
    <w:rsid w:val="007F6561"/>
    <w:rsid w:val="007F657A"/>
    <w:rsid w:val="007F65A2"/>
    <w:rsid w:val="007F6608"/>
    <w:rsid w:val="007F6778"/>
    <w:rsid w:val="007F68CE"/>
    <w:rsid w:val="007F6971"/>
    <w:rsid w:val="007F69AA"/>
    <w:rsid w:val="007F6B89"/>
    <w:rsid w:val="007F6BAB"/>
    <w:rsid w:val="007F6C8E"/>
    <w:rsid w:val="007F6D2C"/>
    <w:rsid w:val="007F6DC9"/>
    <w:rsid w:val="007F6E1E"/>
    <w:rsid w:val="007F6ED5"/>
    <w:rsid w:val="007F6EF0"/>
    <w:rsid w:val="007F6F19"/>
    <w:rsid w:val="007F7014"/>
    <w:rsid w:val="007F71CA"/>
    <w:rsid w:val="007F7202"/>
    <w:rsid w:val="007F7250"/>
    <w:rsid w:val="007F72DF"/>
    <w:rsid w:val="007F7481"/>
    <w:rsid w:val="007F751E"/>
    <w:rsid w:val="007F76C5"/>
    <w:rsid w:val="007F7745"/>
    <w:rsid w:val="007F78F0"/>
    <w:rsid w:val="007F7911"/>
    <w:rsid w:val="007F7967"/>
    <w:rsid w:val="007F7CC6"/>
    <w:rsid w:val="007F7D3B"/>
    <w:rsid w:val="007F7DAB"/>
    <w:rsid w:val="007F7E0B"/>
    <w:rsid w:val="007F7F72"/>
    <w:rsid w:val="007F7FE7"/>
    <w:rsid w:val="0080013C"/>
    <w:rsid w:val="008001B7"/>
    <w:rsid w:val="008004CF"/>
    <w:rsid w:val="00800502"/>
    <w:rsid w:val="0080050B"/>
    <w:rsid w:val="00800620"/>
    <w:rsid w:val="008006BE"/>
    <w:rsid w:val="0080098D"/>
    <w:rsid w:val="00800B33"/>
    <w:rsid w:val="00800C88"/>
    <w:rsid w:val="00800CAD"/>
    <w:rsid w:val="00800F11"/>
    <w:rsid w:val="00800F6F"/>
    <w:rsid w:val="00800F95"/>
    <w:rsid w:val="008010DB"/>
    <w:rsid w:val="00801216"/>
    <w:rsid w:val="00801268"/>
    <w:rsid w:val="00801316"/>
    <w:rsid w:val="0080132F"/>
    <w:rsid w:val="00801337"/>
    <w:rsid w:val="00801358"/>
    <w:rsid w:val="008014E0"/>
    <w:rsid w:val="00801587"/>
    <w:rsid w:val="0080166E"/>
    <w:rsid w:val="00801715"/>
    <w:rsid w:val="00801760"/>
    <w:rsid w:val="008017CA"/>
    <w:rsid w:val="00801856"/>
    <w:rsid w:val="008018C0"/>
    <w:rsid w:val="00801BFA"/>
    <w:rsid w:val="00801BFC"/>
    <w:rsid w:val="00801D32"/>
    <w:rsid w:val="00801E1E"/>
    <w:rsid w:val="00801EAB"/>
    <w:rsid w:val="008022D8"/>
    <w:rsid w:val="00802326"/>
    <w:rsid w:val="00802764"/>
    <w:rsid w:val="00802859"/>
    <w:rsid w:val="008029F6"/>
    <w:rsid w:val="00802AAA"/>
    <w:rsid w:val="00802BDF"/>
    <w:rsid w:val="00802BFB"/>
    <w:rsid w:val="00802C7B"/>
    <w:rsid w:val="00802CB1"/>
    <w:rsid w:val="00802E50"/>
    <w:rsid w:val="0080301A"/>
    <w:rsid w:val="0080342D"/>
    <w:rsid w:val="0080355B"/>
    <w:rsid w:val="008036BD"/>
    <w:rsid w:val="0080372E"/>
    <w:rsid w:val="00803774"/>
    <w:rsid w:val="00803B04"/>
    <w:rsid w:val="00803F30"/>
    <w:rsid w:val="00803F71"/>
    <w:rsid w:val="00804115"/>
    <w:rsid w:val="0080419B"/>
    <w:rsid w:val="00804223"/>
    <w:rsid w:val="0080426A"/>
    <w:rsid w:val="0080430D"/>
    <w:rsid w:val="00804465"/>
    <w:rsid w:val="00804547"/>
    <w:rsid w:val="008046E3"/>
    <w:rsid w:val="008047C0"/>
    <w:rsid w:val="008049E1"/>
    <w:rsid w:val="00804E19"/>
    <w:rsid w:val="00804F0F"/>
    <w:rsid w:val="00805117"/>
    <w:rsid w:val="00805200"/>
    <w:rsid w:val="00805261"/>
    <w:rsid w:val="00805351"/>
    <w:rsid w:val="008055D9"/>
    <w:rsid w:val="008055EC"/>
    <w:rsid w:val="0080566E"/>
    <w:rsid w:val="008056CE"/>
    <w:rsid w:val="0080573C"/>
    <w:rsid w:val="008057A2"/>
    <w:rsid w:val="008057EC"/>
    <w:rsid w:val="00805869"/>
    <w:rsid w:val="00805897"/>
    <w:rsid w:val="008058EB"/>
    <w:rsid w:val="00805D63"/>
    <w:rsid w:val="00805E7B"/>
    <w:rsid w:val="00805ED3"/>
    <w:rsid w:val="00805F99"/>
    <w:rsid w:val="00806007"/>
    <w:rsid w:val="0080600B"/>
    <w:rsid w:val="00806046"/>
    <w:rsid w:val="0080613C"/>
    <w:rsid w:val="0080617F"/>
    <w:rsid w:val="0080632C"/>
    <w:rsid w:val="00806410"/>
    <w:rsid w:val="008064A0"/>
    <w:rsid w:val="00806669"/>
    <w:rsid w:val="00806791"/>
    <w:rsid w:val="008069B7"/>
    <w:rsid w:val="008069DE"/>
    <w:rsid w:val="00806A1A"/>
    <w:rsid w:val="00806BEB"/>
    <w:rsid w:val="00806CB4"/>
    <w:rsid w:val="00806EF5"/>
    <w:rsid w:val="00806EFF"/>
    <w:rsid w:val="00806FFE"/>
    <w:rsid w:val="0080704A"/>
    <w:rsid w:val="0080708E"/>
    <w:rsid w:val="00807240"/>
    <w:rsid w:val="0080752A"/>
    <w:rsid w:val="00807610"/>
    <w:rsid w:val="00807618"/>
    <w:rsid w:val="00807690"/>
    <w:rsid w:val="0080799B"/>
    <w:rsid w:val="00807A37"/>
    <w:rsid w:val="00807C1E"/>
    <w:rsid w:val="00807D05"/>
    <w:rsid w:val="00807DE6"/>
    <w:rsid w:val="00807DE7"/>
    <w:rsid w:val="00810023"/>
    <w:rsid w:val="0081007E"/>
    <w:rsid w:val="00810105"/>
    <w:rsid w:val="00810283"/>
    <w:rsid w:val="008102BF"/>
    <w:rsid w:val="00810521"/>
    <w:rsid w:val="00810633"/>
    <w:rsid w:val="0081063E"/>
    <w:rsid w:val="00810726"/>
    <w:rsid w:val="00810734"/>
    <w:rsid w:val="008107FF"/>
    <w:rsid w:val="0081096F"/>
    <w:rsid w:val="00810A34"/>
    <w:rsid w:val="00810B9B"/>
    <w:rsid w:val="00810BB3"/>
    <w:rsid w:val="00810DBB"/>
    <w:rsid w:val="0081104D"/>
    <w:rsid w:val="00811055"/>
    <w:rsid w:val="008110BC"/>
    <w:rsid w:val="008111A0"/>
    <w:rsid w:val="00811260"/>
    <w:rsid w:val="008112AF"/>
    <w:rsid w:val="00811321"/>
    <w:rsid w:val="0081155F"/>
    <w:rsid w:val="00811580"/>
    <w:rsid w:val="00811677"/>
    <w:rsid w:val="008117E4"/>
    <w:rsid w:val="00811864"/>
    <w:rsid w:val="008118BF"/>
    <w:rsid w:val="008119F7"/>
    <w:rsid w:val="00811BCB"/>
    <w:rsid w:val="00811C24"/>
    <w:rsid w:val="00811F39"/>
    <w:rsid w:val="00811FAA"/>
    <w:rsid w:val="00812032"/>
    <w:rsid w:val="00812093"/>
    <w:rsid w:val="00812464"/>
    <w:rsid w:val="008125AB"/>
    <w:rsid w:val="008126B5"/>
    <w:rsid w:val="008126CA"/>
    <w:rsid w:val="00812885"/>
    <w:rsid w:val="0081289E"/>
    <w:rsid w:val="00812902"/>
    <w:rsid w:val="00812B5E"/>
    <w:rsid w:val="00812E56"/>
    <w:rsid w:val="00812FA4"/>
    <w:rsid w:val="0081304E"/>
    <w:rsid w:val="008132E8"/>
    <w:rsid w:val="008133CB"/>
    <w:rsid w:val="00813434"/>
    <w:rsid w:val="0081344A"/>
    <w:rsid w:val="00813677"/>
    <w:rsid w:val="0081383D"/>
    <w:rsid w:val="008138C7"/>
    <w:rsid w:val="008139A0"/>
    <w:rsid w:val="008139C5"/>
    <w:rsid w:val="00813A0E"/>
    <w:rsid w:val="00813A99"/>
    <w:rsid w:val="00813B8C"/>
    <w:rsid w:val="00813BDA"/>
    <w:rsid w:val="00813C92"/>
    <w:rsid w:val="00813D4F"/>
    <w:rsid w:val="00813F22"/>
    <w:rsid w:val="00814058"/>
    <w:rsid w:val="008141AB"/>
    <w:rsid w:val="00814279"/>
    <w:rsid w:val="00814580"/>
    <w:rsid w:val="008145B1"/>
    <w:rsid w:val="00814787"/>
    <w:rsid w:val="008149B6"/>
    <w:rsid w:val="00814B4F"/>
    <w:rsid w:val="00814C14"/>
    <w:rsid w:val="00814D91"/>
    <w:rsid w:val="00814DE3"/>
    <w:rsid w:val="00814E8E"/>
    <w:rsid w:val="00814FB8"/>
    <w:rsid w:val="008150FF"/>
    <w:rsid w:val="00815134"/>
    <w:rsid w:val="008151F3"/>
    <w:rsid w:val="0081521A"/>
    <w:rsid w:val="0081530A"/>
    <w:rsid w:val="00815479"/>
    <w:rsid w:val="008154B0"/>
    <w:rsid w:val="00815700"/>
    <w:rsid w:val="0081573E"/>
    <w:rsid w:val="00815744"/>
    <w:rsid w:val="008157EA"/>
    <w:rsid w:val="008158F2"/>
    <w:rsid w:val="008159D1"/>
    <w:rsid w:val="00815A6F"/>
    <w:rsid w:val="00815B37"/>
    <w:rsid w:val="00815BD4"/>
    <w:rsid w:val="00815C15"/>
    <w:rsid w:val="00815C79"/>
    <w:rsid w:val="00815CCE"/>
    <w:rsid w:val="00815CD4"/>
    <w:rsid w:val="00815CE1"/>
    <w:rsid w:val="00815D74"/>
    <w:rsid w:val="00815EAD"/>
    <w:rsid w:val="00815FD6"/>
    <w:rsid w:val="00815FDD"/>
    <w:rsid w:val="00816031"/>
    <w:rsid w:val="008161CC"/>
    <w:rsid w:val="008161FC"/>
    <w:rsid w:val="00816233"/>
    <w:rsid w:val="00816246"/>
    <w:rsid w:val="00816263"/>
    <w:rsid w:val="008164C8"/>
    <w:rsid w:val="008166C4"/>
    <w:rsid w:val="00816843"/>
    <w:rsid w:val="008168A0"/>
    <w:rsid w:val="008168AE"/>
    <w:rsid w:val="0081691B"/>
    <w:rsid w:val="00816961"/>
    <w:rsid w:val="008169D5"/>
    <w:rsid w:val="008169EB"/>
    <w:rsid w:val="008169F8"/>
    <w:rsid w:val="00816A2F"/>
    <w:rsid w:val="00816B17"/>
    <w:rsid w:val="00816B7A"/>
    <w:rsid w:val="00816CDC"/>
    <w:rsid w:val="00816EE7"/>
    <w:rsid w:val="00816F0F"/>
    <w:rsid w:val="00816F66"/>
    <w:rsid w:val="00816F93"/>
    <w:rsid w:val="008170DA"/>
    <w:rsid w:val="0081739C"/>
    <w:rsid w:val="008174D8"/>
    <w:rsid w:val="00817675"/>
    <w:rsid w:val="008176AC"/>
    <w:rsid w:val="008176F9"/>
    <w:rsid w:val="0081771C"/>
    <w:rsid w:val="008177CE"/>
    <w:rsid w:val="00817802"/>
    <w:rsid w:val="00817807"/>
    <w:rsid w:val="0081793E"/>
    <w:rsid w:val="00817968"/>
    <w:rsid w:val="008179F7"/>
    <w:rsid w:val="00817A95"/>
    <w:rsid w:val="00817ADD"/>
    <w:rsid w:val="00817B63"/>
    <w:rsid w:val="00817B7F"/>
    <w:rsid w:val="00817BF4"/>
    <w:rsid w:val="00817C8E"/>
    <w:rsid w:val="00817CBD"/>
    <w:rsid w:val="00817CF3"/>
    <w:rsid w:val="00817D88"/>
    <w:rsid w:val="00817DE3"/>
    <w:rsid w:val="00817F20"/>
    <w:rsid w:val="00817F9C"/>
    <w:rsid w:val="00817FA2"/>
    <w:rsid w:val="008202E5"/>
    <w:rsid w:val="0082037C"/>
    <w:rsid w:val="00820381"/>
    <w:rsid w:val="00820445"/>
    <w:rsid w:val="008204AE"/>
    <w:rsid w:val="008204B5"/>
    <w:rsid w:val="008205BC"/>
    <w:rsid w:val="008206F2"/>
    <w:rsid w:val="00820767"/>
    <w:rsid w:val="008209C6"/>
    <w:rsid w:val="008209CA"/>
    <w:rsid w:val="00820AC2"/>
    <w:rsid w:val="00820E62"/>
    <w:rsid w:val="00821000"/>
    <w:rsid w:val="008210E2"/>
    <w:rsid w:val="008212D3"/>
    <w:rsid w:val="008212D4"/>
    <w:rsid w:val="0082132E"/>
    <w:rsid w:val="008213C9"/>
    <w:rsid w:val="00821466"/>
    <w:rsid w:val="008214F2"/>
    <w:rsid w:val="0082151C"/>
    <w:rsid w:val="0082184B"/>
    <w:rsid w:val="00821A71"/>
    <w:rsid w:val="00821D03"/>
    <w:rsid w:val="00821D05"/>
    <w:rsid w:val="00821D6E"/>
    <w:rsid w:val="00821F3E"/>
    <w:rsid w:val="00822000"/>
    <w:rsid w:val="0082201E"/>
    <w:rsid w:val="00822152"/>
    <w:rsid w:val="00822199"/>
    <w:rsid w:val="00822233"/>
    <w:rsid w:val="008223D0"/>
    <w:rsid w:val="008223DF"/>
    <w:rsid w:val="00822400"/>
    <w:rsid w:val="0082247D"/>
    <w:rsid w:val="00822675"/>
    <w:rsid w:val="00822703"/>
    <w:rsid w:val="00822805"/>
    <w:rsid w:val="008229BC"/>
    <w:rsid w:val="008229E3"/>
    <w:rsid w:val="00822CE2"/>
    <w:rsid w:val="00822E45"/>
    <w:rsid w:val="00822E8B"/>
    <w:rsid w:val="00822FF4"/>
    <w:rsid w:val="0082302E"/>
    <w:rsid w:val="00823076"/>
    <w:rsid w:val="008232D7"/>
    <w:rsid w:val="0082332B"/>
    <w:rsid w:val="00823429"/>
    <w:rsid w:val="00823483"/>
    <w:rsid w:val="00823680"/>
    <w:rsid w:val="008238D0"/>
    <w:rsid w:val="0082390B"/>
    <w:rsid w:val="00823AF6"/>
    <w:rsid w:val="00823E98"/>
    <w:rsid w:val="00823F80"/>
    <w:rsid w:val="00824081"/>
    <w:rsid w:val="008240AE"/>
    <w:rsid w:val="008240FE"/>
    <w:rsid w:val="00824289"/>
    <w:rsid w:val="00824297"/>
    <w:rsid w:val="0082429E"/>
    <w:rsid w:val="008242EA"/>
    <w:rsid w:val="008246AE"/>
    <w:rsid w:val="00824839"/>
    <w:rsid w:val="008249F0"/>
    <w:rsid w:val="00824B93"/>
    <w:rsid w:val="00824C30"/>
    <w:rsid w:val="00824D78"/>
    <w:rsid w:val="00824E32"/>
    <w:rsid w:val="00824FA1"/>
    <w:rsid w:val="00824FC6"/>
    <w:rsid w:val="00825042"/>
    <w:rsid w:val="008250D8"/>
    <w:rsid w:val="00825403"/>
    <w:rsid w:val="0082543D"/>
    <w:rsid w:val="008255EB"/>
    <w:rsid w:val="0082565A"/>
    <w:rsid w:val="00825699"/>
    <w:rsid w:val="008257C6"/>
    <w:rsid w:val="008257CC"/>
    <w:rsid w:val="00825811"/>
    <w:rsid w:val="00825830"/>
    <w:rsid w:val="00825A04"/>
    <w:rsid w:val="00825A4A"/>
    <w:rsid w:val="00825AC0"/>
    <w:rsid w:val="00825AE7"/>
    <w:rsid w:val="00825B43"/>
    <w:rsid w:val="00825C29"/>
    <w:rsid w:val="00825C5C"/>
    <w:rsid w:val="00825CC3"/>
    <w:rsid w:val="00825CD9"/>
    <w:rsid w:val="00825DBA"/>
    <w:rsid w:val="008260E0"/>
    <w:rsid w:val="00826234"/>
    <w:rsid w:val="00826280"/>
    <w:rsid w:val="008263C1"/>
    <w:rsid w:val="008263F0"/>
    <w:rsid w:val="00826719"/>
    <w:rsid w:val="008267DF"/>
    <w:rsid w:val="008267E9"/>
    <w:rsid w:val="008269CF"/>
    <w:rsid w:val="00826A3E"/>
    <w:rsid w:val="00826CC0"/>
    <w:rsid w:val="00826DAE"/>
    <w:rsid w:val="00826E07"/>
    <w:rsid w:val="00826F0F"/>
    <w:rsid w:val="00826F72"/>
    <w:rsid w:val="008271D9"/>
    <w:rsid w:val="008273FC"/>
    <w:rsid w:val="00827498"/>
    <w:rsid w:val="00827656"/>
    <w:rsid w:val="0082768B"/>
    <w:rsid w:val="008277DA"/>
    <w:rsid w:val="00827A79"/>
    <w:rsid w:val="00827BEB"/>
    <w:rsid w:val="00827D9B"/>
    <w:rsid w:val="00827F34"/>
    <w:rsid w:val="00827F5D"/>
    <w:rsid w:val="0082EBF4"/>
    <w:rsid w:val="0083025F"/>
    <w:rsid w:val="00830293"/>
    <w:rsid w:val="008302B0"/>
    <w:rsid w:val="00830415"/>
    <w:rsid w:val="008304AE"/>
    <w:rsid w:val="00830597"/>
    <w:rsid w:val="008307E2"/>
    <w:rsid w:val="008307E6"/>
    <w:rsid w:val="00830963"/>
    <w:rsid w:val="008309A8"/>
    <w:rsid w:val="008309EB"/>
    <w:rsid w:val="00830C8F"/>
    <w:rsid w:val="00830DBF"/>
    <w:rsid w:val="00830FAF"/>
    <w:rsid w:val="00830FD7"/>
    <w:rsid w:val="00831374"/>
    <w:rsid w:val="008314AD"/>
    <w:rsid w:val="00831658"/>
    <w:rsid w:val="008318C2"/>
    <w:rsid w:val="00831902"/>
    <w:rsid w:val="00831A1E"/>
    <w:rsid w:val="00831B8B"/>
    <w:rsid w:val="00831C8B"/>
    <w:rsid w:val="00831ECA"/>
    <w:rsid w:val="00831F53"/>
    <w:rsid w:val="00832096"/>
    <w:rsid w:val="008320AD"/>
    <w:rsid w:val="00832184"/>
    <w:rsid w:val="008322DF"/>
    <w:rsid w:val="0083236B"/>
    <w:rsid w:val="00832661"/>
    <w:rsid w:val="00832692"/>
    <w:rsid w:val="00832836"/>
    <w:rsid w:val="008328C5"/>
    <w:rsid w:val="008328DB"/>
    <w:rsid w:val="00832939"/>
    <w:rsid w:val="008329CF"/>
    <w:rsid w:val="00832B3B"/>
    <w:rsid w:val="00832D2B"/>
    <w:rsid w:val="00832E42"/>
    <w:rsid w:val="00832E50"/>
    <w:rsid w:val="008330B1"/>
    <w:rsid w:val="0083316E"/>
    <w:rsid w:val="00833299"/>
    <w:rsid w:val="00833329"/>
    <w:rsid w:val="008333FB"/>
    <w:rsid w:val="0083343D"/>
    <w:rsid w:val="008335DC"/>
    <w:rsid w:val="00833621"/>
    <w:rsid w:val="00833709"/>
    <w:rsid w:val="0083380F"/>
    <w:rsid w:val="0083387C"/>
    <w:rsid w:val="00833A93"/>
    <w:rsid w:val="00833B11"/>
    <w:rsid w:val="00833CA3"/>
    <w:rsid w:val="00833CF8"/>
    <w:rsid w:val="00833E3D"/>
    <w:rsid w:val="00834132"/>
    <w:rsid w:val="00834307"/>
    <w:rsid w:val="00834397"/>
    <w:rsid w:val="00834552"/>
    <w:rsid w:val="0083465B"/>
    <w:rsid w:val="00834765"/>
    <w:rsid w:val="00834830"/>
    <w:rsid w:val="008348A0"/>
    <w:rsid w:val="0083499C"/>
    <w:rsid w:val="008349E9"/>
    <w:rsid w:val="00834C64"/>
    <w:rsid w:val="00834CAA"/>
    <w:rsid w:val="00834DC2"/>
    <w:rsid w:val="0083503B"/>
    <w:rsid w:val="0083508F"/>
    <w:rsid w:val="0083513E"/>
    <w:rsid w:val="008351E3"/>
    <w:rsid w:val="00835419"/>
    <w:rsid w:val="0083541A"/>
    <w:rsid w:val="008355A2"/>
    <w:rsid w:val="008356A6"/>
    <w:rsid w:val="00835722"/>
    <w:rsid w:val="00835958"/>
    <w:rsid w:val="00835AEF"/>
    <w:rsid w:val="00835E29"/>
    <w:rsid w:val="00835E6C"/>
    <w:rsid w:val="00835E98"/>
    <w:rsid w:val="00835FA6"/>
    <w:rsid w:val="008360A4"/>
    <w:rsid w:val="008360CB"/>
    <w:rsid w:val="00836118"/>
    <w:rsid w:val="008361C7"/>
    <w:rsid w:val="00836221"/>
    <w:rsid w:val="00836229"/>
    <w:rsid w:val="008362A5"/>
    <w:rsid w:val="008362C0"/>
    <w:rsid w:val="00836364"/>
    <w:rsid w:val="008363D1"/>
    <w:rsid w:val="00836463"/>
    <w:rsid w:val="0083654F"/>
    <w:rsid w:val="00836612"/>
    <w:rsid w:val="00836663"/>
    <w:rsid w:val="00836910"/>
    <w:rsid w:val="008369B8"/>
    <w:rsid w:val="008369DB"/>
    <w:rsid w:val="00836AEB"/>
    <w:rsid w:val="00836C9A"/>
    <w:rsid w:val="00836E7B"/>
    <w:rsid w:val="00836E9A"/>
    <w:rsid w:val="00837004"/>
    <w:rsid w:val="0083709D"/>
    <w:rsid w:val="008371A2"/>
    <w:rsid w:val="008371E6"/>
    <w:rsid w:val="008373D9"/>
    <w:rsid w:val="0083740E"/>
    <w:rsid w:val="00837544"/>
    <w:rsid w:val="008375D6"/>
    <w:rsid w:val="00837637"/>
    <w:rsid w:val="0083779E"/>
    <w:rsid w:val="00837813"/>
    <w:rsid w:val="00837897"/>
    <w:rsid w:val="00837917"/>
    <w:rsid w:val="00837C60"/>
    <w:rsid w:val="00837DFE"/>
    <w:rsid w:val="0084005B"/>
    <w:rsid w:val="00840063"/>
    <w:rsid w:val="008400A8"/>
    <w:rsid w:val="00840141"/>
    <w:rsid w:val="0084020A"/>
    <w:rsid w:val="00840210"/>
    <w:rsid w:val="00840277"/>
    <w:rsid w:val="0084034C"/>
    <w:rsid w:val="00840404"/>
    <w:rsid w:val="00840549"/>
    <w:rsid w:val="0084059A"/>
    <w:rsid w:val="0084079E"/>
    <w:rsid w:val="00840878"/>
    <w:rsid w:val="008408B9"/>
    <w:rsid w:val="00840A40"/>
    <w:rsid w:val="00840A95"/>
    <w:rsid w:val="00840B11"/>
    <w:rsid w:val="00840B26"/>
    <w:rsid w:val="00840B31"/>
    <w:rsid w:val="00840C17"/>
    <w:rsid w:val="00840CD7"/>
    <w:rsid w:val="00840DBF"/>
    <w:rsid w:val="00840E35"/>
    <w:rsid w:val="00840EBD"/>
    <w:rsid w:val="00840FD2"/>
    <w:rsid w:val="0084106D"/>
    <w:rsid w:val="0084113D"/>
    <w:rsid w:val="0084114D"/>
    <w:rsid w:val="008411CF"/>
    <w:rsid w:val="0084126F"/>
    <w:rsid w:val="00841290"/>
    <w:rsid w:val="0084147B"/>
    <w:rsid w:val="008414B7"/>
    <w:rsid w:val="008415E3"/>
    <w:rsid w:val="0084168F"/>
    <w:rsid w:val="008416BE"/>
    <w:rsid w:val="0084173D"/>
    <w:rsid w:val="008418BA"/>
    <w:rsid w:val="008418C1"/>
    <w:rsid w:val="00841901"/>
    <w:rsid w:val="00841991"/>
    <w:rsid w:val="00841D0E"/>
    <w:rsid w:val="00841DDB"/>
    <w:rsid w:val="00841F8E"/>
    <w:rsid w:val="00841FCF"/>
    <w:rsid w:val="00842087"/>
    <w:rsid w:val="008422F9"/>
    <w:rsid w:val="0084249E"/>
    <w:rsid w:val="00842572"/>
    <w:rsid w:val="00842642"/>
    <w:rsid w:val="008429AD"/>
    <w:rsid w:val="00842C07"/>
    <w:rsid w:val="00842C28"/>
    <w:rsid w:val="00842C34"/>
    <w:rsid w:val="00842CF3"/>
    <w:rsid w:val="00842D68"/>
    <w:rsid w:val="00842E5F"/>
    <w:rsid w:val="00842EB4"/>
    <w:rsid w:val="00842EE6"/>
    <w:rsid w:val="00842F25"/>
    <w:rsid w:val="00842FA6"/>
    <w:rsid w:val="00843046"/>
    <w:rsid w:val="008431E0"/>
    <w:rsid w:val="0084370C"/>
    <w:rsid w:val="0084386B"/>
    <w:rsid w:val="008438C7"/>
    <w:rsid w:val="0084396D"/>
    <w:rsid w:val="00843973"/>
    <w:rsid w:val="008439A3"/>
    <w:rsid w:val="00843B46"/>
    <w:rsid w:val="00843C84"/>
    <w:rsid w:val="00843CE9"/>
    <w:rsid w:val="0084411B"/>
    <w:rsid w:val="0084416B"/>
    <w:rsid w:val="008443F0"/>
    <w:rsid w:val="00844460"/>
    <w:rsid w:val="00844588"/>
    <w:rsid w:val="00844784"/>
    <w:rsid w:val="0084479A"/>
    <w:rsid w:val="00844846"/>
    <w:rsid w:val="00844917"/>
    <w:rsid w:val="008449C9"/>
    <w:rsid w:val="00844B4B"/>
    <w:rsid w:val="00844B87"/>
    <w:rsid w:val="00844BD2"/>
    <w:rsid w:val="00844E08"/>
    <w:rsid w:val="00844F80"/>
    <w:rsid w:val="00845005"/>
    <w:rsid w:val="008450F6"/>
    <w:rsid w:val="00845277"/>
    <w:rsid w:val="0084530F"/>
    <w:rsid w:val="0084536F"/>
    <w:rsid w:val="008453A0"/>
    <w:rsid w:val="008453E5"/>
    <w:rsid w:val="008455AD"/>
    <w:rsid w:val="008456C3"/>
    <w:rsid w:val="008459CF"/>
    <w:rsid w:val="00845A90"/>
    <w:rsid w:val="00845B9F"/>
    <w:rsid w:val="00845BD6"/>
    <w:rsid w:val="00845D52"/>
    <w:rsid w:val="00845D72"/>
    <w:rsid w:val="00845F1D"/>
    <w:rsid w:val="00845F66"/>
    <w:rsid w:val="00846124"/>
    <w:rsid w:val="0084624A"/>
    <w:rsid w:val="008462FA"/>
    <w:rsid w:val="00846386"/>
    <w:rsid w:val="00846401"/>
    <w:rsid w:val="00846588"/>
    <w:rsid w:val="008465AE"/>
    <w:rsid w:val="008465B4"/>
    <w:rsid w:val="008465DD"/>
    <w:rsid w:val="008466AD"/>
    <w:rsid w:val="00846730"/>
    <w:rsid w:val="008467EE"/>
    <w:rsid w:val="00846817"/>
    <w:rsid w:val="0084686E"/>
    <w:rsid w:val="00846929"/>
    <w:rsid w:val="00846980"/>
    <w:rsid w:val="00846A4A"/>
    <w:rsid w:val="00846B40"/>
    <w:rsid w:val="00846B6A"/>
    <w:rsid w:val="00846C44"/>
    <w:rsid w:val="00846C4C"/>
    <w:rsid w:val="00846CB9"/>
    <w:rsid w:val="00846D0E"/>
    <w:rsid w:val="00846DC9"/>
    <w:rsid w:val="00846DDA"/>
    <w:rsid w:val="00846EF4"/>
    <w:rsid w:val="00846FFA"/>
    <w:rsid w:val="00847048"/>
    <w:rsid w:val="008470C7"/>
    <w:rsid w:val="008470E2"/>
    <w:rsid w:val="008471B4"/>
    <w:rsid w:val="00847391"/>
    <w:rsid w:val="00847501"/>
    <w:rsid w:val="00847630"/>
    <w:rsid w:val="0084781B"/>
    <w:rsid w:val="008479AB"/>
    <w:rsid w:val="00847A36"/>
    <w:rsid w:val="00847ACF"/>
    <w:rsid w:val="00847C38"/>
    <w:rsid w:val="00847D44"/>
    <w:rsid w:val="00847D7F"/>
    <w:rsid w:val="00847F47"/>
    <w:rsid w:val="00850231"/>
    <w:rsid w:val="00850376"/>
    <w:rsid w:val="008503A6"/>
    <w:rsid w:val="0085040C"/>
    <w:rsid w:val="0085042F"/>
    <w:rsid w:val="00850543"/>
    <w:rsid w:val="00850594"/>
    <w:rsid w:val="008509C8"/>
    <w:rsid w:val="008509E2"/>
    <w:rsid w:val="00850BBA"/>
    <w:rsid w:val="00850C19"/>
    <w:rsid w:val="00850C3F"/>
    <w:rsid w:val="00850D3F"/>
    <w:rsid w:val="00850E3F"/>
    <w:rsid w:val="00850F28"/>
    <w:rsid w:val="00850FC2"/>
    <w:rsid w:val="0085106F"/>
    <w:rsid w:val="0085110B"/>
    <w:rsid w:val="0085136E"/>
    <w:rsid w:val="008513F9"/>
    <w:rsid w:val="00851451"/>
    <w:rsid w:val="0085194E"/>
    <w:rsid w:val="00851B0D"/>
    <w:rsid w:val="00851CD5"/>
    <w:rsid w:val="00851E0A"/>
    <w:rsid w:val="0085201D"/>
    <w:rsid w:val="00852021"/>
    <w:rsid w:val="0085205F"/>
    <w:rsid w:val="0085206B"/>
    <w:rsid w:val="0085210D"/>
    <w:rsid w:val="0085218D"/>
    <w:rsid w:val="00852325"/>
    <w:rsid w:val="0085237D"/>
    <w:rsid w:val="008524A6"/>
    <w:rsid w:val="008524F6"/>
    <w:rsid w:val="008524FD"/>
    <w:rsid w:val="00852584"/>
    <w:rsid w:val="008527B8"/>
    <w:rsid w:val="00852867"/>
    <w:rsid w:val="0085293C"/>
    <w:rsid w:val="00852B61"/>
    <w:rsid w:val="00852C88"/>
    <w:rsid w:val="00852CDC"/>
    <w:rsid w:val="00852D3E"/>
    <w:rsid w:val="00852D9E"/>
    <w:rsid w:val="00852DB9"/>
    <w:rsid w:val="00852E99"/>
    <w:rsid w:val="008531D3"/>
    <w:rsid w:val="00853217"/>
    <w:rsid w:val="0085333F"/>
    <w:rsid w:val="00853412"/>
    <w:rsid w:val="0085349C"/>
    <w:rsid w:val="0085351B"/>
    <w:rsid w:val="008535CB"/>
    <w:rsid w:val="00853675"/>
    <w:rsid w:val="00853720"/>
    <w:rsid w:val="0085396B"/>
    <w:rsid w:val="0085398E"/>
    <w:rsid w:val="00853AD0"/>
    <w:rsid w:val="00853BAE"/>
    <w:rsid w:val="00853CBA"/>
    <w:rsid w:val="00853E09"/>
    <w:rsid w:val="00854019"/>
    <w:rsid w:val="008540B6"/>
    <w:rsid w:val="0085426E"/>
    <w:rsid w:val="008542C1"/>
    <w:rsid w:val="008542ED"/>
    <w:rsid w:val="008543E4"/>
    <w:rsid w:val="0085463E"/>
    <w:rsid w:val="008547CB"/>
    <w:rsid w:val="008547FD"/>
    <w:rsid w:val="0085483A"/>
    <w:rsid w:val="0085494D"/>
    <w:rsid w:val="00854A01"/>
    <w:rsid w:val="00854BCE"/>
    <w:rsid w:val="00854E03"/>
    <w:rsid w:val="008552B7"/>
    <w:rsid w:val="0085531B"/>
    <w:rsid w:val="00855375"/>
    <w:rsid w:val="00855451"/>
    <w:rsid w:val="00855487"/>
    <w:rsid w:val="0085558B"/>
    <w:rsid w:val="0085561E"/>
    <w:rsid w:val="008556C7"/>
    <w:rsid w:val="008556D3"/>
    <w:rsid w:val="00855717"/>
    <w:rsid w:val="0085576A"/>
    <w:rsid w:val="0085579A"/>
    <w:rsid w:val="008557B9"/>
    <w:rsid w:val="00855A96"/>
    <w:rsid w:val="00855AA6"/>
    <w:rsid w:val="00855B57"/>
    <w:rsid w:val="00855D67"/>
    <w:rsid w:val="00855DE3"/>
    <w:rsid w:val="00855E9E"/>
    <w:rsid w:val="0085607B"/>
    <w:rsid w:val="008560A9"/>
    <w:rsid w:val="008560EB"/>
    <w:rsid w:val="00856169"/>
    <w:rsid w:val="00856283"/>
    <w:rsid w:val="00856322"/>
    <w:rsid w:val="0085638B"/>
    <w:rsid w:val="00856428"/>
    <w:rsid w:val="008564AB"/>
    <w:rsid w:val="008564E7"/>
    <w:rsid w:val="008564EE"/>
    <w:rsid w:val="008565E9"/>
    <w:rsid w:val="008566F0"/>
    <w:rsid w:val="00856936"/>
    <w:rsid w:val="008569C8"/>
    <w:rsid w:val="00856AE0"/>
    <w:rsid w:val="00856B0D"/>
    <w:rsid w:val="00856E09"/>
    <w:rsid w:val="00856E62"/>
    <w:rsid w:val="00856F1C"/>
    <w:rsid w:val="00856F57"/>
    <w:rsid w:val="00856FB5"/>
    <w:rsid w:val="008570CD"/>
    <w:rsid w:val="00857136"/>
    <w:rsid w:val="008571F8"/>
    <w:rsid w:val="0085720D"/>
    <w:rsid w:val="0085726D"/>
    <w:rsid w:val="008575CA"/>
    <w:rsid w:val="008575CB"/>
    <w:rsid w:val="00857852"/>
    <w:rsid w:val="00857923"/>
    <w:rsid w:val="00857948"/>
    <w:rsid w:val="008579F1"/>
    <w:rsid w:val="00857B67"/>
    <w:rsid w:val="00857BB9"/>
    <w:rsid w:val="00857CEC"/>
    <w:rsid w:val="00857E91"/>
    <w:rsid w:val="00857ED2"/>
    <w:rsid w:val="00859043"/>
    <w:rsid w:val="0085F6D7"/>
    <w:rsid w:val="0086004C"/>
    <w:rsid w:val="008600C9"/>
    <w:rsid w:val="00860174"/>
    <w:rsid w:val="008601D6"/>
    <w:rsid w:val="008601DC"/>
    <w:rsid w:val="0086022F"/>
    <w:rsid w:val="00860266"/>
    <w:rsid w:val="008603A5"/>
    <w:rsid w:val="008603DE"/>
    <w:rsid w:val="008604F4"/>
    <w:rsid w:val="008604FA"/>
    <w:rsid w:val="00860598"/>
    <w:rsid w:val="008605A0"/>
    <w:rsid w:val="008606AC"/>
    <w:rsid w:val="008606F3"/>
    <w:rsid w:val="0086072E"/>
    <w:rsid w:val="00860777"/>
    <w:rsid w:val="0086079C"/>
    <w:rsid w:val="00860962"/>
    <w:rsid w:val="008609C8"/>
    <w:rsid w:val="00860A31"/>
    <w:rsid w:val="00860A8A"/>
    <w:rsid w:val="00860C10"/>
    <w:rsid w:val="00860CDB"/>
    <w:rsid w:val="0086108D"/>
    <w:rsid w:val="0086112A"/>
    <w:rsid w:val="008611D0"/>
    <w:rsid w:val="008612AD"/>
    <w:rsid w:val="00861447"/>
    <w:rsid w:val="00861476"/>
    <w:rsid w:val="0086149C"/>
    <w:rsid w:val="008614EA"/>
    <w:rsid w:val="008614F0"/>
    <w:rsid w:val="00861551"/>
    <w:rsid w:val="0086156F"/>
    <w:rsid w:val="0086164C"/>
    <w:rsid w:val="008616CA"/>
    <w:rsid w:val="0086171F"/>
    <w:rsid w:val="0086194C"/>
    <w:rsid w:val="00861B2D"/>
    <w:rsid w:val="00861C30"/>
    <w:rsid w:val="00861FA8"/>
    <w:rsid w:val="008621C3"/>
    <w:rsid w:val="0086220C"/>
    <w:rsid w:val="00862221"/>
    <w:rsid w:val="008622CE"/>
    <w:rsid w:val="008624E9"/>
    <w:rsid w:val="00862511"/>
    <w:rsid w:val="008625CA"/>
    <w:rsid w:val="0086264E"/>
    <w:rsid w:val="0086278D"/>
    <w:rsid w:val="008629B0"/>
    <w:rsid w:val="00862B59"/>
    <w:rsid w:val="00862C34"/>
    <w:rsid w:val="00862E43"/>
    <w:rsid w:val="00862EDD"/>
    <w:rsid w:val="0086302B"/>
    <w:rsid w:val="00863030"/>
    <w:rsid w:val="00863108"/>
    <w:rsid w:val="0086316E"/>
    <w:rsid w:val="00863293"/>
    <w:rsid w:val="008632AA"/>
    <w:rsid w:val="008633A6"/>
    <w:rsid w:val="008634EB"/>
    <w:rsid w:val="00863677"/>
    <w:rsid w:val="008636C6"/>
    <w:rsid w:val="008637F9"/>
    <w:rsid w:val="0086388C"/>
    <w:rsid w:val="008638FC"/>
    <w:rsid w:val="008639CA"/>
    <w:rsid w:val="008639FC"/>
    <w:rsid w:val="00863A16"/>
    <w:rsid w:val="00863BCB"/>
    <w:rsid w:val="00863C3B"/>
    <w:rsid w:val="00863C61"/>
    <w:rsid w:val="00863CFE"/>
    <w:rsid w:val="00863E67"/>
    <w:rsid w:val="00863EBE"/>
    <w:rsid w:val="00863EFF"/>
    <w:rsid w:val="00863F47"/>
    <w:rsid w:val="00863FFA"/>
    <w:rsid w:val="00864010"/>
    <w:rsid w:val="008642D2"/>
    <w:rsid w:val="008642F7"/>
    <w:rsid w:val="008643E9"/>
    <w:rsid w:val="00864620"/>
    <w:rsid w:val="0086462E"/>
    <w:rsid w:val="008647BC"/>
    <w:rsid w:val="00864873"/>
    <w:rsid w:val="00864891"/>
    <w:rsid w:val="008648B8"/>
    <w:rsid w:val="00864923"/>
    <w:rsid w:val="00864A84"/>
    <w:rsid w:val="00864B9C"/>
    <w:rsid w:val="00864CAE"/>
    <w:rsid w:val="00864D76"/>
    <w:rsid w:val="00864DF9"/>
    <w:rsid w:val="00864FB5"/>
    <w:rsid w:val="00865082"/>
    <w:rsid w:val="00865399"/>
    <w:rsid w:val="0086557A"/>
    <w:rsid w:val="0086565D"/>
    <w:rsid w:val="00865660"/>
    <w:rsid w:val="00865793"/>
    <w:rsid w:val="00865804"/>
    <w:rsid w:val="00865879"/>
    <w:rsid w:val="00865A89"/>
    <w:rsid w:val="00865B59"/>
    <w:rsid w:val="00865B7C"/>
    <w:rsid w:val="00865C5B"/>
    <w:rsid w:val="00865D35"/>
    <w:rsid w:val="00866045"/>
    <w:rsid w:val="008660F8"/>
    <w:rsid w:val="0086610D"/>
    <w:rsid w:val="0086617A"/>
    <w:rsid w:val="008661B8"/>
    <w:rsid w:val="00866301"/>
    <w:rsid w:val="00866323"/>
    <w:rsid w:val="0086647C"/>
    <w:rsid w:val="0086657C"/>
    <w:rsid w:val="008665A2"/>
    <w:rsid w:val="008665D9"/>
    <w:rsid w:val="008666C0"/>
    <w:rsid w:val="0086678E"/>
    <w:rsid w:val="0086686A"/>
    <w:rsid w:val="008669B1"/>
    <w:rsid w:val="00866B3A"/>
    <w:rsid w:val="00866C54"/>
    <w:rsid w:val="00866D41"/>
    <w:rsid w:val="00866E30"/>
    <w:rsid w:val="00866E39"/>
    <w:rsid w:val="00866E69"/>
    <w:rsid w:val="00866FA5"/>
    <w:rsid w:val="00866FCE"/>
    <w:rsid w:val="00866FDC"/>
    <w:rsid w:val="00866FF9"/>
    <w:rsid w:val="00867078"/>
    <w:rsid w:val="008670ED"/>
    <w:rsid w:val="00867175"/>
    <w:rsid w:val="008671F9"/>
    <w:rsid w:val="008672D5"/>
    <w:rsid w:val="00867420"/>
    <w:rsid w:val="0086744E"/>
    <w:rsid w:val="00867512"/>
    <w:rsid w:val="008675AF"/>
    <w:rsid w:val="008676C8"/>
    <w:rsid w:val="008676F2"/>
    <w:rsid w:val="00867AF5"/>
    <w:rsid w:val="00867BAC"/>
    <w:rsid w:val="00867C4E"/>
    <w:rsid w:val="00867CA4"/>
    <w:rsid w:val="00867CC3"/>
    <w:rsid w:val="00867D44"/>
    <w:rsid w:val="00867D4D"/>
    <w:rsid w:val="00867F42"/>
    <w:rsid w:val="00867FAD"/>
    <w:rsid w:val="00870059"/>
    <w:rsid w:val="00870137"/>
    <w:rsid w:val="0087017E"/>
    <w:rsid w:val="0087039F"/>
    <w:rsid w:val="00870423"/>
    <w:rsid w:val="0087043E"/>
    <w:rsid w:val="00870762"/>
    <w:rsid w:val="0087081D"/>
    <w:rsid w:val="008709E5"/>
    <w:rsid w:val="00870A20"/>
    <w:rsid w:val="00870A89"/>
    <w:rsid w:val="00870B07"/>
    <w:rsid w:val="00870C41"/>
    <w:rsid w:val="00870CD5"/>
    <w:rsid w:val="00870D3F"/>
    <w:rsid w:val="00870D69"/>
    <w:rsid w:val="00870E5F"/>
    <w:rsid w:val="00870F9C"/>
    <w:rsid w:val="00871021"/>
    <w:rsid w:val="0087110C"/>
    <w:rsid w:val="008711D3"/>
    <w:rsid w:val="00871462"/>
    <w:rsid w:val="008715CB"/>
    <w:rsid w:val="0087174F"/>
    <w:rsid w:val="00871792"/>
    <w:rsid w:val="008717C4"/>
    <w:rsid w:val="00871888"/>
    <w:rsid w:val="00871A08"/>
    <w:rsid w:val="00871BC0"/>
    <w:rsid w:val="008720E8"/>
    <w:rsid w:val="008721AF"/>
    <w:rsid w:val="008721B4"/>
    <w:rsid w:val="008721E4"/>
    <w:rsid w:val="00872200"/>
    <w:rsid w:val="00872463"/>
    <w:rsid w:val="00872504"/>
    <w:rsid w:val="0087259C"/>
    <w:rsid w:val="008727CF"/>
    <w:rsid w:val="0087286A"/>
    <w:rsid w:val="00872C92"/>
    <w:rsid w:val="00872CD0"/>
    <w:rsid w:val="00872D53"/>
    <w:rsid w:val="00872EAE"/>
    <w:rsid w:val="00872EFC"/>
    <w:rsid w:val="00872F09"/>
    <w:rsid w:val="0087337A"/>
    <w:rsid w:val="008733F5"/>
    <w:rsid w:val="0087342B"/>
    <w:rsid w:val="00873469"/>
    <w:rsid w:val="00873485"/>
    <w:rsid w:val="00873486"/>
    <w:rsid w:val="00873489"/>
    <w:rsid w:val="008734A5"/>
    <w:rsid w:val="008734C5"/>
    <w:rsid w:val="008734D3"/>
    <w:rsid w:val="0087365B"/>
    <w:rsid w:val="00873756"/>
    <w:rsid w:val="008737DA"/>
    <w:rsid w:val="00873955"/>
    <w:rsid w:val="008739D6"/>
    <w:rsid w:val="00873A99"/>
    <w:rsid w:val="00873C32"/>
    <w:rsid w:val="00873EA7"/>
    <w:rsid w:val="00873EB6"/>
    <w:rsid w:val="00873F3A"/>
    <w:rsid w:val="00873FC1"/>
    <w:rsid w:val="00874087"/>
    <w:rsid w:val="008740EF"/>
    <w:rsid w:val="00874172"/>
    <w:rsid w:val="0087425E"/>
    <w:rsid w:val="0087433B"/>
    <w:rsid w:val="0087484E"/>
    <w:rsid w:val="008748D9"/>
    <w:rsid w:val="00874956"/>
    <w:rsid w:val="00874A22"/>
    <w:rsid w:val="00874A29"/>
    <w:rsid w:val="00874ADA"/>
    <w:rsid w:val="00874BC5"/>
    <w:rsid w:val="00874C53"/>
    <w:rsid w:val="00874C60"/>
    <w:rsid w:val="00874C6B"/>
    <w:rsid w:val="00874CE7"/>
    <w:rsid w:val="00874ED2"/>
    <w:rsid w:val="00874FB3"/>
    <w:rsid w:val="00875131"/>
    <w:rsid w:val="008752D1"/>
    <w:rsid w:val="008754F2"/>
    <w:rsid w:val="00875533"/>
    <w:rsid w:val="0087558B"/>
    <w:rsid w:val="008755B8"/>
    <w:rsid w:val="0087565F"/>
    <w:rsid w:val="008756CB"/>
    <w:rsid w:val="00875770"/>
    <w:rsid w:val="00875848"/>
    <w:rsid w:val="00875B61"/>
    <w:rsid w:val="00875D9F"/>
    <w:rsid w:val="00875E44"/>
    <w:rsid w:val="00875E4E"/>
    <w:rsid w:val="00875E56"/>
    <w:rsid w:val="00875E87"/>
    <w:rsid w:val="00875F05"/>
    <w:rsid w:val="00875FFB"/>
    <w:rsid w:val="00876111"/>
    <w:rsid w:val="0087666A"/>
    <w:rsid w:val="008768D2"/>
    <w:rsid w:val="00876A46"/>
    <w:rsid w:val="00876D3C"/>
    <w:rsid w:val="00876DCD"/>
    <w:rsid w:val="00876DF5"/>
    <w:rsid w:val="00876F07"/>
    <w:rsid w:val="00877006"/>
    <w:rsid w:val="0087701D"/>
    <w:rsid w:val="00877067"/>
    <w:rsid w:val="00877082"/>
    <w:rsid w:val="00877376"/>
    <w:rsid w:val="00877401"/>
    <w:rsid w:val="00877409"/>
    <w:rsid w:val="00877481"/>
    <w:rsid w:val="008774A3"/>
    <w:rsid w:val="008775D8"/>
    <w:rsid w:val="008775DA"/>
    <w:rsid w:val="00877744"/>
    <w:rsid w:val="00877A30"/>
    <w:rsid w:val="00877C58"/>
    <w:rsid w:val="00877CD8"/>
    <w:rsid w:val="00877DB7"/>
    <w:rsid w:val="00877DCC"/>
    <w:rsid w:val="00877F10"/>
    <w:rsid w:val="0087A1F1"/>
    <w:rsid w:val="0087AC25"/>
    <w:rsid w:val="0087E22E"/>
    <w:rsid w:val="0088003B"/>
    <w:rsid w:val="0088015C"/>
    <w:rsid w:val="008801E0"/>
    <w:rsid w:val="008801E2"/>
    <w:rsid w:val="00880424"/>
    <w:rsid w:val="0088063A"/>
    <w:rsid w:val="008806EF"/>
    <w:rsid w:val="0088073E"/>
    <w:rsid w:val="008808A2"/>
    <w:rsid w:val="00880979"/>
    <w:rsid w:val="00880994"/>
    <w:rsid w:val="008809B2"/>
    <w:rsid w:val="00880AB4"/>
    <w:rsid w:val="00880B10"/>
    <w:rsid w:val="00880B56"/>
    <w:rsid w:val="00880BAF"/>
    <w:rsid w:val="00880CEE"/>
    <w:rsid w:val="00880E18"/>
    <w:rsid w:val="00880EAF"/>
    <w:rsid w:val="00880EC2"/>
    <w:rsid w:val="00881026"/>
    <w:rsid w:val="00881294"/>
    <w:rsid w:val="0088157E"/>
    <w:rsid w:val="00881598"/>
    <w:rsid w:val="0088180E"/>
    <w:rsid w:val="0088191B"/>
    <w:rsid w:val="008819DC"/>
    <w:rsid w:val="00881B01"/>
    <w:rsid w:val="00881C42"/>
    <w:rsid w:val="00881EBD"/>
    <w:rsid w:val="00881F1C"/>
    <w:rsid w:val="008820C5"/>
    <w:rsid w:val="008820C7"/>
    <w:rsid w:val="008820F7"/>
    <w:rsid w:val="00882145"/>
    <w:rsid w:val="0088226D"/>
    <w:rsid w:val="00882312"/>
    <w:rsid w:val="008823D1"/>
    <w:rsid w:val="00882496"/>
    <w:rsid w:val="00882514"/>
    <w:rsid w:val="008825D9"/>
    <w:rsid w:val="00882838"/>
    <w:rsid w:val="0088283C"/>
    <w:rsid w:val="008829B1"/>
    <w:rsid w:val="00882F3B"/>
    <w:rsid w:val="00882F7B"/>
    <w:rsid w:val="0088305D"/>
    <w:rsid w:val="008830CF"/>
    <w:rsid w:val="008831EA"/>
    <w:rsid w:val="008832E7"/>
    <w:rsid w:val="008833BB"/>
    <w:rsid w:val="00883401"/>
    <w:rsid w:val="008835A6"/>
    <w:rsid w:val="0088369D"/>
    <w:rsid w:val="008836BA"/>
    <w:rsid w:val="00883711"/>
    <w:rsid w:val="008837A0"/>
    <w:rsid w:val="00883908"/>
    <w:rsid w:val="00883B25"/>
    <w:rsid w:val="00883BEB"/>
    <w:rsid w:val="00883C04"/>
    <w:rsid w:val="00883D17"/>
    <w:rsid w:val="00883D4C"/>
    <w:rsid w:val="00884361"/>
    <w:rsid w:val="008843F8"/>
    <w:rsid w:val="00884420"/>
    <w:rsid w:val="00884427"/>
    <w:rsid w:val="00884444"/>
    <w:rsid w:val="0088453D"/>
    <w:rsid w:val="0088456C"/>
    <w:rsid w:val="00884617"/>
    <w:rsid w:val="0088461E"/>
    <w:rsid w:val="00884685"/>
    <w:rsid w:val="008846B8"/>
    <w:rsid w:val="008848AD"/>
    <w:rsid w:val="008849A0"/>
    <w:rsid w:val="00884B84"/>
    <w:rsid w:val="00884C76"/>
    <w:rsid w:val="00884DA3"/>
    <w:rsid w:val="00884DB8"/>
    <w:rsid w:val="00884E86"/>
    <w:rsid w:val="00884EA2"/>
    <w:rsid w:val="00885052"/>
    <w:rsid w:val="00885109"/>
    <w:rsid w:val="00885284"/>
    <w:rsid w:val="008852D0"/>
    <w:rsid w:val="008859FC"/>
    <w:rsid w:val="00885BFB"/>
    <w:rsid w:val="00885C12"/>
    <w:rsid w:val="00885E98"/>
    <w:rsid w:val="00885EDA"/>
    <w:rsid w:val="00885FBA"/>
    <w:rsid w:val="0088625D"/>
    <w:rsid w:val="00886266"/>
    <w:rsid w:val="008863DA"/>
    <w:rsid w:val="0088661F"/>
    <w:rsid w:val="008867E5"/>
    <w:rsid w:val="008868D3"/>
    <w:rsid w:val="00886964"/>
    <w:rsid w:val="008869DF"/>
    <w:rsid w:val="00886A8C"/>
    <w:rsid w:val="00886ABD"/>
    <w:rsid w:val="00886AED"/>
    <w:rsid w:val="00886BAC"/>
    <w:rsid w:val="00886C8B"/>
    <w:rsid w:val="00886E8B"/>
    <w:rsid w:val="00886EAB"/>
    <w:rsid w:val="00886F22"/>
    <w:rsid w:val="008870F5"/>
    <w:rsid w:val="008872C9"/>
    <w:rsid w:val="00887475"/>
    <w:rsid w:val="00887525"/>
    <w:rsid w:val="0088761D"/>
    <w:rsid w:val="0088772A"/>
    <w:rsid w:val="0088776B"/>
    <w:rsid w:val="00887A1D"/>
    <w:rsid w:val="0088AA35"/>
    <w:rsid w:val="0088B3DA"/>
    <w:rsid w:val="00890091"/>
    <w:rsid w:val="00890144"/>
    <w:rsid w:val="008901B1"/>
    <w:rsid w:val="00890300"/>
    <w:rsid w:val="00890578"/>
    <w:rsid w:val="00890643"/>
    <w:rsid w:val="0089078B"/>
    <w:rsid w:val="0089095A"/>
    <w:rsid w:val="00890974"/>
    <w:rsid w:val="00890A98"/>
    <w:rsid w:val="00890B24"/>
    <w:rsid w:val="00890B49"/>
    <w:rsid w:val="00890BD6"/>
    <w:rsid w:val="00890CEE"/>
    <w:rsid w:val="00890E28"/>
    <w:rsid w:val="00890EA4"/>
    <w:rsid w:val="00890EAA"/>
    <w:rsid w:val="0089114D"/>
    <w:rsid w:val="00891271"/>
    <w:rsid w:val="008913D5"/>
    <w:rsid w:val="00891518"/>
    <w:rsid w:val="008916EF"/>
    <w:rsid w:val="0089175D"/>
    <w:rsid w:val="008917B4"/>
    <w:rsid w:val="008917FC"/>
    <w:rsid w:val="0089184F"/>
    <w:rsid w:val="008918A1"/>
    <w:rsid w:val="00891A8B"/>
    <w:rsid w:val="00891B23"/>
    <w:rsid w:val="00891B27"/>
    <w:rsid w:val="00891D61"/>
    <w:rsid w:val="00891D8A"/>
    <w:rsid w:val="00891DD1"/>
    <w:rsid w:val="00891F0D"/>
    <w:rsid w:val="00891FCC"/>
    <w:rsid w:val="00892253"/>
    <w:rsid w:val="00892469"/>
    <w:rsid w:val="008924BB"/>
    <w:rsid w:val="0089257D"/>
    <w:rsid w:val="00892599"/>
    <w:rsid w:val="00892726"/>
    <w:rsid w:val="00892803"/>
    <w:rsid w:val="00892894"/>
    <w:rsid w:val="008928EE"/>
    <w:rsid w:val="00892D2F"/>
    <w:rsid w:val="00892E4B"/>
    <w:rsid w:val="00892F05"/>
    <w:rsid w:val="0089309E"/>
    <w:rsid w:val="0089324F"/>
    <w:rsid w:val="008938E2"/>
    <w:rsid w:val="0089399E"/>
    <w:rsid w:val="00893B42"/>
    <w:rsid w:val="00893BD9"/>
    <w:rsid w:val="00893C4D"/>
    <w:rsid w:val="00893CD8"/>
    <w:rsid w:val="00893CE5"/>
    <w:rsid w:val="00893D6C"/>
    <w:rsid w:val="00893EAB"/>
    <w:rsid w:val="00893FB1"/>
    <w:rsid w:val="00894232"/>
    <w:rsid w:val="0089438A"/>
    <w:rsid w:val="0089453C"/>
    <w:rsid w:val="0089454B"/>
    <w:rsid w:val="0089456E"/>
    <w:rsid w:val="0089458E"/>
    <w:rsid w:val="008947E1"/>
    <w:rsid w:val="00894A5C"/>
    <w:rsid w:val="00894A99"/>
    <w:rsid w:val="00894B25"/>
    <w:rsid w:val="00894B59"/>
    <w:rsid w:val="00894C70"/>
    <w:rsid w:val="00894D1F"/>
    <w:rsid w:val="00894F64"/>
    <w:rsid w:val="00894FC5"/>
    <w:rsid w:val="0089503F"/>
    <w:rsid w:val="0089509B"/>
    <w:rsid w:val="008950BD"/>
    <w:rsid w:val="00895389"/>
    <w:rsid w:val="00895544"/>
    <w:rsid w:val="00895680"/>
    <w:rsid w:val="008956C4"/>
    <w:rsid w:val="008956CE"/>
    <w:rsid w:val="0089579C"/>
    <w:rsid w:val="008958B2"/>
    <w:rsid w:val="008959A6"/>
    <w:rsid w:val="00895B01"/>
    <w:rsid w:val="00895D51"/>
    <w:rsid w:val="00895E3E"/>
    <w:rsid w:val="00895EA4"/>
    <w:rsid w:val="00895F3D"/>
    <w:rsid w:val="00895FD4"/>
    <w:rsid w:val="00896191"/>
    <w:rsid w:val="00896202"/>
    <w:rsid w:val="0089632F"/>
    <w:rsid w:val="008963C9"/>
    <w:rsid w:val="008963F1"/>
    <w:rsid w:val="0089647D"/>
    <w:rsid w:val="008965C6"/>
    <w:rsid w:val="00896699"/>
    <w:rsid w:val="00896A7B"/>
    <w:rsid w:val="00896B44"/>
    <w:rsid w:val="00896B7B"/>
    <w:rsid w:val="00896CE5"/>
    <w:rsid w:val="00896EDA"/>
    <w:rsid w:val="00897075"/>
    <w:rsid w:val="00897149"/>
    <w:rsid w:val="00897353"/>
    <w:rsid w:val="00897363"/>
    <w:rsid w:val="008977E0"/>
    <w:rsid w:val="0089788D"/>
    <w:rsid w:val="0089790A"/>
    <w:rsid w:val="008979E9"/>
    <w:rsid w:val="00897BA6"/>
    <w:rsid w:val="00897DD9"/>
    <w:rsid w:val="00897E4E"/>
    <w:rsid w:val="00897EE2"/>
    <w:rsid w:val="00897F56"/>
    <w:rsid w:val="00898CCC"/>
    <w:rsid w:val="008A011A"/>
    <w:rsid w:val="008A0215"/>
    <w:rsid w:val="008A027E"/>
    <w:rsid w:val="008A03F5"/>
    <w:rsid w:val="008A052C"/>
    <w:rsid w:val="008A071F"/>
    <w:rsid w:val="008A07B1"/>
    <w:rsid w:val="008A082A"/>
    <w:rsid w:val="008A08C1"/>
    <w:rsid w:val="008A0966"/>
    <w:rsid w:val="008A0A1A"/>
    <w:rsid w:val="008A0B91"/>
    <w:rsid w:val="008A0D7C"/>
    <w:rsid w:val="008A0E35"/>
    <w:rsid w:val="008A0E3A"/>
    <w:rsid w:val="008A1295"/>
    <w:rsid w:val="008A12BD"/>
    <w:rsid w:val="008A130E"/>
    <w:rsid w:val="008A136E"/>
    <w:rsid w:val="008A1434"/>
    <w:rsid w:val="008A156F"/>
    <w:rsid w:val="008A16A0"/>
    <w:rsid w:val="008A173D"/>
    <w:rsid w:val="008A17B6"/>
    <w:rsid w:val="008A19C3"/>
    <w:rsid w:val="008A1B59"/>
    <w:rsid w:val="008A1C2C"/>
    <w:rsid w:val="008A1C54"/>
    <w:rsid w:val="008A1C59"/>
    <w:rsid w:val="008A1E09"/>
    <w:rsid w:val="008A1FF7"/>
    <w:rsid w:val="008A208F"/>
    <w:rsid w:val="008A214C"/>
    <w:rsid w:val="008A2359"/>
    <w:rsid w:val="008A23A5"/>
    <w:rsid w:val="008A25B1"/>
    <w:rsid w:val="008A25E0"/>
    <w:rsid w:val="008A2608"/>
    <w:rsid w:val="008A2678"/>
    <w:rsid w:val="008A2818"/>
    <w:rsid w:val="008A2819"/>
    <w:rsid w:val="008A29FD"/>
    <w:rsid w:val="008A2A27"/>
    <w:rsid w:val="008A2A28"/>
    <w:rsid w:val="008A2A51"/>
    <w:rsid w:val="008A2C17"/>
    <w:rsid w:val="008A2CBD"/>
    <w:rsid w:val="008A2CD8"/>
    <w:rsid w:val="008A2EBE"/>
    <w:rsid w:val="008A2EFA"/>
    <w:rsid w:val="008A2F1C"/>
    <w:rsid w:val="008A2FDD"/>
    <w:rsid w:val="008A3050"/>
    <w:rsid w:val="008A32D9"/>
    <w:rsid w:val="008A3312"/>
    <w:rsid w:val="008A345B"/>
    <w:rsid w:val="008A35B1"/>
    <w:rsid w:val="008A3867"/>
    <w:rsid w:val="008A387F"/>
    <w:rsid w:val="008A3AAC"/>
    <w:rsid w:val="008A3C92"/>
    <w:rsid w:val="008A3D6F"/>
    <w:rsid w:val="008A3D75"/>
    <w:rsid w:val="008A3D78"/>
    <w:rsid w:val="008A3E11"/>
    <w:rsid w:val="008A3E7C"/>
    <w:rsid w:val="008A3F18"/>
    <w:rsid w:val="008A3F2E"/>
    <w:rsid w:val="008A406B"/>
    <w:rsid w:val="008A41D5"/>
    <w:rsid w:val="008A421F"/>
    <w:rsid w:val="008A4345"/>
    <w:rsid w:val="008A44C6"/>
    <w:rsid w:val="008A45B6"/>
    <w:rsid w:val="008A46EC"/>
    <w:rsid w:val="008A4812"/>
    <w:rsid w:val="008A4825"/>
    <w:rsid w:val="008A483B"/>
    <w:rsid w:val="008A4A5F"/>
    <w:rsid w:val="008A4DC4"/>
    <w:rsid w:val="008A4FA4"/>
    <w:rsid w:val="008A50D3"/>
    <w:rsid w:val="008A518A"/>
    <w:rsid w:val="008A51B5"/>
    <w:rsid w:val="008A522F"/>
    <w:rsid w:val="008A549A"/>
    <w:rsid w:val="008A5654"/>
    <w:rsid w:val="008A5758"/>
    <w:rsid w:val="008A5814"/>
    <w:rsid w:val="008A591F"/>
    <w:rsid w:val="008A5AE1"/>
    <w:rsid w:val="008A5C62"/>
    <w:rsid w:val="008A5D7C"/>
    <w:rsid w:val="008A5DD4"/>
    <w:rsid w:val="008A5DED"/>
    <w:rsid w:val="008A5EBE"/>
    <w:rsid w:val="008A6051"/>
    <w:rsid w:val="008A61A7"/>
    <w:rsid w:val="008A61C5"/>
    <w:rsid w:val="008A621F"/>
    <w:rsid w:val="008A6386"/>
    <w:rsid w:val="008A647A"/>
    <w:rsid w:val="008A64BE"/>
    <w:rsid w:val="008A661B"/>
    <w:rsid w:val="008A6657"/>
    <w:rsid w:val="008A6867"/>
    <w:rsid w:val="008A69FA"/>
    <w:rsid w:val="008A6EAD"/>
    <w:rsid w:val="008A6F7F"/>
    <w:rsid w:val="008A701B"/>
    <w:rsid w:val="008A722D"/>
    <w:rsid w:val="008A745A"/>
    <w:rsid w:val="008A750A"/>
    <w:rsid w:val="008A75E3"/>
    <w:rsid w:val="008A76B6"/>
    <w:rsid w:val="008A770A"/>
    <w:rsid w:val="008A7853"/>
    <w:rsid w:val="008A79D2"/>
    <w:rsid w:val="008A7ACA"/>
    <w:rsid w:val="008A7B76"/>
    <w:rsid w:val="008A7F6E"/>
    <w:rsid w:val="008A7F9E"/>
    <w:rsid w:val="008AA0D3"/>
    <w:rsid w:val="008AAA61"/>
    <w:rsid w:val="008AEB5E"/>
    <w:rsid w:val="008AFE05"/>
    <w:rsid w:val="008B0208"/>
    <w:rsid w:val="008B021F"/>
    <w:rsid w:val="008B02E2"/>
    <w:rsid w:val="008B03D2"/>
    <w:rsid w:val="008B0524"/>
    <w:rsid w:val="008B05DA"/>
    <w:rsid w:val="008B0AB1"/>
    <w:rsid w:val="008B0C08"/>
    <w:rsid w:val="008B0D13"/>
    <w:rsid w:val="008B0FB2"/>
    <w:rsid w:val="008B10BB"/>
    <w:rsid w:val="008B1198"/>
    <w:rsid w:val="008B11EA"/>
    <w:rsid w:val="008B1251"/>
    <w:rsid w:val="008B1395"/>
    <w:rsid w:val="008B13AE"/>
    <w:rsid w:val="008B15F8"/>
    <w:rsid w:val="008B1692"/>
    <w:rsid w:val="008B16F5"/>
    <w:rsid w:val="008B1C31"/>
    <w:rsid w:val="008B1CB2"/>
    <w:rsid w:val="008B1DFF"/>
    <w:rsid w:val="008B21BA"/>
    <w:rsid w:val="008B2448"/>
    <w:rsid w:val="008B25AF"/>
    <w:rsid w:val="008B264C"/>
    <w:rsid w:val="008B271D"/>
    <w:rsid w:val="008B280E"/>
    <w:rsid w:val="008B2825"/>
    <w:rsid w:val="008B2943"/>
    <w:rsid w:val="008B2A6C"/>
    <w:rsid w:val="008B2C6B"/>
    <w:rsid w:val="008B2D42"/>
    <w:rsid w:val="008B2DA4"/>
    <w:rsid w:val="008B2DE4"/>
    <w:rsid w:val="008B2EFE"/>
    <w:rsid w:val="008B2FAC"/>
    <w:rsid w:val="008B314D"/>
    <w:rsid w:val="008B3189"/>
    <w:rsid w:val="008B324D"/>
    <w:rsid w:val="008B325C"/>
    <w:rsid w:val="008B32CE"/>
    <w:rsid w:val="008B33D9"/>
    <w:rsid w:val="008B341E"/>
    <w:rsid w:val="008B3523"/>
    <w:rsid w:val="008B3629"/>
    <w:rsid w:val="008B374D"/>
    <w:rsid w:val="008B379A"/>
    <w:rsid w:val="008B38AE"/>
    <w:rsid w:val="008B38BA"/>
    <w:rsid w:val="008B3A2F"/>
    <w:rsid w:val="008B3B0C"/>
    <w:rsid w:val="008B3B55"/>
    <w:rsid w:val="008B3EB7"/>
    <w:rsid w:val="008B3ECA"/>
    <w:rsid w:val="008B42C6"/>
    <w:rsid w:val="008B4307"/>
    <w:rsid w:val="008B43BE"/>
    <w:rsid w:val="008B44C9"/>
    <w:rsid w:val="008B455F"/>
    <w:rsid w:val="008B46EF"/>
    <w:rsid w:val="008B47A4"/>
    <w:rsid w:val="008B487B"/>
    <w:rsid w:val="008B498F"/>
    <w:rsid w:val="008B4A58"/>
    <w:rsid w:val="008B4A6A"/>
    <w:rsid w:val="008B4B05"/>
    <w:rsid w:val="008B4CA4"/>
    <w:rsid w:val="008B4D74"/>
    <w:rsid w:val="008B4D81"/>
    <w:rsid w:val="008B4DFE"/>
    <w:rsid w:val="008B4E9C"/>
    <w:rsid w:val="008B4F07"/>
    <w:rsid w:val="008B4F46"/>
    <w:rsid w:val="008B4F85"/>
    <w:rsid w:val="008B4FA2"/>
    <w:rsid w:val="008B5264"/>
    <w:rsid w:val="008B53CF"/>
    <w:rsid w:val="008B5516"/>
    <w:rsid w:val="008B5775"/>
    <w:rsid w:val="008B57AD"/>
    <w:rsid w:val="008B5817"/>
    <w:rsid w:val="008B585C"/>
    <w:rsid w:val="008B58DE"/>
    <w:rsid w:val="008B5A7F"/>
    <w:rsid w:val="008B5AB7"/>
    <w:rsid w:val="008B5BDD"/>
    <w:rsid w:val="008B5CBF"/>
    <w:rsid w:val="008B5EC4"/>
    <w:rsid w:val="008B608D"/>
    <w:rsid w:val="008B60DD"/>
    <w:rsid w:val="008B61CA"/>
    <w:rsid w:val="008B62A1"/>
    <w:rsid w:val="008B62FD"/>
    <w:rsid w:val="008B6410"/>
    <w:rsid w:val="008B6445"/>
    <w:rsid w:val="008B6747"/>
    <w:rsid w:val="008B680E"/>
    <w:rsid w:val="008B6869"/>
    <w:rsid w:val="008B68E2"/>
    <w:rsid w:val="008B6AF8"/>
    <w:rsid w:val="008B6B87"/>
    <w:rsid w:val="008B6BC8"/>
    <w:rsid w:val="008B6BF0"/>
    <w:rsid w:val="008B6C63"/>
    <w:rsid w:val="008B6C9F"/>
    <w:rsid w:val="008B6CC4"/>
    <w:rsid w:val="008B6D68"/>
    <w:rsid w:val="008B6DC6"/>
    <w:rsid w:val="008B6E4C"/>
    <w:rsid w:val="008B70D4"/>
    <w:rsid w:val="008B70FE"/>
    <w:rsid w:val="008B749B"/>
    <w:rsid w:val="008B7572"/>
    <w:rsid w:val="008B7574"/>
    <w:rsid w:val="008B757E"/>
    <w:rsid w:val="008B7649"/>
    <w:rsid w:val="008B76E6"/>
    <w:rsid w:val="008B77A2"/>
    <w:rsid w:val="008B78A6"/>
    <w:rsid w:val="008B79E3"/>
    <w:rsid w:val="008B7B87"/>
    <w:rsid w:val="008B7BBA"/>
    <w:rsid w:val="008B7C1A"/>
    <w:rsid w:val="008B7DFB"/>
    <w:rsid w:val="008B7E1D"/>
    <w:rsid w:val="008B7EDE"/>
    <w:rsid w:val="008B7F69"/>
    <w:rsid w:val="008C00B0"/>
    <w:rsid w:val="008C0242"/>
    <w:rsid w:val="008C03AB"/>
    <w:rsid w:val="008C03D5"/>
    <w:rsid w:val="008C0577"/>
    <w:rsid w:val="008C05C2"/>
    <w:rsid w:val="008C063D"/>
    <w:rsid w:val="008C0667"/>
    <w:rsid w:val="008C0682"/>
    <w:rsid w:val="008C068C"/>
    <w:rsid w:val="008C06C9"/>
    <w:rsid w:val="008C0783"/>
    <w:rsid w:val="008C085A"/>
    <w:rsid w:val="008C08B2"/>
    <w:rsid w:val="008C0A41"/>
    <w:rsid w:val="008C0ADF"/>
    <w:rsid w:val="008C0C03"/>
    <w:rsid w:val="008C0E79"/>
    <w:rsid w:val="008C0EDE"/>
    <w:rsid w:val="008C1028"/>
    <w:rsid w:val="008C103D"/>
    <w:rsid w:val="008C1104"/>
    <w:rsid w:val="008C1243"/>
    <w:rsid w:val="008C13AD"/>
    <w:rsid w:val="008C1405"/>
    <w:rsid w:val="008C1499"/>
    <w:rsid w:val="008C15E7"/>
    <w:rsid w:val="008C171D"/>
    <w:rsid w:val="008C183F"/>
    <w:rsid w:val="008C187C"/>
    <w:rsid w:val="008C18A4"/>
    <w:rsid w:val="008C18C7"/>
    <w:rsid w:val="008C19C3"/>
    <w:rsid w:val="008C19DA"/>
    <w:rsid w:val="008C1B8B"/>
    <w:rsid w:val="008C1BD6"/>
    <w:rsid w:val="008C1F18"/>
    <w:rsid w:val="008C1FCD"/>
    <w:rsid w:val="008C2052"/>
    <w:rsid w:val="008C2132"/>
    <w:rsid w:val="008C26B4"/>
    <w:rsid w:val="008C26CA"/>
    <w:rsid w:val="008C28BD"/>
    <w:rsid w:val="008C2A06"/>
    <w:rsid w:val="008C2A52"/>
    <w:rsid w:val="008C2A56"/>
    <w:rsid w:val="008C2A94"/>
    <w:rsid w:val="008C2ADF"/>
    <w:rsid w:val="008C2B0A"/>
    <w:rsid w:val="008C2C62"/>
    <w:rsid w:val="008C2C77"/>
    <w:rsid w:val="008C2C93"/>
    <w:rsid w:val="008C2F1D"/>
    <w:rsid w:val="008C2F25"/>
    <w:rsid w:val="008C2F2F"/>
    <w:rsid w:val="008C2F8F"/>
    <w:rsid w:val="008C3009"/>
    <w:rsid w:val="008C3048"/>
    <w:rsid w:val="008C3294"/>
    <w:rsid w:val="008C33BF"/>
    <w:rsid w:val="008C33DF"/>
    <w:rsid w:val="008C3413"/>
    <w:rsid w:val="008C350E"/>
    <w:rsid w:val="008C3656"/>
    <w:rsid w:val="008C36A0"/>
    <w:rsid w:val="008C37D9"/>
    <w:rsid w:val="008C3863"/>
    <w:rsid w:val="008C38E9"/>
    <w:rsid w:val="008C3914"/>
    <w:rsid w:val="008C39BC"/>
    <w:rsid w:val="008C3A31"/>
    <w:rsid w:val="008C3A9F"/>
    <w:rsid w:val="008C3ACE"/>
    <w:rsid w:val="008C3AF0"/>
    <w:rsid w:val="008C3B68"/>
    <w:rsid w:val="008C3BF7"/>
    <w:rsid w:val="008C3BFF"/>
    <w:rsid w:val="008C3E4D"/>
    <w:rsid w:val="008C4120"/>
    <w:rsid w:val="008C4262"/>
    <w:rsid w:val="008C4506"/>
    <w:rsid w:val="008C4526"/>
    <w:rsid w:val="008C4573"/>
    <w:rsid w:val="008C457E"/>
    <w:rsid w:val="008C478A"/>
    <w:rsid w:val="008C4912"/>
    <w:rsid w:val="008C4B05"/>
    <w:rsid w:val="008C4BAD"/>
    <w:rsid w:val="008C4C86"/>
    <w:rsid w:val="008C4D7F"/>
    <w:rsid w:val="008C4DF0"/>
    <w:rsid w:val="008C4EA0"/>
    <w:rsid w:val="008C4EED"/>
    <w:rsid w:val="008C51E5"/>
    <w:rsid w:val="008C51F6"/>
    <w:rsid w:val="008C5475"/>
    <w:rsid w:val="008C5527"/>
    <w:rsid w:val="008C553D"/>
    <w:rsid w:val="008C555E"/>
    <w:rsid w:val="008C570B"/>
    <w:rsid w:val="008C574A"/>
    <w:rsid w:val="008C5761"/>
    <w:rsid w:val="008C57C7"/>
    <w:rsid w:val="008C5BE8"/>
    <w:rsid w:val="008C5C83"/>
    <w:rsid w:val="008C5DB0"/>
    <w:rsid w:val="008C5F45"/>
    <w:rsid w:val="008C61BA"/>
    <w:rsid w:val="008C622E"/>
    <w:rsid w:val="008C636A"/>
    <w:rsid w:val="008C6412"/>
    <w:rsid w:val="008C64BB"/>
    <w:rsid w:val="008C6549"/>
    <w:rsid w:val="008C6565"/>
    <w:rsid w:val="008C657D"/>
    <w:rsid w:val="008C670F"/>
    <w:rsid w:val="008C6790"/>
    <w:rsid w:val="008C67FA"/>
    <w:rsid w:val="008C68B6"/>
    <w:rsid w:val="008C68DC"/>
    <w:rsid w:val="008C6AF5"/>
    <w:rsid w:val="008C6E13"/>
    <w:rsid w:val="008C6F5F"/>
    <w:rsid w:val="008C71B2"/>
    <w:rsid w:val="008C721D"/>
    <w:rsid w:val="008C72F9"/>
    <w:rsid w:val="008C7365"/>
    <w:rsid w:val="008C7412"/>
    <w:rsid w:val="008C74BA"/>
    <w:rsid w:val="008C74C1"/>
    <w:rsid w:val="008C7516"/>
    <w:rsid w:val="008C7736"/>
    <w:rsid w:val="008C7763"/>
    <w:rsid w:val="008C777A"/>
    <w:rsid w:val="008C77B9"/>
    <w:rsid w:val="008C7859"/>
    <w:rsid w:val="008C7952"/>
    <w:rsid w:val="008C7ADA"/>
    <w:rsid w:val="008C7C65"/>
    <w:rsid w:val="008C7D00"/>
    <w:rsid w:val="008CB10A"/>
    <w:rsid w:val="008CBA38"/>
    <w:rsid w:val="008D0082"/>
    <w:rsid w:val="008D00EA"/>
    <w:rsid w:val="008D0201"/>
    <w:rsid w:val="008D0266"/>
    <w:rsid w:val="008D029B"/>
    <w:rsid w:val="008D02AE"/>
    <w:rsid w:val="008D02F7"/>
    <w:rsid w:val="008D0349"/>
    <w:rsid w:val="008D04D7"/>
    <w:rsid w:val="008D0669"/>
    <w:rsid w:val="008D0876"/>
    <w:rsid w:val="008D08A6"/>
    <w:rsid w:val="008D0A61"/>
    <w:rsid w:val="008D0A7B"/>
    <w:rsid w:val="008D0A8B"/>
    <w:rsid w:val="008D0A9A"/>
    <w:rsid w:val="008D0C01"/>
    <w:rsid w:val="008D0CF8"/>
    <w:rsid w:val="008D0EB7"/>
    <w:rsid w:val="008D0FFA"/>
    <w:rsid w:val="008D1037"/>
    <w:rsid w:val="008D1047"/>
    <w:rsid w:val="008D1083"/>
    <w:rsid w:val="008D13A3"/>
    <w:rsid w:val="008D141C"/>
    <w:rsid w:val="008D143B"/>
    <w:rsid w:val="008D14BB"/>
    <w:rsid w:val="008D1623"/>
    <w:rsid w:val="008D1709"/>
    <w:rsid w:val="008D177C"/>
    <w:rsid w:val="008D188A"/>
    <w:rsid w:val="008D190D"/>
    <w:rsid w:val="008D1AAC"/>
    <w:rsid w:val="008D1CA3"/>
    <w:rsid w:val="008D1DE4"/>
    <w:rsid w:val="008D1E07"/>
    <w:rsid w:val="008D209B"/>
    <w:rsid w:val="008D2217"/>
    <w:rsid w:val="008D2448"/>
    <w:rsid w:val="008D24BE"/>
    <w:rsid w:val="008D24F6"/>
    <w:rsid w:val="008D27B8"/>
    <w:rsid w:val="008D27F5"/>
    <w:rsid w:val="008D2882"/>
    <w:rsid w:val="008D28AD"/>
    <w:rsid w:val="008D2A6B"/>
    <w:rsid w:val="008D2EAD"/>
    <w:rsid w:val="008D2F45"/>
    <w:rsid w:val="008D2FF9"/>
    <w:rsid w:val="008D30D6"/>
    <w:rsid w:val="008D32FA"/>
    <w:rsid w:val="008D33BB"/>
    <w:rsid w:val="008D34AC"/>
    <w:rsid w:val="008D366D"/>
    <w:rsid w:val="008D3673"/>
    <w:rsid w:val="008D3799"/>
    <w:rsid w:val="008D37E1"/>
    <w:rsid w:val="008D3875"/>
    <w:rsid w:val="008D3991"/>
    <w:rsid w:val="008D3992"/>
    <w:rsid w:val="008D3ADA"/>
    <w:rsid w:val="008D3B3B"/>
    <w:rsid w:val="008D3CD3"/>
    <w:rsid w:val="008D3CE0"/>
    <w:rsid w:val="008D3DA4"/>
    <w:rsid w:val="008D3E6E"/>
    <w:rsid w:val="008D3ECC"/>
    <w:rsid w:val="008D3EE8"/>
    <w:rsid w:val="008D3F58"/>
    <w:rsid w:val="008D4004"/>
    <w:rsid w:val="008D4094"/>
    <w:rsid w:val="008D41ED"/>
    <w:rsid w:val="008D447B"/>
    <w:rsid w:val="008D44CE"/>
    <w:rsid w:val="008D44D2"/>
    <w:rsid w:val="008D44E6"/>
    <w:rsid w:val="008D45DE"/>
    <w:rsid w:val="008D4694"/>
    <w:rsid w:val="008D4700"/>
    <w:rsid w:val="008D4755"/>
    <w:rsid w:val="008D47CA"/>
    <w:rsid w:val="008D483F"/>
    <w:rsid w:val="008D4856"/>
    <w:rsid w:val="008D490C"/>
    <w:rsid w:val="008D4971"/>
    <w:rsid w:val="008D4A4B"/>
    <w:rsid w:val="008D4CC1"/>
    <w:rsid w:val="008D4D19"/>
    <w:rsid w:val="008D4D52"/>
    <w:rsid w:val="008D4DB2"/>
    <w:rsid w:val="008D4F2D"/>
    <w:rsid w:val="008D51DB"/>
    <w:rsid w:val="008D5200"/>
    <w:rsid w:val="008D5268"/>
    <w:rsid w:val="008D5320"/>
    <w:rsid w:val="008D54C9"/>
    <w:rsid w:val="008D556A"/>
    <w:rsid w:val="008D561B"/>
    <w:rsid w:val="008D5788"/>
    <w:rsid w:val="008D594D"/>
    <w:rsid w:val="008D5B8B"/>
    <w:rsid w:val="008D5CCD"/>
    <w:rsid w:val="008D5D61"/>
    <w:rsid w:val="008D5E82"/>
    <w:rsid w:val="008D5F7A"/>
    <w:rsid w:val="008D6153"/>
    <w:rsid w:val="008D63C9"/>
    <w:rsid w:val="008D6556"/>
    <w:rsid w:val="008D658E"/>
    <w:rsid w:val="008D65F0"/>
    <w:rsid w:val="008D6719"/>
    <w:rsid w:val="008D6831"/>
    <w:rsid w:val="008D6A82"/>
    <w:rsid w:val="008D6AF5"/>
    <w:rsid w:val="008D6B40"/>
    <w:rsid w:val="008D6C1C"/>
    <w:rsid w:val="008D6DC5"/>
    <w:rsid w:val="008D6FB6"/>
    <w:rsid w:val="008D6FF3"/>
    <w:rsid w:val="008D7143"/>
    <w:rsid w:val="008D7159"/>
    <w:rsid w:val="008D72A4"/>
    <w:rsid w:val="008D74EF"/>
    <w:rsid w:val="008D751C"/>
    <w:rsid w:val="008D7521"/>
    <w:rsid w:val="008D75BC"/>
    <w:rsid w:val="008D75D4"/>
    <w:rsid w:val="008D7694"/>
    <w:rsid w:val="008D7757"/>
    <w:rsid w:val="008D784F"/>
    <w:rsid w:val="008D7A1C"/>
    <w:rsid w:val="008D7D23"/>
    <w:rsid w:val="008D7D35"/>
    <w:rsid w:val="008D7E12"/>
    <w:rsid w:val="008D7E1B"/>
    <w:rsid w:val="008D7E93"/>
    <w:rsid w:val="008D7EE2"/>
    <w:rsid w:val="008D7EEB"/>
    <w:rsid w:val="008D7F9D"/>
    <w:rsid w:val="008DDBCF"/>
    <w:rsid w:val="008E0062"/>
    <w:rsid w:val="008E0157"/>
    <w:rsid w:val="008E01B0"/>
    <w:rsid w:val="008E0225"/>
    <w:rsid w:val="008E032F"/>
    <w:rsid w:val="008E0406"/>
    <w:rsid w:val="008E041E"/>
    <w:rsid w:val="008E072F"/>
    <w:rsid w:val="008E0762"/>
    <w:rsid w:val="008E080E"/>
    <w:rsid w:val="008E08E7"/>
    <w:rsid w:val="008E0CCB"/>
    <w:rsid w:val="008E0CDF"/>
    <w:rsid w:val="008E0DA4"/>
    <w:rsid w:val="008E0DE2"/>
    <w:rsid w:val="008E0FA1"/>
    <w:rsid w:val="008E0FE9"/>
    <w:rsid w:val="008E10B3"/>
    <w:rsid w:val="008E1199"/>
    <w:rsid w:val="008E11FD"/>
    <w:rsid w:val="008E1349"/>
    <w:rsid w:val="008E13CA"/>
    <w:rsid w:val="008E143C"/>
    <w:rsid w:val="008E15DD"/>
    <w:rsid w:val="008E16A7"/>
    <w:rsid w:val="008E18D1"/>
    <w:rsid w:val="008E19C4"/>
    <w:rsid w:val="008E1E1D"/>
    <w:rsid w:val="008E1E3B"/>
    <w:rsid w:val="008E1E97"/>
    <w:rsid w:val="008E1EF0"/>
    <w:rsid w:val="008E1FEA"/>
    <w:rsid w:val="008E203C"/>
    <w:rsid w:val="008E209D"/>
    <w:rsid w:val="008E215E"/>
    <w:rsid w:val="008E21B7"/>
    <w:rsid w:val="008E22A8"/>
    <w:rsid w:val="008E2434"/>
    <w:rsid w:val="008E2624"/>
    <w:rsid w:val="008E263F"/>
    <w:rsid w:val="008E2652"/>
    <w:rsid w:val="008E26CE"/>
    <w:rsid w:val="008E28B7"/>
    <w:rsid w:val="008E2991"/>
    <w:rsid w:val="008E2AB3"/>
    <w:rsid w:val="008E2BA1"/>
    <w:rsid w:val="008E2C27"/>
    <w:rsid w:val="008E2D7A"/>
    <w:rsid w:val="008E2E7F"/>
    <w:rsid w:val="008E2F70"/>
    <w:rsid w:val="008E3321"/>
    <w:rsid w:val="008E3327"/>
    <w:rsid w:val="008E346F"/>
    <w:rsid w:val="008E3519"/>
    <w:rsid w:val="008E3580"/>
    <w:rsid w:val="008E358A"/>
    <w:rsid w:val="008E3616"/>
    <w:rsid w:val="008E3B65"/>
    <w:rsid w:val="008E3B86"/>
    <w:rsid w:val="008E3BB9"/>
    <w:rsid w:val="008E3BCA"/>
    <w:rsid w:val="008E3DD3"/>
    <w:rsid w:val="008E3F07"/>
    <w:rsid w:val="008E400D"/>
    <w:rsid w:val="008E4136"/>
    <w:rsid w:val="008E440B"/>
    <w:rsid w:val="008E4532"/>
    <w:rsid w:val="008E45D9"/>
    <w:rsid w:val="008E46B8"/>
    <w:rsid w:val="008E47A0"/>
    <w:rsid w:val="008E4A95"/>
    <w:rsid w:val="008E4ABF"/>
    <w:rsid w:val="008E4BFA"/>
    <w:rsid w:val="008E4C9A"/>
    <w:rsid w:val="008E4CF5"/>
    <w:rsid w:val="008E4E93"/>
    <w:rsid w:val="008E4EA7"/>
    <w:rsid w:val="008E4FC8"/>
    <w:rsid w:val="008E4FED"/>
    <w:rsid w:val="008E5141"/>
    <w:rsid w:val="008E51C1"/>
    <w:rsid w:val="008E53BE"/>
    <w:rsid w:val="008E5527"/>
    <w:rsid w:val="008E5691"/>
    <w:rsid w:val="008E57BD"/>
    <w:rsid w:val="008E5800"/>
    <w:rsid w:val="008E5852"/>
    <w:rsid w:val="008E59E6"/>
    <w:rsid w:val="008E5A1D"/>
    <w:rsid w:val="008E5CB4"/>
    <w:rsid w:val="008E5D75"/>
    <w:rsid w:val="008E5E34"/>
    <w:rsid w:val="008E5F4E"/>
    <w:rsid w:val="008E5FC6"/>
    <w:rsid w:val="008E60E9"/>
    <w:rsid w:val="008E6160"/>
    <w:rsid w:val="008E61C4"/>
    <w:rsid w:val="008E6266"/>
    <w:rsid w:val="008E626F"/>
    <w:rsid w:val="008E6377"/>
    <w:rsid w:val="008E639B"/>
    <w:rsid w:val="008E6558"/>
    <w:rsid w:val="008E6C2B"/>
    <w:rsid w:val="008E7007"/>
    <w:rsid w:val="008E70DC"/>
    <w:rsid w:val="008E7108"/>
    <w:rsid w:val="008E7199"/>
    <w:rsid w:val="008E72A4"/>
    <w:rsid w:val="008E7312"/>
    <w:rsid w:val="008E74A6"/>
    <w:rsid w:val="008E74B2"/>
    <w:rsid w:val="008E754D"/>
    <w:rsid w:val="008E7958"/>
    <w:rsid w:val="008E79E3"/>
    <w:rsid w:val="008E7A48"/>
    <w:rsid w:val="008E7BDB"/>
    <w:rsid w:val="008E7DEC"/>
    <w:rsid w:val="008E7EFA"/>
    <w:rsid w:val="008F00FF"/>
    <w:rsid w:val="008F01A7"/>
    <w:rsid w:val="008F035B"/>
    <w:rsid w:val="008F03E9"/>
    <w:rsid w:val="008F075E"/>
    <w:rsid w:val="008F086C"/>
    <w:rsid w:val="008F0AE3"/>
    <w:rsid w:val="008F0B2E"/>
    <w:rsid w:val="008F0B88"/>
    <w:rsid w:val="008F0BC5"/>
    <w:rsid w:val="008F0C62"/>
    <w:rsid w:val="008F0CCD"/>
    <w:rsid w:val="008F0CF6"/>
    <w:rsid w:val="008F0E02"/>
    <w:rsid w:val="008F100F"/>
    <w:rsid w:val="008F10FB"/>
    <w:rsid w:val="008F111D"/>
    <w:rsid w:val="008F1320"/>
    <w:rsid w:val="008F137E"/>
    <w:rsid w:val="008F14DA"/>
    <w:rsid w:val="008F1588"/>
    <w:rsid w:val="008F15E6"/>
    <w:rsid w:val="008F16FB"/>
    <w:rsid w:val="008F1786"/>
    <w:rsid w:val="008F1871"/>
    <w:rsid w:val="008F1978"/>
    <w:rsid w:val="008F1A76"/>
    <w:rsid w:val="008F1ABC"/>
    <w:rsid w:val="008F1B01"/>
    <w:rsid w:val="008F1CEA"/>
    <w:rsid w:val="008F1D0D"/>
    <w:rsid w:val="008F1D12"/>
    <w:rsid w:val="008F1E52"/>
    <w:rsid w:val="008F1EB8"/>
    <w:rsid w:val="008F1EFE"/>
    <w:rsid w:val="008F1F15"/>
    <w:rsid w:val="008F1F27"/>
    <w:rsid w:val="008F20DA"/>
    <w:rsid w:val="008F2105"/>
    <w:rsid w:val="008F227C"/>
    <w:rsid w:val="008F2285"/>
    <w:rsid w:val="008F22E6"/>
    <w:rsid w:val="008F2307"/>
    <w:rsid w:val="008F234E"/>
    <w:rsid w:val="008F23E2"/>
    <w:rsid w:val="008F2465"/>
    <w:rsid w:val="008F2535"/>
    <w:rsid w:val="008F258D"/>
    <w:rsid w:val="008F2606"/>
    <w:rsid w:val="008F261F"/>
    <w:rsid w:val="008F262B"/>
    <w:rsid w:val="008F278B"/>
    <w:rsid w:val="008F294B"/>
    <w:rsid w:val="008F2A61"/>
    <w:rsid w:val="008F2A6E"/>
    <w:rsid w:val="008F2B46"/>
    <w:rsid w:val="008F2C27"/>
    <w:rsid w:val="008F2C59"/>
    <w:rsid w:val="008F2D17"/>
    <w:rsid w:val="008F2E16"/>
    <w:rsid w:val="008F2ECD"/>
    <w:rsid w:val="008F2F1F"/>
    <w:rsid w:val="008F3050"/>
    <w:rsid w:val="008F3066"/>
    <w:rsid w:val="008F30C3"/>
    <w:rsid w:val="008F31FB"/>
    <w:rsid w:val="008F341F"/>
    <w:rsid w:val="008F35C9"/>
    <w:rsid w:val="008F37E3"/>
    <w:rsid w:val="008F3922"/>
    <w:rsid w:val="008F3A5C"/>
    <w:rsid w:val="008F3AB1"/>
    <w:rsid w:val="008F3B28"/>
    <w:rsid w:val="008F3C6D"/>
    <w:rsid w:val="008F3DC9"/>
    <w:rsid w:val="008F3E35"/>
    <w:rsid w:val="008F3EA4"/>
    <w:rsid w:val="008F3EFC"/>
    <w:rsid w:val="008F3F7A"/>
    <w:rsid w:val="008F4180"/>
    <w:rsid w:val="008F41F3"/>
    <w:rsid w:val="008F42B7"/>
    <w:rsid w:val="008F46F3"/>
    <w:rsid w:val="008F4A8B"/>
    <w:rsid w:val="008F4AD5"/>
    <w:rsid w:val="008F4ADB"/>
    <w:rsid w:val="008F4B0E"/>
    <w:rsid w:val="008F4B14"/>
    <w:rsid w:val="008F4BA3"/>
    <w:rsid w:val="008F4C2D"/>
    <w:rsid w:val="008F4DA5"/>
    <w:rsid w:val="008F4E40"/>
    <w:rsid w:val="008F4E5B"/>
    <w:rsid w:val="008F4E78"/>
    <w:rsid w:val="008F4E79"/>
    <w:rsid w:val="008F4F8D"/>
    <w:rsid w:val="008F4FDF"/>
    <w:rsid w:val="008F5021"/>
    <w:rsid w:val="008F5075"/>
    <w:rsid w:val="008F5146"/>
    <w:rsid w:val="008F521B"/>
    <w:rsid w:val="008F52C5"/>
    <w:rsid w:val="008F567D"/>
    <w:rsid w:val="008F5749"/>
    <w:rsid w:val="008F58E3"/>
    <w:rsid w:val="008F5946"/>
    <w:rsid w:val="008F5954"/>
    <w:rsid w:val="008F5A2D"/>
    <w:rsid w:val="008F5D4C"/>
    <w:rsid w:val="008F5D4E"/>
    <w:rsid w:val="008F5DF8"/>
    <w:rsid w:val="008F6036"/>
    <w:rsid w:val="008F621C"/>
    <w:rsid w:val="008F627A"/>
    <w:rsid w:val="008F63C4"/>
    <w:rsid w:val="008F6496"/>
    <w:rsid w:val="008F6584"/>
    <w:rsid w:val="008F65E3"/>
    <w:rsid w:val="008F67F9"/>
    <w:rsid w:val="008F685B"/>
    <w:rsid w:val="008F68A6"/>
    <w:rsid w:val="008F6A6D"/>
    <w:rsid w:val="008F6AA6"/>
    <w:rsid w:val="008F6B7E"/>
    <w:rsid w:val="008F6C39"/>
    <w:rsid w:val="008F6C51"/>
    <w:rsid w:val="008F6E74"/>
    <w:rsid w:val="008F6FC3"/>
    <w:rsid w:val="008F73B2"/>
    <w:rsid w:val="008F746B"/>
    <w:rsid w:val="008F74D2"/>
    <w:rsid w:val="008F7795"/>
    <w:rsid w:val="008F7831"/>
    <w:rsid w:val="008F785A"/>
    <w:rsid w:val="008F7A0A"/>
    <w:rsid w:val="008F7A24"/>
    <w:rsid w:val="008F7B64"/>
    <w:rsid w:val="008F7C23"/>
    <w:rsid w:val="008F7C2A"/>
    <w:rsid w:val="008F7CE9"/>
    <w:rsid w:val="008F7D7F"/>
    <w:rsid w:val="008F7DDD"/>
    <w:rsid w:val="00900061"/>
    <w:rsid w:val="00900063"/>
    <w:rsid w:val="009000DA"/>
    <w:rsid w:val="009000EF"/>
    <w:rsid w:val="009001BF"/>
    <w:rsid w:val="00900373"/>
    <w:rsid w:val="0090038B"/>
    <w:rsid w:val="009003D0"/>
    <w:rsid w:val="009005B8"/>
    <w:rsid w:val="0090060B"/>
    <w:rsid w:val="00900647"/>
    <w:rsid w:val="00900770"/>
    <w:rsid w:val="009008FB"/>
    <w:rsid w:val="00900916"/>
    <w:rsid w:val="00900924"/>
    <w:rsid w:val="00900999"/>
    <w:rsid w:val="00900A4A"/>
    <w:rsid w:val="00900BC6"/>
    <w:rsid w:val="00900C84"/>
    <w:rsid w:val="00900EE1"/>
    <w:rsid w:val="00900F76"/>
    <w:rsid w:val="00900F9C"/>
    <w:rsid w:val="00901521"/>
    <w:rsid w:val="009015D8"/>
    <w:rsid w:val="00901616"/>
    <w:rsid w:val="00901AFE"/>
    <w:rsid w:val="00901B25"/>
    <w:rsid w:val="00901C3B"/>
    <w:rsid w:val="00901D48"/>
    <w:rsid w:val="00902066"/>
    <w:rsid w:val="00902194"/>
    <w:rsid w:val="00902198"/>
    <w:rsid w:val="0090237D"/>
    <w:rsid w:val="00902439"/>
    <w:rsid w:val="009024E3"/>
    <w:rsid w:val="009025CB"/>
    <w:rsid w:val="0090265E"/>
    <w:rsid w:val="00902733"/>
    <w:rsid w:val="00902779"/>
    <w:rsid w:val="009027FB"/>
    <w:rsid w:val="0090285D"/>
    <w:rsid w:val="00902BBB"/>
    <w:rsid w:val="00902CC5"/>
    <w:rsid w:val="00902D18"/>
    <w:rsid w:val="00902EC2"/>
    <w:rsid w:val="00902FAE"/>
    <w:rsid w:val="00903086"/>
    <w:rsid w:val="009032D0"/>
    <w:rsid w:val="009033A7"/>
    <w:rsid w:val="00903441"/>
    <w:rsid w:val="00903514"/>
    <w:rsid w:val="009035B7"/>
    <w:rsid w:val="009037BE"/>
    <w:rsid w:val="009037E6"/>
    <w:rsid w:val="00903861"/>
    <w:rsid w:val="009039B7"/>
    <w:rsid w:val="009039EE"/>
    <w:rsid w:val="00903CB8"/>
    <w:rsid w:val="00903CF7"/>
    <w:rsid w:val="00903E50"/>
    <w:rsid w:val="00903EF0"/>
    <w:rsid w:val="00903EF7"/>
    <w:rsid w:val="0090421D"/>
    <w:rsid w:val="0090424F"/>
    <w:rsid w:val="009042DB"/>
    <w:rsid w:val="00904352"/>
    <w:rsid w:val="009043A6"/>
    <w:rsid w:val="0090440C"/>
    <w:rsid w:val="009044C7"/>
    <w:rsid w:val="00904777"/>
    <w:rsid w:val="009047E7"/>
    <w:rsid w:val="009047F1"/>
    <w:rsid w:val="00904808"/>
    <w:rsid w:val="00904823"/>
    <w:rsid w:val="00904C5E"/>
    <w:rsid w:val="00904E74"/>
    <w:rsid w:val="009050D2"/>
    <w:rsid w:val="00905409"/>
    <w:rsid w:val="0090554D"/>
    <w:rsid w:val="009055A3"/>
    <w:rsid w:val="00905678"/>
    <w:rsid w:val="009056B9"/>
    <w:rsid w:val="009056EB"/>
    <w:rsid w:val="00905714"/>
    <w:rsid w:val="0090584D"/>
    <w:rsid w:val="0090585E"/>
    <w:rsid w:val="009058B1"/>
    <w:rsid w:val="00905960"/>
    <w:rsid w:val="00905999"/>
    <w:rsid w:val="00905A11"/>
    <w:rsid w:val="00905B55"/>
    <w:rsid w:val="00905D17"/>
    <w:rsid w:val="00905DAB"/>
    <w:rsid w:val="00905FA8"/>
    <w:rsid w:val="00905FB3"/>
    <w:rsid w:val="009061D2"/>
    <w:rsid w:val="009062B6"/>
    <w:rsid w:val="0090645C"/>
    <w:rsid w:val="00906609"/>
    <w:rsid w:val="009066AB"/>
    <w:rsid w:val="009066E4"/>
    <w:rsid w:val="00906744"/>
    <w:rsid w:val="00906897"/>
    <w:rsid w:val="00906934"/>
    <w:rsid w:val="00906992"/>
    <w:rsid w:val="00906A16"/>
    <w:rsid w:val="00906A5B"/>
    <w:rsid w:val="00906BD9"/>
    <w:rsid w:val="00906C52"/>
    <w:rsid w:val="00906E11"/>
    <w:rsid w:val="00906EA2"/>
    <w:rsid w:val="00906FF1"/>
    <w:rsid w:val="0090704A"/>
    <w:rsid w:val="00907077"/>
    <w:rsid w:val="009072DD"/>
    <w:rsid w:val="0090749E"/>
    <w:rsid w:val="0090760E"/>
    <w:rsid w:val="00907916"/>
    <w:rsid w:val="00907920"/>
    <w:rsid w:val="00907C2F"/>
    <w:rsid w:val="00907D19"/>
    <w:rsid w:val="00907F40"/>
    <w:rsid w:val="0090EE40"/>
    <w:rsid w:val="009100F7"/>
    <w:rsid w:val="0091021C"/>
    <w:rsid w:val="00910224"/>
    <w:rsid w:val="00910295"/>
    <w:rsid w:val="00910436"/>
    <w:rsid w:val="009104B5"/>
    <w:rsid w:val="009104C4"/>
    <w:rsid w:val="009105B1"/>
    <w:rsid w:val="00910603"/>
    <w:rsid w:val="00910818"/>
    <w:rsid w:val="00910825"/>
    <w:rsid w:val="0091094C"/>
    <w:rsid w:val="00910A49"/>
    <w:rsid w:val="00910B4B"/>
    <w:rsid w:val="00911085"/>
    <w:rsid w:val="009111D7"/>
    <w:rsid w:val="009112DA"/>
    <w:rsid w:val="0091141C"/>
    <w:rsid w:val="0091143E"/>
    <w:rsid w:val="00911445"/>
    <w:rsid w:val="009114B7"/>
    <w:rsid w:val="0091164B"/>
    <w:rsid w:val="0091168D"/>
    <w:rsid w:val="009118B4"/>
    <w:rsid w:val="00911A2C"/>
    <w:rsid w:val="00911BFB"/>
    <w:rsid w:val="00911C03"/>
    <w:rsid w:val="00911D7B"/>
    <w:rsid w:val="00911D7D"/>
    <w:rsid w:val="00911E8E"/>
    <w:rsid w:val="009122B0"/>
    <w:rsid w:val="009122F9"/>
    <w:rsid w:val="009123BC"/>
    <w:rsid w:val="00912418"/>
    <w:rsid w:val="00912633"/>
    <w:rsid w:val="009127BE"/>
    <w:rsid w:val="00912863"/>
    <w:rsid w:val="00912A49"/>
    <w:rsid w:val="00912AE4"/>
    <w:rsid w:val="00912BD7"/>
    <w:rsid w:val="00912DC7"/>
    <w:rsid w:val="00912DDB"/>
    <w:rsid w:val="00912E3B"/>
    <w:rsid w:val="00912F0D"/>
    <w:rsid w:val="009130B8"/>
    <w:rsid w:val="0091312A"/>
    <w:rsid w:val="0091313F"/>
    <w:rsid w:val="0091334B"/>
    <w:rsid w:val="0091335F"/>
    <w:rsid w:val="00913410"/>
    <w:rsid w:val="0091342C"/>
    <w:rsid w:val="00913470"/>
    <w:rsid w:val="009134E6"/>
    <w:rsid w:val="00913523"/>
    <w:rsid w:val="009137DF"/>
    <w:rsid w:val="009139B1"/>
    <w:rsid w:val="009139C2"/>
    <w:rsid w:val="009139EC"/>
    <w:rsid w:val="009139FD"/>
    <w:rsid w:val="00913DAD"/>
    <w:rsid w:val="009141DC"/>
    <w:rsid w:val="009142C2"/>
    <w:rsid w:val="0091439F"/>
    <w:rsid w:val="00914468"/>
    <w:rsid w:val="00914607"/>
    <w:rsid w:val="009146D6"/>
    <w:rsid w:val="0091473E"/>
    <w:rsid w:val="009147E9"/>
    <w:rsid w:val="009147F1"/>
    <w:rsid w:val="00914896"/>
    <w:rsid w:val="009148B9"/>
    <w:rsid w:val="0091491C"/>
    <w:rsid w:val="00914ABC"/>
    <w:rsid w:val="00914AEF"/>
    <w:rsid w:val="00914B30"/>
    <w:rsid w:val="00914B83"/>
    <w:rsid w:val="00914B8C"/>
    <w:rsid w:val="00914BD7"/>
    <w:rsid w:val="00914CCA"/>
    <w:rsid w:val="00914D21"/>
    <w:rsid w:val="00914F28"/>
    <w:rsid w:val="00914F75"/>
    <w:rsid w:val="00915230"/>
    <w:rsid w:val="009153DD"/>
    <w:rsid w:val="00915569"/>
    <w:rsid w:val="0091567C"/>
    <w:rsid w:val="009157CD"/>
    <w:rsid w:val="009157E2"/>
    <w:rsid w:val="0091585E"/>
    <w:rsid w:val="00915A8A"/>
    <w:rsid w:val="00915B68"/>
    <w:rsid w:val="00915E53"/>
    <w:rsid w:val="00915F77"/>
    <w:rsid w:val="00916006"/>
    <w:rsid w:val="00916289"/>
    <w:rsid w:val="009164F0"/>
    <w:rsid w:val="00916531"/>
    <w:rsid w:val="009165C1"/>
    <w:rsid w:val="00916660"/>
    <w:rsid w:val="0091670E"/>
    <w:rsid w:val="00916715"/>
    <w:rsid w:val="0091674D"/>
    <w:rsid w:val="00916802"/>
    <w:rsid w:val="00916AB0"/>
    <w:rsid w:val="00916B95"/>
    <w:rsid w:val="00916D52"/>
    <w:rsid w:val="00916DA3"/>
    <w:rsid w:val="00916E35"/>
    <w:rsid w:val="009170D6"/>
    <w:rsid w:val="009170F5"/>
    <w:rsid w:val="00917236"/>
    <w:rsid w:val="00917345"/>
    <w:rsid w:val="00917363"/>
    <w:rsid w:val="00917582"/>
    <w:rsid w:val="009176C0"/>
    <w:rsid w:val="009177CA"/>
    <w:rsid w:val="009177FB"/>
    <w:rsid w:val="00917842"/>
    <w:rsid w:val="00917846"/>
    <w:rsid w:val="009178D5"/>
    <w:rsid w:val="00917A70"/>
    <w:rsid w:val="00917A85"/>
    <w:rsid w:val="00917AAA"/>
    <w:rsid w:val="00917ADB"/>
    <w:rsid w:val="00917B10"/>
    <w:rsid w:val="00917B90"/>
    <w:rsid w:val="00917D73"/>
    <w:rsid w:val="00917FC0"/>
    <w:rsid w:val="0091E532"/>
    <w:rsid w:val="0092009C"/>
    <w:rsid w:val="00920101"/>
    <w:rsid w:val="0092012E"/>
    <w:rsid w:val="009202CD"/>
    <w:rsid w:val="00920418"/>
    <w:rsid w:val="0092044C"/>
    <w:rsid w:val="009204EC"/>
    <w:rsid w:val="00920635"/>
    <w:rsid w:val="009207FE"/>
    <w:rsid w:val="0092095E"/>
    <w:rsid w:val="009209D7"/>
    <w:rsid w:val="00920B98"/>
    <w:rsid w:val="00920CD3"/>
    <w:rsid w:val="00920CF1"/>
    <w:rsid w:val="00920D53"/>
    <w:rsid w:val="00921156"/>
    <w:rsid w:val="00921164"/>
    <w:rsid w:val="0092119B"/>
    <w:rsid w:val="00921274"/>
    <w:rsid w:val="00921310"/>
    <w:rsid w:val="0092145E"/>
    <w:rsid w:val="00921473"/>
    <w:rsid w:val="00921496"/>
    <w:rsid w:val="009216B4"/>
    <w:rsid w:val="009216D2"/>
    <w:rsid w:val="00921A7B"/>
    <w:rsid w:val="00921BC6"/>
    <w:rsid w:val="00921C72"/>
    <w:rsid w:val="00921CE1"/>
    <w:rsid w:val="00921D6F"/>
    <w:rsid w:val="00921FDA"/>
    <w:rsid w:val="009220BD"/>
    <w:rsid w:val="0092219A"/>
    <w:rsid w:val="009221FE"/>
    <w:rsid w:val="00922201"/>
    <w:rsid w:val="00922369"/>
    <w:rsid w:val="0092279A"/>
    <w:rsid w:val="0092282D"/>
    <w:rsid w:val="009229BA"/>
    <w:rsid w:val="009229F4"/>
    <w:rsid w:val="009229F9"/>
    <w:rsid w:val="00922AFC"/>
    <w:rsid w:val="00922B95"/>
    <w:rsid w:val="00922B9F"/>
    <w:rsid w:val="00922C56"/>
    <w:rsid w:val="00922CC8"/>
    <w:rsid w:val="00922EF8"/>
    <w:rsid w:val="00922F30"/>
    <w:rsid w:val="00922FA6"/>
    <w:rsid w:val="00923095"/>
    <w:rsid w:val="00923129"/>
    <w:rsid w:val="0092312A"/>
    <w:rsid w:val="009231EB"/>
    <w:rsid w:val="009235D8"/>
    <w:rsid w:val="009235FD"/>
    <w:rsid w:val="00923638"/>
    <w:rsid w:val="009237EC"/>
    <w:rsid w:val="00923823"/>
    <w:rsid w:val="00923A18"/>
    <w:rsid w:val="00923B4A"/>
    <w:rsid w:val="00923B8B"/>
    <w:rsid w:val="00923BC0"/>
    <w:rsid w:val="00923C03"/>
    <w:rsid w:val="00923E90"/>
    <w:rsid w:val="00923EA4"/>
    <w:rsid w:val="00923F92"/>
    <w:rsid w:val="00924001"/>
    <w:rsid w:val="0092405C"/>
    <w:rsid w:val="00924171"/>
    <w:rsid w:val="009241EF"/>
    <w:rsid w:val="00924307"/>
    <w:rsid w:val="00924505"/>
    <w:rsid w:val="00924774"/>
    <w:rsid w:val="009247FA"/>
    <w:rsid w:val="00924C4A"/>
    <w:rsid w:val="00924C8A"/>
    <w:rsid w:val="00924DDB"/>
    <w:rsid w:val="00924FD8"/>
    <w:rsid w:val="00925000"/>
    <w:rsid w:val="00925087"/>
    <w:rsid w:val="00925119"/>
    <w:rsid w:val="00925154"/>
    <w:rsid w:val="009252B4"/>
    <w:rsid w:val="009254B9"/>
    <w:rsid w:val="00925522"/>
    <w:rsid w:val="0092553C"/>
    <w:rsid w:val="009255BD"/>
    <w:rsid w:val="009256A4"/>
    <w:rsid w:val="009256AF"/>
    <w:rsid w:val="00925750"/>
    <w:rsid w:val="0092575E"/>
    <w:rsid w:val="00925804"/>
    <w:rsid w:val="00925858"/>
    <w:rsid w:val="009258E4"/>
    <w:rsid w:val="0092590C"/>
    <w:rsid w:val="009259C8"/>
    <w:rsid w:val="00925AC3"/>
    <w:rsid w:val="00925B42"/>
    <w:rsid w:val="00925B59"/>
    <w:rsid w:val="00925C32"/>
    <w:rsid w:val="00925C67"/>
    <w:rsid w:val="00925DFE"/>
    <w:rsid w:val="00925E53"/>
    <w:rsid w:val="00925F21"/>
    <w:rsid w:val="00925FDB"/>
    <w:rsid w:val="009262BF"/>
    <w:rsid w:val="009262E5"/>
    <w:rsid w:val="0092633D"/>
    <w:rsid w:val="009264DC"/>
    <w:rsid w:val="0092668A"/>
    <w:rsid w:val="00926853"/>
    <w:rsid w:val="0092691F"/>
    <w:rsid w:val="00926B2E"/>
    <w:rsid w:val="00926B5C"/>
    <w:rsid w:val="00926B60"/>
    <w:rsid w:val="00926B97"/>
    <w:rsid w:val="00926BBE"/>
    <w:rsid w:val="00926CB5"/>
    <w:rsid w:val="00926CC8"/>
    <w:rsid w:val="00926DC2"/>
    <w:rsid w:val="00926F9F"/>
    <w:rsid w:val="00927121"/>
    <w:rsid w:val="009272C0"/>
    <w:rsid w:val="00927352"/>
    <w:rsid w:val="009273CC"/>
    <w:rsid w:val="0092758E"/>
    <w:rsid w:val="009277BD"/>
    <w:rsid w:val="00927B80"/>
    <w:rsid w:val="00927BAE"/>
    <w:rsid w:val="00927BC9"/>
    <w:rsid w:val="00927D08"/>
    <w:rsid w:val="00927E7D"/>
    <w:rsid w:val="00927E97"/>
    <w:rsid w:val="00930193"/>
    <w:rsid w:val="00930362"/>
    <w:rsid w:val="00930395"/>
    <w:rsid w:val="00930469"/>
    <w:rsid w:val="00930516"/>
    <w:rsid w:val="009305FA"/>
    <w:rsid w:val="009305FF"/>
    <w:rsid w:val="0093064E"/>
    <w:rsid w:val="009308B9"/>
    <w:rsid w:val="009308C2"/>
    <w:rsid w:val="0093091F"/>
    <w:rsid w:val="00930A96"/>
    <w:rsid w:val="00930BEC"/>
    <w:rsid w:val="00930D40"/>
    <w:rsid w:val="00930D60"/>
    <w:rsid w:val="00930D64"/>
    <w:rsid w:val="00930FA1"/>
    <w:rsid w:val="00931288"/>
    <w:rsid w:val="009312F3"/>
    <w:rsid w:val="0093138C"/>
    <w:rsid w:val="00931457"/>
    <w:rsid w:val="00931537"/>
    <w:rsid w:val="0093161B"/>
    <w:rsid w:val="00931628"/>
    <w:rsid w:val="0093162C"/>
    <w:rsid w:val="009318EA"/>
    <w:rsid w:val="00931983"/>
    <w:rsid w:val="009319B1"/>
    <w:rsid w:val="00931A3C"/>
    <w:rsid w:val="00931A77"/>
    <w:rsid w:val="00931B5C"/>
    <w:rsid w:val="00931C8F"/>
    <w:rsid w:val="00931E80"/>
    <w:rsid w:val="0093204F"/>
    <w:rsid w:val="00932177"/>
    <w:rsid w:val="00932271"/>
    <w:rsid w:val="0093227C"/>
    <w:rsid w:val="00932309"/>
    <w:rsid w:val="00932561"/>
    <w:rsid w:val="0093262C"/>
    <w:rsid w:val="009326EA"/>
    <w:rsid w:val="00932701"/>
    <w:rsid w:val="00932960"/>
    <w:rsid w:val="00932B35"/>
    <w:rsid w:val="00932B5E"/>
    <w:rsid w:val="00932B68"/>
    <w:rsid w:val="00932F26"/>
    <w:rsid w:val="00932F92"/>
    <w:rsid w:val="00932FBA"/>
    <w:rsid w:val="00933077"/>
    <w:rsid w:val="009331FD"/>
    <w:rsid w:val="009332D5"/>
    <w:rsid w:val="009335F0"/>
    <w:rsid w:val="009336F0"/>
    <w:rsid w:val="00933780"/>
    <w:rsid w:val="009337C7"/>
    <w:rsid w:val="009339C2"/>
    <w:rsid w:val="00933A5A"/>
    <w:rsid w:val="00933AAA"/>
    <w:rsid w:val="00933B54"/>
    <w:rsid w:val="00933C7A"/>
    <w:rsid w:val="00933CE9"/>
    <w:rsid w:val="00933D41"/>
    <w:rsid w:val="00933DAF"/>
    <w:rsid w:val="00934226"/>
    <w:rsid w:val="0093445B"/>
    <w:rsid w:val="00934516"/>
    <w:rsid w:val="00934625"/>
    <w:rsid w:val="0093466D"/>
    <w:rsid w:val="009346AA"/>
    <w:rsid w:val="009346BF"/>
    <w:rsid w:val="009346C0"/>
    <w:rsid w:val="0093495F"/>
    <w:rsid w:val="00934966"/>
    <w:rsid w:val="00934AEB"/>
    <w:rsid w:val="00934C08"/>
    <w:rsid w:val="00934DED"/>
    <w:rsid w:val="00934E94"/>
    <w:rsid w:val="009351EE"/>
    <w:rsid w:val="00935384"/>
    <w:rsid w:val="0093556E"/>
    <w:rsid w:val="009355C3"/>
    <w:rsid w:val="00935613"/>
    <w:rsid w:val="00935755"/>
    <w:rsid w:val="009357C3"/>
    <w:rsid w:val="0093588D"/>
    <w:rsid w:val="00935897"/>
    <w:rsid w:val="0093592C"/>
    <w:rsid w:val="009359C2"/>
    <w:rsid w:val="00935A78"/>
    <w:rsid w:val="00935BF0"/>
    <w:rsid w:val="00935CFD"/>
    <w:rsid w:val="00935EBC"/>
    <w:rsid w:val="00935F04"/>
    <w:rsid w:val="00935FB7"/>
    <w:rsid w:val="0093600D"/>
    <w:rsid w:val="009360DF"/>
    <w:rsid w:val="0093611F"/>
    <w:rsid w:val="00936146"/>
    <w:rsid w:val="009362AD"/>
    <w:rsid w:val="009362E4"/>
    <w:rsid w:val="0093636B"/>
    <w:rsid w:val="009363E0"/>
    <w:rsid w:val="00936423"/>
    <w:rsid w:val="009365E4"/>
    <w:rsid w:val="00936605"/>
    <w:rsid w:val="00936857"/>
    <w:rsid w:val="0093686E"/>
    <w:rsid w:val="00936896"/>
    <w:rsid w:val="00936974"/>
    <w:rsid w:val="009369A8"/>
    <w:rsid w:val="00936EC0"/>
    <w:rsid w:val="00936F12"/>
    <w:rsid w:val="00936FC0"/>
    <w:rsid w:val="00937073"/>
    <w:rsid w:val="009371CB"/>
    <w:rsid w:val="00937271"/>
    <w:rsid w:val="009372FA"/>
    <w:rsid w:val="009374DC"/>
    <w:rsid w:val="009376C5"/>
    <w:rsid w:val="00937727"/>
    <w:rsid w:val="0093782E"/>
    <w:rsid w:val="00937891"/>
    <w:rsid w:val="00937A38"/>
    <w:rsid w:val="00937A3B"/>
    <w:rsid w:val="00937C8E"/>
    <w:rsid w:val="00937CA8"/>
    <w:rsid w:val="00937D96"/>
    <w:rsid w:val="00937F8F"/>
    <w:rsid w:val="00937FD8"/>
    <w:rsid w:val="0093CAC8"/>
    <w:rsid w:val="0093EA65"/>
    <w:rsid w:val="0094002B"/>
    <w:rsid w:val="009400A0"/>
    <w:rsid w:val="0094011E"/>
    <w:rsid w:val="00940257"/>
    <w:rsid w:val="009402AD"/>
    <w:rsid w:val="0094030D"/>
    <w:rsid w:val="009403A5"/>
    <w:rsid w:val="0094044C"/>
    <w:rsid w:val="00940619"/>
    <w:rsid w:val="00940691"/>
    <w:rsid w:val="009409F1"/>
    <w:rsid w:val="00940B3C"/>
    <w:rsid w:val="00940CAE"/>
    <w:rsid w:val="00940CFA"/>
    <w:rsid w:val="00940D0D"/>
    <w:rsid w:val="00940DD8"/>
    <w:rsid w:val="00940DE4"/>
    <w:rsid w:val="0094101D"/>
    <w:rsid w:val="00941130"/>
    <w:rsid w:val="00941194"/>
    <w:rsid w:val="00941232"/>
    <w:rsid w:val="00941295"/>
    <w:rsid w:val="009412B0"/>
    <w:rsid w:val="0094133C"/>
    <w:rsid w:val="00941395"/>
    <w:rsid w:val="009413C7"/>
    <w:rsid w:val="009416E1"/>
    <w:rsid w:val="009418DC"/>
    <w:rsid w:val="00941A5D"/>
    <w:rsid w:val="00941D04"/>
    <w:rsid w:val="00941DCD"/>
    <w:rsid w:val="00941E95"/>
    <w:rsid w:val="00941EA0"/>
    <w:rsid w:val="00941F73"/>
    <w:rsid w:val="009421B2"/>
    <w:rsid w:val="00942233"/>
    <w:rsid w:val="009422C4"/>
    <w:rsid w:val="0094234A"/>
    <w:rsid w:val="009425FB"/>
    <w:rsid w:val="009427D7"/>
    <w:rsid w:val="00942817"/>
    <w:rsid w:val="0094291D"/>
    <w:rsid w:val="0094299F"/>
    <w:rsid w:val="00942ACE"/>
    <w:rsid w:val="00942CB2"/>
    <w:rsid w:val="00942DB3"/>
    <w:rsid w:val="00942FBD"/>
    <w:rsid w:val="009430CF"/>
    <w:rsid w:val="0094311E"/>
    <w:rsid w:val="0094334E"/>
    <w:rsid w:val="00943376"/>
    <w:rsid w:val="00943377"/>
    <w:rsid w:val="00943380"/>
    <w:rsid w:val="00943476"/>
    <w:rsid w:val="0094350C"/>
    <w:rsid w:val="00943660"/>
    <w:rsid w:val="009436DB"/>
    <w:rsid w:val="00943737"/>
    <w:rsid w:val="00943875"/>
    <w:rsid w:val="0094395E"/>
    <w:rsid w:val="00943B19"/>
    <w:rsid w:val="00943BD5"/>
    <w:rsid w:val="00943BE9"/>
    <w:rsid w:val="00943BF1"/>
    <w:rsid w:val="00943CBF"/>
    <w:rsid w:val="00943D5E"/>
    <w:rsid w:val="00943E60"/>
    <w:rsid w:val="00943EB3"/>
    <w:rsid w:val="00944044"/>
    <w:rsid w:val="009440DF"/>
    <w:rsid w:val="0094411C"/>
    <w:rsid w:val="0094412D"/>
    <w:rsid w:val="00944149"/>
    <w:rsid w:val="0094415C"/>
    <w:rsid w:val="0094420A"/>
    <w:rsid w:val="00944568"/>
    <w:rsid w:val="0094487A"/>
    <w:rsid w:val="00944A7F"/>
    <w:rsid w:val="00944CB7"/>
    <w:rsid w:val="00944E5F"/>
    <w:rsid w:val="0094502D"/>
    <w:rsid w:val="0094514F"/>
    <w:rsid w:val="0094518B"/>
    <w:rsid w:val="009452DC"/>
    <w:rsid w:val="009453BF"/>
    <w:rsid w:val="009453E3"/>
    <w:rsid w:val="00945605"/>
    <w:rsid w:val="00945666"/>
    <w:rsid w:val="0094592B"/>
    <w:rsid w:val="00945971"/>
    <w:rsid w:val="00945A08"/>
    <w:rsid w:val="00945A48"/>
    <w:rsid w:val="00945D9E"/>
    <w:rsid w:val="00945F17"/>
    <w:rsid w:val="0094608A"/>
    <w:rsid w:val="009460CA"/>
    <w:rsid w:val="00946126"/>
    <w:rsid w:val="0094619F"/>
    <w:rsid w:val="0094642E"/>
    <w:rsid w:val="0094643B"/>
    <w:rsid w:val="0094645A"/>
    <w:rsid w:val="00946478"/>
    <w:rsid w:val="00946572"/>
    <w:rsid w:val="009466CE"/>
    <w:rsid w:val="00946879"/>
    <w:rsid w:val="0094687E"/>
    <w:rsid w:val="009469CC"/>
    <w:rsid w:val="00946AED"/>
    <w:rsid w:val="00946DFB"/>
    <w:rsid w:val="00946F53"/>
    <w:rsid w:val="00946FB1"/>
    <w:rsid w:val="00947001"/>
    <w:rsid w:val="0094702A"/>
    <w:rsid w:val="0094721A"/>
    <w:rsid w:val="00947232"/>
    <w:rsid w:val="00947256"/>
    <w:rsid w:val="00947336"/>
    <w:rsid w:val="009473CD"/>
    <w:rsid w:val="00947519"/>
    <w:rsid w:val="009475C7"/>
    <w:rsid w:val="009476B3"/>
    <w:rsid w:val="00947774"/>
    <w:rsid w:val="009477BA"/>
    <w:rsid w:val="00947A16"/>
    <w:rsid w:val="00947BF9"/>
    <w:rsid w:val="00947C2A"/>
    <w:rsid w:val="00947CD5"/>
    <w:rsid w:val="00947E3E"/>
    <w:rsid w:val="009500B1"/>
    <w:rsid w:val="009502BE"/>
    <w:rsid w:val="009502D1"/>
    <w:rsid w:val="009502DB"/>
    <w:rsid w:val="009504D5"/>
    <w:rsid w:val="009504FB"/>
    <w:rsid w:val="009505CA"/>
    <w:rsid w:val="009506D3"/>
    <w:rsid w:val="00950978"/>
    <w:rsid w:val="009509C5"/>
    <w:rsid w:val="00950C69"/>
    <w:rsid w:val="00950D66"/>
    <w:rsid w:val="00950F4B"/>
    <w:rsid w:val="00950F7F"/>
    <w:rsid w:val="009510F9"/>
    <w:rsid w:val="0095110A"/>
    <w:rsid w:val="00951135"/>
    <w:rsid w:val="009511DD"/>
    <w:rsid w:val="00951245"/>
    <w:rsid w:val="00951256"/>
    <w:rsid w:val="00951356"/>
    <w:rsid w:val="009513F8"/>
    <w:rsid w:val="0095170E"/>
    <w:rsid w:val="0095172D"/>
    <w:rsid w:val="009517D3"/>
    <w:rsid w:val="009517E3"/>
    <w:rsid w:val="0095181E"/>
    <w:rsid w:val="009518A5"/>
    <w:rsid w:val="00951A76"/>
    <w:rsid w:val="00951A91"/>
    <w:rsid w:val="00951B58"/>
    <w:rsid w:val="00951C71"/>
    <w:rsid w:val="00951CFF"/>
    <w:rsid w:val="00951D93"/>
    <w:rsid w:val="00951EF0"/>
    <w:rsid w:val="00951F20"/>
    <w:rsid w:val="00951F7E"/>
    <w:rsid w:val="00951FB8"/>
    <w:rsid w:val="0095211C"/>
    <w:rsid w:val="009521C2"/>
    <w:rsid w:val="00952274"/>
    <w:rsid w:val="009522BC"/>
    <w:rsid w:val="009522D5"/>
    <w:rsid w:val="00952432"/>
    <w:rsid w:val="009524E1"/>
    <w:rsid w:val="0095254D"/>
    <w:rsid w:val="00952591"/>
    <w:rsid w:val="0095275B"/>
    <w:rsid w:val="009527F5"/>
    <w:rsid w:val="009528A6"/>
    <w:rsid w:val="009528C4"/>
    <w:rsid w:val="00952A27"/>
    <w:rsid w:val="00952BFE"/>
    <w:rsid w:val="00952C37"/>
    <w:rsid w:val="00952DD8"/>
    <w:rsid w:val="00952E8F"/>
    <w:rsid w:val="00952FD2"/>
    <w:rsid w:val="0095301E"/>
    <w:rsid w:val="009531B0"/>
    <w:rsid w:val="0095336A"/>
    <w:rsid w:val="00953441"/>
    <w:rsid w:val="00953632"/>
    <w:rsid w:val="00953694"/>
    <w:rsid w:val="00953743"/>
    <w:rsid w:val="00953777"/>
    <w:rsid w:val="00953813"/>
    <w:rsid w:val="009538F1"/>
    <w:rsid w:val="00953911"/>
    <w:rsid w:val="00953957"/>
    <w:rsid w:val="00953A37"/>
    <w:rsid w:val="00953D4D"/>
    <w:rsid w:val="00953DEF"/>
    <w:rsid w:val="00954015"/>
    <w:rsid w:val="00954107"/>
    <w:rsid w:val="00954168"/>
    <w:rsid w:val="00954360"/>
    <w:rsid w:val="009543E2"/>
    <w:rsid w:val="00954494"/>
    <w:rsid w:val="009544E7"/>
    <w:rsid w:val="009546F8"/>
    <w:rsid w:val="0095485B"/>
    <w:rsid w:val="00954926"/>
    <w:rsid w:val="00954929"/>
    <w:rsid w:val="00954A09"/>
    <w:rsid w:val="00954A29"/>
    <w:rsid w:val="00954ADD"/>
    <w:rsid w:val="00954C73"/>
    <w:rsid w:val="00954E8A"/>
    <w:rsid w:val="00955183"/>
    <w:rsid w:val="009551E8"/>
    <w:rsid w:val="0095546A"/>
    <w:rsid w:val="00955476"/>
    <w:rsid w:val="009555A0"/>
    <w:rsid w:val="00955608"/>
    <w:rsid w:val="0095565C"/>
    <w:rsid w:val="00955918"/>
    <w:rsid w:val="00955ABA"/>
    <w:rsid w:val="00955AD2"/>
    <w:rsid w:val="00955B03"/>
    <w:rsid w:val="00955B28"/>
    <w:rsid w:val="00955BA9"/>
    <w:rsid w:val="00955C71"/>
    <w:rsid w:val="00955E9A"/>
    <w:rsid w:val="00955F6E"/>
    <w:rsid w:val="00956231"/>
    <w:rsid w:val="0095628D"/>
    <w:rsid w:val="00956378"/>
    <w:rsid w:val="00956393"/>
    <w:rsid w:val="009563A8"/>
    <w:rsid w:val="009564AA"/>
    <w:rsid w:val="009565B1"/>
    <w:rsid w:val="00956773"/>
    <w:rsid w:val="00956911"/>
    <w:rsid w:val="0095693A"/>
    <w:rsid w:val="00956A69"/>
    <w:rsid w:val="00956B78"/>
    <w:rsid w:val="00956C1F"/>
    <w:rsid w:val="00956F37"/>
    <w:rsid w:val="00956F96"/>
    <w:rsid w:val="009570DB"/>
    <w:rsid w:val="009570EB"/>
    <w:rsid w:val="009571A6"/>
    <w:rsid w:val="009571CE"/>
    <w:rsid w:val="0095726F"/>
    <w:rsid w:val="0095756A"/>
    <w:rsid w:val="00957707"/>
    <w:rsid w:val="00957872"/>
    <w:rsid w:val="00957C04"/>
    <w:rsid w:val="00957D25"/>
    <w:rsid w:val="00957D5A"/>
    <w:rsid w:val="00957D5B"/>
    <w:rsid w:val="00957D60"/>
    <w:rsid w:val="00957E3A"/>
    <w:rsid w:val="00957E6E"/>
    <w:rsid w:val="00957FF6"/>
    <w:rsid w:val="0095EAB4"/>
    <w:rsid w:val="00960127"/>
    <w:rsid w:val="009601AD"/>
    <w:rsid w:val="0096029E"/>
    <w:rsid w:val="009602FC"/>
    <w:rsid w:val="00960437"/>
    <w:rsid w:val="009604A5"/>
    <w:rsid w:val="009606A4"/>
    <w:rsid w:val="009607F7"/>
    <w:rsid w:val="00960884"/>
    <w:rsid w:val="00960980"/>
    <w:rsid w:val="009609A6"/>
    <w:rsid w:val="00960AC0"/>
    <w:rsid w:val="00960FCF"/>
    <w:rsid w:val="00961017"/>
    <w:rsid w:val="009610F0"/>
    <w:rsid w:val="009611C1"/>
    <w:rsid w:val="00961274"/>
    <w:rsid w:val="0096143E"/>
    <w:rsid w:val="00961881"/>
    <w:rsid w:val="009618FD"/>
    <w:rsid w:val="00961903"/>
    <w:rsid w:val="00961C7C"/>
    <w:rsid w:val="00961E17"/>
    <w:rsid w:val="00961E2B"/>
    <w:rsid w:val="00961FAA"/>
    <w:rsid w:val="00961FAC"/>
    <w:rsid w:val="009621EE"/>
    <w:rsid w:val="009622B8"/>
    <w:rsid w:val="00962322"/>
    <w:rsid w:val="00962454"/>
    <w:rsid w:val="009624B6"/>
    <w:rsid w:val="00962550"/>
    <w:rsid w:val="009625CA"/>
    <w:rsid w:val="009625CD"/>
    <w:rsid w:val="009625EC"/>
    <w:rsid w:val="009626D8"/>
    <w:rsid w:val="0096275F"/>
    <w:rsid w:val="009628EA"/>
    <w:rsid w:val="0096295C"/>
    <w:rsid w:val="0096299C"/>
    <w:rsid w:val="00962D3F"/>
    <w:rsid w:val="00962E0B"/>
    <w:rsid w:val="00962EC8"/>
    <w:rsid w:val="00962F1B"/>
    <w:rsid w:val="00962F25"/>
    <w:rsid w:val="00962F48"/>
    <w:rsid w:val="00962F52"/>
    <w:rsid w:val="00962F65"/>
    <w:rsid w:val="00962F94"/>
    <w:rsid w:val="009630A2"/>
    <w:rsid w:val="00963224"/>
    <w:rsid w:val="00963258"/>
    <w:rsid w:val="009632CE"/>
    <w:rsid w:val="00963304"/>
    <w:rsid w:val="00963368"/>
    <w:rsid w:val="009635CC"/>
    <w:rsid w:val="00963686"/>
    <w:rsid w:val="00963A7D"/>
    <w:rsid w:val="00963AB9"/>
    <w:rsid w:val="00963B5C"/>
    <w:rsid w:val="00963BDF"/>
    <w:rsid w:val="00963CC8"/>
    <w:rsid w:val="00963DC6"/>
    <w:rsid w:val="00963EAA"/>
    <w:rsid w:val="00963EC0"/>
    <w:rsid w:val="0096400A"/>
    <w:rsid w:val="009640F2"/>
    <w:rsid w:val="00964153"/>
    <w:rsid w:val="00964242"/>
    <w:rsid w:val="00964255"/>
    <w:rsid w:val="009642C9"/>
    <w:rsid w:val="00964378"/>
    <w:rsid w:val="0096455F"/>
    <w:rsid w:val="009645BE"/>
    <w:rsid w:val="009648A5"/>
    <w:rsid w:val="00964910"/>
    <w:rsid w:val="00964949"/>
    <w:rsid w:val="00964B5E"/>
    <w:rsid w:val="00964D36"/>
    <w:rsid w:val="00964D3C"/>
    <w:rsid w:val="00964E70"/>
    <w:rsid w:val="00964EC3"/>
    <w:rsid w:val="00964F24"/>
    <w:rsid w:val="00964FBC"/>
    <w:rsid w:val="0096502A"/>
    <w:rsid w:val="00965128"/>
    <w:rsid w:val="0096519E"/>
    <w:rsid w:val="009651F3"/>
    <w:rsid w:val="0096552C"/>
    <w:rsid w:val="009655CE"/>
    <w:rsid w:val="009655FF"/>
    <w:rsid w:val="00965609"/>
    <w:rsid w:val="0096584D"/>
    <w:rsid w:val="00965A91"/>
    <w:rsid w:val="00965BEB"/>
    <w:rsid w:val="00965CC8"/>
    <w:rsid w:val="00965D52"/>
    <w:rsid w:val="00965D8A"/>
    <w:rsid w:val="00965EC3"/>
    <w:rsid w:val="00965EC5"/>
    <w:rsid w:val="00965F40"/>
    <w:rsid w:val="00965F98"/>
    <w:rsid w:val="00965FA1"/>
    <w:rsid w:val="00965FAE"/>
    <w:rsid w:val="00966018"/>
    <w:rsid w:val="0096606C"/>
    <w:rsid w:val="00966118"/>
    <w:rsid w:val="0096618A"/>
    <w:rsid w:val="00966260"/>
    <w:rsid w:val="009662C8"/>
    <w:rsid w:val="00966315"/>
    <w:rsid w:val="00966321"/>
    <w:rsid w:val="00966348"/>
    <w:rsid w:val="009663E8"/>
    <w:rsid w:val="00966469"/>
    <w:rsid w:val="0096650F"/>
    <w:rsid w:val="0096653C"/>
    <w:rsid w:val="009665EC"/>
    <w:rsid w:val="009667AB"/>
    <w:rsid w:val="0096695E"/>
    <w:rsid w:val="009669B7"/>
    <w:rsid w:val="00966A83"/>
    <w:rsid w:val="00966B9F"/>
    <w:rsid w:val="00966E03"/>
    <w:rsid w:val="00967113"/>
    <w:rsid w:val="00967128"/>
    <w:rsid w:val="00967299"/>
    <w:rsid w:val="00967418"/>
    <w:rsid w:val="00967431"/>
    <w:rsid w:val="009674AB"/>
    <w:rsid w:val="009674B6"/>
    <w:rsid w:val="0096755F"/>
    <w:rsid w:val="00967700"/>
    <w:rsid w:val="00967B47"/>
    <w:rsid w:val="00967C1A"/>
    <w:rsid w:val="00967DF1"/>
    <w:rsid w:val="00967E41"/>
    <w:rsid w:val="00967ECF"/>
    <w:rsid w:val="0097008D"/>
    <w:rsid w:val="00970264"/>
    <w:rsid w:val="00970366"/>
    <w:rsid w:val="009705AF"/>
    <w:rsid w:val="009706A0"/>
    <w:rsid w:val="0097076C"/>
    <w:rsid w:val="00970A28"/>
    <w:rsid w:val="00970AF6"/>
    <w:rsid w:val="00970C2A"/>
    <w:rsid w:val="00970C62"/>
    <w:rsid w:val="00970D44"/>
    <w:rsid w:val="00970E2F"/>
    <w:rsid w:val="00970E41"/>
    <w:rsid w:val="00970E7D"/>
    <w:rsid w:val="00970E8F"/>
    <w:rsid w:val="00970F3F"/>
    <w:rsid w:val="00970FDF"/>
    <w:rsid w:val="00971014"/>
    <w:rsid w:val="0097115A"/>
    <w:rsid w:val="009711AB"/>
    <w:rsid w:val="009713A3"/>
    <w:rsid w:val="009713C1"/>
    <w:rsid w:val="00971436"/>
    <w:rsid w:val="00971444"/>
    <w:rsid w:val="009715B4"/>
    <w:rsid w:val="0097164A"/>
    <w:rsid w:val="00971772"/>
    <w:rsid w:val="009717BE"/>
    <w:rsid w:val="009717D0"/>
    <w:rsid w:val="0097188D"/>
    <w:rsid w:val="00971B05"/>
    <w:rsid w:val="00971C7A"/>
    <w:rsid w:val="00971C81"/>
    <w:rsid w:val="00971D30"/>
    <w:rsid w:val="00971EFA"/>
    <w:rsid w:val="00971FC2"/>
    <w:rsid w:val="00972061"/>
    <w:rsid w:val="00972114"/>
    <w:rsid w:val="00972320"/>
    <w:rsid w:val="00972414"/>
    <w:rsid w:val="00972459"/>
    <w:rsid w:val="00972481"/>
    <w:rsid w:val="00972E1F"/>
    <w:rsid w:val="00972F04"/>
    <w:rsid w:val="00973045"/>
    <w:rsid w:val="00973099"/>
    <w:rsid w:val="009733CA"/>
    <w:rsid w:val="00973402"/>
    <w:rsid w:val="00973533"/>
    <w:rsid w:val="00973620"/>
    <w:rsid w:val="009737DD"/>
    <w:rsid w:val="00973831"/>
    <w:rsid w:val="00973914"/>
    <w:rsid w:val="0097399A"/>
    <w:rsid w:val="00973A4F"/>
    <w:rsid w:val="00973AB7"/>
    <w:rsid w:val="00973B79"/>
    <w:rsid w:val="00973C44"/>
    <w:rsid w:val="00973CA7"/>
    <w:rsid w:val="00973FD9"/>
    <w:rsid w:val="0097405E"/>
    <w:rsid w:val="009741C7"/>
    <w:rsid w:val="00974233"/>
    <w:rsid w:val="009742AE"/>
    <w:rsid w:val="009743FF"/>
    <w:rsid w:val="00974496"/>
    <w:rsid w:val="009747DB"/>
    <w:rsid w:val="00974827"/>
    <w:rsid w:val="0097490D"/>
    <w:rsid w:val="00974A8D"/>
    <w:rsid w:val="00974C8B"/>
    <w:rsid w:val="00974FC2"/>
    <w:rsid w:val="0097509E"/>
    <w:rsid w:val="009750C5"/>
    <w:rsid w:val="0097510D"/>
    <w:rsid w:val="009751BB"/>
    <w:rsid w:val="00975245"/>
    <w:rsid w:val="0097538B"/>
    <w:rsid w:val="0097544D"/>
    <w:rsid w:val="009754DC"/>
    <w:rsid w:val="0097552B"/>
    <w:rsid w:val="0097580D"/>
    <w:rsid w:val="00975812"/>
    <w:rsid w:val="00975876"/>
    <w:rsid w:val="00975898"/>
    <w:rsid w:val="00975921"/>
    <w:rsid w:val="00975A46"/>
    <w:rsid w:val="00975B52"/>
    <w:rsid w:val="00975BF7"/>
    <w:rsid w:val="00975C52"/>
    <w:rsid w:val="00975D70"/>
    <w:rsid w:val="00975F1E"/>
    <w:rsid w:val="00975F4C"/>
    <w:rsid w:val="00975FB5"/>
    <w:rsid w:val="0097606A"/>
    <w:rsid w:val="00976271"/>
    <w:rsid w:val="00976334"/>
    <w:rsid w:val="009763F0"/>
    <w:rsid w:val="00976437"/>
    <w:rsid w:val="00976505"/>
    <w:rsid w:val="00976510"/>
    <w:rsid w:val="0097663C"/>
    <w:rsid w:val="0097663D"/>
    <w:rsid w:val="0097676D"/>
    <w:rsid w:val="00976994"/>
    <w:rsid w:val="00976A73"/>
    <w:rsid w:val="00976BC1"/>
    <w:rsid w:val="00976C63"/>
    <w:rsid w:val="00976F8B"/>
    <w:rsid w:val="009770CA"/>
    <w:rsid w:val="00977171"/>
    <w:rsid w:val="00977199"/>
    <w:rsid w:val="009771D4"/>
    <w:rsid w:val="00977318"/>
    <w:rsid w:val="0097747E"/>
    <w:rsid w:val="009774C5"/>
    <w:rsid w:val="00977A32"/>
    <w:rsid w:val="00977A35"/>
    <w:rsid w:val="00977A53"/>
    <w:rsid w:val="00977BE7"/>
    <w:rsid w:val="00977C91"/>
    <w:rsid w:val="00977D64"/>
    <w:rsid w:val="00977DDF"/>
    <w:rsid w:val="00977E6F"/>
    <w:rsid w:val="00977E8C"/>
    <w:rsid w:val="00977FCC"/>
    <w:rsid w:val="00977FFB"/>
    <w:rsid w:val="0098009B"/>
    <w:rsid w:val="00980300"/>
    <w:rsid w:val="0098052A"/>
    <w:rsid w:val="009805DF"/>
    <w:rsid w:val="0098063D"/>
    <w:rsid w:val="009806E9"/>
    <w:rsid w:val="00980723"/>
    <w:rsid w:val="00980AEA"/>
    <w:rsid w:val="00980B6E"/>
    <w:rsid w:val="00980C31"/>
    <w:rsid w:val="00980D66"/>
    <w:rsid w:val="00980DDD"/>
    <w:rsid w:val="009811BD"/>
    <w:rsid w:val="00981267"/>
    <w:rsid w:val="009812D6"/>
    <w:rsid w:val="00981346"/>
    <w:rsid w:val="0098155D"/>
    <w:rsid w:val="00981601"/>
    <w:rsid w:val="009816AB"/>
    <w:rsid w:val="00981724"/>
    <w:rsid w:val="009817C2"/>
    <w:rsid w:val="00981805"/>
    <w:rsid w:val="0098192A"/>
    <w:rsid w:val="00981957"/>
    <w:rsid w:val="00981A7E"/>
    <w:rsid w:val="00981AB1"/>
    <w:rsid w:val="00981ACF"/>
    <w:rsid w:val="00981C36"/>
    <w:rsid w:val="00981DBC"/>
    <w:rsid w:val="00981EBD"/>
    <w:rsid w:val="00981F22"/>
    <w:rsid w:val="00981F7E"/>
    <w:rsid w:val="00981FAA"/>
    <w:rsid w:val="00982079"/>
    <w:rsid w:val="0098212E"/>
    <w:rsid w:val="009821E9"/>
    <w:rsid w:val="00982233"/>
    <w:rsid w:val="009823A5"/>
    <w:rsid w:val="009825B0"/>
    <w:rsid w:val="00982743"/>
    <w:rsid w:val="0098277E"/>
    <w:rsid w:val="00982793"/>
    <w:rsid w:val="009829CC"/>
    <w:rsid w:val="009829F6"/>
    <w:rsid w:val="00982A64"/>
    <w:rsid w:val="00982C41"/>
    <w:rsid w:val="00982C42"/>
    <w:rsid w:val="00982C47"/>
    <w:rsid w:val="00982C7C"/>
    <w:rsid w:val="00982C8E"/>
    <w:rsid w:val="00982E9C"/>
    <w:rsid w:val="00983099"/>
    <w:rsid w:val="009831C8"/>
    <w:rsid w:val="00983248"/>
    <w:rsid w:val="00983288"/>
    <w:rsid w:val="009832FA"/>
    <w:rsid w:val="00983352"/>
    <w:rsid w:val="009833EB"/>
    <w:rsid w:val="009835D8"/>
    <w:rsid w:val="009836B9"/>
    <w:rsid w:val="009836DE"/>
    <w:rsid w:val="00983893"/>
    <w:rsid w:val="00983929"/>
    <w:rsid w:val="00983936"/>
    <w:rsid w:val="00983977"/>
    <w:rsid w:val="00983A42"/>
    <w:rsid w:val="00983A5E"/>
    <w:rsid w:val="00983ABB"/>
    <w:rsid w:val="00983BC2"/>
    <w:rsid w:val="00983CF8"/>
    <w:rsid w:val="00983D0F"/>
    <w:rsid w:val="00983D3B"/>
    <w:rsid w:val="00984075"/>
    <w:rsid w:val="0098414A"/>
    <w:rsid w:val="00984220"/>
    <w:rsid w:val="00984358"/>
    <w:rsid w:val="0098438F"/>
    <w:rsid w:val="009843EB"/>
    <w:rsid w:val="00984426"/>
    <w:rsid w:val="0098445F"/>
    <w:rsid w:val="009845BB"/>
    <w:rsid w:val="00984752"/>
    <w:rsid w:val="009847E2"/>
    <w:rsid w:val="00984867"/>
    <w:rsid w:val="00984895"/>
    <w:rsid w:val="009848A1"/>
    <w:rsid w:val="0098493B"/>
    <w:rsid w:val="00984A4E"/>
    <w:rsid w:val="00984B72"/>
    <w:rsid w:val="00984BA6"/>
    <w:rsid w:val="00984BFE"/>
    <w:rsid w:val="00984CEF"/>
    <w:rsid w:val="00984D07"/>
    <w:rsid w:val="00984D3B"/>
    <w:rsid w:val="00984D8B"/>
    <w:rsid w:val="00984DF6"/>
    <w:rsid w:val="00984E41"/>
    <w:rsid w:val="00984FD4"/>
    <w:rsid w:val="0098508B"/>
    <w:rsid w:val="0098565F"/>
    <w:rsid w:val="00985934"/>
    <w:rsid w:val="009859F4"/>
    <w:rsid w:val="00985B08"/>
    <w:rsid w:val="00985B9C"/>
    <w:rsid w:val="00985BB6"/>
    <w:rsid w:val="00985BE5"/>
    <w:rsid w:val="00985BE9"/>
    <w:rsid w:val="00985C10"/>
    <w:rsid w:val="00985E12"/>
    <w:rsid w:val="00985F50"/>
    <w:rsid w:val="0098603B"/>
    <w:rsid w:val="009860A7"/>
    <w:rsid w:val="009860DA"/>
    <w:rsid w:val="0098610A"/>
    <w:rsid w:val="00986173"/>
    <w:rsid w:val="0098666E"/>
    <w:rsid w:val="009866EC"/>
    <w:rsid w:val="009867F7"/>
    <w:rsid w:val="00986A89"/>
    <w:rsid w:val="00986A95"/>
    <w:rsid w:val="00986BD6"/>
    <w:rsid w:val="00986BD8"/>
    <w:rsid w:val="00986D15"/>
    <w:rsid w:val="00986D51"/>
    <w:rsid w:val="00986E6A"/>
    <w:rsid w:val="00986EF9"/>
    <w:rsid w:val="00987074"/>
    <w:rsid w:val="0098710E"/>
    <w:rsid w:val="0098716C"/>
    <w:rsid w:val="0098721B"/>
    <w:rsid w:val="0098738B"/>
    <w:rsid w:val="009873F2"/>
    <w:rsid w:val="009877B4"/>
    <w:rsid w:val="009878CD"/>
    <w:rsid w:val="00987A62"/>
    <w:rsid w:val="00987AAC"/>
    <w:rsid w:val="00987BAC"/>
    <w:rsid w:val="00987DE1"/>
    <w:rsid w:val="00987E7D"/>
    <w:rsid w:val="00990151"/>
    <w:rsid w:val="009904BF"/>
    <w:rsid w:val="009904DB"/>
    <w:rsid w:val="009904F1"/>
    <w:rsid w:val="00990738"/>
    <w:rsid w:val="009907B4"/>
    <w:rsid w:val="009907D4"/>
    <w:rsid w:val="009908BB"/>
    <w:rsid w:val="00990940"/>
    <w:rsid w:val="009909EF"/>
    <w:rsid w:val="00990A33"/>
    <w:rsid w:val="00990A72"/>
    <w:rsid w:val="00990B72"/>
    <w:rsid w:val="00990D2B"/>
    <w:rsid w:val="00990D93"/>
    <w:rsid w:val="00990DD9"/>
    <w:rsid w:val="00990E16"/>
    <w:rsid w:val="00990FB3"/>
    <w:rsid w:val="009910DA"/>
    <w:rsid w:val="00991231"/>
    <w:rsid w:val="0099128B"/>
    <w:rsid w:val="009912C8"/>
    <w:rsid w:val="0099144D"/>
    <w:rsid w:val="00991517"/>
    <w:rsid w:val="009915B3"/>
    <w:rsid w:val="00991701"/>
    <w:rsid w:val="00991702"/>
    <w:rsid w:val="0099188E"/>
    <w:rsid w:val="00991951"/>
    <w:rsid w:val="00991995"/>
    <w:rsid w:val="00991A07"/>
    <w:rsid w:val="00991A18"/>
    <w:rsid w:val="00991A54"/>
    <w:rsid w:val="00991DC6"/>
    <w:rsid w:val="00991FF3"/>
    <w:rsid w:val="009920BC"/>
    <w:rsid w:val="009920F4"/>
    <w:rsid w:val="009923D6"/>
    <w:rsid w:val="0099244D"/>
    <w:rsid w:val="009924A1"/>
    <w:rsid w:val="0099253D"/>
    <w:rsid w:val="009925E0"/>
    <w:rsid w:val="00992828"/>
    <w:rsid w:val="00992857"/>
    <w:rsid w:val="00992881"/>
    <w:rsid w:val="009929B1"/>
    <w:rsid w:val="00992C49"/>
    <w:rsid w:val="00992F0F"/>
    <w:rsid w:val="00992FAF"/>
    <w:rsid w:val="009938B0"/>
    <w:rsid w:val="009938C7"/>
    <w:rsid w:val="009938CE"/>
    <w:rsid w:val="00993A98"/>
    <w:rsid w:val="00993B6E"/>
    <w:rsid w:val="00993B7A"/>
    <w:rsid w:val="00993CDB"/>
    <w:rsid w:val="00993CE6"/>
    <w:rsid w:val="00993DB3"/>
    <w:rsid w:val="00993DEF"/>
    <w:rsid w:val="00993F48"/>
    <w:rsid w:val="00993F8D"/>
    <w:rsid w:val="009940A3"/>
    <w:rsid w:val="00994192"/>
    <w:rsid w:val="0099430A"/>
    <w:rsid w:val="0099456F"/>
    <w:rsid w:val="009945B5"/>
    <w:rsid w:val="00994703"/>
    <w:rsid w:val="00994825"/>
    <w:rsid w:val="00994864"/>
    <w:rsid w:val="00994A4C"/>
    <w:rsid w:val="00994B60"/>
    <w:rsid w:val="00994B8E"/>
    <w:rsid w:val="00994CD6"/>
    <w:rsid w:val="00994D02"/>
    <w:rsid w:val="00994D65"/>
    <w:rsid w:val="00994DC8"/>
    <w:rsid w:val="00994F4F"/>
    <w:rsid w:val="00995321"/>
    <w:rsid w:val="00995463"/>
    <w:rsid w:val="009954F2"/>
    <w:rsid w:val="0099550E"/>
    <w:rsid w:val="0099551F"/>
    <w:rsid w:val="009955CB"/>
    <w:rsid w:val="00995798"/>
    <w:rsid w:val="00995826"/>
    <w:rsid w:val="00995870"/>
    <w:rsid w:val="00995881"/>
    <w:rsid w:val="00995953"/>
    <w:rsid w:val="00995969"/>
    <w:rsid w:val="00995976"/>
    <w:rsid w:val="00995B2A"/>
    <w:rsid w:val="00995E14"/>
    <w:rsid w:val="00996105"/>
    <w:rsid w:val="009961A4"/>
    <w:rsid w:val="00996654"/>
    <w:rsid w:val="00996751"/>
    <w:rsid w:val="009967AE"/>
    <w:rsid w:val="00996A7F"/>
    <w:rsid w:val="00996AD2"/>
    <w:rsid w:val="00996B7D"/>
    <w:rsid w:val="00996C59"/>
    <w:rsid w:val="00996C9F"/>
    <w:rsid w:val="00996CB4"/>
    <w:rsid w:val="00996CBB"/>
    <w:rsid w:val="00996E9D"/>
    <w:rsid w:val="00996EC5"/>
    <w:rsid w:val="00996F21"/>
    <w:rsid w:val="00997412"/>
    <w:rsid w:val="009974A3"/>
    <w:rsid w:val="00997538"/>
    <w:rsid w:val="0099760C"/>
    <w:rsid w:val="00997773"/>
    <w:rsid w:val="009977D9"/>
    <w:rsid w:val="00997828"/>
    <w:rsid w:val="00997D2C"/>
    <w:rsid w:val="00997D2E"/>
    <w:rsid w:val="00997E33"/>
    <w:rsid w:val="00997EDB"/>
    <w:rsid w:val="00997F47"/>
    <w:rsid w:val="0099DE69"/>
    <w:rsid w:val="009A01EA"/>
    <w:rsid w:val="009A027B"/>
    <w:rsid w:val="009A036A"/>
    <w:rsid w:val="009A037D"/>
    <w:rsid w:val="009A043C"/>
    <w:rsid w:val="009A0464"/>
    <w:rsid w:val="009A052B"/>
    <w:rsid w:val="009A052E"/>
    <w:rsid w:val="009A0586"/>
    <w:rsid w:val="009A05D1"/>
    <w:rsid w:val="009A0635"/>
    <w:rsid w:val="009A069A"/>
    <w:rsid w:val="009A06C1"/>
    <w:rsid w:val="009A0770"/>
    <w:rsid w:val="009A09A3"/>
    <w:rsid w:val="009A0A5C"/>
    <w:rsid w:val="009A0B57"/>
    <w:rsid w:val="009A0C2E"/>
    <w:rsid w:val="009A0C62"/>
    <w:rsid w:val="009A0CE0"/>
    <w:rsid w:val="009A0E2C"/>
    <w:rsid w:val="009A10AE"/>
    <w:rsid w:val="009A112A"/>
    <w:rsid w:val="009A117A"/>
    <w:rsid w:val="009A124B"/>
    <w:rsid w:val="009A12D9"/>
    <w:rsid w:val="009A131C"/>
    <w:rsid w:val="009A13AC"/>
    <w:rsid w:val="009A13DA"/>
    <w:rsid w:val="009A1492"/>
    <w:rsid w:val="009A14C8"/>
    <w:rsid w:val="009A156B"/>
    <w:rsid w:val="009A16A6"/>
    <w:rsid w:val="009A1943"/>
    <w:rsid w:val="009A1B2D"/>
    <w:rsid w:val="009A1E19"/>
    <w:rsid w:val="009A1E45"/>
    <w:rsid w:val="009A1F1E"/>
    <w:rsid w:val="009A1F83"/>
    <w:rsid w:val="009A203F"/>
    <w:rsid w:val="009A2138"/>
    <w:rsid w:val="009A22AF"/>
    <w:rsid w:val="009A24E4"/>
    <w:rsid w:val="009A2530"/>
    <w:rsid w:val="009A258F"/>
    <w:rsid w:val="009A25C3"/>
    <w:rsid w:val="009A264D"/>
    <w:rsid w:val="009A277D"/>
    <w:rsid w:val="009A27C5"/>
    <w:rsid w:val="009A28CC"/>
    <w:rsid w:val="009A2AAE"/>
    <w:rsid w:val="009A2AEE"/>
    <w:rsid w:val="009A2E33"/>
    <w:rsid w:val="009A2ED9"/>
    <w:rsid w:val="009A2F4F"/>
    <w:rsid w:val="009A3025"/>
    <w:rsid w:val="009A3159"/>
    <w:rsid w:val="009A31A9"/>
    <w:rsid w:val="009A3260"/>
    <w:rsid w:val="009A3592"/>
    <w:rsid w:val="009A37D1"/>
    <w:rsid w:val="009A3855"/>
    <w:rsid w:val="009A3876"/>
    <w:rsid w:val="009A388E"/>
    <w:rsid w:val="009A39CD"/>
    <w:rsid w:val="009A39D0"/>
    <w:rsid w:val="009A3B31"/>
    <w:rsid w:val="009A3B5B"/>
    <w:rsid w:val="009A3C98"/>
    <w:rsid w:val="009A3D1F"/>
    <w:rsid w:val="009A3D20"/>
    <w:rsid w:val="009A3D49"/>
    <w:rsid w:val="009A3E93"/>
    <w:rsid w:val="009A3F9F"/>
    <w:rsid w:val="009A3FA5"/>
    <w:rsid w:val="009A4158"/>
    <w:rsid w:val="009A4281"/>
    <w:rsid w:val="009A438D"/>
    <w:rsid w:val="009A43D3"/>
    <w:rsid w:val="009A4491"/>
    <w:rsid w:val="009A44D8"/>
    <w:rsid w:val="009A4585"/>
    <w:rsid w:val="009A46BC"/>
    <w:rsid w:val="009A47F8"/>
    <w:rsid w:val="009A4804"/>
    <w:rsid w:val="009A4860"/>
    <w:rsid w:val="009A4867"/>
    <w:rsid w:val="009A48CF"/>
    <w:rsid w:val="009A492A"/>
    <w:rsid w:val="009A494A"/>
    <w:rsid w:val="009A4B0A"/>
    <w:rsid w:val="009A4C6C"/>
    <w:rsid w:val="009A4CF9"/>
    <w:rsid w:val="009A4D31"/>
    <w:rsid w:val="009A4D65"/>
    <w:rsid w:val="009A4DD8"/>
    <w:rsid w:val="009A5117"/>
    <w:rsid w:val="009A5273"/>
    <w:rsid w:val="009A52B5"/>
    <w:rsid w:val="009A533D"/>
    <w:rsid w:val="009A5358"/>
    <w:rsid w:val="009A539D"/>
    <w:rsid w:val="009A54F4"/>
    <w:rsid w:val="009A55CA"/>
    <w:rsid w:val="009A5635"/>
    <w:rsid w:val="009A5652"/>
    <w:rsid w:val="009A5666"/>
    <w:rsid w:val="009A572F"/>
    <w:rsid w:val="009A57C2"/>
    <w:rsid w:val="009A5B86"/>
    <w:rsid w:val="009A5BB8"/>
    <w:rsid w:val="009A5BBD"/>
    <w:rsid w:val="009A5C25"/>
    <w:rsid w:val="009A5C61"/>
    <w:rsid w:val="009A5E1B"/>
    <w:rsid w:val="009A5F16"/>
    <w:rsid w:val="009A5F55"/>
    <w:rsid w:val="009A613F"/>
    <w:rsid w:val="009A621C"/>
    <w:rsid w:val="009A6238"/>
    <w:rsid w:val="009A6313"/>
    <w:rsid w:val="009A63B9"/>
    <w:rsid w:val="009A65E1"/>
    <w:rsid w:val="009A6603"/>
    <w:rsid w:val="009A6622"/>
    <w:rsid w:val="009A6631"/>
    <w:rsid w:val="009A6644"/>
    <w:rsid w:val="009A6662"/>
    <w:rsid w:val="009A6705"/>
    <w:rsid w:val="009A67A5"/>
    <w:rsid w:val="009A6950"/>
    <w:rsid w:val="009A69DA"/>
    <w:rsid w:val="009A6A5B"/>
    <w:rsid w:val="009A6BB5"/>
    <w:rsid w:val="009A6BBB"/>
    <w:rsid w:val="009A6BEE"/>
    <w:rsid w:val="009A6C94"/>
    <w:rsid w:val="009A6F3B"/>
    <w:rsid w:val="009A71C2"/>
    <w:rsid w:val="009A71FD"/>
    <w:rsid w:val="009A7201"/>
    <w:rsid w:val="009A7298"/>
    <w:rsid w:val="009A72D6"/>
    <w:rsid w:val="009A730D"/>
    <w:rsid w:val="009A7330"/>
    <w:rsid w:val="009A73AB"/>
    <w:rsid w:val="009A7423"/>
    <w:rsid w:val="009A7465"/>
    <w:rsid w:val="009A75EA"/>
    <w:rsid w:val="009A77FE"/>
    <w:rsid w:val="009A796C"/>
    <w:rsid w:val="009A7A69"/>
    <w:rsid w:val="009A7B15"/>
    <w:rsid w:val="009A7C21"/>
    <w:rsid w:val="009A7E47"/>
    <w:rsid w:val="009A7E6C"/>
    <w:rsid w:val="009A7F94"/>
    <w:rsid w:val="009B0033"/>
    <w:rsid w:val="009B02AE"/>
    <w:rsid w:val="009B04B4"/>
    <w:rsid w:val="009B04D1"/>
    <w:rsid w:val="009B05DC"/>
    <w:rsid w:val="009B0807"/>
    <w:rsid w:val="009B08D7"/>
    <w:rsid w:val="009B09AF"/>
    <w:rsid w:val="009B0AB2"/>
    <w:rsid w:val="009B0B0D"/>
    <w:rsid w:val="009B0BFB"/>
    <w:rsid w:val="009B0C51"/>
    <w:rsid w:val="009B0D5F"/>
    <w:rsid w:val="009B0E2F"/>
    <w:rsid w:val="009B0EB3"/>
    <w:rsid w:val="009B0F88"/>
    <w:rsid w:val="009B0FA5"/>
    <w:rsid w:val="009B101B"/>
    <w:rsid w:val="009B111D"/>
    <w:rsid w:val="009B134E"/>
    <w:rsid w:val="009B148D"/>
    <w:rsid w:val="009B153E"/>
    <w:rsid w:val="009B15BB"/>
    <w:rsid w:val="009B16F7"/>
    <w:rsid w:val="009B171F"/>
    <w:rsid w:val="009B186D"/>
    <w:rsid w:val="009B19E2"/>
    <w:rsid w:val="009B1AEF"/>
    <w:rsid w:val="009B1B52"/>
    <w:rsid w:val="009B1F38"/>
    <w:rsid w:val="009B206B"/>
    <w:rsid w:val="009B21A9"/>
    <w:rsid w:val="009B2259"/>
    <w:rsid w:val="009B248B"/>
    <w:rsid w:val="009B24A4"/>
    <w:rsid w:val="009B24A9"/>
    <w:rsid w:val="009B25BC"/>
    <w:rsid w:val="009B25DC"/>
    <w:rsid w:val="009B2649"/>
    <w:rsid w:val="009B291C"/>
    <w:rsid w:val="009B2A42"/>
    <w:rsid w:val="009B2D21"/>
    <w:rsid w:val="009B2E42"/>
    <w:rsid w:val="009B3194"/>
    <w:rsid w:val="009B31BD"/>
    <w:rsid w:val="009B32F7"/>
    <w:rsid w:val="009B33A2"/>
    <w:rsid w:val="009B33DE"/>
    <w:rsid w:val="009B3471"/>
    <w:rsid w:val="009B3502"/>
    <w:rsid w:val="009B3508"/>
    <w:rsid w:val="009B3524"/>
    <w:rsid w:val="009B3570"/>
    <w:rsid w:val="009B3697"/>
    <w:rsid w:val="009B39AA"/>
    <w:rsid w:val="009B3AB3"/>
    <w:rsid w:val="009B3BC8"/>
    <w:rsid w:val="009B3C8E"/>
    <w:rsid w:val="009B3D9C"/>
    <w:rsid w:val="009B3E0A"/>
    <w:rsid w:val="009B4163"/>
    <w:rsid w:val="009B418D"/>
    <w:rsid w:val="009B4275"/>
    <w:rsid w:val="009B42EB"/>
    <w:rsid w:val="009B44AD"/>
    <w:rsid w:val="009B4588"/>
    <w:rsid w:val="009B4643"/>
    <w:rsid w:val="009B4679"/>
    <w:rsid w:val="009B4682"/>
    <w:rsid w:val="009B46F1"/>
    <w:rsid w:val="009B4859"/>
    <w:rsid w:val="009B48DB"/>
    <w:rsid w:val="009B4A42"/>
    <w:rsid w:val="009B4A97"/>
    <w:rsid w:val="009B4C18"/>
    <w:rsid w:val="009B4C6F"/>
    <w:rsid w:val="009B4C7C"/>
    <w:rsid w:val="009B4EE8"/>
    <w:rsid w:val="009B5013"/>
    <w:rsid w:val="009B5086"/>
    <w:rsid w:val="009B520F"/>
    <w:rsid w:val="009B5281"/>
    <w:rsid w:val="009B5520"/>
    <w:rsid w:val="009B55B9"/>
    <w:rsid w:val="009B56D2"/>
    <w:rsid w:val="009B57EA"/>
    <w:rsid w:val="009B583C"/>
    <w:rsid w:val="009B58D6"/>
    <w:rsid w:val="009B5964"/>
    <w:rsid w:val="009B5A35"/>
    <w:rsid w:val="009B5A4C"/>
    <w:rsid w:val="009B5ACB"/>
    <w:rsid w:val="009B5B2E"/>
    <w:rsid w:val="009B5BFB"/>
    <w:rsid w:val="009B5D88"/>
    <w:rsid w:val="009B5E59"/>
    <w:rsid w:val="009B5E65"/>
    <w:rsid w:val="009B5E73"/>
    <w:rsid w:val="009B5F21"/>
    <w:rsid w:val="009B5F4E"/>
    <w:rsid w:val="009B60CD"/>
    <w:rsid w:val="009B61C8"/>
    <w:rsid w:val="009B63F4"/>
    <w:rsid w:val="009B6646"/>
    <w:rsid w:val="009B67DF"/>
    <w:rsid w:val="009B69D7"/>
    <w:rsid w:val="009B6BFB"/>
    <w:rsid w:val="009B6E1C"/>
    <w:rsid w:val="009B6FE9"/>
    <w:rsid w:val="009B71DB"/>
    <w:rsid w:val="009B73A4"/>
    <w:rsid w:val="009B74E7"/>
    <w:rsid w:val="009B763F"/>
    <w:rsid w:val="009B76FD"/>
    <w:rsid w:val="009B7893"/>
    <w:rsid w:val="009B7A42"/>
    <w:rsid w:val="009B7A48"/>
    <w:rsid w:val="009B7C8B"/>
    <w:rsid w:val="009B7CD4"/>
    <w:rsid w:val="009B7D97"/>
    <w:rsid w:val="009B7E4E"/>
    <w:rsid w:val="009B7F33"/>
    <w:rsid w:val="009B7FCB"/>
    <w:rsid w:val="009BDC05"/>
    <w:rsid w:val="009C0131"/>
    <w:rsid w:val="009C0234"/>
    <w:rsid w:val="009C0391"/>
    <w:rsid w:val="009C0406"/>
    <w:rsid w:val="009C04FF"/>
    <w:rsid w:val="009C06FF"/>
    <w:rsid w:val="009C07F2"/>
    <w:rsid w:val="009C08D8"/>
    <w:rsid w:val="009C0936"/>
    <w:rsid w:val="009C09D9"/>
    <w:rsid w:val="009C0C72"/>
    <w:rsid w:val="009C0D47"/>
    <w:rsid w:val="009C0DEB"/>
    <w:rsid w:val="009C100F"/>
    <w:rsid w:val="009C1175"/>
    <w:rsid w:val="009C1221"/>
    <w:rsid w:val="009C1226"/>
    <w:rsid w:val="009C12B5"/>
    <w:rsid w:val="009C130A"/>
    <w:rsid w:val="009C1379"/>
    <w:rsid w:val="009C145E"/>
    <w:rsid w:val="009C147A"/>
    <w:rsid w:val="009C16F0"/>
    <w:rsid w:val="009C178D"/>
    <w:rsid w:val="009C1803"/>
    <w:rsid w:val="009C186C"/>
    <w:rsid w:val="009C18A7"/>
    <w:rsid w:val="009C193A"/>
    <w:rsid w:val="009C1989"/>
    <w:rsid w:val="009C19A2"/>
    <w:rsid w:val="009C1A4A"/>
    <w:rsid w:val="009C1B3A"/>
    <w:rsid w:val="009C1BBF"/>
    <w:rsid w:val="009C1BCB"/>
    <w:rsid w:val="009C1E4C"/>
    <w:rsid w:val="009C1F6F"/>
    <w:rsid w:val="009C1FFD"/>
    <w:rsid w:val="009C2064"/>
    <w:rsid w:val="009C21EC"/>
    <w:rsid w:val="009C22A0"/>
    <w:rsid w:val="009C2345"/>
    <w:rsid w:val="009C23F6"/>
    <w:rsid w:val="009C243B"/>
    <w:rsid w:val="009C24A5"/>
    <w:rsid w:val="009C269B"/>
    <w:rsid w:val="009C26F5"/>
    <w:rsid w:val="009C2982"/>
    <w:rsid w:val="009C2C8D"/>
    <w:rsid w:val="009C2C97"/>
    <w:rsid w:val="009C2D6A"/>
    <w:rsid w:val="009C2E5F"/>
    <w:rsid w:val="009C2ECD"/>
    <w:rsid w:val="009C2ECE"/>
    <w:rsid w:val="009C3172"/>
    <w:rsid w:val="009C320D"/>
    <w:rsid w:val="009C33EF"/>
    <w:rsid w:val="009C34E7"/>
    <w:rsid w:val="009C3506"/>
    <w:rsid w:val="009C3573"/>
    <w:rsid w:val="009C35FD"/>
    <w:rsid w:val="009C3617"/>
    <w:rsid w:val="009C377B"/>
    <w:rsid w:val="009C387D"/>
    <w:rsid w:val="009C3A55"/>
    <w:rsid w:val="009C3AD9"/>
    <w:rsid w:val="009C3B97"/>
    <w:rsid w:val="009C3C2C"/>
    <w:rsid w:val="009C3EB2"/>
    <w:rsid w:val="009C3EE8"/>
    <w:rsid w:val="009C3F29"/>
    <w:rsid w:val="009C3F35"/>
    <w:rsid w:val="009C41A2"/>
    <w:rsid w:val="009C428B"/>
    <w:rsid w:val="009C4354"/>
    <w:rsid w:val="009C447B"/>
    <w:rsid w:val="009C45AB"/>
    <w:rsid w:val="009C45B2"/>
    <w:rsid w:val="009C483F"/>
    <w:rsid w:val="009C4A0D"/>
    <w:rsid w:val="009C4A30"/>
    <w:rsid w:val="009C4BE9"/>
    <w:rsid w:val="009C4C41"/>
    <w:rsid w:val="009C4C6A"/>
    <w:rsid w:val="009C4DE8"/>
    <w:rsid w:val="009C5037"/>
    <w:rsid w:val="009C50A1"/>
    <w:rsid w:val="009C50A3"/>
    <w:rsid w:val="009C5156"/>
    <w:rsid w:val="009C51D1"/>
    <w:rsid w:val="009C529F"/>
    <w:rsid w:val="009C5352"/>
    <w:rsid w:val="009C55D7"/>
    <w:rsid w:val="009C5672"/>
    <w:rsid w:val="009C5742"/>
    <w:rsid w:val="009C580D"/>
    <w:rsid w:val="009C5AE1"/>
    <w:rsid w:val="009C5AE3"/>
    <w:rsid w:val="009C5B85"/>
    <w:rsid w:val="009C5C4E"/>
    <w:rsid w:val="009C5DD6"/>
    <w:rsid w:val="009C5EBC"/>
    <w:rsid w:val="009C5F44"/>
    <w:rsid w:val="009C620D"/>
    <w:rsid w:val="009C6255"/>
    <w:rsid w:val="009C629F"/>
    <w:rsid w:val="009C6422"/>
    <w:rsid w:val="009C64F5"/>
    <w:rsid w:val="009C6754"/>
    <w:rsid w:val="009C68A1"/>
    <w:rsid w:val="009C68DA"/>
    <w:rsid w:val="009C6924"/>
    <w:rsid w:val="009C6FF8"/>
    <w:rsid w:val="009C726A"/>
    <w:rsid w:val="009C7307"/>
    <w:rsid w:val="009C7389"/>
    <w:rsid w:val="009C739C"/>
    <w:rsid w:val="009C75B8"/>
    <w:rsid w:val="009C76BE"/>
    <w:rsid w:val="009C7710"/>
    <w:rsid w:val="009C7793"/>
    <w:rsid w:val="009C77C5"/>
    <w:rsid w:val="009C79F4"/>
    <w:rsid w:val="009C7BAD"/>
    <w:rsid w:val="009C7C15"/>
    <w:rsid w:val="009C7CF5"/>
    <w:rsid w:val="009C7D37"/>
    <w:rsid w:val="009C7F60"/>
    <w:rsid w:val="009CFF98"/>
    <w:rsid w:val="009D00FA"/>
    <w:rsid w:val="009D0145"/>
    <w:rsid w:val="009D02A8"/>
    <w:rsid w:val="009D02B7"/>
    <w:rsid w:val="009D02C9"/>
    <w:rsid w:val="009D02D0"/>
    <w:rsid w:val="009D0389"/>
    <w:rsid w:val="009D03B3"/>
    <w:rsid w:val="009D03C5"/>
    <w:rsid w:val="009D0415"/>
    <w:rsid w:val="009D04A5"/>
    <w:rsid w:val="009D056B"/>
    <w:rsid w:val="009D08DC"/>
    <w:rsid w:val="009D0BC9"/>
    <w:rsid w:val="009D109A"/>
    <w:rsid w:val="009D10AF"/>
    <w:rsid w:val="009D10C4"/>
    <w:rsid w:val="009D11A9"/>
    <w:rsid w:val="009D12CC"/>
    <w:rsid w:val="009D1404"/>
    <w:rsid w:val="009D15A4"/>
    <w:rsid w:val="009D184F"/>
    <w:rsid w:val="009D18E6"/>
    <w:rsid w:val="009D1AE7"/>
    <w:rsid w:val="009D1B9B"/>
    <w:rsid w:val="009D1D08"/>
    <w:rsid w:val="009D1D10"/>
    <w:rsid w:val="009D1D67"/>
    <w:rsid w:val="009D1ED1"/>
    <w:rsid w:val="009D1EF0"/>
    <w:rsid w:val="009D1F3C"/>
    <w:rsid w:val="009D2144"/>
    <w:rsid w:val="009D216F"/>
    <w:rsid w:val="009D228E"/>
    <w:rsid w:val="009D2318"/>
    <w:rsid w:val="009D23C1"/>
    <w:rsid w:val="009D2483"/>
    <w:rsid w:val="009D25A0"/>
    <w:rsid w:val="009D2609"/>
    <w:rsid w:val="009D2718"/>
    <w:rsid w:val="009D27AB"/>
    <w:rsid w:val="009D27E9"/>
    <w:rsid w:val="009D2B24"/>
    <w:rsid w:val="009D2BC2"/>
    <w:rsid w:val="009D2C2F"/>
    <w:rsid w:val="009D2E5D"/>
    <w:rsid w:val="009D2E7C"/>
    <w:rsid w:val="009D2F4D"/>
    <w:rsid w:val="009D3097"/>
    <w:rsid w:val="009D328F"/>
    <w:rsid w:val="009D32F5"/>
    <w:rsid w:val="009D347E"/>
    <w:rsid w:val="009D3635"/>
    <w:rsid w:val="009D3673"/>
    <w:rsid w:val="009D368B"/>
    <w:rsid w:val="009D3A49"/>
    <w:rsid w:val="009D3AAB"/>
    <w:rsid w:val="009D3AE9"/>
    <w:rsid w:val="009D3B57"/>
    <w:rsid w:val="009D3C08"/>
    <w:rsid w:val="009D3CB8"/>
    <w:rsid w:val="009D3F04"/>
    <w:rsid w:val="009D3FE1"/>
    <w:rsid w:val="009D430D"/>
    <w:rsid w:val="009D453C"/>
    <w:rsid w:val="009D4734"/>
    <w:rsid w:val="009D4783"/>
    <w:rsid w:val="009D483D"/>
    <w:rsid w:val="009D4907"/>
    <w:rsid w:val="009D4917"/>
    <w:rsid w:val="009D4C15"/>
    <w:rsid w:val="009D4C6D"/>
    <w:rsid w:val="009D4D4D"/>
    <w:rsid w:val="009D4E98"/>
    <w:rsid w:val="009D500C"/>
    <w:rsid w:val="009D501E"/>
    <w:rsid w:val="009D502D"/>
    <w:rsid w:val="009D5208"/>
    <w:rsid w:val="009D520A"/>
    <w:rsid w:val="009D5288"/>
    <w:rsid w:val="009D52F7"/>
    <w:rsid w:val="009D54F1"/>
    <w:rsid w:val="009D5739"/>
    <w:rsid w:val="009D5819"/>
    <w:rsid w:val="009D587A"/>
    <w:rsid w:val="009D5A27"/>
    <w:rsid w:val="009D5AC1"/>
    <w:rsid w:val="009D5B29"/>
    <w:rsid w:val="009D5B7E"/>
    <w:rsid w:val="009D5C01"/>
    <w:rsid w:val="009D5CFE"/>
    <w:rsid w:val="009D5D40"/>
    <w:rsid w:val="009D5E82"/>
    <w:rsid w:val="009D5EB8"/>
    <w:rsid w:val="009D5F78"/>
    <w:rsid w:val="009D5FFC"/>
    <w:rsid w:val="009D626F"/>
    <w:rsid w:val="009D62EE"/>
    <w:rsid w:val="009D641A"/>
    <w:rsid w:val="009D66ED"/>
    <w:rsid w:val="009D6848"/>
    <w:rsid w:val="009D6925"/>
    <w:rsid w:val="009D6943"/>
    <w:rsid w:val="009D6A2F"/>
    <w:rsid w:val="009D6AB6"/>
    <w:rsid w:val="009D6B57"/>
    <w:rsid w:val="009D6C21"/>
    <w:rsid w:val="009D6D47"/>
    <w:rsid w:val="009D6DDE"/>
    <w:rsid w:val="009D6FA2"/>
    <w:rsid w:val="009D6FF9"/>
    <w:rsid w:val="009D6FFE"/>
    <w:rsid w:val="009D707F"/>
    <w:rsid w:val="009D71D9"/>
    <w:rsid w:val="009D733B"/>
    <w:rsid w:val="009D7418"/>
    <w:rsid w:val="009D74E1"/>
    <w:rsid w:val="009D7568"/>
    <w:rsid w:val="009D76BA"/>
    <w:rsid w:val="009D794B"/>
    <w:rsid w:val="009D79F2"/>
    <w:rsid w:val="009D7A2F"/>
    <w:rsid w:val="009D7A64"/>
    <w:rsid w:val="009D7ABA"/>
    <w:rsid w:val="009D7C0A"/>
    <w:rsid w:val="009D7C68"/>
    <w:rsid w:val="009D7C81"/>
    <w:rsid w:val="009E008A"/>
    <w:rsid w:val="009E017A"/>
    <w:rsid w:val="009E0393"/>
    <w:rsid w:val="009E04BA"/>
    <w:rsid w:val="009E07C4"/>
    <w:rsid w:val="009E081D"/>
    <w:rsid w:val="009E087D"/>
    <w:rsid w:val="009E08F6"/>
    <w:rsid w:val="009E090D"/>
    <w:rsid w:val="009E096D"/>
    <w:rsid w:val="009E0991"/>
    <w:rsid w:val="009E0A22"/>
    <w:rsid w:val="009E0C60"/>
    <w:rsid w:val="009E0CDE"/>
    <w:rsid w:val="009E0D46"/>
    <w:rsid w:val="009E0D5B"/>
    <w:rsid w:val="009E0D72"/>
    <w:rsid w:val="009E0E66"/>
    <w:rsid w:val="009E1269"/>
    <w:rsid w:val="009E12F9"/>
    <w:rsid w:val="009E13A6"/>
    <w:rsid w:val="009E13AC"/>
    <w:rsid w:val="009E14F8"/>
    <w:rsid w:val="009E162A"/>
    <w:rsid w:val="009E162E"/>
    <w:rsid w:val="009E1781"/>
    <w:rsid w:val="009E1809"/>
    <w:rsid w:val="009E1877"/>
    <w:rsid w:val="009E18A7"/>
    <w:rsid w:val="009E1927"/>
    <w:rsid w:val="009E1990"/>
    <w:rsid w:val="009E1A34"/>
    <w:rsid w:val="009E1B06"/>
    <w:rsid w:val="009E1CBD"/>
    <w:rsid w:val="009E1D05"/>
    <w:rsid w:val="009E1D0C"/>
    <w:rsid w:val="009E1F2E"/>
    <w:rsid w:val="009E20F7"/>
    <w:rsid w:val="009E2149"/>
    <w:rsid w:val="009E217A"/>
    <w:rsid w:val="009E21FD"/>
    <w:rsid w:val="009E2283"/>
    <w:rsid w:val="009E22E2"/>
    <w:rsid w:val="009E2498"/>
    <w:rsid w:val="009E2574"/>
    <w:rsid w:val="009E257F"/>
    <w:rsid w:val="009E2627"/>
    <w:rsid w:val="009E2920"/>
    <w:rsid w:val="009E2BAB"/>
    <w:rsid w:val="009E2F68"/>
    <w:rsid w:val="009E2F90"/>
    <w:rsid w:val="009E308A"/>
    <w:rsid w:val="009E30AF"/>
    <w:rsid w:val="009E30D9"/>
    <w:rsid w:val="009E310E"/>
    <w:rsid w:val="009E31BE"/>
    <w:rsid w:val="009E3214"/>
    <w:rsid w:val="009E3221"/>
    <w:rsid w:val="009E3249"/>
    <w:rsid w:val="009E3257"/>
    <w:rsid w:val="009E325E"/>
    <w:rsid w:val="009E32AE"/>
    <w:rsid w:val="009E3456"/>
    <w:rsid w:val="009E3473"/>
    <w:rsid w:val="009E34D3"/>
    <w:rsid w:val="009E351A"/>
    <w:rsid w:val="009E3578"/>
    <w:rsid w:val="009E35A2"/>
    <w:rsid w:val="009E363D"/>
    <w:rsid w:val="009E3669"/>
    <w:rsid w:val="009E37CE"/>
    <w:rsid w:val="009E39AA"/>
    <w:rsid w:val="009E39D1"/>
    <w:rsid w:val="009E3A57"/>
    <w:rsid w:val="009E3A5F"/>
    <w:rsid w:val="009E3A97"/>
    <w:rsid w:val="009E3D30"/>
    <w:rsid w:val="009E3DD2"/>
    <w:rsid w:val="009E3F4A"/>
    <w:rsid w:val="009E3FDF"/>
    <w:rsid w:val="009E400C"/>
    <w:rsid w:val="009E434C"/>
    <w:rsid w:val="009E44EC"/>
    <w:rsid w:val="009E450D"/>
    <w:rsid w:val="009E455D"/>
    <w:rsid w:val="009E45BC"/>
    <w:rsid w:val="009E45C7"/>
    <w:rsid w:val="009E46EB"/>
    <w:rsid w:val="009E47F6"/>
    <w:rsid w:val="009E485E"/>
    <w:rsid w:val="009E4872"/>
    <w:rsid w:val="009E48C7"/>
    <w:rsid w:val="009E48D1"/>
    <w:rsid w:val="009E4B38"/>
    <w:rsid w:val="009E4CF0"/>
    <w:rsid w:val="009E4E5B"/>
    <w:rsid w:val="009E4F85"/>
    <w:rsid w:val="009E50BC"/>
    <w:rsid w:val="009E51C2"/>
    <w:rsid w:val="009E51EA"/>
    <w:rsid w:val="009E5268"/>
    <w:rsid w:val="009E52F7"/>
    <w:rsid w:val="009E537C"/>
    <w:rsid w:val="009E5491"/>
    <w:rsid w:val="009E573E"/>
    <w:rsid w:val="009E591B"/>
    <w:rsid w:val="009E5944"/>
    <w:rsid w:val="009E59FB"/>
    <w:rsid w:val="009E5AAE"/>
    <w:rsid w:val="009E5C79"/>
    <w:rsid w:val="009E6026"/>
    <w:rsid w:val="009E6051"/>
    <w:rsid w:val="009E6059"/>
    <w:rsid w:val="009E62AC"/>
    <w:rsid w:val="009E62B5"/>
    <w:rsid w:val="009E62EB"/>
    <w:rsid w:val="009E65DE"/>
    <w:rsid w:val="009E65E1"/>
    <w:rsid w:val="009E6721"/>
    <w:rsid w:val="009E672C"/>
    <w:rsid w:val="009E68F0"/>
    <w:rsid w:val="009E6B36"/>
    <w:rsid w:val="009E6C30"/>
    <w:rsid w:val="009E6CEE"/>
    <w:rsid w:val="009E6DE4"/>
    <w:rsid w:val="009E6E36"/>
    <w:rsid w:val="009E6E67"/>
    <w:rsid w:val="009E6EC2"/>
    <w:rsid w:val="009E6EE5"/>
    <w:rsid w:val="009E735A"/>
    <w:rsid w:val="009E739B"/>
    <w:rsid w:val="009E7400"/>
    <w:rsid w:val="009E757D"/>
    <w:rsid w:val="009E7597"/>
    <w:rsid w:val="009E760C"/>
    <w:rsid w:val="009E7637"/>
    <w:rsid w:val="009E77B2"/>
    <w:rsid w:val="009E7A0F"/>
    <w:rsid w:val="009E7C3F"/>
    <w:rsid w:val="009E7D61"/>
    <w:rsid w:val="009E7DE4"/>
    <w:rsid w:val="009F0012"/>
    <w:rsid w:val="009F0054"/>
    <w:rsid w:val="009F011C"/>
    <w:rsid w:val="009F032D"/>
    <w:rsid w:val="009F03E4"/>
    <w:rsid w:val="009F055F"/>
    <w:rsid w:val="009F0575"/>
    <w:rsid w:val="009F0583"/>
    <w:rsid w:val="009F06F9"/>
    <w:rsid w:val="009F070B"/>
    <w:rsid w:val="009F0742"/>
    <w:rsid w:val="009F0775"/>
    <w:rsid w:val="009F07C8"/>
    <w:rsid w:val="009F0846"/>
    <w:rsid w:val="009F0903"/>
    <w:rsid w:val="009F0947"/>
    <w:rsid w:val="009F0A79"/>
    <w:rsid w:val="009F0AC5"/>
    <w:rsid w:val="009F0B15"/>
    <w:rsid w:val="009F0C51"/>
    <w:rsid w:val="009F0C67"/>
    <w:rsid w:val="009F0E77"/>
    <w:rsid w:val="009F10FD"/>
    <w:rsid w:val="009F116A"/>
    <w:rsid w:val="009F1279"/>
    <w:rsid w:val="009F1537"/>
    <w:rsid w:val="009F1578"/>
    <w:rsid w:val="009F15F8"/>
    <w:rsid w:val="009F1639"/>
    <w:rsid w:val="009F1665"/>
    <w:rsid w:val="009F1695"/>
    <w:rsid w:val="009F16B3"/>
    <w:rsid w:val="009F175B"/>
    <w:rsid w:val="009F17CA"/>
    <w:rsid w:val="009F1851"/>
    <w:rsid w:val="009F1BE2"/>
    <w:rsid w:val="009F1BE6"/>
    <w:rsid w:val="009F1C77"/>
    <w:rsid w:val="009F1CEF"/>
    <w:rsid w:val="009F1DE4"/>
    <w:rsid w:val="009F20EA"/>
    <w:rsid w:val="009F21FE"/>
    <w:rsid w:val="009F224A"/>
    <w:rsid w:val="009F227B"/>
    <w:rsid w:val="009F297A"/>
    <w:rsid w:val="009F2B9C"/>
    <w:rsid w:val="009F2CB5"/>
    <w:rsid w:val="009F2FDB"/>
    <w:rsid w:val="009F30CD"/>
    <w:rsid w:val="009F30D8"/>
    <w:rsid w:val="009F3127"/>
    <w:rsid w:val="009F31B6"/>
    <w:rsid w:val="009F3278"/>
    <w:rsid w:val="009F33AD"/>
    <w:rsid w:val="009F37A3"/>
    <w:rsid w:val="009F37FE"/>
    <w:rsid w:val="009F3923"/>
    <w:rsid w:val="009F3947"/>
    <w:rsid w:val="009F3A83"/>
    <w:rsid w:val="009F3B6B"/>
    <w:rsid w:val="009F3D87"/>
    <w:rsid w:val="009F3E63"/>
    <w:rsid w:val="009F3F0D"/>
    <w:rsid w:val="009F40D1"/>
    <w:rsid w:val="009F4242"/>
    <w:rsid w:val="009F4616"/>
    <w:rsid w:val="009F470D"/>
    <w:rsid w:val="009F4896"/>
    <w:rsid w:val="009F48CD"/>
    <w:rsid w:val="009F491C"/>
    <w:rsid w:val="009F4922"/>
    <w:rsid w:val="009F4CB2"/>
    <w:rsid w:val="009F4CE5"/>
    <w:rsid w:val="009F4D46"/>
    <w:rsid w:val="009F4D66"/>
    <w:rsid w:val="009F4E4C"/>
    <w:rsid w:val="009F4EB0"/>
    <w:rsid w:val="009F4F6F"/>
    <w:rsid w:val="009F4FAA"/>
    <w:rsid w:val="009F50AF"/>
    <w:rsid w:val="009F5280"/>
    <w:rsid w:val="009F52F2"/>
    <w:rsid w:val="009F53DC"/>
    <w:rsid w:val="009F5445"/>
    <w:rsid w:val="009F5475"/>
    <w:rsid w:val="009F55C7"/>
    <w:rsid w:val="009F5618"/>
    <w:rsid w:val="009F5640"/>
    <w:rsid w:val="009F564A"/>
    <w:rsid w:val="009F5656"/>
    <w:rsid w:val="009F5853"/>
    <w:rsid w:val="009F59DE"/>
    <w:rsid w:val="009F5A39"/>
    <w:rsid w:val="009F5A68"/>
    <w:rsid w:val="009F5B0B"/>
    <w:rsid w:val="009F5B27"/>
    <w:rsid w:val="009F5B66"/>
    <w:rsid w:val="009F5F5E"/>
    <w:rsid w:val="009F6030"/>
    <w:rsid w:val="009F6068"/>
    <w:rsid w:val="009F60FD"/>
    <w:rsid w:val="009F61B6"/>
    <w:rsid w:val="009F623C"/>
    <w:rsid w:val="009F6264"/>
    <w:rsid w:val="009F65D8"/>
    <w:rsid w:val="009F6614"/>
    <w:rsid w:val="009F66F4"/>
    <w:rsid w:val="009F674D"/>
    <w:rsid w:val="009F685C"/>
    <w:rsid w:val="009F688D"/>
    <w:rsid w:val="009F68E9"/>
    <w:rsid w:val="009F68FC"/>
    <w:rsid w:val="009F696C"/>
    <w:rsid w:val="009F6B3F"/>
    <w:rsid w:val="009F6E87"/>
    <w:rsid w:val="009F7166"/>
    <w:rsid w:val="009F720D"/>
    <w:rsid w:val="009F73A1"/>
    <w:rsid w:val="009F7407"/>
    <w:rsid w:val="009F7450"/>
    <w:rsid w:val="009F74EB"/>
    <w:rsid w:val="009F759B"/>
    <w:rsid w:val="009F759E"/>
    <w:rsid w:val="009F75FC"/>
    <w:rsid w:val="009F76D0"/>
    <w:rsid w:val="009F7749"/>
    <w:rsid w:val="009F77BB"/>
    <w:rsid w:val="009F7972"/>
    <w:rsid w:val="009F79D8"/>
    <w:rsid w:val="009F79EF"/>
    <w:rsid w:val="009F7C46"/>
    <w:rsid w:val="009F7C8A"/>
    <w:rsid w:val="009F7CF9"/>
    <w:rsid w:val="009F7D25"/>
    <w:rsid w:val="009F7D66"/>
    <w:rsid w:val="009F7DBB"/>
    <w:rsid w:val="009F7F33"/>
    <w:rsid w:val="009F9F36"/>
    <w:rsid w:val="009FAAA6"/>
    <w:rsid w:val="00A00204"/>
    <w:rsid w:val="00A0022A"/>
    <w:rsid w:val="00A0044E"/>
    <w:rsid w:val="00A00574"/>
    <w:rsid w:val="00A0068B"/>
    <w:rsid w:val="00A006CA"/>
    <w:rsid w:val="00A007E0"/>
    <w:rsid w:val="00A00868"/>
    <w:rsid w:val="00A00928"/>
    <w:rsid w:val="00A009D3"/>
    <w:rsid w:val="00A009E3"/>
    <w:rsid w:val="00A00B17"/>
    <w:rsid w:val="00A00C9D"/>
    <w:rsid w:val="00A00D8A"/>
    <w:rsid w:val="00A00E6D"/>
    <w:rsid w:val="00A01076"/>
    <w:rsid w:val="00A0108D"/>
    <w:rsid w:val="00A010BB"/>
    <w:rsid w:val="00A01123"/>
    <w:rsid w:val="00A01158"/>
    <w:rsid w:val="00A01191"/>
    <w:rsid w:val="00A012E8"/>
    <w:rsid w:val="00A01353"/>
    <w:rsid w:val="00A01441"/>
    <w:rsid w:val="00A015B2"/>
    <w:rsid w:val="00A01979"/>
    <w:rsid w:val="00A01B72"/>
    <w:rsid w:val="00A01BBB"/>
    <w:rsid w:val="00A01C37"/>
    <w:rsid w:val="00A01C6C"/>
    <w:rsid w:val="00A01C81"/>
    <w:rsid w:val="00A01ECD"/>
    <w:rsid w:val="00A01EEC"/>
    <w:rsid w:val="00A01F64"/>
    <w:rsid w:val="00A0203B"/>
    <w:rsid w:val="00A0209A"/>
    <w:rsid w:val="00A02159"/>
    <w:rsid w:val="00A022BC"/>
    <w:rsid w:val="00A02363"/>
    <w:rsid w:val="00A02471"/>
    <w:rsid w:val="00A025A9"/>
    <w:rsid w:val="00A02683"/>
    <w:rsid w:val="00A02767"/>
    <w:rsid w:val="00A028E2"/>
    <w:rsid w:val="00A0297B"/>
    <w:rsid w:val="00A02984"/>
    <w:rsid w:val="00A02D3E"/>
    <w:rsid w:val="00A02E30"/>
    <w:rsid w:val="00A02E7A"/>
    <w:rsid w:val="00A02ED0"/>
    <w:rsid w:val="00A02FEE"/>
    <w:rsid w:val="00A03012"/>
    <w:rsid w:val="00A03192"/>
    <w:rsid w:val="00A031CC"/>
    <w:rsid w:val="00A031D9"/>
    <w:rsid w:val="00A0322A"/>
    <w:rsid w:val="00A0326A"/>
    <w:rsid w:val="00A033AF"/>
    <w:rsid w:val="00A0359D"/>
    <w:rsid w:val="00A03602"/>
    <w:rsid w:val="00A03692"/>
    <w:rsid w:val="00A036CA"/>
    <w:rsid w:val="00A03735"/>
    <w:rsid w:val="00A0377E"/>
    <w:rsid w:val="00A037CE"/>
    <w:rsid w:val="00A0384A"/>
    <w:rsid w:val="00A03864"/>
    <w:rsid w:val="00A038CA"/>
    <w:rsid w:val="00A039D2"/>
    <w:rsid w:val="00A03C89"/>
    <w:rsid w:val="00A03DEB"/>
    <w:rsid w:val="00A0405A"/>
    <w:rsid w:val="00A04389"/>
    <w:rsid w:val="00A04540"/>
    <w:rsid w:val="00A046EE"/>
    <w:rsid w:val="00A048D5"/>
    <w:rsid w:val="00A04936"/>
    <w:rsid w:val="00A04953"/>
    <w:rsid w:val="00A04C19"/>
    <w:rsid w:val="00A04C4F"/>
    <w:rsid w:val="00A04DB7"/>
    <w:rsid w:val="00A0501D"/>
    <w:rsid w:val="00A052DF"/>
    <w:rsid w:val="00A052E1"/>
    <w:rsid w:val="00A05301"/>
    <w:rsid w:val="00A0532C"/>
    <w:rsid w:val="00A0559E"/>
    <w:rsid w:val="00A05784"/>
    <w:rsid w:val="00A057D4"/>
    <w:rsid w:val="00A05A05"/>
    <w:rsid w:val="00A05A37"/>
    <w:rsid w:val="00A05A5B"/>
    <w:rsid w:val="00A05AC1"/>
    <w:rsid w:val="00A05B3D"/>
    <w:rsid w:val="00A05B6A"/>
    <w:rsid w:val="00A05D39"/>
    <w:rsid w:val="00A05D8A"/>
    <w:rsid w:val="00A05E7E"/>
    <w:rsid w:val="00A05F94"/>
    <w:rsid w:val="00A06069"/>
    <w:rsid w:val="00A06095"/>
    <w:rsid w:val="00A062CF"/>
    <w:rsid w:val="00A06317"/>
    <w:rsid w:val="00A06343"/>
    <w:rsid w:val="00A0647D"/>
    <w:rsid w:val="00A064BE"/>
    <w:rsid w:val="00A065E6"/>
    <w:rsid w:val="00A065F9"/>
    <w:rsid w:val="00A069D5"/>
    <w:rsid w:val="00A069F4"/>
    <w:rsid w:val="00A069FA"/>
    <w:rsid w:val="00A06A45"/>
    <w:rsid w:val="00A06A70"/>
    <w:rsid w:val="00A06B7A"/>
    <w:rsid w:val="00A06B88"/>
    <w:rsid w:val="00A06BE0"/>
    <w:rsid w:val="00A06DCF"/>
    <w:rsid w:val="00A06E29"/>
    <w:rsid w:val="00A06E32"/>
    <w:rsid w:val="00A06E38"/>
    <w:rsid w:val="00A06FDE"/>
    <w:rsid w:val="00A07003"/>
    <w:rsid w:val="00A07112"/>
    <w:rsid w:val="00A072B0"/>
    <w:rsid w:val="00A072EA"/>
    <w:rsid w:val="00A073B6"/>
    <w:rsid w:val="00A0744C"/>
    <w:rsid w:val="00A07500"/>
    <w:rsid w:val="00A075E8"/>
    <w:rsid w:val="00A0760D"/>
    <w:rsid w:val="00A0760E"/>
    <w:rsid w:val="00A07732"/>
    <w:rsid w:val="00A0773C"/>
    <w:rsid w:val="00A077E0"/>
    <w:rsid w:val="00A07836"/>
    <w:rsid w:val="00A07AA9"/>
    <w:rsid w:val="00A07C52"/>
    <w:rsid w:val="00A08841"/>
    <w:rsid w:val="00A0B5C2"/>
    <w:rsid w:val="00A0D2F9"/>
    <w:rsid w:val="00A100DF"/>
    <w:rsid w:val="00A10241"/>
    <w:rsid w:val="00A10335"/>
    <w:rsid w:val="00A10447"/>
    <w:rsid w:val="00A1045A"/>
    <w:rsid w:val="00A10802"/>
    <w:rsid w:val="00A10A9E"/>
    <w:rsid w:val="00A10B49"/>
    <w:rsid w:val="00A10D35"/>
    <w:rsid w:val="00A10D58"/>
    <w:rsid w:val="00A10D63"/>
    <w:rsid w:val="00A10E62"/>
    <w:rsid w:val="00A10EA6"/>
    <w:rsid w:val="00A11223"/>
    <w:rsid w:val="00A113A1"/>
    <w:rsid w:val="00A113FF"/>
    <w:rsid w:val="00A11431"/>
    <w:rsid w:val="00A1155C"/>
    <w:rsid w:val="00A11619"/>
    <w:rsid w:val="00A11701"/>
    <w:rsid w:val="00A1187D"/>
    <w:rsid w:val="00A119B1"/>
    <w:rsid w:val="00A11B41"/>
    <w:rsid w:val="00A11C4E"/>
    <w:rsid w:val="00A11E1E"/>
    <w:rsid w:val="00A11E50"/>
    <w:rsid w:val="00A120FC"/>
    <w:rsid w:val="00A122DE"/>
    <w:rsid w:val="00A122F3"/>
    <w:rsid w:val="00A124DA"/>
    <w:rsid w:val="00A12632"/>
    <w:rsid w:val="00A1286E"/>
    <w:rsid w:val="00A128F4"/>
    <w:rsid w:val="00A1296C"/>
    <w:rsid w:val="00A12A55"/>
    <w:rsid w:val="00A12D67"/>
    <w:rsid w:val="00A12E18"/>
    <w:rsid w:val="00A12E6A"/>
    <w:rsid w:val="00A1304F"/>
    <w:rsid w:val="00A13084"/>
    <w:rsid w:val="00A1314F"/>
    <w:rsid w:val="00A13159"/>
    <w:rsid w:val="00A13263"/>
    <w:rsid w:val="00A132A0"/>
    <w:rsid w:val="00A1359B"/>
    <w:rsid w:val="00A136D9"/>
    <w:rsid w:val="00A13804"/>
    <w:rsid w:val="00A13918"/>
    <w:rsid w:val="00A13941"/>
    <w:rsid w:val="00A1394A"/>
    <w:rsid w:val="00A13DDC"/>
    <w:rsid w:val="00A13DEA"/>
    <w:rsid w:val="00A13E4A"/>
    <w:rsid w:val="00A13EE9"/>
    <w:rsid w:val="00A13F63"/>
    <w:rsid w:val="00A13FEC"/>
    <w:rsid w:val="00A13FF3"/>
    <w:rsid w:val="00A140DC"/>
    <w:rsid w:val="00A14281"/>
    <w:rsid w:val="00A1435E"/>
    <w:rsid w:val="00A14420"/>
    <w:rsid w:val="00A1445B"/>
    <w:rsid w:val="00A145DD"/>
    <w:rsid w:val="00A14616"/>
    <w:rsid w:val="00A146DF"/>
    <w:rsid w:val="00A14897"/>
    <w:rsid w:val="00A14A7D"/>
    <w:rsid w:val="00A14B0A"/>
    <w:rsid w:val="00A14DBD"/>
    <w:rsid w:val="00A14EAF"/>
    <w:rsid w:val="00A14F66"/>
    <w:rsid w:val="00A1504A"/>
    <w:rsid w:val="00A1521F"/>
    <w:rsid w:val="00A1522A"/>
    <w:rsid w:val="00A15256"/>
    <w:rsid w:val="00A15334"/>
    <w:rsid w:val="00A15509"/>
    <w:rsid w:val="00A15565"/>
    <w:rsid w:val="00A15570"/>
    <w:rsid w:val="00A1562B"/>
    <w:rsid w:val="00A15AB5"/>
    <w:rsid w:val="00A15BCA"/>
    <w:rsid w:val="00A15D09"/>
    <w:rsid w:val="00A15DBD"/>
    <w:rsid w:val="00A15DD9"/>
    <w:rsid w:val="00A15F06"/>
    <w:rsid w:val="00A15F73"/>
    <w:rsid w:val="00A1602C"/>
    <w:rsid w:val="00A16137"/>
    <w:rsid w:val="00A161BB"/>
    <w:rsid w:val="00A1622A"/>
    <w:rsid w:val="00A166AC"/>
    <w:rsid w:val="00A168BB"/>
    <w:rsid w:val="00A16B17"/>
    <w:rsid w:val="00A16C46"/>
    <w:rsid w:val="00A16CAC"/>
    <w:rsid w:val="00A16D08"/>
    <w:rsid w:val="00A16EC6"/>
    <w:rsid w:val="00A16EFA"/>
    <w:rsid w:val="00A17068"/>
    <w:rsid w:val="00A17097"/>
    <w:rsid w:val="00A172DE"/>
    <w:rsid w:val="00A17313"/>
    <w:rsid w:val="00A17473"/>
    <w:rsid w:val="00A174BF"/>
    <w:rsid w:val="00A176CC"/>
    <w:rsid w:val="00A178E6"/>
    <w:rsid w:val="00A1796C"/>
    <w:rsid w:val="00A17B52"/>
    <w:rsid w:val="00A17E0A"/>
    <w:rsid w:val="00A20190"/>
    <w:rsid w:val="00A201EC"/>
    <w:rsid w:val="00A2033B"/>
    <w:rsid w:val="00A20452"/>
    <w:rsid w:val="00A2055F"/>
    <w:rsid w:val="00A205FF"/>
    <w:rsid w:val="00A20732"/>
    <w:rsid w:val="00A2078B"/>
    <w:rsid w:val="00A2079D"/>
    <w:rsid w:val="00A20B31"/>
    <w:rsid w:val="00A20B48"/>
    <w:rsid w:val="00A20CA0"/>
    <w:rsid w:val="00A20CAC"/>
    <w:rsid w:val="00A20D38"/>
    <w:rsid w:val="00A210A7"/>
    <w:rsid w:val="00A210BA"/>
    <w:rsid w:val="00A21128"/>
    <w:rsid w:val="00A2128D"/>
    <w:rsid w:val="00A212E9"/>
    <w:rsid w:val="00A2134E"/>
    <w:rsid w:val="00A21464"/>
    <w:rsid w:val="00A214C5"/>
    <w:rsid w:val="00A214E7"/>
    <w:rsid w:val="00A21654"/>
    <w:rsid w:val="00A218E1"/>
    <w:rsid w:val="00A2194C"/>
    <w:rsid w:val="00A21A4D"/>
    <w:rsid w:val="00A21B0E"/>
    <w:rsid w:val="00A21BB0"/>
    <w:rsid w:val="00A21CB3"/>
    <w:rsid w:val="00A21E22"/>
    <w:rsid w:val="00A2201C"/>
    <w:rsid w:val="00A22117"/>
    <w:rsid w:val="00A2222A"/>
    <w:rsid w:val="00A222C7"/>
    <w:rsid w:val="00A22434"/>
    <w:rsid w:val="00A2254F"/>
    <w:rsid w:val="00A225E7"/>
    <w:rsid w:val="00A228C7"/>
    <w:rsid w:val="00A229A5"/>
    <w:rsid w:val="00A22BD5"/>
    <w:rsid w:val="00A22BE0"/>
    <w:rsid w:val="00A22DEF"/>
    <w:rsid w:val="00A22E60"/>
    <w:rsid w:val="00A22F51"/>
    <w:rsid w:val="00A231CA"/>
    <w:rsid w:val="00A23569"/>
    <w:rsid w:val="00A236A0"/>
    <w:rsid w:val="00A236B6"/>
    <w:rsid w:val="00A2383B"/>
    <w:rsid w:val="00A23987"/>
    <w:rsid w:val="00A23A20"/>
    <w:rsid w:val="00A23A70"/>
    <w:rsid w:val="00A23AE8"/>
    <w:rsid w:val="00A23BF2"/>
    <w:rsid w:val="00A23E1C"/>
    <w:rsid w:val="00A23E43"/>
    <w:rsid w:val="00A23F3E"/>
    <w:rsid w:val="00A23F62"/>
    <w:rsid w:val="00A2420C"/>
    <w:rsid w:val="00A242C1"/>
    <w:rsid w:val="00A2458F"/>
    <w:rsid w:val="00A245F1"/>
    <w:rsid w:val="00A24626"/>
    <w:rsid w:val="00A24664"/>
    <w:rsid w:val="00A24669"/>
    <w:rsid w:val="00A24716"/>
    <w:rsid w:val="00A2489B"/>
    <w:rsid w:val="00A24D2C"/>
    <w:rsid w:val="00A24DE6"/>
    <w:rsid w:val="00A24FF2"/>
    <w:rsid w:val="00A25354"/>
    <w:rsid w:val="00A253DF"/>
    <w:rsid w:val="00A253F3"/>
    <w:rsid w:val="00A25440"/>
    <w:rsid w:val="00A2561B"/>
    <w:rsid w:val="00A2567B"/>
    <w:rsid w:val="00A256A9"/>
    <w:rsid w:val="00A25793"/>
    <w:rsid w:val="00A257B8"/>
    <w:rsid w:val="00A257EE"/>
    <w:rsid w:val="00A25A8C"/>
    <w:rsid w:val="00A25AB6"/>
    <w:rsid w:val="00A25CA4"/>
    <w:rsid w:val="00A25DAF"/>
    <w:rsid w:val="00A25DDA"/>
    <w:rsid w:val="00A25ED6"/>
    <w:rsid w:val="00A25FAD"/>
    <w:rsid w:val="00A2610B"/>
    <w:rsid w:val="00A26176"/>
    <w:rsid w:val="00A2620F"/>
    <w:rsid w:val="00A26366"/>
    <w:rsid w:val="00A26385"/>
    <w:rsid w:val="00A264B0"/>
    <w:rsid w:val="00A2687D"/>
    <w:rsid w:val="00A2697C"/>
    <w:rsid w:val="00A26BBD"/>
    <w:rsid w:val="00A26C74"/>
    <w:rsid w:val="00A26D3F"/>
    <w:rsid w:val="00A26DA7"/>
    <w:rsid w:val="00A26F27"/>
    <w:rsid w:val="00A26FAE"/>
    <w:rsid w:val="00A27055"/>
    <w:rsid w:val="00A2720D"/>
    <w:rsid w:val="00A2738D"/>
    <w:rsid w:val="00A2739C"/>
    <w:rsid w:val="00A275B7"/>
    <w:rsid w:val="00A275FB"/>
    <w:rsid w:val="00A2768E"/>
    <w:rsid w:val="00A276BB"/>
    <w:rsid w:val="00A2789E"/>
    <w:rsid w:val="00A279D8"/>
    <w:rsid w:val="00A279E5"/>
    <w:rsid w:val="00A279E8"/>
    <w:rsid w:val="00A27A01"/>
    <w:rsid w:val="00A27ED9"/>
    <w:rsid w:val="00A27F19"/>
    <w:rsid w:val="00A2930B"/>
    <w:rsid w:val="00A2D2FE"/>
    <w:rsid w:val="00A3014B"/>
    <w:rsid w:val="00A30159"/>
    <w:rsid w:val="00A3016F"/>
    <w:rsid w:val="00A30236"/>
    <w:rsid w:val="00A302EB"/>
    <w:rsid w:val="00A30333"/>
    <w:rsid w:val="00A303E2"/>
    <w:rsid w:val="00A305F0"/>
    <w:rsid w:val="00A308DA"/>
    <w:rsid w:val="00A30940"/>
    <w:rsid w:val="00A309BD"/>
    <w:rsid w:val="00A309C4"/>
    <w:rsid w:val="00A30B65"/>
    <w:rsid w:val="00A30BD5"/>
    <w:rsid w:val="00A30BED"/>
    <w:rsid w:val="00A30D52"/>
    <w:rsid w:val="00A30F0A"/>
    <w:rsid w:val="00A30F47"/>
    <w:rsid w:val="00A30F50"/>
    <w:rsid w:val="00A31027"/>
    <w:rsid w:val="00A311B0"/>
    <w:rsid w:val="00A311E6"/>
    <w:rsid w:val="00A313A2"/>
    <w:rsid w:val="00A3147A"/>
    <w:rsid w:val="00A314BA"/>
    <w:rsid w:val="00A31824"/>
    <w:rsid w:val="00A31960"/>
    <w:rsid w:val="00A31AAD"/>
    <w:rsid w:val="00A31B43"/>
    <w:rsid w:val="00A31C38"/>
    <w:rsid w:val="00A31C65"/>
    <w:rsid w:val="00A31D2F"/>
    <w:rsid w:val="00A31D66"/>
    <w:rsid w:val="00A31FC8"/>
    <w:rsid w:val="00A3206F"/>
    <w:rsid w:val="00A32102"/>
    <w:rsid w:val="00A32227"/>
    <w:rsid w:val="00A32273"/>
    <w:rsid w:val="00A32318"/>
    <w:rsid w:val="00A3234A"/>
    <w:rsid w:val="00A3239A"/>
    <w:rsid w:val="00A324BE"/>
    <w:rsid w:val="00A325CA"/>
    <w:rsid w:val="00A3261B"/>
    <w:rsid w:val="00A3281A"/>
    <w:rsid w:val="00A328A3"/>
    <w:rsid w:val="00A32928"/>
    <w:rsid w:val="00A32976"/>
    <w:rsid w:val="00A32A48"/>
    <w:rsid w:val="00A32D0A"/>
    <w:rsid w:val="00A32D0C"/>
    <w:rsid w:val="00A32D3C"/>
    <w:rsid w:val="00A32DA5"/>
    <w:rsid w:val="00A32DDE"/>
    <w:rsid w:val="00A32DEC"/>
    <w:rsid w:val="00A32E22"/>
    <w:rsid w:val="00A32E6D"/>
    <w:rsid w:val="00A32F4B"/>
    <w:rsid w:val="00A32F77"/>
    <w:rsid w:val="00A32FE5"/>
    <w:rsid w:val="00A3332F"/>
    <w:rsid w:val="00A333D5"/>
    <w:rsid w:val="00A334AE"/>
    <w:rsid w:val="00A3376A"/>
    <w:rsid w:val="00A33847"/>
    <w:rsid w:val="00A339B3"/>
    <w:rsid w:val="00A339C9"/>
    <w:rsid w:val="00A33A0F"/>
    <w:rsid w:val="00A33BA1"/>
    <w:rsid w:val="00A33D9D"/>
    <w:rsid w:val="00A33E17"/>
    <w:rsid w:val="00A33E65"/>
    <w:rsid w:val="00A33EBA"/>
    <w:rsid w:val="00A33F0C"/>
    <w:rsid w:val="00A33F3A"/>
    <w:rsid w:val="00A33F3C"/>
    <w:rsid w:val="00A33F8E"/>
    <w:rsid w:val="00A34073"/>
    <w:rsid w:val="00A3421B"/>
    <w:rsid w:val="00A34385"/>
    <w:rsid w:val="00A344B6"/>
    <w:rsid w:val="00A34669"/>
    <w:rsid w:val="00A347C5"/>
    <w:rsid w:val="00A34ABF"/>
    <w:rsid w:val="00A34AF7"/>
    <w:rsid w:val="00A34B46"/>
    <w:rsid w:val="00A34C01"/>
    <w:rsid w:val="00A34CB8"/>
    <w:rsid w:val="00A34D0C"/>
    <w:rsid w:val="00A34D62"/>
    <w:rsid w:val="00A34D7B"/>
    <w:rsid w:val="00A34E71"/>
    <w:rsid w:val="00A34E74"/>
    <w:rsid w:val="00A34F49"/>
    <w:rsid w:val="00A34F56"/>
    <w:rsid w:val="00A35022"/>
    <w:rsid w:val="00A351CA"/>
    <w:rsid w:val="00A35240"/>
    <w:rsid w:val="00A35308"/>
    <w:rsid w:val="00A3535F"/>
    <w:rsid w:val="00A35420"/>
    <w:rsid w:val="00A35480"/>
    <w:rsid w:val="00A35759"/>
    <w:rsid w:val="00A35777"/>
    <w:rsid w:val="00A35914"/>
    <w:rsid w:val="00A359A8"/>
    <w:rsid w:val="00A35A1E"/>
    <w:rsid w:val="00A35A2B"/>
    <w:rsid w:val="00A35ABF"/>
    <w:rsid w:val="00A35B68"/>
    <w:rsid w:val="00A35C96"/>
    <w:rsid w:val="00A35DB9"/>
    <w:rsid w:val="00A35F67"/>
    <w:rsid w:val="00A3623E"/>
    <w:rsid w:val="00A362D6"/>
    <w:rsid w:val="00A36332"/>
    <w:rsid w:val="00A36345"/>
    <w:rsid w:val="00A363AC"/>
    <w:rsid w:val="00A363B5"/>
    <w:rsid w:val="00A363DF"/>
    <w:rsid w:val="00A36800"/>
    <w:rsid w:val="00A36A80"/>
    <w:rsid w:val="00A36C72"/>
    <w:rsid w:val="00A36EBC"/>
    <w:rsid w:val="00A36F3D"/>
    <w:rsid w:val="00A37080"/>
    <w:rsid w:val="00A370E1"/>
    <w:rsid w:val="00A37211"/>
    <w:rsid w:val="00A375E0"/>
    <w:rsid w:val="00A377CC"/>
    <w:rsid w:val="00A3784F"/>
    <w:rsid w:val="00A379BD"/>
    <w:rsid w:val="00A379BF"/>
    <w:rsid w:val="00A37A77"/>
    <w:rsid w:val="00A37A91"/>
    <w:rsid w:val="00A37AAC"/>
    <w:rsid w:val="00A37B06"/>
    <w:rsid w:val="00A37CC4"/>
    <w:rsid w:val="00A37D17"/>
    <w:rsid w:val="00A37D3D"/>
    <w:rsid w:val="00A37D62"/>
    <w:rsid w:val="00A37D6F"/>
    <w:rsid w:val="00A37D91"/>
    <w:rsid w:val="00A37DAA"/>
    <w:rsid w:val="00A4015D"/>
    <w:rsid w:val="00A40163"/>
    <w:rsid w:val="00A40179"/>
    <w:rsid w:val="00A4044C"/>
    <w:rsid w:val="00A40503"/>
    <w:rsid w:val="00A4052C"/>
    <w:rsid w:val="00A4054D"/>
    <w:rsid w:val="00A405BD"/>
    <w:rsid w:val="00A405FC"/>
    <w:rsid w:val="00A40698"/>
    <w:rsid w:val="00A406B3"/>
    <w:rsid w:val="00A408F3"/>
    <w:rsid w:val="00A40901"/>
    <w:rsid w:val="00A40907"/>
    <w:rsid w:val="00A4091E"/>
    <w:rsid w:val="00A40AE9"/>
    <w:rsid w:val="00A40B09"/>
    <w:rsid w:val="00A40BC7"/>
    <w:rsid w:val="00A40BE8"/>
    <w:rsid w:val="00A40D06"/>
    <w:rsid w:val="00A40E6E"/>
    <w:rsid w:val="00A40E7A"/>
    <w:rsid w:val="00A40EC7"/>
    <w:rsid w:val="00A40EFD"/>
    <w:rsid w:val="00A40F09"/>
    <w:rsid w:val="00A40F1A"/>
    <w:rsid w:val="00A40F3C"/>
    <w:rsid w:val="00A40F87"/>
    <w:rsid w:val="00A41126"/>
    <w:rsid w:val="00A41134"/>
    <w:rsid w:val="00A411E0"/>
    <w:rsid w:val="00A412C4"/>
    <w:rsid w:val="00A412ED"/>
    <w:rsid w:val="00A41380"/>
    <w:rsid w:val="00A413B4"/>
    <w:rsid w:val="00A41495"/>
    <w:rsid w:val="00A41513"/>
    <w:rsid w:val="00A4157D"/>
    <w:rsid w:val="00A41750"/>
    <w:rsid w:val="00A41B1E"/>
    <w:rsid w:val="00A41C6A"/>
    <w:rsid w:val="00A41C9B"/>
    <w:rsid w:val="00A41E0C"/>
    <w:rsid w:val="00A41E6B"/>
    <w:rsid w:val="00A420EB"/>
    <w:rsid w:val="00A421C8"/>
    <w:rsid w:val="00A422C6"/>
    <w:rsid w:val="00A42427"/>
    <w:rsid w:val="00A42483"/>
    <w:rsid w:val="00A42586"/>
    <w:rsid w:val="00A42624"/>
    <w:rsid w:val="00A4264C"/>
    <w:rsid w:val="00A42669"/>
    <w:rsid w:val="00A4279B"/>
    <w:rsid w:val="00A4283D"/>
    <w:rsid w:val="00A428E4"/>
    <w:rsid w:val="00A428FE"/>
    <w:rsid w:val="00A42999"/>
    <w:rsid w:val="00A42A59"/>
    <w:rsid w:val="00A42B7F"/>
    <w:rsid w:val="00A42B9B"/>
    <w:rsid w:val="00A42CDA"/>
    <w:rsid w:val="00A42E2A"/>
    <w:rsid w:val="00A42ED9"/>
    <w:rsid w:val="00A43041"/>
    <w:rsid w:val="00A430B3"/>
    <w:rsid w:val="00A43163"/>
    <w:rsid w:val="00A431B4"/>
    <w:rsid w:val="00A431C7"/>
    <w:rsid w:val="00A431E3"/>
    <w:rsid w:val="00A431E9"/>
    <w:rsid w:val="00A4336C"/>
    <w:rsid w:val="00A4338C"/>
    <w:rsid w:val="00A4348D"/>
    <w:rsid w:val="00A434AD"/>
    <w:rsid w:val="00A43529"/>
    <w:rsid w:val="00A436AA"/>
    <w:rsid w:val="00A4370F"/>
    <w:rsid w:val="00A4391C"/>
    <w:rsid w:val="00A43981"/>
    <w:rsid w:val="00A439AA"/>
    <w:rsid w:val="00A43A0E"/>
    <w:rsid w:val="00A43AB8"/>
    <w:rsid w:val="00A43B3C"/>
    <w:rsid w:val="00A43B79"/>
    <w:rsid w:val="00A43E08"/>
    <w:rsid w:val="00A43E81"/>
    <w:rsid w:val="00A43F32"/>
    <w:rsid w:val="00A43F7E"/>
    <w:rsid w:val="00A44030"/>
    <w:rsid w:val="00A44080"/>
    <w:rsid w:val="00A4409E"/>
    <w:rsid w:val="00A440E7"/>
    <w:rsid w:val="00A440F0"/>
    <w:rsid w:val="00A4426B"/>
    <w:rsid w:val="00A44302"/>
    <w:rsid w:val="00A44317"/>
    <w:rsid w:val="00A4437A"/>
    <w:rsid w:val="00A44416"/>
    <w:rsid w:val="00A44438"/>
    <w:rsid w:val="00A44473"/>
    <w:rsid w:val="00A446AB"/>
    <w:rsid w:val="00A44924"/>
    <w:rsid w:val="00A44BB5"/>
    <w:rsid w:val="00A44D83"/>
    <w:rsid w:val="00A44DAF"/>
    <w:rsid w:val="00A44F65"/>
    <w:rsid w:val="00A44FC9"/>
    <w:rsid w:val="00A45027"/>
    <w:rsid w:val="00A45413"/>
    <w:rsid w:val="00A45594"/>
    <w:rsid w:val="00A456A9"/>
    <w:rsid w:val="00A457E7"/>
    <w:rsid w:val="00A4580F"/>
    <w:rsid w:val="00A45A42"/>
    <w:rsid w:val="00A45A8A"/>
    <w:rsid w:val="00A45B28"/>
    <w:rsid w:val="00A45BD7"/>
    <w:rsid w:val="00A45C2B"/>
    <w:rsid w:val="00A45D39"/>
    <w:rsid w:val="00A45DB7"/>
    <w:rsid w:val="00A45FF3"/>
    <w:rsid w:val="00A4617C"/>
    <w:rsid w:val="00A461FF"/>
    <w:rsid w:val="00A46214"/>
    <w:rsid w:val="00A463E4"/>
    <w:rsid w:val="00A4663B"/>
    <w:rsid w:val="00A4663E"/>
    <w:rsid w:val="00A467A7"/>
    <w:rsid w:val="00A46858"/>
    <w:rsid w:val="00A4695E"/>
    <w:rsid w:val="00A46A57"/>
    <w:rsid w:val="00A46AA7"/>
    <w:rsid w:val="00A46C0F"/>
    <w:rsid w:val="00A46C8D"/>
    <w:rsid w:val="00A46FD3"/>
    <w:rsid w:val="00A47055"/>
    <w:rsid w:val="00A471BE"/>
    <w:rsid w:val="00A4730E"/>
    <w:rsid w:val="00A4776A"/>
    <w:rsid w:val="00A477B6"/>
    <w:rsid w:val="00A4780D"/>
    <w:rsid w:val="00A47874"/>
    <w:rsid w:val="00A4788C"/>
    <w:rsid w:val="00A47937"/>
    <w:rsid w:val="00A47AD4"/>
    <w:rsid w:val="00A47DFA"/>
    <w:rsid w:val="00A47E8D"/>
    <w:rsid w:val="00A501AB"/>
    <w:rsid w:val="00A50281"/>
    <w:rsid w:val="00A50415"/>
    <w:rsid w:val="00A504C8"/>
    <w:rsid w:val="00A504E8"/>
    <w:rsid w:val="00A50756"/>
    <w:rsid w:val="00A507EB"/>
    <w:rsid w:val="00A5089F"/>
    <w:rsid w:val="00A50961"/>
    <w:rsid w:val="00A50A3D"/>
    <w:rsid w:val="00A50BDA"/>
    <w:rsid w:val="00A50C73"/>
    <w:rsid w:val="00A50CEE"/>
    <w:rsid w:val="00A50D3F"/>
    <w:rsid w:val="00A50F72"/>
    <w:rsid w:val="00A5104C"/>
    <w:rsid w:val="00A51059"/>
    <w:rsid w:val="00A5106B"/>
    <w:rsid w:val="00A5111C"/>
    <w:rsid w:val="00A51335"/>
    <w:rsid w:val="00A5133B"/>
    <w:rsid w:val="00A51404"/>
    <w:rsid w:val="00A51511"/>
    <w:rsid w:val="00A5161F"/>
    <w:rsid w:val="00A5168E"/>
    <w:rsid w:val="00A516E2"/>
    <w:rsid w:val="00A5177F"/>
    <w:rsid w:val="00A51B71"/>
    <w:rsid w:val="00A51C2B"/>
    <w:rsid w:val="00A51FB2"/>
    <w:rsid w:val="00A52072"/>
    <w:rsid w:val="00A52091"/>
    <w:rsid w:val="00A52100"/>
    <w:rsid w:val="00A521A2"/>
    <w:rsid w:val="00A522FC"/>
    <w:rsid w:val="00A5286C"/>
    <w:rsid w:val="00A528C1"/>
    <w:rsid w:val="00A52B9F"/>
    <w:rsid w:val="00A52BFA"/>
    <w:rsid w:val="00A52E0F"/>
    <w:rsid w:val="00A52E66"/>
    <w:rsid w:val="00A52E67"/>
    <w:rsid w:val="00A52FB7"/>
    <w:rsid w:val="00A53043"/>
    <w:rsid w:val="00A530FE"/>
    <w:rsid w:val="00A53127"/>
    <w:rsid w:val="00A53131"/>
    <w:rsid w:val="00A5345E"/>
    <w:rsid w:val="00A53493"/>
    <w:rsid w:val="00A534CB"/>
    <w:rsid w:val="00A534FA"/>
    <w:rsid w:val="00A53701"/>
    <w:rsid w:val="00A53726"/>
    <w:rsid w:val="00A538E8"/>
    <w:rsid w:val="00A5391C"/>
    <w:rsid w:val="00A53A40"/>
    <w:rsid w:val="00A53A89"/>
    <w:rsid w:val="00A53FC3"/>
    <w:rsid w:val="00A54049"/>
    <w:rsid w:val="00A540F5"/>
    <w:rsid w:val="00A541D5"/>
    <w:rsid w:val="00A54200"/>
    <w:rsid w:val="00A54214"/>
    <w:rsid w:val="00A542FA"/>
    <w:rsid w:val="00A54484"/>
    <w:rsid w:val="00A5478F"/>
    <w:rsid w:val="00A5490E"/>
    <w:rsid w:val="00A54955"/>
    <w:rsid w:val="00A549BB"/>
    <w:rsid w:val="00A549E2"/>
    <w:rsid w:val="00A54A27"/>
    <w:rsid w:val="00A54BC0"/>
    <w:rsid w:val="00A54CC3"/>
    <w:rsid w:val="00A55085"/>
    <w:rsid w:val="00A550B7"/>
    <w:rsid w:val="00A5527A"/>
    <w:rsid w:val="00A55580"/>
    <w:rsid w:val="00A555E8"/>
    <w:rsid w:val="00A5563B"/>
    <w:rsid w:val="00A5571D"/>
    <w:rsid w:val="00A55A50"/>
    <w:rsid w:val="00A55AAF"/>
    <w:rsid w:val="00A55B04"/>
    <w:rsid w:val="00A55C54"/>
    <w:rsid w:val="00A55D15"/>
    <w:rsid w:val="00A56030"/>
    <w:rsid w:val="00A56122"/>
    <w:rsid w:val="00A562DA"/>
    <w:rsid w:val="00A562F3"/>
    <w:rsid w:val="00A5646C"/>
    <w:rsid w:val="00A566E7"/>
    <w:rsid w:val="00A56726"/>
    <w:rsid w:val="00A567B2"/>
    <w:rsid w:val="00A56997"/>
    <w:rsid w:val="00A5699C"/>
    <w:rsid w:val="00A56A66"/>
    <w:rsid w:val="00A56B32"/>
    <w:rsid w:val="00A56D8C"/>
    <w:rsid w:val="00A56DF1"/>
    <w:rsid w:val="00A56E69"/>
    <w:rsid w:val="00A56F6F"/>
    <w:rsid w:val="00A570D1"/>
    <w:rsid w:val="00A57388"/>
    <w:rsid w:val="00A5753F"/>
    <w:rsid w:val="00A5780E"/>
    <w:rsid w:val="00A57903"/>
    <w:rsid w:val="00A57997"/>
    <w:rsid w:val="00A579DB"/>
    <w:rsid w:val="00A57C38"/>
    <w:rsid w:val="00A57EDC"/>
    <w:rsid w:val="00A57F6F"/>
    <w:rsid w:val="00A5B710"/>
    <w:rsid w:val="00A5CC0A"/>
    <w:rsid w:val="00A6001C"/>
    <w:rsid w:val="00A60071"/>
    <w:rsid w:val="00A6013E"/>
    <w:rsid w:val="00A60207"/>
    <w:rsid w:val="00A60239"/>
    <w:rsid w:val="00A6027B"/>
    <w:rsid w:val="00A6034C"/>
    <w:rsid w:val="00A60492"/>
    <w:rsid w:val="00A604CC"/>
    <w:rsid w:val="00A60632"/>
    <w:rsid w:val="00A60816"/>
    <w:rsid w:val="00A608A5"/>
    <w:rsid w:val="00A608FD"/>
    <w:rsid w:val="00A60A94"/>
    <w:rsid w:val="00A60B0A"/>
    <w:rsid w:val="00A60C21"/>
    <w:rsid w:val="00A60C37"/>
    <w:rsid w:val="00A60DE3"/>
    <w:rsid w:val="00A60DE5"/>
    <w:rsid w:val="00A610B7"/>
    <w:rsid w:val="00A610F9"/>
    <w:rsid w:val="00A611AD"/>
    <w:rsid w:val="00A612D5"/>
    <w:rsid w:val="00A612E1"/>
    <w:rsid w:val="00A6146E"/>
    <w:rsid w:val="00A6159A"/>
    <w:rsid w:val="00A61797"/>
    <w:rsid w:val="00A61884"/>
    <w:rsid w:val="00A618D3"/>
    <w:rsid w:val="00A61925"/>
    <w:rsid w:val="00A61965"/>
    <w:rsid w:val="00A61A93"/>
    <w:rsid w:val="00A61AEC"/>
    <w:rsid w:val="00A61B29"/>
    <w:rsid w:val="00A62114"/>
    <w:rsid w:val="00A621CC"/>
    <w:rsid w:val="00A621DD"/>
    <w:rsid w:val="00A62313"/>
    <w:rsid w:val="00A623A5"/>
    <w:rsid w:val="00A62542"/>
    <w:rsid w:val="00A626F9"/>
    <w:rsid w:val="00A62746"/>
    <w:rsid w:val="00A628B0"/>
    <w:rsid w:val="00A62A32"/>
    <w:rsid w:val="00A62A84"/>
    <w:rsid w:val="00A62B8D"/>
    <w:rsid w:val="00A62BA3"/>
    <w:rsid w:val="00A62C25"/>
    <w:rsid w:val="00A62C6F"/>
    <w:rsid w:val="00A62DB0"/>
    <w:rsid w:val="00A62E62"/>
    <w:rsid w:val="00A62EAF"/>
    <w:rsid w:val="00A62F4B"/>
    <w:rsid w:val="00A6300C"/>
    <w:rsid w:val="00A63225"/>
    <w:rsid w:val="00A632CC"/>
    <w:rsid w:val="00A63438"/>
    <w:rsid w:val="00A63625"/>
    <w:rsid w:val="00A636B7"/>
    <w:rsid w:val="00A636CE"/>
    <w:rsid w:val="00A6373B"/>
    <w:rsid w:val="00A637A0"/>
    <w:rsid w:val="00A638AF"/>
    <w:rsid w:val="00A639F4"/>
    <w:rsid w:val="00A63AAC"/>
    <w:rsid w:val="00A63BFB"/>
    <w:rsid w:val="00A63CD7"/>
    <w:rsid w:val="00A63DBE"/>
    <w:rsid w:val="00A63DCD"/>
    <w:rsid w:val="00A63E80"/>
    <w:rsid w:val="00A640ED"/>
    <w:rsid w:val="00A64335"/>
    <w:rsid w:val="00A6436C"/>
    <w:rsid w:val="00A643CF"/>
    <w:rsid w:val="00A64409"/>
    <w:rsid w:val="00A64466"/>
    <w:rsid w:val="00A6469D"/>
    <w:rsid w:val="00A646D0"/>
    <w:rsid w:val="00A6473C"/>
    <w:rsid w:val="00A64BCF"/>
    <w:rsid w:val="00A64CC0"/>
    <w:rsid w:val="00A64DD6"/>
    <w:rsid w:val="00A64ED6"/>
    <w:rsid w:val="00A651E0"/>
    <w:rsid w:val="00A65379"/>
    <w:rsid w:val="00A6554D"/>
    <w:rsid w:val="00A655FB"/>
    <w:rsid w:val="00A65783"/>
    <w:rsid w:val="00A657B8"/>
    <w:rsid w:val="00A657C8"/>
    <w:rsid w:val="00A65865"/>
    <w:rsid w:val="00A65C00"/>
    <w:rsid w:val="00A65C11"/>
    <w:rsid w:val="00A65DB0"/>
    <w:rsid w:val="00A65E18"/>
    <w:rsid w:val="00A66118"/>
    <w:rsid w:val="00A66207"/>
    <w:rsid w:val="00A66241"/>
    <w:rsid w:val="00A66249"/>
    <w:rsid w:val="00A66487"/>
    <w:rsid w:val="00A664F6"/>
    <w:rsid w:val="00A665A9"/>
    <w:rsid w:val="00A665F8"/>
    <w:rsid w:val="00A666AB"/>
    <w:rsid w:val="00A666EA"/>
    <w:rsid w:val="00A6693E"/>
    <w:rsid w:val="00A66A33"/>
    <w:rsid w:val="00A66A53"/>
    <w:rsid w:val="00A66AAF"/>
    <w:rsid w:val="00A66D55"/>
    <w:rsid w:val="00A66FBF"/>
    <w:rsid w:val="00A670CB"/>
    <w:rsid w:val="00A67345"/>
    <w:rsid w:val="00A6747D"/>
    <w:rsid w:val="00A67540"/>
    <w:rsid w:val="00A675C2"/>
    <w:rsid w:val="00A6776D"/>
    <w:rsid w:val="00A67808"/>
    <w:rsid w:val="00A67899"/>
    <w:rsid w:val="00A678CB"/>
    <w:rsid w:val="00A6798E"/>
    <w:rsid w:val="00A679E6"/>
    <w:rsid w:val="00A67A33"/>
    <w:rsid w:val="00A67B8F"/>
    <w:rsid w:val="00A67CA2"/>
    <w:rsid w:val="00A67D21"/>
    <w:rsid w:val="00A67DB9"/>
    <w:rsid w:val="00A67DD6"/>
    <w:rsid w:val="00A67F8A"/>
    <w:rsid w:val="00A67FBF"/>
    <w:rsid w:val="00A68849"/>
    <w:rsid w:val="00A6D9DF"/>
    <w:rsid w:val="00A7010C"/>
    <w:rsid w:val="00A703BC"/>
    <w:rsid w:val="00A70415"/>
    <w:rsid w:val="00A70515"/>
    <w:rsid w:val="00A70583"/>
    <w:rsid w:val="00A70642"/>
    <w:rsid w:val="00A7096B"/>
    <w:rsid w:val="00A70A26"/>
    <w:rsid w:val="00A70A40"/>
    <w:rsid w:val="00A70A7B"/>
    <w:rsid w:val="00A70AFE"/>
    <w:rsid w:val="00A70B7E"/>
    <w:rsid w:val="00A70DD3"/>
    <w:rsid w:val="00A71055"/>
    <w:rsid w:val="00A711D2"/>
    <w:rsid w:val="00A7129B"/>
    <w:rsid w:val="00A7138E"/>
    <w:rsid w:val="00A71463"/>
    <w:rsid w:val="00A71728"/>
    <w:rsid w:val="00A71918"/>
    <w:rsid w:val="00A71AEF"/>
    <w:rsid w:val="00A71BA3"/>
    <w:rsid w:val="00A71CED"/>
    <w:rsid w:val="00A71E51"/>
    <w:rsid w:val="00A71E62"/>
    <w:rsid w:val="00A71FF7"/>
    <w:rsid w:val="00A7201D"/>
    <w:rsid w:val="00A720BD"/>
    <w:rsid w:val="00A72114"/>
    <w:rsid w:val="00A723AC"/>
    <w:rsid w:val="00A72707"/>
    <w:rsid w:val="00A727F4"/>
    <w:rsid w:val="00A7280D"/>
    <w:rsid w:val="00A72A96"/>
    <w:rsid w:val="00A72CF8"/>
    <w:rsid w:val="00A72EA7"/>
    <w:rsid w:val="00A72EF2"/>
    <w:rsid w:val="00A73009"/>
    <w:rsid w:val="00A73292"/>
    <w:rsid w:val="00A732C8"/>
    <w:rsid w:val="00A7332C"/>
    <w:rsid w:val="00A7334B"/>
    <w:rsid w:val="00A73502"/>
    <w:rsid w:val="00A73689"/>
    <w:rsid w:val="00A73740"/>
    <w:rsid w:val="00A737EB"/>
    <w:rsid w:val="00A737F6"/>
    <w:rsid w:val="00A73A24"/>
    <w:rsid w:val="00A73AC8"/>
    <w:rsid w:val="00A74064"/>
    <w:rsid w:val="00A740CD"/>
    <w:rsid w:val="00A74116"/>
    <w:rsid w:val="00A741BD"/>
    <w:rsid w:val="00A741FB"/>
    <w:rsid w:val="00A74271"/>
    <w:rsid w:val="00A742B6"/>
    <w:rsid w:val="00A743AB"/>
    <w:rsid w:val="00A7445B"/>
    <w:rsid w:val="00A745B1"/>
    <w:rsid w:val="00A748A6"/>
    <w:rsid w:val="00A74941"/>
    <w:rsid w:val="00A749A0"/>
    <w:rsid w:val="00A74A32"/>
    <w:rsid w:val="00A74A36"/>
    <w:rsid w:val="00A751E8"/>
    <w:rsid w:val="00A75689"/>
    <w:rsid w:val="00A756AD"/>
    <w:rsid w:val="00A7589F"/>
    <w:rsid w:val="00A759EC"/>
    <w:rsid w:val="00A75B45"/>
    <w:rsid w:val="00A75B83"/>
    <w:rsid w:val="00A75BFA"/>
    <w:rsid w:val="00A75E90"/>
    <w:rsid w:val="00A75FDF"/>
    <w:rsid w:val="00A76009"/>
    <w:rsid w:val="00A7621A"/>
    <w:rsid w:val="00A7641C"/>
    <w:rsid w:val="00A76524"/>
    <w:rsid w:val="00A7659D"/>
    <w:rsid w:val="00A765D4"/>
    <w:rsid w:val="00A765D7"/>
    <w:rsid w:val="00A766D5"/>
    <w:rsid w:val="00A76845"/>
    <w:rsid w:val="00A7695C"/>
    <w:rsid w:val="00A7696D"/>
    <w:rsid w:val="00A769F1"/>
    <w:rsid w:val="00A76AF5"/>
    <w:rsid w:val="00A76B05"/>
    <w:rsid w:val="00A76B09"/>
    <w:rsid w:val="00A76BA8"/>
    <w:rsid w:val="00A76BAF"/>
    <w:rsid w:val="00A76BE6"/>
    <w:rsid w:val="00A76BF6"/>
    <w:rsid w:val="00A76D7C"/>
    <w:rsid w:val="00A76D90"/>
    <w:rsid w:val="00A76DF1"/>
    <w:rsid w:val="00A77008"/>
    <w:rsid w:val="00A77059"/>
    <w:rsid w:val="00A770B1"/>
    <w:rsid w:val="00A77282"/>
    <w:rsid w:val="00A77380"/>
    <w:rsid w:val="00A773A8"/>
    <w:rsid w:val="00A7756D"/>
    <w:rsid w:val="00A775B0"/>
    <w:rsid w:val="00A77685"/>
    <w:rsid w:val="00A776E8"/>
    <w:rsid w:val="00A77746"/>
    <w:rsid w:val="00A77936"/>
    <w:rsid w:val="00A7793D"/>
    <w:rsid w:val="00A779BB"/>
    <w:rsid w:val="00A77B0A"/>
    <w:rsid w:val="00A77B10"/>
    <w:rsid w:val="00A77B6B"/>
    <w:rsid w:val="00A77B7F"/>
    <w:rsid w:val="00A77BEA"/>
    <w:rsid w:val="00A77CE5"/>
    <w:rsid w:val="00A77E46"/>
    <w:rsid w:val="00A77F47"/>
    <w:rsid w:val="00A77F7D"/>
    <w:rsid w:val="00A77FD3"/>
    <w:rsid w:val="00A78E44"/>
    <w:rsid w:val="00A7AF40"/>
    <w:rsid w:val="00A7FF67"/>
    <w:rsid w:val="00A80014"/>
    <w:rsid w:val="00A80101"/>
    <w:rsid w:val="00A80171"/>
    <w:rsid w:val="00A8017B"/>
    <w:rsid w:val="00A80293"/>
    <w:rsid w:val="00A80499"/>
    <w:rsid w:val="00A804C5"/>
    <w:rsid w:val="00A8058F"/>
    <w:rsid w:val="00A805A0"/>
    <w:rsid w:val="00A80671"/>
    <w:rsid w:val="00A807E2"/>
    <w:rsid w:val="00A80839"/>
    <w:rsid w:val="00A80A41"/>
    <w:rsid w:val="00A80B2A"/>
    <w:rsid w:val="00A80D94"/>
    <w:rsid w:val="00A80DDA"/>
    <w:rsid w:val="00A80DF4"/>
    <w:rsid w:val="00A80E37"/>
    <w:rsid w:val="00A80FDC"/>
    <w:rsid w:val="00A812E7"/>
    <w:rsid w:val="00A812F5"/>
    <w:rsid w:val="00A81316"/>
    <w:rsid w:val="00A8141F"/>
    <w:rsid w:val="00A81458"/>
    <w:rsid w:val="00A814FA"/>
    <w:rsid w:val="00A81680"/>
    <w:rsid w:val="00A81779"/>
    <w:rsid w:val="00A817C7"/>
    <w:rsid w:val="00A817E9"/>
    <w:rsid w:val="00A81876"/>
    <w:rsid w:val="00A818D4"/>
    <w:rsid w:val="00A81B61"/>
    <w:rsid w:val="00A81BDF"/>
    <w:rsid w:val="00A81C17"/>
    <w:rsid w:val="00A81C39"/>
    <w:rsid w:val="00A81DF6"/>
    <w:rsid w:val="00A81E36"/>
    <w:rsid w:val="00A81F8F"/>
    <w:rsid w:val="00A81FCE"/>
    <w:rsid w:val="00A82003"/>
    <w:rsid w:val="00A8217C"/>
    <w:rsid w:val="00A824F6"/>
    <w:rsid w:val="00A825FF"/>
    <w:rsid w:val="00A826EC"/>
    <w:rsid w:val="00A82769"/>
    <w:rsid w:val="00A82827"/>
    <w:rsid w:val="00A828C8"/>
    <w:rsid w:val="00A82A19"/>
    <w:rsid w:val="00A82A73"/>
    <w:rsid w:val="00A82B19"/>
    <w:rsid w:val="00A82B30"/>
    <w:rsid w:val="00A82BBF"/>
    <w:rsid w:val="00A82D04"/>
    <w:rsid w:val="00A82F82"/>
    <w:rsid w:val="00A83075"/>
    <w:rsid w:val="00A83101"/>
    <w:rsid w:val="00A8324B"/>
    <w:rsid w:val="00A83261"/>
    <w:rsid w:val="00A83458"/>
    <w:rsid w:val="00A834EF"/>
    <w:rsid w:val="00A836F4"/>
    <w:rsid w:val="00A83856"/>
    <w:rsid w:val="00A83C5E"/>
    <w:rsid w:val="00A83D14"/>
    <w:rsid w:val="00A83D5C"/>
    <w:rsid w:val="00A83EC3"/>
    <w:rsid w:val="00A83F2F"/>
    <w:rsid w:val="00A84232"/>
    <w:rsid w:val="00A843E0"/>
    <w:rsid w:val="00A8441D"/>
    <w:rsid w:val="00A84420"/>
    <w:rsid w:val="00A847E0"/>
    <w:rsid w:val="00A847F2"/>
    <w:rsid w:val="00A8483B"/>
    <w:rsid w:val="00A848CD"/>
    <w:rsid w:val="00A8499D"/>
    <w:rsid w:val="00A849DC"/>
    <w:rsid w:val="00A84A61"/>
    <w:rsid w:val="00A84BB5"/>
    <w:rsid w:val="00A84CB4"/>
    <w:rsid w:val="00A84CD0"/>
    <w:rsid w:val="00A84D31"/>
    <w:rsid w:val="00A84D33"/>
    <w:rsid w:val="00A84D7E"/>
    <w:rsid w:val="00A84F7C"/>
    <w:rsid w:val="00A8513F"/>
    <w:rsid w:val="00A85289"/>
    <w:rsid w:val="00A85295"/>
    <w:rsid w:val="00A85301"/>
    <w:rsid w:val="00A85396"/>
    <w:rsid w:val="00A853A0"/>
    <w:rsid w:val="00A853C5"/>
    <w:rsid w:val="00A854E9"/>
    <w:rsid w:val="00A85517"/>
    <w:rsid w:val="00A8561A"/>
    <w:rsid w:val="00A8581D"/>
    <w:rsid w:val="00A859CA"/>
    <w:rsid w:val="00A85C1B"/>
    <w:rsid w:val="00A85C87"/>
    <w:rsid w:val="00A85D59"/>
    <w:rsid w:val="00A85EC1"/>
    <w:rsid w:val="00A85F33"/>
    <w:rsid w:val="00A85F38"/>
    <w:rsid w:val="00A85FB2"/>
    <w:rsid w:val="00A85FFC"/>
    <w:rsid w:val="00A86030"/>
    <w:rsid w:val="00A86068"/>
    <w:rsid w:val="00A8617F"/>
    <w:rsid w:val="00A86189"/>
    <w:rsid w:val="00A86418"/>
    <w:rsid w:val="00A8663C"/>
    <w:rsid w:val="00A8665B"/>
    <w:rsid w:val="00A8695E"/>
    <w:rsid w:val="00A86999"/>
    <w:rsid w:val="00A86B44"/>
    <w:rsid w:val="00A86B50"/>
    <w:rsid w:val="00A86C66"/>
    <w:rsid w:val="00A86CA1"/>
    <w:rsid w:val="00A86CD0"/>
    <w:rsid w:val="00A86DC1"/>
    <w:rsid w:val="00A86F72"/>
    <w:rsid w:val="00A86FA9"/>
    <w:rsid w:val="00A87001"/>
    <w:rsid w:val="00A87119"/>
    <w:rsid w:val="00A873DC"/>
    <w:rsid w:val="00A87477"/>
    <w:rsid w:val="00A876EE"/>
    <w:rsid w:val="00A87838"/>
    <w:rsid w:val="00A87841"/>
    <w:rsid w:val="00A878B7"/>
    <w:rsid w:val="00A878BB"/>
    <w:rsid w:val="00A879BA"/>
    <w:rsid w:val="00A87A02"/>
    <w:rsid w:val="00A87ACF"/>
    <w:rsid w:val="00A87C0F"/>
    <w:rsid w:val="00A87CCB"/>
    <w:rsid w:val="00A87D3F"/>
    <w:rsid w:val="00A88493"/>
    <w:rsid w:val="00A9006C"/>
    <w:rsid w:val="00A900D3"/>
    <w:rsid w:val="00A901E0"/>
    <w:rsid w:val="00A90235"/>
    <w:rsid w:val="00A902BA"/>
    <w:rsid w:val="00A902D5"/>
    <w:rsid w:val="00A90338"/>
    <w:rsid w:val="00A904E3"/>
    <w:rsid w:val="00A90513"/>
    <w:rsid w:val="00A90526"/>
    <w:rsid w:val="00A90622"/>
    <w:rsid w:val="00A907E0"/>
    <w:rsid w:val="00A90807"/>
    <w:rsid w:val="00A908D4"/>
    <w:rsid w:val="00A90AC6"/>
    <w:rsid w:val="00A90BC5"/>
    <w:rsid w:val="00A90C9A"/>
    <w:rsid w:val="00A90D0D"/>
    <w:rsid w:val="00A90DAF"/>
    <w:rsid w:val="00A90DFC"/>
    <w:rsid w:val="00A91157"/>
    <w:rsid w:val="00A91288"/>
    <w:rsid w:val="00A91363"/>
    <w:rsid w:val="00A91544"/>
    <w:rsid w:val="00A9171C"/>
    <w:rsid w:val="00A9173D"/>
    <w:rsid w:val="00A9174F"/>
    <w:rsid w:val="00A918AE"/>
    <w:rsid w:val="00A9199E"/>
    <w:rsid w:val="00A91B39"/>
    <w:rsid w:val="00A91C02"/>
    <w:rsid w:val="00A91C43"/>
    <w:rsid w:val="00A91C83"/>
    <w:rsid w:val="00A91C8B"/>
    <w:rsid w:val="00A91CA1"/>
    <w:rsid w:val="00A91CB6"/>
    <w:rsid w:val="00A91DD5"/>
    <w:rsid w:val="00A91DF8"/>
    <w:rsid w:val="00A91F4F"/>
    <w:rsid w:val="00A92157"/>
    <w:rsid w:val="00A92202"/>
    <w:rsid w:val="00A92278"/>
    <w:rsid w:val="00A92543"/>
    <w:rsid w:val="00A9257A"/>
    <w:rsid w:val="00A92691"/>
    <w:rsid w:val="00A926D9"/>
    <w:rsid w:val="00A92781"/>
    <w:rsid w:val="00A928F5"/>
    <w:rsid w:val="00A92902"/>
    <w:rsid w:val="00A92A30"/>
    <w:rsid w:val="00A92ABB"/>
    <w:rsid w:val="00A92D61"/>
    <w:rsid w:val="00A92DE1"/>
    <w:rsid w:val="00A92F7A"/>
    <w:rsid w:val="00A93185"/>
    <w:rsid w:val="00A931CC"/>
    <w:rsid w:val="00A932CF"/>
    <w:rsid w:val="00A93567"/>
    <w:rsid w:val="00A93614"/>
    <w:rsid w:val="00A9369A"/>
    <w:rsid w:val="00A93702"/>
    <w:rsid w:val="00A9374F"/>
    <w:rsid w:val="00A937E2"/>
    <w:rsid w:val="00A938BA"/>
    <w:rsid w:val="00A938F2"/>
    <w:rsid w:val="00A9393C"/>
    <w:rsid w:val="00A93A60"/>
    <w:rsid w:val="00A93B37"/>
    <w:rsid w:val="00A93D02"/>
    <w:rsid w:val="00A93D79"/>
    <w:rsid w:val="00A93E8E"/>
    <w:rsid w:val="00A94040"/>
    <w:rsid w:val="00A94123"/>
    <w:rsid w:val="00A94183"/>
    <w:rsid w:val="00A94184"/>
    <w:rsid w:val="00A94190"/>
    <w:rsid w:val="00A941D3"/>
    <w:rsid w:val="00A94359"/>
    <w:rsid w:val="00A943BD"/>
    <w:rsid w:val="00A9441E"/>
    <w:rsid w:val="00A94448"/>
    <w:rsid w:val="00A944F2"/>
    <w:rsid w:val="00A94673"/>
    <w:rsid w:val="00A946B9"/>
    <w:rsid w:val="00A9481C"/>
    <w:rsid w:val="00A9488C"/>
    <w:rsid w:val="00A948F0"/>
    <w:rsid w:val="00A948FF"/>
    <w:rsid w:val="00A949E9"/>
    <w:rsid w:val="00A94AAA"/>
    <w:rsid w:val="00A94B11"/>
    <w:rsid w:val="00A94BEA"/>
    <w:rsid w:val="00A94C4D"/>
    <w:rsid w:val="00A94D9B"/>
    <w:rsid w:val="00A95423"/>
    <w:rsid w:val="00A95435"/>
    <w:rsid w:val="00A95633"/>
    <w:rsid w:val="00A95764"/>
    <w:rsid w:val="00A9587A"/>
    <w:rsid w:val="00A95882"/>
    <w:rsid w:val="00A9589F"/>
    <w:rsid w:val="00A958E9"/>
    <w:rsid w:val="00A95B6A"/>
    <w:rsid w:val="00A95B80"/>
    <w:rsid w:val="00A95BBA"/>
    <w:rsid w:val="00A95C77"/>
    <w:rsid w:val="00A95C7F"/>
    <w:rsid w:val="00A95C86"/>
    <w:rsid w:val="00A95D2F"/>
    <w:rsid w:val="00A95D32"/>
    <w:rsid w:val="00A95D48"/>
    <w:rsid w:val="00A95D51"/>
    <w:rsid w:val="00A95E12"/>
    <w:rsid w:val="00A95F57"/>
    <w:rsid w:val="00A96156"/>
    <w:rsid w:val="00A962EE"/>
    <w:rsid w:val="00A9674B"/>
    <w:rsid w:val="00A96798"/>
    <w:rsid w:val="00A9683F"/>
    <w:rsid w:val="00A96872"/>
    <w:rsid w:val="00A968DB"/>
    <w:rsid w:val="00A96962"/>
    <w:rsid w:val="00A969EC"/>
    <w:rsid w:val="00A969F9"/>
    <w:rsid w:val="00A96A02"/>
    <w:rsid w:val="00A96A56"/>
    <w:rsid w:val="00A96A79"/>
    <w:rsid w:val="00A96B53"/>
    <w:rsid w:val="00A96CAF"/>
    <w:rsid w:val="00A96CD5"/>
    <w:rsid w:val="00A96E54"/>
    <w:rsid w:val="00A96EB9"/>
    <w:rsid w:val="00A96EE4"/>
    <w:rsid w:val="00A96F36"/>
    <w:rsid w:val="00A96F43"/>
    <w:rsid w:val="00A970D8"/>
    <w:rsid w:val="00A971BC"/>
    <w:rsid w:val="00A9721A"/>
    <w:rsid w:val="00A97346"/>
    <w:rsid w:val="00A97554"/>
    <w:rsid w:val="00A978BD"/>
    <w:rsid w:val="00A979DC"/>
    <w:rsid w:val="00A97C92"/>
    <w:rsid w:val="00A97D02"/>
    <w:rsid w:val="00A97D4F"/>
    <w:rsid w:val="00A97E78"/>
    <w:rsid w:val="00A97ED9"/>
    <w:rsid w:val="00A97F80"/>
    <w:rsid w:val="00A9A3CB"/>
    <w:rsid w:val="00A9BB81"/>
    <w:rsid w:val="00AA0182"/>
    <w:rsid w:val="00AA01EA"/>
    <w:rsid w:val="00AA02A6"/>
    <w:rsid w:val="00AA0521"/>
    <w:rsid w:val="00AA0783"/>
    <w:rsid w:val="00AA07E2"/>
    <w:rsid w:val="00AA090F"/>
    <w:rsid w:val="00AA0AD3"/>
    <w:rsid w:val="00AA0CA2"/>
    <w:rsid w:val="00AA0E2A"/>
    <w:rsid w:val="00AA1146"/>
    <w:rsid w:val="00AA1152"/>
    <w:rsid w:val="00AA134A"/>
    <w:rsid w:val="00AA138B"/>
    <w:rsid w:val="00AA13CF"/>
    <w:rsid w:val="00AA14B7"/>
    <w:rsid w:val="00AA153E"/>
    <w:rsid w:val="00AA15CC"/>
    <w:rsid w:val="00AA168F"/>
    <w:rsid w:val="00AA16FD"/>
    <w:rsid w:val="00AA173B"/>
    <w:rsid w:val="00AA1776"/>
    <w:rsid w:val="00AA17B8"/>
    <w:rsid w:val="00AA17FF"/>
    <w:rsid w:val="00AA189F"/>
    <w:rsid w:val="00AA18D2"/>
    <w:rsid w:val="00AA18EA"/>
    <w:rsid w:val="00AA19F6"/>
    <w:rsid w:val="00AA1A1A"/>
    <w:rsid w:val="00AA1B6B"/>
    <w:rsid w:val="00AA1B98"/>
    <w:rsid w:val="00AA1BBB"/>
    <w:rsid w:val="00AA1D10"/>
    <w:rsid w:val="00AA1E96"/>
    <w:rsid w:val="00AA1EB4"/>
    <w:rsid w:val="00AA202A"/>
    <w:rsid w:val="00AA20B6"/>
    <w:rsid w:val="00AA2116"/>
    <w:rsid w:val="00AA22C9"/>
    <w:rsid w:val="00AA23F9"/>
    <w:rsid w:val="00AA2516"/>
    <w:rsid w:val="00AA2529"/>
    <w:rsid w:val="00AA2547"/>
    <w:rsid w:val="00AA256F"/>
    <w:rsid w:val="00AA2758"/>
    <w:rsid w:val="00AA2C43"/>
    <w:rsid w:val="00AA2CD1"/>
    <w:rsid w:val="00AA2EB6"/>
    <w:rsid w:val="00AA2F22"/>
    <w:rsid w:val="00AA3042"/>
    <w:rsid w:val="00AA309B"/>
    <w:rsid w:val="00AA30B5"/>
    <w:rsid w:val="00AA317C"/>
    <w:rsid w:val="00AA327E"/>
    <w:rsid w:val="00AA33CE"/>
    <w:rsid w:val="00AA3504"/>
    <w:rsid w:val="00AA3544"/>
    <w:rsid w:val="00AA36BA"/>
    <w:rsid w:val="00AA385D"/>
    <w:rsid w:val="00AA3DCC"/>
    <w:rsid w:val="00AA3EEC"/>
    <w:rsid w:val="00AA3F4A"/>
    <w:rsid w:val="00AA435E"/>
    <w:rsid w:val="00AA4484"/>
    <w:rsid w:val="00AA462B"/>
    <w:rsid w:val="00AA4663"/>
    <w:rsid w:val="00AA46BB"/>
    <w:rsid w:val="00AA486E"/>
    <w:rsid w:val="00AA4B82"/>
    <w:rsid w:val="00AA4BC4"/>
    <w:rsid w:val="00AA4BCD"/>
    <w:rsid w:val="00AA4C90"/>
    <w:rsid w:val="00AA4DE7"/>
    <w:rsid w:val="00AA4E0E"/>
    <w:rsid w:val="00AA51F0"/>
    <w:rsid w:val="00AA51FF"/>
    <w:rsid w:val="00AA52FB"/>
    <w:rsid w:val="00AA53AD"/>
    <w:rsid w:val="00AA53BF"/>
    <w:rsid w:val="00AA5518"/>
    <w:rsid w:val="00AA5612"/>
    <w:rsid w:val="00AA5646"/>
    <w:rsid w:val="00AA56C5"/>
    <w:rsid w:val="00AA574E"/>
    <w:rsid w:val="00AA581D"/>
    <w:rsid w:val="00AA5D3F"/>
    <w:rsid w:val="00AA5DC3"/>
    <w:rsid w:val="00AA5E21"/>
    <w:rsid w:val="00AA5FA2"/>
    <w:rsid w:val="00AA6016"/>
    <w:rsid w:val="00AA6174"/>
    <w:rsid w:val="00AA61CE"/>
    <w:rsid w:val="00AA6230"/>
    <w:rsid w:val="00AA6289"/>
    <w:rsid w:val="00AA6799"/>
    <w:rsid w:val="00AA681C"/>
    <w:rsid w:val="00AA6859"/>
    <w:rsid w:val="00AA68CB"/>
    <w:rsid w:val="00AA69C0"/>
    <w:rsid w:val="00AA6A0D"/>
    <w:rsid w:val="00AA6AC6"/>
    <w:rsid w:val="00AA6AF2"/>
    <w:rsid w:val="00AA6BF3"/>
    <w:rsid w:val="00AA6C9D"/>
    <w:rsid w:val="00AA6E8E"/>
    <w:rsid w:val="00AA6E91"/>
    <w:rsid w:val="00AA701D"/>
    <w:rsid w:val="00AA7024"/>
    <w:rsid w:val="00AA7057"/>
    <w:rsid w:val="00AA70DF"/>
    <w:rsid w:val="00AA72A0"/>
    <w:rsid w:val="00AA72AF"/>
    <w:rsid w:val="00AA7323"/>
    <w:rsid w:val="00AA73DD"/>
    <w:rsid w:val="00AA73FA"/>
    <w:rsid w:val="00AA74AC"/>
    <w:rsid w:val="00AA768B"/>
    <w:rsid w:val="00AA76D3"/>
    <w:rsid w:val="00AA7701"/>
    <w:rsid w:val="00AA79BC"/>
    <w:rsid w:val="00AA7B35"/>
    <w:rsid w:val="00AA7B7D"/>
    <w:rsid w:val="00AA7BE5"/>
    <w:rsid w:val="00AA7C5E"/>
    <w:rsid w:val="00AA7C9E"/>
    <w:rsid w:val="00AA7CF1"/>
    <w:rsid w:val="00AA7D71"/>
    <w:rsid w:val="00AA7DBC"/>
    <w:rsid w:val="00AA7ECD"/>
    <w:rsid w:val="00AB016A"/>
    <w:rsid w:val="00AB0385"/>
    <w:rsid w:val="00AB0504"/>
    <w:rsid w:val="00AB05CF"/>
    <w:rsid w:val="00AB061A"/>
    <w:rsid w:val="00AB0786"/>
    <w:rsid w:val="00AB0A7C"/>
    <w:rsid w:val="00AB0ABE"/>
    <w:rsid w:val="00AB0BD8"/>
    <w:rsid w:val="00AB0C1A"/>
    <w:rsid w:val="00AB1087"/>
    <w:rsid w:val="00AB1204"/>
    <w:rsid w:val="00AB133A"/>
    <w:rsid w:val="00AB140F"/>
    <w:rsid w:val="00AB1429"/>
    <w:rsid w:val="00AB159C"/>
    <w:rsid w:val="00AB15E3"/>
    <w:rsid w:val="00AB1608"/>
    <w:rsid w:val="00AB16CD"/>
    <w:rsid w:val="00AB175C"/>
    <w:rsid w:val="00AB1868"/>
    <w:rsid w:val="00AB18B5"/>
    <w:rsid w:val="00AB1C46"/>
    <w:rsid w:val="00AB1EDD"/>
    <w:rsid w:val="00AB1F53"/>
    <w:rsid w:val="00AB1FDE"/>
    <w:rsid w:val="00AB201A"/>
    <w:rsid w:val="00AB2031"/>
    <w:rsid w:val="00AB2083"/>
    <w:rsid w:val="00AB2276"/>
    <w:rsid w:val="00AB249C"/>
    <w:rsid w:val="00AB279C"/>
    <w:rsid w:val="00AB28DC"/>
    <w:rsid w:val="00AB2937"/>
    <w:rsid w:val="00AB29A9"/>
    <w:rsid w:val="00AB2B18"/>
    <w:rsid w:val="00AB2B1E"/>
    <w:rsid w:val="00AB2BA2"/>
    <w:rsid w:val="00AB2BEF"/>
    <w:rsid w:val="00AB2C7E"/>
    <w:rsid w:val="00AB2C9E"/>
    <w:rsid w:val="00AB2EB5"/>
    <w:rsid w:val="00AB2F8D"/>
    <w:rsid w:val="00AB2FB9"/>
    <w:rsid w:val="00AB3288"/>
    <w:rsid w:val="00AB32C5"/>
    <w:rsid w:val="00AB33D1"/>
    <w:rsid w:val="00AB353D"/>
    <w:rsid w:val="00AB35AA"/>
    <w:rsid w:val="00AB36FF"/>
    <w:rsid w:val="00AB3925"/>
    <w:rsid w:val="00AB397F"/>
    <w:rsid w:val="00AB39B1"/>
    <w:rsid w:val="00AB3D75"/>
    <w:rsid w:val="00AB3D77"/>
    <w:rsid w:val="00AB4083"/>
    <w:rsid w:val="00AB4106"/>
    <w:rsid w:val="00AB4279"/>
    <w:rsid w:val="00AB430C"/>
    <w:rsid w:val="00AB431A"/>
    <w:rsid w:val="00AB4428"/>
    <w:rsid w:val="00AB448F"/>
    <w:rsid w:val="00AB4537"/>
    <w:rsid w:val="00AB45D7"/>
    <w:rsid w:val="00AB48D7"/>
    <w:rsid w:val="00AB49A6"/>
    <w:rsid w:val="00AB4A5F"/>
    <w:rsid w:val="00AB4BBA"/>
    <w:rsid w:val="00AB4C16"/>
    <w:rsid w:val="00AB4CDC"/>
    <w:rsid w:val="00AB4D8A"/>
    <w:rsid w:val="00AB4DB5"/>
    <w:rsid w:val="00AB4F4C"/>
    <w:rsid w:val="00AB507D"/>
    <w:rsid w:val="00AB51DE"/>
    <w:rsid w:val="00AB535D"/>
    <w:rsid w:val="00AB538C"/>
    <w:rsid w:val="00AB54F1"/>
    <w:rsid w:val="00AB5522"/>
    <w:rsid w:val="00AB5715"/>
    <w:rsid w:val="00AB5790"/>
    <w:rsid w:val="00AB5842"/>
    <w:rsid w:val="00AB58D1"/>
    <w:rsid w:val="00AB59A6"/>
    <w:rsid w:val="00AB59DE"/>
    <w:rsid w:val="00AB59ED"/>
    <w:rsid w:val="00AB5A43"/>
    <w:rsid w:val="00AB5B65"/>
    <w:rsid w:val="00AB5C6D"/>
    <w:rsid w:val="00AB5D50"/>
    <w:rsid w:val="00AB5E37"/>
    <w:rsid w:val="00AB5F8D"/>
    <w:rsid w:val="00AB6137"/>
    <w:rsid w:val="00AB61E3"/>
    <w:rsid w:val="00AB6538"/>
    <w:rsid w:val="00AB6646"/>
    <w:rsid w:val="00AB6681"/>
    <w:rsid w:val="00AB69FA"/>
    <w:rsid w:val="00AB6B73"/>
    <w:rsid w:val="00AB6BDC"/>
    <w:rsid w:val="00AB6C90"/>
    <w:rsid w:val="00AB6EA1"/>
    <w:rsid w:val="00AB6F03"/>
    <w:rsid w:val="00AB6F7C"/>
    <w:rsid w:val="00AB7190"/>
    <w:rsid w:val="00AB72EB"/>
    <w:rsid w:val="00AB7325"/>
    <w:rsid w:val="00AB732B"/>
    <w:rsid w:val="00AB74A7"/>
    <w:rsid w:val="00AB74FB"/>
    <w:rsid w:val="00AB7880"/>
    <w:rsid w:val="00AB7904"/>
    <w:rsid w:val="00AB796C"/>
    <w:rsid w:val="00AB7994"/>
    <w:rsid w:val="00AB7A57"/>
    <w:rsid w:val="00AB7D85"/>
    <w:rsid w:val="00AB7E7A"/>
    <w:rsid w:val="00AB7EED"/>
    <w:rsid w:val="00AB7F93"/>
    <w:rsid w:val="00ABDE34"/>
    <w:rsid w:val="00AC000B"/>
    <w:rsid w:val="00AC0087"/>
    <w:rsid w:val="00AC00E3"/>
    <w:rsid w:val="00AC01BB"/>
    <w:rsid w:val="00AC0392"/>
    <w:rsid w:val="00AC0394"/>
    <w:rsid w:val="00AC061A"/>
    <w:rsid w:val="00AC066C"/>
    <w:rsid w:val="00AC0809"/>
    <w:rsid w:val="00AC08AF"/>
    <w:rsid w:val="00AC09FD"/>
    <w:rsid w:val="00AC0C7A"/>
    <w:rsid w:val="00AC0D3F"/>
    <w:rsid w:val="00AC0ECD"/>
    <w:rsid w:val="00AC105D"/>
    <w:rsid w:val="00AC105E"/>
    <w:rsid w:val="00AC118B"/>
    <w:rsid w:val="00AC126C"/>
    <w:rsid w:val="00AC129E"/>
    <w:rsid w:val="00AC12F7"/>
    <w:rsid w:val="00AC16F0"/>
    <w:rsid w:val="00AC170C"/>
    <w:rsid w:val="00AC19B1"/>
    <w:rsid w:val="00AC1ADC"/>
    <w:rsid w:val="00AC1B2A"/>
    <w:rsid w:val="00AC1C90"/>
    <w:rsid w:val="00AC1CBB"/>
    <w:rsid w:val="00AC1D29"/>
    <w:rsid w:val="00AC1DFE"/>
    <w:rsid w:val="00AC1E46"/>
    <w:rsid w:val="00AC1EDC"/>
    <w:rsid w:val="00AC1FEF"/>
    <w:rsid w:val="00AC2051"/>
    <w:rsid w:val="00AC20B1"/>
    <w:rsid w:val="00AC22C0"/>
    <w:rsid w:val="00AC23D9"/>
    <w:rsid w:val="00AC23FD"/>
    <w:rsid w:val="00AC2457"/>
    <w:rsid w:val="00AC24E3"/>
    <w:rsid w:val="00AC25A1"/>
    <w:rsid w:val="00AC2646"/>
    <w:rsid w:val="00AC26BF"/>
    <w:rsid w:val="00AC27BB"/>
    <w:rsid w:val="00AC280E"/>
    <w:rsid w:val="00AC2887"/>
    <w:rsid w:val="00AC2AB1"/>
    <w:rsid w:val="00AC2BB7"/>
    <w:rsid w:val="00AC2C1A"/>
    <w:rsid w:val="00AC2C87"/>
    <w:rsid w:val="00AC2CEF"/>
    <w:rsid w:val="00AC2D19"/>
    <w:rsid w:val="00AC2D38"/>
    <w:rsid w:val="00AC2D39"/>
    <w:rsid w:val="00AC2D49"/>
    <w:rsid w:val="00AC2E58"/>
    <w:rsid w:val="00AC2E79"/>
    <w:rsid w:val="00AC2EB2"/>
    <w:rsid w:val="00AC2FFC"/>
    <w:rsid w:val="00AC3185"/>
    <w:rsid w:val="00AC3209"/>
    <w:rsid w:val="00AC33ED"/>
    <w:rsid w:val="00AC34A4"/>
    <w:rsid w:val="00AC3532"/>
    <w:rsid w:val="00AC36E5"/>
    <w:rsid w:val="00AC3727"/>
    <w:rsid w:val="00AC3956"/>
    <w:rsid w:val="00AC39B8"/>
    <w:rsid w:val="00AC3B9D"/>
    <w:rsid w:val="00AC3D6A"/>
    <w:rsid w:val="00AC3D8B"/>
    <w:rsid w:val="00AC3DF2"/>
    <w:rsid w:val="00AC3E14"/>
    <w:rsid w:val="00AC3E56"/>
    <w:rsid w:val="00AC3F95"/>
    <w:rsid w:val="00AC4055"/>
    <w:rsid w:val="00AC4082"/>
    <w:rsid w:val="00AC4218"/>
    <w:rsid w:val="00AC4290"/>
    <w:rsid w:val="00AC465D"/>
    <w:rsid w:val="00AC48F6"/>
    <w:rsid w:val="00AC4E67"/>
    <w:rsid w:val="00AC4F1F"/>
    <w:rsid w:val="00AC4FDF"/>
    <w:rsid w:val="00AC5083"/>
    <w:rsid w:val="00AC5110"/>
    <w:rsid w:val="00AC5231"/>
    <w:rsid w:val="00AC524A"/>
    <w:rsid w:val="00AC5437"/>
    <w:rsid w:val="00AC5471"/>
    <w:rsid w:val="00AC5951"/>
    <w:rsid w:val="00AC59E5"/>
    <w:rsid w:val="00AC5B07"/>
    <w:rsid w:val="00AC5CE7"/>
    <w:rsid w:val="00AC5CF0"/>
    <w:rsid w:val="00AC5E03"/>
    <w:rsid w:val="00AC5ED6"/>
    <w:rsid w:val="00AC5F26"/>
    <w:rsid w:val="00AC5F61"/>
    <w:rsid w:val="00AC60B2"/>
    <w:rsid w:val="00AC61CD"/>
    <w:rsid w:val="00AC6669"/>
    <w:rsid w:val="00AC6673"/>
    <w:rsid w:val="00AC677E"/>
    <w:rsid w:val="00AC6955"/>
    <w:rsid w:val="00AC6997"/>
    <w:rsid w:val="00AC6A93"/>
    <w:rsid w:val="00AC6AB8"/>
    <w:rsid w:val="00AC6BAF"/>
    <w:rsid w:val="00AC6BCB"/>
    <w:rsid w:val="00AC6C8D"/>
    <w:rsid w:val="00AC6D1F"/>
    <w:rsid w:val="00AC6E12"/>
    <w:rsid w:val="00AC6E52"/>
    <w:rsid w:val="00AC7068"/>
    <w:rsid w:val="00AC7101"/>
    <w:rsid w:val="00AC725E"/>
    <w:rsid w:val="00AC728E"/>
    <w:rsid w:val="00AC734C"/>
    <w:rsid w:val="00AC7379"/>
    <w:rsid w:val="00AC74A0"/>
    <w:rsid w:val="00AC74BE"/>
    <w:rsid w:val="00AC7515"/>
    <w:rsid w:val="00AC7636"/>
    <w:rsid w:val="00AC7738"/>
    <w:rsid w:val="00AC7866"/>
    <w:rsid w:val="00AC7D52"/>
    <w:rsid w:val="00AC7E14"/>
    <w:rsid w:val="00AC7EA3"/>
    <w:rsid w:val="00ACFBB2"/>
    <w:rsid w:val="00AD003D"/>
    <w:rsid w:val="00AD0061"/>
    <w:rsid w:val="00AD0205"/>
    <w:rsid w:val="00AD0261"/>
    <w:rsid w:val="00AD028B"/>
    <w:rsid w:val="00AD0297"/>
    <w:rsid w:val="00AD0300"/>
    <w:rsid w:val="00AD0322"/>
    <w:rsid w:val="00AD03C8"/>
    <w:rsid w:val="00AD0495"/>
    <w:rsid w:val="00AD052D"/>
    <w:rsid w:val="00AD0657"/>
    <w:rsid w:val="00AD0751"/>
    <w:rsid w:val="00AD0834"/>
    <w:rsid w:val="00AD08DD"/>
    <w:rsid w:val="00AD094A"/>
    <w:rsid w:val="00AD09DB"/>
    <w:rsid w:val="00AD0BAC"/>
    <w:rsid w:val="00AD0BC4"/>
    <w:rsid w:val="00AD0C0D"/>
    <w:rsid w:val="00AD0D2D"/>
    <w:rsid w:val="00AD0DB6"/>
    <w:rsid w:val="00AD0DE2"/>
    <w:rsid w:val="00AD0E3C"/>
    <w:rsid w:val="00AD0ECB"/>
    <w:rsid w:val="00AD0F58"/>
    <w:rsid w:val="00AD123E"/>
    <w:rsid w:val="00AD168E"/>
    <w:rsid w:val="00AD1954"/>
    <w:rsid w:val="00AD1995"/>
    <w:rsid w:val="00AD19A1"/>
    <w:rsid w:val="00AD1A7B"/>
    <w:rsid w:val="00AD1ACE"/>
    <w:rsid w:val="00AD1B7A"/>
    <w:rsid w:val="00AD1BE0"/>
    <w:rsid w:val="00AD1C40"/>
    <w:rsid w:val="00AD1C98"/>
    <w:rsid w:val="00AD1DE8"/>
    <w:rsid w:val="00AD202E"/>
    <w:rsid w:val="00AD20AA"/>
    <w:rsid w:val="00AD2799"/>
    <w:rsid w:val="00AD28A9"/>
    <w:rsid w:val="00AD2979"/>
    <w:rsid w:val="00AD2BDE"/>
    <w:rsid w:val="00AD2C09"/>
    <w:rsid w:val="00AD2DA5"/>
    <w:rsid w:val="00AD2F5D"/>
    <w:rsid w:val="00AD30BE"/>
    <w:rsid w:val="00AD30F3"/>
    <w:rsid w:val="00AD3112"/>
    <w:rsid w:val="00AD31D8"/>
    <w:rsid w:val="00AD320B"/>
    <w:rsid w:val="00AD32BD"/>
    <w:rsid w:val="00AD3528"/>
    <w:rsid w:val="00AD35A5"/>
    <w:rsid w:val="00AD35DD"/>
    <w:rsid w:val="00AD3661"/>
    <w:rsid w:val="00AD3717"/>
    <w:rsid w:val="00AD372B"/>
    <w:rsid w:val="00AD3757"/>
    <w:rsid w:val="00AD37C5"/>
    <w:rsid w:val="00AD3862"/>
    <w:rsid w:val="00AD38D9"/>
    <w:rsid w:val="00AD3ADA"/>
    <w:rsid w:val="00AD3B01"/>
    <w:rsid w:val="00AD3BCE"/>
    <w:rsid w:val="00AD3F1E"/>
    <w:rsid w:val="00AD4123"/>
    <w:rsid w:val="00AD4180"/>
    <w:rsid w:val="00AD4198"/>
    <w:rsid w:val="00AD443D"/>
    <w:rsid w:val="00AD4697"/>
    <w:rsid w:val="00AD46DE"/>
    <w:rsid w:val="00AD477B"/>
    <w:rsid w:val="00AD49AC"/>
    <w:rsid w:val="00AD4ACC"/>
    <w:rsid w:val="00AD4C10"/>
    <w:rsid w:val="00AD4DC0"/>
    <w:rsid w:val="00AD4E22"/>
    <w:rsid w:val="00AD4F1F"/>
    <w:rsid w:val="00AD4F4D"/>
    <w:rsid w:val="00AD4FD5"/>
    <w:rsid w:val="00AD5088"/>
    <w:rsid w:val="00AD5249"/>
    <w:rsid w:val="00AD5468"/>
    <w:rsid w:val="00AD5525"/>
    <w:rsid w:val="00AD5712"/>
    <w:rsid w:val="00AD579C"/>
    <w:rsid w:val="00AD5831"/>
    <w:rsid w:val="00AD59C2"/>
    <w:rsid w:val="00AD5B17"/>
    <w:rsid w:val="00AD5BA9"/>
    <w:rsid w:val="00AD5C22"/>
    <w:rsid w:val="00AD5CA8"/>
    <w:rsid w:val="00AD5E2D"/>
    <w:rsid w:val="00AD6043"/>
    <w:rsid w:val="00AD62B4"/>
    <w:rsid w:val="00AD62BC"/>
    <w:rsid w:val="00AD636A"/>
    <w:rsid w:val="00AD643F"/>
    <w:rsid w:val="00AD6826"/>
    <w:rsid w:val="00AD682A"/>
    <w:rsid w:val="00AD685D"/>
    <w:rsid w:val="00AD686E"/>
    <w:rsid w:val="00AD698F"/>
    <w:rsid w:val="00AD6A29"/>
    <w:rsid w:val="00AD6A57"/>
    <w:rsid w:val="00AD6B1C"/>
    <w:rsid w:val="00AD6B9D"/>
    <w:rsid w:val="00AD6CAE"/>
    <w:rsid w:val="00AD6DF8"/>
    <w:rsid w:val="00AD6E33"/>
    <w:rsid w:val="00AD6E4F"/>
    <w:rsid w:val="00AD6EC6"/>
    <w:rsid w:val="00AD6F38"/>
    <w:rsid w:val="00AD71B4"/>
    <w:rsid w:val="00AD7350"/>
    <w:rsid w:val="00AD74E4"/>
    <w:rsid w:val="00AD75EF"/>
    <w:rsid w:val="00AD76C0"/>
    <w:rsid w:val="00AD77E1"/>
    <w:rsid w:val="00AD78AF"/>
    <w:rsid w:val="00AD7979"/>
    <w:rsid w:val="00AD7993"/>
    <w:rsid w:val="00AD7AE0"/>
    <w:rsid w:val="00AD7B3E"/>
    <w:rsid w:val="00AD7C0E"/>
    <w:rsid w:val="00AD7C57"/>
    <w:rsid w:val="00AD7E01"/>
    <w:rsid w:val="00AD7E5D"/>
    <w:rsid w:val="00AD7E6B"/>
    <w:rsid w:val="00AD7FBA"/>
    <w:rsid w:val="00AD9A09"/>
    <w:rsid w:val="00ADA234"/>
    <w:rsid w:val="00ADA8B3"/>
    <w:rsid w:val="00ADEDCF"/>
    <w:rsid w:val="00AE0057"/>
    <w:rsid w:val="00AE0258"/>
    <w:rsid w:val="00AE0273"/>
    <w:rsid w:val="00AE02F7"/>
    <w:rsid w:val="00AE041E"/>
    <w:rsid w:val="00AE0553"/>
    <w:rsid w:val="00AE0588"/>
    <w:rsid w:val="00AE089B"/>
    <w:rsid w:val="00AE08BE"/>
    <w:rsid w:val="00AE091B"/>
    <w:rsid w:val="00AE0AE3"/>
    <w:rsid w:val="00AE0E0C"/>
    <w:rsid w:val="00AE0E2B"/>
    <w:rsid w:val="00AE107F"/>
    <w:rsid w:val="00AE10D2"/>
    <w:rsid w:val="00AE1307"/>
    <w:rsid w:val="00AE1561"/>
    <w:rsid w:val="00AE15EB"/>
    <w:rsid w:val="00AE1757"/>
    <w:rsid w:val="00AE18E4"/>
    <w:rsid w:val="00AE1927"/>
    <w:rsid w:val="00AE1959"/>
    <w:rsid w:val="00AE1A25"/>
    <w:rsid w:val="00AE1BA5"/>
    <w:rsid w:val="00AE1E01"/>
    <w:rsid w:val="00AE1EF6"/>
    <w:rsid w:val="00AE1FCC"/>
    <w:rsid w:val="00AE20D5"/>
    <w:rsid w:val="00AE2158"/>
    <w:rsid w:val="00AE2236"/>
    <w:rsid w:val="00AE225C"/>
    <w:rsid w:val="00AE22BB"/>
    <w:rsid w:val="00AE22BE"/>
    <w:rsid w:val="00AE22CA"/>
    <w:rsid w:val="00AE2349"/>
    <w:rsid w:val="00AE244A"/>
    <w:rsid w:val="00AE2721"/>
    <w:rsid w:val="00AE28DD"/>
    <w:rsid w:val="00AE2A62"/>
    <w:rsid w:val="00AE2C70"/>
    <w:rsid w:val="00AE2D36"/>
    <w:rsid w:val="00AE2D5F"/>
    <w:rsid w:val="00AE2E6C"/>
    <w:rsid w:val="00AE309A"/>
    <w:rsid w:val="00AE3108"/>
    <w:rsid w:val="00AE3268"/>
    <w:rsid w:val="00AE34F3"/>
    <w:rsid w:val="00AE358E"/>
    <w:rsid w:val="00AE36CC"/>
    <w:rsid w:val="00AE37CA"/>
    <w:rsid w:val="00AE37ED"/>
    <w:rsid w:val="00AE380A"/>
    <w:rsid w:val="00AE387E"/>
    <w:rsid w:val="00AE3B8F"/>
    <w:rsid w:val="00AE3BA3"/>
    <w:rsid w:val="00AE3C5C"/>
    <w:rsid w:val="00AE3C5F"/>
    <w:rsid w:val="00AE3CA9"/>
    <w:rsid w:val="00AE3CBB"/>
    <w:rsid w:val="00AE3DE9"/>
    <w:rsid w:val="00AE3E59"/>
    <w:rsid w:val="00AE3EF2"/>
    <w:rsid w:val="00AE3F46"/>
    <w:rsid w:val="00AE406D"/>
    <w:rsid w:val="00AE4079"/>
    <w:rsid w:val="00AE4133"/>
    <w:rsid w:val="00AE4269"/>
    <w:rsid w:val="00AE4316"/>
    <w:rsid w:val="00AE43BF"/>
    <w:rsid w:val="00AE43C8"/>
    <w:rsid w:val="00AE446D"/>
    <w:rsid w:val="00AE4471"/>
    <w:rsid w:val="00AE47AB"/>
    <w:rsid w:val="00AE47B9"/>
    <w:rsid w:val="00AE47E7"/>
    <w:rsid w:val="00AE4809"/>
    <w:rsid w:val="00AE4847"/>
    <w:rsid w:val="00AE492A"/>
    <w:rsid w:val="00AE49A8"/>
    <w:rsid w:val="00AE4A43"/>
    <w:rsid w:val="00AE4AF9"/>
    <w:rsid w:val="00AE4B32"/>
    <w:rsid w:val="00AE4C05"/>
    <w:rsid w:val="00AE4ED2"/>
    <w:rsid w:val="00AE4EE0"/>
    <w:rsid w:val="00AE505F"/>
    <w:rsid w:val="00AE507F"/>
    <w:rsid w:val="00AE50F1"/>
    <w:rsid w:val="00AE522E"/>
    <w:rsid w:val="00AE53DA"/>
    <w:rsid w:val="00AE566B"/>
    <w:rsid w:val="00AE5756"/>
    <w:rsid w:val="00AE5934"/>
    <w:rsid w:val="00AE59C3"/>
    <w:rsid w:val="00AE5AEB"/>
    <w:rsid w:val="00AE5B04"/>
    <w:rsid w:val="00AE5B08"/>
    <w:rsid w:val="00AE5B2A"/>
    <w:rsid w:val="00AE5E17"/>
    <w:rsid w:val="00AE5EB0"/>
    <w:rsid w:val="00AE5FF1"/>
    <w:rsid w:val="00AE64EB"/>
    <w:rsid w:val="00AE6522"/>
    <w:rsid w:val="00AE667A"/>
    <w:rsid w:val="00AE68BF"/>
    <w:rsid w:val="00AE6BF0"/>
    <w:rsid w:val="00AE6C04"/>
    <w:rsid w:val="00AE6C0B"/>
    <w:rsid w:val="00AE6C10"/>
    <w:rsid w:val="00AE6C9A"/>
    <w:rsid w:val="00AE6F08"/>
    <w:rsid w:val="00AE6F25"/>
    <w:rsid w:val="00AE703E"/>
    <w:rsid w:val="00AE70F9"/>
    <w:rsid w:val="00AE7164"/>
    <w:rsid w:val="00AE7374"/>
    <w:rsid w:val="00AE73BF"/>
    <w:rsid w:val="00AE751B"/>
    <w:rsid w:val="00AE7650"/>
    <w:rsid w:val="00AE76CB"/>
    <w:rsid w:val="00AE7713"/>
    <w:rsid w:val="00AE7742"/>
    <w:rsid w:val="00AE77DB"/>
    <w:rsid w:val="00AE7885"/>
    <w:rsid w:val="00AE79D3"/>
    <w:rsid w:val="00AE7BEB"/>
    <w:rsid w:val="00AE7C9B"/>
    <w:rsid w:val="00AE7D2A"/>
    <w:rsid w:val="00AE7D3C"/>
    <w:rsid w:val="00AE7D46"/>
    <w:rsid w:val="00AE7F19"/>
    <w:rsid w:val="00AEF123"/>
    <w:rsid w:val="00AF001A"/>
    <w:rsid w:val="00AF0296"/>
    <w:rsid w:val="00AF037A"/>
    <w:rsid w:val="00AF03BD"/>
    <w:rsid w:val="00AF03D3"/>
    <w:rsid w:val="00AF04AB"/>
    <w:rsid w:val="00AF04B8"/>
    <w:rsid w:val="00AF0776"/>
    <w:rsid w:val="00AF08D3"/>
    <w:rsid w:val="00AF09C6"/>
    <w:rsid w:val="00AF0BAA"/>
    <w:rsid w:val="00AF0D3C"/>
    <w:rsid w:val="00AF0D9D"/>
    <w:rsid w:val="00AF0DD8"/>
    <w:rsid w:val="00AF0EB4"/>
    <w:rsid w:val="00AF0F33"/>
    <w:rsid w:val="00AF1075"/>
    <w:rsid w:val="00AF1286"/>
    <w:rsid w:val="00AF1559"/>
    <w:rsid w:val="00AF1585"/>
    <w:rsid w:val="00AF15F6"/>
    <w:rsid w:val="00AF16A4"/>
    <w:rsid w:val="00AF172C"/>
    <w:rsid w:val="00AF18F4"/>
    <w:rsid w:val="00AF1A21"/>
    <w:rsid w:val="00AF1B4E"/>
    <w:rsid w:val="00AF1F72"/>
    <w:rsid w:val="00AF1F98"/>
    <w:rsid w:val="00AF20C3"/>
    <w:rsid w:val="00AF20D2"/>
    <w:rsid w:val="00AF2330"/>
    <w:rsid w:val="00AF23A9"/>
    <w:rsid w:val="00AF249A"/>
    <w:rsid w:val="00AF2736"/>
    <w:rsid w:val="00AF275A"/>
    <w:rsid w:val="00AF2909"/>
    <w:rsid w:val="00AF291A"/>
    <w:rsid w:val="00AF29CB"/>
    <w:rsid w:val="00AF2AE0"/>
    <w:rsid w:val="00AF2AEF"/>
    <w:rsid w:val="00AF2B88"/>
    <w:rsid w:val="00AF2C10"/>
    <w:rsid w:val="00AF2C33"/>
    <w:rsid w:val="00AF2CB9"/>
    <w:rsid w:val="00AF2CC5"/>
    <w:rsid w:val="00AF2D2F"/>
    <w:rsid w:val="00AF3054"/>
    <w:rsid w:val="00AF30B8"/>
    <w:rsid w:val="00AF317A"/>
    <w:rsid w:val="00AF3365"/>
    <w:rsid w:val="00AF3383"/>
    <w:rsid w:val="00AF34A7"/>
    <w:rsid w:val="00AF34EE"/>
    <w:rsid w:val="00AF3847"/>
    <w:rsid w:val="00AF39BA"/>
    <w:rsid w:val="00AF3B45"/>
    <w:rsid w:val="00AF3C15"/>
    <w:rsid w:val="00AF3E05"/>
    <w:rsid w:val="00AF40A6"/>
    <w:rsid w:val="00AF4150"/>
    <w:rsid w:val="00AF41B6"/>
    <w:rsid w:val="00AF4231"/>
    <w:rsid w:val="00AF4623"/>
    <w:rsid w:val="00AF4630"/>
    <w:rsid w:val="00AF46A0"/>
    <w:rsid w:val="00AF46F7"/>
    <w:rsid w:val="00AF4726"/>
    <w:rsid w:val="00AF4880"/>
    <w:rsid w:val="00AF4B44"/>
    <w:rsid w:val="00AF4BB5"/>
    <w:rsid w:val="00AF4CA1"/>
    <w:rsid w:val="00AF4D07"/>
    <w:rsid w:val="00AF4D4A"/>
    <w:rsid w:val="00AF4D58"/>
    <w:rsid w:val="00AF4DA4"/>
    <w:rsid w:val="00AF4F71"/>
    <w:rsid w:val="00AF5030"/>
    <w:rsid w:val="00AF53D1"/>
    <w:rsid w:val="00AF53FC"/>
    <w:rsid w:val="00AF54F0"/>
    <w:rsid w:val="00AF58E8"/>
    <w:rsid w:val="00AF5905"/>
    <w:rsid w:val="00AF593C"/>
    <w:rsid w:val="00AF5A94"/>
    <w:rsid w:val="00AF5BF0"/>
    <w:rsid w:val="00AF5C51"/>
    <w:rsid w:val="00AF5C9D"/>
    <w:rsid w:val="00AF5FD3"/>
    <w:rsid w:val="00AF600D"/>
    <w:rsid w:val="00AF6115"/>
    <w:rsid w:val="00AF612D"/>
    <w:rsid w:val="00AF617E"/>
    <w:rsid w:val="00AF62EB"/>
    <w:rsid w:val="00AF632F"/>
    <w:rsid w:val="00AF63F5"/>
    <w:rsid w:val="00AF659B"/>
    <w:rsid w:val="00AF65CA"/>
    <w:rsid w:val="00AF6669"/>
    <w:rsid w:val="00AF66BD"/>
    <w:rsid w:val="00AF674F"/>
    <w:rsid w:val="00AF67FD"/>
    <w:rsid w:val="00AF6890"/>
    <w:rsid w:val="00AF6978"/>
    <w:rsid w:val="00AF69D0"/>
    <w:rsid w:val="00AF6AC8"/>
    <w:rsid w:val="00AF6AED"/>
    <w:rsid w:val="00AF6B06"/>
    <w:rsid w:val="00AF6C77"/>
    <w:rsid w:val="00AF6C84"/>
    <w:rsid w:val="00AF6E76"/>
    <w:rsid w:val="00AF6F3F"/>
    <w:rsid w:val="00AF6FA4"/>
    <w:rsid w:val="00AF6FDA"/>
    <w:rsid w:val="00AF7014"/>
    <w:rsid w:val="00AF704E"/>
    <w:rsid w:val="00AF7119"/>
    <w:rsid w:val="00AF71E7"/>
    <w:rsid w:val="00AF723C"/>
    <w:rsid w:val="00AF7354"/>
    <w:rsid w:val="00AF74AB"/>
    <w:rsid w:val="00AF74F5"/>
    <w:rsid w:val="00AF78D4"/>
    <w:rsid w:val="00AF78FB"/>
    <w:rsid w:val="00AF7923"/>
    <w:rsid w:val="00AF79C1"/>
    <w:rsid w:val="00AF7A04"/>
    <w:rsid w:val="00AF7A0B"/>
    <w:rsid w:val="00AF7A6B"/>
    <w:rsid w:val="00AF7ADC"/>
    <w:rsid w:val="00AF7BC3"/>
    <w:rsid w:val="00AF7BD1"/>
    <w:rsid w:val="00AF7CCD"/>
    <w:rsid w:val="00AF7CFC"/>
    <w:rsid w:val="00AF7DCA"/>
    <w:rsid w:val="00AF7DCF"/>
    <w:rsid w:val="00AF7E75"/>
    <w:rsid w:val="00AF7F5B"/>
    <w:rsid w:val="00AF7FED"/>
    <w:rsid w:val="00AF7FF9"/>
    <w:rsid w:val="00AFA858"/>
    <w:rsid w:val="00B00277"/>
    <w:rsid w:val="00B00289"/>
    <w:rsid w:val="00B00331"/>
    <w:rsid w:val="00B00346"/>
    <w:rsid w:val="00B0034C"/>
    <w:rsid w:val="00B00489"/>
    <w:rsid w:val="00B0068A"/>
    <w:rsid w:val="00B0076D"/>
    <w:rsid w:val="00B007D0"/>
    <w:rsid w:val="00B00A01"/>
    <w:rsid w:val="00B00C79"/>
    <w:rsid w:val="00B00DF8"/>
    <w:rsid w:val="00B00E73"/>
    <w:rsid w:val="00B00EAD"/>
    <w:rsid w:val="00B01027"/>
    <w:rsid w:val="00B01090"/>
    <w:rsid w:val="00B0109F"/>
    <w:rsid w:val="00B01173"/>
    <w:rsid w:val="00B011B1"/>
    <w:rsid w:val="00B011C6"/>
    <w:rsid w:val="00B01600"/>
    <w:rsid w:val="00B01643"/>
    <w:rsid w:val="00B017A3"/>
    <w:rsid w:val="00B018C8"/>
    <w:rsid w:val="00B019DB"/>
    <w:rsid w:val="00B01A7D"/>
    <w:rsid w:val="00B01AB1"/>
    <w:rsid w:val="00B01AF8"/>
    <w:rsid w:val="00B01B47"/>
    <w:rsid w:val="00B01C65"/>
    <w:rsid w:val="00B01D67"/>
    <w:rsid w:val="00B01DCE"/>
    <w:rsid w:val="00B01EB5"/>
    <w:rsid w:val="00B01EFE"/>
    <w:rsid w:val="00B01F25"/>
    <w:rsid w:val="00B01F97"/>
    <w:rsid w:val="00B020B8"/>
    <w:rsid w:val="00B021C7"/>
    <w:rsid w:val="00B0249D"/>
    <w:rsid w:val="00B024E4"/>
    <w:rsid w:val="00B02525"/>
    <w:rsid w:val="00B02593"/>
    <w:rsid w:val="00B02753"/>
    <w:rsid w:val="00B02A46"/>
    <w:rsid w:val="00B02A78"/>
    <w:rsid w:val="00B02B80"/>
    <w:rsid w:val="00B02CB5"/>
    <w:rsid w:val="00B02E0E"/>
    <w:rsid w:val="00B02FB8"/>
    <w:rsid w:val="00B02FCC"/>
    <w:rsid w:val="00B03048"/>
    <w:rsid w:val="00B0335A"/>
    <w:rsid w:val="00B03896"/>
    <w:rsid w:val="00B03947"/>
    <w:rsid w:val="00B03CC0"/>
    <w:rsid w:val="00B03D96"/>
    <w:rsid w:val="00B03F8C"/>
    <w:rsid w:val="00B040A5"/>
    <w:rsid w:val="00B041AF"/>
    <w:rsid w:val="00B041CC"/>
    <w:rsid w:val="00B04385"/>
    <w:rsid w:val="00B04454"/>
    <w:rsid w:val="00B044C4"/>
    <w:rsid w:val="00B045DD"/>
    <w:rsid w:val="00B04684"/>
    <w:rsid w:val="00B048C0"/>
    <w:rsid w:val="00B0492F"/>
    <w:rsid w:val="00B04A1A"/>
    <w:rsid w:val="00B04A32"/>
    <w:rsid w:val="00B04A54"/>
    <w:rsid w:val="00B04D8B"/>
    <w:rsid w:val="00B04EB8"/>
    <w:rsid w:val="00B04F72"/>
    <w:rsid w:val="00B04F73"/>
    <w:rsid w:val="00B04FE9"/>
    <w:rsid w:val="00B04FEB"/>
    <w:rsid w:val="00B05042"/>
    <w:rsid w:val="00B05076"/>
    <w:rsid w:val="00B05120"/>
    <w:rsid w:val="00B0525D"/>
    <w:rsid w:val="00B0541E"/>
    <w:rsid w:val="00B05545"/>
    <w:rsid w:val="00B056F6"/>
    <w:rsid w:val="00B057C5"/>
    <w:rsid w:val="00B05973"/>
    <w:rsid w:val="00B05B05"/>
    <w:rsid w:val="00B05B12"/>
    <w:rsid w:val="00B05BCB"/>
    <w:rsid w:val="00B05D79"/>
    <w:rsid w:val="00B05E3E"/>
    <w:rsid w:val="00B05E5A"/>
    <w:rsid w:val="00B05E5E"/>
    <w:rsid w:val="00B05EC4"/>
    <w:rsid w:val="00B05F55"/>
    <w:rsid w:val="00B06293"/>
    <w:rsid w:val="00B06379"/>
    <w:rsid w:val="00B063CC"/>
    <w:rsid w:val="00B063F2"/>
    <w:rsid w:val="00B063FD"/>
    <w:rsid w:val="00B0675B"/>
    <w:rsid w:val="00B0676A"/>
    <w:rsid w:val="00B0677C"/>
    <w:rsid w:val="00B067EB"/>
    <w:rsid w:val="00B069F5"/>
    <w:rsid w:val="00B069FD"/>
    <w:rsid w:val="00B06A24"/>
    <w:rsid w:val="00B06A36"/>
    <w:rsid w:val="00B06C44"/>
    <w:rsid w:val="00B06CB1"/>
    <w:rsid w:val="00B06D1D"/>
    <w:rsid w:val="00B06D7E"/>
    <w:rsid w:val="00B06FFC"/>
    <w:rsid w:val="00B070C1"/>
    <w:rsid w:val="00B071E0"/>
    <w:rsid w:val="00B07352"/>
    <w:rsid w:val="00B073D5"/>
    <w:rsid w:val="00B0742B"/>
    <w:rsid w:val="00B07439"/>
    <w:rsid w:val="00B075E4"/>
    <w:rsid w:val="00B078B2"/>
    <w:rsid w:val="00B07989"/>
    <w:rsid w:val="00B07A80"/>
    <w:rsid w:val="00B07BF2"/>
    <w:rsid w:val="00B07CB1"/>
    <w:rsid w:val="00B07D55"/>
    <w:rsid w:val="00B07D90"/>
    <w:rsid w:val="00B09B94"/>
    <w:rsid w:val="00B0ECF7"/>
    <w:rsid w:val="00B0F1A7"/>
    <w:rsid w:val="00B1010F"/>
    <w:rsid w:val="00B1012A"/>
    <w:rsid w:val="00B1017D"/>
    <w:rsid w:val="00B10237"/>
    <w:rsid w:val="00B10289"/>
    <w:rsid w:val="00B1029B"/>
    <w:rsid w:val="00B105CB"/>
    <w:rsid w:val="00B106D4"/>
    <w:rsid w:val="00B10711"/>
    <w:rsid w:val="00B10715"/>
    <w:rsid w:val="00B10980"/>
    <w:rsid w:val="00B10A0E"/>
    <w:rsid w:val="00B10A5C"/>
    <w:rsid w:val="00B10A78"/>
    <w:rsid w:val="00B10C4D"/>
    <w:rsid w:val="00B10D8A"/>
    <w:rsid w:val="00B10DB6"/>
    <w:rsid w:val="00B10E9A"/>
    <w:rsid w:val="00B1108D"/>
    <w:rsid w:val="00B11119"/>
    <w:rsid w:val="00B1124B"/>
    <w:rsid w:val="00B11354"/>
    <w:rsid w:val="00B1144A"/>
    <w:rsid w:val="00B1146A"/>
    <w:rsid w:val="00B1152B"/>
    <w:rsid w:val="00B1176F"/>
    <w:rsid w:val="00B117E2"/>
    <w:rsid w:val="00B11888"/>
    <w:rsid w:val="00B11895"/>
    <w:rsid w:val="00B11999"/>
    <w:rsid w:val="00B119DC"/>
    <w:rsid w:val="00B11B57"/>
    <w:rsid w:val="00B11C02"/>
    <w:rsid w:val="00B11CB4"/>
    <w:rsid w:val="00B11D0A"/>
    <w:rsid w:val="00B11DA5"/>
    <w:rsid w:val="00B11E09"/>
    <w:rsid w:val="00B11EC8"/>
    <w:rsid w:val="00B11ECB"/>
    <w:rsid w:val="00B121BF"/>
    <w:rsid w:val="00B124AB"/>
    <w:rsid w:val="00B12529"/>
    <w:rsid w:val="00B1260A"/>
    <w:rsid w:val="00B12649"/>
    <w:rsid w:val="00B1269E"/>
    <w:rsid w:val="00B127E2"/>
    <w:rsid w:val="00B1298C"/>
    <w:rsid w:val="00B129A2"/>
    <w:rsid w:val="00B129F1"/>
    <w:rsid w:val="00B12AE4"/>
    <w:rsid w:val="00B12B15"/>
    <w:rsid w:val="00B12D75"/>
    <w:rsid w:val="00B12F60"/>
    <w:rsid w:val="00B131B4"/>
    <w:rsid w:val="00B13229"/>
    <w:rsid w:val="00B132EC"/>
    <w:rsid w:val="00B132F5"/>
    <w:rsid w:val="00B13301"/>
    <w:rsid w:val="00B133B1"/>
    <w:rsid w:val="00B1340D"/>
    <w:rsid w:val="00B13583"/>
    <w:rsid w:val="00B135AF"/>
    <w:rsid w:val="00B13643"/>
    <w:rsid w:val="00B1371A"/>
    <w:rsid w:val="00B137AB"/>
    <w:rsid w:val="00B1381E"/>
    <w:rsid w:val="00B13AD3"/>
    <w:rsid w:val="00B13D19"/>
    <w:rsid w:val="00B1400D"/>
    <w:rsid w:val="00B14059"/>
    <w:rsid w:val="00B1409F"/>
    <w:rsid w:val="00B140BF"/>
    <w:rsid w:val="00B140FA"/>
    <w:rsid w:val="00B1412C"/>
    <w:rsid w:val="00B14176"/>
    <w:rsid w:val="00B144A4"/>
    <w:rsid w:val="00B14633"/>
    <w:rsid w:val="00B1466F"/>
    <w:rsid w:val="00B1468D"/>
    <w:rsid w:val="00B146BC"/>
    <w:rsid w:val="00B1471F"/>
    <w:rsid w:val="00B148C6"/>
    <w:rsid w:val="00B148CB"/>
    <w:rsid w:val="00B1498B"/>
    <w:rsid w:val="00B14B83"/>
    <w:rsid w:val="00B14C1A"/>
    <w:rsid w:val="00B14D17"/>
    <w:rsid w:val="00B14D69"/>
    <w:rsid w:val="00B14DB3"/>
    <w:rsid w:val="00B14EE3"/>
    <w:rsid w:val="00B15026"/>
    <w:rsid w:val="00B15074"/>
    <w:rsid w:val="00B150E0"/>
    <w:rsid w:val="00B15138"/>
    <w:rsid w:val="00B15168"/>
    <w:rsid w:val="00B15243"/>
    <w:rsid w:val="00B152A1"/>
    <w:rsid w:val="00B156EB"/>
    <w:rsid w:val="00B15749"/>
    <w:rsid w:val="00B15819"/>
    <w:rsid w:val="00B1587C"/>
    <w:rsid w:val="00B15B16"/>
    <w:rsid w:val="00B15B17"/>
    <w:rsid w:val="00B15C79"/>
    <w:rsid w:val="00B15CA6"/>
    <w:rsid w:val="00B15DFF"/>
    <w:rsid w:val="00B15EF7"/>
    <w:rsid w:val="00B15F34"/>
    <w:rsid w:val="00B15F6A"/>
    <w:rsid w:val="00B1606C"/>
    <w:rsid w:val="00B16111"/>
    <w:rsid w:val="00B161C3"/>
    <w:rsid w:val="00B16480"/>
    <w:rsid w:val="00B165D6"/>
    <w:rsid w:val="00B16693"/>
    <w:rsid w:val="00B16733"/>
    <w:rsid w:val="00B167D3"/>
    <w:rsid w:val="00B168C2"/>
    <w:rsid w:val="00B1692B"/>
    <w:rsid w:val="00B1693A"/>
    <w:rsid w:val="00B169ED"/>
    <w:rsid w:val="00B16A4C"/>
    <w:rsid w:val="00B16B02"/>
    <w:rsid w:val="00B16B87"/>
    <w:rsid w:val="00B16EDA"/>
    <w:rsid w:val="00B16F8A"/>
    <w:rsid w:val="00B16FE3"/>
    <w:rsid w:val="00B170C9"/>
    <w:rsid w:val="00B17256"/>
    <w:rsid w:val="00B1728A"/>
    <w:rsid w:val="00B172C2"/>
    <w:rsid w:val="00B1743C"/>
    <w:rsid w:val="00B17545"/>
    <w:rsid w:val="00B175FB"/>
    <w:rsid w:val="00B1761B"/>
    <w:rsid w:val="00B17995"/>
    <w:rsid w:val="00B17ABB"/>
    <w:rsid w:val="00B17B6A"/>
    <w:rsid w:val="00B17C07"/>
    <w:rsid w:val="00B17C62"/>
    <w:rsid w:val="00B17CC7"/>
    <w:rsid w:val="00B17D8F"/>
    <w:rsid w:val="00B17E6E"/>
    <w:rsid w:val="00B2016C"/>
    <w:rsid w:val="00B2016D"/>
    <w:rsid w:val="00B201A0"/>
    <w:rsid w:val="00B2029C"/>
    <w:rsid w:val="00B2034F"/>
    <w:rsid w:val="00B20498"/>
    <w:rsid w:val="00B204E0"/>
    <w:rsid w:val="00B20617"/>
    <w:rsid w:val="00B20639"/>
    <w:rsid w:val="00B20736"/>
    <w:rsid w:val="00B208DA"/>
    <w:rsid w:val="00B20CE5"/>
    <w:rsid w:val="00B20CEA"/>
    <w:rsid w:val="00B20D07"/>
    <w:rsid w:val="00B20D8A"/>
    <w:rsid w:val="00B20F98"/>
    <w:rsid w:val="00B20FAF"/>
    <w:rsid w:val="00B21071"/>
    <w:rsid w:val="00B21191"/>
    <w:rsid w:val="00B21386"/>
    <w:rsid w:val="00B21447"/>
    <w:rsid w:val="00B21471"/>
    <w:rsid w:val="00B21536"/>
    <w:rsid w:val="00B216C7"/>
    <w:rsid w:val="00B21814"/>
    <w:rsid w:val="00B21A57"/>
    <w:rsid w:val="00B21B56"/>
    <w:rsid w:val="00B21BAE"/>
    <w:rsid w:val="00B21C42"/>
    <w:rsid w:val="00B21C8C"/>
    <w:rsid w:val="00B21D3F"/>
    <w:rsid w:val="00B21D7D"/>
    <w:rsid w:val="00B21DFF"/>
    <w:rsid w:val="00B21E5C"/>
    <w:rsid w:val="00B21E90"/>
    <w:rsid w:val="00B21F25"/>
    <w:rsid w:val="00B2213B"/>
    <w:rsid w:val="00B2216E"/>
    <w:rsid w:val="00B2229D"/>
    <w:rsid w:val="00B223E1"/>
    <w:rsid w:val="00B224AF"/>
    <w:rsid w:val="00B224FE"/>
    <w:rsid w:val="00B22501"/>
    <w:rsid w:val="00B2255C"/>
    <w:rsid w:val="00B225D2"/>
    <w:rsid w:val="00B22766"/>
    <w:rsid w:val="00B22778"/>
    <w:rsid w:val="00B227C4"/>
    <w:rsid w:val="00B2281D"/>
    <w:rsid w:val="00B22DCD"/>
    <w:rsid w:val="00B22E70"/>
    <w:rsid w:val="00B22E9B"/>
    <w:rsid w:val="00B22EFF"/>
    <w:rsid w:val="00B22F06"/>
    <w:rsid w:val="00B22FF6"/>
    <w:rsid w:val="00B2307F"/>
    <w:rsid w:val="00B230CF"/>
    <w:rsid w:val="00B23154"/>
    <w:rsid w:val="00B232F3"/>
    <w:rsid w:val="00B2333B"/>
    <w:rsid w:val="00B23346"/>
    <w:rsid w:val="00B23352"/>
    <w:rsid w:val="00B233D8"/>
    <w:rsid w:val="00B234F0"/>
    <w:rsid w:val="00B23595"/>
    <w:rsid w:val="00B235A4"/>
    <w:rsid w:val="00B23654"/>
    <w:rsid w:val="00B238B2"/>
    <w:rsid w:val="00B23AC3"/>
    <w:rsid w:val="00B23C74"/>
    <w:rsid w:val="00B23D5B"/>
    <w:rsid w:val="00B23D96"/>
    <w:rsid w:val="00B23E4F"/>
    <w:rsid w:val="00B23FD0"/>
    <w:rsid w:val="00B24068"/>
    <w:rsid w:val="00B24198"/>
    <w:rsid w:val="00B242F2"/>
    <w:rsid w:val="00B2458D"/>
    <w:rsid w:val="00B245A3"/>
    <w:rsid w:val="00B24706"/>
    <w:rsid w:val="00B247A9"/>
    <w:rsid w:val="00B24940"/>
    <w:rsid w:val="00B24B9A"/>
    <w:rsid w:val="00B24CD9"/>
    <w:rsid w:val="00B24D03"/>
    <w:rsid w:val="00B24E6B"/>
    <w:rsid w:val="00B24F7D"/>
    <w:rsid w:val="00B25138"/>
    <w:rsid w:val="00B25180"/>
    <w:rsid w:val="00B2528B"/>
    <w:rsid w:val="00B25308"/>
    <w:rsid w:val="00B2538F"/>
    <w:rsid w:val="00B253A9"/>
    <w:rsid w:val="00B2540B"/>
    <w:rsid w:val="00B25798"/>
    <w:rsid w:val="00B25799"/>
    <w:rsid w:val="00B257A6"/>
    <w:rsid w:val="00B25A69"/>
    <w:rsid w:val="00B25B89"/>
    <w:rsid w:val="00B25C66"/>
    <w:rsid w:val="00B25EEE"/>
    <w:rsid w:val="00B2603D"/>
    <w:rsid w:val="00B261C2"/>
    <w:rsid w:val="00B261C6"/>
    <w:rsid w:val="00B2642D"/>
    <w:rsid w:val="00B2643F"/>
    <w:rsid w:val="00B265EA"/>
    <w:rsid w:val="00B26623"/>
    <w:rsid w:val="00B267AA"/>
    <w:rsid w:val="00B26866"/>
    <w:rsid w:val="00B268BC"/>
    <w:rsid w:val="00B2694F"/>
    <w:rsid w:val="00B269B3"/>
    <w:rsid w:val="00B269BB"/>
    <w:rsid w:val="00B26BE8"/>
    <w:rsid w:val="00B26D07"/>
    <w:rsid w:val="00B26F68"/>
    <w:rsid w:val="00B26FC4"/>
    <w:rsid w:val="00B27112"/>
    <w:rsid w:val="00B2725E"/>
    <w:rsid w:val="00B274DC"/>
    <w:rsid w:val="00B2754D"/>
    <w:rsid w:val="00B278D8"/>
    <w:rsid w:val="00B278E2"/>
    <w:rsid w:val="00B27AAB"/>
    <w:rsid w:val="00B27B00"/>
    <w:rsid w:val="00B27CE3"/>
    <w:rsid w:val="00B27CFA"/>
    <w:rsid w:val="00B27D2C"/>
    <w:rsid w:val="00B27E18"/>
    <w:rsid w:val="00B27EFD"/>
    <w:rsid w:val="00B2A12C"/>
    <w:rsid w:val="00B300A5"/>
    <w:rsid w:val="00B30162"/>
    <w:rsid w:val="00B30300"/>
    <w:rsid w:val="00B30431"/>
    <w:rsid w:val="00B3045E"/>
    <w:rsid w:val="00B30495"/>
    <w:rsid w:val="00B30819"/>
    <w:rsid w:val="00B30831"/>
    <w:rsid w:val="00B308DE"/>
    <w:rsid w:val="00B309A7"/>
    <w:rsid w:val="00B309BE"/>
    <w:rsid w:val="00B30D43"/>
    <w:rsid w:val="00B30F2A"/>
    <w:rsid w:val="00B30F96"/>
    <w:rsid w:val="00B310B0"/>
    <w:rsid w:val="00B3113E"/>
    <w:rsid w:val="00B3162A"/>
    <w:rsid w:val="00B3168E"/>
    <w:rsid w:val="00B316A1"/>
    <w:rsid w:val="00B31804"/>
    <w:rsid w:val="00B31808"/>
    <w:rsid w:val="00B31867"/>
    <w:rsid w:val="00B3199F"/>
    <w:rsid w:val="00B31ADF"/>
    <w:rsid w:val="00B31B61"/>
    <w:rsid w:val="00B31B6F"/>
    <w:rsid w:val="00B31CA3"/>
    <w:rsid w:val="00B31CB0"/>
    <w:rsid w:val="00B31DBE"/>
    <w:rsid w:val="00B3256D"/>
    <w:rsid w:val="00B32603"/>
    <w:rsid w:val="00B32644"/>
    <w:rsid w:val="00B326E1"/>
    <w:rsid w:val="00B329D3"/>
    <w:rsid w:val="00B32A92"/>
    <w:rsid w:val="00B32B31"/>
    <w:rsid w:val="00B32E46"/>
    <w:rsid w:val="00B33038"/>
    <w:rsid w:val="00B33064"/>
    <w:rsid w:val="00B333F6"/>
    <w:rsid w:val="00B33419"/>
    <w:rsid w:val="00B335C2"/>
    <w:rsid w:val="00B33651"/>
    <w:rsid w:val="00B3369D"/>
    <w:rsid w:val="00B33744"/>
    <w:rsid w:val="00B3376F"/>
    <w:rsid w:val="00B33856"/>
    <w:rsid w:val="00B339A8"/>
    <w:rsid w:val="00B339D4"/>
    <w:rsid w:val="00B33A60"/>
    <w:rsid w:val="00B33C48"/>
    <w:rsid w:val="00B33CEE"/>
    <w:rsid w:val="00B33D41"/>
    <w:rsid w:val="00B33DAB"/>
    <w:rsid w:val="00B33DCC"/>
    <w:rsid w:val="00B33E48"/>
    <w:rsid w:val="00B33EC1"/>
    <w:rsid w:val="00B33FA2"/>
    <w:rsid w:val="00B34013"/>
    <w:rsid w:val="00B3404C"/>
    <w:rsid w:val="00B34055"/>
    <w:rsid w:val="00B34080"/>
    <w:rsid w:val="00B34122"/>
    <w:rsid w:val="00B34378"/>
    <w:rsid w:val="00B3444C"/>
    <w:rsid w:val="00B34452"/>
    <w:rsid w:val="00B344BC"/>
    <w:rsid w:val="00B34541"/>
    <w:rsid w:val="00B345A2"/>
    <w:rsid w:val="00B34864"/>
    <w:rsid w:val="00B34877"/>
    <w:rsid w:val="00B348A4"/>
    <w:rsid w:val="00B349F2"/>
    <w:rsid w:val="00B34A6E"/>
    <w:rsid w:val="00B34AA9"/>
    <w:rsid w:val="00B34B25"/>
    <w:rsid w:val="00B34CD2"/>
    <w:rsid w:val="00B34CDA"/>
    <w:rsid w:val="00B34F94"/>
    <w:rsid w:val="00B3504F"/>
    <w:rsid w:val="00B350B2"/>
    <w:rsid w:val="00B35171"/>
    <w:rsid w:val="00B35329"/>
    <w:rsid w:val="00B35342"/>
    <w:rsid w:val="00B353B8"/>
    <w:rsid w:val="00B35583"/>
    <w:rsid w:val="00B355A5"/>
    <w:rsid w:val="00B3562B"/>
    <w:rsid w:val="00B356C0"/>
    <w:rsid w:val="00B3582E"/>
    <w:rsid w:val="00B359B3"/>
    <w:rsid w:val="00B359D5"/>
    <w:rsid w:val="00B35BAF"/>
    <w:rsid w:val="00B35CD6"/>
    <w:rsid w:val="00B35CF9"/>
    <w:rsid w:val="00B35D3D"/>
    <w:rsid w:val="00B35E54"/>
    <w:rsid w:val="00B3610E"/>
    <w:rsid w:val="00B361B2"/>
    <w:rsid w:val="00B36329"/>
    <w:rsid w:val="00B36373"/>
    <w:rsid w:val="00B36425"/>
    <w:rsid w:val="00B365F2"/>
    <w:rsid w:val="00B3662C"/>
    <w:rsid w:val="00B36694"/>
    <w:rsid w:val="00B367CF"/>
    <w:rsid w:val="00B36843"/>
    <w:rsid w:val="00B369DE"/>
    <w:rsid w:val="00B36C08"/>
    <w:rsid w:val="00B36D3B"/>
    <w:rsid w:val="00B36D4C"/>
    <w:rsid w:val="00B36EF9"/>
    <w:rsid w:val="00B36F8A"/>
    <w:rsid w:val="00B370BB"/>
    <w:rsid w:val="00B37163"/>
    <w:rsid w:val="00B371EB"/>
    <w:rsid w:val="00B37315"/>
    <w:rsid w:val="00B3746B"/>
    <w:rsid w:val="00B374A5"/>
    <w:rsid w:val="00B37BD9"/>
    <w:rsid w:val="00B37C93"/>
    <w:rsid w:val="00B37DE9"/>
    <w:rsid w:val="00B37E3B"/>
    <w:rsid w:val="00B37FB9"/>
    <w:rsid w:val="00B37FC8"/>
    <w:rsid w:val="00B400D9"/>
    <w:rsid w:val="00B401DA"/>
    <w:rsid w:val="00B40226"/>
    <w:rsid w:val="00B40261"/>
    <w:rsid w:val="00B402A8"/>
    <w:rsid w:val="00B40315"/>
    <w:rsid w:val="00B404A9"/>
    <w:rsid w:val="00B404AB"/>
    <w:rsid w:val="00B40687"/>
    <w:rsid w:val="00B407B9"/>
    <w:rsid w:val="00B408F0"/>
    <w:rsid w:val="00B4094C"/>
    <w:rsid w:val="00B40A70"/>
    <w:rsid w:val="00B40B41"/>
    <w:rsid w:val="00B40B77"/>
    <w:rsid w:val="00B40D35"/>
    <w:rsid w:val="00B40D68"/>
    <w:rsid w:val="00B40D7F"/>
    <w:rsid w:val="00B40E02"/>
    <w:rsid w:val="00B40E19"/>
    <w:rsid w:val="00B40E76"/>
    <w:rsid w:val="00B40E8E"/>
    <w:rsid w:val="00B41025"/>
    <w:rsid w:val="00B41054"/>
    <w:rsid w:val="00B411EC"/>
    <w:rsid w:val="00B41429"/>
    <w:rsid w:val="00B41461"/>
    <w:rsid w:val="00B4155B"/>
    <w:rsid w:val="00B416B0"/>
    <w:rsid w:val="00B416B9"/>
    <w:rsid w:val="00B417B0"/>
    <w:rsid w:val="00B417BB"/>
    <w:rsid w:val="00B4193E"/>
    <w:rsid w:val="00B41D19"/>
    <w:rsid w:val="00B41E30"/>
    <w:rsid w:val="00B41E62"/>
    <w:rsid w:val="00B41F73"/>
    <w:rsid w:val="00B41FCF"/>
    <w:rsid w:val="00B420D5"/>
    <w:rsid w:val="00B420EE"/>
    <w:rsid w:val="00B4240A"/>
    <w:rsid w:val="00B42454"/>
    <w:rsid w:val="00B425D5"/>
    <w:rsid w:val="00B42637"/>
    <w:rsid w:val="00B4275C"/>
    <w:rsid w:val="00B42894"/>
    <w:rsid w:val="00B42899"/>
    <w:rsid w:val="00B42942"/>
    <w:rsid w:val="00B42A30"/>
    <w:rsid w:val="00B42EA9"/>
    <w:rsid w:val="00B430C6"/>
    <w:rsid w:val="00B431C8"/>
    <w:rsid w:val="00B43227"/>
    <w:rsid w:val="00B432C2"/>
    <w:rsid w:val="00B4341E"/>
    <w:rsid w:val="00B4352A"/>
    <w:rsid w:val="00B437A4"/>
    <w:rsid w:val="00B437DD"/>
    <w:rsid w:val="00B43806"/>
    <w:rsid w:val="00B43912"/>
    <w:rsid w:val="00B43A53"/>
    <w:rsid w:val="00B44022"/>
    <w:rsid w:val="00B441C2"/>
    <w:rsid w:val="00B443B2"/>
    <w:rsid w:val="00B444E9"/>
    <w:rsid w:val="00B44750"/>
    <w:rsid w:val="00B4480A"/>
    <w:rsid w:val="00B448C2"/>
    <w:rsid w:val="00B449DE"/>
    <w:rsid w:val="00B44A01"/>
    <w:rsid w:val="00B44AE8"/>
    <w:rsid w:val="00B44B34"/>
    <w:rsid w:val="00B44B93"/>
    <w:rsid w:val="00B44D8C"/>
    <w:rsid w:val="00B44EB1"/>
    <w:rsid w:val="00B45097"/>
    <w:rsid w:val="00B450A9"/>
    <w:rsid w:val="00B45199"/>
    <w:rsid w:val="00B454B9"/>
    <w:rsid w:val="00B454FB"/>
    <w:rsid w:val="00B45549"/>
    <w:rsid w:val="00B45622"/>
    <w:rsid w:val="00B45731"/>
    <w:rsid w:val="00B4577E"/>
    <w:rsid w:val="00B45811"/>
    <w:rsid w:val="00B4582D"/>
    <w:rsid w:val="00B459C6"/>
    <w:rsid w:val="00B45AD2"/>
    <w:rsid w:val="00B45C3B"/>
    <w:rsid w:val="00B45CD6"/>
    <w:rsid w:val="00B45D21"/>
    <w:rsid w:val="00B45E02"/>
    <w:rsid w:val="00B45E26"/>
    <w:rsid w:val="00B45FA2"/>
    <w:rsid w:val="00B46024"/>
    <w:rsid w:val="00B4603D"/>
    <w:rsid w:val="00B463FB"/>
    <w:rsid w:val="00B4640B"/>
    <w:rsid w:val="00B46676"/>
    <w:rsid w:val="00B46689"/>
    <w:rsid w:val="00B46993"/>
    <w:rsid w:val="00B46A03"/>
    <w:rsid w:val="00B46BDB"/>
    <w:rsid w:val="00B46C05"/>
    <w:rsid w:val="00B46C60"/>
    <w:rsid w:val="00B46EB3"/>
    <w:rsid w:val="00B46EE4"/>
    <w:rsid w:val="00B46F1D"/>
    <w:rsid w:val="00B46F8B"/>
    <w:rsid w:val="00B47044"/>
    <w:rsid w:val="00B4725E"/>
    <w:rsid w:val="00B47282"/>
    <w:rsid w:val="00B473C6"/>
    <w:rsid w:val="00B4752F"/>
    <w:rsid w:val="00B4770B"/>
    <w:rsid w:val="00B4770E"/>
    <w:rsid w:val="00B4799A"/>
    <w:rsid w:val="00B47C7D"/>
    <w:rsid w:val="00B47C83"/>
    <w:rsid w:val="00B47CE6"/>
    <w:rsid w:val="00B47D19"/>
    <w:rsid w:val="00B47D33"/>
    <w:rsid w:val="00B47D9E"/>
    <w:rsid w:val="00B47E6F"/>
    <w:rsid w:val="00B50049"/>
    <w:rsid w:val="00B50073"/>
    <w:rsid w:val="00B5029C"/>
    <w:rsid w:val="00B502DB"/>
    <w:rsid w:val="00B50300"/>
    <w:rsid w:val="00B50332"/>
    <w:rsid w:val="00B50430"/>
    <w:rsid w:val="00B50532"/>
    <w:rsid w:val="00B50566"/>
    <w:rsid w:val="00B5063D"/>
    <w:rsid w:val="00B50A73"/>
    <w:rsid w:val="00B50ABD"/>
    <w:rsid w:val="00B50AC0"/>
    <w:rsid w:val="00B50C1B"/>
    <w:rsid w:val="00B50CEC"/>
    <w:rsid w:val="00B50D5C"/>
    <w:rsid w:val="00B50E92"/>
    <w:rsid w:val="00B50F2D"/>
    <w:rsid w:val="00B50F80"/>
    <w:rsid w:val="00B51180"/>
    <w:rsid w:val="00B51320"/>
    <w:rsid w:val="00B5141E"/>
    <w:rsid w:val="00B5152E"/>
    <w:rsid w:val="00B515BE"/>
    <w:rsid w:val="00B51605"/>
    <w:rsid w:val="00B51628"/>
    <w:rsid w:val="00B5176F"/>
    <w:rsid w:val="00B51B46"/>
    <w:rsid w:val="00B51B9A"/>
    <w:rsid w:val="00B51BD2"/>
    <w:rsid w:val="00B51E49"/>
    <w:rsid w:val="00B51E99"/>
    <w:rsid w:val="00B51FD1"/>
    <w:rsid w:val="00B523EC"/>
    <w:rsid w:val="00B5241F"/>
    <w:rsid w:val="00B52428"/>
    <w:rsid w:val="00B52471"/>
    <w:rsid w:val="00B527CE"/>
    <w:rsid w:val="00B52829"/>
    <w:rsid w:val="00B52AAD"/>
    <w:rsid w:val="00B52AB2"/>
    <w:rsid w:val="00B52CC7"/>
    <w:rsid w:val="00B52CD9"/>
    <w:rsid w:val="00B52D83"/>
    <w:rsid w:val="00B52DE7"/>
    <w:rsid w:val="00B52F62"/>
    <w:rsid w:val="00B52FC3"/>
    <w:rsid w:val="00B53094"/>
    <w:rsid w:val="00B53150"/>
    <w:rsid w:val="00B534AC"/>
    <w:rsid w:val="00B537DA"/>
    <w:rsid w:val="00B537E5"/>
    <w:rsid w:val="00B537E9"/>
    <w:rsid w:val="00B5380B"/>
    <w:rsid w:val="00B53820"/>
    <w:rsid w:val="00B5383F"/>
    <w:rsid w:val="00B53937"/>
    <w:rsid w:val="00B53A82"/>
    <w:rsid w:val="00B53C97"/>
    <w:rsid w:val="00B53DFA"/>
    <w:rsid w:val="00B53E23"/>
    <w:rsid w:val="00B53FCF"/>
    <w:rsid w:val="00B543EB"/>
    <w:rsid w:val="00B545BD"/>
    <w:rsid w:val="00B546F6"/>
    <w:rsid w:val="00B54870"/>
    <w:rsid w:val="00B54890"/>
    <w:rsid w:val="00B54926"/>
    <w:rsid w:val="00B54989"/>
    <w:rsid w:val="00B54AC0"/>
    <w:rsid w:val="00B54BF6"/>
    <w:rsid w:val="00B54D28"/>
    <w:rsid w:val="00B54E94"/>
    <w:rsid w:val="00B54ED9"/>
    <w:rsid w:val="00B54F99"/>
    <w:rsid w:val="00B5501A"/>
    <w:rsid w:val="00B5509D"/>
    <w:rsid w:val="00B550E9"/>
    <w:rsid w:val="00B552E1"/>
    <w:rsid w:val="00B55318"/>
    <w:rsid w:val="00B553D6"/>
    <w:rsid w:val="00B554A2"/>
    <w:rsid w:val="00B55549"/>
    <w:rsid w:val="00B55676"/>
    <w:rsid w:val="00B556F1"/>
    <w:rsid w:val="00B556F5"/>
    <w:rsid w:val="00B557F0"/>
    <w:rsid w:val="00B55836"/>
    <w:rsid w:val="00B55A4B"/>
    <w:rsid w:val="00B55B51"/>
    <w:rsid w:val="00B55B8D"/>
    <w:rsid w:val="00B55BEC"/>
    <w:rsid w:val="00B55CCE"/>
    <w:rsid w:val="00B55D79"/>
    <w:rsid w:val="00B5602E"/>
    <w:rsid w:val="00B5604F"/>
    <w:rsid w:val="00B56054"/>
    <w:rsid w:val="00B5609A"/>
    <w:rsid w:val="00B56149"/>
    <w:rsid w:val="00B563CE"/>
    <w:rsid w:val="00B56467"/>
    <w:rsid w:val="00B5651E"/>
    <w:rsid w:val="00B56713"/>
    <w:rsid w:val="00B5671A"/>
    <w:rsid w:val="00B567E7"/>
    <w:rsid w:val="00B56818"/>
    <w:rsid w:val="00B56882"/>
    <w:rsid w:val="00B56A2D"/>
    <w:rsid w:val="00B56A85"/>
    <w:rsid w:val="00B56BBA"/>
    <w:rsid w:val="00B56BD0"/>
    <w:rsid w:val="00B56C52"/>
    <w:rsid w:val="00B56D6F"/>
    <w:rsid w:val="00B56F91"/>
    <w:rsid w:val="00B5700E"/>
    <w:rsid w:val="00B5720B"/>
    <w:rsid w:val="00B572BB"/>
    <w:rsid w:val="00B572CC"/>
    <w:rsid w:val="00B5739F"/>
    <w:rsid w:val="00B57482"/>
    <w:rsid w:val="00B5759E"/>
    <w:rsid w:val="00B577DC"/>
    <w:rsid w:val="00B577EF"/>
    <w:rsid w:val="00B5783F"/>
    <w:rsid w:val="00B579CC"/>
    <w:rsid w:val="00B57E48"/>
    <w:rsid w:val="00B57E5B"/>
    <w:rsid w:val="00B57E5C"/>
    <w:rsid w:val="00B57E78"/>
    <w:rsid w:val="00B57ECA"/>
    <w:rsid w:val="00B6004A"/>
    <w:rsid w:val="00B600D3"/>
    <w:rsid w:val="00B60398"/>
    <w:rsid w:val="00B603E1"/>
    <w:rsid w:val="00B603E9"/>
    <w:rsid w:val="00B606AF"/>
    <w:rsid w:val="00B60789"/>
    <w:rsid w:val="00B60853"/>
    <w:rsid w:val="00B608BA"/>
    <w:rsid w:val="00B608C3"/>
    <w:rsid w:val="00B60901"/>
    <w:rsid w:val="00B609A2"/>
    <w:rsid w:val="00B609A9"/>
    <w:rsid w:val="00B60AAB"/>
    <w:rsid w:val="00B60AE1"/>
    <w:rsid w:val="00B60B27"/>
    <w:rsid w:val="00B60B8E"/>
    <w:rsid w:val="00B60C85"/>
    <w:rsid w:val="00B60DF7"/>
    <w:rsid w:val="00B60F42"/>
    <w:rsid w:val="00B610CC"/>
    <w:rsid w:val="00B61133"/>
    <w:rsid w:val="00B61135"/>
    <w:rsid w:val="00B61236"/>
    <w:rsid w:val="00B61380"/>
    <w:rsid w:val="00B6141A"/>
    <w:rsid w:val="00B61478"/>
    <w:rsid w:val="00B61567"/>
    <w:rsid w:val="00B61579"/>
    <w:rsid w:val="00B6158F"/>
    <w:rsid w:val="00B615F8"/>
    <w:rsid w:val="00B6162C"/>
    <w:rsid w:val="00B6163E"/>
    <w:rsid w:val="00B616A6"/>
    <w:rsid w:val="00B61817"/>
    <w:rsid w:val="00B61A6B"/>
    <w:rsid w:val="00B61B9E"/>
    <w:rsid w:val="00B61BAD"/>
    <w:rsid w:val="00B61C0B"/>
    <w:rsid w:val="00B61DD6"/>
    <w:rsid w:val="00B61E75"/>
    <w:rsid w:val="00B61EB6"/>
    <w:rsid w:val="00B61F8E"/>
    <w:rsid w:val="00B621A0"/>
    <w:rsid w:val="00B62207"/>
    <w:rsid w:val="00B6221F"/>
    <w:rsid w:val="00B62499"/>
    <w:rsid w:val="00B6289A"/>
    <w:rsid w:val="00B62910"/>
    <w:rsid w:val="00B62993"/>
    <w:rsid w:val="00B62A0D"/>
    <w:rsid w:val="00B62AE9"/>
    <w:rsid w:val="00B62CE8"/>
    <w:rsid w:val="00B62D71"/>
    <w:rsid w:val="00B62DA5"/>
    <w:rsid w:val="00B62E6E"/>
    <w:rsid w:val="00B62EEF"/>
    <w:rsid w:val="00B630B2"/>
    <w:rsid w:val="00B631AC"/>
    <w:rsid w:val="00B631AE"/>
    <w:rsid w:val="00B63239"/>
    <w:rsid w:val="00B633E5"/>
    <w:rsid w:val="00B634A8"/>
    <w:rsid w:val="00B634D8"/>
    <w:rsid w:val="00B63582"/>
    <w:rsid w:val="00B63621"/>
    <w:rsid w:val="00B63640"/>
    <w:rsid w:val="00B63660"/>
    <w:rsid w:val="00B636B5"/>
    <w:rsid w:val="00B63742"/>
    <w:rsid w:val="00B637D5"/>
    <w:rsid w:val="00B63827"/>
    <w:rsid w:val="00B63838"/>
    <w:rsid w:val="00B63869"/>
    <w:rsid w:val="00B6398A"/>
    <w:rsid w:val="00B63A78"/>
    <w:rsid w:val="00B63BF6"/>
    <w:rsid w:val="00B63C39"/>
    <w:rsid w:val="00B63CB4"/>
    <w:rsid w:val="00B6423E"/>
    <w:rsid w:val="00B6427A"/>
    <w:rsid w:val="00B64300"/>
    <w:rsid w:val="00B64662"/>
    <w:rsid w:val="00B646C0"/>
    <w:rsid w:val="00B6499E"/>
    <w:rsid w:val="00B64A63"/>
    <w:rsid w:val="00B64B19"/>
    <w:rsid w:val="00B64B73"/>
    <w:rsid w:val="00B64E75"/>
    <w:rsid w:val="00B64EC9"/>
    <w:rsid w:val="00B64F5C"/>
    <w:rsid w:val="00B64FA9"/>
    <w:rsid w:val="00B65017"/>
    <w:rsid w:val="00B650E8"/>
    <w:rsid w:val="00B6518F"/>
    <w:rsid w:val="00B65234"/>
    <w:rsid w:val="00B65254"/>
    <w:rsid w:val="00B652F8"/>
    <w:rsid w:val="00B65559"/>
    <w:rsid w:val="00B65635"/>
    <w:rsid w:val="00B656BE"/>
    <w:rsid w:val="00B656E9"/>
    <w:rsid w:val="00B6574E"/>
    <w:rsid w:val="00B6578F"/>
    <w:rsid w:val="00B65B45"/>
    <w:rsid w:val="00B65B5C"/>
    <w:rsid w:val="00B65B8C"/>
    <w:rsid w:val="00B65C4D"/>
    <w:rsid w:val="00B65DC1"/>
    <w:rsid w:val="00B65E7C"/>
    <w:rsid w:val="00B6605F"/>
    <w:rsid w:val="00B66095"/>
    <w:rsid w:val="00B66333"/>
    <w:rsid w:val="00B6645A"/>
    <w:rsid w:val="00B66473"/>
    <w:rsid w:val="00B665D7"/>
    <w:rsid w:val="00B66721"/>
    <w:rsid w:val="00B6683F"/>
    <w:rsid w:val="00B6686C"/>
    <w:rsid w:val="00B66990"/>
    <w:rsid w:val="00B66A72"/>
    <w:rsid w:val="00B66A86"/>
    <w:rsid w:val="00B66DCA"/>
    <w:rsid w:val="00B66DE9"/>
    <w:rsid w:val="00B66E46"/>
    <w:rsid w:val="00B67068"/>
    <w:rsid w:val="00B670AE"/>
    <w:rsid w:val="00B67364"/>
    <w:rsid w:val="00B673C6"/>
    <w:rsid w:val="00B67423"/>
    <w:rsid w:val="00B675AA"/>
    <w:rsid w:val="00B675F3"/>
    <w:rsid w:val="00B678FA"/>
    <w:rsid w:val="00B679A5"/>
    <w:rsid w:val="00B679B2"/>
    <w:rsid w:val="00B679ED"/>
    <w:rsid w:val="00B67A9E"/>
    <w:rsid w:val="00B67AAE"/>
    <w:rsid w:val="00B67B52"/>
    <w:rsid w:val="00B67EC8"/>
    <w:rsid w:val="00B67F3E"/>
    <w:rsid w:val="00B67F6F"/>
    <w:rsid w:val="00B67FBB"/>
    <w:rsid w:val="00B6FC9E"/>
    <w:rsid w:val="00B7001C"/>
    <w:rsid w:val="00B70053"/>
    <w:rsid w:val="00B701C0"/>
    <w:rsid w:val="00B70302"/>
    <w:rsid w:val="00B70330"/>
    <w:rsid w:val="00B70359"/>
    <w:rsid w:val="00B703A1"/>
    <w:rsid w:val="00B70472"/>
    <w:rsid w:val="00B705D7"/>
    <w:rsid w:val="00B70609"/>
    <w:rsid w:val="00B706BB"/>
    <w:rsid w:val="00B70B94"/>
    <w:rsid w:val="00B70CFD"/>
    <w:rsid w:val="00B70E9B"/>
    <w:rsid w:val="00B70EBF"/>
    <w:rsid w:val="00B71003"/>
    <w:rsid w:val="00B711C6"/>
    <w:rsid w:val="00B711E3"/>
    <w:rsid w:val="00B7128D"/>
    <w:rsid w:val="00B713B0"/>
    <w:rsid w:val="00B71661"/>
    <w:rsid w:val="00B716F4"/>
    <w:rsid w:val="00B71731"/>
    <w:rsid w:val="00B7177D"/>
    <w:rsid w:val="00B71884"/>
    <w:rsid w:val="00B719BA"/>
    <w:rsid w:val="00B719E5"/>
    <w:rsid w:val="00B71B52"/>
    <w:rsid w:val="00B71C45"/>
    <w:rsid w:val="00B71DF3"/>
    <w:rsid w:val="00B720E2"/>
    <w:rsid w:val="00B7226E"/>
    <w:rsid w:val="00B722EF"/>
    <w:rsid w:val="00B72383"/>
    <w:rsid w:val="00B72533"/>
    <w:rsid w:val="00B72819"/>
    <w:rsid w:val="00B72AC6"/>
    <w:rsid w:val="00B72AE3"/>
    <w:rsid w:val="00B72AE4"/>
    <w:rsid w:val="00B72B0C"/>
    <w:rsid w:val="00B72B83"/>
    <w:rsid w:val="00B72D17"/>
    <w:rsid w:val="00B72F3D"/>
    <w:rsid w:val="00B73047"/>
    <w:rsid w:val="00B730D0"/>
    <w:rsid w:val="00B731C3"/>
    <w:rsid w:val="00B7324D"/>
    <w:rsid w:val="00B7334C"/>
    <w:rsid w:val="00B7345D"/>
    <w:rsid w:val="00B7361B"/>
    <w:rsid w:val="00B73654"/>
    <w:rsid w:val="00B73656"/>
    <w:rsid w:val="00B73729"/>
    <w:rsid w:val="00B7374D"/>
    <w:rsid w:val="00B739C9"/>
    <w:rsid w:val="00B739E3"/>
    <w:rsid w:val="00B739E8"/>
    <w:rsid w:val="00B73AEA"/>
    <w:rsid w:val="00B73C82"/>
    <w:rsid w:val="00B73C8D"/>
    <w:rsid w:val="00B73D24"/>
    <w:rsid w:val="00B740B2"/>
    <w:rsid w:val="00B74307"/>
    <w:rsid w:val="00B74574"/>
    <w:rsid w:val="00B746EA"/>
    <w:rsid w:val="00B7470F"/>
    <w:rsid w:val="00B7482F"/>
    <w:rsid w:val="00B74904"/>
    <w:rsid w:val="00B749EB"/>
    <w:rsid w:val="00B74C51"/>
    <w:rsid w:val="00B74DF1"/>
    <w:rsid w:val="00B74E31"/>
    <w:rsid w:val="00B74F3E"/>
    <w:rsid w:val="00B74FD1"/>
    <w:rsid w:val="00B75111"/>
    <w:rsid w:val="00B7523B"/>
    <w:rsid w:val="00B75437"/>
    <w:rsid w:val="00B7559F"/>
    <w:rsid w:val="00B755C1"/>
    <w:rsid w:val="00B75859"/>
    <w:rsid w:val="00B75990"/>
    <w:rsid w:val="00B75BF4"/>
    <w:rsid w:val="00B75CD2"/>
    <w:rsid w:val="00B75F54"/>
    <w:rsid w:val="00B7601A"/>
    <w:rsid w:val="00B7607E"/>
    <w:rsid w:val="00B76123"/>
    <w:rsid w:val="00B761B3"/>
    <w:rsid w:val="00B761DD"/>
    <w:rsid w:val="00B76254"/>
    <w:rsid w:val="00B76326"/>
    <w:rsid w:val="00B763DC"/>
    <w:rsid w:val="00B765A6"/>
    <w:rsid w:val="00B766EA"/>
    <w:rsid w:val="00B766F4"/>
    <w:rsid w:val="00B76864"/>
    <w:rsid w:val="00B768B9"/>
    <w:rsid w:val="00B76972"/>
    <w:rsid w:val="00B76A35"/>
    <w:rsid w:val="00B76BCF"/>
    <w:rsid w:val="00B76BE9"/>
    <w:rsid w:val="00B76CF7"/>
    <w:rsid w:val="00B76F60"/>
    <w:rsid w:val="00B77251"/>
    <w:rsid w:val="00B773F6"/>
    <w:rsid w:val="00B774B4"/>
    <w:rsid w:val="00B774C3"/>
    <w:rsid w:val="00B77552"/>
    <w:rsid w:val="00B77711"/>
    <w:rsid w:val="00B77722"/>
    <w:rsid w:val="00B77808"/>
    <w:rsid w:val="00B77839"/>
    <w:rsid w:val="00B77926"/>
    <w:rsid w:val="00B77BC5"/>
    <w:rsid w:val="00B77BFB"/>
    <w:rsid w:val="00B77F20"/>
    <w:rsid w:val="00B8010E"/>
    <w:rsid w:val="00B80249"/>
    <w:rsid w:val="00B802D5"/>
    <w:rsid w:val="00B8034C"/>
    <w:rsid w:val="00B803AF"/>
    <w:rsid w:val="00B803D2"/>
    <w:rsid w:val="00B8040C"/>
    <w:rsid w:val="00B80416"/>
    <w:rsid w:val="00B8058B"/>
    <w:rsid w:val="00B806AF"/>
    <w:rsid w:val="00B806FE"/>
    <w:rsid w:val="00B807DF"/>
    <w:rsid w:val="00B80AAF"/>
    <w:rsid w:val="00B80E8E"/>
    <w:rsid w:val="00B8108E"/>
    <w:rsid w:val="00B810C7"/>
    <w:rsid w:val="00B8110C"/>
    <w:rsid w:val="00B81160"/>
    <w:rsid w:val="00B81403"/>
    <w:rsid w:val="00B81494"/>
    <w:rsid w:val="00B814DD"/>
    <w:rsid w:val="00B815CB"/>
    <w:rsid w:val="00B8185A"/>
    <w:rsid w:val="00B81879"/>
    <w:rsid w:val="00B81922"/>
    <w:rsid w:val="00B81994"/>
    <w:rsid w:val="00B81A35"/>
    <w:rsid w:val="00B81A71"/>
    <w:rsid w:val="00B81B0E"/>
    <w:rsid w:val="00B81B33"/>
    <w:rsid w:val="00B81BCB"/>
    <w:rsid w:val="00B81C8B"/>
    <w:rsid w:val="00B81D98"/>
    <w:rsid w:val="00B81DA1"/>
    <w:rsid w:val="00B81DFF"/>
    <w:rsid w:val="00B81E3C"/>
    <w:rsid w:val="00B81F0B"/>
    <w:rsid w:val="00B81F21"/>
    <w:rsid w:val="00B81F2D"/>
    <w:rsid w:val="00B82040"/>
    <w:rsid w:val="00B821E8"/>
    <w:rsid w:val="00B82272"/>
    <w:rsid w:val="00B823B5"/>
    <w:rsid w:val="00B824DD"/>
    <w:rsid w:val="00B825C9"/>
    <w:rsid w:val="00B8261F"/>
    <w:rsid w:val="00B826B9"/>
    <w:rsid w:val="00B826F9"/>
    <w:rsid w:val="00B8276F"/>
    <w:rsid w:val="00B8281E"/>
    <w:rsid w:val="00B828E0"/>
    <w:rsid w:val="00B82906"/>
    <w:rsid w:val="00B8291F"/>
    <w:rsid w:val="00B82D0D"/>
    <w:rsid w:val="00B82D6D"/>
    <w:rsid w:val="00B82E02"/>
    <w:rsid w:val="00B832C0"/>
    <w:rsid w:val="00B836AB"/>
    <w:rsid w:val="00B83748"/>
    <w:rsid w:val="00B8378C"/>
    <w:rsid w:val="00B83807"/>
    <w:rsid w:val="00B83961"/>
    <w:rsid w:val="00B839C2"/>
    <w:rsid w:val="00B83AC2"/>
    <w:rsid w:val="00B83CC3"/>
    <w:rsid w:val="00B83D80"/>
    <w:rsid w:val="00B83DD2"/>
    <w:rsid w:val="00B83E16"/>
    <w:rsid w:val="00B83EB4"/>
    <w:rsid w:val="00B84119"/>
    <w:rsid w:val="00B84516"/>
    <w:rsid w:val="00B8456D"/>
    <w:rsid w:val="00B8460B"/>
    <w:rsid w:val="00B84739"/>
    <w:rsid w:val="00B849FC"/>
    <w:rsid w:val="00B84DAA"/>
    <w:rsid w:val="00B84E0F"/>
    <w:rsid w:val="00B84E36"/>
    <w:rsid w:val="00B84E7F"/>
    <w:rsid w:val="00B850B7"/>
    <w:rsid w:val="00B853D5"/>
    <w:rsid w:val="00B85448"/>
    <w:rsid w:val="00B85570"/>
    <w:rsid w:val="00B855C2"/>
    <w:rsid w:val="00B85871"/>
    <w:rsid w:val="00B85B28"/>
    <w:rsid w:val="00B85D44"/>
    <w:rsid w:val="00B85D7F"/>
    <w:rsid w:val="00B85D8B"/>
    <w:rsid w:val="00B85FB8"/>
    <w:rsid w:val="00B85FE9"/>
    <w:rsid w:val="00B85FEE"/>
    <w:rsid w:val="00B86047"/>
    <w:rsid w:val="00B8624A"/>
    <w:rsid w:val="00B862F7"/>
    <w:rsid w:val="00B86650"/>
    <w:rsid w:val="00B86711"/>
    <w:rsid w:val="00B86923"/>
    <w:rsid w:val="00B86A78"/>
    <w:rsid w:val="00B86D92"/>
    <w:rsid w:val="00B86E48"/>
    <w:rsid w:val="00B86E62"/>
    <w:rsid w:val="00B86E70"/>
    <w:rsid w:val="00B86EAA"/>
    <w:rsid w:val="00B86FFA"/>
    <w:rsid w:val="00B87021"/>
    <w:rsid w:val="00B871BD"/>
    <w:rsid w:val="00B87234"/>
    <w:rsid w:val="00B872A8"/>
    <w:rsid w:val="00B874FB"/>
    <w:rsid w:val="00B8756F"/>
    <w:rsid w:val="00B8768F"/>
    <w:rsid w:val="00B8774D"/>
    <w:rsid w:val="00B8778A"/>
    <w:rsid w:val="00B87977"/>
    <w:rsid w:val="00B87A4C"/>
    <w:rsid w:val="00B87D79"/>
    <w:rsid w:val="00B8DAEA"/>
    <w:rsid w:val="00B8E399"/>
    <w:rsid w:val="00B90068"/>
    <w:rsid w:val="00B90347"/>
    <w:rsid w:val="00B90423"/>
    <w:rsid w:val="00B90434"/>
    <w:rsid w:val="00B90483"/>
    <w:rsid w:val="00B9059C"/>
    <w:rsid w:val="00B9059F"/>
    <w:rsid w:val="00B905F7"/>
    <w:rsid w:val="00B90818"/>
    <w:rsid w:val="00B90821"/>
    <w:rsid w:val="00B90A76"/>
    <w:rsid w:val="00B90A86"/>
    <w:rsid w:val="00B90BD0"/>
    <w:rsid w:val="00B90BD3"/>
    <w:rsid w:val="00B90C56"/>
    <w:rsid w:val="00B90D24"/>
    <w:rsid w:val="00B90DEA"/>
    <w:rsid w:val="00B90E37"/>
    <w:rsid w:val="00B90E63"/>
    <w:rsid w:val="00B90F71"/>
    <w:rsid w:val="00B90F7C"/>
    <w:rsid w:val="00B90F89"/>
    <w:rsid w:val="00B910CE"/>
    <w:rsid w:val="00B912AF"/>
    <w:rsid w:val="00B91597"/>
    <w:rsid w:val="00B91A3C"/>
    <w:rsid w:val="00B91AF0"/>
    <w:rsid w:val="00B91BA5"/>
    <w:rsid w:val="00B91BFB"/>
    <w:rsid w:val="00B91CAB"/>
    <w:rsid w:val="00B91D13"/>
    <w:rsid w:val="00B91D78"/>
    <w:rsid w:val="00B91F44"/>
    <w:rsid w:val="00B91FE2"/>
    <w:rsid w:val="00B92132"/>
    <w:rsid w:val="00B921A6"/>
    <w:rsid w:val="00B922F0"/>
    <w:rsid w:val="00B92433"/>
    <w:rsid w:val="00B924DA"/>
    <w:rsid w:val="00B927C3"/>
    <w:rsid w:val="00B927E7"/>
    <w:rsid w:val="00B92C06"/>
    <w:rsid w:val="00B92C69"/>
    <w:rsid w:val="00B92C88"/>
    <w:rsid w:val="00B92E56"/>
    <w:rsid w:val="00B92EF7"/>
    <w:rsid w:val="00B92F26"/>
    <w:rsid w:val="00B93265"/>
    <w:rsid w:val="00B93536"/>
    <w:rsid w:val="00B93642"/>
    <w:rsid w:val="00B93685"/>
    <w:rsid w:val="00B936B9"/>
    <w:rsid w:val="00B9373C"/>
    <w:rsid w:val="00B9381B"/>
    <w:rsid w:val="00B939A4"/>
    <w:rsid w:val="00B93C28"/>
    <w:rsid w:val="00B93D04"/>
    <w:rsid w:val="00B93D6A"/>
    <w:rsid w:val="00B93ED0"/>
    <w:rsid w:val="00B93F30"/>
    <w:rsid w:val="00B9410B"/>
    <w:rsid w:val="00B941F8"/>
    <w:rsid w:val="00B942DF"/>
    <w:rsid w:val="00B943A0"/>
    <w:rsid w:val="00B943BC"/>
    <w:rsid w:val="00B943D4"/>
    <w:rsid w:val="00B94457"/>
    <w:rsid w:val="00B945F2"/>
    <w:rsid w:val="00B946EF"/>
    <w:rsid w:val="00B94A33"/>
    <w:rsid w:val="00B94A35"/>
    <w:rsid w:val="00B94CF5"/>
    <w:rsid w:val="00B94E87"/>
    <w:rsid w:val="00B94F38"/>
    <w:rsid w:val="00B94FFF"/>
    <w:rsid w:val="00B950CA"/>
    <w:rsid w:val="00B954F7"/>
    <w:rsid w:val="00B95518"/>
    <w:rsid w:val="00B95609"/>
    <w:rsid w:val="00B957E4"/>
    <w:rsid w:val="00B95834"/>
    <w:rsid w:val="00B95937"/>
    <w:rsid w:val="00B959FB"/>
    <w:rsid w:val="00B95B10"/>
    <w:rsid w:val="00B95BAE"/>
    <w:rsid w:val="00B95F2A"/>
    <w:rsid w:val="00B95F32"/>
    <w:rsid w:val="00B9610A"/>
    <w:rsid w:val="00B9614B"/>
    <w:rsid w:val="00B961AE"/>
    <w:rsid w:val="00B961E5"/>
    <w:rsid w:val="00B962FA"/>
    <w:rsid w:val="00B9639A"/>
    <w:rsid w:val="00B9651F"/>
    <w:rsid w:val="00B966A6"/>
    <w:rsid w:val="00B966CB"/>
    <w:rsid w:val="00B96707"/>
    <w:rsid w:val="00B9681C"/>
    <w:rsid w:val="00B96919"/>
    <w:rsid w:val="00B96988"/>
    <w:rsid w:val="00B969D6"/>
    <w:rsid w:val="00B96AEE"/>
    <w:rsid w:val="00B96B0E"/>
    <w:rsid w:val="00B96D68"/>
    <w:rsid w:val="00B96E73"/>
    <w:rsid w:val="00B96FCE"/>
    <w:rsid w:val="00B972CB"/>
    <w:rsid w:val="00B9735B"/>
    <w:rsid w:val="00B9751F"/>
    <w:rsid w:val="00B9756E"/>
    <w:rsid w:val="00B97792"/>
    <w:rsid w:val="00B9786C"/>
    <w:rsid w:val="00B97A67"/>
    <w:rsid w:val="00B97A80"/>
    <w:rsid w:val="00B97C3F"/>
    <w:rsid w:val="00B97CAF"/>
    <w:rsid w:val="00B97DC9"/>
    <w:rsid w:val="00B97F25"/>
    <w:rsid w:val="00B97FDC"/>
    <w:rsid w:val="00BA00B5"/>
    <w:rsid w:val="00BA038E"/>
    <w:rsid w:val="00BA04CD"/>
    <w:rsid w:val="00BA0540"/>
    <w:rsid w:val="00BA0563"/>
    <w:rsid w:val="00BA0908"/>
    <w:rsid w:val="00BA09E6"/>
    <w:rsid w:val="00BA0A67"/>
    <w:rsid w:val="00BA0A89"/>
    <w:rsid w:val="00BA0BA7"/>
    <w:rsid w:val="00BA0CD3"/>
    <w:rsid w:val="00BA0D44"/>
    <w:rsid w:val="00BA0D45"/>
    <w:rsid w:val="00BA0D6F"/>
    <w:rsid w:val="00BA10EE"/>
    <w:rsid w:val="00BA121B"/>
    <w:rsid w:val="00BA130F"/>
    <w:rsid w:val="00BA13F3"/>
    <w:rsid w:val="00BA14AB"/>
    <w:rsid w:val="00BA1610"/>
    <w:rsid w:val="00BA1634"/>
    <w:rsid w:val="00BA1667"/>
    <w:rsid w:val="00BA16ED"/>
    <w:rsid w:val="00BA1817"/>
    <w:rsid w:val="00BA18E4"/>
    <w:rsid w:val="00BA19AE"/>
    <w:rsid w:val="00BA1ADE"/>
    <w:rsid w:val="00BA1B03"/>
    <w:rsid w:val="00BA1B4E"/>
    <w:rsid w:val="00BA1C4B"/>
    <w:rsid w:val="00BA1CD5"/>
    <w:rsid w:val="00BA1E1F"/>
    <w:rsid w:val="00BA1FE7"/>
    <w:rsid w:val="00BA2070"/>
    <w:rsid w:val="00BA22AC"/>
    <w:rsid w:val="00BA233E"/>
    <w:rsid w:val="00BA236A"/>
    <w:rsid w:val="00BA258C"/>
    <w:rsid w:val="00BA2924"/>
    <w:rsid w:val="00BA2935"/>
    <w:rsid w:val="00BA29FB"/>
    <w:rsid w:val="00BA2A49"/>
    <w:rsid w:val="00BA2AD2"/>
    <w:rsid w:val="00BA2AD3"/>
    <w:rsid w:val="00BA2C9C"/>
    <w:rsid w:val="00BA2D2F"/>
    <w:rsid w:val="00BA2DCC"/>
    <w:rsid w:val="00BA2F32"/>
    <w:rsid w:val="00BA317D"/>
    <w:rsid w:val="00BA3238"/>
    <w:rsid w:val="00BA3250"/>
    <w:rsid w:val="00BA34AB"/>
    <w:rsid w:val="00BA34EE"/>
    <w:rsid w:val="00BA34F3"/>
    <w:rsid w:val="00BA35C6"/>
    <w:rsid w:val="00BA3726"/>
    <w:rsid w:val="00BA376C"/>
    <w:rsid w:val="00BA38A6"/>
    <w:rsid w:val="00BA38EA"/>
    <w:rsid w:val="00BA39C4"/>
    <w:rsid w:val="00BA39F0"/>
    <w:rsid w:val="00BA3A6C"/>
    <w:rsid w:val="00BA3AEC"/>
    <w:rsid w:val="00BA3CB5"/>
    <w:rsid w:val="00BA3CCF"/>
    <w:rsid w:val="00BA3ECF"/>
    <w:rsid w:val="00BA3F2E"/>
    <w:rsid w:val="00BA3F48"/>
    <w:rsid w:val="00BA402A"/>
    <w:rsid w:val="00BA4032"/>
    <w:rsid w:val="00BA4098"/>
    <w:rsid w:val="00BA40C9"/>
    <w:rsid w:val="00BA4197"/>
    <w:rsid w:val="00BA41CB"/>
    <w:rsid w:val="00BA4268"/>
    <w:rsid w:val="00BA433B"/>
    <w:rsid w:val="00BA440D"/>
    <w:rsid w:val="00BA4554"/>
    <w:rsid w:val="00BA4683"/>
    <w:rsid w:val="00BA468F"/>
    <w:rsid w:val="00BA479E"/>
    <w:rsid w:val="00BA4829"/>
    <w:rsid w:val="00BA4845"/>
    <w:rsid w:val="00BA49C7"/>
    <w:rsid w:val="00BA49F1"/>
    <w:rsid w:val="00BA4C77"/>
    <w:rsid w:val="00BA4D7E"/>
    <w:rsid w:val="00BA4E09"/>
    <w:rsid w:val="00BA4EC7"/>
    <w:rsid w:val="00BA509B"/>
    <w:rsid w:val="00BA5138"/>
    <w:rsid w:val="00BA5519"/>
    <w:rsid w:val="00BA5723"/>
    <w:rsid w:val="00BA58AB"/>
    <w:rsid w:val="00BA5973"/>
    <w:rsid w:val="00BA59F3"/>
    <w:rsid w:val="00BA5A7A"/>
    <w:rsid w:val="00BA5ACA"/>
    <w:rsid w:val="00BA5B3D"/>
    <w:rsid w:val="00BA5B92"/>
    <w:rsid w:val="00BA5D48"/>
    <w:rsid w:val="00BA5EAA"/>
    <w:rsid w:val="00BA637F"/>
    <w:rsid w:val="00BA651C"/>
    <w:rsid w:val="00BA6631"/>
    <w:rsid w:val="00BA66AC"/>
    <w:rsid w:val="00BA66B6"/>
    <w:rsid w:val="00BA6708"/>
    <w:rsid w:val="00BA67A8"/>
    <w:rsid w:val="00BA67D2"/>
    <w:rsid w:val="00BA688D"/>
    <w:rsid w:val="00BA6AC0"/>
    <w:rsid w:val="00BA6B1D"/>
    <w:rsid w:val="00BA6BD9"/>
    <w:rsid w:val="00BA6C3C"/>
    <w:rsid w:val="00BA6CD4"/>
    <w:rsid w:val="00BA6D1A"/>
    <w:rsid w:val="00BA6D88"/>
    <w:rsid w:val="00BA6E73"/>
    <w:rsid w:val="00BA6EBB"/>
    <w:rsid w:val="00BA6F61"/>
    <w:rsid w:val="00BA71E6"/>
    <w:rsid w:val="00BA72FF"/>
    <w:rsid w:val="00BA7425"/>
    <w:rsid w:val="00BA7484"/>
    <w:rsid w:val="00BA74CB"/>
    <w:rsid w:val="00BA750C"/>
    <w:rsid w:val="00BA75C6"/>
    <w:rsid w:val="00BA7931"/>
    <w:rsid w:val="00BA7A82"/>
    <w:rsid w:val="00BA7A86"/>
    <w:rsid w:val="00BA7D40"/>
    <w:rsid w:val="00BA7D87"/>
    <w:rsid w:val="00BA7D8D"/>
    <w:rsid w:val="00BA7F6C"/>
    <w:rsid w:val="00BAAD41"/>
    <w:rsid w:val="00BAC8EF"/>
    <w:rsid w:val="00BAFAEC"/>
    <w:rsid w:val="00BB010D"/>
    <w:rsid w:val="00BB01E6"/>
    <w:rsid w:val="00BB033A"/>
    <w:rsid w:val="00BB0360"/>
    <w:rsid w:val="00BB052D"/>
    <w:rsid w:val="00BB05BE"/>
    <w:rsid w:val="00BB0682"/>
    <w:rsid w:val="00BB09AC"/>
    <w:rsid w:val="00BB0C49"/>
    <w:rsid w:val="00BB0CDA"/>
    <w:rsid w:val="00BB0DBC"/>
    <w:rsid w:val="00BB0E04"/>
    <w:rsid w:val="00BB0E1F"/>
    <w:rsid w:val="00BB0E73"/>
    <w:rsid w:val="00BB0FE0"/>
    <w:rsid w:val="00BB1315"/>
    <w:rsid w:val="00BB132B"/>
    <w:rsid w:val="00BB146D"/>
    <w:rsid w:val="00BB14A8"/>
    <w:rsid w:val="00BB153D"/>
    <w:rsid w:val="00BB1616"/>
    <w:rsid w:val="00BB164D"/>
    <w:rsid w:val="00BB16E7"/>
    <w:rsid w:val="00BB17FC"/>
    <w:rsid w:val="00BB18C0"/>
    <w:rsid w:val="00BB1904"/>
    <w:rsid w:val="00BB1915"/>
    <w:rsid w:val="00BB1B20"/>
    <w:rsid w:val="00BB1C1D"/>
    <w:rsid w:val="00BB1D48"/>
    <w:rsid w:val="00BB1D63"/>
    <w:rsid w:val="00BB2138"/>
    <w:rsid w:val="00BB2263"/>
    <w:rsid w:val="00BB26C2"/>
    <w:rsid w:val="00BB2841"/>
    <w:rsid w:val="00BB28D2"/>
    <w:rsid w:val="00BB2998"/>
    <w:rsid w:val="00BB2A02"/>
    <w:rsid w:val="00BB2B05"/>
    <w:rsid w:val="00BB2BFA"/>
    <w:rsid w:val="00BB2C31"/>
    <w:rsid w:val="00BB2C7C"/>
    <w:rsid w:val="00BB2D02"/>
    <w:rsid w:val="00BB2E31"/>
    <w:rsid w:val="00BB300A"/>
    <w:rsid w:val="00BB301E"/>
    <w:rsid w:val="00BB307A"/>
    <w:rsid w:val="00BB30AA"/>
    <w:rsid w:val="00BB30B6"/>
    <w:rsid w:val="00BB30D2"/>
    <w:rsid w:val="00BB31D7"/>
    <w:rsid w:val="00BB3211"/>
    <w:rsid w:val="00BB3299"/>
    <w:rsid w:val="00BB343C"/>
    <w:rsid w:val="00BB3725"/>
    <w:rsid w:val="00BB37E2"/>
    <w:rsid w:val="00BB388D"/>
    <w:rsid w:val="00BB38F2"/>
    <w:rsid w:val="00BB39D8"/>
    <w:rsid w:val="00BB39FD"/>
    <w:rsid w:val="00BB3A4E"/>
    <w:rsid w:val="00BB3AB5"/>
    <w:rsid w:val="00BB3B82"/>
    <w:rsid w:val="00BB3BBA"/>
    <w:rsid w:val="00BB3BC1"/>
    <w:rsid w:val="00BB3C16"/>
    <w:rsid w:val="00BB3CF8"/>
    <w:rsid w:val="00BB3DB6"/>
    <w:rsid w:val="00BB3EBD"/>
    <w:rsid w:val="00BB3F30"/>
    <w:rsid w:val="00BB3FAE"/>
    <w:rsid w:val="00BB40CD"/>
    <w:rsid w:val="00BB41EA"/>
    <w:rsid w:val="00BB4300"/>
    <w:rsid w:val="00BB49EC"/>
    <w:rsid w:val="00BB4A21"/>
    <w:rsid w:val="00BB4C41"/>
    <w:rsid w:val="00BB4C4C"/>
    <w:rsid w:val="00BB4CB2"/>
    <w:rsid w:val="00BB4E3E"/>
    <w:rsid w:val="00BB4FD7"/>
    <w:rsid w:val="00BB50C2"/>
    <w:rsid w:val="00BB5298"/>
    <w:rsid w:val="00BB5475"/>
    <w:rsid w:val="00BB5510"/>
    <w:rsid w:val="00BB5670"/>
    <w:rsid w:val="00BB5686"/>
    <w:rsid w:val="00BB5717"/>
    <w:rsid w:val="00BB576E"/>
    <w:rsid w:val="00BB5BE1"/>
    <w:rsid w:val="00BB5BF9"/>
    <w:rsid w:val="00BB5C0D"/>
    <w:rsid w:val="00BB5DEB"/>
    <w:rsid w:val="00BB6023"/>
    <w:rsid w:val="00BB613B"/>
    <w:rsid w:val="00BB61E1"/>
    <w:rsid w:val="00BB6728"/>
    <w:rsid w:val="00BB6751"/>
    <w:rsid w:val="00BB678C"/>
    <w:rsid w:val="00BB6790"/>
    <w:rsid w:val="00BB69B7"/>
    <w:rsid w:val="00BB6C61"/>
    <w:rsid w:val="00BB6C8C"/>
    <w:rsid w:val="00BB6D2F"/>
    <w:rsid w:val="00BB6D6D"/>
    <w:rsid w:val="00BB6D87"/>
    <w:rsid w:val="00BB6D88"/>
    <w:rsid w:val="00BB6D95"/>
    <w:rsid w:val="00BB6DFB"/>
    <w:rsid w:val="00BB6F52"/>
    <w:rsid w:val="00BB700C"/>
    <w:rsid w:val="00BB709C"/>
    <w:rsid w:val="00BB70C0"/>
    <w:rsid w:val="00BB7178"/>
    <w:rsid w:val="00BB7225"/>
    <w:rsid w:val="00BB723A"/>
    <w:rsid w:val="00BB7266"/>
    <w:rsid w:val="00BB7337"/>
    <w:rsid w:val="00BB73D8"/>
    <w:rsid w:val="00BB747F"/>
    <w:rsid w:val="00BB7538"/>
    <w:rsid w:val="00BB7617"/>
    <w:rsid w:val="00BB76A0"/>
    <w:rsid w:val="00BB7941"/>
    <w:rsid w:val="00BB7A81"/>
    <w:rsid w:val="00BB7B51"/>
    <w:rsid w:val="00BB7BCB"/>
    <w:rsid w:val="00BB7BD5"/>
    <w:rsid w:val="00BB7CF0"/>
    <w:rsid w:val="00BB7F99"/>
    <w:rsid w:val="00BBA293"/>
    <w:rsid w:val="00BBC881"/>
    <w:rsid w:val="00BBE4C2"/>
    <w:rsid w:val="00BBF03F"/>
    <w:rsid w:val="00BBF962"/>
    <w:rsid w:val="00BC0245"/>
    <w:rsid w:val="00BC0612"/>
    <w:rsid w:val="00BC08E5"/>
    <w:rsid w:val="00BC0921"/>
    <w:rsid w:val="00BC0A64"/>
    <w:rsid w:val="00BC0AC1"/>
    <w:rsid w:val="00BC0C50"/>
    <w:rsid w:val="00BC0CE9"/>
    <w:rsid w:val="00BC0D1F"/>
    <w:rsid w:val="00BC0F97"/>
    <w:rsid w:val="00BC1179"/>
    <w:rsid w:val="00BC11F3"/>
    <w:rsid w:val="00BC133B"/>
    <w:rsid w:val="00BC142F"/>
    <w:rsid w:val="00BC143F"/>
    <w:rsid w:val="00BC159F"/>
    <w:rsid w:val="00BC16FB"/>
    <w:rsid w:val="00BC1859"/>
    <w:rsid w:val="00BC1872"/>
    <w:rsid w:val="00BC199E"/>
    <w:rsid w:val="00BC19A8"/>
    <w:rsid w:val="00BC1A45"/>
    <w:rsid w:val="00BC1C1B"/>
    <w:rsid w:val="00BC1DAC"/>
    <w:rsid w:val="00BC1F29"/>
    <w:rsid w:val="00BC1F2D"/>
    <w:rsid w:val="00BC20FB"/>
    <w:rsid w:val="00BC2210"/>
    <w:rsid w:val="00BC22DA"/>
    <w:rsid w:val="00BC245C"/>
    <w:rsid w:val="00BC2766"/>
    <w:rsid w:val="00BC27C3"/>
    <w:rsid w:val="00BC2934"/>
    <w:rsid w:val="00BC2AC1"/>
    <w:rsid w:val="00BC2CBB"/>
    <w:rsid w:val="00BC2EE5"/>
    <w:rsid w:val="00BC2FA5"/>
    <w:rsid w:val="00BC2FBD"/>
    <w:rsid w:val="00BC3085"/>
    <w:rsid w:val="00BC3095"/>
    <w:rsid w:val="00BC31FB"/>
    <w:rsid w:val="00BC33A9"/>
    <w:rsid w:val="00BC349F"/>
    <w:rsid w:val="00BC3726"/>
    <w:rsid w:val="00BC372F"/>
    <w:rsid w:val="00BC3956"/>
    <w:rsid w:val="00BC39D5"/>
    <w:rsid w:val="00BC3BF7"/>
    <w:rsid w:val="00BC3D26"/>
    <w:rsid w:val="00BC4098"/>
    <w:rsid w:val="00BC41E6"/>
    <w:rsid w:val="00BC4250"/>
    <w:rsid w:val="00BC42EF"/>
    <w:rsid w:val="00BC4323"/>
    <w:rsid w:val="00BC440C"/>
    <w:rsid w:val="00BC4638"/>
    <w:rsid w:val="00BC477E"/>
    <w:rsid w:val="00BC487B"/>
    <w:rsid w:val="00BC4967"/>
    <w:rsid w:val="00BC4B5F"/>
    <w:rsid w:val="00BC4B88"/>
    <w:rsid w:val="00BC4BE3"/>
    <w:rsid w:val="00BC4D1A"/>
    <w:rsid w:val="00BC4DAD"/>
    <w:rsid w:val="00BC4FF2"/>
    <w:rsid w:val="00BC5007"/>
    <w:rsid w:val="00BC5110"/>
    <w:rsid w:val="00BC53E8"/>
    <w:rsid w:val="00BC547D"/>
    <w:rsid w:val="00BC58E0"/>
    <w:rsid w:val="00BC5A50"/>
    <w:rsid w:val="00BC5B4B"/>
    <w:rsid w:val="00BC5B50"/>
    <w:rsid w:val="00BC5BF1"/>
    <w:rsid w:val="00BC5BF9"/>
    <w:rsid w:val="00BC5C00"/>
    <w:rsid w:val="00BC5C08"/>
    <w:rsid w:val="00BC5EAB"/>
    <w:rsid w:val="00BC5ED3"/>
    <w:rsid w:val="00BC5F6A"/>
    <w:rsid w:val="00BC6094"/>
    <w:rsid w:val="00BC627C"/>
    <w:rsid w:val="00BC639E"/>
    <w:rsid w:val="00BC6506"/>
    <w:rsid w:val="00BC651E"/>
    <w:rsid w:val="00BC65E4"/>
    <w:rsid w:val="00BC67C0"/>
    <w:rsid w:val="00BC6825"/>
    <w:rsid w:val="00BC6882"/>
    <w:rsid w:val="00BC698A"/>
    <w:rsid w:val="00BC69CF"/>
    <w:rsid w:val="00BC6B2D"/>
    <w:rsid w:val="00BC6BC5"/>
    <w:rsid w:val="00BC6C38"/>
    <w:rsid w:val="00BC6CB7"/>
    <w:rsid w:val="00BC6CD8"/>
    <w:rsid w:val="00BC6D6B"/>
    <w:rsid w:val="00BC6D9F"/>
    <w:rsid w:val="00BC6E22"/>
    <w:rsid w:val="00BC7043"/>
    <w:rsid w:val="00BC70DB"/>
    <w:rsid w:val="00BC710B"/>
    <w:rsid w:val="00BC7424"/>
    <w:rsid w:val="00BC7676"/>
    <w:rsid w:val="00BC767A"/>
    <w:rsid w:val="00BC77D7"/>
    <w:rsid w:val="00BC786C"/>
    <w:rsid w:val="00BC7A09"/>
    <w:rsid w:val="00BC7A48"/>
    <w:rsid w:val="00BC7A4F"/>
    <w:rsid w:val="00BC7B5F"/>
    <w:rsid w:val="00BC7BD9"/>
    <w:rsid w:val="00BC7F6D"/>
    <w:rsid w:val="00BC7F8C"/>
    <w:rsid w:val="00BC809C"/>
    <w:rsid w:val="00BCD7E0"/>
    <w:rsid w:val="00BCF2D9"/>
    <w:rsid w:val="00BD0027"/>
    <w:rsid w:val="00BD00BD"/>
    <w:rsid w:val="00BD00CB"/>
    <w:rsid w:val="00BD02D0"/>
    <w:rsid w:val="00BD07ED"/>
    <w:rsid w:val="00BD0A00"/>
    <w:rsid w:val="00BD0AC3"/>
    <w:rsid w:val="00BD0C6E"/>
    <w:rsid w:val="00BD0D92"/>
    <w:rsid w:val="00BD0E29"/>
    <w:rsid w:val="00BD0E95"/>
    <w:rsid w:val="00BD101C"/>
    <w:rsid w:val="00BD1079"/>
    <w:rsid w:val="00BD1111"/>
    <w:rsid w:val="00BD125D"/>
    <w:rsid w:val="00BD12C1"/>
    <w:rsid w:val="00BD12F4"/>
    <w:rsid w:val="00BD12F7"/>
    <w:rsid w:val="00BD136F"/>
    <w:rsid w:val="00BD16B5"/>
    <w:rsid w:val="00BD182E"/>
    <w:rsid w:val="00BD19BD"/>
    <w:rsid w:val="00BD1A12"/>
    <w:rsid w:val="00BD1AF3"/>
    <w:rsid w:val="00BD1BB5"/>
    <w:rsid w:val="00BD1D60"/>
    <w:rsid w:val="00BD1DC0"/>
    <w:rsid w:val="00BD20AC"/>
    <w:rsid w:val="00BD2127"/>
    <w:rsid w:val="00BD2165"/>
    <w:rsid w:val="00BD223D"/>
    <w:rsid w:val="00BD2345"/>
    <w:rsid w:val="00BD235A"/>
    <w:rsid w:val="00BD2417"/>
    <w:rsid w:val="00BD242B"/>
    <w:rsid w:val="00BD242C"/>
    <w:rsid w:val="00BD2495"/>
    <w:rsid w:val="00BD25A8"/>
    <w:rsid w:val="00BD26A1"/>
    <w:rsid w:val="00BD270C"/>
    <w:rsid w:val="00BD281D"/>
    <w:rsid w:val="00BD294B"/>
    <w:rsid w:val="00BD295B"/>
    <w:rsid w:val="00BD2AA8"/>
    <w:rsid w:val="00BD2AC3"/>
    <w:rsid w:val="00BD2BB2"/>
    <w:rsid w:val="00BD2BDC"/>
    <w:rsid w:val="00BD2CA1"/>
    <w:rsid w:val="00BD2D34"/>
    <w:rsid w:val="00BD2E70"/>
    <w:rsid w:val="00BD3026"/>
    <w:rsid w:val="00BD31D8"/>
    <w:rsid w:val="00BD32AF"/>
    <w:rsid w:val="00BD3459"/>
    <w:rsid w:val="00BD34C7"/>
    <w:rsid w:val="00BD362A"/>
    <w:rsid w:val="00BD364A"/>
    <w:rsid w:val="00BD36F2"/>
    <w:rsid w:val="00BD3837"/>
    <w:rsid w:val="00BD39C6"/>
    <w:rsid w:val="00BD39D2"/>
    <w:rsid w:val="00BD3AAC"/>
    <w:rsid w:val="00BD3AF2"/>
    <w:rsid w:val="00BD3B10"/>
    <w:rsid w:val="00BD3C61"/>
    <w:rsid w:val="00BD3C99"/>
    <w:rsid w:val="00BD4145"/>
    <w:rsid w:val="00BD422B"/>
    <w:rsid w:val="00BD429C"/>
    <w:rsid w:val="00BD4837"/>
    <w:rsid w:val="00BD49DA"/>
    <w:rsid w:val="00BD4B58"/>
    <w:rsid w:val="00BD4BBB"/>
    <w:rsid w:val="00BD4F0A"/>
    <w:rsid w:val="00BD5012"/>
    <w:rsid w:val="00BD5153"/>
    <w:rsid w:val="00BD5191"/>
    <w:rsid w:val="00BD52E0"/>
    <w:rsid w:val="00BD535C"/>
    <w:rsid w:val="00BD5418"/>
    <w:rsid w:val="00BD549E"/>
    <w:rsid w:val="00BD54AF"/>
    <w:rsid w:val="00BD54D7"/>
    <w:rsid w:val="00BD55BC"/>
    <w:rsid w:val="00BD5823"/>
    <w:rsid w:val="00BD587B"/>
    <w:rsid w:val="00BD58C2"/>
    <w:rsid w:val="00BD5942"/>
    <w:rsid w:val="00BD59D8"/>
    <w:rsid w:val="00BD5A04"/>
    <w:rsid w:val="00BD5AA7"/>
    <w:rsid w:val="00BD5CB3"/>
    <w:rsid w:val="00BD5DD6"/>
    <w:rsid w:val="00BD5F72"/>
    <w:rsid w:val="00BD614D"/>
    <w:rsid w:val="00BD6617"/>
    <w:rsid w:val="00BD66DD"/>
    <w:rsid w:val="00BD6780"/>
    <w:rsid w:val="00BD6784"/>
    <w:rsid w:val="00BD68FF"/>
    <w:rsid w:val="00BD6A20"/>
    <w:rsid w:val="00BD6D8C"/>
    <w:rsid w:val="00BD6FD7"/>
    <w:rsid w:val="00BD7003"/>
    <w:rsid w:val="00BD715C"/>
    <w:rsid w:val="00BD71BE"/>
    <w:rsid w:val="00BD7598"/>
    <w:rsid w:val="00BD75EA"/>
    <w:rsid w:val="00BD76FC"/>
    <w:rsid w:val="00BD78D1"/>
    <w:rsid w:val="00BD7B38"/>
    <w:rsid w:val="00BD7D4C"/>
    <w:rsid w:val="00BDA1A7"/>
    <w:rsid w:val="00BDB1E2"/>
    <w:rsid w:val="00BE0220"/>
    <w:rsid w:val="00BE02CF"/>
    <w:rsid w:val="00BE02DA"/>
    <w:rsid w:val="00BE0447"/>
    <w:rsid w:val="00BE04C2"/>
    <w:rsid w:val="00BE04C8"/>
    <w:rsid w:val="00BE04F7"/>
    <w:rsid w:val="00BE0590"/>
    <w:rsid w:val="00BE07E5"/>
    <w:rsid w:val="00BE0A90"/>
    <w:rsid w:val="00BE0C7D"/>
    <w:rsid w:val="00BE0E0B"/>
    <w:rsid w:val="00BE0E0F"/>
    <w:rsid w:val="00BE112B"/>
    <w:rsid w:val="00BE1314"/>
    <w:rsid w:val="00BE13CC"/>
    <w:rsid w:val="00BE159B"/>
    <w:rsid w:val="00BE15EC"/>
    <w:rsid w:val="00BE162A"/>
    <w:rsid w:val="00BE1648"/>
    <w:rsid w:val="00BE16A0"/>
    <w:rsid w:val="00BE16B2"/>
    <w:rsid w:val="00BE18C6"/>
    <w:rsid w:val="00BE1A3C"/>
    <w:rsid w:val="00BE1AC4"/>
    <w:rsid w:val="00BE1AFB"/>
    <w:rsid w:val="00BE1B4B"/>
    <w:rsid w:val="00BE1C42"/>
    <w:rsid w:val="00BE1D1E"/>
    <w:rsid w:val="00BE1DA7"/>
    <w:rsid w:val="00BE1E3D"/>
    <w:rsid w:val="00BE1F11"/>
    <w:rsid w:val="00BE1F4E"/>
    <w:rsid w:val="00BE1FC9"/>
    <w:rsid w:val="00BE2174"/>
    <w:rsid w:val="00BE21E0"/>
    <w:rsid w:val="00BE2301"/>
    <w:rsid w:val="00BE24A5"/>
    <w:rsid w:val="00BE24D5"/>
    <w:rsid w:val="00BE24F9"/>
    <w:rsid w:val="00BE2886"/>
    <w:rsid w:val="00BE28CD"/>
    <w:rsid w:val="00BE294A"/>
    <w:rsid w:val="00BE29BD"/>
    <w:rsid w:val="00BE2B7C"/>
    <w:rsid w:val="00BE2B9B"/>
    <w:rsid w:val="00BE2D34"/>
    <w:rsid w:val="00BE2E4E"/>
    <w:rsid w:val="00BE2EBD"/>
    <w:rsid w:val="00BE2F67"/>
    <w:rsid w:val="00BE3061"/>
    <w:rsid w:val="00BE30E5"/>
    <w:rsid w:val="00BE315F"/>
    <w:rsid w:val="00BE31AA"/>
    <w:rsid w:val="00BE3313"/>
    <w:rsid w:val="00BE34BB"/>
    <w:rsid w:val="00BE34BE"/>
    <w:rsid w:val="00BE36B5"/>
    <w:rsid w:val="00BE36CB"/>
    <w:rsid w:val="00BE3768"/>
    <w:rsid w:val="00BE37CC"/>
    <w:rsid w:val="00BE38D5"/>
    <w:rsid w:val="00BE38E0"/>
    <w:rsid w:val="00BE391B"/>
    <w:rsid w:val="00BE392C"/>
    <w:rsid w:val="00BE39BE"/>
    <w:rsid w:val="00BE3B3F"/>
    <w:rsid w:val="00BE3BA0"/>
    <w:rsid w:val="00BE3D34"/>
    <w:rsid w:val="00BE3D51"/>
    <w:rsid w:val="00BE3D6E"/>
    <w:rsid w:val="00BE406B"/>
    <w:rsid w:val="00BE40D3"/>
    <w:rsid w:val="00BE42FE"/>
    <w:rsid w:val="00BE43CE"/>
    <w:rsid w:val="00BE43F1"/>
    <w:rsid w:val="00BE4438"/>
    <w:rsid w:val="00BE44EF"/>
    <w:rsid w:val="00BE4505"/>
    <w:rsid w:val="00BE4587"/>
    <w:rsid w:val="00BE45BA"/>
    <w:rsid w:val="00BE45E4"/>
    <w:rsid w:val="00BE4708"/>
    <w:rsid w:val="00BE47B7"/>
    <w:rsid w:val="00BE47D7"/>
    <w:rsid w:val="00BE47FD"/>
    <w:rsid w:val="00BE48D4"/>
    <w:rsid w:val="00BE4AD4"/>
    <w:rsid w:val="00BE4B6B"/>
    <w:rsid w:val="00BE4C9A"/>
    <w:rsid w:val="00BE4CC5"/>
    <w:rsid w:val="00BE4DA2"/>
    <w:rsid w:val="00BE4FE2"/>
    <w:rsid w:val="00BE503C"/>
    <w:rsid w:val="00BE5159"/>
    <w:rsid w:val="00BE5256"/>
    <w:rsid w:val="00BE527B"/>
    <w:rsid w:val="00BE527C"/>
    <w:rsid w:val="00BE5358"/>
    <w:rsid w:val="00BE53B2"/>
    <w:rsid w:val="00BE53BF"/>
    <w:rsid w:val="00BE5511"/>
    <w:rsid w:val="00BE55F4"/>
    <w:rsid w:val="00BE56B3"/>
    <w:rsid w:val="00BE584C"/>
    <w:rsid w:val="00BE5AD3"/>
    <w:rsid w:val="00BE5C1F"/>
    <w:rsid w:val="00BE5D1D"/>
    <w:rsid w:val="00BE5E99"/>
    <w:rsid w:val="00BE5F5A"/>
    <w:rsid w:val="00BE5F67"/>
    <w:rsid w:val="00BE6062"/>
    <w:rsid w:val="00BE6410"/>
    <w:rsid w:val="00BE6587"/>
    <w:rsid w:val="00BE6665"/>
    <w:rsid w:val="00BE6711"/>
    <w:rsid w:val="00BE6815"/>
    <w:rsid w:val="00BE6A07"/>
    <w:rsid w:val="00BE6B72"/>
    <w:rsid w:val="00BE6BE3"/>
    <w:rsid w:val="00BE6CD8"/>
    <w:rsid w:val="00BE6E22"/>
    <w:rsid w:val="00BE6E51"/>
    <w:rsid w:val="00BE6EBB"/>
    <w:rsid w:val="00BE71BA"/>
    <w:rsid w:val="00BE71CB"/>
    <w:rsid w:val="00BE73F4"/>
    <w:rsid w:val="00BE7651"/>
    <w:rsid w:val="00BE7C55"/>
    <w:rsid w:val="00BE7C79"/>
    <w:rsid w:val="00BE7CD8"/>
    <w:rsid w:val="00BE7D0B"/>
    <w:rsid w:val="00BE7D1A"/>
    <w:rsid w:val="00BE7D30"/>
    <w:rsid w:val="00BE7FC4"/>
    <w:rsid w:val="00BE9297"/>
    <w:rsid w:val="00BF0048"/>
    <w:rsid w:val="00BF00F6"/>
    <w:rsid w:val="00BF0178"/>
    <w:rsid w:val="00BF022D"/>
    <w:rsid w:val="00BF027A"/>
    <w:rsid w:val="00BF0531"/>
    <w:rsid w:val="00BF063D"/>
    <w:rsid w:val="00BF0685"/>
    <w:rsid w:val="00BF06F6"/>
    <w:rsid w:val="00BF0720"/>
    <w:rsid w:val="00BF07AD"/>
    <w:rsid w:val="00BF08E7"/>
    <w:rsid w:val="00BF09A5"/>
    <w:rsid w:val="00BF09E9"/>
    <w:rsid w:val="00BF0A3C"/>
    <w:rsid w:val="00BF0A7A"/>
    <w:rsid w:val="00BF0B60"/>
    <w:rsid w:val="00BF0C0D"/>
    <w:rsid w:val="00BF0D8A"/>
    <w:rsid w:val="00BF0F2D"/>
    <w:rsid w:val="00BF0F37"/>
    <w:rsid w:val="00BF0F92"/>
    <w:rsid w:val="00BF0FE6"/>
    <w:rsid w:val="00BF1190"/>
    <w:rsid w:val="00BF11EA"/>
    <w:rsid w:val="00BF1336"/>
    <w:rsid w:val="00BF133A"/>
    <w:rsid w:val="00BF13FB"/>
    <w:rsid w:val="00BF1852"/>
    <w:rsid w:val="00BF1885"/>
    <w:rsid w:val="00BF18DA"/>
    <w:rsid w:val="00BF1955"/>
    <w:rsid w:val="00BF1962"/>
    <w:rsid w:val="00BF1A58"/>
    <w:rsid w:val="00BF1C1C"/>
    <w:rsid w:val="00BF1E4B"/>
    <w:rsid w:val="00BF1EE5"/>
    <w:rsid w:val="00BF1EF6"/>
    <w:rsid w:val="00BF1F1D"/>
    <w:rsid w:val="00BF202A"/>
    <w:rsid w:val="00BF2036"/>
    <w:rsid w:val="00BF210B"/>
    <w:rsid w:val="00BF2219"/>
    <w:rsid w:val="00BF23E5"/>
    <w:rsid w:val="00BF242A"/>
    <w:rsid w:val="00BF2465"/>
    <w:rsid w:val="00BF262D"/>
    <w:rsid w:val="00BF2744"/>
    <w:rsid w:val="00BF2945"/>
    <w:rsid w:val="00BF2A37"/>
    <w:rsid w:val="00BF2DF7"/>
    <w:rsid w:val="00BF2EBD"/>
    <w:rsid w:val="00BF2FAA"/>
    <w:rsid w:val="00BF2FDD"/>
    <w:rsid w:val="00BF305A"/>
    <w:rsid w:val="00BF3113"/>
    <w:rsid w:val="00BF321A"/>
    <w:rsid w:val="00BF331A"/>
    <w:rsid w:val="00BF33DA"/>
    <w:rsid w:val="00BF3426"/>
    <w:rsid w:val="00BF3453"/>
    <w:rsid w:val="00BF3548"/>
    <w:rsid w:val="00BF3568"/>
    <w:rsid w:val="00BF35F6"/>
    <w:rsid w:val="00BF36AF"/>
    <w:rsid w:val="00BF3775"/>
    <w:rsid w:val="00BF38A6"/>
    <w:rsid w:val="00BF39BC"/>
    <w:rsid w:val="00BF3A24"/>
    <w:rsid w:val="00BF3A57"/>
    <w:rsid w:val="00BF3BE1"/>
    <w:rsid w:val="00BF3CEE"/>
    <w:rsid w:val="00BF3F50"/>
    <w:rsid w:val="00BF4235"/>
    <w:rsid w:val="00BF4370"/>
    <w:rsid w:val="00BF442E"/>
    <w:rsid w:val="00BF4529"/>
    <w:rsid w:val="00BF453F"/>
    <w:rsid w:val="00BF4A0A"/>
    <w:rsid w:val="00BF4A47"/>
    <w:rsid w:val="00BF4B43"/>
    <w:rsid w:val="00BF4B92"/>
    <w:rsid w:val="00BF4B99"/>
    <w:rsid w:val="00BF4D89"/>
    <w:rsid w:val="00BF4ED0"/>
    <w:rsid w:val="00BF510C"/>
    <w:rsid w:val="00BF5388"/>
    <w:rsid w:val="00BF5446"/>
    <w:rsid w:val="00BF54E3"/>
    <w:rsid w:val="00BF5514"/>
    <w:rsid w:val="00BF5858"/>
    <w:rsid w:val="00BF58BF"/>
    <w:rsid w:val="00BF591D"/>
    <w:rsid w:val="00BF593F"/>
    <w:rsid w:val="00BF5982"/>
    <w:rsid w:val="00BF5A0C"/>
    <w:rsid w:val="00BF5BB7"/>
    <w:rsid w:val="00BF5CB4"/>
    <w:rsid w:val="00BF5D03"/>
    <w:rsid w:val="00BF5D0F"/>
    <w:rsid w:val="00BF5D4A"/>
    <w:rsid w:val="00BF5DB4"/>
    <w:rsid w:val="00BF6009"/>
    <w:rsid w:val="00BF60ED"/>
    <w:rsid w:val="00BF6124"/>
    <w:rsid w:val="00BF62B5"/>
    <w:rsid w:val="00BF6314"/>
    <w:rsid w:val="00BF64ED"/>
    <w:rsid w:val="00BF6523"/>
    <w:rsid w:val="00BF65F6"/>
    <w:rsid w:val="00BF6750"/>
    <w:rsid w:val="00BF67ED"/>
    <w:rsid w:val="00BF69B5"/>
    <w:rsid w:val="00BF69DC"/>
    <w:rsid w:val="00BF6B97"/>
    <w:rsid w:val="00BF6CDA"/>
    <w:rsid w:val="00BF6D14"/>
    <w:rsid w:val="00BF6E7F"/>
    <w:rsid w:val="00BF6E80"/>
    <w:rsid w:val="00BF6F5E"/>
    <w:rsid w:val="00BF6F7C"/>
    <w:rsid w:val="00BF7048"/>
    <w:rsid w:val="00BF72F1"/>
    <w:rsid w:val="00BF75C4"/>
    <w:rsid w:val="00BF763C"/>
    <w:rsid w:val="00BF7728"/>
    <w:rsid w:val="00BF7762"/>
    <w:rsid w:val="00BF77A1"/>
    <w:rsid w:val="00BF7973"/>
    <w:rsid w:val="00BF798C"/>
    <w:rsid w:val="00BF79C3"/>
    <w:rsid w:val="00BF7AE3"/>
    <w:rsid w:val="00BF7B83"/>
    <w:rsid w:val="00BF7BF9"/>
    <w:rsid w:val="00BF7C4A"/>
    <w:rsid w:val="00BF7D13"/>
    <w:rsid w:val="00BF7D27"/>
    <w:rsid w:val="00BF7F69"/>
    <w:rsid w:val="00BF7F70"/>
    <w:rsid w:val="00BF7FC9"/>
    <w:rsid w:val="00BF8C71"/>
    <w:rsid w:val="00BFA80E"/>
    <w:rsid w:val="00C00010"/>
    <w:rsid w:val="00C00167"/>
    <w:rsid w:val="00C00269"/>
    <w:rsid w:val="00C002E4"/>
    <w:rsid w:val="00C003DE"/>
    <w:rsid w:val="00C00435"/>
    <w:rsid w:val="00C00456"/>
    <w:rsid w:val="00C00558"/>
    <w:rsid w:val="00C00613"/>
    <w:rsid w:val="00C00632"/>
    <w:rsid w:val="00C00772"/>
    <w:rsid w:val="00C00814"/>
    <w:rsid w:val="00C00834"/>
    <w:rsid w:val="00C00845"/>
    <w:rsid w:val="00C00893"/>
    <w:rsid w:val="00C009AA"/>
    <w:rsid w:val="00C00A7B"/>
    <w:rsid w:val="00C00AA3"/>
    <w:rsid w:val="00C00BB6"/>
    <w:rsid w:val="00C00BD3"/>
    <w:rsid w:val="00C00C73"/>
    <w:rsid w:val="00C00D56"/>
    <w:rsid w:val="00C00F04"/>
    <w:rsid w:val="00C00F45"/>
    <w:rsid w:val="00C0102A"/>
    <w:rsid w:val="00C0109E"/>
    <w:rsid w:val="00C01276"/>
    <w:rsid w:val="00C01341"/>
    <w:rsid w:val="00C01460"/>
    <w:rsid w:val="00C0185A"/>
    <w:rsid w:val="00C018FB"/>
    <w:rsid w:val="00C0191A"/>
    <w:rsid w:val="00C019EC"/>
    <w:rsid w:val="00C01CEF"/>
    <w:rsid w:val="00C01D22"/>
    <w:rsid w:val="00C01D3C"/>
    <w:rsid w:val="00C01DB3"/>
    <w:rsid w:val="00C01E98"/>
    <w:rsid w:val="00C01F17"/>
    <w:rsid w:val="00C02042"/>
    <w:rsid w:val="00C0209C"/>
    <w:rsid w:val="00C02233"/>
    <w:rsid w:val="00C024DA"/>
    <w:rsid w:val="00C02595"/>
    <w:rsid w:val="00C025A8"/>
    <w:rsid w:val="00C02720"/>
    <w:rsid w:val="00C0272E"/>
    <w:rsid w:val="00C028FF"/>
    <w:rsid w:val="00C02A5F"/>
    <w:rsid w:val="00C02C85"/>
    <w:rsid w:val="00C02CC7"/>
    <w:rsid w:val="00C02D6B"/>
    <w:rsid w:val="00C02EAA"/>
    <w:rsid w:val="00C0308D"/>
    <w:rsid w:val="00C0318D"/>
    <w:rsid w:val="00C032FC"/>
    <w:rsid w:val="00C03354"/>
    <w:rsid w:val="00C0338A"/>
    <w:rsid w:val="00C033B2"/>
    <w:rsid w:val="00C033B8"/>
    <w:rsid w:val="00C0343D"/>
    <w:rsid w:val="00C03739"/>
    <w:rsid w:val="00C037A5"/>
    <w:rsid w:val="00C03883"/>
    <w:rsid w:val="00C03925"/>
    <w:rsid w:val="00C03B6E"/>
    <w:rsid w:val="00C03BBB"/>
    <w:rsid w:val="00C03CE2"/>
    <w:rsid w:val="00C03CEC"/>
    <w:rsid w:val="00C03EA3"/>
    <w:rsid w:val="00C03F06"/>
    <w:rsid w:val="00C03F7E"/>
    <w:rsid w:val="00C0400D"/>
    <w:rsid w:val="00C040D8"/>
    <w:rsid w:val="00C041B3"/>
    <w:rsid w:val="00C04273"/>
    <w:rsid w:val="00C043C2"/>
    <w:rsid w:val="00C043DA"/>
    <w:rsid w:val="00C0446B"/>
    <w:rsid w:val="00C04587"/>
    <w:rsid w:val="00C045DB"/>
    <w:rsid w:val="00C0468E"/>
    <w:rsid w:val="00C046D4"/>
    <w:rsid w:val="00C048CA"/>
    <w:rsid w:val="00C04994"/>
    <w:rsid w:val="00C04B5A"/>
    <w:rsid w:val="00C04BA0"/>
    <w:rsid w:val="00C04C69"/>
    <w:rsid w:val="00C04DD0"/>
    <w:rsid w:val="00C0530D"/>
    <w:rsid w:val="00C05319"/>
    <w:rsid w:val="00C0536A"/>
    <w:rsid w:val="00C053E2"/>
    <w:rsid w:val="00C05405"/>
    <w:rsid w:val="00C054BF"/>
    <w:rsid w:val="00C05562"/>
    <w:rsid w:val="00C05620"/>
    <w:rsid w:val="00C056AB"/>
    <w:rsid w:val="00C056AE"/>
    <w:rsid w:val="00C056E3"/>
    <w:rsid w:val="00C056F9"/>
    <w:rsid w:val="00C05A3A"/>
    <w:rsid w:val="00C05B6F"/>
    <w:rsid w:val="00C05BD6"/>
    <w:rsid w:val="00C05BEE"/>
    <w:rsid w:val="00C05BF6"/>
    <w:rsid w:val="00C05CDE"/>
    <w:rsid w:val="00C05E1F"/>
    <w:rsid w:val="00C05F6B"/>
    <w:rsid w:val="00C060B3"/>
    <w:rsid w:val="00C061D6"/>
    <w:rsid w:val="00C061D8"/>
    <w:rsid w:val="00C0632F"/>
    <w:rsid w:val="00C06347"/>
    <w:rsid w:val="00C06390"/>
    <w:rsid w:val="00C063AA"/>
    <w:rsid w:val="00C063CD"/>
    <w:rsid w:val="00C06535"/>
    <w:rsid w:val="00C06545"/>
    <w:rsid w:val="00C06556"/>
    <w:rsid w:val="00C0663D"/>
    <w:rsid w:val="00C06785"/>
    <w:rsid w:val="00C06916"/>
    <w:rsid w:val="00C069F8"/>
    <w:rsid w:val="00C06A7A"/>
    <w:rsid w:val="00C06ADB"/>
    <w:rsid w:val="00C06D25"/>
    <w:rsid w:val="00C06D3C"/>
    <w:rsid w:val="00C06DA6"/>
    <w:rsid w:val="00C0701E"/>
    <w:rsid w:val="00C07020"/>
    <w:rsid w:val="00C07437"/>
    <w:rsid w:val="00C07531"/>
    <w:rsid w:val="00C07574"/>
    <w:rsid w:val="00C07647"/>
    <w:rsid w:val="00C07889"/>
    <w:rsid w:val="00C07A24"/>
    <w:rsid w:val="00C07A27"/>
    <w:rsid w:val="00C07A36"/>
    <w:rsid w:val="00C07B1A"/>
    <w:rsid w:val="00C07C97"/>
    <w:rsid w:val="00C07E81"/>
    <w:rsid w:val="00C07EE5"/>
    <w:rsid w:val="00C0A418"/>
    <w:rsid w:val="00C0DD36"/>
    <w:rsid w:val="00C10187"/>
    <w:rsid w:val="00C10341"/>
    <w:rsid w:val="00C105A1"/>
    <w:rsid w:val="00C10709"/>
    <w:rsid w:val="00C10736"/>
    <w:rsid w:val="00C10837"/>
    <w:rsid w:val="00C10858"/>
    <w:rsid w:val="00C10986"/>
    <w:rsid w:val="00C10A32"/>
    <w:rsid w:val="00C10E62"/>
    <w:rsid w:val="00C10F2D"/>
    <w:rsid w:val="00C10FD9"/>
    <w:rsid w:val="00C11063"/>
    <w:rsid w:val="00C11087"/>
    <w:rsid w:val="00C110D4"/>
    <w:rsid w:val="00C11149"/>
    <w:rsid w:val="00C111BC"/>
    <w:rsid w:val="00C11207"/>
    <w:rsid w:val="00C112C4"/>
    <w:rsid w:val="00C11417"/>
    <w:rsid w:val="00C11428"/>
    <w:rsid w:val="00C11472"/>
    <w:rsid w:val="00C11982"/>
    <w:rsid w:val="00C11A5F"/>
    <w:rsid w:val="00C11A75"/>
    <w:rsid w:val="00C11B1E"/>
    <w:rsid w:val="00C11C24"/>
    <w:rsid w:val="00C11C87"/>
    <w:rsid w:val="00C120C5"/>
    <w:rsid w:val="00C1212B"/>
    <w:rsid w:val="00C12159"/>
    <w:rsid w:val="00C12595"/>
    <w:rsid w:val="00C12678"/>
    <w:rsid w:val="00C127EE"/>
    <w:rsid w:val="00C12919"/>
    <w:rsid w:val="00C1291C"/>
    <w:rsid w:val="00C1296A"/>
    <w:rsid w:val="00C12A89"/>
    <w:rsid w:val="00C12ADA"/>
    <w:rsid w:val="00C12B2B"/>
    <w:rsid w:val="00C12B5A"/>
    <w:rsid w:val="00C12B81"/>
    <w:rsid w:val="00C12BC9"/>
    <w:rsid w:val="00C12C6B"/>
    <w:rsid w:val="00C12CB6"/>
    <w:rsid w:val="00C12D36"/>
    <w:rsid w:val="00C12D4F"/>
    <w:rsid w:val="00C12E36"/>
    <w:rsid w:val="00C12E54"/>
    <w:rsid w:val="00C13015"/>
    <w:rsid w:val="00C13090"/>
    <w:rsid w:val="00C13367"/>
    <w:rsid w:val="00C13403"/>
    <w:rsid w:val="00C13488"/>
    <w:rsid w:val="00C13521"/>
    <w:rsid w:val="00C1359E"/>
    <w:rsid w:val="00C135E2"/>
    <w:rsid w:val="00C13889"/>
    <w:rsid w:val="00C138ED"/>
    <w:rsid w:val="00C13915"/>
    <w:rsid w:val="00C13C63"/>
    <w:rsid w:val="00C13D3A"/>
    <w:rsid w:val="00C13E6E"/>
    <w:rsid w:val="00C13F6B"/>
    <w:rsid w:val="00C13FBB"/>
    <w:rsid w:val="00C1402C"/>
    <w:rsid w:val="00C142CA"/>
    <w:rsid w:val="00C14541"/>
    <w:rsid w:val="00C14995"/>
    <w:rsid w:val="00C14BDE"/>
    <w:rsid w:val="00C14FA4"/>
    <w:rsid w:val="00C1500E"/>
    <w:rsid w:val="00C1509A"/>
    <w:rsid w:val="00C150D6"/>
    <w:rsid w:val="00C15155"/>
    <w:rsid w:val="00C1525A"/>
    <w:rsid w:val="00C1574D"/>
    <w:rsid w:val="00C157C9"/>
    <w:rsid w:val="00C15855"/>
    <w:rsid w:val="00C15926"/>
    <w:rsid w:val="00C15A8A"/>
    <w:rsid w:val="00C15B9C"/>
    <w:rsid w:val="00C15C6A"/>
    <w:rsid w:val="00C15DA7"/>
    <w:rsid w:val="00C15E51"/>
    <w:rsid w:val="00C160F4"/>
    <w:rsid w:val="00C1613C"/>
    <w:rsid w:val="00C1614C"/>
    <w:rsid w:val="00C161A3"/>
    <w:rsid w:val="00C161E9"/>
    <w:rsid w:val="00C165BB"/>
    <w:rsid w:val="00C167C9"/>
    <w:rsid w:val="00C1696A"/>
    <w:rsid w:val="00C16A27"/>
    <w:rsid w:val="00C16B18"/>
    <w:rsid w:val="00C16B1B"/>
    <w:rsid w:val="00C16B4E"/>
    <w:rsid w:val="00C16CC4"/>
    <w:rsid w:val="00C16D5D"/>
    <w:rsid w:val="00C16EEF"/>
    <w:rsid w:val="00C16F2B"/>
    <w:rsid w:val="00C17165"/>
    <w:rsid w:val="00C1739D"/>
    <w:rsid w:val="00C17410"/>
    <w:rsid w:val="00C1768D"/>
    <w:rsid w:val="00C17849"/>
    <w:rsid w:val="00C17981"/>
    <w:rsid w:val="00C17A06"/>
    <w:rsid w:val="00C17A55"/>
    <w:rsid w:val="00C17ADC"/>
    <w:rsid w:val="00C17B95"/>
    <w:rsid w:val="00C17BBB"/>
    <w:rsid w:val="00C17DE7"/>
    <w:rsid w:val="00C17EC3"/>
    <w:rsid w:val="00C17F12"/>
    <w:rsid w:val="00C19F74"/>
    <w:rsid w:val="00C20017"/>
    <w:rsid w:val="00C20254"/>
    <w:rsid w:val="00C203D9"/>
    <w:rsid w:val="00C20539"/>
    <w:rsid w:val="00C206C2"/>
    <w:rsid w:val="00C2081F"/>
    <w:rsid w:val="00C20826"/>
    <w:rsid w:val="00C20846"/>
    <w:rsid w:val="00C2084E"/>
    <w:rsid w:val="00C20B18"/>
    <w:rsid w:val="00C20B30"/>
    <w:rsid w:val="00C20B58"/>
    <w:rsid w:val="00C20C64"/>
    <w:rsid w:val="00C20CE8"/>
    <w:rsid w:val="00C20DE5"/>
    <w:rsid w:val="00C20EA2"/>
    <w:rsid w:val="00C211B7"/>
    <w:rsid w:val="00C21227"/>
    <w:rsid w:val="00C2132B"/>
    <w:rsid w:val="00C213A1"/>
    <w:rsid w:val="00C2193F"/>
    <w:rsid w:val="00C21A10"/>
    <w:rsid w:val="00C21AC9"/>
    <w:rsid w:val="00C21B80"/>
    <w:rsid w:val="00C21CC5"/>
    <w:rsid w:val="00C21CDC"/>
    <w:rsid w:val="00C21DFE"/>
    <w:rsid w:val="00C21EA3"/>
    <w:rsid w:val="00C22273"/>
    <w:rsid w:val="00C222A1"/>
    <w:rsid w:val="00C22671"/>
    <w:rsid w:val="00C226F7"/>
    <w:rsid w:val="00C22889"/>
    <w:rsid w:val="00C22A0B"/>
    <w:rsid w:val="00C23161"/>
    <w:rsid w:val="00C23264"/>
    <w:rsid w:val="00C233AF"/>
    <w:rsid w:val="00C233BA"/>
    <w:rsid w:val="00C23681"/>
    <w:rsid w:val="00C237E5"/>
    <w:rsid w:val="00C23863"/>
    <w:rsid w:val="00C23898"/>
    <w:rsid w:val="00C2391C"/>
    <w:rsid w:val="00C23FAA"/>
    <w:rsid w:val="00C241CD"/>
    <w:rsid w:val="00C24332"/>
    <w:rsid w:val="00C2434E"/>
    <w:rsid w:val="00C246EC"/>
    <w:rsid w:val="00C247EE"/>
    <w:rsid w:val="00C249E0"/>
    <w:rsid w:val="00C24B40"/>
    <w:rsid w:val="00C24C79"/>
    <w:rsid w:val="00C24CF0"/>
    <w:rsid w:val="00C24E0D"/>
    <w:rsid w:val="00C24E2C"/>
    <w:rsid w:val="00C24FA2"/>
    <w:rsid w:val="00C25267"/>
    <w:rsid w:val="00C252BD"/>
    <w:rsid w:val="00C25713"/>
    <w:rsid w:val="00C257B4"/>
    <w:rsid w:val="00C257C4"/>
    <w:rsid w:val="00C25A32"/>
    <w:rsid w:val="00C25B3A"/>
    <w:rsid w:val="00C25D7D"/>
    <w:rsid w:val="00C25E09"/>
    <w:rsid w:val="00C25E13"/>
    <w:rsid w:val="00C2600E"/>
    <w:rsid w:val="00C2650F"/>
    <w:rsid w:val="00C26765"/>
    <w:rsid w:val="00C26886"/>
    <w:rsid w:val="00C2694C"/>
    <w:rsid w:val="00C26C8F"/>
    <w:rsid w:val="00C26D86"/>
    <w:rsid w:val="00C26DB6"/>
    <w:rsid w:val="00C26EAF"/>
    <w:rsid w:val="00C26F05"/>
    <w:rsid w:val="00C26F6F"/>
    <w:rsid w:val="00C270E7"/>
    <w:rsid w:val="00C272FA"/>
    <w:rsid w:val="00C274CA"/>
    <w:rsid w:val="00C276B1"/>
    <w:rsid w:val="00C277B5"/>
    <w:rsid w:val="00C27899"/>
    <w:rsid w:val="00C27B15"/>
    <w:rsid w:val="00C27BB2"/>
    <w:rsid w:val="00C27BF0"/>
    <w:rsid w:val="00C27CC8"/>
    <w:rsid w:val="00C27D7F"/>
    <w:rsid w:val="00C27DA6"/>
    <w:rsid w:val="00C30113"/>
    <w:rsid w:val="00C302A7"/>
    <w:rsid w:val="00C303F7"/>
    <w:rsid w:val="00C3045E"/>
    <w:rsid w:val="00C30579"/>
    <w:rsid w:val="00C307E8"/>
    <w:rsid w:val="00C3087A"/>
    <w:rsid w:val="00C30885"/>
    <w:rsid w:val="00C30A22"/>
    <w:rsid w:val="00C30A52"/>
    <w:rsid w:val="00C30BDC"/>
    <w:rsid w:val="00C30C84"/>
    <w:rsid w:val="00C30E9B"/>
    <w:rsid w:val="00C3105D"/>
    <w:rsid w:val="00C310EA"/>
    <w:rsid w:val="00C311BD"/>
    <w:rsid w:val="00C3142E"/>
    <w:rsid w:val="00C314C1"/>
    <w:rsid w:val="00C31519"/>
    <w:rsid w:val="00C31619"/>
    <w:rsid w:val="00C3161A"/>
    <w:rsid w:val="00C31638"/>
    <w:rsid w:val="00C3181B"/>
    <w:rsid w:val="00C31825"/>
    <w:rsid w:val="00C31941"/>
    <w:rsid w:val="00C31B58"/>
    <w:rsid w:val="00C31E79"/>
    <w:rsid w:val="00C31E81"/>
    <w:rsid w:val="00C31FAE"/>
    <w:rsid w:val="00C321BF"/>
    <w:rsid w:val="00C321C3"/>
    <w:rsid w:val="00C32223"/>
    <w:rsid w:val="00C3229D"/>
    <w:rsid w:val="00C32349"/>
    <w:rsid w:val="00C32410"/>
    <w:rsid w:val="00C3244D"/>
    <w:rsid w:val="00C32453"/>
    <w:rsid w:val="00C326C8"/>
    <w:rsid w:val="00C3272C"/>
    <w:rsid w:val="00C3273A"/>
    <w:rsid w:val="00C32870"/>
    <w:rsid w:val="00C3291B"/>
    <w:rsid w:val="00C329B2"/>
    <w:rsid w:val="00C32A40"/>
    <w:rsid w:val="00C32A6E"/>
    <w:rsid w:val="00C32B42"/>
    <w:rsid w:val="00C32B78"/>
    <w:rsid w:val="00C32CA3"/>
    <w:rsid w:val="00C32E5D"/>
    <w:rsid w:val="00C32F88"/>
    <w:rsid w:val="00C3300F"/>
    <w:rsid w:val="00C33054"/>
    <w:rsid w:val="00C33203"/>
    <w:rsid w:val="00C3365A"/>
    <w:rsid w:val="00C3367C"/>
    <w:rsid w:val="00C336C8"/>
    <w:rsid w:val="00C33869"/>
    <w:rsid w:val="00C339FD"/>
    <w:rsid w:val="00C33A34"/>
    <w:rsid w:val="00C33B2B"/>
    <w:rsid w:val="00C33B33"/>
    <w:rsid w:val="00C33D57"/>
    <w:rsid w:val="00C33D7E"/>
    <w:rsid w:val="00C33F21"/>
    <w:rsid w:val="00C33F4E"/>
    <w:rsid w:val="00C33F8D"/>
    <w:rsid w:val="00C34027"/>
    <w:rsid w:val="00C34088"/>
    <w:rsid w:val="00C34151"/>
    <w:rsid w:val="00C343E3"/>
    <w:rsid w:val="00C345FB"/>
    <w:rsid w:val="00C347FD"/>
    <w:rsid w:val="00C3485D"/>
    <w:rsid w:val="00C3485E"/>
    <w:rsid w:val="00C3490D"/>
    <w:rsid w:val="00C34988"/>
    <w:rsid w:val="00C34A13"/>
    <w:rsid w:val="00C34BA8"/>
    <w:rsid w:val="00C34C45"/>
    <w:rsid w:val="00C34D76"/>
    <w:rsid w:val="00C34DF4"/>
    <w:rsid w:val="00C34E28"/>
    <w:rsid w:val="00C34E63"/>
    <w:rsid w:val="00C34E89"/>
    <w:rsid w:val="00C34F97"/>
    <w:rsid w:val="00C34FDB"/>
    <w:rsid w:val="00C350E7"/>
    <w:rsid w:val="00C352C2"/>
    <w:rsid w:val="00C3533E"/>
    <w:rsid w:val="00C353CB"/>
    <w:rsid w:val="00C354D7"/>
    <w:rsid w:val="00C35510"/>
    <w:rsid w:val="00C35758"/>
    <w:rsid w:val="00C357CC"/>
    <w:rsid w:val="00C3589E"/>
    <w:rsid w:val="00C3591E"/>
    <w:rsid w:val="00C359F3"/>
    <w:rsid w:val="00C35A31"/>
    <w:rsid w:val="00C35B11"/>
    <w:rsid w:val="00C35BD8"/>
    <w:rsid w:val="00C35DA0"/>
    <w:rsid w:val="00C35E10"/>
    <w:rsid w:val="00C35E84"/>
    <w:rsid w:val="00C35EAB"/>
    <w:rsid w:val="00C35EC8"/>
    <w:rsid w:val="00C35F4D"/>
    <w:rsid w:val="00C36051"/>
    <w:rsid w:val="00C36055"/>
    <w:rsid w:val="00C36675"/>
    <w:rsid w:val="00C3682E"/>
    <w:rsid w:val="00C3689E"/>
    <w:rsid w:val="00C36A81"/>
    <w:rsid w:val="00C36A90"/>
    <w:rsid w:val="00C36D76"/>
    <w:rsid w:val="00C36E3D"/>
    <w:rsid w:val="00C3712F"/>
    <w:rsid w:val="00C371A5"/>
    <w:rsid w:val="00C3736E"/>
    <w:rsid w:val="00C373D9"/>
    <w:rsid w:val="00C3743D"/>
    <w:rsid w:val="00C37548"/>
    <w:rsid w:val="00C37596"/>
    <w:rsid w:val="00C376A3"/>
    <w:rsid w:val="00C37762"/>
    <w:rsid w:val="00C37799"/>
    <w:rsid w:val="00C377DE"/>
    <w:rsid w:val="00C379D7"/>
    <w:rsid w:val="00C37A53"/>
    <w:rsid w:val="00C37D5D"/>
    <w:rsid w:val="00C37D92"/>
    <w:rsid w:val="00C37DA6"/>
    <w:rsid w:val="00C37E52"/>
    <w:rsid w:val="00C37E64"/>
    <w:rsid w:val="00C37E8E"/>
    <w:rsid w:val="00C37F6C"/>
    <w:rsid w:val="00C3B86E"/>
    <w:rsid w:val="00C40094"/>
    <w:rsid w:val="00C4017C"/>
    <w:rsid w:val="00C401E7"/>
    <w:rsid w:val="00C40236"/>
    <w:rsid w:val="00C40335"/>
    <w:rsid w:val="00C4051B"/>
    <w:rsid w:val="00C40578"/>
    <w:rsid w:val="00C40594"/>
    <w:rsid w:val="00C40624"/>
    <w:rsid w:val="00C406B5"/>
    <w:rsid w:val="00C40703"/>
    <w:rsid w:val="00C40761"/>
    <w:rsid w:val="00C4093A"/>
    <w:rsid w:val="00C40996"/>
    <w:rsid w:val="00C409C3"/>
    <w:rsid w:val="00C409D2"/>
    <w:rsid w:val="00C40B3E"/>
    <w:rsid w:val="00C40BA5"/>
    <w:rsid w:val="00C40C0E"/>
    <w:rsid w:val="00C40C6B"/>
    <w:rsid w:val="00C40CE0"/>
    <w:rsid w:val="00C40ED9"/>
    <w:rsid w:val="00C40FCA"/>
    <w:rsid w:val="00C41056"/>
    <w:rsid w:val="00C411D7"/>
    <w:rsid w:val="00C411F5"/>
    <w:rsid w:val="00C41380"/>
    <w:rsid w:val="00C4142D"/>
    <w:rsid w:val="00C414F9"/>
    <w:rsid w:val="00C414FA"/>
    <w:rsid w:val="00C416E8"/>
    <w:rsid w:val="00C4188E"/>
    <w:rsid w:val="00C41966"/>
    <w:rsid w:val="00C41AB9"/>
    <w:rsid w:val="00C41AFD"/>
    <w:rsid w:val="00C41CBC"/>
    <w:rsid w:val="00C41CC3"/>
    <w:rsid w:val="00C41D11"/>
    <w:rsid w:val="00C41ED8"/>
    <w:rsid w:val="00C421FC"/>
    <w:rsid w:val="00C42202"/>
    <w:rsid w:val="00C42302"/>
    <w:rsid w:val="00C42318"/>
    <w:rsid w:val="00C424F5"/>
    <w:rsid w:val="00C42681"/>
    <w:rsid w:val="00C426B2"/>
    <w:rsid w:val="00C42790"/>
    <w:rsid w:val="00C428B3"/>
    <w:rsid w:val="00C42A6E"/>
    <w:rsid w:val="00C42E2A"/>
    <w:rsid w:val="00C42FCB"/>
    <w:rsid w:val="00C434E2"/>
    <w:rsid w:val="00C4368D"/>
    <w:rsid w:val="00C436D0"/>
    <w:rsid w:val="00C4375A"/>
    <w:rsid w:val="00C4388B"/>
    <w:rsid w:val="00C43898"/>
    <w:rsid w:val="00C43A21"/>
    <w:rsid w:val="00C43CAC"/>
    <w:rsid w:val="00C43E00"/>
    <w:rsid w:val="00C43E90"/>
    <w:rsid w:val="00C44205"/>
    <w:rsid w:val="00C4421B"/>
    <w:rsid w:val="00C44256"/>
    <w:rsid w:val="00C4438D"/>
    <w:rsid w:val="00C44433"/>
    <w:rsid w:val="00C4448C"/>
    <w:rsid w:val="00C444B7"/>
    <w:rsid w:val="00C4468C"/>
    <w:rsid w:val="00C4476D"/>
    <w:rsid w:val="00C4488C"/>
    <w:rsid w:val="00C4495B"/>
    <w:rsid w:val="00C449A9"/>
    <w:rsid w:val="00C44A0A"/>
    <w:rsid w:val="00C44B3A"/>
    <w:rsid w:val="00C44CB3"/>
    <w:rsid w:val="00C44D80"/>
    <w:rsid w:val="00C44DC2"/>
    <w:rsid w:val="00C44DD8"/>
    <w:rsid w:val="00C44DEC"/>
    <w:rsid w:val="00C44F13"/>
    <w:rsid w:val="00C44FF5"/>
    <w:rsid w:val="00C45007"/>
    <w:rsid w:val="00C45018"/>
    <w:rsid w:val="00C4512F"/>
    <w:rsid w:val="00C452AC"/>
    <w:rsid w:val="00C45325"/>
    <w:rsid w:val="00C453F6"/>
    <w:rsid w:val="00C45482"/>
    <w:rsid w:val="00C455F8"/>
    <w:rsid w:val="00C45605"/>
    <w:rsid w:val="00C45AF3"/>
    <w:rsid w:val="00C45B1D"/>
    <w:rsid w:val="00C45E23"/>
    <w:rsid w:val="00C45E40"/>
    <w:rsid w:val="00C45E5C"/>
    <w:rsid w:val="00C4608C"/>
    <w:rsid w:val="00C4612B"/>
    <w:rsid w:val="00C46245"/>
    <w:rsid w:val="00C46260"/>
    <w:rsid w:val="00C46304"/>
    <w:rsid w:val="00C4640F"/>
    <w:rsid w:val="00C46534"/>
    <w:rsid w:val="00C46592"/>
    <w:rsid w:val="00C465A5"/>
    <w:rsid w:val="00C46725"/>
    <w:rsid w:val="00C4690C"/>
    <w:rsid w:val="00C469A0"/>
    <w:rsid w:val="00C469BA"/>
    <w:rsid w:val="00C469EF"/>
    <w:rsid w:val="00C46BB0"/>
    <w:rsid w:val="00C46BE7"/>
    <w:rsid w:val="00C46C30"/>
    <w:rsid w:val="00C46CD4"/>
    <w:rsid w:val="00C46D15"/>
    <w:rsid w:val="00C46E1C"/>
    <w:rsid w:val="00C46EA9"/>
    <w:rsid w:val="00C46EF8"/>
    <w:rsid w:val="00C46FFC"/>
    <w:rsid w:val="00C47103"/>
    <w:rsid w:val="00C4715A"/>
    <w:rsid w:val="00C4716C"/>
    <w:rsid w:val="00C4727E"/>
    <w:rsid w:val="00C47400"/>
    <w:rsid w:val="00C474BD"/>
    <w:rsid w:val="00C4750C"/>
    <w:rsid w:val="00C476D1"/>
    <w:rsid w:val="00C47711"/>
    <w:rsid w:val="00C4772F"/>
    <w:rsid w:val="00C47748"/>
    <w:rsid w:val="00C47840"/>
    <w:rsid w:val="00C47A54"/>
    <w:rsid w:val="00C47BFB"/>
    <w:rsid w:val="00C47C05"/>
    <w:rsid w:val="00C47E13"/>
    <w:rsid w:val="00C47E52"/>
    <w:rsid w:val="00C47E57"/>
    <w:rsid w:val="00C47F9C"/>
    <w:rsid w:val="00C4F9EF"/>
    <w:rsid w:val="00C500A2"/>
    <w:rsid w:val="00C50133"/>
    <w:rsid w:val="00C50180"/>
    <w:rsid w:val="00C5024C"/>
    <w:rsid w:val="00C502BB"/>
    <w:rsid w:val="00C5037D"/>
    <w:rsid w:val="00C50509"/>
    <w:rsid w:val="00C505B2"/>
    <w:rsid w:val="00C509AD"/>
    <w:rsid w:val="00C50B1D"/>
    <w:rsid w:val="00C50BD0"/>
    <w:rsid w:val="00C50BEE"/>
    <w:rsid w:val="00C50C0D"/>
    <w:rsid w:val="00C50C16"/>
    <w:rsid w:val="00C50CAA"/>
    <w:rsid w:val="00C50E9E"/>
    <w:rsid w:val="00C50F13"/>
    <w:rsid w:val="00C50F1E"/>
    <w:rsid w:val="00C50FC6"/>
    <w:rsid w:val="00C50FF5"/>
    <w:rsid w:val="00C51054"/>
    <w:rsid w:val="00C5125D"/>
    <w:rsid w:val="00C5149D"/>
    <w:rsid w:val="00C514FD"/>
    <w:rsid w:val="00C51515"/>
    <w:rsid w:val="00C5163F"/>
    <w:rsid w:val="00C516F3"/>
    <w:rsid w:val="00C51864"/>
    <w:rsid w:val="00C51A68"/>
    <w:rsid w:val="00C51B89"/>
    <w:rsid w:val="00C51BD2"/>
    <w:rsid w:val="00C51BF1"/>
    <w:rsid w:val="00C51C91"/>
    <w:rsid w:val="00C51F60"/>
    <w:rsid w:val="00C520D5"/>
    <w:rsid w:val="00C52123"/>
    <w:rsid w:val="00C5217B"/>
    <w:rsid w:val="00C5223B"/>
    <w:rsid w:val="00C5233F"/>
    <w:rsid w:val="00C52381"/>
    <w:rsid w:val="00C523BF"/>
    <w:rsid w:val="00C52453"/>
    <w:rsid w:val="00C52462"/>
    <w:rsid w:val="00C524A5"/>
    <w:rsid w:val="00C5262F"/>
    <w:rsid w:val="00C5267F"/>
    <w:rsid w:val="00C52A57"/>
    <w:rsid w:val="00C52C5D"/>
    <w:rsid w:val="00C52DEF"/>
    <w:rsid w:val="00C52E02"/>
    <w:rsid w:val="00C52EE8"/>
    <w:rsid w:val="00C52F9D"/>
    <w:rsid w:val="00C5309D"/>
    <w:rsid w:val="00C531EF"/>
    <w:rsid w:val="00C53329"/>
    <w:rsid w:val="00C53387"/>
    <w:rsid w:val="00C53432"/>
    <w:rsid w:val="00C5369A"/>
    <w:rsid w:val="00C536BB"/>
    <w:rsid w:val="00C5373D"/>
    <w:rsid w:val="00C53769"/>
    <w:rsid w:val="00C537EE"/>
    <w:rsid w:val="00C53836"/>
    <w:rsid w:val="00C538A2"/>
    <w:rsid w:val="00C538EE"/>
    <w:rsid w:val="00C5393B"/>
    <w:rsid w:val="00C5394D"/>
    <w:rsid w:val="00C53AE3"/>
    <w:rsid w:val="00C53CEC"/>
    <w:rsid w:val="00C53F43"/>
    <w:rsid w:val="00C53F5C"/>
    <w:rsid w:val="00C54132"/>
    <w:rsid w:val="00C541A5"/>
    <w:rsid w:val="00C54297"/>
    <w:rsid w:val="00C545A9"/>
    <w:rsid w:val="00C5478D"/>
    <w:rsid w:val="00C5485B"/>
    <w:rsid w:val="00C54915"/>
    <w:rsid w:val="00C54947"/>
    <w:rsid w:val="00C549F1"/>
    <w:rsid w:val="00C54B67"/>
    <w:rsid w:val="00C54B84"/>
    <w:rsid w:val="00C54CD9"/>
    <w:rsid w:val="00C54E7B"/>
    <w:rsid w:val="00C54F50"/>
    <w:rsid w:val="00C54F90"/>
    <w:rsid w:val="00C550FF"/>
    <w:rsid w:val="00C5514A"/>
    <w:rsid w:val="00C552EF"/>
    <w:rsid w:val="00C553C2"/>
    <w:rsid w:val="00C55442"/>
    <w:rsid w:val="00C55557"/>
    <w:rsid w:val="00C556D7"/>
    <w:rsid w:val="00C55863"/>
    <w:rsid w:val="00C558C6"/>
    <w:rsid w:val="00C5590E"/>
    <w:rsid w:val="00C5597B"/>
    <w:rsid w:val="00C5597D"/>
    <w:rsid w:val="00C559D6"/>
    <w:rsid w:val="00C559E8"/>
    <w:rsid w:val="00C55B6E"/>
    <w:rsid w:val="00C55BC6"/>
    <w:rsid w:val="00C55BC9"/>
    <w:rsid w:val="00C55C47"/>
    <w:rsid w:val="00C55EAF"/>
    <w:rsid w:val="00C55EF2"/>
    <w:rsid w:val="00C560B7"/>
    <w:rsid w:val="00C561F7"/>
    <w:rsid w:val="00C56237"/>
    <w:rsid w:val="00C562C9"/>
    <w:rsid w:val="00C563B9"/>
    <w:rsid w:val="00C563F4"/>
    <w:rsid w:val="00C5643A"/>
    <w:rsid w:val="00C565BB"/>
    <w:rsid w:val="00C56606"/>
    <w:rsid w:val="00C56669"/>
    <w:rsid w:val="00C566B7"/>
    <w:rsid w:val="00C566F5"/>
    <w:rsid w:val="00C56940"/>
    <w:rsid w:val="00C56A0D"/>
    <w:rsid w:val="00C56A1D"/>
    <w:rsid w:val="00C56B9D"/>
    <w:rsid w:val="00C56C5B"/>
    <w:rsid w:val="00C56D96"/>
    <w:rsid w:val="00C56DD8"/>
    <w:rsid w:val="00C57281"/>
    <w:rsid w:val="00C57298"/>
    <w:rsid w:val="00C572BC"/>
    <w:rsid w:val="00C572DD"/>
    <w:rsid w:val="00C572F2"/>
    <w:rsid w:val="00C5734C"/>
    <w:rsid w:val="00C57370"/>
    <w:rsid w:val="00C57426"/>
    <w:rsid w:val="00C57470"/>
    <w:rsid w:val="00C574A2"/>
    <w:rsid w:val="00C57503"/>
    <w:rsid w:val="00C576AE"/>
    <w:rsid w:val="00C576B2"/>
    <w:rsid w:val="00C579E4"/>
    <w:rsid w:val="00C57A9D"/>
    <w:rsid w:val="00C57B10"/>
    <w:rsid w:val="00C57B38"/>
    <w:rsid w:val="00C57C5E"/>
    <w:rsid w:val="00C57CF7"/>
    <w:rsid w:val="00C57CF8"/>
    <w:rsid w:val="00C57F70"/>
    <w:rsid w:val="00C57F86"/>
    <w:rsid w:val="00C57FAE"/>
    <w:rsid w:val="00C5FC05"/>
    <w:rsid w:val="00C600BB"/>
    <w:rsid w:val="00C60136"/>
    <w:rsid w:val="00C6019A"/>
    <w:rsid w:val="00C6029E"/>
    <w:rsid w:val="00C603F3"/>
    <w:rsid w:val="00C60472"/>
    <w:rsid w:val="00C6057A"/>
    <w:rsid w:val="00C605D9"/>
    <w:rsid w:val="00C608E3"/>
    <w:rsid w:val="00C60C63"/>
    <w:rsid w:val="00C60DE2"/>
    <w:rsid w:val="00C60DEE"/>
    <w:rsid w:val="00C60DF0"/>
    <w:rsid w:val="00C6100E"/>
    <w:rsid w:val="00C611E0"/>
    <w:rsid w:val="00C61289"/>
    <w:rsid w:val="00C6132D"/>
    <w:rsid w:val="00C613C1"/>
    <w:rsid w:val="00C614BB"/>
    <w:rsid w:val="00C61655"/>
    <w:rsid w:val="00C616CA"/>
    <w:rsid w:val="00C617E0"/>
    <w:rsid w:val="00C61AEE"/>
    <w:rsid w:val="00C61B60"/>
    <w:rsid w:val="00C61BD5"/>
    <w:rsid w:val="00C61EFB"/>
    <w:rsid w:val="00C61FE9"/>
    <w:rsid w:val="00C62017"/>
    <w:rsid w:val="00C62043"/>
    <w:rsid w:val="00C62084"/>
    <w:rsid w:val="00C62122"/>
    <w:rsid w:val="00C62281"/>
    <w:rsid w:val="00C622B3"/>
    <w:rsid w:val="00C62666"/>
    <w:rsid w:val="00C62756"/>
    <w:rsid w:val="00C62869"/>
    <w:rsid w:val="00C628D0"/>
    <w:rsid w:val="00C628E9"/>
    <w:rsid w:val="00C62A0F"/>
    <w:rsid w:val="00C62A5C"/>
    <w:rsid w:val="00C62ABD"/>
    <w:rsid w:val="00C62D07"/>
    <w:rsid w:val="00C62D0E"/>
    <w:rsid w:val="00C62D56"/>
    <w:rsid w:val="00C62FCA"/>
    <w:rsid w:val="00C63088"/>
    <w:rsid w:val="00C63124"/>
    <w:rsid w:val="00C632E6"/>
    <w:rsid w:val="00C63305"/>
    <w:rsid w:val="00C633AB"/>
    <w:rsid w:val="00C6342D"/>
    <w:rsid w:val="00C6343E"/>
    <w:rsid w:val="00C63497"/>
    <w:rsid w:val="00C634F4"/>
    <w:rsid w:val="00C63508"/>
    <w:rsid w:val="00C6397D"/>
    <w:rsid w:val="00C63AE0"/>
    <w:rsid w:val="00C63B85"/>
    <w:rsid w:val="00C63CF3"/>
    <w:rsid w:val="00C63E05"/>
    <w:rsid w:val="00C63F1B"/>
    <w:rsid w:val="00C6409D"/>
    <w:rsid w:val="00C640A2"/>
    <w:rsid w:val="00C64465"/>
    <w:rsid w:val="00C6446E"/>
    <w:rsid w:val="00C6462B"/>
    <w:rsid w:val="00C64667"/>
    <w:rsid w:val="00C6471A"/>
    <w:rsid w:val="00C64816"/>
    <w:rsid w:val="00C64939"/>
    <w:rsid w:val="00C64953"/>
    <w:rsid w:val="00C6497C"/>
    <w:rsid w:val="00C649EB"/>
    <w:rsid w:val="00C64AA3"/>
    <w:rsid w:val="00C64AB2"/>
    <w:rsid w:val="00C64B1D"/>
    <w:rsid w:val="00C64BA4"/>
    <w:rsid w:val="00C64BFD"/>
    <w:rsid w:val="00C64C41"/>
    <w:rsid w:val="00C64E4B"/>
    <w:rsid w:val="00C64E74"/>
    <w:rsid w:val="00C64ED9"/>
    <w:rsid w:val="00C64FF9"/>
    <w:rsid w:val="00C65005"/>
    <w:rsid w:val="00C65308"/>
    <w:rsid w:val="00C65378"/>
    <w:rsid w:val="00C654E0"/>
    <w:rsid w:val="00C654FB"/>
    <w:rsid w:val="00C65537"/>
    <w:rsid w:val="00C6555B"/>
    <w:rsid w:val="00C65584"/>
    <w:rsid w:val="00C65630"/>
    <w:rsid w:val="00C659FE"/>
    <w:rsid w:val="00C65C27"/>
    <w:rsid w:val="00C65C43"/>
    <w:rsid w:val="00C65C9B"/>
    <w:rsid w:val="00C65D72"/>
    <w:rsid w:val="00C65F62"/>
    <w:rsid w:val="00C66198"/>
    <w:rsid w:val="00C662DD"/>
    <w:rsid w:val="00C6631F"/>
    <w:rsid w:val="00C66441"/>
    <w:rsid w:val="00C66509"/>
    <w:rsid w:val="00C667B6"/>
    <w:rsid w:val="00C667D4"/>
    <w:rsid w:val="00C66825"/>
    <w:rsid w:val="00C6698A"/>
    <w:rsid w:val="00C66CBC"/>
    <w:rsid w:val="00C66CD3"/>
    <w:rsid w:val="00C66D2B"/>
    <w:rsid w:val="00C66DA9"/>
    <w:rsid w:val="00C66F80"/>
    <w:rsid w:val="00C6702E"/>
    <w:rsid w:val="00C67191"/>
    <w:rsid w:val="00C675AC"/>
    <w:rsid w:val="00C678E6"/>
    <w:rsid w:val="00C67910"/>
    <w:rsid w:val="00C679A0"/>
    <w:rsid w:val="00C67A0B"/>
    <w:rsid w:val="00C67A23"/>
    <w:rsid w:val="00C67B95"/>
    <w:rsid w:val="00C67C5C"/>
    <w:rsid w:val="00C67CFE"/>
    <w:rsid w:val="00C67E3D"/>
    <w:rsid w:val="00C67F01"/>
    <w:rsid w:val="00C67F0B"/>
    <w:rsid w:val="00C67F23"/>
    <w:rsid w:val="00C6C2E2"/>
    <w:rsid w:val="00C70042"/>
    <w:rsid w:val="00C700BB"/>
    <w:rsid w:val="00C704F8"/>
    <w:rsid w:val="00C70650"/>
    <w:rsid w:val="00C7070E"/>
    <w:rsid w:val="00C70990"/>
    <w:rsid w:val="00C709CD"/>
    <w:rsid w:val="00C70A85"/>
    <w:rsid w:val="00C70B2F"/>
    <w:rsid w:val="00C70D40"/>
    <w:rsid w:val="00C70D50"/>
    <w:rsid w:val="00C7118E"/>
    <w:rsid w:val="00C711FD"/>
    <w:rsid w:val="00C71279"/>
    <w:rsid w:val="00C7131F"/>
    <w:rsid w:val="00C71573"/>
    <w:rsid w:val="00C715EB"/>
    <w:rsid w:val="00C7177A"/>
    <w:rsid w:val="00C7186B"/>
    <w:rsid w:val="00C7193D"/>
    <w:rsid w:val="00C71990"/>
    <w:rsid w:val="00C71A24"/>
    <w:rsid w:val="00C71B2B"/>
    <w:rsid w:val="00C71B50"/>
    <w:rsid w:val="00C71DD7"/>
    <w:rsid w:val="00C71E9B"/>
    <w:rsid w:val="00C71EC9"/>
    <w:rsid w:val="00C71F86"/>
    <w:rsid w:val="00C71FDF"/>
    <w:rsid w:val="00C71FEF"/>
    <w:rsid w:val="00C72060"/>
    <w:rsid w:val="00C72089"/>
    <w:rsid w:val="00C723E5"/>
    <w:rsid w:val="00C72427"/>
    <w:rsid w:val="00C7247C"/>
    <w:rsid w:val="00C7269E"/>
    <w:rsid w:val="00C726AA"/>
    <w:rsid w:val="00C726FC"/>
    <w:rsid w:val="00C7272E"/>
    <w:rsid w:val="00C7279F"/>
    <w:rsid w:val="00C728A0"/>
    <w:rsid w:val="00C72A8A"/>
    <w:rsid w:val="00C72D75"/>
    <w:rsid w:val="00C72E60"/>
    <w:rsid w:val="00C72FAC"/>
    <w:rsid w:val="00C730F8"/>
    <w:rsid w:val="00C731DC"/>
    <w:rsid w:val="00C73329"/>
    <w:rsid w:val="00C7355A"/>
    <w:rsid w:val="00C736E9"/>
    <w:rsid w:val="00C738B3"/>
    <w:rsid w:val="00C7390E"/>
    <w:rsid w:val="00C7394A"/>
    <w:rsid w:val="00C73991"/>
    <w:rsid w:val="00C739B3"/>
    <w:rsid w:val="00C73E17"/>
    <w:rsid w:val="00C73ECB"/>
    <w:rsid w:val="00C73F02"/>
    <w:rsid w:val="00C74004"/>
    <w:rsid w:val="00C74009"/>
    <w:rsid w:val="00C74111"/>
    <w:rsid w:val="00C74218"/>
    <w:rsid w:val="00C742D4"/>
    <w:rsid w:val="00C743D6"/>
    <w:rsid w:val="00C7475B"/>
    <w:rsid w:val="00C74895"/>
    <w:rsid w:val="00C74CD5"/>
    <w:rsid w:val="00C74CDD"/>
    <w:rsid w:val="00C74CFD"/>
    <w:rsid w:val="00C74D58"/>
    <w:rsid w:val="00C74D9A"/>
    <w:rsid w:val="00C74DCC"/>
    <w:rsid w:val="00C75156"/>
    <w:rsid w:val="00C751BC"/>
    <w:rsid w:val="00C752A1"/>
    <w:rsid w:val="00C7543B"/>
    <w:rsid w:val="00C7544F"/>
    <w:rsid w:val="00C75644"/>
    <w:rsid w:val="00C7569B"/>
    <w:rsid w:val="00C75949"/>
    <w:rsid w:val="00C759C8"/>
    <w:rsid w:val="00C75D1B"/>
    <w:rsid w:val="00C75D8A"/>
    <w:rsid w:val="00C75FC2"/>
    <w:rsid w:val="00C7604A"/>
    <w:rsid w:val="00C76328"/>
    <w:rsid w:val="00C76389"/>
    <w:rsid w:val="00C76396"/>
    <w:rsid w:val="00C76406"/>
    <w:rsid w:val="00C76423"/>
    <w:rsid w:val="00C765A4"/>
    <w:rsid w:val="00C767B6"/>
    <w:rsid w:val="00C767C2"/>
    <w:rsid w:val="00C76A9F"/>
    <w:rsid w:val="00C76CB3"/>
    <w:rsid w:val="00C76D48"/>
    <w:rsid w:val="00C76E32"/>
    <w:rsid w:val="00C7726D"/>
    <w:rsid w:val="00C77376"/>
    <w:rsid w:val="00C7742B"/>
    <w:rsid w:val="00C774D1"/>
    <w:rsid w:val="00C77594"/>
    <w:rsid w:val="00C77699"/>
    <w:rsid w:val="00C77904"/>
    <w:rsid w:val="00C77AE4"/>
    <w:rsid w:val="00C77B58"/>
    <w:rsid w:val="00C77C65"/>
    <w:rsid w:val="00C77CE5"/>
    <w:rsid w:val="00C77DBC"/>
    <w:rsid w:val="00C77E16"/>
    <w:rsid w:val="00C7DEA8"/>
    <w:rsid w:val="00C8003E"/>
    <w:rsid w:val="00C8017E"/>
    <w:rsid w:val="00C8018C"/>
    <w:rsid w:val="00C801F8"/>
    <w:rsid w:val="00C80320"/>
    <w:rsid w:val="00C80413"/>
    <w:rsid w:val="00C80566"/>
    <w:rsid w:val="00C80785"/>
    <w:rsid w:val="00C809A1"/>
    <w:rsid w:val="00C809B7"/>
    <w:rsid w:val="00C80B4F"/>
    <w:rsid w:val="00C80C17"/>
    <w:rsid w:val="00C80C3E"/>
    <w:rsid w:val="00C80DD7"/>
    <w:rsid w:val="00C80E16"/>
    <w:rsid w:val="00C80E7C"/>
    <w:rsid w:val="00C80EB2"/>
    <w:rsid w:val="00C80F45"/>
    <w:rsid w:val="00C80FE6"/>
    <w:rsid w:val="00C8104B"/>
    <w:rsid w:val="00C81291"/>
    <w:rsid w:val="00C8132F"/>
    <w:rsid w:val="00C81371"/>
    <w:rsid w:val="00C8143B"/>
    <w:rsid w:val="00C814AE"/>
    <w:rsid w:val="00C81620"/>
    <w:rsid w:val="00C81B2F"/>
    <w:rsid w:val="00C81BBF"/>
    <w:rsid w:val="00C81C8A"/>
    <w:rsid w:val="00C81DB7"/>
    <w:rsid w:val="00C81E51"/>
    <w:rsid w:val="00C81E7A"/>
    <w:rsid w:val="00C81EB4"/>
    <w:rsid w:val="00C81FB0"/>
    <w:rsid w:val="00C821FC"/>
    <w:rsid w:val="00C8223E"/>
    <w:rsid w:val="00C8227D"/>
    <w:rsid w:val="00C8240A"/>
    <w:rsid w:val="00C82631"/>
    <w:rsid w:val="00C82694"/>
    <w:rsid w:val="00C826D9"/>
    <w:rsid w:val="00C82795"/>
    <w:rsid w:val="00C82995"/>
    <w:rsid w:val="00C82C40"/>
    <w:rsid w:val="00C82CDB"/>
    <w:rsid w:val="00C82D3F"/>
    <w:rsid w:val="00C82FE8"/>
    <w:rsid w:val="00C831EB"/>
    <w:rsid w:val="00C8329A"/>
    <w:rsid w:val="00C834C0"/>
    <w:rsid w:val="00C835B7"/>
    <w:rsid w:val="00C836B2"/>
    <w:rsid w:val="00C837A6"/>
    <w:rsid w:val="00C83832"/>
    <w:rsid w:val="00C83ACF"/>
    <w:rsid w:val="00C83B66"/>
    <w:rsid w:val="00C83B9B"/>
    <w:rsid w:val="00C83C86"/>
    <w:rsid w:val="00C83CF9"/>
    <w:rsid w:val="00C83D32"/>
    <w:rsid w:val="00C83DD8"/>
    <w:rsid w:val="00C83E9D"/>
    <w:rsid w:val="00C83EBA"/>
    <w:rsid w:val="00C83F1D"/>
    <w:rsid w:val="00C83F71"/>
    <w:rsid w:val="00C83F9A"/>
    <w:rsid w:val="00C840E4"/>
    <w:rsid w:val="00C8436B"/>
    <w:rsid w:val="00C8436E"/>
    <w:rsid w:val="00C844E8"/>
    <w:rsid w:val="00C8461F"/>
    <w:rsid w:val="00C846FB"/>
    <w:rsid w:val="00C847DE"/>
    <w:rsid w:val="00C84863"/>
    <w:rsid w:val="00C8488A"/>
    <w:rsid w:val="00C848A5"/>
    <w:rsid w:val="00C849ED"/>
    <w:rsid w:val="00C84ADB"/>
    <w:rsid w:val="00C84DD4"/>
    <w:rsid w:val="00C84E90"/>
    <w:rsid w:val="00C84F9D"/>
    <w:rsid w:val="00C84FB8"/>
    <w:rsid w:val="00C8513A"/>
    <w:rsid w:val="00C851A1"/>
    <w:rsid w:val="00C851C0"/>
    <w:rsid w:val="00C852D6"/>
    <w:rsid w:val="00C853D2"/>
    <w:rsid w:val="00C854FD"/>
    <w:rsid w:val="00C85676"/>
    <w:rsid w:val="00C85869"/>
    <w:rsid w:val="00C858F5"/>
    <w:rsid w:val="00C859DA"/>
    <w:rsid w:val="00C85B12"/>
    <w:rsid w:val="00C85B9A"/>
    <w:rsid w:val="00C85D01"/>
    <w:rsid w:val="00C85D9B"/>
    <w:rsid w:val="00C85DD1"/>
    <w:rsid w:val="00C85F6D"/>
    <w:rsid w:val="00C860DF"/>
    <w:rsid w:val="00C8616E"/>
    <w:rsid w:val="00C8625F"/>
    <w:rsid w:val="00C86267"/>
    <w:rsid w:val="00C862A7"/>
    <w:rsid w:val="00C863C6"/>
    <w:rsid w:val="00C863CA"/>
    <w:rsid w:val="00C8656D"/>
    <w:rsid w:val="00C8691E"/>
    <w:rsid w:val="00C86A38"/>
    <w:rsid w:val="00C86ACA"/>
    <w:rsid w:val="00C86B3A"/>
    <w:rsid w:val="00C86B40"/>
    <w:rsid w:val="00C86C0E"/>
    <w:rsid w:val="00C86C9D"/>
    <w:rsid w:val="00C87043"/>
    <w:rsid w:val="00C871F3"/>
    <w:rsid w:val="00C872E3"/>
    <w:rsid w:val="00C87671"/>
    <w:rsid w:val="00C876D6"/>
    <w:rsid w:val="00C876F3"/>
    <w:rsid w:val="00C87868"/>
    <w:rsid w:val="00C879F1"/>
    <w:rsid w:val="00C879FC"/>
    <w:rsid w:val="00C87A74"/>
    <w:rsid w:val="00C87BD5"/>
    <w:rsid w:val="00C87CB7"/>
    <w:rsid w:val="00C87E60"/>
    <w:rsid w:val="00C90027"/>
    <w:rsid w:val="00C90096"/>
    <w:rsid w:val="00C90152"/>
    <w:rsid w:val="00C90156"/>
    <w:rsid w:val="00C901F0"/>
    <w:rsid w:val="00C90391"/>
    <w:rsid w:val="00C903CF"/>
    <w:rsid w:val="00C903E0"/>
    <w:rsid w:val="00C905EA"/>
    <w:rsid w:val="00C9060B"/>
    <w:rsid w:val="00C90715"/>
    <w:rsid w:val="00C907CE"/>
    <w:rsid w:val="00C907FA"/>
    <w:rsid w:val="00C908DF"/>
    <w:rsid w:val="00C9095C"/>
    <w:rsid w:val="00C9096E"/>
    <w:rsid w:val="00C90980"/>
    <w:rsid w:val="00C909B2"/>
    <w:rsid w:val="00C90B26"/>
    <w:rsid w:val="00C90B35"/>
    <w:rsid w:val="00C90C41"/>
    <w:rsid w:val="00C90D0A"/>
    <w:rsid w:val="00C90D90"/>
    <w:rsid w:val="00C90EA1"/>
    <w:rsid w:val="00C910D0"/>
    <w:rsid w:val="00C9115A"/>
    <w:rsid w:val="00C91279"/>
    <w:rsid w:val="00C912F6"/>
    <w:rsid w:val="00C913A5"/>
    <w:rsid w:val="00C915FD"/>
    <w:rsid w:val="00C9168E"/>
    <w:rsid w:val="00C918BC"/>
    <w:rsid w:val="00C91B13"/>
    <w:rsid w:val="00C91B2B"/>
    <w:rsid w:val="00C91CCF"/>
    <w:rsid w:val="00C91DC6"/>
    <w:rsid w:val="00C91DD5"/>
    <w:rsid w:val="00C91E0C"/>
    <w:rsid w:val="00C91E6C"/>
    <w:rsid w:val="00C91F90"/>
    <w:rsid w:val="00C9224D"/>
    <w:rsid w:val="00C92385"/>
    <w:rsid w:val="00C926DB"/>
    <w:rsid w:val="00C927C1"/>
    <w:rsid w:val="00C92CEF"/>
    <w:rsid w:val="00C92DFA"/>
    <w:rsid w:val="00C92E00"/>
    <w:rsid w:val="00C92F1D"/>
    <w:rsid w:val="00C92FB5"/>
    <w:rsid w:val="00C930C8"/>
    <w:rsid w:val="00C932A9"/>
    <w:rsid w:val="00C9331E"/>
    <w:rsid w:val="00C9338E"/>
    <w:rsid w:val="00C933A9"/>
    <w:rsid w:val="00C933AB"/>
    <w:rsid w:val="00C93526"/>
    <w:rsid w:val="00C937B2"/>
    <w:rsid w:val="00C938D1"/>
    <w:rsid w:val="00C9392E"/>
    <w:rsid w:val="00C93B23"/>
    <w:rsid w:val="00C93B9D"/>
    <w:rsid w:val="00C93CAB"/>
    <w:rsid w:val="00C93D54"/>
    <w:rsid w:val="00C93E1B"/>
    <w:rsid w:val="00C93EA4"/>
    <w:rsid w:val="00C93F5A"/>
    <w:rsid w:val="00C94007"/>
    <w:rsid w:val="00C940AC"/>
    <w:rsid w:val="00C94107"/>
    <w:rsid w:val="00C94247"/>
    <w:rsid w:val="00C942AA"/>
    <w:rsid w:val="00C9430D"/>
    <w:rsid w:val="00C943A6"/>
    <w:rsid w:val="00C943BC"/>
    <w:rsid w:val="00C94512"/>
    <w:rsid w:val="00C945D6"/>
    <w:rsid w:val="00C945DF"/>
    <w:rsid w:val="00C945FC"/>
    <w:rsid w:val="00C9496D"/>
    <w:rsid w:val="00C94B43"/>
    <w:rsid w:val="00C94B47"/>
    <w:rsid w:val="00C94CB7"/>
    <w:rsid w:val="00C94CDD"/>
    <w:rsid w:val="00C94D3D"/>
    <w:rsid w:val="00C94E63"/>
    <w:rsid w:val="00C94F87"/>
    <w:rsid w:val="00C9501E"/>
    <w:rsid w:val="00C954DE"/>
    <w:rsid w:val="00C95734"/>
    <w:rsid w:val="00C9593C"/>
    <w:rsid w:val="00C9594B"/>
    <w:rsid w:val="00C95A20"/>
    <w:rsid w:val="00C95CF5"/>
    <w:rsid w:val="00C95D23"/>
    <w:rsid w:val="00C95D4D"/>
    <w:rsid w:val="00C95E68"/>
    <w:rsid w:val="00C95E79"/>
    <w:rsid w:val="00C95F26"/>
    <w:rsid w:val="00C95F53"/>
    <w:rsid w:val="00C96004"/>
    <w:rsid w:val="00C96012"/>
    <w:rsid w:val="00C960A4"/>
    <w:rsid w:val="00C960C4"/>
    <w:rsid w:val="00C96165"/>
    <w:rsid w:val="00C96272"/>
    <w:rsid w:val="00C96302"/>
    <w:rsid w:val="00C96398"/>
    <w:rsid w:val="00C96496"/>
    <w:rsid w:val="00C9660F"/>
    <w:rsid w:val="00C9674C"/>
    <w:rsid w:val="00C96877"/>
    <w:rsid w:val="00C968D1"/>
    <w:rsid w:val="00C9699E"/>
    <w:rsid w:val="00C96BC9"/>
    <w:rsid w:val="00C96DAC"/>
    <w:rsid w:val="00C96DDB"/>
    <w:rsid w:val="00C96F74"/>
    <w:rsid w:val="00C96FC4"/>
    <w:rsid w:val="00C97022"/>
    <w:rsid w:val="00C97115"/>
    <w:rsid w:val="00C9714C"/>
    <w:rsid w:val="00C9716A"/>
    <w:rsid w:val="00C972C7"/>
    <w:rsid w:val="00C972DC"/>
    <w:rsid w:val="00C97330"/>
    <w:rsid w:val="00C97421"/>
    <w:rsid w:val="00C97444"/>
    <w:rsid w:val="00C9753B"/>
    <w:rsid w:val="00C97557"/>
    <w:rsid w:val="00C975E9"/>
    <w:rsid w:val="00C976C1"/>
    <w:rsid w:val="00C9781D"/>
    <w:rsid w:val="00C97A4D"/>
    <w:rsid w:val="00C97B78"/>
    <w:rsid w:val="00C97BFD"/>
    <w:rsid w:val="00C97CA8"/>
    <w:rsid w:val="00C97CB8"/>
    <w:rsid w:val="00C97F20"/>
    <w:rsid w:val="00C97F66"/>
    <w:rsid w:val="00C97FC3"/>
    <w:rsid w:val="00CA002B"/>
    <w:rsid w:val="00CA00A0"/>
    <w:rsid w:val="00CA0149"/>
    <w:rsid w:val="00CA0400"/>
    <w:rsid w:val="00CA04BA"/>
    <w:rsid w:val="00CA0522"/>
    <w:rsid w:val="00CA0573"/>
    <w:rsid w:val="00CA068F"/>
    <w:rsid w:val="00CA06C1"/>
    <w:rsid w:val="00CA06D0"/>
    <w:rsid w:val="00CA06FE"/>
    <w:rsid w:val="00CA0790"/>
    <w:rsid w:val="00CA08E3"/>
    <w:rsid w:val="00CA099C"/>
    <w:rsid w:val="00CA0AA7"/>
    <w:rsid w:val="00CA0AE4"/>
    <w:rsid w:val="00CA0B76"/>
    <w:rsid w:val="00CA0E1B"/>
    <w:rsid w:val="00CA0F9F"/>
    <w:rsid w:val="00CA1073"/>
    <w:rsid w:val="00CA1206"/>
    <w:rsid w:val="00CA1224"/>
    <w:rsid w:val="00CA1325"/>
    <w:rsid w:val="00CA13BB"/>
    <w:rsid w:val="00CA1471"/>
    <w:rsid w:val="00CA1627"/>
    <w:rsid w:val="00CA1795"/>
    <w:rsid w:val="00CA17D8"/>
    <w:rsid w:val="00CA18C3"/>
    <w:rsid w:val="00CA1B3D"/>
    <w:rsid w:val="00CA1C7A"/>
    <w:rsid w:val="00CA1C84"/>
    <w:rsid w:val="00CA1CDD"/>
    <w:rsid w:val="00CA1CFD"/>
    <w:rsid w:val="00CA1EA8"/>
    <w:rsid w:val="00CA2051"/>
    <w:rsid w:val="00CA214C"/>
    <w:rsid w:val="00CA2150"/>
    <w:rsid w:val="00CA22FD"/>
    <w:rsid w:val="00CA23FA"/>
    <w:rsid w:val="00CA240B"/>
    <w:rsid w:val="00CA2528"/>
    <w:rsid w:val="00CA261C"/>
    <w:rsid w:val="00CA2672"/>
    <w:rsid w:val="00CA26DB"/>
    <w:rsid w:val="00CA27FD"/>
    <w:rsid w:val="00CA2806"/>
    <w:rsid w:val="00CA280F"/>
    <w:rsid w:val="00CA29D7"/>
    <w:rsid w:val="00CA29F4"/>
    <w:rsid w:val="00CA2A34"/>
    <w:rsid w:val="00CA2A79"/>
    <w:rsid w:val="00CA2C6B"/>
    <w:rsid w:val="00CA2DFD"/>
    <w:rsid w:val="00CA2E87"/>
    <w:rsid w:val="00CA2EC7"/>
    <w:rsid w:val="00CA2EFD"/>
    <w:rsid w:val="00CA2FAD"/>
    <w:rsid w:val="00CA3083"/>
    <w:rsid w:val="00CA3215"/>
    <w:rsid w:val="00CA325D"/>
    <w:rsid w:val="00CA33C5"/>
    <w:rsid w:val="00CA3454"/>
    <w:rsid w:val="00CA347A"/>
    <w:rsid w:val="00CA3577"/>
    <w:rsid w:val="00CA3642"/>
    <w:rsid w:val="00CA3699"/>
    <w:rsid w:val="00CA369F"/>
    <w:rsid w:val="00CA36B9"/>
    <w:rsid w:val="00CA36D3"/>
    <w:rsid w:val="00CA375F"/>
    <w:rsid w:val="00CA3766"/>
    <w:rsid w:val="00CA377E"/>
    <w:rsid w:val="00CA37EE"/>
    <w:rsid w:val="00CA3866"/>
    <w:rsid w:val="00CA390F"/>
    <w:rsid w:val="00CA391C"/>
    <w:rsid w:val="00CA3BC1"/>
    <w:rsid w:val="00CA3CCE"/>
    <w:rsid w:val="00CA3E14"/>
    <w:rsid w:val="00CA3F76"/>
    <w:rsid w:val="00CA3FA0"/>
    <w:rsid w:val="00CA42B8"/>
    <w:rsid w:val="00CA42F0"/>
    <w:rsid w:val="00CA448C"/>
    <w:rsid w:val="00CA4574"/>
    <w:rsid w:val="00CA4806"/>
    <w:rsid w:val="00CA4ABF"/>
    <w:rsid w:val="00CA4ACE"/>
    <w:rsid w:val="00CA4AED"/>
    <w:rsid w:val="00CA4B49"/>
    <w:rsid w:val="00CA4BA1"/>
    <w:rsid w:val="00CA4BA7"/>
    <w:rsid w:val="00CA4BBC"/>
    <w:rsid w:val="00CA4D71"/>
    <w:rsid w:val="00CA4DB6"/>
    <w:rsid w:val="00CA4FA6"/>
    <w:rsid w:val="00CA5021"/>
    <w:rsid w:val="00CA50B4"/>
    <w:rsid w:val="00CA514B"/>
    <w:rsid w:val="00CA515F"/>
    <w:rsid w:val="00CA5179"/>
    <w:rsid w:val="00CA5674"/>
    <w:rsid w:val="00CA5857"/>
    <w:rsid w:val="00CA593A"/>
    <w:rsid w:val="00CA59D7"/>
    <w:rsid w:val="00CA5AF9"/>
    <w:rsid w:val="00CA5B67"/>
    <w:rsid w:val="00CA5C94"/>
    <w:rsid w:val="00CA5EBA"/>
    <w:rsid w:val="00CA5FCA"/>
    <w:rsid w:val="00CA6014"/>
    <w:rsid w:val="00CA6027"/>
    <w:rsid w:val="00CA6174"/>
    <w:rsid w:val="00CA61E0"/>
    <w:rsid w:val="00CA62EA"/>
    <w:rsid w:val="00CA63A5"/>
    <w:rsid w:val="00CA641D"/>
    <w:rsid w:val="00CA6466"/>
    <w:rsid w:val="00CA66E9"/>
    <w:rsid w:val="00CA67DF"/>
    <w:rsid w:val="00CA6824"/>
    <w:rsid w:val="00CA689E"/>
    <w:rsid w:val="00CA6A7F"/>
    <w:rsid w:val="00CA6C4B"/>
    <w:rsid w:val="00CA6C7C"/>
    <w:rsid w:val="00CA6CDD"/>
    <w:rsid w:val="00CA6E63"/>
    <w:rsid w:val="00CA6F10"/>
    <w:rsid w:val="00CA6F2D"/>
    <w:rsid w:val="00CA703B"/>
    <w:rsid w:val="00CA73DE"/>
    <w:rsid w:val="00CA73EB"/>
    <w:rsid w:val="00CA7430"/>
    <w:rsid w:val="00CA74EC"/>
    <w:rsid w:val="00CA7614"/>
    <w:rsid w:val="00CA7813"/>
    <w:rsid w:val="00CA7A6E"/>
    <w:rsid w:val="00CA7A8C"/>
    <w:rsid w:val="00CA7AC5"/>
    <w:rsid w:val="00CA7B51"/>
    <w:rsid w:val="00CA7C83"/>
    <w:rsid w:val="00CA7D12"/>
    <w:rsid w:val="00CA7DED"/>
    <w:rsid w:val="00CA7E1A"/>
    <w:rsid w:val="00CA7E2E"/>
    <w:rsid w:val="00CA7EF0"/>
    <w:rsid w:val="00CA7F18"/>
    <w:rsid w:val="00CA85E3"/>
    <w:rsid w:val="00CAB9C0"/>
    <w:rsid w:val="00CB0012"/>
    <w:rsid w:val="00CB007F"/>
    <w:rsid w:val="00CB0125"/>
    <w:rsid w:val="00CB01CE"/>
    <w:rsid w:val="00CB01EB"/>
    <w:rsid w:val="00CB0254"/>
    <w:rsid w:val="00CB0341"/>
    <w:rsid w:val="00CB0575"/>
    <w:rsid w:val="00CB0697"/>
    <w:rsid w:val="00CB06CB"/>
    <w:rsid w:val="00CB07F0"/>
    <w:rsid w:val="00CB0824"/>
    <w:rsid w:val="00CB0854"/>
    <w:rsid w:val="00CB09AF"/>
    <w:rsid w:val="00CB09B4"/>
    <w:rsid w:val="00CB0A64"/>
    <w:rsid w:val="00CB0B40"/>
    <w:rsid w:val="00CB0BA3"/>
    <w:rsid w:val="00CB0CA6"/>
    <w:rsid w:val="00CB0CD2"/>
    <w:rsid w:val="00CB0F06"/>
    <w:rsid w:val="00CB0FAB"/>
    <w:rsid w:val="00CB10AC"/>
    <w:rsid w:val="00CB11AB"/>
    <w:rsid w:val="00CB13E1"/>
    <w:rsid w:val="00CB14B2"/>
    <w:rsid w:val="00CB15B3"/>
    <w:rsid w:val="00CB1653"/>
    <w:rsid w:val="00CB17E5"/>
    <w:rsid w:val="00CB198A"/>
    <w:rsid w:val="00CB19CE"/>
    <w:rsid w:val="00CB19CF"/>
    <w:rsid w:val="00CB19FE"/>
    <w:rsid w:val="00CB1BAB"/>
    <w:rsid w:val="00CB1C2E"/>
    <w:rsid w:val="00CB1CD3"/>
    <w:rsid w:val="00CB1CEB"/>
    <w:rsid w:val="00CB1E60"/>
    <w:rsid w:val="00CB1EE1"/>
    <w:rsid w:val="00CB1F1F"/>
    <w:rsid w:val="00CB1FF2"/>
    <w:rsid w:val="00CB2080"/>
    <w:rsid w:val="00CB21A1"/>
    <w:rsid w:val="00CB2394"/>
    <w:rsid w:val="00CB26A5"/>
    <w:rsid w:val="00CB26B6"/>
    <w:rsid w:val="00CB2749"/>
    <w:rsid w:val="00CB29DE"/>
    <w:rsid w:val="00CB2C67"/>
    <w:rsid w:val="00CB2D43"/>
    <w:rsid w:val="00CB2D5B"/>
    <w:rsid w:val="00CB2E93"/>
    <w:rsid w:val="00CB2F79"/>
    <w:rsid w:val="00CB2FC5"/>
    <w:rsid w:val="00CB310B"/>
    <w:rsid w:val="00CB31F5"/>
    <w:rsid w:val="00CB324D"/>
    <w:rsid w:val="00CB32F4"/>
    <w:rsid w:val="00CB33E7"/>
    <w:rsid w:val="00CB35B3"/>
    <w:rsid w:val="00CB3875"/>
    <w:rsid w:val="00CB3A0B"/>
    <w:rsid w:val="00CB3C39"/>
    <w:rsid w:val="00CB3C4F"/>
    <w:rsid w:val="00CB3CC3"/>
    <w:rsid w:val="00CB3EE6"/>
    <w:rsid w:val="00CB3F5E"/>
    <w:rsid w:val="00CB400E"/>
    <w:rsid w:val="00CB4048"/>
    <w:rsid w:val="00CB40A5"/>
    <w:rsid w:val="00CB40CE"/>
    <w:rsid w:val="00CB40DF"/>
    <w:rsid w:val="00CB4282"/>
    <w:rsid w:val="00CB42DF"/>
    <w:rsid w:val="00CB447E"/>
    <w:rsid w:val="00CB44E9"/>
    <w:rsid w:val="00CB4523"/>
    <w:rsid w:val="00CB45A8"/>
    <w:rsid w:val="00CB45CA"/>
    <w:rsid w:val="00CB46E8"/>
    <w:rsid w:val="00CB4709"/>
    <w:rsid w:val="00CB475C"/>
    <w:rsid w:val="00CB4922"/>
    <w:rsid w:val="00CB49F3"/>
    <w:rsid w:val="00CB4A20"/>
    <w:rsid w:val="00CB4B32"/>
    <w:rsid w:val="00CB4C81"/>
    <w:rsid w:val="00CB4CD8"/>
    <w:rsid w:val="00CB4DD5"/>
    <w:rsid w:val="00CB4F62"/>
    <w:rsid w:val="00CB5039"/>
    <w:rsid w:val="00CB50A5"/>
    <w:rsid w:val="00CB50E0"/>
    <w:rsid w:val="00CB513B"/>
    <w:rsid w:val="00CB52C5"/>
    <w:rsid w:val="00CB5446"/>
    <w:rsid w:val="00CB583D"/>
    <w:rsid w:val="00CB5929"/>
    <w:rsid w:val="00CB593C"/>
    <w:rsid w:val="00CB5A58"/>
    <w:rsid w:val="00CB5AD1"/>
    <w:rsid w:val="00CB5B27"/>
    <w:rsid w:val="00CB5B8C"/>
    <w:rsid w:val="00CB5BE8"/>
    <w:rsid w:val="00CB5C42"/>
    <w:rsid w:val="00CB5DA3"/>
    <w:rsid w:val="00CB5F9A"/>
    <w:rsid w:val="00CB602D"/>
    <w:rsid w:val="00CB60EE"/>
    <w:rsid w:val="00CB610F"/>
    <w:rsid w:val="00CB629F"/>
    <w:rsid w:val="00CB62CA"/>
    <w:rsid w:val="00CB64AD"/>
    <w:rsid w:val="00CB6605"/>
    <w:rsid w:val="00CB6648"/>
    <w:rsid w:val="00CB6736"/>
    <w:rsid w:val="00CB6979"/>
    <w:rsid w:val="00CB6A89"/>
    <w:rsid w:val="00CB6CCD"/>
    <w:rsid w:val="00CB6F6D"/>
    <w:rsid w:val="00CB6FF8"/>
    <w:rsid w:val="00CB70C1"/>
    <w:rsid w:val="00CB70FB"/>
    <w:rsid w:val="00CB7141"/>
    <w:rsid w:val="00CB72FB"/>
    <w:rsid w:val="00CB7459"/>
    <w:rsid w:val="00CB7674"/>
    <w:rsid w:val="00CB771F"/>
    <w:rsid w:val="00CB780D"/>
    <w:rsid w:val="00CB7890"/>
    <w:rsid w:val="00CB799F"/>
    <w:rsid w:val="00CB79EC"/>
    <w:rsid w:val="00CB7A72"/>
    <w:rsid w:val="00CB7DF8"/>
    <w:rsid w:val="00CB7E2C"/>
    <w:rsid w:val="00CB7FC8"/>
    <w:rsid w:val="00CB7FDB"/>
    <w:rsid w:val="00CB99DD"/>
    <w:rsid w:val="00CC025E"/>
    <w:rsid w:val="00CC02F6"/>
    <w:rsid w:val="00CC0533"/>
    <w:rsid w:val="00CC0692"/>
    <w:rsid w:val="00CC073F"/>
    <w:rsid w:val="00CC0780"/>
    <w:rsid w:val="00CC08A4"/>
    <w:rsid w:val="00CC094A"/>
    <w:rsid w:val="00CC09D0"/>
    <w:rsid w:val="00CC0AC7"/>
    <w:rsid w:val="00CC0AD1"/>
    <w:rsid w:val="00CC0C1D"/>
    <w:rsid w:val="00CC0CCA"/>
    <w:rsid w:val="00CC0CD5"/>
    <w:rsid w:val="00CC0CDA"/>
    <w:rsid w:val="00CC109F"/>
    <w:rsid w:val="00CC10D0"/>
    <w:rsid w:val="00CC111D"/>
    <w:rsid w:val="00CC11C9"/>
    <w:rsid w:val="00CC11CA"/>
    <w:rsid w:val="00CC128F"/>
    <w:rsid w:val="00CC12F4"/>
    <w:rsid w:val="00CC130F"/>
    <w:rsid w:val="00CC13EB"/>
    <w:rsid w:val="00CC1464"/>
    <w:rsid w:val="00CC1530"/>
    <w:rsid w:val="00CC1647"/>
    <w:rsid w:val="00CC181E"/>
    <w:rsid w:val="00CC189F"/>
    <w:rsid w:val="00CC18D7"/>
    <w:rsid w:val="00CC1990"/>
    <w:rsid w:val="00CC19B5"/>
    <w:rsid w:val="00CC1D33"/>
    <w:rsid w:val="00CC1E2A"/>
    <w:rsid w:val="00CC1F68"/>
    <w:rsid w:val="00CC1FB8"/>
    <w:rsid w:val="00CC2001"/>
    <w:rsid w:val="00CC2082"/>
    <w:rsid w:val="00CC2388"/>
    <w:rsid w:val="00CC23E5"/>
    <w:rsid w:val="00CC24D7"/>
    <w:rsid w:val="00CC28FC"/>
    <w:rsid w:val="00CC2A0D"/>
    <w:rsid w:val="00CC2AAC"/>
    <w:rsid w:val="00CC2BA6"/>
    <w:rsid w:val="00CC2C20"/>
    <w:rsid w:val="00CC2C9C"/>
    <w:rsid w:val="00CC2CB4"/>
    <w:rsid w:val="00CC2E46"/>
    <w:rsid w:val="00CC2EA1"/>
    <w:rsid w:val="00CC2EA3"/>
    <w:rsid w:val="00CC31CB"/>
    <w:rsid w:val="00CC3369"/>
    <w:rsid w:val="00CC33AD"/>
    <w:rsid w:val="00CC35EA"/>
    <w:rsid w:val="00CC368E"/>
    <w:rsid w:val="00CC36F8"/>
    <w:rsid w:val="00CC3762"/>
    <w:rsid w:val="00CC3784"/>
    <w:rsid w:val="00CC397B"/>
    <w:rsid w:val="00CC3AAC"/>
    <w:rsid w:val="00CC3B20"/>
    <w:rsid w:val="00CC3B77"/>
    <w:rsid w:val="00CC3BC3"/>
    <w:rsid w:val="00CC3C8D"/>
    <w:rsid w:val="00CC3D41"/>
    <w:rsid w:val="00CC3D42"/>
    <w:rsid w:val="00CC3DDC"/>
    <w:rsid w:val="00CC3E82"/>
    <w:rsid w:val="00CC3EC0"/>
    <w:rsid w:val="00CC3F56"/>
    <w:rsid w:val="00CC406A"/>
    <w:rsid w:val="00CC41F5"/>
    <w:rsid w:val="00CC42A6"/>
    <w:rsid w:val="00CC42ED"/>
    <w:rsid w:val="00CC43B1"/>
    <w:rsid w:val="00CC4411"/>
    <w:rsid w:val="00CC4746"/>
    <w:rsid w:val="00CC48D8"/>
    <w:rsid w:val="00CC496B"/>
    <w:rsid w:val="00CC4B5E"/>
    <w:rsid w:val="00CC4DB4"/>
    <w:rsid w:val="00CC4E3C"/>
    <w:rsid w:val="00CC4E94"/>
    <w:rsid w:val="00CC4F29"/>
    <w:rsid w:val="00CC4F42"/>
    <w:rsid w:val="00CC4F54"/>
    <w:rsid w:val="00CC4FD0"/>
    <w:rsid w:val="00CC50A5"/>
    <w:rsid w:val="00CC50C8"/>
    <w:rsid w:val="00CC5136"/>
    <w:rsid w:val="00CC5197"/>
    <w:rsid w:val="00CC5254"/>
    <w:rsid w:val="00CC52BF"/>
    <w:rsid w:val="00CC531C"/>
    <w:rsid w:val="00CC546C"/>
    <w:rsid w:val="00CC5486"/>
    <w:rsid w:val="00CC54B9"/>
    <w:rsid w:val="00CC5695"/>
    <w:rsid w:val="00CC580E"/>
    <w:rsid w:val="00CC587E"/>
    <w:rsid w:val="00CC58C4"/>
    <w:rsid w:val="00CC5A40"/>
    <w:rsid w:val="00CC5BC5"/>
    <w:rsid w:val="00CC5C2E"/>
    <w:rsid w:val="00CC5CCA"/>
    <w:rsid w:val="00CC60AA"/>
    <w:rsid w:val="00CC60EE"/>
    <w:rsid w:val="00CC6356"/>
    <w:rsid w:val="00CC639A"/>
    <w:rsid w:val="00CC65E8"/>
    <w:rsid w:val="00CC65FE"/>
    <w:rsid w:val="00CC6769"/>
    <w:rsid w:val="00CC68F6"/>
    <w:rsid w:val="00CC691C"/>
    <w:rsid w:val="00CC697F"/>
    <w:rsid w:val="00CC6999"/>
    <w:rsid w:val="00CC6ACF"/>
    <w:rsid w:val="00CC6CC8"/>
    <w:rsid w:val="00CC6E65"/>
    <w:rsid w:val="00CC6F06"/>
    <w:rsid w:val="00CC6FC1"/>
    <w:rsid w:val="00CC7036"/>
    <w:rsid w:val="00CC70E8"/>
    <w:rsid w:val="00CC72BB"/>
    <w:rsid w:val="00CC77D4"/>
    <w:rsid w:val="00CC7841"/>
    <w:rsid w:val="00CC786C"/>
    <w:rsid w:val="00CC789B"/>
    <w:rsid w:val="00CC79A4"/>
    <w:rsid w:val="00CC79A8"/>
    <w:rsid w:val="00CC79BF"/>
    <w:rsid w:val="00CC7A48"/>
    <w:rsid w:val="00CC7CDB"/>
    <w:rsid w:val="00CC7D3E"/>
    <w:rsid w:val="00CC7D62"/>
    <w:rsid w:val="00CC7D63"/>
    <w:rsid w:val="00CC7E64"/>
    <w:rsid w:val="00CCAA7D"/>
    <w:rsid w:val="00CCC58C"/>
    <w:rsid w:val="00CD01FB"/>
    <w:rsid w:val="00CD026F"/>
    <w:rsid w:val="00CD03CF"/>
    <w:rsid w:val="00CD04B9"/>
    <w:rsid w:val="00CD04EB"/>
    <w:rsid w:val="00CD0522"/>
    <w:rsid w:val="00CD0622"/>
    <w:rsid w:val="00CD0669"/>
    <w:rsid w:val="00CD072B"/>
    <w:rsid w:val="00CD07A1"/>
    <w:rsid w:val="00CD095D"/>
    <w:rsid w:val="00CD0A39"/>
    <w:rsid w:val="00CD0A4E"/>
    <w:rsid w:val="00CD0DE9"/>
    <w:rsid w:val="00CD0DF0"/>
    <w:rsid w:val="00CD0E87"/>
    <w:rsid w:val="00CD0FAE"/>
    <w:rsid w:val="00CD0FB5"/>
    <w:rsid w:val="00CD12F9"/>
    <w:rsid w:val="00CD130F"/>
    <w:rsid w:val="00CD142B"/>
    <w:rsid w:val="00CD159D"/>
    <w:rsid w:val="00CD15FF"/>
    <w:rsid w:val="00CD16AD"/>
    <w:rsid w:val="00CD17DE"/>
    <w:rsid w:val="00CD1860"/>
    <w:rsid w:val="00CD18F1"/>
    <w:rsid w:val="00CD1938"/>
    <w:rsid w:val="00CD1975"/>
    <w:rsid w:val="00CD1B4B"/>
    <w:rsid w:val="00CD1C6B"/>
    <w:rsid w:val="00CD1DA7"/>
    <w:rsid w:val="00CD1EC3"/>
    <w:rsid w:val="00CD1ED3"/>
    <w:rsid w:val="00CD2416"/>
    <w:rsid w:val="00CD25CD"/>
    <w:rsid w:val="00CD26F8"/>
    <w:rsid w:val="00CD2728"/>
    <w:rsid w:val="00CD2737"/>
    <w:rsid w:val="00CD2B92"/>
    <w:rsid w:val="00CD2BC2"/>
    <w:rsid w:val="00CD2D18"/>
    <w:rsid w:val="00CD2DBD"/>
    <w:rsid w:val="00CD2E32"/>
    <w:rsid w:val="00CD307D"/>
    <w:rsid w:val="00CD30BF"/>
    <w:rsid w:val="00CD3313"/>
    <w:rsid w:val="00CD3370"/>
    <w:rsid w:val="00CD3465"/>
    <w:rsid w:val="00CD34B2"/>
    <w:rsid w:val="00CD34D7"/>
    <w:rsid w:val="00CD3595"/>
    <w:rsid w:val="00CD3797"/>
    <w:rsid w:val="00CD38E1"/>
    <w:rsid w:val="00CD390F"/>
    <w:rsid w:val="00CD3912"/>
    <w:rsid w:val="00CD3A23"/>
    <w:rsid w:val="00CD3B1E"/>
    <w:rsid w:val="00CD3B33"/>
    <w:rsid w:val="00CD3EE5"/>
    <w:rsid w:val="00CD3FAE"/>
    <w:rsid w:val="00CD4216"/>
    <w:rsid w:val="00CD4329"/>
    <w:rsid w:val="00CD44DC"/>
    <w:rsid w:val="00CD453D"/>
    <w:rsid w:val="00CD455B"/>
    <w:rsid w:val="00CD45EB"/>
    <w:rsid w:val="00CD4A19"/>
    <w:rsid w:val="00CD4A37"/>
    <w:rsid w:val="00CD4A4A"/>
    <w:rsid w:val="00CD4B60"/>
    <w:rsid w:val="00CD4BE6"/>
    <w:rsid w:val="00CD4FED"/>
    <w:rsid w:val="00CD50FF"/>
    <w:rsid w:val="00CD510D"/>
    <w:rsid w:val="00CD5170"/>
    <w:rsid w:val="00CD536A"/>
    <w:rsid w:val="00CD5514"/>
    <w:rsid w:val="00CD566F"/>
    <w:rsid w:val="00CD57EC"/>
    <w:rsid w:val="00CD5925"/>
    <w:rsid w:val="00CD5939"/>
    <w:rsid w:val="00CD5953"/>
    <w:rsid w:val="00CD5A67"/>
    <w:rsid w:val="00CD5B3C"/>
    <w:rsid w:val="00CD5B43"/>
    <w:rsid w:val="00CD5C99"/>
    <w:rsid w:val="00CD5E78"/>
    <w:rsid w:val="00CD5E9D"/>
    <w:rsid w:val="00CD5EBF"/>
    <w:rsid w:val="00CD5EF0"/>
    <w:rsid w:val="00CD602C"/>
    <w:rsid w:val="00CD6093"/>
    <w:rsid w:val="00CD6115"/>
    <w:rsid w:val="00CD624E"/>
    <w:rsid w:val="00CD6255"/>
    <w:rsid w:val="00CD6275"/>
    <w:rsid w:val="00CD637B"/>
    <w:rsid w:val="00CD63C6"/>
    <w:rsid w:val="00CD6447"/>
    <w:rsid w:val="00CD648E"/>
    <w:rsid w:val="00CD65F0"/>
    <w:rsid w:val="00CD6693"/>
    <w:rsid w:val="00CD67A5"/>
    <w:rsid w:val="00CD685E"/>
    <w:rsid w:val="00CD6973"/>
    <w:rsid w:val="00CD6C28"/>
    <w:rsid w:val="00CD6C7D"/>
    <w:rsid w:val="00CD6CAF"/>
    <w:rsid w:val="00CD7093"/>
    <w:rsid w:val="00CD7134"/>
    <w:rsid w:val="00CD720C"/>
    <w:rsid w:val="00CD724F"/>
    <w:rsid w:val="00CD7319"/>
    <w:rsid w:val="00CD7326"/>
    <w:rsid w:val="00CD7470"/>
    <w:rsid w:val="00CD74BF"/>
    <w:rsid w:val="00CD759E"/>
    <w:rsid w:val="00CD7797"/>
    <w:rsid w:val="00CD783D"/>
    <w:rsid w:val="00CD7892"/>
    <w:rsid w:val="00CD7924"/>
    <w:rsid w:val="00CD793C"/>
    <w:rsid w:val="00CD795C"/>
    <w:rsid w:val="00CD7985"/>
    <w:rsid w:val="00CD7B97"/>
    <w:rsid w:val="00CDA17A"/>
    <w:rsid w:val="00CDA628"/>
    <w:rsid w:val="00CDC98F"/>
    <w:rsid w:val="00CE0043"/>
    <w:rsid w:val="00CE01C9"/>
    <w:rsid w:val="00CE020B"/>
    <w:rsid w:val="00CE021D"/>
    <w:rsid w:val="00CE030F"/>
    <w:rsid w:val="00CE0367"/>
    <w:rsid w:val="00CE0369"/>
    <w:rsid w:val="00CE0576"/>
    <w:rsid w:val="00CE05C0"/>
    <w:rsid w:val="00CE0BE0"/>
    <w:rsid w:val="00CE0D26"/>
    <w:rsid w:val="00CE0D61"/>
    <w:rsid w:val="00CE1094"/>
    <w:rsid w:val="00CE10B4"/>
    <w:rsid w:val="00CE1152"/>
    <w:rsid w:val="00CE1269"/>
    <w:rsid w:val="00CE1302"/>
    <w:rsid w:val="00CE13B3"/>
    <w:rsid w:val="00CE13ED"/>
    <w:rsid w:val="00CE146B"/>
    <w:rsid w:val="00CE1508"/>
    <w:rsid w:val="00CE150F"/>
    <w:rsid w:val="00CE1708"/>
    <w:rsid w:val="00CE1913"/>
    <w:rsid w:val="00CE1942"/>
    <w:rsid w:val="00CE1A17"/>
    <w:rsid w:val="00CE1D37"/>
    <w:rsid w:val="00CE1DB1"/>
    <w:rsid w:val="00CE1F3A"/>
    <w:rsid w:val="00CE1F67"/>
    <w:rsid w:val="00CE1F6A"/>
    <w:rsid w:val="00CE210A"/>
    <w:rsid w:val="00CE2158"/>
    <w:rsid w:val="00CE2198"/>
    <w:rsid w:val="00CE2360"/>
    <w:rsid w:val="00CE23B9"/>
    <w:rsid w:val="00CE2453"/>
    <w:rsid w:val="00CE256A"/>
    <w:rsid w:val="00CE26C1"/>
    <w:rsid w:val="00CE276D"/>
    <w:rsid w:val="00CE278F"/>
    <w:rsid w:val="00CE27CB"/>
    <w:rsid w:val="00CE289A"/>
    <w:rsid w:val="00CE295C"/>
    <w:rsid w:val="00CE2A95"/>
    <w:rsid w:val="00CE2B2D"/>
    <w:rsid w:val="00CE2B53"/>
    <w:rsid w:val="00CE2B86"/>
    <w:rsid w:val="00CE2D06"/>
    <w:rsid w:val="00CE3016"/>
    <w:rsid w:val="00CE3057"/>
    <w:rsid w:val="00CE30B1"/>
    <w:rsid w:val="00CE346B"/>
    <w:rsid w:val="00CE3581"/>
    <w:rsid w:val="00CE3679"/>
    <w:rsid w:val="00CE367D"/>
    <w:rsid w:val="00CE36D2"/>
    <w:rsid w:val="00CE3802"/>
    <w:rsid w:val="00CE3AAE"/>
    <w:rsid w:val="00CE3BDF"/>
    <w:rsid w:val="00CE3C1D"/>
    <w:rsid w:val="00CE3C8E"/>
    <w:rsid w:val="00CE3DBB"/>
    <w:rsid w:val="00CE3F4A"/>
    <w:rsid w:val="00CE3F57"/>
    <w:rsid w:val="00CE3FEF"/>
    <w:rsid w:val="00CE4086"/>
    <w:rsid w:val="00CE42A9"/>
    <w:rsid w:val="00CE4457"/>
    <w:rsid w:val="00CE472D"/>
    <w:rsid w:val="00CE477F"/>
    <w:rsid w:val="00CE4AA5"/>
    <w:rsid w:val="00CE4B6C"/>
    <w:rsid w:val="00CE4DA5"/>
    <w:rsid w:val="00CE4E4E"/>
    <w:rsid w:val="00CE4EAD"/>
    <w:rsid w:val="00CE502C"/>
    <w:rsid w:val="00CE504D"/>
    <w:rsid w:val="00CE50B1"/>
    <w:rsid w:val="00CE511B"/>
    <w:rsid w:val="00CE5338"/>
    <w:rsid w:val="00CE540E"/>
    <w:rsid w:val="00CE5445"/>
    <w:rsid w:val="00CE56FE"/>
    <w:rsid w:val="00CE588A"/>
    <w:rsid w:val="00CE58BA"/>
    <w:rsid w:val="00CE5904"/>
    <w:rsid w:val="00CE59FC"/>
    <w:rsid w:val="00CE5AFE"/>
    <w:rsid w:val="00CE6029"/>
    <w:rsid w:val="00CE602C"/>
    <w:rsid w:val="00CE61F0"/>
    <w:rsid w:val="00CE62BE"/>
    <w:rsid w:val="00CE62D0"/>
    <w:rsid w:val="00CE63FE"/>
    <w:rsid w:val="00CE66E0"/>
    <w:rsid w:val="00CE66F5"/>
    <w:rsid w:val="00CE672C"/>
    <w:rsid w:val="00CE67AA"/>
    <w:rsid w:val="00CE6A85"/>
    <w:rsid w:val="00CE6B61"/>
    <w:rsid w:val="00CE6DA3"/>
    <w:rsid w:val="00CE6F8E"/>
    <w:rsid w:val="00CE6FB7"/>
    <w:rsid w:val="00CE713E"/>
    <w:rsid w:val="00CE73D0"/>
    <w:rsid w:val="00CE7502"/>
    <w:rsid w:val="00CE7647"/>
    <w:rsid w:val="00CE781E"/>
    <w:rsid w:val="00CE7906"/>
    <w:rsid w:val="00CE79AA"/>
    <w:rsid w:val="00CE7A73"/>
    <w:rsid w:val="00CE7BBA"/>
    <w:rsid w:val="00CE7C51"/>
    <w:rsid w:val="00CE7C5F"/>
    <w:rsid w:val="00CE7FF1"/>
    <w:rsid w:val="00CEE2D5"/>
    <w:rsid w:val="00CF00E4"/>
    <w:rsid w:val="00CF0162"/>
    <w:rsid w:val="00CF019A"/>
    <w:rsid w:val="00CF0280"/>
    <w:rsid w:val="00CF04E2"/>
    <w:rsid w:val="00CF05D5"/>
    <w:rsid w:val="00CF0706"/>
    <w:rsid w:val="00CF092C"/>
    <w:rsid w:val="00CF09CB"/>
    <w:rsid w:val="00CF0A8F"/>
    <w:rsid w:val="00CF0A9A"/>
    <w:rsid w:val="00CF0CD5"/>
    <w:rsid w:val="00CF0DFB"/>
    <w:rsid w:val="00CF0F6D"/>
    <w:rsid w:val="00CF1076"/>
    <w:rsid w:val="00CF1123"/>
    <w:rsid w:val="00CF1155"/>
    <w:rsid w:val="00CF1173"/>
    <w:rsid w:val="00CF1205"/>
    <w:rsid w:val="00CF1500"/>
    <w:rsid w:val="00CF1528"/>
    <w:rsid w:val="00CF1945"/>
    <w:rsid w:val="00CF1A63"/>
    <w:rsid w:val="00CF1AE6"/>
    <w:rsid w:val="00CF1AFE"/>
    <w:rsid w:val="00CF1B87"/>
    <w:rsid w:val="00CF1CC8"/>
    <w:rsid w:val="00CF1D8E"/>
    <w:rsid w:val="00CF1E21"/>
    <w:rsid w:val="00CF1F48"/>
    <w:rsid w:val="00CF1F52"/>
    <w:rsid w:val="00CF1F70"/>
    <w:rsid w:val="00CF201B"/>
    <w:rsid w:val="00CF262B"/>
    <w:rsid w:val="00CF2678"/>
    <w:rsid w:val="00CF2892"/>
    <w:rsid w:val="00CF2AF4"/>
    <w:rsid w:val="00CF2BC4"/>
    <w:rsid w:val="00CF2C18"/>
    <w:rsid w:val="00CF2C1A"/>
    <w:rsid w:val="00CF2DCA"/>
    <w:rsid w:val="00CF2E59"/>
    <w:rsid w:val="00CF2E6D"/>
    <w:rsid w:val="00CF2ED6"/>
    <w:rsid w:val="00CF2F89"/>
    <w:rsid w:val="00CF2FD3"/>
    <w:rsid w:val="00CF3083"/>
    <w:rsid w:val="00CF30AB"/>
    <w:rsid w:val="00CF31E6"/>
    <w:rsid w:val="00CF32CC"/>
    <w:rsid w:val="00CF32DD"/>
    <w:rsid w:val="00CF3363"/>
    <w:rsid w:val="00CF345C"/>
    <w:rsid w:val="00CF36D8"/>
    <w:rsid w:val="00CF36E7"/>
    <w:rsid w:val="00CF374B"/>
    <w:rsid w:val="00CF37A5"/>
    <w:rsid w:val="00CF37AA"/>
    <w:rsid w:val="00CF3998"/>
    <w:rsid w:val="00CF3A2B"/>
    <w:rsid w:val="00CF3A34"/>
    <w:rsid w:val="00CF3C9B"/>
    <w:rsid w:val="00CF3E97"/>
    <w:rsid w:val="00CF3EC2"/>
    <w:rsid w:val="00CF4020"/>
    <w:rsid w:val="00CF40B8"/>
    <w:rsid w:val="00CF41E6"/>
    <w:rsid w:val="00CF423E"/>
    <w:rsid w:val="00CF4267"/>
    <w:rsid w:val="00CF42A4"/>
    <w:rsid w:val="00CF45A8"/>
    <w:rsid w:val="00CF4658"/>
    <w:rsid w:val="00CF4728"/>
    <w:rsid w:val="00CF4765"/>
    <w:rsid w:val="00CF48D5"/>
    <w:rsid w:val="00CF48F6"/>
    <w:rsid w:val="00CF4917"/>
    <w:rsid w:val="00CF492D"/>
    <w:rsid w:val="00CF4AF1"/>
    <w:rsid w:val="00CF51BE"/>
    <w:rsid w:val="00CF51FB"/>
    <w:rsid w:val="00CF526F"/>
    <w:rsid w:val="00CF52FF"/>
    <w:rsid w:val="00CF533B"/>
    <w:rsid w:val="00CF58E3"/>
    <w:rsid w:val="00CF5B6D"/>
    <w:rsid w:val="00CF5D7E"/>
    <w:rsid w:val="00CF5DB8"/>
    <w:rsid w:val="00CF5E03"/>
    <w:rsid w:val="00CF5E9B"/>
    <w:rsid w:val="00CF5F4B"/>
    <w:rsid w:val="00CF5FF5"/>
    <w:rsid w:val="00CF601E"/>
    <w:rsid w:val="00CF604A"/>
    <w:rsid w:val="00CF60B4"/>
    <w:rsid w:val="00CF61C4"/>
    <w:rsid w:val="00CF61E3"/>
    <w:rsid w:val="00CF63C8"/>
    <w:rsid w:val="00CF6489"/>
    <w:rsid w:val="00CF64A7"/>
    <w:rsid w:val="00CF65FB"/>
    <w:rsid w:val="00CF6661"/>
    <w:rsid w:val="00CF67A3"/>
    <w:rsid w:val="00CF686A"/>
    <w:rsid w:val="00CF6890"/>
    <w:rsid w:val="00CF6BF5"/>
    <w:rsid w:val="00CF6CCD"/>
    <w:rsid w:val="00CF6CED"/>
    <w:rsid w:val="00CF6F57"/>
    <w:rsid w:val="00CF6F83"/>
    <w:rsid w:val="00CF6F9C"/>
    <w:rsid w:val="00CF6FAB"/>
    <w:rsid w:val="00CF70F6"/>
    <w:rsid w:val="00CF716E"/>
    <w:rsid w:val="00CF73A1"/>
    <w:rsid w:val="00CF7486"/>
    <w:rsid w:val="00CF7576"/>
    <w:rsid w:val="00CF7604"/>
    <w:rsid w:val="00CF778B"/>
    <w:rsid w:val="00CF7842"/>
    <w:rsid w:val="00CF7877"/>
    <w:rsid w:val="00CF78BF"/>
    <w:rsid w:val="00CF79A0"/>
    <w:rsid w:val="00CF79B7"/>
    <w:rsid w:val="00CF7A5B"/>
    <w:rsid w:val="00CF7BF6"/>
    <w:rsid w:val="00CF7C92"/>
    <w:rsid w:val="00CF7D95"/>
    <w:rsid w:val="00CF7E10"/>
    <w:rsid w:val="00CF7FC0"/>
    <w:rsid w:val="00CF7FF2"/>
    <w:rsid w:val="00CFB79A"/>
    <w:rsid w:val="00D00035"/>
    <w:rsid w:val="00D00047"/>
    <w:rsid w:val="00D003F6"/>
    <w:rsid w:val="00D004E7"/>
    <w:rsid w:val="00D00796"/>
    <w:rsid w:val="00D007D8"/>
    <w:rsid w:val="00D00830"/>
    <w:rsid w:val="00D00905"/>
    <w:rsid w:val="00D00ACA"/>
    <w:rsid w:val="00D00B36"/>
    <w:rsid w:val="00D00C4C"/>
    <w:rsid w:val="00D00CD8"/>
    <w:rsid w:val="00D00D1B"/>
    <w:rsid w:val="00D00D75"/>
    <w:rsid w:val="00D00E5D"/>
    <w:rsid w:val="00D00F5E"/>
    <w:rsid w:val="00D00FBE"/>
    <w:rsid w:val="00D00FD7"/>
    <w:rsid w:val="00D00FF2"/>
    <w:rsid w:val="00D01009"/>
    <w:rsid w:val="00D0101B"/>
    <w:rsid w:val="00D010AA"/>
    <w:rsid w:val="00D0118C"/>
    <w:rsid w:val="00D011DC"/>
    <w:rsid w:val="00D011EE"/>
    <w:rsid w:val="00D01217"/>
    <w:rsid w:val="00D0124F"/>
    <w:rsid w:val="00D013C2"/>
    <w:rsid w:val="00D0166F"/>
    <w:rsid w:val="00D0168F"/>
    <w:rsid w:val="00D01771"/>
    <w:rsid w:val="00D017FC"/>
    <w:rsid w:val="00D01AB6"/>
    <w:rsid w:val="00D01AD4"/>
    <w:rsid w:val="00D01C5F"/>
    <w:rsid w:val="00D01DDD"/>
    <w:rsid w:val="00D01E6E"/>
    <w:rsid w:val="00D01EDF"/>
    <w:rsid w:val="00D021BA"/>
    <w:rsid w:val="00D022A1"/>
    <w:rsid w:val="00D0244D"/>
    <w:rsid w:val="00D024C9"/>
    <w:rsid w:val="00D024EF"/>
    <w:rsid w:val="00D0260E"/>
    <w:rsid w:val="00D02706"/>
    <w:rsid w:val="00D027E6"/>
    <w:rsid w:val="00D02812"/>
    <w:rsid w:val="00D0289B"/>
    <w:rsid w:val="00D028AF"/>
    <w:rsid w:val="00D02A9E"/>
    <w:rsid w:val="00D02D10"/>
    <w:rsid w:val="00D02D6A"/>
    <w:rsid w:val="00D02DBC"/>
    <w:rsid w:val="00D02E06"/>
    <w:rsid w:val="00D02E7E"/>
    <w:rsid w:val="00D02EAD"/>
    <w:rsid w:val="00D03080"/>
    <w:rsid w:val="00D031B2"/>
    <w:rsid w:val="00D03289"/>
    <w:rsid w:val="00D032D7"/>
    <w:rsid w:val="00D03468"/>
    <w:rsid w:val="00D03625"/>
    <w:rsid w:val="00D0371E"/>
    <w:rsid w:val="00D03757"/>
    <w:rsid w:val="00D0375C"/>
    <w:rsid w:val="00D037DF"/>
    <w:rsid w:val="00D037FB"/>
    <w:rsid w:val="00D03853"/>
    <w:rsid w:val="00D038CA"/>
    <w:rsid w:val="00D0391F"/>
    <w:rsid w:val="00D03977"/>
    <w:rsid w:val="00D03B62"/>
    <w:rsid w:val="00D03C21"/>
    <w:rsid w:val="00D03D64"/>
    <w:rsid w:val="00D03EC2"/>
    <w:rsid w:val="00D03F13"/>
    <w:rsid w:val="00D03FBC"/>
    <w:rsid w:val="00D0420C"/>
    <w:rsid w:val="00D04392"/>
    <w:rsid w:val="00D043FC"/>
    <w:rsid w:val="00D04400"/>
    <w:rsid w:val="00D04456"/>
    <w:rsid w:val="00D045A4"/>
    <w:rsid w:val="00D045BA"/>
    <w:rsid w:val="00D0492C"/>
    <w:rsid w:val="00D0496B"/>
    <w:rsid w:val="00D04A76"/>
    <w:rsid w:val="00D04AA3"/>
    <w:rsid w:val="00D04C9B"/>
    <w:rsid w:val="00D04DF1"/>
    <w:rsid w:val="00D04E38"/>
    <w:rsid w:val="00D04E86"/>
    <w:rsid w:val="00D04F0C"/>
    <w:rsid w:val="00D04F0F"/>
    <w:rsid w:val="00D04FA4"/>
    <w:rsid w:val="00D05013"/>
    <w:rsid w:val="00D05057"/>
    <w:rsid w:val="00D050DC"/>
    <w:rsid w:val="00D0525A"/>
    <w:rsid w:val="00D052F9"/>
    <w:rsid w:val="00D053E1"/>
    <w:rsid w:val="00D05453"/>
    <w:rsid w:val="00D05463"/>
    <w:rsid w:val="00D055A5"/>
    <w:rsid w:val="00D056A3"/>
    <w:rsid w:val="00D057C5"/>
    <w:rsid w:val="00D05904"/>
    <w:rsid w:val="00D05969"/>
    <w:rsid w:val="00D059C8"/>
    <w:rsid w:val="00D05A15"/>
    <w:rsid w:val="00D05BA4"/>
    <w:rsid w:val="00D05BBC"/>
    <w:rsid w:val="00D05C55"/>
    <w:rsid w:val="00D05C59"/>
    <w:rsid w:val="00D05D07"/>
    <w:rsid w:val="00D05D52"/>
    <w:rsid w:val="00D05DE4"/>
    <w:rsid w:val="00D05EED"/>
    <w:rsid w:val="00D05F8F"/>
    <w:rsid w:val="00D06079"/>
    <w:rsid w:val="00D062C2"/>
    <w:rsid w:val="00D062D1"/>
    <w:rsid w:val="00D063F7"/>
    <w:rsid w:val="00D064F1"/>
    <w:rsid w:val="00D06578"/>
    <w:rsid w:val="00D06720"/>
    <w:rsid w:val="00D06867"/>
    <w:rsid w:val="00D06A10"/>
    <w:rsid w:val="00D06A52"/>
    <w:rsid w:val="00D06B61"/>
    <w:rsid w:val="00D06B76"/>
    <w:rsid w:val="00D06C41"/>
    <w:rsid w:val="00D06C72"/>
    <w:rsid w:val="00D06C81"/>
    <w:rsid w:val="00D06DF5"/>
    <w:rsid w:val="00D06E6E"/>
    <w:rsid w:val="00D06ED5"/>
    <w:rsid w:val="00D06F25"/>
    <w:rsid w:val="00D0707F"/>
    <w:rsid w:val="00D07093"/>
    <w:rsid w:val="00D070B3"/>
    <w:rsid w:val="00D071D9"/>
    <w:rsid w:val="00D072DF"/>
    <w:rsid w:val="00D07347"/>
    <w:rsid w:val="00D07409"/>
    <w:rsid w:val="00D0747D"/>
    <w:rsid w:val="00D07523"/>
    <w:rsid w:val="00D075BC"/>
    <w:rsid w:val="00D0760A"/>
    <w:rsid w:val="00D07634"/>
    <w:rsid w:val="00D07696"/>
    <w:rsid w:val="00D076E9"/>
    <w:rsid w:val="00D0778A"/>
    <w:rsid w:val="00D07834"/>
    <w:rsid w:val="00D07882"/>
    <w:rsid w:val="00D078BE"/>
    <w:rsid w:val="00D07AB2"/>
    <w:rsid w:val="00D07C8D"/>
    <w:rsid w:val="00D07F4F"/>
    <w:rsid w:val="00D096BE"/>
    <w:rsid w:val="00D100AD"/>
    <w:rsid w:val="00D10191"/>
    <w:rsid w:val="00D101B7"/>
    <w:rsid w:val="00D101E5"/>
    <w:rsid w:val="00D102BF"/>
    <w:rsid w:val="00D1051D"/>
    <w:rsid w:val="00D1067C"/>
    <w:rsid w:val="00D106ED"/>
    <w:rsid w:val="00D1079F"/>
    <w:rsid w:val="00D107CB"/>
    <w:rsid w:val="00D107F6"/>
    <w:rsid w:val="00D108A2"/>
    <w:rsid w:val="00D108F0"/>
    <w:rsid w:val="00D10961"/>
    <w:rsid w:val="00D1096F"/>
    <w:rsid w:val="00D10A6E"/>
    <w:rsid w:val="00D10D47"/>
    <w:rsid w:val="00D10EA1"/>
    <w:rsid w:val="00D10EFB"/>
    <w:rsid w:val="00D10F2B"/>
    <w:rsid w:val="00D10F63"/>
    <w:rsid w:val="00D11161"/>
    <w:rsid w:val="00D1122B"/>
    <w:rsid w:val="00D11257"/>
    <w:rsid w:val="00D1125A"/>
    <w:rsid w:val="00D11341"/>
    <w:rsid w:val="00D11455"/>
    <w:rsid w:val="00D115E6"/>
    <w:rsid w:val="00D116C7"/>
    <w:rsid w:val="00D11874"/>
    <w:rsid w:val="00D1198E"/>
    <w:rsid w:val="00D11A1B"/>
    <w:rsid w:val="00D11C70"/>
    <w:rsid w:val="00D11C9E"/>
    <w:rsid w:val="00D12066"/>
    <w:rsid w:val="00D12205"/>
    <w:rsid w:val="00D12208"/>
    <w:rsid w:val="00D12231"/>
    <w:rsid w:val="00D12321"/>
    <w:rsid w:val="00D1245C"/>
    <w:rsid w:val="00D12581"/>
    <w:rsid w:val="00D126A6"/>
    <w:rsid w:val="00D126FA"/>
    <w:rsid w:val="00D1286E"/>
    <w:rsid w:val="00D128D8"/>
    <w:rsid w:val="00D129F6"/>
    <w:rsid w:val="00D12B8A"/>
    <w:rsid w:val="00D12E6A"/>
    <w:rsid w:val="00D12EBE"/>
    <w:rsid w:val="00D12EE9"/>
    <w:rsid w:val="00D12F14"/>
    <w:rsid w:val="00D12F97"/>
    <w:rsid w:val="00D1300A"/>
    <w:rsid w:val="00D13021"/>
    <w:rsid w:val="00D13108"/>
    <w:rsid w:val="00D13444"/>
    <w:rsid w:val="00D134AB"/>
    <w:rsid w:val="00D1352C"/>
    <w:rsid w:val="00D13580"/>
    <w:rsid w:val="00D13697"/>
    <w:rsid w:val="00D136EF"/>
    <w:rsid w:val="00D137A6"/>
    <w:rsid w:val="00D13889"/>
    <w:rsid w:val="00D1395E"/>
    <w:rsid w:val="00D139A3"/>
    <w:rsid w:val="00D13A1E"/>
    <w:rsid w:val="00D13B21"/>
    <w:rsid w:val="00D13B2F"/>
    <w:rsid w:val="00D13B47"/>
    <w:rsid w:val="00D13E02"/>
    <w:rsid w:val="00D140E9"/>
    <w:rsid w:val="00D1410A"/>
    <w:rsid w:val="00D14145"/>
    <w:rsid w:val="00D14345"/>
    <w:rsid w:val="00D14442"/>
    <w:rsid w:val="00D14460"/>
    <w:rsid w:val="00D144A0"/>
    <w:rsid w:val="00D144B8"/>
    <w:rsid w:val="00D1458C"/>
    <w:rsid w:val="00D1461E"/>
    <w:rsid w:val="00D14694"/>
    <w:rsid w:val="00D14718"/>
    <w:rsid w:val="00D147E7"/>
    <w:rsid w:val="00D148E7"/>
    <w:rsid w:val="00D14D3B"/>
    <w:rsid w:val="00D14E64"/>
    <w:rsid w:val="00D14E6C"/>
    <w:rsid w:val="00D14F0A"/>
    <w:rsid w:val="00D150EA"/>
    <w:rsid w:val="00D15113"/>
    <w:rsid w:val="00D15455"/>
    <w:rsid w:val="00D1558B"/>
    <w:rsid w:val="00D1565B"/>
    <w:rsid w:val="00D1566C"/>
    <w:rsid w:val="00D15817"/>
    <w:rsid w:val="00D158D0"/>
    <w:rsid w:val="00D159B5"/>
    <w:rsid w:val="00D15AF8"/>
    <w:rsid w:val="00D15B2A"/>
    <w:rsid w:val="00D15C5B"/>
    <w:rsid w:val="00D15D10"/>
    <w:rsid w:val="00D15D23"/>
    <w:rsid w:val="00D15DA8"/>
    <w:rsid w:val="00D15F10"/>
    <w:rsid w:val="00D15F28"/>
    <w:rsid w:val="00D16028"/>
    <w:rsid w:val="00D16085"/>
    <w:rsid w:val="00D160DE"/>
    <w:rsid w:val="00D16192"/>
    <w:rsid w:val="00D16206"/>
    <w:rsid w:val="00D1655F"/>
    <w:rsid w:val="00D16697"/>
    <w:rsid w:val="00D16730"/>
    <w:rsid w:val="00D167AD"/>
    <w:rsid w:val="00D1684E"/>
    <w:rsid w:val="00D1688D"/>
    <w:rsid w:val="00D1694C"/>
    <w:rsid w:val="00D16A5B"/>
    <w:rsid w:val="00D16B4A"/>
    <w:rsid w:val="00D16E4A"/>
    <w:rsid w:val="00D16EED"/>
    <w:rsid w:val="00D17040"/>
    <w:rsid w:val="00D171AE"/>
    <w:rsid w:val="00D171C7"/>
    <w:rsid w:val="00D171E5"/>
    <w:rsid w:val="00D171FE"/>
    <w:rsid w:val="00D1724B"/>
    <w:rsid w:val="00D1729D"/>
    <w:rsid w:val="00D173EA"/>
    <w:rsid w:val="00D17678"/>
    <w:rsid w:val="00D177D6"/>
    <w:rsid w:val="00D1782E"/>
    <w:rsid w:val="00D17971"/>
    <w:rsid w:val="00D179E3"/>
    <w:rsid w:val="00D17A75"/>
    <w:rsid w:val="00D17CED"/>
    <w:rsid w:val="00D17D32"/>
    <w:rsid w:val="00D17D84"/>
    <w:rsid w:val="00D17F41"/>
    <w:rsid w:val="00D200A3"/>
    <w:rsid w:val="00D20156"/>
    <w:rsid w:val="00D2025A"/>
    <w:rsid w:val="00D202C5"/>
    <w:rsid w:val="00D20344"/>
    <w:rsid w:val="00D20434"/>
    <w:rsid w:val="00D2057D"/>
    <w:rsid w:val="00D20A8F"/>
    <w:rsid w:val="00D20AAF"/>
    <w:rsid w:val="00D20CAA"/>
    <w:rsid w:val="00D20DAC"/>
    <w:rsid w:val="00D20DCB"/>
    <w:rsid w:val="00D20F62"/>
    <w:rsid w:val="00D20FD1"/>
    <w:rsid w:val="00D210D5"/>
    <w:rsid w:val="00D2113E"/>
    <w:rsid w:val="00D2118D"/>
    <w:rsid w:val="00D211EF"/>
    <w:rsid w:val="00D212EF"/>
    <w:rsid w:val="00D215DF"/>
    <w:rsid w:val="00D215FF"/>
    <w:rsid w:val="00D216ED"/>
    <w:rsid w:val="00D21763"/>
    <w:rsid w:val="00D217A9"/>
    <w:rsid w:val="00D219B4"/>
    <w:rsid w:val="00D21AB8"/>
    <w:rsid w:val="00D21C6D"/>
    <w:rsid w:val="00D21C84"/>
    <w:rsid w:val="00D21D0E"/>
    <w:rsid w:val="00D21E5C"/>
    <w:rsid w:val="00D21ED2"/>
    <w:rsid w:val="00D21F0B"/>
    <w:rsid w:val="00D21F36"/>
    <w:rsid w:val="00D22321"/>
    <w:rsid w:val="00D22323"/>
    <w:rsid w:val="00D2242D"/>
    <w:rsid w:val="00D2243F"/>
    <w:rsid w:val="00D2244D"/>
    <w:rsid w:val="00D2246D"/>
    <w:rsid w:val="00D2248D"/>
    <w:rsid w:val="00D2256C"/>
    <w:rsid w:val="00D225EE"/>
    <w:rsid w:val="00D22624"/>
    <w:rsid w:val="00D22676"/>
    <w:rsid w:val="00D226AE"/>
    <w:rsid w:val="00D226E8"/>
    <w:rsid w:val="00D22935"/>
    <w:rsid w:val="00D229D5"/>
    <w:rsid w:val="00D22B76"/>
    <w:rsid w:val="00D22C51"/>
    <w:rsid w:val="00D22D20"/>
    <w:rsid w:val="00D22E9D"/>
    <w:rsid w:val="00D232E5"/>
    <w:rsid w:val="00D236F4"/>
    <w:rsid w:val="00D23714"/>
    <w:rsid w:val="00D23951"/>
    <w:rsid w:val="00D23A52"/>
    <w:rsid w:val="00D23AF3"/>
    <w:rsid w:val="00D23B2D"/>
    <w:rsid w:val="00D23DEE"/>
    <w:rsid w:val="00D23E18"/>
    <w:rsid w:val="00D23EE4"/>
    <w:rsid w:val="00D23F29"/>
    <w:rsid w:val="00D23FD5"/>
    <w:rsid w:val="00D240CC"/>
    <w:rsid w:val="00D242F4"/>
    <w:rsid w:val="00D246CA"/>
    <w:rsid w:val="00D246EB"/>
    <w:rsid w:val="00D246ED"/>
    <w:rsid w:val="00D2486B"/>
    <w:rsid w:val="00D2487B"/>
    <w:rsid w:val="00D24965"/>
    <w:rsid w:val="00D24D53"/>
    <w:rsid w:val="00D24D92"/>
    <w:rsid w:val="00D24E8D"/>
    <w:rsid w:val="00D24FD2"/>
    <w:rsid w:val="00D2519B"/>
    <w:rsid w:val="00D25417"/>
    <w:rsid w:val="00D2575B"/>
    <w:rsid w:val="00D258D0"/>
    <w:rsid w:val="00D2599C"/>
    <w:rsid w:val="00D25AA6"/>
    <w:rsid w:val="00D25BDA"/>
    <w:rsid w:val="00D25C7B"/>
    <w:rsid w:val="00D25CC0"/>
    <w:rsid w:val="00D25D5C"/>
    <w:rsid w:val="00D25D9A"/>
    <w:rsid w:val="00D25DFC"/>
    <w:rsid w:val="00D25E51"/>
    <w:rsid w:val="00D25E7C"/>
    <w:rsid w:val="00D25F0A"/>
    <w:rsid w:val="00D25F3A"/>
    <w:rsid w:val="00D25F7E"/>
    <w:rsid w:val="00D25F94"/>
    <w:rsid w:val="00D25F99"/>
    <w:rsid w:val="00D25FE8"/>
    <w:rsid w:val="00D260D2"/>
    <w:rsid w:val="00D2636B"/>
    <w:rsid w:val="00D263C3"/>
    <w:rsid w:val="00D26417"/>
    <w:rsid w:val="00D2655C"/>
    <w:rsid w:val="00D2665D"/>
    <w:rsid w:val="00D26662"/>
    <w:rsid w:val="00D26705"/>
    <w:rsid w:val="00D2683F"/>
    <w:rsid w:val="00D269EA"/>
    <w:rsid w:val="00D26AC4"/>
    <w:rsid w:val="00D26C05"/>
    <w:rsid w:val="00D26D91"/>
    <w:rsid w:val="00D26E3B"/>
    <w:rsid w:val="00D26EF8"/>
    <w:rsid w:val="00D27047"/>
    <w:rsid w:val="00D2711B"/>
    <w:rsid w:val="00D2715B"/>
    <w:rsid w:val="00D27205"/>
    <w:rsid w:val="00D27281"/>
    <w:rsid w:val="00D27316"/>
    <w:rsid w:val="00D273D4"/>
    <w:rsid w:val="00D2758D"/>
    <w:rsid w:val="00D275D3"/>
    <w:rsid w:val="00D27603"/>
    <w:rsid w:val="00D276AC"/>
    <w:rsid w:val="00D27830"/>
    <w:rsid w:val="00D2783F"/>
    <w:rsid w:val="00D27A8C"/>
    <w:rsid w:val="00D27A95"/>
    <w:rsid w:val="00D27B7E"/>
    <w:rsid w:val="00D27D70"/>
    <w:rsid w:val="00D27D78"/>
    <w:rsid w:val="00D27E39"/>
    <w:rsid w:val="00D27F97"/>
    <w:rsid w:val="00D30036"/>
    <w:rsid w:val="00D3029E"/>
    <w:rsid w:val="00D302A5"/>
    <w:rsid w:val="00D303C1"/>
    <w:rsid w:val="00D304C2"/>
    <w:rsid w:val="00D30659"/>
    <w:rsid w:val="00D306E1"/>
    <w:rsid w:val="00D307A7"/>
    <w:rsid w:val="00D3084C"/>
    <w:rsid w:val="00D309B6"/>
    <w:rsid w:val="00D30AC5"/>
    <w:rsid w:val="00D30C1A"/>
    <w:rsid w:val="00D30C92"/>
    <w:rsid w:val="00D30D49"/>
    <w:rsid w:val="00D30DB1"/>
    <w:rsid w:val="00D30DC8"/>
    <w:rsid w:val="00D30DEB"/>
    <w:rsid w:val="00D31037"/>
    <w:rsid w:val="00D31051"/>
    <w:rsid w:val="00D31191"/>
    <w:rsid w:val="00D3133B"/>
    <w:rsid w:val="00D313B2"/>
    <w:rsid w:val="00D315B4"/>
    <w:rsid w:val="00D31653"/>
    <w:rsid w:val="00D3166A"/>
    <w:rsid w:val="00D31730"/>
    <w:rsid w:val="00D319A8"/>
    <w:rsid w:val="00D31B1C"/>
    <w:rsid w:val="00D31BB6"/>
    <w:rsid w:val="00D31C31"/>
    <w:rsid w:val="00D31F1B"/>
    <w:rsid w:val="00D31F50"/>
    <w:rsid w:val="00D31F59"/>
    <w:rsid w:val="00D3205F"/>
    <w:rsid w:val="00D3215D"/>
    <w:rsid w:val="00D322C5"/>
    <w:rsid w:val="00D322E2"/>
    <w:rsid w:val="00D326B6"/>
    <w:rsid w:val="00D32714"/>
    <w:rsid w:val="00D3272A"/>
    <w:rsid w:val="00D32797"/>
    <w:rsid w:val="00D3279C"/>
    <w:rsid w:val="00D3281A"/>
    <w:rsid w:val="00D32913"/>
    <w:rsid w:val="00D32919"/>
    <w:rsid w:val="00D329F6"/>
    <w:rsid w:val="00D32DF2"/>
    <w:rsid w:val="00D32E5A"/>
    <w:rsid w:val="00D32EC4"/>
    <w:rsid w:val="00D32EDF"/>
    <w:rsid w:val="00D32FFB"/>
    <w:rsid w:val="00D3315B"/>
    <w:rsid w:val="00D3320D"/>
    <w:rsid w:val="00D33287"/>
    <w:rsid w:val="00D3329D"/>
    <w:rsid w:val="00D333EA"/>
    <w:rsid w:val="00D3341C"/>
    <w:rsid w:val="00D3346F"/>
    <w:rsid w:val="00D335D1"/>
    <w:rsid w:val="00D33968"/>
    <w:rsid w:val="00D3397F"/>
    <w:rsid w:val="00D339CA"/>
    <w:rsid w:val="00D33C86"/>
    <w:rsid w:val="00D33D05"/>
    <w:rsid w:val="00D33DA6"/>
    <w:rsid w:val="00D33E40"/>
    <w:rsid w:val="00D33F5B"/>
    <w:rsid w:val="00D33FF3"/>
    <w:rsid w:val="00D34056"/>
    <w:rsid w:val="00D342A0"/>
    <w:rsid w:val="00D3439A"/>
    <w:rsid w:val="00D34435"/>
    <w:rsid w:val="00D34578"/>
    <w:rsid w:val="00D34611"/>
    <w:rsid w:val="00D3461A"/>
    <w:rsid w:val="00D34724"/>
    <w:rsid w:val="00D3479A"/>
    <w:rsid w:val="00D347F8"/>
    <w:rsid w:val="00D3489F"/>
    <w:rsid w:val="00D348E0"/>
    <w:rsid w:val="00D348FC"/>
    <w:rsid w:val="00D349A1"/>
    <w:rsid w:val="00D34A28"/>
    <w:rsid w:val="00D34B8F"/>
    <w:rsid w:val="00D34C48"/>
    <w:rsid w:val="00D34C55"/>
    <w:rsid w:val="00D34F3A"/>
    <w:rsid w:val="00D35000"/>
    <w:rsid w:val="00D3527D"/>
    <w:rsid w:val="00D3538C"/>
    <w:rsid w:val="00D35399"/>
    <w:rsid w:val="00D35415"/>
    <w:rsid w:val="00D35461"/>
    <w:rsid w:val="00D354E5"/>
    <w:rsid w:val="00D35682"/>
    <w:rsid w:val="00D356C1"/>
    <w:rsid w:val="00D3577F"/>
    <w:rsid w:val="00D359B8"/>
    <w:rsid w:val="00D35A70"/>
    <w:rsid w:val="00D35E57"/>
    <w:rsid w:val="00D35E5F"/>
    <w:rsid w:val="00D35E74"/>
    <w:rsid w:val="00D36027"/>
    <w:rsid w:val="00D360ED"/>
    <w:rsid w:val="00D36130"/>
    <w:rsid w:val="00D36180"/>
    <w:rsid w:val="00D361F8"/>
    <w:rsid w:val="00D363A7"/>
    <w:rsid w:val="00D363C1"/>
    <w:rsid w:val="00D3659B"/>
    <w:rsid w:val="00D365EC"/>
    <w:rsid w:val="00D36967"/>
    <w:rsid w:val="00D3699C"/>
    <w:rsid w:val="00D36AC6"/>
    <w:rsid w:val="00D36B0F"/>
    <w:rsid w:val="00D36B6C"/>
    <w:rsid w:val="00D36BE5"/>
    <w:rsid w:val="00D36C8A"/>
    <w:rsid w:val="00D370D6"/>
    <w:rsid w:val="00D37383"/>
    <w:rsid w:val="00D373CE"/>
    <w:rsid w:val="00D374C7"/>
    <w:rsid w:val="00D374D0"/>
    <w:rsid w:val="00D37503"/>
    <w:rsid w:val="00D3750F"/>
    <w:rsid w:val="00D37516"/>
    <w:rsid w:val="00D375E8"/>
    <w:rsid w:val="00D379A6"/>
    <w:rsid w:val="00D37ADD"/>
    <w:rsid w:val="00D37B05"/>
    <w:rsid w:val="00D37BD4"/>
    <w:rsid w:val="00D37CBA"/>
    <w:rsid w:val="00D37F75"/>
    <w:rsid w:val="00D3B8BB"/>
    <w:rsid w:val="00D401E3"/>
    <w:rsid w:val="00D402C2"/>
    <w:rsid w:val="00D40368"/>
    <w:rsid w:val="00D4056C"/>
    <w:rsid w:val="00D407D1"/>
    <w:rsid w:val="00D40969"/>
    <w:rsid w:val="00D40A07"/>
    <w:rsid w:val="00D40CD7"/>
    <w:rsid w:val="00D40E29"/>
    <w:rsid w:val="00D40EA1"/>
    <w:rsid w:val="00D40EF7"/>
    <w:rsid w:val="00D40FE2"/>
    <w:rsid w:val="00D4100B"/>
    <w:rsid w:val="00D410A1"/>
    <w:rsid w:val="00D410EF"/>
    <w:rsid w:val="00D41144"/>
    <w:rsid w:val="00D41336"/>
    <w:rsid w:val="00D41365"/>
    <w:rsid w:val="00D413EF"/>
    <w:rsid w:val="00D4168E"/>
    <w:rsid w:val="00D4178B"/>
    <w:rsid w:val="00D417FA"/>
    <w:rsid w:val="00D418D3"/>
    <w:rsid w:val="00D41904"/>
    <w:rsid w:val="00D41AFC"/>
    <w:rsid w:val="00D41C11"/>
    <w:rsid w:val="00D41DD0"/>
    <w:rsid w:val="00D41DD7"/>
    <w:rsid w:val="00D41F84"/>
    <w:rsid w:val="00D421EA"/>
    <w:rsid w:val="00D421EE"/>
    <w:rsid w:val="00D42216"/>
    <w:rsid w:val="00D42225"/>
    <w:rsid w:val="00D4222D"/>
    <w:rsid w:val="00D42237"/>
    <w:rsid w:val="00D422B4"/>
    <w:rsid w:val="00D422E3"/>
    <w:rsid w:val="00D42572"/>
    <w:rsid w:val="00D42714"/>
    <w:rsid w:val="00D42894"/>
    <w:rsid w:val="00D428EE"/>
    <w:rsid w:val="00D42953"/>
    <w:rsid w:val="00D42B24"/>
    <w:rsid w:val="00D42B45"/>
    <w:rsid w:val="00D42BAE"/>
    <w:rsid w:val="00D42CC4"/>
    <w:rsid w:val="00D42D38"/>
    <w:rsid w:val="00D42E83"/>
    <w:rsid w:val="00D42F4D"/>
    <w:rsid w:val="00D43312"/>
    <w:rsid w:val="00D433B1"/>
    <w:rsid w:val="00D435A7"/>
    <w:rsid w:val="00D435A9"/>
    <w:rsid w:val="00D435C6"/>
    <w:rsid w:val="00D43684"/>
    <w:rsid w:val="00D43698"/>
    <w:rsid w:val="00D43805"/>
    <w:rsid w:val="00D43842"/>
    <w:rsid w:val="00D439FC"/>
    <w:rsid w:val="00D439FD"/>
    <w:rsid w:val="00D43B39"/>
    <w:rsid w:val="00D43BD4"/>
    <w:rsid w:val="00D43BF4"/>
    <w:rsid w:val="00D43EE3"/>
    <w:rsid w:val="00D44028"/>
    <w:rsid w:val="00D44081"/>
    <w:rsid w:val="00D44082"/>
    <w:rsid w:val="00D440CD"/>
    <w:rsid w:val="00D4415B"/>
    <w:rsid w:val="00D441FC"/>
    <w:rsid w:val="00D442CB"/>
    <w:rsid w:val="00D44825"/>
    <w:rsid w:val="00D4483B"/>
    <w:rsid w:val="00D4487F"/>
    <w:rsid w:val="00D44A99"/>
    <w:rsid w:val="00D44B51"/>
    <w:rsid w:val="00D44BD9"/>
    <w:rsid w:val="00D44D09"/>
    <w:rsid w:val="00D44F2F"/>
    <w:rsid w:val="00D4504E"/>
    <w:rsid w:val="00D45084"/>
    <w:rsid w:val="00D45126"/>
    <w:rsid w:val="00D451AA"/>
    <w:rsid w:val="00D45430"/>
    <w:rsid w:val="00D454B9"/>
    <w:rsid w:val="00D45506"/>
    <w:rsid w:val="00D4560A"/>
    <w:rsid w:val="00D4566E"/>
    <w:rsid w:val="00D4593A"/>
    <w:rsid w:val="00D45ABC"/>
    <w:rsid w:val="00D45AFA"/>
    <w:rsid w:val="00D45B5A"/>
    <w:rsid w:val="00D45BF1"/>
    <w:rsid w:val="00D45CD5"/>
    <w:rsid w:val="00D45FD9"/>
    <w:rsid w:val="00D46077"/>
    <w:rsid w:val="00D46115"/>
    <w:rsid w:val="00D461A3"/>
    <w:rsid w:val="00D462D5"/>
    <w:rsid w:val="00D4643D"/>
    <w:rsid w:val="00D46493"/>
    <w:rsid w:val="00D464D8"/>
    <w:rsid w:val="00D4650B"/>
    <w:rsid w:val="00D46527"/>
    <w:rsid w:val="00D465B9"/>
    <w:rsid w:val="00D46608"/>
    <w:rsid w:val="00D46667"/>
    <w:rsid w:val="00D46888"/>
    <w:rsid w:val="00D468BC"/>
    <w:rsid w:val="00D468ED"/>
    <w:rsid w:val="00D46905"/>
    <w:rsid w:val="00D46930"/>
    <w:rsid w:val="00D46990"/>
    <w:rsid w:val="00D469E4"/>
    <w:rsid w:val="00D469EF"/>
    <w:rsid w:val="00D46A82"/>
    <w:rsid w:val="00D46EE4"/>
    <w:rsid w:val="00D46F08"/>
    <w:rsid w:val="00D46F5D"/>
    <w:rsid w:val="00D47177"/>
    <w:rsid w:val="00D471B6"/>
    <w:rsid w:val="00D474E2"/>
    <w:rsid w:val="00D474F0"/>
    <w:rsid w:val="00D47504"/>
    <w:rsid w:val="00D47505"/>
    <w:rsid w:val="00D47588"/>
    <w:rsid w:val="00D47652"/>
    <w:rsid w:val="00D47765"/>
    <w:rsid w:val="00D477FF"/>
    <w:rsid w:val="00D47AB0"/>
    <w:rsid w:val="00D47CFA"/>
    <w:rsid w:val="00D47D45"/>
    <w:rsid w:val="00D47DCA"/>
    <w:rsid w:val="00D47EC0"/>
    <w:rsid w:val="00D47FE8"/>
    <w:rsid w:val="00D47FF8"/>
    <w:rsid w:val="00D5016D"/>
    <w:rsid w:val="00D501CD"/>
    <w:rsid w:val="00D501D6"/>
    <w:rsid w:val="00D5026E"/>
    <w:rsid w:val="00D50299"/>
    <w:rsid w:val="00D50480"/>
    <w:rsid w:val="00D504D8"/>
    <w:rsid w:val="00D50547"/>
    <w:rsid w:val="00D50575"/>
    <w:rsid w:val="00D5067B"/>
    <w:rsid w:val="00D5076D"/>
    <w:rsid w:val="00D508B4"/>
    <w:rsid w:val="00D508BE"/>
    <w:rsid w:val="00D508F1"/>
    <w:rsid w:val="00D50973"/>
    <w:rsid w:val="00D50A89"/>
    <w:rsid w:val="00D50ACD"/>
    <w:rsid w:val="00D50B39"/>
    <w:rsid w:val="00D50BFC"/>
    <w:rsid w:val="00D50D86"/>
    <w:rsid w:val="00D50E69"/>
    <w:rsid w:val="00D50FC9"/>
    <w:rsid w:val="00D510E1"/>
    <w:rsid w:val="00D51170"/>
    <w:rsid w:val="00D511FB"/>
    <w:rsid w:val="00D51211"/>
    <w:rsid w:val="00D512AB"/>
    <w:rsid w:val="00D51340"/>
    <w:rsid w:val="00D5139A"/>
    <w:rsid w:val="00D51472"/>
    <w:rsid w:val="00D51701"/>
    <w:rsid w:val="00D51731"/>
    <w:rsid w:val="00D51989"/>
    <w:rsid w:val="00D51C18"/>
    <w:rsid w:val="00D51CED"/>
    <w:rsid w:val="00D51D4E"/>
    <w:rsid w:val="00D51DF1"/>
    <w:rsid w:val="00D51E65"/>
    <w:rsid w:val="00D51F9B"/>
    <w:rsid w:val="00D52033"/>
    <w:rsid w:val="00D52058"/>
    <w:rsid w:val="00D52187"/>
    <w:rsid w:val="00D52304"/>
    <w:rsid w:val="00D52803"/>
    <w:rsid w:val="00D52849"/>
    <w:rsid w:val="00D52854"/>
    <w:rsid w:val="00D52888"/>
    <w:rsid w:val="00D529DE"/>
    <w:rsid w:val="00D52A77"/>
    <w:rsid w:val="00D52B75"/>
    <w:rsid w:val="00D52C05"/>
    <w:rsid w:val="00D52CE8"/>
    <w:rsid w:val="00D52D09"/>
    <w:rsid w:val="00D52D46"/>
    <w:rsid w:val="00D52D70"/>
    <w:rsid w:val="00D52D79"/>
    <w:rsid w:val="00D52DC6"/>
    <w:rsid w:val="00D52E40"/>
    <w:rsid w:val="00D52F85"/>
    <w:rsid w:val="00D52F98"/>
    <w:rsid w:val="00D5303D"/>
    <w:rsid w:val="00D53074"/>
    <w:rsid w:val="00D53177"/>
    <w:rsid w:val="00D53214"/>
    <w:rsid w:val="00D533C8"/>
    <w:rsid w:val="00D53410"/>
    <w:rsid w:val="00D53603"/>
    <w:rsid w:val="00D5395D"/>
    <w:rsid w:val="00D5399A"/>
    <w:rsid w:val="00D53A03"/>
    <w:rsid w:val="00D53BDC"/>
    <w:rsid w:val="00D53C85"/>
    <w:rsid w:val="00D53D93"/>
    <w:rsid w:val="00D53E0A"/>
    <w:rsid w:val="00D5404F"/>
    <w:rsid w:val="00D5413E"/>
    <w:rsid w:val="00D5415C"/>
    <w:rsid w:val="00D542CF"/>
    <w:rsid w:val="00D543B5"/>
    <w:rsid w:val="00D543DA"/>
    <w:rsid w:val="00D54AF6"/>
    <w:rsid w:val="00D54B5E"/>
    <w:rsid w:val="00D54C55"/>
    <w:rsid w:val="00D54D49"/>
    <w:rsid w:val="00D54DDE"/>
    <w:rsid w:val="00D54E10"/>
    <w:rsid w:val="00D54ECA"/>
    <w:rsid w:val="00D5502C"/>
    <w:rsid w:val="00D55211"/>
    <w:rsid w:val="00D5521F"/>
    <w:rsid w:val="00D5530E"/>
    <w:rsid w:val="00D55384"/>
    <w:rsid w:val="00D55388"/>
    <w:rsid w:val="00D5547C"/>
    <w:rsid w:val="00D5558F"/>
    <w:rsid w:val="00D556AE"/>
    <w:rsid w:val="00D558A4"/>
    <w:rsid w:val="00D55966"/>
    <w:rsid w:val="00D55B09"/>
    <w:rsid w:val="00D55B10"/>
    <w:rsid w:val="00D55BA7"/>
    <w:rsid w:val="00D55D40"/>
    <w:rsid w:val="00D55DC7"/>
    <w:rsid w:val="00D55EC0"/>
    <w:rsid w:val="00D5603A"/>
    <w:rsid w:val="00D56147"/>
    <w:rsid w:val="00D561A4"/>
    <w:rsid w:val="00D563F9"/>
    <w:rsid w:val="00D564E0"/>
    <w:rsid w:val="00D564EA"/>
    <w:rsid w:val="00D5660F"/>
    <w:rsid w:val="00D566DF"/>
    <w:rsid w:val="00D56795"/>
    <w:rsid w:val="00D569A2"/>
    <w:rsid w:val="00D569B4"/>
    <w:rsid w:val="00D569F4"/>
    <w:rsid w:val="00D56B81"/>
    <w:rsid w:val="00D56C04"/>
    <w:rsid w:val="00D56C97"/>
    <w:rsid w:val="00D57191"/>
    <w:rsid w:val="00D5726B"/>
    <w:rsid w:val="00D5729E"/>
    <w:rsid w:val="00D574F3"/>
    <w:rsid w:val="00D57657"/>
    <w:rsid w:val="00D5772A"/>
    <w:rsid w:val="00D57B38"/>
    <w:rsid w:val="00D57DD7"/>
    <w:rsid w:val="00D57DE4"/>
    <w:rsid w:val="00D57E29"/>
    <w:rsid w:val="00D57F2F"/>
    <w:rsid w:val="00D59F6E"/>
    <w:rsid w:val="00D60018"/>
    <w:rsid w:val="00D60119"/>
    <w:rsid w:val="00D603DF"/>
    <w:rsid w:val="00D603F0"/>
    <w:rsid w:val="00D60438"/>
    <w:rsid w:val="00D6048D"/>
    <w:rsid w:val="00D604FE"/>
    <w:rsid w:val="00D60519"/>
    <w:rsid w:val="00D60624"/>
    <w:rsid w:val="00D606AD"/>
    <w:rsid w:val="00D609EC"/>
    <w:rsid w:val="00D60A3D"/>
    <w:rsid w:val="00D60E1E"/>
    <w:rsid w:val="00D60E27"/>
    <w:rsid w:val="00D60F92"/>
    <w:rsid w:val="00D60FCC"/>
    <w:rsid w:val="00D6115D"/>
    <w:rsid w:val="00D6118E"/>
    <w:rsid w:val="00D612BF"/>
    <w:rsid w:val="00D61342"/>
    <w:rsid w:val="00D61387"/>
    <w:rsid w:val="00D6139C"/>
    <w:rsid w:val="00D61407"/>
    <w:rsid w:val="00D614A0"/>
    <w:rsid w:val="00D6153E"/>
    <w:rsid w:val="00D616C4"/>
    <w:rsid w:val="00D616F6"/>
    <w:rsid w:val="00D617C3"/>
    <w:rsid w:val="00D6187E"/>
    <w:rsid w:val="00D61911"/>
    <w:rsid w:val="00D61A8B"/>
    <w:rsid w:val="00D61AD0"/>
    <w:rsid w:val="00D61AF1"/>
    <w:rsid w:val="00D61B40"/>
    <w:rsid w:val="00D61C36"/>
    <w:rsid w:val="00D61D6E"/>
    <w:rsid w:val="00D61D7E"/>
    <w:rsid w:val="00D61E7C"/>
    <w:rsid w:val="00D61EC5"/>
    <w:rsid w:val="00D61F21"/>
    <w:rsid w:val="00D61F4A"/>
    <w:rsid w:val="00D620E2"/>
    <w:rsid w:val="00D62182"/>
    <w:rsid w:val="00D62199"/>
    <w:rsid w:val="00D622E8"/>
    <w:rsid w:val="00D62409"/>
    <w:rsid w:val="00D6241A"/>
    <w:rsid w:val="00D626CD"/>
    <w:rsid w:val="00D62916"/>
    <w:rsid w:val="00D62AAE"/>
    <w:rsid w:val="00D62AF1"/>
    <w:rsid w:val="00D62BA2"/>
    <w:rsid w:val="00D62BD6"/>
    <w:rsid w:val="00D62DFF"/>
    <w:rsid w:val="00D62E05"/>
    <w:rsid w:val="00D62F24"/>
    <w:rsid w:val="00D63064"/>
    <w:rsid w:val="00D630AC"/>
    <w:rsid w:val="00D63264"/>
    <w:rsid w:val="00D632CE"/>
    <w:rsid w:val="00D6342C"/>
    <w:rsid w:val="00D63557"/>
    <w:rsid w:val="00D635E1"/>
    <w:rsid w:val="00D63697"/>
    <w:rsid w:val="00D63777"/>
    <w:rsid w:val="00D637B3"/>
    <w:rsid w:val="00D63831"/>
    <w:rsid w:val="00D6387E"/>
    <w:rsid w:val="00D638DB"/>
    <w:rsid w:val="00D639C2"/>
    <w:rsid w:val="00D63ABD"/>
    <w:rsid w:val="00D63AE5"/>
    <w:rsid w:val="00D63D6D"/>
    <w:rsid w:val="00D63D7F"/>
    <w:rsid w:val="00D64130"/>
    <w:rsid w:val="00D6417D"/>
    <w:rsid w:val="00D64269"/>
    <w:rsid w:val="00D6427F"/>
    <w:rsid w:val="00D6431A"/>
    <w:rsid w:val="00D6431C"/>
    <w:rsid w:val="00D645E9"/>
    <w:rsid w:val="00D64608"/>
    <w:rsid w:val="00D64722"/>
    <w:rsid w:val="00D648C1"/>
    <w:rsid w:val="00D649BA"/>
    <w:rsid w:val="00D64A1D"/>
    <w:rsid w:val="00D64A8E"/>
    <w:rsid w:val="00D64B45"/>
    <w:rsid w:val="00D64C4D"/>
    <w:rsid w:val="00D64CF5"/>
    <w:rsid w:val="00D64CFB"/>
    <w:rsid w:val="00D64DC0"/>
    <w:rsid w:val="00D64ED8"/>
    <w:rsid w:val="00D652F0"/>
    <w:rsid w:val="00D653BD"/>
    <w:rsid w:val="00D65434"/>
    <w:rsid w:val="00D6549F"/>
    <w:rsid w:val="00D654E2"/>
    <w:rsid w:val="00D654EF"/>
    <w:rsid w:val="00D656F9"/>
    <w:rsid w:val="00D657E8"/>
    <w:rsid w:val="00D658E8"/>
    <w:rsid w:val="00D6592F"/>
    <w:rsid w:val="00D65988"/>
    <w:rsid w:val="00D659C9"/>
    <w:rsid w:val="00D65A25"/>
    <w:rsid w:val="00D65B0B"/>
    <w:rsid w:val="00D65B2D"/>
    <w:rsid w:val="00D65C21"/>
    <w:rsid w:val="00D65CBA"/>
    <w:rsid w:val="00D65E12"/>
    <w:rsid w:val="00D65FF6"/>
    <w:rsid w:val="00D65FFE"/>
    <w:rsid w:val="00D6600A"/>
    <w:rsid w:val="00D661FA"/>
    <w:rsid w:val="00D661FB"/>
    <w:rsid w:val="00D66253"/>
    <w:rsid w:val="00D664D5"/>
    <w:rsid w:val="00D6685C"/>
    <w:rsid w:val="00D668A4"/>
    <w:rsid w:val="00D669C4"/>
    <w:rsid w:val="00D66A03"/>
    <w:rsid w:val="00D66B4E"/>
    <w:rsid w:val="00D66D2E"/>
    <w:rsid w:val="00D670C7"/>
    <w:rsid w:val="00D6713C"/>
    <w:rsid w:val="00D67226"/>
    <w:rsid w:val="00D67244"/>
    <w:rsid w:val="00D672DD"/>
    <w:rsid w:val="00D67676"/>
    <w:rsid w:val="00D67871"/>
    <w:rsid w:val="00D679F0"/>
    <w:rsid w:val="00D67A15"/>
    <w:rsid w:val="00D67A99"/>
    <w:rsid w:val="00D67CBD"/>
    <w:rsid w:val="00D67D5E"/>
    <w:rsid w:val="00D67E58"/>
    <w:rsid w:val="00D700B3"/>
    <w:rsid w:val="00D70190"/>
    <w:rsid w:val="00D70408"/>
    <w:rsid w:val="00D7056D"/>
    <w:rsid w:val="00D7057F"/>
    <w:rsid w:val="00D70636"/>
    <w:rsid w:val="00D706F8"/>
    <w:rsid w:val="00D70848"/>
    <w:rsid w:val="00D70898"/>
    <w:rsid w:val="00D709BB"/>
    <w:rsid w:val="00D70AFE"/>
    <w:rsid w:val="00D70BB7"/>
    <w:rsid w:val="00D70CC8"/>
    <w:rsid w:val="00D70CFE"/>
    <w:rsid w:val="00D70D71"/>
    <w:rsid w:val="00D70E20"/>
    <w:rsid w:val="00D70E9A"/>
    <w:rsid w:val="00D71030"/>
    <w:rsid w:val="00D710C6"/>
    <w:rsid w:val="00D71174"/>
    <w:rsid w:val="00D711E6"/>
    <w:rsid w:val="00D712EC"/>
    <w:rsid w:val="00D713BA"/>
    <w:rsid w:val="00D71432"/>
    <w:rsid w:val="00D71484"/>
    <w:rsid w:val="00D714EE"/>
    <w:rsid w:val="00D7151F"/>
    <w:rsid w:val="00D71743"/>
    <w:rsid w:val="00D71832"/>
    <w:rsid w:val="00D71876"/>
    <w:rsid w:val="00D7188E"/>
    <w:rsid w:val="00D71949"/>
    <w:rsid w:val="00D71AC5"/>
    <w:rsid w:val="00D71C5A"/>
    <w:rsid w:val="00D71C9F"/>
    <w:rsid w:val="00D71DB4"/>
    <w:rsid w:val="00D71F89"/>
    <w:rsid w:val="00D721B9"/>
    <w:rsid w:val="00D7225B"/>
    <w:rsid w:val="00D722A2"/>
    <w:rsid w:val="00D72383"/>
    <w:rsid w:val="00D7240B"/>
    <w:rsid w:val="00D72425"/>
    <w:rsid w:val="00D725D5"/>
    <w:rsid w:val="00D72621"/>
    <w:rsid w:val="00D7273C"/>
    <w:rsid w:val="00D7283C"/>
    <w:rsid w:val="00D72AB8"/>
    <w:rsid w:val="00D72B6F"/>
    <w:rsid w:val="00D72EED"/>
    <w:rsid w:val="00D730D9"/>
    <w:rsid w:val="00D73165"/>
    <w:rsid w:val="00D73180"/>
    <w:rsid w:val="00D7328F"/>
    <w:rsid w:val="00D73344"/>
    <w:rsid w:val="00D73397"/>
    <w:rsid w:val="00D73496"/>
    <w:rsid w:val="00D734E2"/>
    <w:rsid w:val="00D7351D"/>
    <w:rsid w:val="00D735F5"/>
    <w:rsid w:val="00D737A9"/>
    <w:rsid w:val="00D73808"/>
    <w:rsid w:val="00D738E6"/>
    <w:rsid w:val="00D73959"/>
    <w:rsid w:val="00D73B56"/>
    <w:rsid w:val="00D73BB3"/>
    <w:rsid w:val="00D73BF8"/>
    <w:rsid w:val="00D73C2E"/>
    <w:rsid w:val="00D73DDF"/>
    <w:rsid w:val="00D73F42"/>
    <w:rsid w:val="00D74050"/>
    <w:rsid w:val="00D740C8"/>
    <w:rsid w:val="00D74167"/>
    <w:rsid w:val="00D7423D"/>
    <w:rsid w:val="00D7427F"/>
    <w:rsid w:val="00D742A9"/>
    <w:rsid w:val="00D74482"/>
    <w:rsid w:val="00D74492"/>
    <w:rsid w:val="00D74565"/>
    <w:rsid w:val="00D746AD"/>
    <w:rsid w:val="00D746BE"/>
    <w:rsid w:val="00D74815"/>
    <w:rsid w:val="00D74927"/>
    <w:rsid w:val="00D74A72"/>
    <w:rsid w:val="00D74D9A"/>
    <w:rsid w:val="00D74EDD"/>
    <w:rsid w:val="00D74F48"/>
    <w:rsid w:val="00D74F68"/>
    <w:rsid w:val="00D74F73"/>
    <w:rsid w:val="00D75004"/>
    <w:rsid w:val="00D7543A"/>
    <w:rsid w:val="00D75619"/>
    <w:rsid w:val="00D7564F"/>
    <w:rsid w:val="00D757ED"/>
    <w:rsid w:val="00D758D9"/>
    <w:rsid w:val="00D75D59"/>
    <w:rsid w:val="00D75E27"/>
    <w:rsid w:val="00D75F7C"/>
    <w:rsid w:val="00D75FAA"/>
    <w:rsid w:val="00D7629C"/>
    <w:rsid w:val="00D762C3"/>
    <w:rsid w:val="00D76303"/>
    <w:rsid w:val="00D763C2"/>
    <w:rsid w:val="00D764FD"/>
    <w:rsid w:val="00D7651A"/>
    <w:rsid w:val="00D766B4"/>
    <w:rsid w:val="00D767C2"/>
    <w:rsid w:val="00D767D9"/>
    <w:rsid w:val="00D76913"/>
    <w:rsid w:val="00D76946"/>
    <w:rsid w:val="00D76951"/>
    <w:rsid w:val="00D769B0"/>
    <w:rsid w:val="00D76BA8"/>
    <w:rsid w:val="00D76C22"/>
    <w:rsid w:val="00D76C89"/>
    <w:rsid w:val="00D76D56"/>
    <w:rsid w:val="00D76FD3"/>
    <w:rsid w:val="00D770AD"/>
    <w:rsid w:val="00D7716C"/>
    <w:rsid w:val="00D7720D"/>
    <w:rsid w:val="00D77216"/>
    <w:rsid w:val="00D77372"/>
    <w:rsid w:val="00D773C2"/>
    <w:rsid w:val="00D775DA"/>
    <w:rsid w:val="00D77685"/>
    <w:rsid w:val="00D776CC"/>
    <w:rsid w:val="00D7775B"/>
    <w:rsid w:val="00D77A47"/>
    <w:rsid w:val="00D77A92"/>
    <w:rsid w:val="00D77B40"/>
    <w:rsid w:val="00D77B4B"/>
    <w:rsid w:val="00D77B74"/>
    <w:rsid w:val="00D77B99"/>
    <w:rsid w:val="00D77BF9"/>
    <w:rsid w:val="00D77C69"/>
    <w:rsid w:val="00D77CEA"/>
    <w:rsid w:val="00D77D29"/>
    <w:rsid w:val="00D77D34"/>
    <w:rsid w:val="00D77D9F"/>
    <w:rsid w:val="00D77DEB"/>
    <w:rsid w:val="00D77F3D"/>
    <w:rsid w:val="00D77F9B"/>
    <w:rsid w:val="00D77FFE"/>
    <w:rsid w:val="00D800D8"/>
    <w:rsid w:val="00D80101"/>
    <w:rsid w:val="00D80353"/>
    <w:rsid w:val="00D804F0"/>
    <w:rsid w:val="00D8058D"/>
    <w:rsid w:val="00D805E6"/>
    <w:rsid w:val="00D8071A"/>
    <w:rsid w:val="00D80727"/>
    <w:rsid w:val="00D80769"/>
    <w:rsid w:val="00D808C9"/>
    <w:rsid w:val="00D809ED"/>
    <w:rsid w:val="00D80B1B"/>
    <w:rsid w:val="00D80B54"/>
    <w:rsid w:val="00D80B9C"/>
    <w:rsid w:val="00D80BAF"/>
    <w:rsid w:val="00D80C4A"/>
    <w:rsid w:val="00D80C67"/>
    <w:rsid w:val="00D80FC9"/>
    <w:rsid w:val="00D8135E"/>
    <w:rsid w:val="00D8146C"/>
    <w:rsid w:val="00D8148B"/>
    <w:rsid w:val="00D814FA"/>
    <w:rsid w:val="00D8168C"/>
    <w:rsid w:val="00D8171F"/>
    <w:rsid w:val="00D817EA"/>
    <w:rsid w:val="00D81804"/>
    <w:rsid w:val="00D8193B"/>
    <w:rsid w:val="00D81B43"/>
    <w:rsid w:val="00D81BCB"/>
    <w:rsid w:val="00D81C52"/>
    <w:rsid w:val="00D81CC3"/>
    <w:rsid w:val="00D81D86"/>
    <w:rsid w:val="00D81F8A"/>
    <w:rsid w:val="00D81F9A"/>
    <w:rsid w:val="00D81FF9"/>
    <w:rsid w:val="00D8202A"/>
    <w:rsid w:val="00D821A1"/>
    <w:rsid w:val="00D821E4"/>
    <w:rsid w:val="00D823C3"/>
    <w:rsid w:val="00D824F9"/>
    <w:rsid w:val="00D826D4"/>
    <w:rsid w:val="00D828A7"/>
    <w:rsid w:val="00D82930"/>
    <w:rsid w:val="00D82BD9"/>
    <w:rsid w:val="00D82CB4"/>
    <w:rsid w:val="00D82D76"/>
    <w:rsid w:val="00D830B0"/>
    <w:rsid w:val="00D830F2"/>
    <w:rsid w:val="00D8314A"/>
    <w:rsid w:val="00D831B5"/>
    <w:rsid w:val="00D831BA"/>
    <w:rsid w:val="00D832B8"/>
    <w:rsid w:val="00D832C7"/>
    <w:rsid w:val="00D834F8"/>
    <w:rsid w:val="00D83560"/>
    <w:rsid w:val="00D836FE"/>
    <w:rsid w:val="00D83902"/>
    <w:rsid w:val="00D8392C"/>
    <w:rsid w:val="00D83B5D"/>
    <w:rsid w:val="00D83D10"/>
    <w:rsid w:val="00D83D79"/>
    <w:rsid w:val="00D83E8B"/>
    <w:rsid w:val="00D83EAD"/>
    <w:rsid w:val="00D83FB7"/>
    <w:rsid w:val="00D84056"/>
    <w:rsid w:val="00D8406C"/>
    <w:rsid w:val="00D84072"/>
    <w:rsid w:val="00D841D5"/>
    <w:rsid w:val="00D8435C"/>
    <w:rsid w:val="00D84363"/>
    <w:rsid w:val="00D844C2"/>
    <w:rsid w:val="00D84539"/>
    <w:rsid w:val="00D845EC"/>
    <w:rsid w:val="00D84627"/>
    <w:rsid w:val="00D8462D"/>
    <w:rsid w:val="00D8473D"/>
    <w:rsid w:val="00D84764"/>
    <w:rsid w:val="00D847D1"/>
    <w:rsid w:val="00D848F3"/>
    <w:rsid w:val="00D84900"/>
    <w:rsid w:val="00D84B6A"/>
    <w:rsid w:val="00D84C26"/>
    <w:rsid w:val="00D84C70"/>
    <w:rsid w:val="00D84DF6"/>
    <w:rsid w:val="00D84F0D"/>
    <w:rsid w:val="00D85129"/>
    <w:rsid w:val="00D85160"/>
    <w:rsid w:val="00D851B5"/>
    <w:rsid w:val="00D85323"/>
    <w:rsid w:val="00D85324"/>
    <w:rsid w:val="00D85327"/>
    <w:rsid w:val="00D853C9"/>
    <w:rsid w:val="00D85400"/>
    <w:rsid w:val="00D85421"/>
    <w:rsid w:val="00D854E0"/>
    <w:rsid w:val="00D8572F"/>
    <w:rsid w:val="00D85831"/>
    <w:rsid w:val="00D858F2"/>
    <w:rsid w:val="00D85921"/>
    <w:rsid w:val="00D85965"/>
    <w:rsid w:val="00D85ADA"/>
    <w:rsid w:val="00D85B20"/>
    <w:rsid w:val="00D85B81"/>
    <w:rsid w:val="00D85C3F"/>
    <w:rsid w:val="00D85E75"/>
    <w:rsid w:val="00D85FE0"/>
    <w:rsid w:val="00D8603B"/>
    <w:rsid w:val="00D86097"/>
    <w:rsid w:val="00D860A0"/>
    <w:rsid w:val="00D860F3"/>
    <w:rsid w:val="00D86323"/>
    <w:rsid w:val="00D863BE"/>
    <w:rsid w:val="00D863D1"/>
    <w:rsid w:val="00D865D5"/>
    <w:rsid w:val="00D8664F"/>
    <w:rsid w:val="00D86691"/>
    <w:rsid w:val="00D868A1"/>
    <w:rsid w:val="00D86BE3"/>
    <w:rsid w:val="00D86CF7"/>
    <w:rsid w:val="00D86F3D"/>
    <w:rsid w:val="00D87077"/>
    <w:rsid w:val="00D87105"/>
    <w:rsid w:val="00D872E2"/>
    <w:rsid w:val="00D87387"/>
    <w:rsid w:val="00D87583"/>
    <w:rsid w:val="00D87812"/>
    <w:rsid w:val="00D87834"/>
    <w:rsid w:val="00D8792C"/>
    <w:rsid w:val="00D879CD"/>
    <w:rsid w:val="00D879EC"/>
    <w:rsid w:val="00D87AD4"/>
    <w:rsid w:val="00D87B6F"/>
    <w:rsid w:val="00D87CD6"/>
    <w:rsid w:val="00D87CF2"/>
    <w:rsid w:val="00D87DD0"/>
    <w:rsid w:val="00D87E13"/>
    <w:rsid w:val="00D883D8"/>
    <w:rsid w:val="00D8E6EA"/>
    <w:rsid w:val="00D90021"/>
    <w:rsid w:val="00D901F0"/>
    <w:rsid w:val="00D9020F"/>
    <w:rsid w:val="00D90217"/>
    <w:rsid w:val="00D90264"/>
    <w:rsid w:val="00D902F5"/>
    <w:rsid w:val="00D9030D"/>
    <w:rsid w:val="00D90365"/>
    <w:rsid w:val="00D90382"/>
    <w:rsid w:val="00D903DF"/>
    <w:rsid w:val="00D90625"/>
    <w:rsid w:val="00D9066D"/>
    <w:rsid w:val="00D907A5"/>
    <w:rsid w:val="00D90880"/>
    <w:rsid w:val="00D908A9"/>
    <w:rsid w:val="00D908E1"/>
    <w:rsid w:val="00D90A5B"/>
    <w:rsid w:val="00D90C5F"/>
    <w:rsid w:val="00D90E0D"/>
    <w:rsid w:val="00D90EA5"/>
    <w:rsid w:val="00D90FBA"/>
    <w:rsid w:val="00D91097"/>
    <w:rsid w:val="00D911FE"/>
    <w:rsid w:val="00D9122C"/>
    <w:rsid w:val="00D912AA"/>
    <w:rsid w:val="00D912E0"/>
    <w:rsid w:val="00D91656"/>
    <w:rsid w:val="00D91719"/>
    <w:rsid w:val="00D91785"/>
    <w:rsid w:val="00D91793"/>
    <w:rsid w:val="00D91C65"/>
    <w:rsid w:val="00D91C92"/>
    <w:rsid w:val="00D91CEA"/>
    <w:rsid w:val="00D91DDD"/>
    <w:rsid w:val="00D91EB6"/>
    <w:rsid w:val="00D92041"/>
    <w:rsid w:val="00D921F4"/>
    <w:rsid w:val="00D92322"/>
    <w:rsid w:val="00D92354"/>
    <w:rsid w:val="00D92360"/>
    <w:rsid w:val="00D923F7"/>
    <w:rsid w:val="00D925CB"/>
    <w:rsid w:val="00D925D8"/>
    <w:rsid w:val="00D9274B"/>
    <w:rsid w:val="00D92786"/>
    <w:rsid w:val="00D929B1"/>
    <w:rsid w:val="00D92A0E"/>
    <w:rsid w:val="00D92AED"/>
    <w:rsid w:val="00D92BD5"/>
    <w:rsid w:val="00D92CFA"/>
    <w:rsid w:val="00D92E60"/>
    <w:rsid w:val="00D92EF4"/>
    <w:rsid w:val="00D92F17"/>
    <w:rsid w:val="00D92F1B"/>
    <w:rsid w:val="00D93006"/>
    <w:rsid w:val="00D931C8"/>
    <w:rsid w:val="00D93228"/>
    <w:rsid w:val="00D93365"/>
    <w:rsid w:val="00D93587"/>
    <w:rsid w:val="00D938B8"/>
    <w:rsid w:val="00D93948"/>
    <w:rsid w:val="00D93AD4"/>
    <w:rsid w:val="00D93B29"/>
    <w:rsid w:val="00D93E39"/>
    <w:rsid w:val="00D93EAA"/>
    <w:rsid w:val="00D93EE4"/>
    <w:rsid w:val="00D93FE2"/>
    <w:rsid w:val="00D94049"/>
    <w:rsid w:val="00D942C8"/>
    <w:rsid w:val="00D943D3"/>
    <w:rsid w:val="00D94420"/>
    <w:rsid w:val="00D945F6"/>
    <w:rsid w:val="00D9480E"/>
    <w:rsid w:val="00D94838"/>
    <w:rsid w:val="00D94984"/>
    <w:rsid w:val="00D94B2A"/>
    <w:rsid w:val="00D94C75"/>
    <w:rsid w:val="00D94E2C"/>
    <w:rsid w:val="00D94EF1"/>
    <w:rsid w:val="00D94F6B"/>
    <w:rsid w:val="00D94F9F"/>
    <w:rsid w:val="00D94FCC"/>
    <w:rsid w:val="00D950CC"/>
    <w:rsid w:val="00D951FF"/>
    <w:rsid w:val="00D9525F"/>
    <w:rsid w:val="00D95439"/>
    <w:rsid w:val="00D95595"/>
    <w:rsid w:val="00D9582C"/>
    <w:rsid w:val="00D9582F"/>
    <w:rsid w:val="00D95853"/>
    <w:rsid w:val="00D95980"/>
    <w:rsid w:val="00D95AB0"/>
    <w:rsid w:val="00D95BAB"/>
    <w:rsid w:val="00D95BC5"/>
    <w:rsid w:val="00D95C59"/>
    <w:rsid w:val="00D95C7C"/>
    <w:rsid w:val="00D95E69"/>
    <w:rsid w:val="00D95EC3"/>
    <w:rsid w:val="00D95F0B"/>
    <w:rsid w:val="00D96191"/>
    <w:rsid w:val="00D96247"/>
    <w:rsid w:val="00D962B2"/>
    <w:rsid w:val="00D9646D"/>
    <w:rsid w:val="00D966C8"/>
    <w:rsid w:val="00D967FD"/>
    <w:rsid w:val="00D96807"/>
    <w:rsid w:val="00D968BB"/>
    <w:rsid w:val="00D96959"/>
    <w:rsid w:val="00D96995"/>
    <w:rsid w:val="00D96998"/>
    <w:rsid w:val="00D96B07"/>
    <w:rsid w:val="00D96B7F"/>
    <w:rsid w:val="00D96CAC"/>
    <w:rsid w:val="00D97052"/>
    <w:rsid w:val="00D97188"/>
    <w:rsid w:val="00D971D9"/>
    <w:rsid w:val="00D9727E"/>
    <w:rsid w:val="00D97337"/>
    <w:rsid w:val="00D973F5"/>
    <w:rsid w:val="00D97583"/>
    <w:rsid w:val="00D975B0"/>
    <w:rsid w:val="00D97655"/>
    <w:rsid w:val="00D977A5"/>
    <w:rsid w:val="00D9788D"/>
    <w:rsid w:val="00D97B79"/>
    <w:rsid w:val="00D97E49"/>
    <w:rsid w:val="00D97F6A"/>
    <w:rsid w:val="00D9C100"/>
    <w:rsid w:val="00DA002C"/>
    <w:rsid w:val="00DA00DB"/>
    <w:rsid w:val="00DA016A"/>
    <w:rsid w:val="00DA02E0"/>
    <w:rsid w:val="00DA0301"/>
    <w:rsid w:val="00DA04B7"/>
    <w:rsid w:val="00DA04BB"/>
    <w:rsid w:val="00DA04EC"/>
    <w:rsid w:val="00DA05BD"/>
    <w:rsid w:val="00DA060F"/>
    <w:rsid w:val="00DA0627"/>
    <w:rsid w:val="00DA0D3C"/>
    <w:rsid w:val="00DA0EDB"/>
    <w:rsid w:val="00DA0FA7"/>
    <w:rsid w:val="00DA1146"/>
    <w:rsid w:val="00DA1225"/>
    <w:rsid w:val="00DA12CA"/>
    <w:rsid w:val="00DA131E"/>
    <w:rsid w:val="00DA1406"/>
    <w:rsid w:val="00DA1583"/>
    <w:rsid w:val="00DA15D7"/>
    <w:rsid w:val="00DA1624"/>
    <w:rsid w:val="00DA1655"/>
    <w:rsid w:val="00DA1689"/>
    <w:rsid w:val="00DA1742"/>
    <w:rsid w:val="00DA17BF"/>
    <w:rsid w:val="00DA1AE3"/>
    <w:rsid w:val="00DA1AEA"/>
    <w:rsid w:val="00DA1CE2"/>
    <w:rsid w:val="00DA1DD0"/>
    <w:rsid w:val="00DA1EF1"/>
    <w:rsid w:val="00DA20B9"/>
    <w:rsid w:val="00DA216D"/>
    <w:rsid w:val="00DA2170"/>
    <w:rsid w:val="00DA220E"/>
    <w:rsid w:val="00DA222E"/>
    <w:rsid w:val="00DA225E"/>
    <w:rsid w:val="00DA2273"/>
    <w:rsid w:val="00DA25D9"/>
    <w:rsid w:val="00DA25F3"/>
    <w:rsid w:val="00DA2641"/>
    <w:rsid w:val="00DA2659"/>
    <w:rsid w:val="00DA270F"/>
    <w:rsid w:val="00DA288B"/>
    <w:rsid w:val="00DA28A3"/>
    <w:rsid w:val="00DA2A2B"/>
    <w:rsid w:val="00DA2B65"/>
    <w:rsid w:val="00DA2BE7"/>
    <w:rsid w:val="00DA2C7F"/>
    <w:rsid w:val="00DA2D52"/>
    <w:rsid w:val="00DA2E54"/>
    <w:rsid w:val="00DA2E6A"/>
    <w:rsid w:val="00DA2EB4"/>
    <w:rsid w:val="00DA2F5D"/>
    <w:rsid w:val="00DA2FA2"/>
    <w:rsid w:val="00DA31D1"/>
    <w:rsid w:val="00DA32F8"/>
    <w:rsid w:val="00DA3377"/>
    <w:rsid w:val="00DA345C"/>
    <w:rsid w:val="00DA3510"/>
    <w:rsid w:val="00DA3647"/>
    <w:rsid w:val="00DA3697"/>
    <w:rsid w:val="00DA369B"/>
    <w:rsid w:val="00DA36AE"/>
    <w:rsid w:val="00DA3816"/>
    <w:rsid w:val="00DA38CA"/>
    <w:rsid w:val="00DA3A4B"/>
    <w:rsid w:val="00DA3A51"/>
    <w:rsid w:val="00DA3A84"/>
    <w:rsid w:val="00DA3A8C"/>
    <w:rsid w:val="00DA3B21"/>
    <w:rsid w:val="00DA3BF7"/>
    <w:rsid w:val="00DA3E29"/>
    <w:rsid w:val="00DA3F7B"/>
    <w:rsid w:val="00DA3F8C"/>
    <w:rsid w:val="00DA4060"/>
    <w:rsid w:val="00DA425E"/>
    <w:rsid w:val="00DA4330"/>
    <w:rsid w:val="00DA4388"/>
    <w:rsid w:val="00DA441B"/>
    <w:rsid w:val="00DA4872"/>
    <w:rsid w:val="00DA4A01"/>
    <w:rsid w:val="00DA4A0D"/>
    <w:rsid w:val="00DA4AC1"/>
    <w:rsid w:val="00DA4AEB"/>
    <w:rsid w:val="00DA4B50"/>
    <w:rsid w:val="00DA4D49"/>
    <w:rsid w:val="00DA4E08"/>
    <w:rsid w:val="00DA501D"/>
    <w:rsid w:val="00DA5079"/>
    <w:rsid w:val="00DA52FD"/>
    <w:rsid w:val="00DA5393"/>
    <w:rsid w:val="00DA5451"/>
    <w:rsid w:val="00DA56C5"/>
    <w:rsid w:val="00DA58CF"/>
    <w:rsid w:val="00DA5950"/>
    <w:rsid w:val="00DA5A9E"/>
    <w:rsid w:val="00DA5B73"/>
    <w:rsid w:val="00DA5BF6"/>
    <w:rsid w:val="00DA5CB7"/>
    <w:rsid w:val="00DA5F0A"/>
    <w:rsid w:val="00DA5F62"/>
    <w:rsid w:val="00DA6078"/>
    <w:rsid w:val="00DA61AA"/>
    <w:rsid w:val="00DA621E"/>
    <w:rsid w:val="00DA6419"/>
    <w:rsid w:val="00DA6518"/>
    <w:rsid w:val="00DA66A3"/>
    <w:rsid w:val="00DA6A01"/>
    <w:rsid w:val="00DA6ADF"/>
    <w:rsid w:val="00DA6B0E"/>
    <w:rsid w:val="00DA6E50"/>
    <w:rsid w:val="00DA6EB3"/>
    <w:rsid w:val="00DA6EFE"/>
    <w:rsid w:val="00DA6F3C"/>
    <w:rsid w:val="00DA6F58"/>
    <w:rsid w:val="00DA6F89"/>
    <w:rsid w:val="00DA72F2"/>
    <w:rsid w:val="00DA73B7"/>
    <w:rsid w:val="00DA75D1"/>
    <w:rsid w:val="00DA75ED"/>
    <w:rsid w:val="00DA777A"/>
    <w:rsid w:val="00DA785E"/>
    <w:rsid w:val="00DA78ED"/>
    <w:rsid w:val="00DA7AF0"/>
    <w:rsid w:val="00DA7D00"/>
    <w:rsid w:val="00DA7D5C"/>
    <w:rsid w:val="00DA7DC8"/>
    <w:rsid w:val="00DB01B7"/>
    <w:rsid w:val="00DB0492"/>
    <w:rsid w:val="00DB063A"/>
    <w:rsid w:val="00DB079C"/>
    <w:rsid w:val="00DB07A5"/>
    <w:rsid w:val="00DB07BE"/>
    <w:rsid w:val="00DB0A56"/>
    <w:rsid w:val="00DB0DA6"/>
    <w:rsid w:val="00DB0DD0"/>
    <w:rsid w:val="00DB0E21"/>
    <w:rsid w:val="00DB11C9"/>
    <w:rsid w:val="00DB14E6"/>
    <w:rsid w:val="00DB15D6"/>
    <w:rsid w:val="00DB15EE"/>
    <w:rsid w:val="00DB181F"/>
    <w:rsid w:val="00DB1988"/>
    <w:rsid w:val="00DB1A93"/>
    <w:rsid w:val="00DB1B0F"/>
    <w:rsid w:val="00DB1B53"/>
    <w:rsid w:val="00DB1BA7"/>
    <w:rsid w:val="00DB1FFF"/>
    <w:rsid w:val="00DB2017"/>
    <w:rsid w:val="00DB22CC"/>
    <w:rsid w:val="00DB234C"/>
    <w:rsid w:val="00DB23BB"/>
    <w:rsid w:val="00DB23CA"/>
    <w:rsid w:val="00DB255E"/>
    <w:rsid w:val="00DB25F3"/>
    <w:rsid w:val="00DB25F9"/>
    <w:rsid w:val="00DB291C"/>
    <w:rsid w:val="00DB2A58"/>
    <w:rsid w:val="00DB2A78"/>
    <w:rsid w:val="00DB2D8A"/>
    <w:rsid w:val="00DB2E35"/>
    <w:rsid w:val="00DB2F1F"/>
    <w:rsid w:val="00DB2F29"/>
    <w:rsid w:val="00DB30C1"/>
    <w:rsid w:val="00DB31CA"/>
    <w:rsid w:val="00DB3490"/>
    <w:rsid w:val="00DB3808"/>
    <w:rsid w:val="00DB387F"/>
    <w:rsid w:val="00DB3A01"/>
    <w:rsid w:val="00DB3A19"/>
    <w:rsid w:val="00DB3B90"/>
    <w:rsid w:val="00DB3C1F"/>
    <w:rsid w:val="00DB3C9D"/>
    <w:rsid w:val="00DB3DCF"/>
    <w:rsid w:val="00DB3F1E"/>
    <w:rsid w:val="00DB3F9F"/>
    <w:rsid w:val="00DB401B"/>
    <w:rsid w:val="00DB40CD"/>
    <w:rsid w:val="00DB40F9"/>
    <w:rsid w:val="00DB41BA"/>
    <w:rsid w:val="00DB4412"/>
    <w:rsid w:val="00DB44F2"/>
    <w:rsid w:val="00DB455A"/>
    <w:rsid w:val="00DB458B"/>
    <w:rsid w:val="00DB4606"/>
    <w:rsid w:val="00DB4B31"/>
    <w:rsid w:val="00DB4BFF"/>
    <w:rsid w:val="00DB4CED"/>
    <w:rsid w:val="00DB4E02"/>
    <w:rsid w:val="00DB4E16"/>
    <w:rsid w:val="00DB4F76"/>
    <w:rsid w:val="00DB500B"/>
    <w:rsid w:val="00DB5036"/>
    <w:rsid w:val="00DB55BD"/>
    <w:rsid w:val="00DB58A6"/>
    <w:rsid w:val="00DB58AE"/>
    <w:rsid w:val="00DB5CBE"/>
    <w:rsid w:val="00DB5E77"/>
    <w:rsid w:val="00DB5F13"/>
    <w:rsid w:val="00DB605A"/>
    <w:rsid w:val="00DB62EB"/>
    <w:rsid w:val="00DB635A"/>
    <w:rsid w:val="00DB6368"/>
    <w:rsid w:val="00DB6426"/>
    <w:rsid w:val="00DB663A"/>
    <w:rsid w:val="00DB67CA"/>
    <w:rsid w:val="00DB6942"/>
    <w:rsid w:val="00DB69BC"/>
    <w:rsid w:val="00DB6AF3"/>
    <w:rsid w:val="00DB6B37"/>
    <w:rsid w:val="00DB6B80"/>
    <w:rsid w:val="00DB6BEB"/>
    <w:rsid w:val="00DB6D34"/>
    <w:rsid w:val="00DB6D6C"/>
    <w:rsid w:val="00DB6E82"/>
    <w:rsid w:val="00DB6F54"/>
    <w:rsid w:val="00DB6FC1"/>
    <w:rsid w:val="00DB6FEF"/>
    <w:rsid w:val="00DB6FF4"/>
    <w:rsid w:val="00DB702E"/>
    <w:rsid w:val="00DB70F4"/>
    <w:rsid w:val="00DB7184"/>
    <w:rsid w:val="00DB718D"/>
    <w:rsid w:val="00DB71F2"/>
    <w:rsid w:val="00DB754B"/>
    <w:rsid w:val="00DB7669"/>
    <w:rsid w:val="00DB79EE"/>
    <w:rsid w:val="00DB7A1D"/>
    <w:rsid w:val="00DB7BDC"/>
    <w:rsid w:val="00DB7C7D"/>
    <w:rsid w:val="00DB7CA3"/>
    <w:rsid w:val="00DB7D2C"/>
    <w:rsid w:val="00DB7D7D"/>
    <w:rsid w:val="00DB7DB0"/>
    <w:rsid w:val="00DB7DCC"/>
    <w:rsid w:val="00DB7F79"/>
    <w:rsid w:val="00DB7FCB"/>
    <w:rsid w:val="00DBAB3D"/>
    <w:rsid w:val="00DBEDA4"/>
    <w:rsid w:val="00DC0367"/>
    <w:rsid w:val="00DC036C"/>
    <w:rsid w:val="00DC03F5"/>
    <w:rsid w:val="00DC0465"/>
    <w:rsid w:val="00DC061A"/>
    <w:rsid w:val="00DC0625"/>
    <w:rsid w:val="00DC0909"/>
    <w:rsid w:val="00DC0A0F"/>
    <w:rsid w:val="00DC0A62"/>
    <w:rsid w:val="00DC0BBD"/>
    <w:rsid w:val="00DC0E06"/>
    <w:rsid w:val="00DC1091"/>
    <w:rsid w:val="00DC1107"/>
    <w:rsid w:val="00DC1135"/>
    <w:rsid w:val="00DC1249"/>
    <w:rsid w:val="00DC1275"/>
    <w:rsid w:val="00DC1444"/>
    <w:rsid w:val="00DC1469"/>
    <w:rsid w:val="00DC1532"/>
    <w:rsid w:val="00DC161A"/>
    <w:rsid w:val="00DC16DF"/>
    <w:rsid w:val="00DC16E4"/>
    <w:rsid w:val="00DC1956"/>
    <w:rsid w:val="00DC19F7"/>
    <w:rsid w:val="00DC1AC5"/>
    <w:rsid w:val="00DC1C31"/>
    <w:rsid w:val="00DC1DF4"/>
    <w:rsid w:val="00DC201C"/>
    <w:rsid w:val="00DC2116"/>
    <w:rsid w:val="00DC2151"/>
    <w:rsid w:val="00DC2191"/>
    <w:rsid w:val="00DC22DC"/>
    <w:rsid w:val="00DC236B"/>
    <w:rsid w:val="00DC2423"/>
    <w:rsid w:val="00DC2499"/>
    <w:rsid w:val="00DC249C"/>
    <w:rsid w:val="00DC2543"/>
    <w:rsid w:val="00DC2584"/>
    <w:rsid w:val="00DC264E"/>
    <w:rsid w:val="00DC27F1"/>
    <w:rsid w:val="00DC2979"/>
    <w:rsid w:val="00DC2AB5"/>
    <w:rsid w:val="00DC2C64"/>
    <w:rsid w:val="00DC2C7F"/>
    <w:rsid w:val="00DC2D26"/>
    <w:rsid w:val="00DC2D35"/>
    <w:rsid w:val="00DC2DAD"/>
    <w:rsid w:val="00DC2DD6"/>
    <w:rsid w:val="00DC2E56"/>
    <w:rsid w:val="00DC2F22"/>
    <w:rsid w:val="00DC3047"/>
    <w:rsid w:val="00DC3155"/>
    <w:rsid w:val="00DC32CA"/>
    <w:rsid w:val="00DC331B"/>
    <w:rsid w:val="00DC34B1"/>
    <w:rsid w:val="00DC34CB"/>
    <w:rsid w:val="00DC382E"/>
    <w:rsid w:val="00DC3A4B"/>
    <w:rsid w:val="00DC3B47"/>
    <w:rsid w:val="00DC3B7B"/>
    <w:rsid w:val="00DC3D0A"/>
    <w:rsid w:val="00DC3D1A"/>
    <w:rsid w:val="00DC3DEC"/>
    <w:rsid w:val="00DC3E00"/>
    <w:rsid w:val="00DC3EA8"/>
    <w:rsid w:val="00DC3F56"/>
    <w:rsid w:val="00DC40F1"/>
    <w:rsid w:val="00DC4104"/>
    <w:rsid w:val="00DC417A"/>
    <w:rsid w:val="00DC41AE"/>
    <w:rsid w:val="00DC4562"/>
    <w:rsid w:val="00DC46E4"/>
    <w:rsid w:val="00DC4A56"/>
    <w:rsid w:val="00DC4B7F"/>
    <w:rsid w:val="00DC4CD0"/>
    <w:rsid w:val="00DC5157"/>
    <w:rsid w:val="00DC5292"/>
    <w:rsid w:val="00DC5321"/>
    <w:rsid w:val="00DC53A7"/>
    <w:rsid w:val="00DC541E"/>
    <w:rsid w:val="00DC54DB"/>
    <w:rsid w:val="00DC54FC"/>
    <w:rsid w:val="00DC55CB"/>
    <w:rsid w:val="00DC5644"/>
    <w:rsid w:val="00DC5648"/>
    <w:rsid w:val="00DC56A9"/>
    <w:rsid w:val="00DC57F4"/>
    <w:rsid w:val="00DC57FB"/>
    <w:rsid w:val="00DC5844"/>
    <w:rsid w:val="00DC58BF"/>
    <w:rsid w:val="00DC5C1C"/>
    <w:rsid w:val="00DC5D19"/>
    <w:rsid w:val="00DC5F1D"/>
    <w:rsid w:val="00DC614D"/>
    <w:rsid w:val="00DC616C"/>
    <w:rsid w:val="00DC6334"/>
    <w:rsid w:val="00DC6395"/>
    <w:rsid w:val="00DC646F"/>
    <w:rsid w:val="00DC64B1"/>
    <w:rsid w:val="00DC64EB"/>
    <w:rsid w:val="00DC66A8"/>
    <w:rsid w:val="00DC6865"/>
    <w:rsid w:val="00DC6981"/>
    <w:rsid w:val="00DC6C72"/>
    <w:rsid w:val="00DC6CA7"/>
    <w:rsid w:val="00DC6DA6"/>
    <w:rsid w:val="00DC6F42"/>
    <w:rsid w:val="00DC6FD1"/>
    <w:rsid w:val="00DC703D"/>
    <w:rsid w:val="00DC704A"/>
    <w:rsid w:val="00DC71B7"/>
    <w:rsid w:val="00DC7469"/>
    <w:rsid w:val="00DC7510"/>
    <w:rsid w:val="00DC797A"/>
    <w:rsid w:val="00DC79A5"/>
    <w:rsid w:val="00DC79B5"/>
    <w:rsid w:val="00DC79F0"/>
    <w:rsid w:val="00DC7AFB"/>
    <w:rsid w:val="00DC7BA1"/>
    <w:rsid w:val="00DC7CC2"/>
    <w:rsid w:val="00DC7D21"/>
    <w:rsid w:val="00DC7E51"/>
    <w:rsid w:val="00DC7FDB"/>
    <w:rsid w:val="00DCAA1C"/>
    <w:rsid w:val="00DCF737"/>
    <w:rsid w:val="00DD00C3"/>
    <w:rsid w:val="00DD0103"/>
    <w:rsid w:val="00DD016A"/>
    <w:rsid w:val="00DD019D"/>
    <w:rsid w:val="00DD0202"/>
    <w:rsid w:val="00DD0229"/>
    <w:rsid w:val="00DD0507"/>
    <w:rsid w:val="00DD069E"/>
    <w:rsid w:val="00DD074C"/>
    <w:rsid w:val="00DD0754"/>
    <w:rsid w:val="00DD0778"/>
    <w:rsid w:val="00DD07CA"/>
    <w:rsid w:val="00DD0937"/>
    <w:rsid w:val="00DD09BC"/>
    <w:rsid w:val="00DD0A8D"/>
    <w:rsid w:val="00DD0AAE"/>
    <w:rsid w:val="00DD0C56"/>
    <w:rsid w:val="00DD0CB3"/>
    <w:rsid w:val="00DD0D8E"/>
    <w:rsid w:val="00DD0F68"/>
    <w:rsid w:val="00DD1018"/>
    <w:rsid w:val="00DD1098"/>
    <w:rsid w:val="00DD110E"/>
    <w:rsid w:val="00DD115B"/>
    <w:rsid w:val="00DD1389"/>
    <w:rsid w:val="00DD13C7"/>
    <w:rsid w:val="00DD13ED"/>
    <w:rsid w:val="00DD154C"/>
    <w:rsid w:val="00DD157D"/>
    <w:rsid w:val="00DD165F"/>
    <w:rsid w:val="00DD1878"/>
    <w:rsid w:val="00DD1A35"/>
    <w:rsid w:val="00DD1B79"/>
    <w:rsid w:val="00DD1BD1"/>
    <w:rsid w:val="00DD1D06"/>
    <w:rsid w:val="00DD1D81"/>
    <w:rsid w:val="00DD223D"/>
    <w:rsid w:val="00DD228A"/>
    <w:rsid w:val="00DD22E5"/>
    <w:rsid w:val="00DD248D"/>
    <w:rsid w:val="00DD24A8"/>
    <w:rsid w:val="00DD2610"/>
    <w:rsid w:val="00DD265E"/>
    <w:rsid w:val="00DD26E6"/>
    <w:rsid w:val="00DD2727"/>
    <w:rsid w:val="00DD284D"/>
    <w:rsid w:val="00DD2969"/>
    <w:rsid w:val="00DD2A35"/>
    <w:rsid w:val="00DD2AA4"/>
    <w:rsid w:val="00DD2AFF"/>
    <w:rsid w:val="00DD2CE3"/>
    <w:rsid w:val="00DD2D40"/>
    <w:rsid w:val="00DD2E24"/>
    <w:rsid w:val="00DD2EB2"/>
    <w:rsid w:val="00DD2F94"/>
    <w:rsid w:val="00DD30C8"/>
    <w:rsid w:val="00DD3139"/>
    <w:rsid w:val="00DD3370"/>
    <w:rsid w:val="00DD352B"/>
    <w:rsid w:val="00DD36A7"/>
    <w:rsid w:val="00DD3708"/>
    <w:rsid w:val="00DD3735"/>
    <w:rsid w:val="00DD3A56"/>
    <w:rsid w:val="00DD3B1C"/>
    <w:rsid w:val="00DD3CAD"/>
    <w:rsid w:val="00DD3D2D"/>
    <w:rsid w:val="00DD3F96"/>
    <w:rsid w:val="00DD3FA3"/>
    <w:rsid w:val="00DD3FA6"/>
    <w:rsid w:val="00DD42E6"/>
    <w:rsid w:val="00DD4361"/>
    <w:rsid w:val="00DD43C9"/>
    <w:rsid w:val="00DD446F"/>
    <w:rsid w:val="00DD4492"/>
    <w:rsid w:val="00DD466C"/>
    <w:rsid w:val="00DD474B"/>
    <w:rsid w:val="00DD482B"/>
    <w:rsid w:val="00DD48C9"/>
    <w:rsid w:val="00DD48F4"/>
    <w:rsid w:val="00DD49BC"/>
    <w:rsid w:val="00DD4A98"/>
    <w:rsid w:val="00DD4BD7"/>
    <w:rsid w:val="00DD4C48"/>
    <w:rsid w:val="00DD4E25"/>
    <w:rsid w:val="00DD5002"/>
    <w:rsid w:val="00DD5148"/>
    <w:rsid w:val="00DD51CA"/>
    <w:rsid w:val="00DD5287"/>
    <w:rsid w:val="00DD58C6"/>
    <w:rsid w:val="00DD59CB"/>
    <w:rsid w:val="00DD59F1"/>
    <w:rsid w:val="00DD5BD7"/>
    <w:rsid w:val="00DD5DB4"/>
    <w:rsid w:val="00DD5FA2"/>
    <w:rsid w:val="00DD5FDA"/>
    <w:rsid w:val="00DD6232"/>
    <w:rsid w:val="00DD64BA"/>
    <w:rsid w:val="00DD64C8"/>
    <w:rsid w:val="00DD650D"/>
    <w:rsid w:val="00DD6651"/>
    <w:rsid w:val="00DD6683"/>
    <w:rsid w:val="00DD670D"/>
    <w:rsid w:val="00DD6765"/>
    <w:rsid w:val="00DD6771"/>
    <w:rsid w:val="00DD6829"/>
    <w:rsid w:val="00DD6862"/>
    <w:rsid w:val="00DD68D9"/>
    <w:rsid w:val="00DD6AA6"/>
    <w:rsid w:val="00DD6AB0"/>
    <w:rsid w:val="00DD6BA5"/>
    <w:rsid w:val="00DD6CA2"/>
    <w:rsid w:val="00DD6D2B"/>
    <w:rsid w:val="00DD6D84"/>
    <w:rsid w:val="00DD6E21"/>
    <w:rsid w:val="00DD7083"/>
    <w:rsid w:val="00DD72C6"/>
    <w:rsid w:val="00DD74BF"/>
    <w:rsid w:val="00DD75B1"/>
    <w:rsid w:val="00DD7690"/>
    <w:rsid w:val="00DD76BA"/>
    <w:rsid w:val="00DD76F0"/>
    <w:rsid w:val="00DD782C"/>
    <w:rsid w:val="00DD786B"/>
    <w:rsid w:val="00DD79AE"/>
    <w:rsid w:val="00DD7A2E"/>
    <w:rsid w:val="00DD7AAA"/>
    <w:rsid w:val="00DD7C45"/>
    <w:rsid w:val="00DD7D02"/>
    <w:rsid w:val="00DD7D26"/>
    <w:rsid w:val="00DD7E2B"/>
    <w:rsid w:val="00DD7EA5"/>
    <w:rsid w:val="00DD7F28"/>
    <w:rsid w:val="00DDBD54"/>
    <w:rsid w:val="00DE0089"/>
    <w:rsid w:val="00DE00F5"/>
    <w:rsid w:val="00DE0121"/>
    <w:rsid w:val="00DE01A6"/>
    <w:rsid w:val="00DE01AD"/>
    <w:rsid w:val="00DE01CA"/>
    <w:rsid w:val="00DE01E6"/>
    <w:rsid w:val="00DE03A6"/>
    <w:rsid w:val="00DE0455"/>
    <w:rsid w:val="00DE0476"/>
    <w:rsid w:val="00DE06D1"/>
    <w:rsid w:val="00DE06D9"/>
    <w:rsid w:val="00DE06FE"/>
    <w:rsid w:val="00DE07AF"/>
    <w:rsid w:val="00DE0820"/>
    <w:rsid w:val="00DE0833"/>
    <w:rsid w:val="00DE085D"/>
    <w:rsid w:val="00DE0BF1"/>
    <w:rsid w:val="00DE0C8A"/>
    <w:rsid w:val="00DE0D52"/>
    <w:rsid w:val="00DE0DE4"/>
    <w:rsid w:val="00DE0ED1"/>
    <w:rsid w:val="00DE0FFE"/>
    <w:rsid w:val="00DE100E"/>
    <w:rsid w:val="00DE1236"/>
    <w:rsid w:val="00DE13E5"/>
    <w:rsid w:val="00DE142C"/>
    <w:rsid w:val="00DE1622"/>
    <w:rsid w:val="00DE1892"/>
    <w:rsid w:val="00DE18DF"/>
    <w:rsid w:val="00DE190B"/>
    <w:rsid w:val="00DE19D7"/>
    <w:rsid w:val="00DE1A32"/>
    <w:rsid w:val="00DE1A78"/>
    <w:rsid w:val="00DE1B5F"/>
    <w:rsid w:val="00DE1B98"/>
    <w:rsid w:val="00DE1D33"/>
    <w:rsid w:val="00DE1DC7"/>
    <w:rsid w:val="00DE1EBA"/>
    <w:rsid w:val="00DE1F96"/>
    <w:rsid w:val="00DE2085"/>
    <w:rsid w:val="00DE2240"/>
    <w:rsid w:val="00DE2623"/>
    <w:rsid w:val="00DE263E"/>
    <w:rsid w:val="00DE26B3"/>
    <w:rsid w:val="00DE2765"/>
    <w:rsid w:val="00DE27F0"/>
    <w:rsid w:val="00DE2B20"/>
    <w:rsid w:val="00DE2B6D"/>
    <w:rsid w:val="00DE2BDC"/>
    <w:rsid w:val="00DE2CDE"/>
    <w:rsid w:val="00DE2D66"/>
    <w:rsid w:val="00DE2E30"/>
    <w:rsid w:val="00DE2E4C"/>
    <w:rsid w:val="00DE2FA9"/>
    <w:rsid w:val="00DE3194"/>
    <w:rsid w:val="00DE3344"/>
    <w:rsid w:val="00DE33E4"/>
    <w:rsid w:val="00DE3480"/>
    <w:rsid w:val="00DE34A9"/>
    <w:rsid w:val="00DE3594"/>
    <w:rsid w:val="00DE361F"/>
    <w:rsid w:val="00DE367A"/>
    <w:rsid w:val="00DE3695"/>
    <w:rsid w:val="00DE3899"/>
    <w:rsid w:val="00DE38FF"/>
    <w:rsid w:val="00DE39C7"/>
    <w:rsid w:val="00DE39EF"/>
    <w:rsid w:val="00DE3B64"/>
    <w:rsid w:val="00DE3C08"/>
    <w:rsid w:val="00DE3C4E"/>
    <w:rsid w:val="00DE3C57"/>
    <w:rsid w:val="00DE3C63"/>
    <w:rsid w:val="00DE3E2D"/>
    <w:rsid w:val="00DE3F62"/>
    <w:rsid w:val="00DE40DE"/>
    <w:rsid w:val="00DE41A6"/>
    <w:rsid w:val="00DE4295"/>
    <w:rsid w:val="00DE42CE"/>
    <w:rsid w:val="00DE441F"/>
    <w:rsid w:val="00DE4503"/>
    <w:rsid w:val="00DE45C7"/>
    <w:rsid w:val="00DE476E"/>
    <w:rsid w:val="00DE47A4"/>
    <w:rsid w:val="00DE4AAE"/>
    <w:rsid w:val="00DE4B02"/>
    <w:rsid w:val="00DE4B95"/>
    <w:rsid w:val="00DE4CD2"/>
    <w:rsid w:val="00DE4DC4"/>
    <w:rsid w:val="00DE4FB6"/>
    <w:rsid w:val="00DE5170"/>
    <w:rsid w:val="00DE521C"/>
    <w:rsid w:val="00DE55DC"/>
    <w:rsid w:val="00DE55F6"/>
    <w:rsid w:val="00DE5640"/>
    <w:rsid w:val="00DE5A7F"/>
    <w:rsid w:val="00DE5BEA"/>
    <w:rsid w:val="00DE5BEE"/>
    <w:rsid w:val="00DE5C73"/>
    <w:rsid w:val="00DE5D5C"/>
    <w:rsid w:val="00DE5D9B"/>
    <w:rsid w:val="00DE5E30"/>
    <w:rsid w:val="00DE5ECA"/>
    <w:rsid w:val="00DE5FD9"/>
    <w:rsid w:val="00DE6099"/>
    <w:rsid w:val="00DE60D5"/>
    <w:rsid w:val="00DE62FE"/>
    <w:rsid w:val="00DE6333"/>
    <w:rsid w:val="00DE643A"/>
    <w:rsid w:val="00DE653C"/>
    <w:rsid w:val="00DE65DE"/>
    <w:rsid w:val="00DE66AD"/>
    <w:rsid w:val="00DE66C1"/>
    <w:rsid w:val="00DE66C9"/>
    <w:rsid w:val="00DE6881"/>
    <w:rsid w:val="00DE695A"/>
    <w:rsid w:val="00DE6A4B"/>
    <w:rsid w:val="00DE6B1D"/>
    <w:rsid w:val="00DE6DDC"/>
    <w:rsid w:val="00DE6E4B"/>
    <w:rsid w:val="00DE6F68"/>
    <w:rsid w:val="00DE6F71"/>
    <w:rsid w:val="00DE7322"/>
    <w:rsid w:val="00DE7453"/>
    <w:rsid w:val="00DE7548"/>
    <w:rsid w:val="00DE7569"/>
    <w:rsid w:val="00DE75EF"/>
    <w:rsid w:val="00DE76F5"/>
    <w:rsid w:val="00DE780D"/>
    <w:rsid w:val="00DE7866"/>
    <w:rsid w:val="00DE7978"/>
    <w:rsid w:val="00DE79D3"/>
    <w:rsid w:val="00DE7A5C"/>
    <w:rsid w:val="00DE7C2C"/>
    <w:rsid w:val="00DE7D55"/>
    <w:rsid w:val="00DE7FC4"/>
    <w:rsid w:val="00DF038C"/>
    <w:rsid w:val="00DF042C"/>
    <w:rsid w:val="00DF047A"/>
    <w:rsid w:val="00DF048E"/>
    <w:rsid w:val="00DF04F3"/>
    <w:rsid w:val="00DF058C"/>
    <w:rsid w:val="00DF06B6"/>
    <w:rsid w:val="00DF0835"/>
    <w:rsid w:val="00DF0C3B"/>
    <w:rsid w:val="00DF0CBD"/>
    <w:rsid w:val="00DF0E70"/>
    <w:rsid w:val="00DF0F2C"/>
    <w:rsid w:val="00DF0F55"/>
    <w:rsid w:val="00DF1304"/>
    <w:rsid w:val="00DF1339"/>
    <w:rsid w:val="00DF139D"/>
    <w:rsid w:val="00DF13F8"/>
    <w:rsid w:val="00DF1448"/>
    <w:rsid w:val="00DF1477"/>
    <w:rsid w:val="00DF147C"/>
    <w:rsid w:val="00DF15BD"/>
    <w:rsid w:val="00DF1819"/>
    <w:rsid w:val="00DF1B1C"/>
    <w:rsid w:val="00DF1B97"/>
    <w:rsid w:val="00DF1BCB"/>
    <w:rsid w:val="00DF1BE2"/>
    <w:rsid w:val="00DF1DEC"/>
    <w:rsid w:val="00DF1E60"/>
    <w:rsid w:val="00DF1FE2"/>
    <w:rsid w:val="00DF2364"/>
    <w:rsid w:val="00DF2447"/>
    <w:rsid w:val="00DF247D"/>
    <w:rsid w:val="00DF250F"/>
    <w:rsid w:val="00DF251F"/>
    <w:rsid w:val="00DF25ED"/>
    <w:rsid w:val="00DF267E"/>
    <w:rsid w:val="00DF26F9"/>
    <w:rsid w:val="00DF2797"/>
    <w:rsid w:val="00DF28B9"/>
    <w:rsid w:val="00DF2A00"/>
    <w:rsid w:val="00DF2C45"/>
    <w:rsid w:val="00DF2CA0"/>
    <w:rsid w:val="00DF2CA6"/>
    <w:rsid w:val="00DF2DC7"/>
    <w:rsid w:val="00DF30B3"/>
    <w:rsid w:val="00DF3139"/>
    <w:rsid w:val="00DF3370"/>
    <w:rsid w:val="00DF34E6"/>
    <w:rsid w:val="00DF363F"/>
    <w:rsid w:val="00DF3716"/>
    <w:rsid w:val="00DF3727"/>
    <w:rsid w:val="00DF37C3"/>
    <w:rsid w:val="00DF37D9"/>
    <w:rsid w:val="00DF3AAF"/>
    <w:rsid w:val="00DF3B89"/>
    <w:rsid w:val="00DF3BC7"/>
    <w:rsid w:val="00DF3BF7"/>
    <w:rsid w:val="00DF3D2F"/>
    <w:rsid w:val="00DF3EFD"/>
    <w:rsid w:val="00DF4195"/>
    <w:rsid w:val="00DF431B"/>
    <w:rsid w:val="00DF43D0"/>
    <w:rsid w:val="00DF448B"/>
    <w:rsid w:val="00DF462D"/>
    <w:rsid w:val="00DF4639"/>
    <w:rsid w:val="00DF47B0"/>
    <w:rsid w:val="00DF4814"/>
    <w:rsid w:val="00DF4870"/>
    <w:rsid w:val="00DF4918"/>
    <w:rsid w:val="00DF4954"/>
    <w:rsid w:val="00DF4B13"/>
    <w:rsid w:val="00DF4B20"/>
    <w:rsid w:val="00DF4BA7"/>
    <w:rsid w:val="00DF4CCF"/>
    <w:rsid w:val="00DF4E12"/>
    <w:rsid w:val="00DF4EA7"/>
    <w:rsid w:val="00DF4FA2"/>
    <w:rsid w:val="00DF4FE5"/>
    <w:rsid w:val="00DF506F"/>
    <w:rsid w:val="00DF519F"/>
    <w:rsid w:val="00DF51F5"/>
    <w:rsid w:val="00DF5249"/>
    <w:rsid w:val="00DF5421"/>
    <w:rsid w:val="00DF549B"/>
    <w:rsid w:val="00DF54EA"/>
    <w:rsid w:val="00DF5564"/>
    <w:rsid w:val="00DF57A1"/>
    <w:rsid w:val="00DF57AD"/>
    <w:rsid w:val="00DF5A5F"/>
    <w:rsid w:val="00DF5A6E"/>
    <w:rsid w:val="00DF5B2A"/>
    <w:rsid w:val="00DF5C7D"/>
    <w:rsid w:val="00DF5C86"/>
    <w:rsid w:val="00DF5DDE"/>
    <w:rsid w:val="00DF5F8D"/>
    <w:rsid w:val="00DF602A"/>
    <w:rsid w:val="00DF6135"/>
    <w:rsid w:val="00DF618B"/>
    <w:rsid w:val="00DF6199"/>
    <w:rsid w:val="00DF6258"/>
    <w:rsid w:val="00DF62A0"/>
    <w:rsid w:val="00DF6469"/>
    <w:rsid w:val="00DF65FD"/>
    <w:rsid w:val="00DF664B"/>
    <w:rsid w:val="00DF66A3"/>
    <w:rsid w:val="00DF66BC"/>
    <w:rsid w:val="00DF68E2"/>
    <w:rsid w:val="00DF6A2D"/>
    <w:rsid w:val="00DF6AA8"/>
    <w:rsid w:val="00DF6BEC"/>
    <w:rsid w:val="00DF6FBC"/>
    <w:rsid w:val="00DF6FE3"/>
    <w:rsid w:val="00DF709C"/>
    <w:rsid w:val="00DF7125"/>
    <w:rsid w:val="00DF71AD"/>
    <w:rsid w:val="00DF730F"/>
    <w:rsid w:val="00DF7338"/>
    <w:rsid w:val="00DF7466"/>
    <w:rsid w:val="00DF75D7"/>
    <w:rsid w:val="00DF79AC"/>
    <w:rsid w:val="00DF7A25"/>
    <w:rsid w:val="00DF7A92"/>
    <w:rsid w:val="00DF7B5A"/>
    <w:rsid w:val="00DF7D71"/>
    <w:rsid w:val="00DF7DFA"/>
    <w:rsid w:val="00DF7E38"/>
    <w:rsid w:val="00DFA07D"/>
    <w:rsid w:val="00DFC038"/>
    <w:rsid w:val="00E0016A"/>
    <w:rsid w:val="00E00238"/>
    <w:rsid w:val="00E00433"/>
    <w:rsid w:val="00E004EB"/>
    <w:rsid w:val="00E005E2"/>
    <w:rsid w:val="00E005F3"/>
    <w:rsid w:val="00E00613"/>
    <w:rsid w:val="00E0063C"/>
    <w:rsid w:val="00E006B6"/>
    <w:rsid w:val="00E0070D"/>
    <w:rsid w:val="00E00757"/>
    <w:rsid w:val="00E007BA"/>
    <w:rsid w:val="00E00887"/>
    <w:rsid w:val="00E0091B"/>
    <w:rsid w:val="00E00AA8"/>
    <w:rsid w:val="00E00AD3"/>
    <w:rsid w:val="00E00B8B"/>
    <w:rsid w:val="00E00C8C"/>
    <w:rsid w:val="00E00FD5"/>
    <w:rsid w:val="00E01011"/>
    <w:rsid w:val="00E010AD"/>
    <w:rsid w:val="00E010D0"/>
    <w:rsid w:val="00E01102"/>
    <w:rsid w:val="00E01169"/>
    <w:rsid w:val="00E0119C"/>
    <w:rsid w:val="00E01347"/>
    <w:rsid w:val="00E013A0"/>
    <w:rsid w:val="00E014EE"/>
    <w:rsid w:val="00E0161E"/>
    <w:rsid w:val="00E016A2"/>
    <w:rsid w:val="00E016F2"/>
    <w:rsid w:val="00E01737"/>
    <w:rsid w:val="00E01806"/>
    <w:rsid w:val="00E018D5"/>
    <w:rsid w:val="00E01965"/>
    <w:rsid w:val="00E01D24"/>
    <w:rsid w:val="00E01E28"/>
    <w:rsid w:val="00E01F52"/>
    <w:rsid w:val="00E01FE1"/>
    <w:rsid w:val="00E02051"/>
    <w:rsid w:val="00E0206A"/>
    <w:rsid w:val="00E02132"/>
    <w:rsid w:val="00E0215E"/>
    <w:rsid w:val="00E02204"/>
    <w:rsid w:val="00E02207"/>
    <w:rsid w:val="00E02296"/>
    <w:rsid w:val="00E0231C"/>
    <w:rsid w:val="00E02448"/>
    <w:rsid w:val="00E0246A"/>
    <w:rsid w:val="00E02470"/>
    <w:rsid w:val="00E0262D"/>
    <w:rsid w:val="00E0267C"/>
    <w:rsid w:val="00E028A3"/>
    <w:rsid w:val="00E0293F"/>
    <w:rsid w:val="00E02A5D"/>
    <w:rsid w:val="00E02B23"/>
    <w:rsid w:val="00E02CCD"/>
    <w:rsid w:val="00E02D61"/>
    <w:rsid w:val="00E02E1C"/>
    <w:rsid w:val="00E02E47"/>
    <w:rsid w:val="00E02FC2"/>
    <w:rsid w:val="00E030B3"/>
    <w:rsid w:val="00E03276"/>
    <w:rsid w:val="00E03413"/>
    <w:rsid w:val="00E035C1"/>
    <w:rsid w:val="00E035C2"/>
    <w:rsid w:val="00E036D4"/>
    <w:rsid w:val="00E03763"/>
    <w:rsid w:val="00E03831"/>
    <w:rsid w:val="00E0385E"/>
    <w:rsid w:val="00E03A14"/>
    <w:rsid w:val="00E03A3C"/>
    <w:rsid w:val="00E03C99"/>
    <w:rsid w:val="00E03CBF"/>
    <w:rsid w:val="00E0403C"/>
    <w:rsid w:val="00E0404D"/>
    <w:rsid w:val="00E04090"/>
    <w:rsid w:val="00E04127"/>
    <w:rsid w:val="00E0413E"/>
    <w:rsid w:val="00E0414C"/>
    <w:rsid w:val="00E04283"/>
    <w:rsid w:val="00E043DB"/>
    <w:rsid w:val="00E04532"/>
    <w:rsid w:val="00E04709"/>
    <w:rsid w:val="00E04777"/>
    <w:rsid w:val="00E04832"/>
    <w:rsid w:val="00E04882"/>
    <w:rsid w:val="00E04BE5"/>
    <w:rsid w:val="00E04BF2"/>
    <w:rsid w:val="00E04C8F"/>
    <w:rsid w:val="00E04DC2"/>
    <w:rsid w:val="00E04E21"/>
    <w:rsid w:val="00E04E92"/>
    <w:rsid w:val="00E04F74"/>
    <w:rsid w:val="00E0536B"/>
    <w:rsid w:val="00E05484"/>
    <w:rsid w:val="00E05495"/>
    <w:rsid w:val="00E05667"/>
    <w:rsid w:val="00E05777"/>
    <w:rsid w:val="00E05788"/>
    <w:rsid w:val="00E05A01"/>
    <w:rsid w:val="00E05C23"/>
    <w:rsid w:val="00E05E26"/>
    <w:rsid w:val="00E05E55"/>
    <w:rsid w:val="00E05F20"/>
    <w:rsid w:val="00E05F4D"/>
    <w:rsid w:val="00E05F54"/>
    <w:rsid w:val="00E06106"/>
    <w:rsid w:val="00E061B2"/>
    <w:rsid w:val="00E06233"/>
    <w:rsid w:val="00E06389"/>
    <w:rsid w:val="00E067AC"/>
    <w:rsid w:val="00E067E1"/>
    <w:rsid w:val="00E068B2"/>
    <w:rsid w:val="00E06950"/>
    <w:rsid w:val="00E06A54"/>
    <w:rsid w:val="00E06B66"/>
    <w:rsid w:val="00E06C20"/>
    <w:rsid w:val="00E06C76"/>
    <w:rsid w:val="00E06D03"/>
    <w:rsid w:val="00E06E99"/>
    <w:rsid w:val="00E06F70"/>
    <w:rsid w:val="00E07127"/>
    <w:rsid w:val="00E072E1"/>
    <w:rsid w:val="00E074BC"/>
    <w:rsid w:val="00E07530"/>
    <w:rsid w:val="00E077E8"/>
    <w:rsid w:val="00E07852"/>
    <w:rsid w:val="00E07AD5"/>
    <w:rsid w:val="00E07BFB"/>
    <w:rsid w:val="00E07C43"/>
    <w:rsid w:val="00E07D49"/>
    <w:rsid w:val="00E07D90"/>
    <w:rsid w:val="00E0ACBD"/>
    <w:rsid w:val="00E10127"/>
    <w:rsid w:val="00E1012A"/>
    <w:rsid w:val="00E10286"/>
    <w:rsid w:val="00E102AB"/>
    <w:rsid w:val="00E103C8"/>
    <w:rsid w:val="00E103E9"/>
    <w:rsid w:val="00E10913"/>
    <w:rsid w:val="00E1099C"/>
    <w:rsid w:val="00E10B12"/>
    <w:rsid w:val="00E10BFE"/>
    <w:rsid w:val="00E10F44"/>
    <w:rsid w:val="00E11169"/>
    <w:rsid w:val="00E11188"/>
    <w:rsid w:val="00E111AD"/>
    <w:rsid w:val="00E1128E"/>
    <w:rsid w:val="00E1128F"/>
    <w:rsid w:val="00E112D8"/>
    <w:rsid w:val="00E11339"/>
    <w:rsid w:val="00E11355"/>
    <w:rsid w:val="00E114F6"/>
    <w:rsid w:val="00E1157F"/>
    <w:rsid w:val="00E11587"/>
    <w:rsid w:val="00E11677"/>
    <w:rsid w:val="00E116B6"/>
    <w:rsid w:val="00E117B5"/>
    <w:rsid w:val="00E11905"/>
    <w:rsid w:val="00E11959"/>
    <w:rsid w:val="00E11A71"/>
    <w:rsid w:val="00E11B14"/>
    <w:rsid w:val="00E11B77"/>
    <w:rsid w:val="00E11C27"/>
    <w:rsid w:val="00E11CF2"/>
    <w:rsid w:val="00E11D12"/>
    <w:rsid w:val="00E11DBC"/>
    <w:rsid w:val="00E11EC1"/>
    <w:rsid w:val="00E11F77"/>
    <w:rsid w:val="00E11FD2"/>
    <w:rsid w:val="00E12317"/>
    <w:rsid w:val="00E124A7"/>
    <w:rsid w:val="00E125EC"/>
    <w:rsid w:val="00E1268B"/>
    <w:rsid w:val="00E126AD"/>
    <w:rsid w:val="00E1277B"/>
    <w:rsid w:val="00E128B3"/>
    <w:rsid w:val="00E128E4"/>
    <w:rsid w:val="00E12DCA"/>
    <w:rsid w:val="00E12DD2"/>
    <w:rsid w:val="00E12F1E"/>
    <w:rsid w:val="00E12F43"/>
    <w:rsid w:val="00E13055"/>
    <w:rsid w:val="00E1311B"/>
    <w:rsid w:val="00E1311C"/>
    <w:rsid w:val="00E131F5"/>
    <w:rsid w:val="00E1322B"/>
    <w:rsid w:val="00E1345D"/>
    <w:rsid w:val="00E134E4"/>
    <w:rsid w:val="00E134E6"/>
    <w:rsid w:val="00E135B1"/>
    <w:rsid w:val="00E13656"/>
    <w:rsid w:val="00E13923"/>
    <w:rsid w:val="00E13ADA"/>
    <w:rsid w:val="00E13CDA"/>
    <w:rsid w:val="00E13CEC"/>
    <w:rsid w:val="00E14098"/>
    <w:rsid w:val="00E1429D"/>
    <w:rsid w:val="00E14332"/>
    <w:rsid w:val="00E14395"/>
    <w:rsid w:val="00E14441"/>
    <w:rsid w:val="00E14676"/>
    <w:rsid w:val="00E14690"/>
    <w:rsid w:val="00E146CF"/>
    <w:rsid w:val="00E14731"/>
    <w:rsid w:val="00E14738"/>
    <w:rsid w:val="00E1481D"/>
    <w:rsid w:val="00E1482C"/>
    <w:rsid w:val="00E1498F"/>
    <w:rsid w:val="00E14A4F"/>
    <w:rsid w:val="00E14A88"/>
    <w:rsid w:val="00E14AA4"/>
    <w:rsid w:val="00E14B5A"/>
    <w:rsid w:val="00E14B87"/>
    <w:rsid w:val="00E14D42"/>
    <w:rsid w:val="00E14DCC"/>
    <w:rsid w:val="00E14E49"/>
    <w:rsid w:val="00E14FD9"/>
    <w:rsid w:val="00E1518A"/>
    <w:rsid w:val="00E1521D"/>
    <w:rsid w:val="00E15304"/>
    <w:rsid w:val="00E153C7"/>
    <w:rsid w:val="00E153CB"/>
    <w:rsid w:val="00E153D0"/>
    <w:rsid w:val="00E15730"/>
    <w:rsid w:val="00E1579C"/>
    <w:rsid w:val="00E15BF7"/>
    <w:rsid w:val="00E15C03"/>
    <w:rsid w:val="00E16008"/>
    <w:rsid w:val="00E1606F"/>
    <w:rsid w:val="00E1618C"/>
    <w:rsid w:val="00E1634F"/>
    <w:rsid w:val="00E163FC"/>
    <w:rsid w:val="00E1644C"/>
    <w:rsid w:val="00E16614"/>
    <w:rsid w:val="00E16711"/>
    <w:rsid w:val="00E167FD"/>
    <w:rsid w:val="00E16800"/>
    <w:rsid w:val="00E16859"/>
    <w:rsid w:val="00E16866"/>
    <w:rsid w:val="00E16891"/>
    <w:rsid w:val="00E16892"/>
    <w:rsid w:val="00E16925"/>
    <w:rsid w:val="00E16A00"/>
    <w:rsid w:val="00E16AE5"/>
    <w:rsid w:val="00E16BA4"/>
    <w:rsid w:val="00E16BB2"/>
    <w:rsid w:val="00E16BF3"/>
    <w:rsid w:val="00E16BF4"/>
    <w:rsid w:val="00E16DF8"/>
    <w:rsid w:val="00E16F14"/>
    <w:rsid w:val="00E16F2C"/>
    <w:rsid w:val="00E17029"/>
    <w:rsid w:val="00E17037"/>
    <w:rsid w:val="00E17192"/>
    <w:rsid w:val="00E1719E"/>
    <w:rsid w:val="00E1721A"/>
    <w:rsid w:val="00E17343"/>
    <w:rsid w:val="00E17518"/>
    <w:rsid w:val="00E175B7"/>
    <w:rsid w:val="00E17679"/>
    <w:rsid w:val="00E1789B"/>
    <w:rsid w:val="00E179BD"/>
    <w:rsid w:val="00E17A32"/>
    <w:rsid w:val="00E17AC8"/>
    <w:rsid w:val="00E17D16"/>
    <w:rsid w:val="00E17DA7"/>
    <w:rsid w:val="00E17E0F"/>
    <w:rsid w:val="00E1A335"/>
    <w:rsid w:val="00E200CD"/>
    <w:rsid w:val="00E2016F"/>
    <w:rsid w:val="00E2019D"/>
    <w:rsid w:val="00E20362"/>
    <w:rsid w:val="00E204AE"/>
    <w:rsid w:val="00E204B1"/>
    <w:rsid w:val="00E205D7"/>
    <w:rsid w:val="00E2080F"/>
    <w:rsid w:val="00E20FEA"/>
    <w:rsid w:val="00E21165"/>
    <w:rsid w:val="00E211A5"/>
    <w:rsid w:val="00E21243"/>
    <w:rsid w:val="00E2132B"/>
    <w:rsid w:val="00E21363"/>
    <w:rsid w:val="00E21417"/>
    <w:rsid w:val="00E2150B"/>
    <w:rsid w:val="00E2160A"/>
    <w:rsid w:val="00E21746"/>
    <w:rsid w:val="00E217F5"/>
    <w:rsid w:val="00E21946"/>
    <w:rsid w:val="00E219A0"/>
    <w:rsid w:val="00E21AF5"/>
    <w:rsid w:val="00E21C6C"/>
    <w:rsid w:val="00E21CA7"/>
    <w:rsid w:val="00E21D8E"/>
    <w:rsid w:val="00E21ED5"/>
    <w:rsid w:val="00E22115"/>
    <w:rsid w:val="00E221F4"/>
    <w:rsid w:val="00E2224B"/>
    <w:rsid w:val="00E2227F"/>
    <w:rsid w:val="00E22420"/>
    <w:rsid w:val="00E22608"/>
    <w:rsid w:val="00E22631"/>
    <w:rsid w:val="00E2269E"/>
    <w:rsid w:val="00E22739"/>
    <w:rsid w:val="00E22A19"/>
    <w:rsid w:val="00E22A98"/>
    <w:rsid w:val="00E22B44"/>
    <w:rsid w:val="00E22C7D"/>
    <w:rsid w:val="00E22D5E"/>
    <w:rsid w:val="00E22D78"/>
    <w:rsid w:val="00E22DAB"/>
    <w:rsid w:val="00E22E1E"/>
    <w:rsid w:val="00E22EEF"/>
    <w:rsid w:val="00E23506"/>
    <w:rsid w:val="00E2360F"/>
    <w:rsid w:val="00E23769"/>
    <w:rsid w:val="00E23782"/>
    <w:rsid w:val="00E23792"/>
    <w:rsid w:val="00E23A7B"/>
    <w:rsid w:val="00E23A7D"/>
    <w:rsid w:val="00E23BBC"/>
    <w:rsid w:val="00E23CED"/>
    <w:rsid w:val="00E23D17"/>
    <w:rsid w:val="00E23DB7"/>
    <w:rsid w:val="00E23E7B"/>
    <w:rsid w:val="00E23E96"/>
    <w:rsid w:val="00E23FA2"/>
    <w:rsid w:val="00E23FD2"/>
    <w:rsid w:val="00E24130"/>
    <w:rsid w:val="00E242E9"/>
    <w:rsid w:val="00E2458C"/>
    <w:rsid w:val="00E2458D"/>
    <w:rsid w:val="00E245F6"/>
    <w:rsid w:val="00E247C0"/>
    <w:rsid w:val="00E24977"/>
    <w:rsid w:val="00E24AD6"/>
    <w:rsid w:val="00E24D81"/>
    <w:rsid w:val="00E24F03"/>
    <w:rsid w:val="00E24F82"/>
    <w:rsid w:val="00E24FB9"/>
    <w:rsid w:val="00E25058"/>
    <w:rsid w:val="00E2516E"/>
    <w:rsid w:val="00E25218"/>
    <w:rsid w:val="00E25241"/>
    <w:rsid w:val="00E25299"/>
    <w:rsid w:val="00E2533A"/>
    <w:rsid w:val="00E25410"/>
    <w:rsid w:val="00E257CD"/>
    <w:rsid w:val="00E25944"/>
    <w:rsid w:val="00E25B3D"/>
    <w:rsid w:val="00E25BF5"/>
    <w:rsid w:val="00E25D6E"/>
    <w:rsid w:val="00E26020"/>
    <w:rsid w:val="00E260CC"/>
    <w:rsid w:val="00E260F3"/>
    <w:rsid w:val="00E26272"/>
    <w:rsid w:val="00E26300"/>
    <w:rsid w:val="00E26645"/>
    <w:rsid w:val="00E2665B"/>
    <w:rsid w:val="00E26AB9"/>
    <w:rsid w:val="00E26B0C"/>
    <w:rsid w:val="00E26B44"/>
    <w:rsid w:val="00E26BE3"/>
    <w:rsid w:val="00E26C91"/>
    <w:rsid w:val="00E26CEF"/>
    <w:rsid w:val="00E26DDE"/>
    <w:rsid w:val="00E26EE6"/>
    <w:rsid w:val="00E270B8"/>
    <w:rsid w:val="00E270D5"/>
    <w:rsid w:val="00E27100"/>
    <w:rsid w:val="00E272A2"/>
    <w:rsid w:val="00E27479"/>
    <w:rsid w:val="00E2751F"/>
    <w:rsid w:val="00E27526"/>
    <w:rsid w:val="00E277C1"/>
    <w:rsid w:val="00E2788B"/>
    <w:rsid w:val="00E27905"/>
    <w:rsid w:val="00E27A4B"/>
    <w:rsid w:val="00E27BA7"/>
    <w:rsid w:val="00E27E26"/>
    <w:rsid w:val="00E27FF9"/>
    <w:rsid w:val="00E3004B"/>
    <w:rsid w:val="00E300C3"/>
    <w:rsid w:val="00E300C6"/>
    <w:rsid w:val="00E300E1"/>
    <w:rsid w:val="00E304D8"/>
    <w:rsid w:val="00E304E6"/>
    <w:rsid w:val="00E30596"/>
    <w:rsid w:val="00E3066E"/>
    <w:rsid w:val="00E30896"/>
    <w:rsid w:val="00E30BB9"/>
    <w:rsid w:val="00E30D48"/>
    <w:rsid w:val="00E30D6E"/>
    <w:rsid w:val="00E30E09"/>
    <w:rsid w:val="00E30E38"/>
    <w:rsid w:val="00E30E7B"/>
    <w:rsid w:val="00E30E98"/>
    <w:rsid w:val="00E30FFB"/>
    <w:rsid w:val="00E3134E"/>
    <w:rsid w:val="00E316D5"/>
    <w:rsid w:val="00E31850"/>
    <w:rsid w:val="00E319C2"/>
    <w:rsid w:val="00E319D5"/>
    <w:rsid w:val="00E31AFB"/>
    <w:rsid w:val="00E31B1C"/>
    <w:rsid w:val="00E31B45"/>
    <w:rsid w:val="00E31D56"/>
    <w:rsid w:val="00E31D64"/>
    <w:rsid w:val="00E31EFC"/>
    <w:rsid w:val="00E31F49"/>
    <w:rsid w:val="00E31F9A"/>
    <w:rsid w:val="00E320BF"/>
    <w:rsid w:val="00E32193"/>
    <w:rsid w:val="00E321B7"/>
    <w:rsid w:val="00E32235"/>
    <w:rsid w:val="00E323D1"/>
    <w:rsid w:val="00E3247E"/>
    <w:rsid w:val="00E325AC"/>
    <w:rsid w:val="00E325E0"/>
    <w:rsid w:val="00E32612"/>
    <w:rsid w:val="00E327E0"/>
    <w:rsid w:val="00E3281B"/>
    <w:rsid w:val="00E32CAC"/>
    <w:rsid w:val="00E32CDD"/>
    <w:rsid w:val="00E32D5E"/>
    <w:rsid w:val="00E32EBA"/>
    <w:rsid w:val="00E3309D"/>
    <w:rsid w:val="00E3316A"/>
    <w:rsid w:val="00E331FD"/>
    <w:rsid w:val="00E3323A"/>
    <w:rsid w:val="00E332C1"/>
    <w:rsid w:val="00E334E7"/>
    <w:rsid w:val="00E33645"/>
    <w:rsid w:val="00E33670"/>
    <w:rsid w:val="00E33689"/>
    <w:rsid w:val="00E33705"/>
    <w:rsid w:val="00E338A2"/>
    <w:rsid w:val="00E338BB"/>
    <w:rsid w:val="00E33A13"/>
    <w:rsid w:val="00E33DF2"/>
    <w:rsid w:val="00E33E67"/>
    <w:rsid w:val="00E33FE0"/>
    <w:rsid w:val="00E3402A"/>
    <w:rsid w:val="00E3416A"/>
    <w:rsid w:val="00E34170"/>
    <w:rsid w:val="00E341EE"/>
    <w:rsid w:val="00E344A9"/>
    <w:rsid w:val="00E345CF"/>
    <w:rsid w:val="00E34618"/>
    <w:rsid w:val="00E349A2"/>
    <w:rsid w:val="00E34A69"/>
    <w:rsid w:val="00E34C60"/>
    <w:rsid w:val="00E34CFD"/>
    <w:rsid w:val="00E34D08"/>
    <w:rsid w:val="00E34FA9"/>
    <w:rsid w:val="00E35013"/>
    <w:rsid w:val="00E350C6"/>
    <w:rsid w:val="00E35100"/>
    <w:rsid w:val="00E351C4"/>
    <w:rsid w:val="00E353BA"/>
    <w:rsid w:val="00E35410"/>
    <w:rsid w:val="00E3551B"/>
    <w:rsid w:val="00E3555F"/>
    <w:rsid w:val="00E356DB"/>
    <w:rsid w:val="00E35729"/>
    <w:rsid w:val="00E3584E"/>
    <w:rsid w:val="00E35D5E"/>
    <w:rsid w:val="00E35DCF"/>
    <w:rsid w:val="00E35DE4"/>
    <w:rsid w:val="00E35E47"/>
    <w:rsid w:val="00E3601C"/>
    <w:rsid w:val="00E36190"/>
    <w:rsid w:val="00E36262"/>
    <w:rsid w:val="00E36294"/>
    <w:rsid w:val="00E362FE"/>
    <w:rsid w:val="00E363F1"/>
    <w:rsid w:val="00E365C5"/>
    <w:rsid w:val="00E36635"/>
    <w:rsid w:val="00E36676"/>
    <w:rsid w:val="00E367FA"/>
    <w:rsid w:val="00E36803"/>
    <w:rsid w:val="00E3682C"/>
    <w:rsid w:val="00E368A2"/>
    <w:rsid w:val="00E36A10"/>
    <w:rsid w:val="00E36A47"/>
    <w:rsid w:val="00E36C5B"/>
    <w:rsid w:val="00E36D5C"/>
    <w:rsid w:val="00E36E01"/>
    <w:rsid w:val="00E36E1C"/>
    <w:rsid w:val="00E36E5F"/>
    <w:rsid w:val="00E36F05"/>
    <w:rsid w:val="00E37050"/>
    <w:rsid w:val="00E373AA"/>
    <w:rsid w:val="00E37533"/>
    <w:rsid w:val="00E37550"/>
    <w:rsid w:val="00E3792E"/>
    <w:rsid w:val="00E379E7"/>
    <w:rsid w:val="00E37A62"/>
    <w:rsid w:val="00E37AD1"/>
    <w:rsid w:val="00E37CF0"/>
    <w:rsid w:val="00E37EC8"/>
    <w:rsid w:val="00E37F02"/>
    <w:rsid w:val="00E37F14"/>
    <w:rsid w:val="00E37FF0"/>
    <w:rsid w:val="00E40168"/>
    <w:rsid w:val="00E40183"/>
    <w:rsid w:val="00E401D3"/>
    <w:rsid w:val="00E401E4"/>
    <w:rsid w:val="00E402B3"/>
    <w:rsid w:val="00E40378"/>
    <w:rsid w:val="00E403FE"/>
    <w:rsid w:val="00E404FB"/>
    <w:rsid w:val="00E406CF"/>
    <w:rsid w:val="00E4086B"/>
    <w:rsid w:val="00E408DF"/>
    <w:rsid w:val="00E40997"/>
    <w:rsid w:val="00E40999"/>
    <w:rsid w:val="00E40B04"/>
    <w:rsid w:val="00E40BFA"/>
    <w:rsid w:val="00E40C34"/>
    <w:rsid w:val="00E40CA0"/>
    <w:rsid w:val="00E40E47"/>
    <w:rsid w:val="00E40E79"/>
    <w:rsid w:val="00E40ECE"/>
    <w:rsid w:val="00E41035"/>
    <w:rsid w:val="00E41251"/>
    <w:rsid w:val="00E4132B"/>
    <w:rsid w:val="00E413F9"/>
    <w:rsid w:val="00E415B2"/>
    <w:rsid w:val="00E4164B"/>
    <w:rsid w:val="00E417B1"/>
    <w:rsid w:val="00E417B4"/>
    <w:rsid w:val="00E41866"/>
    <w:rsid w:val="00E4195C"/>
    <w:rsid w:val="00E41A2E"/>
    <w:rsid w:val="00E41AF9"/>
    <w:rsid w:val="00E41B7D"/>
    <w:rsid w:val="00E41C4E"/>
    <w:rsid w:val="00E41C6F"/>
    <w:rsid w:val="00E41CE0"/>
    <w:rsid w:val="00E41DDC"/>
    <w:rsid w:val="00E41F4F"/>
    <w:rsid w:val="00E41FCD"/>
    <w:rsid w:val="00E4200E"/>
    <w:rsid w:val="00E42083"/>
    <w:rsid w:val="00E420D2"/>
    <w:rsid w:val="00E42200"/>
    <w:rsid w:val="00E42283"/>
    <w:rsid w:val="00E423D6"/>
    <w:rsid w:val="00E42646"/>
    <w:rsid w:val="00E42716"/>
    <w:rsid w:val="00E42748"/>
    <w:rsid w:val="00E42753"/>
    <w:rsid w:val="00E42776"/>
    <w:rsid w:val="00E427C7"/>
    <w:rsid w:val="00E42865"/>
    <w:rsid w:val="00E42943"/>
    <w:rsid w:val="00E429A4"/>
    <w:rsid w:val="00E429A7"/>
    <w:rsid w:val="00E42B51"/>
    <w:rsid w:val="00E42D65"/>
    <w:rsid w:val="00E42DEC"/>
    <w:rsid w:val="00E42F6E"/>
    <w:rsid w:val="00E430A2"/>
    <w:rsid w:val="00E43104"/>
    <w:rsid w:val="00E43115"/>
    <w:rsid w:val="00E4318F"/>
    <w:rsid w:val="00E43257"/>
    <w:rsid w:val="00E43549"/>
    <w:rsid w:val="00E43910"/>
    <w:rsid w:val="00E4394C"/>
    <w:rsid w:val="00E43980"/>
    <w:rsid w:val="00E43B5B"/>
    <w:rsid w:val="00E43B69"/>
    <w:rsid w:val="00E43B76"/>
    <w:rsid w:val="00E43BAB"/>
    <w:rsid w:val="00E43D1D"/>
    <w:rsid w:val="00E43DC0"/>
    <w:rsid w:val="00E43DF9"/>
    <w:rsid w:val="00E43E3D"/>
    <w:rsid w:val="00E43F60"/>
    <w:rsid w:val="00E43F94"/>
    <w:rsid w:val="00E44095"/>
    <w:rsid w:val="00E44111"/>
    <w:rsid w:val="00E4424C"/>
    <w:rsid w:val="00E443D4"/>
    <w:rsid w:val="00E445B6"/>
    <w:rsid w:val="00E445CE"/>
    <w:rsid w:val="00E44872"/>
    <w:rsid w:val="00E44AD1"/>
    <w:rsid w:val="00E44C14"/>
    <w:rsid w:val="00E44DA5"/>
    <w:rsid w:val="00E44E5E"/>
    <w:rsid w:val="00E44EE0"/>
    <w:rsid w:val="00E44FE1"/>
    <w:rsid w:val="00E4501E"/>
    <w:rsid w:val="00E4506E"/>
    <w:rsid w:val="00E4508C"/>
    <w:rsid w:val="00E450B5"/>
    <w:rsid w:val="00E4510F"/>
    <w:rsid w:val="00E45115"/>
    <w:rsid w:val="00E451B7"/>
    <w:rsid w:val="00E452C5"/>
    <w:rsid w:val="00E452FA"/>
    <w:rsid w:val="00E4542E"/>
    <w:rsid w:val="00E45691"/>
    <w:rsid w:val="00E456B2"/>
    <w:rsid w:val="00E459B9"/>
    <w:rsid w:val="00E459D9"/>
    <w:rsid w:val="00E45A87"/>
    <w:rsid w:val="00E45C98"/>
    <w:rsid w:val="00E45D20"/>
    <w:rsid w:val="00E45E0C"/>
    <w:rsid w:val="00E45ECF"/>
    <w:rsid w:val="00E45EE2"/>
    <w:rsid w:val="00E45EFE"/>
    <w:rsid w:val="00E45F7C"/>
    <w:rsid w:val="00E45FBD"/>
    <w:rsid w:val="00E46033"/>
    <w:rsid w:val="00E4610D"/>
    <w:rsid w:val="00E46154"/>
    <w:rsid w:val="00E4616A"/>
    <w:rsid w:val="00E46328"/>
    <w:rsid w:val="00E46615"/>
    <w:rsid w:val="00E466AD"/>
    <w:rsid w:val="00E46750"/>
    <w:rsid w:val="00E4677A"/>
    <w:rsid w:val="00E468F7"/>
    <w:rsid w:val="00E4690B"/>
    <w:rsid w:val="00E46AB4"/>
    <w:rsid w:val="00E46BFB"/>
    <w:rsid w:val="00E46DF3"/>
    <w:rsid w:val="00E47024"/>
    <w:rsid w:val="00E471B8"/>
    <w:rsid w:val="00E47315"/>
    <w:rsid w:val="00E47326"/>
    <w:rsid w:val="00E47377"/>
    <w:rsid w:val="00E4737E"/>
    <w:rsid w:val="00E4763B"/>
    <w:rsid w:val="00E4775C"/>
    <w:rsid w:val="00E478A5"/>
    <w:rsid w:val="00E478FF"/>
    <w:rsid w:val="00E47A96"/>
    <w:rsid w:val="00E47B51"/>
    <w:rsid w:val="00E47BF1"/>
    <w:rsid w:val="00E4A296"/>
    <w:rsid w:val="00E50047"/>
    <w:rsid w:val="00E5007A"/>
    <w:rsid w:val="00E5023B"/>
    <w:rsid w:val="00E502D8"/>
    <w:rsid w:val="00E503C3"/>
    <w:rsid w:val="00E5043F"/>
    <w:rsid w:val="00E5058E"/>
    <w:rsid w:val="00E50B12"/>
    <w:rsid w:val="00E50C7E"/>
    <w:rsid w:val="00E50CD7"/>
    <w:rsid w:val="00E50CFD"/>
    <w:rsid w:val="00E50DE3"/>
    <w:rsid w:val="00E50F1E"/>
    <w:rsid w:val="00E50F46"/>
    <w:rsid w:val="00E510D9"/>
    <w:rsid w:val="00E511C4"/>
    <w:rsid w:val="00E513D7"/>
    <w:rsid w:val="00E5151D"/>
    <w:rsid w:val="00E51566"/>
    <w:rsid w:val="00E515B1"/>
    <w:rsid w:val="00E517B3"/>
    <w:rsid w:val="00E51FED"/>
    <w:rsid w:val="00E52002"/>
    <w:rsid w:val="00E520C8"/>
    <w:rsid w:val="00E520D4"/>
    <w:rsid w:val="00E522FB"/>
    <w:rsid w:val="00E5249C"/>
    <w:rsid w:val="00E524D4"/>
    <w:rsid w:val="00E5250F"/>
    <w:rsid w:val="00E525DB"/>
    <w:rsid w:val="00E52702"/>
    <w:rsid w:val="00E52786"/>
    <w:rsid w:val="00E52828"/>
    <w:rsid w:val="00E528EF"/>
    <w:rsid w:val="00E52956"/>
    <w:rsid w:val="00E52A8A"/>
    <w:rsid w:val="00E52B15"/>
    <w:rsid w:val="00E52B63"/>
    <w:rsid w:val="00E52C33"/>
    <w:rsid w:val="00E52DBA"/>
    <w:rsid w:val="00E52E3C"/>
    <w:rsid w:val="00E52F4E"/>
    <w:rsid w:val="00E5301D"/>
    <w:rsid w:val="00E53041"/>
    <w:rsid w:val="00E5307C"/>
    <w:rsid w:val="00E531E3"/>
    <w:rsid w:val="00E533FC"/>
    <w:rsid w:val="00E5349D"/>
    <w:rsid w:val="00E534D9"/>
    <w:rsid w:val="00E53679"/>
    <w:rsid w:val="00E53898"/>
    <w:rsid w:val="00E539AB"/>
    <w:rsid w:val="00E53BB0"/>
    <w:rsid w:val="00E53C05"/>
    <w:rsid w:val="00E53E9B"/>
    <w:rsid w:val="00E53F53"/>
    <w:rsid w:val="00E53FDA"/>
    <w:rsid w:val="00E54158"/>
    <w:rsid w:val="00E5416F"/>
    <w:rsid w:val="00E5434D"/>
    <w:rsid w:val="00E54493"/>
    <w:rsid w:val="00E545D6"/>
    <w:rsid w:val="00E546E7"/>
    <w:rsid w:val="00E54713"/>
    <w:rsid w:val="00E5494F"/>
    <w:rsid w:val="00E549CF"/>
    <w:rsid w:val="00E54A7D"/>
    <w:rsid w:val="00E54CAA"/>
    <w:rsid w:val="00E54F40"/>
    <w:rsid w:val="00E54F75"/>
    <w:rsid w:val="00E54F76"/>
    <w:rsid w:val="00E5509E"/>
    <w:rsid w:val="00E550F8"/>
    <w:rsid w:val="00E55260"/>
    <w:rsid w:val="00E553A6"/>
    <w:rsid w:val="00E553F4"/>
    <w:rsid w:val="00E555AD"/>
    <w:rsid w:val="00E55649"/>
    <w:rsid w:val="00E5568B"/>
    <w:rsid w:val="00E556F8"/>
    <w:rsid w:val="00E558C1"/>
    <w:rsid w:val="00E55994"/>
    <w:rsid w:val="00E559E7"/>
    <w:rsid w:val="00E55A9F"/>
    <w:rsid w:val="00E55B59"/>
    <w:rsid w:val="00E55BCA"/>
    <w:rsid w:val="00E55E80"/>
    <w:rsid w:val="00E55EE1"/>
    <w:rsid w:val="00E55F72"/>
    <w:rsid w:val="00E561CE"/>
    <w:rsid w:val="00E562A6"/>
    <w:rsid w:val="00E562D0"/>
    <w:rsid w:val="00E564AC"/>
    <w:rsid w:val="00E56503"/>
    <w:rsid w:val="00E56580"/>
    <w:rsid w:val="00E56651"/>
    <w:rsid w:val="00E566B7"/>
    <w:rsid w:val="00E56808"/>
    <w:rsid w:val="00E56818"/>
    <w:rsid w:val="00E56907"/>
    <w:rsid w:val="00E56C7E"/>
    <w:rsid w:val="00E56CA9"/>
    <w:rsid w:val="00E56EB5"/>
    <w:rsid w:val="00E56FB0"/>
    <w:rsid w:val="00E5702E"/>
    <w:rsid w:val="00E571B5"/>
    <w:rsid w:val="00E571FB"/>
    <w:rsid w:val="00E57273"/>
    <w:rsid w:val="00E5727E"/>
    <w:rsid w:val="00E572F8"/>
    <w:rsid w:val="00E57312"/>
    <w:rsid w:val="00E575E9"/>
    <w:rsid w:val="00E5768D"/>
    <w:rsid w:val="00E5774D"/>
    <w:rsid w:val="00E5778A"/>
    <w:rsid w:val="00E5785B"/>
    <w:rsid w:val="00E57866"/>
    <w:rsid w:val="00E57934"/>
    <w:rsid w:val="00E57A77"/>
    <w:rsid w:val="00E57C56"/>
    <w:rsid w:val="00E57CC5"/>
    <w:rsid w:val="00E57E6D"/>
    <w:rsid w:val="00E57E8C"/>
    <w:rsid w:val="00E57EF9"/>
    <w:rsid w:val="00E5CA1E"/>
    <w:rsid w:val="00E60014"/>
    <w:rsid w:val="00E60299"/>
    <w:rsid w:val="00E603FD"/>
    <w:rsid w:val="00E606C9"/>
    <w:rsid w:val="00E60882"/>
    <w:rsid w:val="00E608B4"/>
    <w:rsid w:val="00E60952"/>
    <w:rsid w:val="00E6096B"/>
    <w:rsid w:val="00E60979"/>
    <w:rsid w:val="00E60AEE"/>
    <w:rsid w:val="00E60AF7"/>
    <w:rsid w:val="00E60B6F"/>
    <w:rsid w:val="00E60BEB"/>
    <w:rsid w:val="00E60C12"/>
    <w:rsid w:val="00E60C2F"/>
    <w:rsid w:val="00E60D32"/>
    <w:rsid w:val="00E60D7D"/>
    <w:rsid w:val="00E60E4A"/>
    <w:rsid w:val="00E60E9F"/>
    <w:rsid w:val="00E60F4E"/>
    <w:rsid w:val="00E61009"/>
    <w:rsid w:val="00E61038"/>
    <w:rsid w:val="00E61109"/>
    <w:rsid w:val="00E613CF"/>
    <w:rsid w:val="00E614E2"/>
    <w:rsid w:val="00E6182B"/>
    <w:rsid w:val="00E618DD"/>
    <w:rsid w:val="00E618E6"/>
    <w:rsid w:val="00E61955"/>
    <w:rsid w:val="00E6196B"/>
    <w:rsid w:val="00E619C5"/>
    <w:rsid w:val="00E61A39"/>
    <w:rsid w:val="00E61C6F"/>
    <w:rsid w:val="00E61D9C"/>
    <w:rsid w:val="00E61E40"/>
    <w:rsid w:val="00E61E68"/>
    <w:rsid w:val="00E61FBC"/>
    <w:rsid w:val="00E61FD6"/>
    <w:rsid w:val="00E6209B"/>
    <w:rsid w:val="00E6214F"/>
    <w:rsid w:val="00E621F5"/>
    <w:rsid w:val="00E6225D"/>
    <w:rsid w:val="00E623F1"/>
    <w:rsid w:val="00E62458"/>
    <w:rsid w:val="00E624D8"/>
    <w:rsid w:val="00E62677"/>
    <w:rsid w:val="00E6276D"/>
    <w:rsid w:val="00E62777"/>
    <w:rsid w:val="00E629F0"/>
    <w:rsid w:val="00E62BA7"/>
    <w:rsid w:val="00E62D6F"/>
    <w:rsid w:val="00E62D84"/>
    <w:rsid w:val="00E631EE"/>
    <w:rsid w:val="00E632AA"/>
    <w:rsid w:val="00E63309"/>
    <w:rsid w:val="00E63678"/>
    <w:rsid w:val="00E6379F"/>
    <w:rsid w:val="00E63850"/>
    <w:rsid w:val="00E63955"/>
    <w:rsid w:val="00E63A03"/>
    <w:rsid w:val="00E63B62"/>
    <w:rsid w:val="00E63EEC"/>
    <w:rsid w:val="00E63FB0"/>
    <w:rsid w:val="00E64044"/>
    <w:rsid w:val="00E640EE"/>
    <w:rsid w:val="00E64125"/>
    <w:rsid w:val="00E64176"/>
    <w:rsid w:val="00E64452"/>
    <w:rsid w:val="00E644DE"/>
    <w:rsid w:val="00E6483E"/>
    <w:rsid w:val="00E648E8"/>
    <w:rsid w:val="00E649E8"/>
    <w:rsid w:val="00E649ED"/>
    <w:rsid w:val="00E64AD3"/>
    <w:rsid w:val="00E64AF6"/>
    <w:rsid w:val="00E64B40"/>
    <w:rsid w:val="00E64D06"/>
    <w:rsid w:val="00E6529D"/>
    <w:rsid w:val="00E65420"/>
    <w:rsid w:val="00E65521"/>
    <w:rsid w:val="00E65701"/>
    <w:rsid w:val="00E6575E"/>
    <w:rsid w:val="00E657B5"/>
    <w:rsid w:val="00E657D1"/>
    <w:rsid w:val="00E6584C"/>
    <w:rsid w:val="00E65A31"/>
    <w:rsid w:val="00E65B94"/>
    <w:rsid w:val="00E65CF0"/>
    <w:rsid w:val="00E65D42"/>
    <w:rsid w:val="00E65D47"/>
    <w:rsid w:val="00E65D65"/>
    <w:rsid w:val="00E65D69"/>
    <w:rsid w:val="00E65E07"/>
    <w:rsid w:val="00E65E75"/>
    <w:rsid w:val="00E65F86"/>
    <w:rsid w:val="00E65FA0"/>
    <w:rsid w:val="00E66024"/>
    <w:rsid w:val="00E6613B"/>
    <w:rsid w:val="00E66456"/>
    <w:rsid w:val="00E66493"/>
    <w:rsid w:val="00E664F2"/>
    <w:rsid w:val="00E66588"/>
    <w:rsid w:val="00E665AA"/>
    <w:rsid w:val="00E66689"/>
    <w:rsid w:val="00E6674F"/>
    <w:rsid w:val="00E6693C"/>
    <w:rsid w:val="00E66A0D"/>
    <w:rsid w:val="00E672BB"/>
    <w:rsid w:val="00E6744E"/>
    <w:rsid w:val="00E67574"/>
    <w:rsid w:val="00E6759A"/>
    <w:rsid w:val="00E67600"/>
    <w:rsid w:val="00E6778C"/>
    <w:rsid w:val="00E678BC"/>
    <w:rsid w:val="00E678EA"/>
    <w:rsid w:val="00E67A91"/>
    <w:rsid w:val="00E67CBD"/>
    <w:rsid w:val="00E67E21"/>
    <w:rsid w:val="00E6ECA9"/>
    <w:rsid w:val="00E7008F"/>
    <w:rsid w:val="00E700D0"/>
    <w:rsid w:val="00E70276"/>
    <w:rsid w:val="00E7029A"/>
    <w:rsid w:val="00E702B0"/>
    <w:rsid w:val="00E70329"/>
    <w:rsid w:val="00E704B0"/>
    <w:rsid w:val="00E7063F"/>
    <w:rsid w:val="00E706DA"/>
    <w:rsid w:val="00E7080C"/>
    <w:rsid w:val="00E70915"/>
    <w:rsid w:val="00E7099F"/>
    <w:rsid w:val="00E70AB8"/>
    <w:rsid w:val="00E70B66"/>
    <w:rsid w:val="00E70EE0"/>
    <w:rsid w:val="00E70F60"/>
    <w:rsid w:val="00E71046"/>
    <w:rsid w:val="00E7111A"/>
    <w:rsid w:val="00E71192"/>
    <w:rsid w:val="00E71306"/>
    <w:rsid w:val="00E71310"/>
    <w:rsid w:val="00E7149C"/>
    <w:rsid w:val="00E7160F"/>
    <w:rsid w:val="00E716DF"/>
    <w:rsid w:val="00E718EF"/>
    <w:rsid w:val="00E719E7"/>
    <w:rsid w:val="00E71AE9"/>
    <w:rsid w:val="00E71B14"/>
    <w:rsid w:val="00E71C10"/>
    <w:rsid w:val="00E71C7C"/>
    <w:rsid w:val="00E71DD3"/>
    <w:rsid w:val="00E71EA6"/>
    <w:rsid w:val="00E72011"/>
    <w:rsid w:val="00E7215F"/>
    <w:rsid w:val="00E721F8"/>
    <w:rsid w:val="00E722B5"/>
    <w:rsid w:val="00E722CA"/>
    <w:rsid w:val="00E725EC"/>
    <w:rsid w:val="00E727F0"/>
    <w:rsid w:val="00E729D6"/>
    <w:rsid w:val="00E72AAA"/>
    <w:rsid w:val="00E72AF8"/>
    <w:rsid w:val="00E72B22"/>
    <w:rsid w:val="00E72CEE"/>
    <w:rsid w:val="00E72D19"/>
    <w:rsid w:val="00E72DFE"/>
    <w:rsid w:val="00E72E1B"/>
    <w:rsid w:val="00E73109"/>
    <w:rsid w:val="00E73159"/>
    <w:rsid w:val="00E731CF"/>
    <w:rsid w:val="00E731F8"/>
    <w:rsid w:val="00E7320D"/>
    <w:rsid w:val="00E73366"/>
    <w:rsid w:val="00E7339B"/>
    <w:rsid w:val="00E733C7"/>
    <w:rsid w:val="00E734F1"/>
    <w:rsid w:val="00E73598"/>
    <w:rsid w:val="00E737E4"/>
    <w:rsid w:val="00E7383C"/>
    <w:rsid w:val="00E7397E"/>
    <w:rsid w:val="00E73A31"/>
    <w:rsid w:val="00E73B20"/>
    <w:rsid w:val="00E73C42"/>
    <w:rsid w:val="00E73C63"/>
    <w:rsid w:val="00E73CB3"/>
    <w:rsid w:val="00E73CB7"/>
    <w:rsid w:val="00E73D69"/>
    <w:rsid w:val="00E73E34"/>
    <w:rsid w:val="00E73F77"/>
    <w:rsid w:val="00E73F80"/>
    <w:rsid w:val="00E74079"/>
    <w:rsid w:val="00E74245"/>
    <w:rsid w:val="00E742EF"/>
    <w:rsid w:val="00E74464"/>
    <w:rsid w:val="00E74506"/>
    <w:rsid w:val="00E74624"/>
    <w:rsid w:val="00E7465E"/>
    <w:rsid w:val="00E74754"/>
    <w:rsid w:val="00E747D3"/>
    <w:rsid w:val="00E7484A"/>
    <w:rsid w:val="00E74A5D"/>
    <w:rsid w:val="00E74ABA"/>
    <w:rsid w:val="00E74D7E"/>
    <w:rsid w:val="00E74DEE"/>
    <w:rsid w:val="00E74E91"/>
    <w:rsid w:val="00E74EC9"/>
    <w:rsid w:val="00E75008"/>
    <w:rsid w:val="00E7524A"/>
    <w:rsid w:val="00E75272"/>
    <w:rsid w:val="00E7533B"/>
    <w:rsid w:val="00E753AC"/>
    <w:rsid w:val="00E75449"/>
    <w:rsid w:val="00E754EB"/>
    <w:rsid w:val="00E7567A"/>
    <w:rsid w:val="00E757F4"/>
    <w:rsid w:val="00E7580E"/>
    <w:rsid w:val="00E75872"/>
    <w:rsid w:val="00E75979"/>
    <w:rsid w:val="00E75988"/>
    <w:rsid w:val="00E759C2"/>
    <w:rsid w:val="00E75A04"/>
    <w:rsid w:val="00E75AD1"/>
    <w:rsid w:val="00E75B69"/>
    <w:rsid w:val="00E75CA5"/>
    <w:rsid w:val="00E75CE4"/>
    <w:rsid w:val="00E75D0B"/>
    <w:rsid w:val="00E75DFB"/>
    <w:rsid w:val="00E75E82"/>
    <w:rsid w:val="00E760CD"/>
    <w:rsid w:val="00E76393"/>
    <w:rsid w:val="00E76464"/>
    <w:rsid w:val="00E76690"/>
    <w:rsid w:val="00E7678B"/>
    <w:rsid w:val="00E768D4"/>
    <w:rsid w:val="00E768F5"/>
    <w:rsid w:val="00E769B2"/>
    <w:rsid w:val="00E76AE5"/>
    <w:rsid w:val="00E76DB9"/>
    <w:rsid w:val="00E76DD6"/>
    <w:rsid w:val="00E76E47"/>
    <w:rsid w:val="00E77038"/>
    <w:rsid w:val="00E77051"/>
    <w:rsid w:val="00E77268"/>
    <w:rsid w:val="00E77342"/>
    <w:rsid w:val="00E773DC"/>
    <w:rsid w:val="00E77556"/>
    <w:rsid w:val="00E776E0"/>
    <w:rsid w:val="00E777A0"/>
    <w:rsid w:val="00E7797F"/>
    <w:rsid w:val="00E77A98"/>
    <w:rsid w:val="00E77F8D"/>
    <w:rsid w:val="00E800DA"/>
    <w:rsid w:val="00E800EE"/>
    <w:rsid w:val="00E80150"/>
    <w:rsid w:val="00E80163"/>
    <w:rsid w:val="00E8019E"/>
    <w:rsid w:val="00E8020A"/>
    <w:rsid w:val="00E80272"/>
    <w:rsid w:val="00E80333"/>
    <w:rsid w:val="00E80374"/>
    <w:rsid w:val="00E803B4"/>
    <w:rsid w:val="00E803D1"/>
    <w:rsid w:val="00E8056C"/>
    <w:rsid w:val="00E805F6"/>
    <w:rsid w:val="00E80678"/>
    <w:rsid w:val="00E8070F"/>
    <w:rsid w:val="00E808EB"/>
    <w:rsid w:val="00E808EF"/>
    <w:rsid w:val="00E80947"/>
    <w:rsid w:val="00E80A24"/>
    <w:rsid w:val="00E80A9C"/>
    <w:rsid w:val="00E80BD1"/>
    <w:rsid w:val="00E80CED"/>
    <w:rsid w:val="00E811C8"/>
    <w:rsid w:val="00E811DC"/>
    <w:rsid w:val="00E81524"/>
    <w:rsid w:val="00E81548"/>
    <w:rsid w:val="00E815A8"/>
    <w:rsid w:val="00E818A4"/>
    <w:rsid w:val="00E81925"/>
    <w:rsid w:val="00E81935"/>
    <w:rsid w:val="00E81955"/>
    <w:rsid w:val="00E81B1D"/>
    <w:rsid w:val="00E81B8E"/>
    <w:rsid w:val="00E81D65"/>
    <w:rsid w:val="00E81D7F"/>
    <w:rsid w:val="00E81DE3"/>
    <w:rsid w:val="00E81FE0"/>
    <w:rsid w:val="00E82186"/>
    <w:rsid w:val="00E821CC"/>
    <w:rsid w:val="00E82388"/>
    <w:rsid w:val="00E8278D"/>
    <w:rsid w:val="00E82844"/>
    <w:rsid w:val="00E828AC"/>
    <w:rsid w:val="00E82961"/>
    <w:rsid w:val="00E82B4D"/>
    <w:rsid w:val="00E82BF1"/>
    <w:rsid w:val="00E82C11"/>
    <w:rsid w:val="00E82C58"/>
    <w:rsid w:val="00E82D80"/>
    <w:rsid w:val="00E82F34"/>
    <w:rsid w:val="00E82FBF"/>
    <w:rsid w:val="00E83242"/>
    <w:rsid w:val="00E8351B"/>
    <w:rsid w:val="00E8357A"/>
    <w:rsid w:val="00E83595"/>
    <w:rsid w:val="00E8360A"/>
    <w:rsid w:val="00E8385B"/>
    <w:rsid w:val="00E838A2"/>
    <w:rsid w:val="00E83945"/>
    <w:rsid w:val="00E83AD1"/>
    <w:rsid w:val="00E83BCD"/>
    <w:rsid w:val="00E83C1C"/>
    <w:rsid w:val="00E83F72"/>
    <w:rsid w:val="00E8400A"/>
    <w:rsid w:val="00E840EA"/>
    <w:rsid w:val="00E84246"/>
    <w:rsid w:val="00E844BC"/>
    <w:rsid w:val="00E844C0"/>
    <w:rsid w:val="00E845B6"/>
    <w:rsid w:val="00E84630"/>
    <w:rsid w:val="00E8463A"/>
    <w:rsid w:val="00E84666"/>
    <w:rsid w:val="00E8499C"/>
    <w:rsid w:val="00E849F8"/>
    <w:rsid w:val="00E84A41"/>
    <w:rsid w:val="00E84AB4"/>
    <w:rsid w:val="00E84C05"/>
    <w:rsid w:val="00E84E14"/>
    <w:rsid w:val="00E84ED6"/>
    <w:rsid w:val="00E84F53"/>
    <w:rsid w:val="00E85050"/>
    <w:rsid w:val="00E852E6"/>
    <w:rsid w:val="00E8531A"/>
    <w:rsid w:val="00E8540E"/>
    <w:rsid w:val="00E85498"/>
    <w:rsid w:val="00E854AB"/>
    <w:rsid w:val="00E855CB"/>
    <w:rsid w:val="00E85712"/>
    <w:rsid w:val="00E85A2D"/>
    <w:rsid w:val="00E85BD0"/>
    <w:rsid w:val="00E85BEB"/>
    <w:rsid w:val="00E861BD"/>
    <w:rsid w:val="00E86265"/>
    <w:rsid w:val="00E865E1"/>
    <w:rsid w:val="00E867E1"/>
    <w:rsid w:val="00E86950"/>
    <w:rsid w:val="00E86991"/>
    <w:rsid w:val="00E86C17"/>
    <w:rsid w:val="00E86E88"/>
    <w:rsid w:val="00E86F2D"/>
    <w:rsid w:val="00E86F8A"/>
    <w:rsid w:val="00E87025"/>
    <w:rsid w:val="00E8707F"/>
    <w:rsid w:val="00E870F0"/>
    <w:rsid w:val="00E87164"/>
    <w:rsid w:val="00E87221"/>
    <w:rsid w:val="00E87236"/>
    <w:rsid w:val="00E87238"/>
    <w:rsid w:val="00E8736D"/>
    <w:rsid w:val="00E8746B"/>
    <w:rsid w:val="00E875ED"/>
    <w:rsid w:val="00E87727"/>
    <w:rsid w:val="00E877A8"/>
    <w:rsid w:val="00E8786E"/>
    <w:rsid w:val="00E87B01"/>
    <w:rsid w:val="00E87B31"/>
    <w:rsid w:val="00E87BD2"/>
    <w:rsid w:val="00E87BE6"/>
    <w:rsid w:val="00E87CAC"/>
    <w:rsid w:val="00E87CB0"/>
    <w:rsid w:val="00E87D24"/>
    <w:rsid w:val="00E87D5B"/>
    <w:rsid w:val="00E87E07"/>
    <w:rsid w:val="00E89FA7"/>
    <w:rsid w:val="00E8F098"/>
    <w:rsid w:val="00E90044"/>
    <w:rsid w:val="00E9011B"/>
    <w:rsid w:val="00E9016B"/>
    <w:rsid w:val="00E90174"/>
    <w:rsid w:val="00E902B8"/>
    <w:rsid w:val="00E90413"/>
    <w:rsid w:val="00E9055C"/>
    <w:rsid w:val="00E9062F"/>
    <w:rsid w:val="00E90634"/>
    <w:rsid w:val="00E907B5"/>
    <w:rsid w:val="00E908A1"/>
    <w:rsid w:val="00E9090E"/>
    <w:rsid w:val="00E9098C"/>
    <w:rsid w:val="00E909C6"/>
    <w:rsid w:val="00E90B56"/>
    <w:rsid w:val="00E90BAA"/>
    <w:rsid w:val="00E910E3"/>
    <w:rsid w:val="00E91120"/>
    <w:rsid w:val="00E91156"/>
    <w:rsid w:val="00E912F0"/>
    <w:rsid w:val="00E91328"/>
    <w:rsid w:val="00E9132E"/>
    <w:rsid w:val="00E9135D"/>
    <w:rsid w:val="00E9146D"/>
    <w:rsid w:val="00E91480"/>
    <w:rsid w:val="00E91574"/>
    <w:rsid w:val="00E9158D"/>
    <w:rsid w:val="00E917CE"/>
    <w:rsid w:val="00E91855"/>
    <w:rsid w:val="00E91AEB"/>
    <w:rsid w:val="00E91BCF"/>
    <w:rsid w:val="00E91C5A"/>
    <w:rsid w:val="00E91CC2"/>
    <w:rsid w:val="00E92170"/>
    <w:rsid w:val="00E92193"/>
    <w:rsid w:val="00E921CB"/>
    <w:rsid w:val="00E92283"/>
    <w:rsid w:val="00E922B0"/>
    <w:rsid w:val="00E923B7"/>
    <w:rsid w:val="00E925AC"/>
    <w:rsid w:val="00E929EB"/>
    <w:rsid w:val="00E92A0E"/>
    <w:rsid w:val="00E92A66"/>
    <w:rsid w:val="00E92B40"/>
    <w:rsid w:val="00E92C81"/>
    <w:rsid w:val="00E92F0A"/>
    <w:rsid w:val="00E92F2E"/>
    <w:rsid w:val="00E93061"/>
    <w:rsid w:val="00E931DA"/>
    <w:rsid w:val="00E931E4"/>
    <w:rsid w:val="00E932D8"/>
    <w:rsid w:val="00E93559"/>
    <w:rsid w:val="00E93594"/>
    <w:rsid w:val="00E936FD"/>
    <w:rsid w:val="00E93A3E"/>
    <w:rsid w:val="00E93AC6"/>
    <w:rsid w:val="00E93C19"/>
    <w:rsid w:val="00E93EF3"/>
    <w:rsid w:val="00E93F19"/>
    <w:rsid w:val="00E93FC7"/>
    <w:rsid w:val="00E941D1"/>
    <w:rsid w:val="00E941ED"/>
    <w:rsid w:val="00E942D8"/>
    <w:rsid w:val="00E943C8"/>
    <w:rsid w:val="00E944A2"/>
    <w:rsid w:val="00E944AB"/>
    <w:rsid w:val="00E9458B"/>
    <w:rsid w:val="00E94604"/>
    <w:rsid w:val="00E94625"/>
    <w:rsid w:val="00E94843"/>
    <w:rsid w:val="00E948F0"/>
    <w:rsid w:val="00E94960"/>
    <w:rsid w:val="00E949A9"/>
    <w:rsid w:val="00E94A82"/>
    <w:rsid w:val="00E94CB9"/>
    <w:rsid w:val="00E94CD1"/>
    <w:rsid w:val="00E94CD4"/>
    <w:rsid w:val="00E94DEE"/>
    <w:rsid w:val="00E94F3E"/>
    <w:rsid w:val="00E94F6F"/>
    <w:rsid w:val="00E94F8E"/>
    <w:rsid w:val="00E950B4"/>
    <w:rsid w:val="00E952DF"/>
    <w:rsid w:val="00E9530F"/>
    <w:rsid w:val="00E9533C"/>
    <w:rsid w:val="00E9538B"/>
    <w:rsid w:val="00E953B8"/>
    <w:rsid w:val="00E953F2"/>
    <w:rsid w:val="00E953F7"/>
    <w:rsid w:val="00E95477"/>
    <w:rsid w:val="00E954E9"/>
    <w:rsid w:val="00E9599C"/>
    <w:rsid w:val="00E95A18"/>
    <w:rsid w:val="00E95E4D"/>
    <w:rsid w:val="00E95E4F"/>
    <w:rsid w:val="00E960FB"/>
    <w:rsid w:val="00E961FF"/>
    <w:rsid w:val="00E9620A"/>
    <w:rsid w:val="00E96268"/>
    <w:rsid w:val="00E9647C"/>
    <w:rsid w:val="00E966A6"/>
    <w:rsid w:val="00E9689F"/>
    <w:rsid w:val="00E96AB5"/>
    <w:rsid w:val="00E96B51"/>
    <w:rsid w:val="00E96CB0"/>
    <w:rsid w:val="00E96CD8"/>
    <w:rsid w:val="00E96D9D"/>
    <w:rsid w:val="00E96EF8"/>
    <w:rsid w:val="00E96FFE"/>
    <w:rsid w:val="00E97065"/>
    <w:rsid w:val="00E97204"/>
    <w:rsid w:val="00E9733D"/>
    <w:rsid w:val="00E9737E"/>
    <w:rsid w:val="00E974A2"/>
    <w:rsid w:val="00E9757A"/>
    <w:rsid w:val="00E97707"/>
    <w:rsid w:val="00E97A08"/>
    <w:rsid w:val="00E97B8A"/>
    <w:rsid w:val="00E97C46"/>
    <w:rsid w:val="00E97D04"/>
    <w:rsid w:val="00E9B068"/>
    <w:rsid w:val="00EA01D6"/>
    <w:rsid w:val="00EA0439"/>
    <w:rsid w:val="00EA04B6"/>
    <w:rsid w:val="00EA06FA"/>
    <w:rsid w:val="00EA07CC"/>
    <w:rsid w:val="00EA084F"/>
    <w:rsid w:val="00EA0998"/>
    <w:rsid w:val="00EA0A02"/>
    <w:rsid w:val="00EA0AAB"/>
    <w:rsid w:val="00EA0B33"/>
    <w:rsid w:val="00EA0B98"/>
    <w:rsid w:val="00EA0CA1"/>
    <w:rsid w:val="00EA0CFE"/>
    <w:rsid w:val="00EA0D65"/>
    <w:rsid w:val="00EA0E07"/>
    <w:rsid w:val="00EA0F42"/>
    <w:rsid w:val="00EA0FC6"/>
    <w:rsid w:val="00EA1011"/>
    <w:rsid w:val="00EA10A6"/>
    <w:rsid w:val="00EA10AD"/>
    <w:rsid w:val="00EA11CE"/>
    <w:rsid w:val="00EA12DB"/>
    <w:rsid w:val="00EA1471"/>
    <w:rsid w:val="00EA14D2"/>
    <w:rsid w:val="00EA1529"/>
    <w:rsid w:val="00EA16B7"/>
    <w:rsid w:val="00EA1753"/>
    <w:rsid w:val="00EA19EC"/>
    <w:rsid w:val="00EA1C41"/>
    <w:rsid w:val="00EA1CD3"/>
    <w:rsid w:val="00EA1D4B"/>
    <w:rsid w:val="00EA1D92"/>
    <w:rsid w:val="00EA1DCC"/>
    <w:rsid w:val="00EA1E91"/>
    <w:rsid w:val="00EA1F75"/>
    <w:rsid w:val="00EA2049"/>
    <w:rsid w:val="00EA2185"/>
    <w:rsid w:val="00EA22BF"/>
    <w:rsid w:val="00EA22C7"/>
    <w:rsid w:val="00EA2460"/>
    <w:rsid w:val="00EA2592"/>
    <w:rsid w:val="00EA267E"/>
    <w:rsid w:val="00EA2762"/>
    <w:rsid w:val="00EA27A9"/>
    <w:rsid w:val="00EA28D1"/>
    <w:rsid w:val="00EA2ACD"/>
    <w:rsid w:val="00EA2B5E"/>
    <w:rsid w:val="00EA2B96"/>
    <w:rsid w:val="00EA2B9F"/>
    <w:rsid w:val="00EA2BD2"/>
    <w:rsid w:val="00EA2C3E"/>
    <w:rsid w:val="00EA2D7E"/>
    <w:rsid w:val="00EA2DFE"/>
    <w:rsid w:val="00EA2ED7"/>
    <w:rsid w:val="00EA31C3"/>
    <w:rsid w:val="00EA320F"/>
    <w:rsid w:val="00EA3278"/>
    <w:rsid w:val="00EA3280"/>
    <w:rsid w:val="00EA33AA"/>
    <w:rsid w:val="00EA33C7"/>
    <w:rsid w:val="00EA34D3"/>
    <w:rsid w:val="00EA375D"/>
    <w:rsid w:val="00EA3A1F"/>
    <w:rsid w:val="00EA3A54"/>
    <w:rsid w:val="00EA3B9A"/>
    <w:rsid w:val="00EA3BBE"/>
    <w:rsid w:val="00EA3C20"/>
    <w:rsid w:val="00EA3C6F"/>
    <w:rsid w:val="00EA3CCF"/>
    <w:rsid w:val="00EA3D74"/>
    <w:rsid w:val="00EA3DA0"/>
    <w:rsid w:val="00EA3DBB"/>
    <w:rsid w:val="00EA3EF7"/>
    <w:rsid w:val="00EA3F0D"/>
    <w:rsid w:val="00EA3F81"/>
    <w:rsid w:val="00EA429D"/>
    <w:rsid w:val="00EA44C9"/>
    <w:rsid w:val="00EA44D4"/>
    <w:rsid w:val="00EA44E4"/>
    <w:rsid w:val="00EA4530"/>
    <w:rsid w:val="00EA45E2"/>
    <w:rsid w:val="00EA47A4"/>
    <w:rsid w:val="00EA47E1"/>
    <w:rsid w:val="00EA495A"/>
    <w:rsid w:val="00EA49CA"/>
    <w:rsid w:val="00EA4B5D"/>
    <w:rsid w:val="00EA4B6F"/>
    <w:rsid w:val="00EA4B86"/>
    <w:rsid w:val="00EA4DFF"/>
    <w:rsid w:val="00EA4E3F"/>
    <w:rsid w:val="00EA4E57"/>
    <w:rsid w:val="00EA5164"/>
    <w:rsid w:val="00EA52F3"/>
    <w:rsid w:val="00EA53D4"/>
    <w:rsid w:val="00EA54D0"/>
    <w:rsid w:val="00EA56D7"/>
    <w:rsid w:val="00EA56FC"/>
    <w:rsid w:val="00EA58EC"/>
    <w:rsid w:val="00EA5BCF"/>
    <w:rsid w:val="00EA5C08"/>
    <w:rsid w:val="00EA5DEF"/>
    <w:rsid w:val="00EA5FC2"/>
    <w:rsid w:val="00EA6001"/>
    <w:rsid w:val="00EA6087"/>
    <w:rsid w:val="00EA61CF"/>
    <w:rsid w:val="00EA6218"/>
    <w:rsid w:val="00EA6273"/>
    <w:rsid w:val="00EA64FF"/>
    <w:rsid w:val="00EA659D"/>
    <w:rsid w:val="00EA6606"/>
    <w:rsid w:val="00EA661B"/>
    <w:rsid w:val="00EA6812"/>
    <w:rsid w:val="00EA683D"/>
    <w:rsid w:val="00EA6B71"/>
    <w:rsid w:val="00EA6B84"/>
    <w:rsid w:val="00EA6BD2"/>
    <w:rsid w:val="00EA6D80"/>
    <w:rsid w:val="00EA6ECC"/>
    <w:rsid w:val="00EA73B8"/>
    <w:rsid w:val="00EA73E7"/>
    <w:rsid w:val="00EA7457"/>
    <w:rsid w:val="00EA7719"/>
    <w:rsid w:val="00EA7931"/>
    <w:rsid w:val="00EA7A12"/>
    <w:rsid w:val="00EA7ADC"/>
    <w:rsid w:val="00EA7C12"/>
    <w:rsid w:val="00EA7C14"/>
    <w:rsid w:val="00EA7CF2"/>
    <w:rsid w:val="00EA7D2F"/>
    <w:rsid w:val="00EA7D67"/>
    <w:rsid w:val="00EA7DC6"/>
    <w:rsid w:val="00EA7E83"/>
    <w:rsid w:val="00EADA98"/>
    <w:rsid w:val="00EAF67F"/>
    <w:rsid w:val="00EB0049"/>
    <w:rsid w:val="00EB0269"/>
    <w:rsid w:val="00EB0466"/>
    <w:rsid w:val="00EB0558"/>
    <w:rsid w:val="00EB05FA"/>
    <w:rsid w:val="00EB064E"/>
    <w:rsid w:val="00EB0696"/>
    <w:rsid w:val="00EB082E"/>
    <w:rsid w:val="00EB083A"/>
    <w:rsid w:val="00EB0939"/>
    <w:rsid w:val="00EB0A1F"/>
    <w:rsid w:val="00EB0AAC"/>
    <w:rsid w:val="00EB0BD0"/>
    <w:rsid w:val="00EB0CCB"/>
    <w:rsid w:val="00EB100D"/>
    <w:rsid w:val="00EB107D"/>
    <w:rsid w:val="00EB10A8"/>
    <w:rsid w:val="00EB11B8"/>
    <w:rsid w:val="00EB121C"/>
    <w:rsid w:val="00EB13F3"/>
    <w:rsid w:val="00EB162F"/>
    <w:rsid w:val="00EB191C"/>
    <w:rsid w:val="00EB1A03"/>
    <w:rsid w:val="00EB1A24"/>
    <w:rsid w:val="00EB1A84"/>
    <w:rsid w:val="00EB1B03"/>
    <w:rsid w:val="00EB1B7E"/>
    <w:rsid w:val="00EB1BFA"/>
    <w:rsid w:val="00EB1E7C"/>
    <w:rsid w:val="00EB1F21"/>
    <w:rsid w:val="00EB20D8"/>
    <w:rsid w:val="00EB222F"/>
    <w:rsid w:val="00EB24DD"/>
    <w:rsid w:val="00EB25EB"/>
    <w:rsid w:val="00EB26EB"/>
    <w:rsid w:val="00EB2A1C"/>
    <w:rsid w:val="00EB2C67"/>
    <w:rsid w:val="00EB2D0D"/>
    <w:rsid w:val="00EB2DDA"/>
    <w:rsid w:val="00EB2E43"/>
    <w:rsid w:val="00EB3024"/>
    <w:rsid w:val="00EB318F"/>
    <w:rsid w:val="00EB3248"/>
    <w:rsid w:val="00EB3350"/>
    <w:rsid w:val="00EB34F1"/>
    <w:rsid w:val="00EB353A"/>
    <w:rsid w:val="00EB3575"/>
    <w:rsid w:val="00EB359C"/>
    <w:rsid w:val="00EB3614"/>
    <w:rsid w:val="00EB3870"/>
    <w:rsid w:val="00EB3B0E"/>
    <w:rsid w:val="00EB3BD3"/>
    <w:rsid w:val="00EB3C40"/>
    <w:rsid w:val="00EB3D3C"/>
    <w:rsid w:val="00EB3DCF"/>
    <w:rsid w:val="00EB3E00"/>
    <w:rsid w:val="00EB3E4E"/>
    <w:rsid w:val="00EB3F85"/>
    <w:rsid w:val="00EB3FBA"/>
    <w:rsid w:val="00EB3FD7"/>
    <w:rsid w:val="00EB4019"/>
    <w:rsid w:val="00EB4209"/>
    <w:rsid w:val="00EB44B4"/>
    <w:rsid w:val="00EB4512"/>
    <w:rsid w:val="00EB4590"/>
    <w:rsid w:val="00EB4981"/>
    <w:rsid w:val="00EB49C9"/>
    <w:rsid w:val="00EB4A2F"/>
    <w:rsid w:val="00EB4C52"/>
    <w:rsid w:val="00EB4E89"/>
    <w:rsid w:val="00EB4F24"/>
    <w:rsid w:val="00EB501D"/>
    <w:rsid w:val="00EB5071"/>
    <w:rsid w:val="00EB530C"/>
    <w:rsid w:val="00EB57FF"/>
    <w:rsid w:val="00EB580E"/>
    <w:rsid w:val="00EB5896"/>
    <w:rsid w:val="00EB5982"/>
    <w:rsid w:val="00EB59B9"/>
    <w:rsid w:val="00EB59EC"/>
    <w:rsid w:val="00EB5A5C"/>
    <w:rsid w:val="00EB5A77"/>
    <w:rsid w:val="00EB5A80"/>
    <w:rsid w:val="00EB6075"/>
    <w:rsid w:val="00EB60AC"/>
    <w:rsid w:val="00EB60D2"/>
    <w:rsid w:val="00EB60E3"/>
    <w:rsid w:val="00EB617A"/>
    <w:rsid w:val="00EB638C"/>
    <w:rsid w:val="00EB6550"/>
    <w:rsid w:val="00EB656B"/>
    <w:rsid w:val="00EB6644"/>
    <w:rsid w:val="00EB6B70"/>
    <w:rsid w:val="00EB6BB8"/>
    <w:rsid w:val="00EB6BBB"/>
    <w:rsid w:val="00EB6C68"/>
    <w:rsid w:val="00EB6CBE"/>
    <w:rsid w:val="00EB6D55"/>
    <w:rsid w:val="00EB6DC3"/>
    <w:rsid w:val="00EB6EEC"/>
    <w:rsid w:val="00EB6FC3"/>
    <w:rsid w:val="00EB70B2"/>
    <w:rsid w:val="00EB72E5"/>
    <w:rsid w:val="00EB73C8"/>
    <w:rsid w:val="00EB78D1"/>
    <w:rsid w:val="00EB78F0"/>
    <w:rsid w:val="00EB795B"/>
    <w:rsid w:val="00EB7965"/>
    <w:rsid w:val="00EB7B23"/>
    <w:rsid w:val="00EB7BD0"/>
    <w:rsid w:val="00EB7C83"/>
    <w:rsid w:val="00EB7D15"/>
    <w:rsid w:val="00EB7D45"/>
    <w:rsid w:val="00EB7EAC"/>
    <w:rsid w:val="00EB7FDE"/>
    <w:rsid w:val="00EB8701"/>
    <w:rsid w:val="00EBA21B"/>
    <w:rsid w:val="00EC001F"/>
    <w:rsid w:val="00EC0263"/>
    <w:rsid w:val="00EC04E8"/>
    <w:rsid w:val="00EC051A"/>
    <w:rsid w:val="00EC0612"/>
    <w:rsid w:val="00EC090C"/>
    <w:rsid w:val="00EC0A4F"/>
    <w:rsid w:val="00EC0D9E"/>
    <w:rsid w:val="00EC0E61"/>
    <w:rsid w:val="00EC0E97"/>
    <w:rsid w:val="00EC132A"/>
    <w:rsid w:val="00EC13A5"/>
    <w:rsid w:val="00EC16C8"/>
    <w:rsid w:val="00EC18A8"/>
    <w:rsid w:val="00EC18D5"/>
    <w:rsid w:val="00EC18DF"/>
    <w:rsid w:val="00EC19DE"/>
    <w:rsid w:val="00EC1B15"/>
    <w:rsid w:val="00EC1B1E"/>
    <w:rsid w:val="00EC1BF9"/>
    <w:rsid w:val="00EC1CA4"/>
    <w:rsid w:val="00EC1CDA"/>
    <w:rsid w:val="00EC1F45"/>
    <w:rsid w:val="00EC1F5D"/>
    <w:rsid w:val="00EC23E7"/>
    <w:rsid w:val="00EC2420"/>
    <w:rsid w:val="00EC2452"/>
    <w:rsid w:val="00EC26A3"/>
    <w:rsid w:val="00EC27AC"/>
    <w:rsid w:val="00EC27DC"/>
    <w:rsid w:val="00EC280F"/>
    <w:rsid w:val="00EC285C"/>
    <w:rsid w:val="00EC2A3D"/>
    <w:rsid w:val="00EC2B38"/>
    <w:rsid w:val="00EC2BE0"/>
    <w:rsid w:val="00EC2D2B"/>
    <w:rsid w:val="00EC2D90"/>
    <w:rsid w:val="00EC2DA0"/>
    <w:rsid w:val="00EC2DF9"/>
    <w:rsid w:val="00EC3611"/>
    <w:rsid w:val="00EC3628"/>
    <w:rsid w:val="00EC395E"/>
    <w:rsid w:val="00EC39F7"/>
    <w:rsid w:val="00EC3D21"/>
    <w:rsid w:val="00EC3FA5"/>
    <w:rsid w:val="00EC4162"/>
    <w:rsid w:val="00EC4226"/>
    <w:rsid w:val="00EC4268"/>
    <w:rsid w:val="00EC449E"/>
    <w:rsid w:val="00EC44A6"/>
    <w:rsid w:val="00EC451D"/>
    <w:rsid w:val="00EC45BD"/>
    <w:rsid w:val="00EC48B4"/>
    <w:rsid w:val="00EC49ED"/>
    <w:rsid w:val="00EC4ACE"/>
    <w:rsid w:val="00EC4B1A"/>
    <w:rsid w:val="00EC4C5B"/>
    <w:rsid w:val="00EC4D12"/>
    <w:rsid w:val="00EC4D40"/>
    <w:rsid w:val="00EC4FF8"/>
    <w:rsid w:val="00EC5079"/>
    <w:rsid w:val="00EC5255"/>
    <w:rsid w:val="00EC52BC"/>
    <w:rsid w:val="00EC5348"/>
    <w:rsid w:val="00EC580A"/>
    <w:rsid w:val="00EC5898"/>
    <w:rsid w:val="00EC59D8"/>
    <w:rsid w:val="00EC5ADD"/>
    <w:rsid w:val="00EC5B65"/>
    <w:rsid w:val="00EC5C00"/>
    <w:rsid w:val="00EC5C4D"/>
    <w:rsid w:val="00EC6064"/>
    <w:rsid w:val="00EC6164"/>
    <w:rsid w:val="00EC62B9"/>
    <w:rsid w:val="00EC62CA"/>
    <w:rsid w:val="00EC62E9"/>
    <w:rsid w:val="00EC675C"/>
    <w:rsid w:val="00EC6AD8"/>
    <w:rsid w:val="00EC6EFF"/>
    <w:rsid w:val="00EC7066"/>
    <w:rsid w:val="00EC7080"/>
    <w:rsid w:val="00EC7362"/>
    <w:rsid w:val="00EC73E6"/>
    <w:rsid w:val="00EC73EB"/>
    <w:rsid w:val="00EC73FF"/>
    <w:rsid w:val="00EC743A"/>
    <w:rsid w:val="00EC758A"/>
    <w:rsid w:val="00EC7841"/>
    <w:rsid w:val="00EC78BC"/>
    <w:rsid w:val="00EC79A6"/>
    <w:rsid w:val="00EC79BB"/>
    <w:rsid w:val="00EC7C73"/>
    <w:rsid w:val="00EC7FC8"/>
    <w:rsid w:val="00ED0183"/>
    <w:rsid w:val="00ED01E0"/>
    <w:rsid w:val="00ED0307"/>
    <w:rsid w:val="00ED0342"/>
    <w:rsid w:val="00ED035C"/>
    <w:rsid w:val="00ED08DE"/>
    <w:rsid w:val="00ED09D9"/>
    <w:rsid w:val="00ED0A9E"/>
    <w:rsid w:val="00ED0D52"/>
    <w:rsid w:val="00ED0EDE"/>
    <w:rsid w:val="00ED0F68"/>
    <w:rsid w:val="00ED108A"/>
    <w:rsid w:val="00ED115A"/>
    <w:rsid w:val="00ED123A"/>
    <w:rsid w:val="00ED12F5"/>
    <w:rsid w:val="00ED13BB"/>
    <w:rsid w:val="00ED13C6"/>
    <w:rsid w:val="00ED13CB"/>
    <w:rsid w:val="00ED14A1"/>
    <w:rsid w:val="00ED1658"/>
    <w:rsid w:val="00ED168B"/>
    <w:rsid w:val="00ED1936"/>
    <w:rsid w:val="00ED19A4"/>
    <w:rsid w:val="00ED19F8"/>
    <w:rsid w:val="00ED1BFD"/>
    <w:rsid w:val="00ED1D50"/>
    <w:rsid w:val="00ED1EFB"/>
    <w:rsid w:val="00ED1F0B"/>
    <w:rsid w:val="00ED1F37"/>
    <w:rsid w:val="00ED1F8A"/>
    <w:rsid w:val="00ED1F98"/>
    <w:rsid w:val="00ED20CE"/>
    <w:rsid w:val="00ED20DF"/>
    <w:rsid w:val="00ED21A2"/>
    <w:rsid w:val="00ED2248"/>
    <w:rsid w:val="00ED22DC"/>
    <w:rsid w:val="00ED2569"/>
    <w:rsid w:val="00ED256A"/>
    <w:rsid w:val="00ED2593"/>
    <w:rsid w:val="00ED25D4"/>
    <w:rsid w:val="00ED2760"/>
    <w:rsid w:val="00ED292B"/>
    <w:rsid w:val="00ED2A1A"/>
    <w:rsid w:val="00ED2AD3"/>
    <w:rsid w:val="00ED2B93"/>
    <w:rsid w:val="00ED2F30"/>
    <w:rsid w:val="00ED2FE9"/>
    <w:rsid w:val="00ED31B6"/>
    <w:rsid w:val="00ED328C"/>
    <w:rsid w:val="00ED334F"/>
    <w:rsid w:val="00ED342F"/>
    <w:rsid w:val="00ED38F9"/>
    <w:rsid w:val="00ED390A"/>
    <w:rsid w:val="00ED3A2D"/>
    <w:rsid w:val="00ED3B48"/>
    <w:rsid w:val="00ED3BC1"/>
    <w:rsid w:val="00ED3CC8"/>
    <w:rsid w:val="00ED3CFC"/>
    <w:rsid w:val="00ED3EE3"/>
    <w:rsid w:val="00ED3EFE"/>
    <w:rsid w:val="00ED40B4"/>
    <w:rsid w:val="00ED421F"/>
    <w:rsid w:val="00ED434A"/>
    <w:rsid w:val="00ED4441"/>
    <w:rsid w:val="00ED450F"/>
    <w:rsid w:val="00ED4614"/>
    <w:rsid w:val="00ED485C"/>
    <w:rsid w:val="00ED4CBF"/>
    <w:rsid w:val="00ED4E81"/>
    <w:rsid w:val="00ED5074"/>
    <w:rsid w:val="00ED50E0"/>
    <w:rsid w:val="00ED5160"/>
    <w:rsid w:val="00ED51CE"/>
    <w:rsid w:val="00ED529E"/>
    <w:rsid w:val="00ED5427"/>
    <w:rsid w:val="00ED55DC"/>
    <w:rsid w:val="00ED56CD"/>
    <w:rsid w:val="00ED578F"/>
    <w:rsid w:val="00ED57D0"/>
    <w:rsid w:val="00ED583B"/>
    <w:rsid w:val="00ED58C7"/>
    <w:rsid w:val="00ED591A"/>
    <w:rsid w:val="00ED5A09"/>
    <w:rsid w:val="00ED5A19"/>
    <w:rsid w:val="00ED5A40"/>
    <w:rsid w:val="00ED5B27"/>
    <w:rsid w:val="00ED5B2A"/>
    <w:rsid w:val="00ED5C6F"/>
    <w:rsid w:val="00ED5E41"/>
    <w:rsid w:val="00ED5E78"/>
    <w:rsid w:val="00ED5EFA"/>
    <w:rsid w:val="00ED5F03"/>
    <w:rsid w:val="00ED600C"/>
    <w:rsid w:val="00ED6018"/>
    <w:rsid w:val="00ED60ED"/>
    <w:rsid w:val="00ED6180"/>
    <w:rsid w:val="00ED62C1"/>
    <w:rsid w:val="00ED62D1"/>
    <w:rsid w:val="00ED6474"/>
    <w:rsid w:val="00ED6503"/>
    <w:rsid w:val="00ED673F"/>
    <w:rsid w:val="00ED69A8"/>
    <w:rsid w:val="00ED6BB5"/>
    <w:rsid w:val="00ED6C2F"/>
    <w:rsid w:val="00ED6CE5"/>
    <w:rsid w:val="00ED6D56"/>
    <w:rsid w:val="00ED6F13"/>
    <w:rsid w:val="00ED6FEA"/>
    <w:rsid w:val="00ED7006"/>
    <w:rsid w:val="00ED71D6"/>
    <w:rsid w:val="00ED7361"/>
    <w:rsid w:val="00ED74A6"/>
    <w:rsid w:val="00ED750D"/>
    <w:rsid w:val="00ED7728"/>
    <w:rsid w:val="00ED7775"/>
    <w:rsid w:val="00ED78C7"/>
    <w:rsid w:val="00ED796A"/>
    <w:rsid w:val="00ED79BE"/>
    <w:rsid w:val="00ED79FC"/>
    <w:rsid w:val="00ED7A6C"/>
    <w:rsid w:val="00ED7AB7"/>
    <w:rsid w:val="00ED7DBE"/>
    <w:rsid w:val="00ED7DCD"/>
    <w:rsid w:val="00ED7E6C"/>
    <w:rsid w:val="00ED9A37"/>
    <w:rsid w:val="00EDB767"/>
    <w:rsid w:val="00EDB8B0"/>
    <w:rsid w:val="00EE0075"/>
    <w:rsid w:val="00EE0162"/>
    <w:rsid w:val="00EE0171"/>
    <w:rsid w:val="00EE0216"/>
    <w:rsid w:val="00EE0398"/>
    <w:rsid w:val="00EE0491"/>
    <w:rsid w:val="00EE05DB"/>
    <w:rsid w:val="00EE0611"/>
    <w:rsid w:val="00EE07A3"/>
    <w:rsid w:val="00EE0897"/>
    <w:rsid w:val="00EE08CB"/>
    <w:rsid w:val="00EE0972"/>
    <w:rsid w:val="00EE0A77"/>
    <w:rsid w:val="00EE0B81"/>
    <w:rsid w:val="00EE0C37"/>
    <w:rsid w:val="00EE0C5E"/>
    <w:rsid w:val="00EE0CE8"/>
    <w:rsid w:val="00EE0CFC"/>
    <w:rsid w:val="00EE0D91"/>
    <w:rsid w:val="00EE0ED8"/>
    <w:rsid w:val="00EE0F5B"/>
    <w:rsid w:val="00EE1075"/>
    <w:rsid w:val="00EE1080"/>
    <w:rsid w:val="00EE125C"/>
    <w:rsid w:val="00EE12B1"/>
    <w:rsid w:val="00EE13E1"/>
    <w:rsid w:val="00EE13FB"/>
    <w:rsid w:val="00EE1650"/>
    <w:rsid w:val="00EE185D"/>
    <w:rsid w:val="00EE1867"/>
    <w:rsid w:val="00EE1887"/>
    <w:rsid w:val="00EE18A9"/>
    <w:rsid w:val="00EE18AF"/>
    <w:rsid w:val="00EE1977"/>
    <w:rsid w:val="00EE19FA"/>
    <w:rsid w:val="00EE1A00"/>
    <w:rsid w:val="00EE1AAD"/>
    <w:rsid w:val="00EE1B3F"/>
    <w:rsid w:val="00EE1D3B"/>
    <w:rsid w:val="00EE1DB4"/>
    <w:rsid w:val="00EE1F19"/>
    <w:rsid w:val="00EE20D6"/>
    <w:rsid w:val="00EE2177"/>
    <w:rsid w:val="00EE2352"/>
    <w:rsid w:val="00EE239A"/>
    <w:rsid w:val="00EE245C"/>
    <w:rsid w:val="00EE2475"/>
    <w:rsid w:val="00EE2527"/>
    <w:rsid w:val="00EE253F"/>
    <w:rsid w:val="00EE25E5"/>
    <w:rsid w:val="00EE26C5"/>
    <w:rsid w:val="00EE2791"/>
    <w:rsid w:val="00EE2A21"/>
    <w:rsid w:val="00EE2A96"/>
    <w:rsid w:val="00EE2B07"/>
    <w:rsid w:val="00EE2B3F"/>
    <w:rsid w:val="00EE2BD1"/>
    <w:rsid w:val="00EE2C55"/>
    <w:rsid w:val="00EE2FF9"/>
    <w:rsid w:val="00EE33E6"/>
    <w:rsid w:val="00EE340F"/>
    <w:rsid w:val="00EE3457"/>
    <w:rsid w:val="00EE3573"/>
    <w:rsid w:val="00EE362A"/>
    <w:rsid w:val="00EE37C8"/>
    <w:rsid w:val="00EE37F3"/>
    <w:rsid w:val="00EE37F5"/>
    <w:rsid w:val="00EE383D"/>
    <w:rsid w:val="00EE3951"/>
    <w:rsid w:val="00EE39AE"/>
    <w:rsid w:val="00EE3A6B"/>
    <w:rsid w:val="00EE3B6C"/>
    <w:rsid w:val="00EE3C35"/>
    <w:rsid w:val="00EE3D9D"/>
    <w:rsid w:val="00EE418D"/>
    <w:rsid w:val="00EE42A7"/>
    <w:rsid w:val="00EE4421"/>
    <w:rsid w:val="00EE4529"/>
    <w:rsid w:val="00EE468D"/>
    <w:rsid w:val="00EE4710"/>
    <w:rsid w:val="00EE473E"/>
    <w:rsid w:val="00EE478F"/>
    <w:rsid w:val="00EE4996"/>
    <w:rsid w:val="00EE4B84"/>
    <w:rsid w:val="00EE4BD1"/>
    <w:rsid w:val="00EE4C0F"/>
    <w:rsid w:val="00EE505D"/>
    <w:rsid w:val="00EE5133"/>
    <w:rsid w:val="00EE5191"/>
    <w:rsid w:val="00EE5299"/>
    <w:rsid w:val="00EE52BD"/>
    <w:rsid w:val="00EE53AD"/>
    <w:rsid w:val="00EE5767"/>
    <w:rsid w:val="00EE5937"/>
    <w:rsid w:val="00EE59E4"/>
    <w:rsid w:val="00EE5AE5"/>
    <w:rsid w:val="00EE5AE9"/>
    <w:rsid w:val="00EE5CEF"/>
    <w:rsid w:val="00EE5E1B"/>
    <w:rsid w:val="00EE5E32"/>
    <w:rsid w:val="00EE5ED0"/>
    <w:rsid w:val="00EE5F97"/>
    <w:rsid w:val="00EE5F9B"/>
    <w:rsid w:val="00EE62BB"/>
    <w:rsid w:val="00EE63BD"/>
    <w:rsid w:val="00EE657F"/>
    <w:rsid w:val="00EE65B6"/>
    <w:rsid w:val="00EE6622"/>
    <w:rsid w:val="00EE66DA"/>
    <w:rsid w:val="00EE686A"/>
    <w:rsid w:val="00EE695C"/>
    <w:rsid w:val="00EE6996"/>
    <w:rsid w:val="00EE6AC8"/>
    <w:rsid w:val="00EE6BE9"/>
    <w:rsid w:val="00EE6D12"/>
    <w:rsid w:val="00EE6EC3"/>
    <w:rsid w:val="00EE7040"/>
    <w:rsid w:val="00EE704F"/>
    <w:rsid w:val="00EE7119"/>
    <w:rsid w:val="00EE7202"/>
    <w:rsid w:val="00EE7248"/>
    <w:rsid w:val="00EE7320"/>
    <w:rsid w:val="00EE7378"/>
    <w:rsid w:val="00EE7533"/>
    <w:rsid w:val="00EE75E3"/>
    <w:rsid w:val="00EE785C"/>
    <w:rsid w:val="00EE7A3E"/>
    <w:rsid w:val="00EE7AC6"/>
    <w:rsid w:val="00EE7D9A"/>
    <w:rsid w:val="00EE7DC5"/>
    <w:rsid w:val="00EE7F19"/>
    <w:rsid w:val="00EE7F2D"/>
    <w:rsid w:val="00EE7F4B"/>
    <w:rsid w:val="00EEF76A"/>
    <w:rsid w:val="00EF0223"/>
    <w:rsid w:val="00EF039A"/>
    <w:rsid w:val="00EF05EE"/>
    <w:rsid w:val="00EF0842"/>
    <w:rsid w:val="00EF0887"/>
    <w:rsid w:val="00EF0998"/>
    <w:rsid w:val="00EF0A68"/>
    <w:rsid w:val="00EF0B2C"/>
    <w:rsid w:val="00EF0BE1"/>
    <w:rsid w:val="00EF0C66"/>
    <w:rsid w:val="00EF0C90"/>
    <w:rsid w:val="00EF0D38"/>
    <w:rsid w:val="00EF0E91"/>
    <w:rsid w:val="00EF1072"/>
    <w:rsid w:val="00EF1096"/>
    <w:rsid w:val="00EF1299"/>
    <w:rsid w:val="00EF145C"/>
    <w:rsid w:val="00EF1700"/>
    <w:rsid w:val="00EF17FB"/>
    <w:rsid w:val="00EF19C1"/>
    <w:rsid w:val="00EF1A00"/>
    <w:rsid w:val="00EF1DD1"/>
    <w:rsid w:val="00EF1F37"/>
    <w:rsid w:val="00EF2054"/>
    <w:rsid w:val="00EF20B9"/>
    <w:rsid w:val="00EF236C"/>
    <w:rsid w:val="00EF245F"/>
    <w:rsid w:val="00EF24F8"/>
    <w:rsid w:val="00EF2534"/>
    <w:rsid w:val="00EF269A"/>
    <w:rsid w:val="00EF26F2"/>
    <w:rsid w:val="00EF2715"/>
    <w:rsid w:val="00EF27BC"/>
    <w:rsid w:val="00EF2845"/>
    <w:rsid w:val="00EF28AE"/>
    <w:rsid w:val="00EF28DB"/>
    <w:rsid w:val="00EF2AB0"/>
    <w:rsid w:val="00EF2B03"/>
    <w:rsid w:val="00EF2B58"/>
    <w:rsid w:val="00EF2B81"/>
    <w:rsid w:val="00EF2DB4"/>
    <w:rsid w:val="00EF2ECD"/>
    <w:rsid w:val="00EF2F0A"/>
    <w:rsid w:val="00EF2F6B"/>
    <w:rsid w:val="00EF2FBC"/>
    <w:rsid w:val="00EF2FCE"/>
    <w:rsid w:val="00EF3100"/>
    <w:rsid w:val="00EF31E2"/>
    <w:rsid w:val="00EF345E"/>
    <w:rsid w:val="00EF350F"/>
    <w:rsid w:val="00EF35C0"/>
    <w:rsid w:val="00EF3764"/>
    <w:rsid w:val="00EF37E7"/>
    <w:rsid w:val="00EF3806"/>
    <w:rsid w:val="00EF3861"/>
    <w:rsid w:val="00EF39F3"/>
    <w:rsid w:val="00EF3B8F"/>
    <w:rsid w:val="00EF3BA0"/>
    <w:rsid w:val="00EF3CF1"/>
    <w:rsid w:val="00EF3D8B"/>
    <w:rsid w:val="00EF3E2E"/>
    <w:rsid w:val="00EF3F37"/>
    <w:rsid w:val="00EF3F62"/>
    <w:rsid w:val="00EF3FEB"/>
    <w:rsid w:val="00EF407A"/>
    <w:rsid w:val="00EF41D5"/>
    <w:rsid w:val="00EF4263"/>
    <w:rsid w:val="00EF4339"/>
    <w:rsid w:val="00EF4392"/>
    <w:rsid w:val="00EF43C7"/>
    <w:rsid w:val="00EF43EF"/>
    <w:rsid w:val="00EF44A7"/>
    <w:rsid w:val="00EF45D7"/>
    <w:rsid w:val="00EF472A"/>
    <w:rsid w:val="00EF474C"/>
    <w:rsid w:val="00EF4AB9"/>
    <w:rsid w:val="00EF4B71"/>
    <w:rsid w:val="00EF4C03"/>
    <w:rsid w:val="00EF4D28"/>
    <w:rsid w:val="00EF4D41"/>
    <w:rsid w:val="00EF4D4D"/>
    <w:rsid w:val="00EF4D9D"/>
    <w:rsid w:val="00EF4F02"/>
    <w:rsid w:val="00EF4F03"/>
    <w:rsid w:val="00EF4F7D"/>
    <w:rsid w:val="00EF5034"/>
    <w:rsid w:val="00EF55FC"/>
    <w:rsid w:val="00EF5651"/>
    <w:rsid w:val="00EF5797"/>
    <w:rsid w:val="00EF5835"/>
    <w:rsid w:val="00EF5A47"/>
    <w:rsid w:val="00EF5A8F"/>
    <w:rsid w:val="00EF5B31"/>
    <w:rsid w:val="00EF5E1D"/>
    <w:rsid w:val="00EF5E46"/>
    <w:rsid w:val="00EF5E4B"/>
    <w:rsid w:val="00EF5E63"/>
    <w:rsid w:val="00EF5ED8"/>
    <w:rsid w:val="00EF5F06"/>
    <w:rsid w:val="00EF5F2C"/>
    <w:rsid w:val="00EF5F51"/>
    <w:rsid w:val="00EF61F4"/>
    <w:rsid w:val="00EF6238"/>
    <w:rsid w:val="00EF65B8"/>
    <w:rsid w:val="00EF69D3"/>
    <w:rsid w:val="00EF69FB"/>
    <w:rsid w:val="00EF6AE9"/>
    <w:rsid w:val="00EF6C8D"/>
    <w:rsid w:val="00EF6D00"/>
    <w:rsid w:val="00EF7246"/>
    <w:rsid w:val="00EF72BF"/>
    <w:rsid w:val="00EF72D3"/>
    <w:rsid w:val="00EF775B"/>
    <w:rsid w:val="00EF7960"/>
    <w:rsid w:val="00EF79CB"/>
    <w:rsid w:val="00EF7CCE"/>
    <w:rsid w:val="00EF7D5D"/>
    <w:rsid w:val="00EF7F7B"/>
    <w:rsid w:val="00EF95A0"/>
    <w:rsid w:val="00F00136"/>
    <w:rsid w:val="00F001F5"/>
    <w:rsid w:val="00F001FB"/>
    <w:rsid w:val="00F0031D"/>
    <w:rsid w:val="00F0045C"/>
    <w:rsid w:val="00F004CC"/>
    <w:rsid w:val="00F004EB"/>
    <w:rsid w:val="00F005D6"/>
    <w:rsid w:val="00F00619"/>
    <w:rsid w:val="00F006E7"/>
    <w:rsid w:val="00F007A7"/>
    <w:rsid w:val="00F008A7"/>
    <w:rsid w:val="00F00916"/>
    <w:rsid w:val="00F00A24"/>
    <w:rsid w:val="00F00A54"/>
    <w:rsid w:val="00F00BCA"/>
    <w:rsid w:val="00F01085"/>
    <w:rsid w:val="00F0109E"/>
    <w:rsid w:val="00F012A4"/>
    <w:rsid w:val="00F01345"/>
    <w:rsid w:val="00F013B7"/>
    <w:rsid w:val="00F01590"/>
    <w:rsid w:val="00F015DE"/>
    <w:rsid w:val="00F01646"/>
    <w:rsid w:val="00F0170F"/>
    <w:rsid w:val="00F0171B"/>
    <w:rsid w:val="00F01736"/>
    <w:rsid w:val="00F017B0"/>
    <w:rsid w:val="00F0180B"/>
    <w:rsid w:val="00F01821"/>
    <w:rsid w:val="00F01AA1"/>
    <w:rsid w:val="00F01B80"/>
    <w:rsid w:val="00F01BE1"/>
    <w:rsid w:val="00F02096"/>
    <w:rsid w:val="00F0226A"/>
    <w:rsid w:val="00F022BA"/>
    <w:rsid w:val="00F0230C"/>
    <w:rsid w:val="00F02421"/>
    <w:rsid w:val="00F02473"/>
    <w:rsid w:val="00F02584"/>
    <w:rsid w:val="00F02632"/>
    <w:rsid w:val="00F02764"/>
    <w:rsid w:val="00F0277B"/>
    <w:rsid w:val="00F027A9"/>
    <w:rsid w:val="00F027EB"/>
    <w:rsid w:val="00F02B30"/>
    <w:rsid w:val="00F02B48"/>
    <w:rsid w:val="00F02CDA"/>
    <w:rsid w:val="00F02CFE"/>
    <w:rsid w:val="00F02D68"/>
    <w:rsid w:val="00F02DEF"/>
    <w:rsid w:val="00F02E18"/>
    <w:rsid w:val="00F02E3D"/>
    <w:rsid w:val="00F02F30"/>
    <w:rsid w:val="00F03141"/>
    <w:rsid w:val="00F0325F"/>
    <w:rsid w:val="00F032FD"/>
    <w:rsid w:val="00F03359"/>
    <w:rsid w:val="00F03440"/>
    <w:rsid w:val="00F0378B"/>
    <w:rsid w:val="00F03841"/>
    <w:rsid w:val="00F03889"/>
    <w:rsid w:val="00F039BF"/>
    <w:rsid w:val="00F03B39"/>
    <w:rsid w:val="00F03C3B"/>
    <w:rsid w:val="00F03C41"/>
    <w:rsid w:val="00F03E14"/>
    <w:rsid w:val="00F03E48"/>
    <w:rsid w:val="00F03E81"/>
    <w:rsid w:val="00F03EA6"/>
    <w:rsid w:val="00F041F7"/>
    <w:rsid w:val="00F043F3"/>
    <w:rsid w:val="00F0445F"/>
    <w:rsid w:val="00F04567"/>
    <w:rsid w:val="00F04619"/>
    <w:rsid w:val="00F04A24"/>
    <w:rsid w:val="00F04B92"/>
    <w:rsid w:val="00F04BA0"/>
    <w:rsid w:val="00F04C05"/>
    <w:rsid w:val="00F04D13"/>
    <w:rsid w:val="00F04DC0"/>
    <w:rsid w:val="00F04F3F"/>
    <w:rsid w:val="00F0516F"/>
    <w:rsid w:val="00F05251"/>
    <w:rsid w:val="00F05296"/>
    <w:rsid w:val="00F054B8"/>
    <w:rsid w:val="00F0554E"/>
    <w:rsid w:val="00F0562C"/>
    <w:rsid w:val="00F05681"/>
    <w:rsid w:val="00F05684"/>
    <w:rsid w:val="00F05722"/>
    <w:rsid w:val="00F0572E"/>
    <w:rsid w:val="00F05984"/>
    <w:rsid w:val="00F059A1"/>
    <w:rsid w:val="00F059E0"/>
    <w:rsid w:val="00F059FA"/>
    <w:rsid w:val="00F05C03"/>
    <w:rsid w:val="00F05CDF"/>
    <w:rsid w:val="00F05D96"/>
    <w:rsid w:val="00F05D99"/>
    <w:rsid w:val="00F05EA1"/>
    <w:rsid w:val="00F05F8D"/>
    <w:rsid w:val="00F05FAD"/>
    <w:rsid w:val="00F0630A"/>
    <w:rsid w:val="00F06443"/>
    <w:rsid w:val="00F0647C"/>
    <w:rsid w:val="00F0668C"/>
    <w:rsid w:val="00F06769"/>
    <w:rsid w:val="00F06770"/>
    <w:rsid w:val="00F069B0"/>
    <w:rsid w:val="00F06B25"/>
    <w:rsid w:val="00F06B35"/>
    <w:rsid w:val="00F06B4A"/>
    <w:rsid w:val="00F06B4E"/>
    <w:rsid w:val="00F06B99"/>
    <w:rsid w:val="00F06C58"/>
    <w:rsid w:val="00F06C97"/>
    <w:rsid w:val="00F06CB4"/>
    <w:rsid w:val="00F06DD2"/>
    <w:rsid w:val="00F06ED8"/>
    <w:rsid w:val="00F07072"/>
    <w:rsid w:val="00F071AE"/>
    <w:rsid w:val="00F0728E"/>
    <w:rsid w:val="00F07367"/>
    <w:rsid w:val="00F073D7"/>
    <w:rsid w:val="00F07404"/>
    <w:rsid w:val="00F07528"/>
    <w:rsid w:val="00F076FA"/>
    <w:rsid w:val="00F07865"/>
    <w:rsid w:val="00F07980"/>
    <w:rsid w:val="00F07A8A"/>
    <w:rsid w:val="00F07D95"/>
    <w:rsid w:val="00F07E0D"/>
    <w:rsid w:val="00F07ECC"/>
    <w:rsid w:val="00F0FB6B"/>
    <w:rsid w:val="00F100A3"/>
    <w:rsid w:val="00F100F4"/>
    <w:rsid w:val="00F10103"/>
    <w:rsid w:val="00F1013C"/>
    <w:rsid w:val="00F101DE"/>
    <w:rsid w:val="00F1025D"/>
    <w:rsid w:val="00F1036E"/>
    <w:rsid w:val="00F103D0"/>
    <w:rsid w:val="00F10463"/>
    <w:rsid w:val="00F106BC"/>
    <w:rsid w:val="00F10748"/>
    <w:rsid w:val="00F107CE"/>
    <w:rsid w:val="00F1086E"/>
    <w:rsid w:val="00F10A1D"/>
    <w:rsid w:val="00F10A62"/>
    <w:rsid w:val="00F10AAE"/>
    <w:rsid w:val="00F10B74"/>
    <w:rsid w:val="00F10C1F"/>
    <w:rsid w:val="00F10D32"/>
    <w:rsid w:val="00F11037"/>
    <w:rsid w:val="00F110CF"/>
    <w:rsid w:val="00F1124A"/>
    <w:rsid w:val="00F113B1"/>
    <w:rsid w:val="00F114E9"/>
    <w:rsid w:val="00F11517"/>
    <w:rsid w:val="00F11604"/>
    <w:rsid w:val="00F11605"/>
    <w:rsid w:val="00F116E4"/>
    <w:rsid w:val="00F116F3"/>
    <w:rsid w:val="00F117E6"/>
    <w:rsid w:val="00F1196D"/>
    <w:rsid w:val="00F11A57"/>
    <w:rsid w:val="00F11D8E"/>
    <w:rsid w:val="00F11D91"/>
    <w:rsid w:val="00F11E23"/>
    <w:rsid w:val="00F11FB0"/>
    <w:rsid w:val="00F121C6"/>
    <w:rsid w:val="00F12267"/>
    <w:rsid w:val="00F1228A"/>
    <w:rsid w:val="00F1244D"/>
    <w:rsid w:val="00F12580"/>
    <w:rsid w:val="00F126A3"/>
    <w:rsid w:val="00F128D9"/>
    <w:rsid w:val="00F12AA5"/>
    <w:rsid w:val="00F12C7C"/>
    <w:rsid w:val="00F12C93"/>
    <w:rsid w:val="00F12E11"/>
    <w:rsid w:val="00F12E63"/>
    <w:rsid w:val="00F12E7D"/>
    <w:rsid w:val="00F12F60"/>
    <w:rsid w:val="00F12FD6"/>
    <w:rsid w:val="00F1305F"/>
    <w:rsid w:val="00F1310D"/>
    <w:rsid w:val="00F132BC"/>
    <w:rsid w:val="00F133D0"/>
    <w:rsid w:val="00F13482"/>
    <w:rsid w:val="00F1363B"/>
    <w:rsid w:val="00F13654"/>
    <w:rsid w:val="00F136FA"/>
    <w:rsid w:val="00F137A6"/>
    <w:rsid w:val="00F13855"/>
    <w:rsid w:val="00F13939"/>
    <w:rsid w:val="00F13A3D"/>
    <w:rsid w:val="00F13AB5"/>
    <w:rsid w:val="00F13B07"/>
    <w:rsid w:val="00F13B3D"/>
    <w:rsid w:val="00F13B4A"/>
    <w:rsid w:val="00F13BA4"/>
    <w:rsid w:val="00F13BC2"/>
    <w:rsid w:val="00F13C75"/>
    <w:rsid w:val="00F13C82"/>
    <w:rsid w:val="00F13CA4"/>
    <w:rsid w:val="00F13CE1"/>
    <w:rsid w:val="00F13D58"/>
    <w:rsid w:val="00F13DA9"/>
    <w:rsid w:val="00F13E50"/>
    <w:rsid w:val="00F13F8D"/>
    <w:rsid w:val="00F14089"/>
    <w:rsid w:val="00F14142"/>
    <w:rsid w:val="00F141C1"/>
    <w:rsid w:val="00F142C3"/>
    <w:rsid w:val="00F145BA"/>
    <w:rsid w:val="00F145DB"/>
    <w:rsid w:val="00F145FA"/>
    <w:rsid w:val="00F14637"/>
    <w:rsid w:val="00F14779"/>
    <w:rsid w:val="00F147E7"/>
    <w:rsid w:val="00F148E4"/>
    <w:rsid w:val="00F149B1"/>
    <w:rsid w:val="00F14EBB"/>
    <w:rsid w:val="00F14EC0"/>
    <w:rsid w:val="00F15195"/>
    <w:rsid w:val="00F1528D"/>
    <w:rsid w:val="00F152C5"/>
    <w:rsid w:val="00F1547B"/>
    <w:rsid w:val="00F1554F"/>
    <w:rsid w:val="00F155AE"/>
    <w:rsid w:val="00F15A71"/>
    <w:rsid w:val="00F15BD5"/>
    <w:rsid w:val="00F15BFF"/>
    <w:rsid w:val="00F15D29"/>
    <w:rsid w:val="00F15D2F"/>
    <w:rsid w:val="00F15DAF"/>
    <w:rsid w:val="00F15DFE"/>
    <w:rsid w:val="00F15E62"/>
    <w:rsid w:val="00F15E96"/>
    <w:rsid w:val="00F1607C"/>
    <w:rsid w:val="00F160D3"/>
    <w:rsid w:val="00F16214"/>
    <w:rsid w:val="00F16319"/>
    <w:rsid w:val="00F1639C"/>
    <w:rsid w:val="00F163CC"/>
    <w:rsid w:val="00F16407"/>
    <w:rsid w:val="00F1640A"/>
    <w:rsid w:val="00F1645B"/>
    <w:rsid w:val="00F167B2"/>
    <w:rsid w:val="00F1688C"/>
    <w:rsid w:val="00F169CD"/>
    <w:rsid w:val="00F16AA7"/>
    <w:rsid w:val="00F16B9C"/>
    <w:rsid w:val="00F16BB0"/>
    <w:rsid w:val="00F16BEB"/>
    <w:rsid w:val="00F16C04"/>
    <w:rsid w:val="00F16C0F"/>
    <w:rsid w:val="00F16D8B"/>
    <w:rsid w:val="00F16F03"/>
    <w:rsid w:val="00F170B5"/>
    <w:rsid w:val="00F170B9"/>
    <w:rsid w:val="00F171FA"/>
    <w:rsid w:val="00F173DF"/>
    <w:rsid w:val="00F17464"/>
    <w:rsid w:val="00F17471"/>
    <w:rsid w:val="00F176F0"/>
    <w:rsid w:val="00F177A7"/>
    <w:rsid w:val="00F177B8"/>
    <w:rsid w:val="00F17B5D"/>
    <w:rsid w:val="00F17BC2"/>
    <w:rsid w:val="00F17D64"/>
    <w:rsid w:val="00F17F55"/>
    <w:rsid w:val="00F18520"/>
    <w:rsid w:val="00F1C010"/>
    <w:rsid w:val="00F1D611"/>
    <w:rsid w:val="00F1EB36"/>
    <w:rsid w:val="00F1F771"/>
    <w:rsid w:val="00F20061"/>
    <w:rsid w:val="00F2006D"/>
    <w:rsid w:val="00F20171"/>
    <w:rsid w:val="00F202D0"/>
    <w:rsid w:val="00F202F4"/>
    <w:rsid w:val="00F2030A"/>
    <w:rsid w:val="00F204CE"/>
    <w:rsid w:val="00F205F6"/>
    <w:rsid w:val="00F20617"/>
    <w:rsid w:val="00F20696"/>
    <w:rsid w:val="00F207EC"/>
    <w:rsid w:val="00F20879"/>
    <w:rsid w:val="00F20985"/>
    <w:rsid w:val="00F20990"/>
    <w:rsid w:val="00F20E74"/>
    <w:rsid w:val="00F20ED1"/>
    <w:rsid w:val="00F20F21"/>
    <w:rsid w:val="00F21092"/>
    <w:rsid w:val="00F210D8"/>
    <w:rsid w:val="00F210E6"/>
    <w:rsid w:val="00F211FB"/>
    <w:rsid w:val="00F2144C"/>
    <w:rsid w:val="00F215B0"/>
    <w:rsid w:val="00F215FB"/>
    <w:rsid w:val="00F2163B"/>
    <w:rsid w:val="00F21677"/>
    <w:rsid w:val="00F217BB"/>
    <w:rsid w:val="00F217E1"/>
    <w:rsid w:val="00F21962"/>
    <w:rsid w:val="00F219DE"/>
    <w:rsid w:val="00F21A9C"/>
    <w:rsid w:val="00F21B6E"/>
    <w:rsid w:val="00F21BCA"/>
    <w:rsid w:val="00F21EA7"/>
    <w:rsid w:val="00F21FB5"/>
    <w:rsid w:val="00F220ED"/>
    <w:rsid w:val="00F22168"/>
    <w:rsid w:val="00F221CB"/>
    <w:rsid w:val="00F221EB"/>
    <w:rsid w:val="00F22262"/>
    <w:rsid w:val="00F2234B"/>
    <w:rsid w:val="00F2251D"/>
    <w:rsid w:val="00F22530"/>
    <w:rsid w:val="00F225CC"/>
    <w:rsid w:val="00F22616"/>
    <w:rsid w:val="00F2267C"/>
    <w:rsid w:val="00F22688"/>
    <w:rsid w:val="00F227A2"/>
    <w:rsid w:val="00F229B2"/>
    <w:rsid w:val="00F229B3"/>
    <w:rsid w:val="00F22C2A"/>
    <w:rsid w:val="00F22C2C"/>
    <w:rsid w:val="00F22D85"/>
    <w:rsid w:val="00F22DB2"/>
    <w:rsid w:val="00F22E22"/>
    <w:rsid w:val="00F22E33"/>
    <w:rsid w:val="00F2300C"/>
    <w:rsid w:val="00F230EF"/>
    <w:rsid w:val="00F23144"/>
    <w:rsid w:val="00F23299"/>
    <w:rsid w:val="00F2333D"/>
    <w:rsid w:val="00F23608"/>
    <w:rsid w:val="00F2363F"/>
    <w:rsid w:val="00F2368A"/>
    <w:rsid w:val="00F236B4"/>
    <w:rsid w:val="00F23881"/>
    <w:rsid w:val="00F23ADB"/>
    <w:rsid w:val="00F23B37"/>
    <w:rsid w:val="00F23B49"/>
    <w:rsid w:val="00F23B52"/>
    <w:rsid w:val="00F23CD4"/>
    <w:rsid w:val="00F23D17"/>
    <w:rsid w:val="00F23D3D"/>
    <w:rsid w:val="00F23E4C"/>
    <w:rsid w:val="00F23E67"/>
    <w:rsid w:val="00F23E8C"/>
    <w:rsid w:val="00F23FC0"/>
    <w:rsid w:val="00F242ED"/>
    <w:rsid w:val="00F243BA"/>
    <w:rsid w:val="00F245BF"/>
    <w:rsid w:val="00F248F9"/>
    <w:rsid w:val="00F24947"/>
    <w:rsid w:val="00F249E7"/>
    <w:rsid w:val="00F24BE0"/>
    <w:rsid w:val="00F24C45"/>
    <w:rsid w:val="00F24CA8"/>
    <w:rsid w:val="00F24D64"/>
    <w:rsid w:val="00F24DFF"/>
    <w:rsid w:val="00F24E46"/>
    <w:rsid w:val="00F24F04"/>
    <w:rsid w:val="00F24F68"/>
    <w:rsid w:val="00F24FFB"/>
    <w:rsid w:val="00F256CB"/>
    <w:rsid w:val="00F25776"/>
    <w:rsid w:val="00F257C7"/>
    <w:rsid w:val="00F25996"/>
    <w:rsid w:val="00F25CC3"/>
    <w:rsid w:val="00F25D38"/>
    <w:rsid w:val="00F25D51"/>
    <w:rsid w:val="00F261A3"/>
    <w:rsid w:val="00F26569"/>
    <w:rsid w:val="00F266B4"/>
    <w:rsid w:val="00F2674B"/>
    <w:rsid w:val="00F26812"/>
    <w:rsid w:val="00F26AC4"/>
    <w:rsid w:val="00F26AFB"/>
    <w:rsid w:val="00F26B3D"/>
    <w:rsid w:val="00F26F77"/>
    <w:rsid w:val="00F26FB2"/>
    <w:rsid w:val="00F27062"/>
    <w:rsid w:val="00F2717F"/>
    <w:rsid w:val="00F271FC"/>
    <w:rsid w:val="00F27448"/>
    <w:rsid w:val="00F27589"/>
    <w:rsid w:val="00F27678"/>
    <w:rsid w:val="00F2767A"/>
    <w:rsid w:val="00F2770F"/>
    <w:rsid w:val="00F27872"/>
    <w:rsid w:val="00F27AA8"/>
    <w:rsid w:val="00F27B33"/>
    <w:rsid w:val="00F27C04"/>
    <w:rsid w:val="00F27D15"/>
    <w:rsid w:val="00F27E59"/>
    <w:rsid w:val="00F27FB8"/>
    <w:rsid w:val="00F27FD4"/>
    <w:rsid w:val="00F280FD"/>
    <w:rsid w:val="00F30037"/>
    <w:rsid w:val="00F300B9"/>
    <w:rsid w:val="00F301DD"/>
    <w:rsid w:val="00F30222"/>
    <w:rsid w:val="00F302A9"/>
    <w:rsid w:val="00F304FF"/>
    <w:rsid w:val="00F30522"/>
    <w:rsid w:val="00F305C7"/>
    <w:rsid w:val="00F305EB"/>
    <w:rsid w:val="00F30646"/>
    <w:rsid w:val="00F30776"/>
    <w:rsid w:val="00F307AE"/>
    <w:rsid w:val="00F307C2"/>
    <w:rsid w:val="00F30810"/>
    <w:rsid w:val="00F3083B"/>
    <w:rsid w:val="00F30AD1"/>
    <w:rsid w:val="00F3105C"/>
    <w:rsid w:val="00F310B0"/>
    <w:rsid w:val="00F312F0"/>
    <w:rsid w:val="00F31415"/>
    <w:rsid w:val="00F314C3"/>
    <w:rsid w:val="00F315E5"/>
    <w:rsid w:val="00F31651"/>
    <w:rsid w:val="00F317EB"/>
    <w:rsid w:val="00F31904"/>
    <w:rsid w:val="00F3196D"/>
    <w:rsid w:val="00F31F2F"/>
    <w:rsid w:val="00F31FDA"/>
    <w:rsid w:val="00F320BE"/>
    <w:rsid w:val="00F32118"/>
    <w:rsid w:val="00F32278"/>
    <w:rsid w:val="00F324A3"/>
    <w:rsid w:val="00F32510"/>
    <w:rsid w:val="00F32589"/>
    <w:rsid w:val="00F3285C"/>
    <w:rsid w:val="00F328E7"/>
    <w:rsid w:val="00F32AEC"/>
    <w:rsid w:val="00F32AFD"/>
    <w:rsid w:val="00F32E5F"/>
    <w:rsid w:val="00F32F15"/>
    <w:rsid w:val="00F33072"/>
    <w:rsid w:val="00F330AD"/>
    <w:rsid w:val="00F33157"/>
    <w:rsid w:val="00F3315F"/>
    <w:rsid w:val="00F33273"/>
    <w:rsid w:val="00F33301"/>
    <w:rsid w:val="00F333F5"/>
    <w:rsid w:val="00F334DE"/>
    <w:rsid w:val="00F33621"/>
    <w:rsid w:val="00F337B9"/>
    <w:rsid w:val="00F33AFA"/>
    <w:rsid w:val="00F33B8F"/>
    <w:rsid w:val="00F33D50"/>
    <w:rsid w:val="00F33D6E"/>
    <w:rsid w:val="00F33E3B"/>
    <w:rsid w:val="00F33E3E"/>
    <w:rsid w:val="00F34276"/>
    <w:rsid w:val="00F3433F"/>
    <w:rsid w:val="00F343D6"/>
    <w:rsid w:val="00F34636"/>
    <w:rsid w:val="00F34704"/>
    <w:rsid w:val="00F3475C"/>
    <w:rsid w:val="00F3479F"/>
    <w:rsid w:val="00F347AC"/>
    <w:rsid w:val="00F3486B"/>
    <w:rsid w:val="00F348DC"/>
    <w:rsid w:val="00F349B1"/>
    <w:rsid w:val="00F34ACB"/>
    <w:rsid w:val="00F34B40"/>
    <w:rsid w:val="00F34C0A"/>
    <w:rsid w:val="00F34CED"/>
    <w:rsid w:val="00F34D75"/>
    <w:rsid w:val="00F34E13"/>
    <w:rsid w:val="00F34E5E"/>
    <w:rsid w:val="00F34FCD"/>
    <w:rsid w:val="00F350A1"/>
    <w:rsid w:val="00F350F3"/>
    <w:rsid w:val="00F352E9"/>
    <w:rsid w:val="00F355D8"/>
    <w:rsid w:val="00F35602"/>
    <w:rsid w:val="00F356A9"/>
    <w:rsid w:val="00F356C6"/>
    <w:rsid w:val="00F35A70"/>
    <w:rsid w:val="00F35AEA"/>
    <w:rsid w:val="00F35B8C"/>
    <w:rsid w:val="00F35C5C"/>
    <w:rsid w:val="00F35D87"/>
    <w:rsid w:val="00F35DCD"/>
    <w:rsid w:val="00F35FB9"/>
    <w:rsid w:val="00F36391"/>
    <w:rsid w:val="00F363DF"/>
    <w:rsid w:val="00F36455"/>
    <w:rsid w:val="00F3645C"/>
    <w:rsid w:val="00F364AA"/>
    <w:rsid w:val="00F364D6"/>
    <w:rsid w:val="00F364FB"/>
    <w:rsid w:val="00F36645"/>
    <w:rsid w:val="00F36656"/>
    <w:rsid w:val="00F36711"/>
    <w:rsid w:val="00F3673D"/>
    <w:rsid w:val="00F367C2"/>
    <w:rsid w:val="00F367E4"/>
    <w:rsid w:val="00F36860"/>
    <w:rsid w:val="00F368A5"/>
    <w:rsid w:val="00F368B8"/>
    <w:rsid w:val="00F36A43"/>
    <w:rsid w:val="00F36AEB"/>
    <w:rsid w:val="00F36B39"/>
    <w:rsid w:val="00F36D52"/>
    <w:rsid w:val="00F37157"/>
    <w:rsid w:val="00F371EE"/>
    <w:rsid w:val="00F37354"/>
    <w:rsid w:val="00F3743B"/>
    <w:rsid w:val="00F3757E"/>
    <w:rsid w:val="00F3766B"/>
    <w:rsid w:val="00F37677"/>
    <w:rsid w:val="00F376B7"/>
    <w:rsid w:val="00F37973"/>
    <w:rsid w:val="00F379EA"/>
    <w:rsid w:val="00F379EC"/>
    <w:rsid w:val="00F379FD"/>
    <w:rsid w:val="00F37A56"/>
    <w:rsid w:val="00F37B50"/>
    <w:rsid w:val="00F37C99"/>
    <w:rsid w:val="00F37EEE"/>
    <w:rsid w:val="00F37EF6"/>
    <w:rsid w:val="00F3D3EB"/>
    <w:rsid w:val="00F3D404"/>
    <w:rsid w:val="00F3D50A"/>
    <w:rsid w:val="00F400A2"/>
    <w:rsid w:val="00F40127"/>
    <w:rsid w:val="00F40218"/>
    <w:rsid w:val="00F40296"/>
    <w:rsid w:val="00F402A1"/>
    <w:rsid w:val="00F402C5"/>
    <w:rsid w:val="00F4030F"/>
    <w:rsid w:val="00F404AE"/>
    <w:rsid w:val="00F4058F"/>
    <w:rsid w:val="00F40593"/>
    <w:rsid w:val="00F40737"/>
    <w:rsid w:val="00F4089A"/>
    <w:rsid w:val="00F40B24"/>
    <w:rsid w:val="00F40D04"/>
    <w:rsid w:val="00F40DF3"/>
    <w:rsid w:val="00F40FB0"/>
    <w:rsid w:val="00F41127"/>
    <w:rsid w:val="00F4117A"/>
    <w:rsid w:val="00F4119E"/>
    <w:rsid w:val="00F412B4"/>
    <w:rsid w:val="00F414DC"/>
    <w:rsid w:val="00F4163E"/>
    <w:rsid w:val="00F41724"/>
    <w:rsid w:val="00F41848"/>
    <w:rsid w:val="00F4190A"/>
    <w:rsid w:val="00F419B6"/>
    <w:rsid w:val="00F41A07"/>
    <w:rsid w:val="00F41A48"/>
    <w:rsid w:val="00F41A8C"/>
    <w:rsid w:val="00F41AD4"/>
    <w:rsid w:val="00F41C07"/>
    <w:rsid w:val="00F41D2D"/>
    <w:rsid w:val="00F41F02"/>
    <w:rsid w:val="00F4201E"/>
    <w:rsid w:val="00F4215E"/>
    <w:rsid w:val="00F42314"/>
    <w:rsid w:val="00F4238C"/>
    <w:rsid w:val="00F42551"/>
    <w:rsid w:val="00F42585"/>
    <w:rsid w:val="00F425AB"/>
    <w:rsid w:val="00F426AA"/>
    <w:rsid w:val="00F426F7"/>
    <w:rsid w:val="00F42929"/>
    <w:rsid w:val="00F42938"/>
    <w:rsid w:val="00F4295D"/>
    <w:rsid w:val="00F42C10"/>
    <w:rsid w:val="00F42D39"/>
    <w:rsid w:val="00F42E7A"/>
    <w:rsid w:val="00F42EE2"/>
    <w:rsid w:val="00F42FD7"/>
    <w:rsid w:val="00F42FDA"/>
    <w:rsid w:val="00F430A7"/>
    <w:rsid w:val="00F43132"/>
    <w:rsid w:val="00F431E7"/>
    <w:rsid w:val="00F43203"/>
    <w:rsid w:val="00F432A0"/>
    <w:rsid w:val="00F432B2"/>
    <w:rsid w:val="00F432D4"/>
    <w:rsid w:val="00F432D8"/>
    <w:rsid w:val="00F433E9"/>
    <w:rsid w:val="00F43556"/>
    <w:rsid w:val="00F435CE"/>
    <w:rsid w:val="00F43709"/>
    <w:rsid w:val="00F437B9"/>
    <w:rsid w:val="00F4383A"/>
    <w:rsid w:val="00F43866"/>
    <w:rsid w:val="00F43881"/>
    <w:rsid w:val="00F4396C"/>
    <w:rsid w:val="00F43A5B"/>
    <w:rsid w:val="00F43A90"/>
    <w:rsid w:val="00F43D7C"/>
    <w:rsid w:val="00F43DDE"/>
    <w:rsid w:val="00F44045"/>
    <w:rsid w:val="00F440AC"/>
    <w:rsid w:val="00F44242"/>
    <w:rsid w:val="00F442F8"/>
    <w:rsid w:val="00F443F1"/>
    <w:rsid w:val="00F444D2"/>
    <w:rsid w:val="00F4459A"/>
    <w:rsid w:val="00F4477C"/>
    <w:rsid w:val="00F44791"/>
    <w:rsid w:val="00F448A7"/>
    <w:rsid w:val="00F449B9"/>
    <w:rsid w:val="00F44A5F"/>
    <w:rsid w:val="00F44AD8"/>
    <w:rsid w:val="00F44BA3"/>
    <w:rsid w:val="00F44CCA"/>
    <w:rsid w:val="00F44EA9"/>
    <w:rsid w:val="00F4516E"/>
    <w:rsid w:val="00F4523F"/>
    <w:rsid w:val="00F452A1"/>
    <w:rsid w:val="00F453A5"/>
    <w:rsid w:val="00F4574B"/>
    <w:rsid w:val="00F4579C"/>
    <w:rsid w:val="00F4580B"/>
    <w:rsid w:val="00F45B71"/>
    <w:rsid w:val="00F45D2B"/>
    <w:rsid w:val="00F45DC2"/>
    <w:rsid w:val="00F45E93"/>
    <w:rsid w:val="00F45F6A"/>
    <w:rsid w:val="00F45F6B"/>
    <w:rsid w:val="00F45F89"/>
    <w:rsid w:val="00F46058"/>
    <w:rsid w:val="00F460DD"/>
    <w:rsid w:val="00F460F9"/>
    <w:rsid w:val="00F4615C"/>
    <w:rsid w:val="00F4615E"/>
    <w:rsid w:val="00F461F3"/>
    <w:rsid w:val="00F4642F"/>
    <w:rsid w:val="00F4645A"/>
    <w:rsid w:val="00F46490"/>
    <w:rsid w:val="00F464EE"/>
    <w:rsid w:val="00F46548"/>
    <w:rsid w:val="00F4678E"/>
    <w:rsid w:val="00F4683C"/>
    <w:rsid w:val="00F4698F"/>
    <w:rsid w:val="00F469A0"/>
    <w:rsid w:val="00F46A34"/>
    <w:rsid w:val="00F46A6D"/>
    <w:rsid w:val="00F46AC4"/>
    <w:rsid w:val="00F46AE0"/>
    <w:rsid w:val="00F46B4B"/>
    <w:rsid w:val="00F46BA2"/>
    <w:rsid w:val="00F470BB"/>
    <w:rsid w:val="00F4719F"/>
    <w:rsid w:val="00F473B7"/>
    <w:rsid w:val="00F47511"/>
    <w:rsid w:val="00F47589"/>
    <w:rsid w:val="00F475BB"/>
    <w:rsid w:val="00F47674"/>
    <w:rsid w:val="00F4785B"/>
    <w:rsid w:val="00F478B7"/>
    <w:rsid w:val="00F479EC"/>
    <w:rsid w:val="00F47B43"/>
    <w:rsid w:val="00F47B6A"/>
    <w:rsid w:val="00F47C53"/>
    <w:rsid w:val="00F47D5A"/>
    <w:rsid w:val="00F500E8"/>
    <w:rsid w:val="00F501FC"/>
    <w:rsid w:val="00F503AB"/>
    <w:rsid w:val="00F5067F"/>
    <w:rsid w:val="00F50701"/>
    <w:rsid w:val="00F50782"/>
    <w:rsid w:val="00F50A39"/>
    <w:rsid w:val="00F50DDC"/>
    <w:rsid w:val="00F5106C"/>
    <w:rsid w:val="00F510DD"/>
    <w:rsid w:val="00F51195"/>
    <w:rsid w:val="00F51428"/>
    <w:rsid w:val="00F5147F"/>
    <w:rsid w:val="00F51499"/>
    <w:rsid w:val="00F51655"/>
    <w:rsid w:val="00F5181E"/>
    <w:rsid w:val="00F5182D"/>
    <w:rsid w:val="00F518D8"/>
    <w:rsid w:val="00F51934"/>
    <w:rsid w:val="00F51971"/>
    <w:rsid w:val="00F51AB4"/>
    <w:rsid w:val="00F51AD8"/>
    <w:rsid w:val="00F51BD1"/>
    <w:rsid w:val="00F51C18"/>
    <w:rsid w:val="00F51CF5"/>
    <w:rsid w:val="00F521FA"/>
    <w:rsid w:val="00F522AE"/>
    <w:rsid w:val="00F523B6"/>
    <w:rsid w:val="00F52420"/>
    <w:rsid w:val="00F52512"/>
    <w:rsid w:val="00F52557"/>
    <w:rsid w:val="00F525A8"/>
    <w:rsid w:val="00F52686"/>
    <w:rsid w:val="00F527C6"/>
    <w:rsid w:val="00F5289C"/>
    <w:rsid w:val="00F5292B"/>
    <w:rsid w:val="00F52C5D"/>
    <w:rsid w:val="00F52FA3"/>
    <w:rsid w:val="00F53100"/>
    <w:rsid w:val="00F53178"/>
    <w:rsid w:val="00F53234"/>
    <w:rsid w:val="00F5333E"/>
    <w:rsid w:val="00F53750"/>
    <w:rsid w:val="00F53794"/>
    <w:rsid w:val="00F53BDA"/>
    <w:rsid w:val="00F53C92"/>
    <w:rsid w:val="00F54063"/>
    <w:rsid w:val="00F54177"/>
    <w:rsid w:val="00F54646"/>
    <w:rsid w:val="00F546C3"/>
    <w:rsid w:val="00F54749"/>
    <w:rsid w:val="00F54776"/>
    <w:rsid w:val="00F54798"/>
    <w:rsid w:val="00F547B0"/>
    <w:rsid w:val="00F54915"/>
    <w:rsid w:val="00F54CA7"/>
    <w:rsid w:val="00F54DE3"/>
    <w:rsid w:val="00F54F1F"/>
    <w:rsid w:val="00F552EA"/>
    <w:rsid w:val="00F5554C"/>
    <w:rsid w:val="00F55634"/>
    <w:rsid w:val="00F5564B"/>
    <w:rsid w:val="00F556A5"/>
    <w:rsid w:val="00F556F5"/>
    <w:rsid w:val="00F55972"/>
    <w:rsid w:val="00F55983"/>
    <w:rsid w:val="00F55A63"/>
    <w:rsid w:val="00F55C76"/>
    <w:rsid w:val="00F55D74"/>
    <w:rsid w:val="00F55DFE"/>
    <w:rsid w:val="00F55FEE"/>
    <w:rsid w:val="00F560D8"/>
    <w:rsid w:val="00F56166"/>
    <w:rsid w:val="00F56247"/>
    <w:rsid w:val="00F56337"/>
    <w:rsid w:val="00F56350"/>
    <w:rsid w:val="00F563FD"/>
    <w:rsid w:val="00F566B2"/>
    <w:rsid w:val="00F567AE"/>
    <w:rsid w:val="00F56924"/>
    <w:rsid w:val="00F56981"/>
    <w:rsid w:val="00F56BF0"/>
    <w:rsid w:val="00F570D1"/>
    <w:rsid w:val="00F570EF"/>
    <w:rsid w:val="00F571B1"/>
    <w:rsid w:val="00F574FB"/>
    <w:rsid w:val="00F57647"/>
    <w:rsid w:val="00F57675"/>
    <w:rsid w:val="00F576A3"/>
    <w:rsid w:val="00F57830"/>
    <w:rsid w:val="00F578ED"/>
    <w:rsid w:val="00F57961"/>
    <w:rsid w:val="00F57DB1"/>
    <w:rsid w:val="00F57E33"/>
    <w:rsid w:val="00F57E52"/>
    <w:rsid w:val="00F57FFD"/>
    <w:rsid w:val="00F5F2B8"/>
    <w:rsid w:val="00F60054"/>
    <w:rsid w:val="00F600DE"/>
    <w:rsid w:val="00F60122"/>
    <w:rsid w:val="00F601DD"/>
    <w:rsid w:val="00F6029C"/>
    <w:rsid w:val="00F604B2"/>
    <w:rsid w:val="00F6061D"/>
    <w:rsid w:val="00F6080B"/>
    <w:rsid w:val="00F60849"/>
    <w:rsid w:val="00F608E7"/>
    <w:rsid w:val="00F608F7"/>
    <w:rsid w:val="00F60916"/>
    <w:rsid w:val="00F60A59"/>
    <w:rsid w:val="00F60ACF"/>
    <w:rsid w:val="00F60B45"/>
    <w:rsid w:val="00F60B88"/>
    <w:rsid w:val="00F60CA6"/>
    <w:rsid w:val="00F60FC4"/>
    <w:rsid w:val="00F610F0"/>
    <w:rsid w:val="00F61103"/>
    <w:rsid w:val="00F61172"/>
    <w:rsid w:val="00F612FC"/>
    <w:rsid w:val="00F615B6"/>
    <w:rsid w:val="00F61761"/>
    <w:rsid w:val="00F61771"/>
    <w:rsid w:val="00F61786"/>
    <w:rsid w:val="00F61B17"/>
    <w:rsid w:val="00F61B77"/>
    <w:rsid w:val="00F61CEC"/>
    <w:rsid w:val="00F61D7D"/>
    <w:rsid w:val="00F61DD3"/>
    <w:rsid w:val="00F61DE2"/>
    <w:rsid w:val="00F61EFA"/>
    <w:rsid w:val="00F61F98"/>
    <w:rsid w:val="00F62197"/>
    <w:rsid w:val="00F621B4"/>
    <w:rsid w:val="00F6245D"/>
    <w:rsid w:val="00F62629"/>
    <w:rsid w:val="00F62785"/>
    <w:rsid w:val="00F62882"/>
    <w:rsid w:val="00F62917"/>
    <w:rsid w:val="00F629A3"/>
    <w:rsid w:val="00F629B4"/>
    <w:rsid w:val="00F62A61"/>
    <w:rsid w:val="00F62C82"/>
    <w:rsid w:val="00F62CF3"/>
    <w:rsid w:val="00F62FF0"/>
    <w:rsid w:val="00F63030"/>
    <w:rsid w:val="00F6305F"/>
    <w:rsid w:val="00F630AF"/>
    <w:rsid w:val="00F6330A"/>
    <w:rsid w:val="00F634A3"/>
    <w:rsid w:val="00F634B3"/>
    <w:rsid w:val="00F63614"/>
    <w:rsid w:val="00F6366C"/>
    <w:rsid w:val="00F6377B"/>
    <w:rsid w:val="00F63804"/>
    <w:rsid w:val="00F63AC1"/>
    <w:rsid w:val="00F63BF0"/>
    <w:rsid w:val="00F63CF4"/>
    <w:rsid w:val="00F63D08"/>
    <w:rsid w:val="00F63D52"/>
    <w:rsid w:val="00F63DA7"/>
    <w:rsid w:val="00F63E46"/>
    <w:rsid w:val="00F63F21"/>
    <w:rsid w:val="00F64058"/>
    <w:rsid w:val="00F6415D"/>
    <w:rsid w:val="00F6416F"/>
    <w:rsid w:val="00F64189"/>
    <w:rsid w:val="00F6461D"/>
    <w:rsid w:val="00F6461F"/>
    <w:rsid w:val="00F646F4"/>
    <w:rsid w:val="00F6471D"/>
    <w:rsid w:val="00F647A7"/>
    <w:rsid w:val="00F647DA"/>
    <w:rsid w:val="00F6487E"/>
    <w:rsid w:val="00F648CE"/>
    <w:rsid w:val="00F64A9F"/>
    <w:rsid w:val="00F64AB5"/>
    <w:rsid w:val="00F64AD5"/>
    <w:rsid w:val="00F64B34"/>
    <w:rsid w:val="00F64C20"/>
    <w:rsid w:val="00F64C55"/>
    <w:rsid w:val="00F64CDE"/>
    <w:rsid w:val="00F64F8F"/>
    <w:rsid w:val="00F64FFF"/>
    <w:rsid w:val="00F650EC"/>
    <w:rsid w:val="00F6511B"/>
    <w:rsid w:val="00F6512D"/>
    <w:rsid w:val="00F6519A"/>
    <w:rsid w:val="00F651DB"/>
    <w:rsid w:val="00F652CD"/>
    <w:rsid w:val="00F65317"/>
    <w:rsid w:val="00F654B2"/>
    <w:rsid w:val="00F65699"/>
    <w:rsid w:val="00F6579E"/>
    <w:rsid w:val="00F658B5"/>
    <w:rsid w:val="00F65952"/>
    <w:rsid w:val="00F65C06"/>
    <w:rsid w:val="00F65CF2"/>
    <w:rsid w:val="00F65DFB"/>
    <w:rsid w:val="00F65F65"/>
    <w:rsid w:val="00F65FFB"/>
    <w:rsid w:val="00F661ED"/>
    <w:rsid w:val="00F66311"/>
    <w:rsid w:val="00F664D8"/>
    <w:rsid w:val="00F66687"/>
    <w:rsid w:val="00F66821"/>
    <w:rsid w:val="00F669EA"/>
    <w:rsid w:val="00F66B7E"/>
    <w:rsid w:val="00F66C0C"/>
    <w:rsid w:val="00F66C78"/>
    <w:rsid w:val="00F66C95"/>
    <w:rsid w:val="00F66CD0"/>
    <w:rsid w:val="00F66D6B"/>
    <w:rsid w:val="00F66EE2"/>
    <w:rsid w:val="00F66EFE"/>
    <w:rsid w:val="00F67166"/>
    <w:rsid w:val="00F67268"/>
    <w:rsid w:val="00F6735E"/>
    <w:rsid w:val="00F673E0"/>
    <w:rsid w:val="00F67464"/>
    <w:rsid w:val="00F674EC"/>
    <w:rsid w:val="00F67549"/>
    <w:rsid w:val="00F6759A"/>
    <w:rsid w:val="00F675D3"/>
    <w:rsid w:val="00F675ED"/>
    <w:rsid w:val="00F67630"/>
    <w:rsid w:val="00F67742"/>
    <w:rsid w:val="00F677D0"/>
    <w:rsid w:val="00F67864"/>
    <w:rsid w:val="00F67ADA"/>
    <w:rsid w:val="00F67B95"/>
    <w:rsid w:val="00F67BB8"/>
    <w:rsid w:val="00F67E47"/>
    <w:rsid w:val="00F67E56"/>
    <w:rsid w:val="00F697C5"/>
    <w:rsid w:val="00F70124"/>
    <w:rsid w:val="00F70266"/>
    <w:rsid w:val="00F7036E"/>
    <w:rsid w:val="00F70469"/>
    <w:rsid w:val="00F70514"/>
    <w:rsid w:val="00F7053A"/>
    <w:rsid w:val="00F7057C"/>
    <w:rsid w:val="00F7072D"/>
    <w:rsid w:val="00F708B4"/>
    <w:rsid w:val="00F70917"/>
    <w:rsid w:val="00F70B00"/>
    <w:rsid w:val="00F70BD8"/>
    <w:rsid w:val="00F70BEB"/>
    <w:rsid w:val="00F70D15"/>
    <w:rsid w:val="00F70DE4"/>
    <w:rsid w:val="00F71085"/>
    <w:rsid w:val="00F7128A"/>
    <w:rsid w:val="00F71364"/>
    <w:rsid w:val="00F7149F"/>
    <w:rsid w:val="00F714C1"/>
    <w:rsid w:val="00F71565"/>
    <w:rsid w:val="00F717AF"/>
    <w:rsid w:val="00F717D7"/>
    <w:rsid w:val="00F717FA"/>
    <w:rsid w:val="00F718D1"/>
    <w:rsid w:val="00F71A42"/>
    <w:rsid w:val="00F71BF8"/>
    <w:rsid w:val="00F71C24"/>
    <w:rsid w:val="00F71C6E"/>
    <w:rsid w:val="00F71D6E"/>
    <w:rsid w:val="00F71E1A"/>
    <w:rsid w:val="00F71EF5"/>
    <w:rsid w:val="00F71FEC"/>
    <w:rsid w:val="00F72122"/>
    <w:rsid w:val="00F72183"/>
    <w:rsid w:val="00F72244"/>
    <w:rsid w:val="00F722AE"/>
    <w:rsid w:val="00F724BF"/>
    <w:rsid w:val="00F7266A"/>
    <w:rsid w:val="00F727E2"/>
    <w:rsid w:val="00F728FE"/>
    <w:rsid w:val="00F72AFB"/>
    <w:rsid w:val="00F72D93"/>
    <w:rsid w:val="00F72E35"/>
    <w:rsid w:val="00F72F29"/>
    <w:rsid w:val="00F7320F"/>
    <w:rsid w:val="00F7331A"/>
    <w:rsid w:val="00F73391"/>
    <w:rsid w:val="00F73454"/>
    <w:rsid w:val="00F73609"/>
    <w:rsid w:val="00F736CA"/>
    <w:rsid w:val="00F737AC"/>
    <w:rsid w:val="00F738C5"/>
    <w:rsid w:val="00F7392C"/>
    <w:rsid w:val="00F73A45"/>
    <w:rsid w:val="00F73AC4"/>
    <w:rsid w:val="00F73B04"/>
    <w:rsid w:val="00F73D83"/>
    <w:rsid w:val="00F73DA5"/>
    <w:rsid w:val="00F73E71"/>
    <w:rsid w:val="00F73E9E"/>
    <w:rsid w:val="00F7427B"/>
    <w:rsid w:val="00F742E1"/>
    <w:rsid w:val="00F7443A"/>
    <w:rsid w:val="00F744B5"/>
    <w:rsid w:val="00F7458C"/>
    <w:rsid w:val="00F745B4"/>
    <w:rsid w:val="00F745BF"/>
    <w:rsid w:val="00F745E8"/>
    <w:rsid w:val="00F74658"/>
    <w:rsid w:val="00F74784"/>
    <w:rsid w:val="00F7485A"/>
    <w:rsid w:val="00F74B7D"/>
    <w:rsid w:val="00F74BF9"/>
    <w:rsid w:val="00F74D52"/>
    <w:rsid w:val="00F74DD9"/>
    <w:rsid w:val="00F74DDE"/>
    <w:rsid w:val="00F74E76"/>
    <w:rsid w:val="00F74FE7"/>
    <w:rsid w:val="00F75441"/>
    <w:rsid w:val="00F7552E"/>
    <w:rsid w:val="00F755BA"/>
    <w:rsid w:val="00F75771"/>
    <w:rsid w:val="00F757E9"/>
    <w:rsid w:val="00F758A3"/>
    <w:rsid w:val="00F75A6A"/>
    <w:rsid w:val="00F75AE4"/>
    <w:rsid w:val="00F75B3B"/>
    <w:rsid w:val="00F75BDF"/>
    <w:rsid w:val="00F75CA8"/>
    <w:rsid w:val="00F75CE2"/>
    <w:rsid w:val="00F75D08"/>
    <w:rsid w:val="00F75FBC"/>
    <w:rsid w:val="00F75FF4"/>
    <w:rsid w:val="00F76000"/>
    <w:rsid w:val="00F76056"/>
    <w:rsid w:val="00F7632E"/>
    <w:rsid w:val="00F764F7"/>
    <w:rsid w:val="00F7651E"/>
    <w:rsid w:val="00F7665E"/>
    <w:rsid w:val="00F76691"/>
    <w:rsid w:val="00F766D2"/>
    <w:rsid w:val="00F766E5"/>
    <w:rsid w:val="00F76961"/>
    <w:rsid w:val="00F76A6C"/>
    <w:rsid w:val="00F76A73"/>
    <w:rsid w:val="00F76C30"/>
    <w:rsid w:val="00F76D49"/>
    <w:rsid w:val="00F76D52"/>
    <w:rsid w:val="00F76DE0"/>
    <w:rsid w:val="00F76F38"/>
    <w:rsid w:val="00F76FC6"/>
    <w:rsid w:val="00F76FC7"/>
    <w:rsid w:val="00F77076"/>
    <w:rsid w:val="00F770ED"/>
    <w:rsid w:val="00F7711E"/>
    <w:rsid w:val="00F77212"/>
    <w:rsid w:val="00F7732E"/>
    <w:rsid w:val="00F77394"/>
    <w:rsid w:val="00F7747B"/>
    <w:rsid w:val="00F77665"/>
    <w:rsid w:val="00F77705"/>
    <w:rsid w:val="00F777FB"/>
    <w:rsid w:val="00F77854"/>
    <w:rsid w:val="00F77A26"/>
    <w:rsid w:val="00F77A81"/>
    <w:rsid w:val="00F77B0A"/>
    <w:rsid w:val="00F77BEB"/>
    <w:rsid w:val="00F77C25"/>
    <w:rsid w:val="00F77E45"/>
    <w:rsid w:val="00F77F6F"/>
    <w:rsid w:val="00F78F55"/>
    <w:rsid w:val="00F7C315"/>
    <w:rsid w:val="00F800D1"/>
    <w:rsid w:val="00F801F9"/>
    <w:rsid w:val="00F80201"/>
    <w:rsid w:val="00F80224"/>
    <w:rsid w:val="00F803EC"/>
    <w:rsid w:val="00F80A7A"/>
    <w:rsid w:val="00F80B7F"/>
    <w:rsid w:val="00F80BE8"/>
    <w:rsid w:val="00F80F4B"/>
    <w:rsid w:val="00F81072"/>
    <w:rsid w:val="00F81093"/>
    <w:rsid w:val="00F81173"/>
    <w:rsid w:val="00F81262"/>
    <w:rsid w:val="00F812D4"/>
    <w:rsid w:val="00F81339"/>
    <w:rsid w:val="00F813E4"/>
    <w:rsid w:val="00F81494"/>
    <w:rsid w:val="00F8157F"/>
    <w:rsid w:val="00F8159E"/>
    <w:rsid w:val="00F815ED"/>
    <w:rsid w:val="00F817F4"/>
    <w:rsid w:val="00F818EE"/>
    <w:rsid w:val="00F819EA"/>
    <w:rsid w:val="00F81A43"/>
    <w:rsid w:val="00F81A61"/>
    <w:rsid w:val="00F81B0A"/>
    <w:rsid w:val="00F81CAC"/>
    <w:rsid w:val="00F81D10"/>
    <w:rsid w:val="00F81D6E"/>
    <w:rsid w:val="00F81DD1"/>
    <w:rsid w:val="00F81DED"/>
    <w:rsid w:val="00F81EAB"/>
    <w:rsid w:val="00F81EC3"/>
    <w:rsid w:val="00F81F96"/>
    <w:rsid w:val="00F8219B"/>
    <w:rsid w:val="00F821D4"/>
    <w:rsid w:val="00F82205"/>
    <w:rsid w:val="00F823BA"/>
    <w:rsid w:val="00F823DE"/>
    <w:rsid w:val="00F8242B"/>
    <w:rsid w:val="00F8248F"/>
    <w:rsid w:val="00F824B9"/>
    <w:rsid w:val="00F825A3"/>
    <w:rsid w:val="00F826F4"/>
    <w:rsid w:val="00F82700"/>
    <w:rsid w:val="00F82777"/>
    <w:rsid w:val="00F8285D"/>
    <w:rsid w:val="00F828EE"/>
    <w:rsid w:val="00F828F6"/>
    <w:rsid w:val="00F82B69"/>
    <w:rsid w:val="00F82D3B"/>
    <w:rsid w:val="00F82D6A"/>
    <w:rsid w:val="00F82F57"/>
    <w:rsid w:val="00F82F91"/>
    <w:rsid w:val="00F82FC5"/>
    <w:rsid w:val="00F82FCA"/>
    <w:rsid w:val="00F83064"/>
    <w:rsid w:val="00F83091"/>
    <w:rsid w:val="00F830D5"/>
    <w:rsid w:val="00F8323A"/>
    <w:rsid w:val="00F832AE"/>
    <w:rsid w:val="00F832FA"/>
    <w:rsid w:val="00F8339C"/>
    <w:rsid w:val="00F833CB"/>
    <w:rsid w:val="00F834AC"/>
    <w:rsid w:val="00F835C5"/>
    <w:rsid w:val="00F83876"/>
    <w:rsid w:val="00F83900"/>
    <w:rsid w:val="00F83C54"/>
    <w:rsid w:val="00F83D36"/>
    <w:rsid w:val="00F83DE4"/>
    <w:rsid w:val="00F83E12"/>
    <w:rsid w:val="00F83E71"/>
    <w:rsid w:val="00F84361"/>
    <w:rsid w:val="00F843D2"/>
    <w:rsid w:val="00F843F8"/>
    <w:rsid w:val="00F8447F"/>
    <w:rsid w:val="00F844DD"/>
    <w:rsid w:val="00F845F4"/>
    <w:rsid w:val="00F846F2"/>
    <w:rsid w:val="00F84714"/>
    <w:rsid w:val="00F84842"/>
    <w:rsid w:val="00F848D1"/>
    <w:rsid w:val="00F848EC"/>
    <w:rsid w:val="00F84917"/>
    <w:rsid w:val="00F84BFB"/>
    <w:rsid w:val="00F84D3F"/>
    <w:rsid w:val="00F8506B"/>
    <w:rsid w:val="00F8509F"/>
    <w:rsid w:val="00F852A3"/>
    <w:rsid w:val="00F852A8"/>
    <w:rsid w:val="00F852AB"/>
    <w:rsid w:val="00F85344"/>
    <w:rsid w:val="00F853C2"/>
    <w:rsid w:val="00F85426"/>
    <w:rsid w:val="00F8543B"/>
    <w:rsid w:val="00F854F9"/>
    <w:rsid w:val="00F85591"/>
    <w:rsid w:val="00F8566A"/>
    <w:rsid w:val="00F8568D"/>
    <w:rsid w:val="00F8572D"/>
    <w:rsid w:val="00F858F6"/>
    <w:rsid w:val="00F8596E"/>
    <w:rsid w:val="00F859D4"/>
    <w:rsid w:val="00F85B68"/>
    <w:rsid w:val="00F85B92"/>
    <w:rsid w:val="00F85E05"/>
    <w:rsid w:val="00F85E40"/>
    <w:rsid w:val="00F85E9B"/>
    <w:rsid w:val="00F85F21"/>
    <w:rsid w:val="00F86055"/>
    <w:rsid w:val="00F86064"/>
    <w:rsid w:val="00F86067"/>
    <w:rsid w:val="00F862B5"/>
    <w:rsid w:val="00F863EF"/>
    <w:rsid w:val="00F863F3"/>
    <w:rsid w:val="00F8647B"/>
    <w:rsid w:val="00F86546"/>
    <w:rsid w:val="00F86548"/>
    <w:rsid w:val="00F86764"/>
    <w:rsid w:val="00F867AE"/>
    <w:rsid w:val="00F867C6"/>
    <w:rsid w:val="00F868FF"/>
    <w:rsid w:val="00F869D0"/>
    <w:rsid w:val="00F869DF"/>
    <w:rsid w:val="00F86AD1"/>
    <w:rsid w:val="00F86B90"/>
    <w:rsid w:val="00F86B9A"/>
    <w:rsid w:val="00F86B9D"/>
    <w:rsid w:val="00F86CFB"/>
    <w:rsid w:val="00F86D7A"/>
    <w:rsid w:val="00F86E03"/>
    <w:rsid w:val="00F86EAC"/>
    <w:rsid w:val="00F870C2"/>
    <w:rsid w:val="00F87112"/>
    <w:rsid w:val="00F871F5"/>
    <w:rsid w:val="00F87276"/>
    <w:rsid w:val="00F8744A"/>
    <w:rsid w:val="00F87519"/>
    <w:rsid w:val="00F8758B"/>
    <w:rsid w:val="00F87791"/>
    <w:rsid w:val="00F877C0"/>
    <w:rsid w:val="00F877C9"/>
    <w:rsid w:val="00F87A0E"/>
    <w:rsid w:val="00F87B1B"/>
    <w:rsid w:val="00F87BEF"/>
    <w:rsid w:val="00F87C29"/>
    <w:rsid w:val="00F87ED5"/>
    <w:rsid w:val="00F87F3E"/>
    <w:rsid w:val="00F87F78"/>
    <w:rsid w:val="00F8803A"/>
    <w:rsid w:val="00F8CE09"/>
    <w:rsid w:val="00F90028"/>
    <w:rsid w:val="00F9008E"/>
    <w:rsid w:val="00F90310"/>
    <w:rsid w:val="00F90324"/>
    <w:rsid w:val="00F903F5"/>
    <w:rsid w:val="00F90460"/>
    <w:rsid w:val="00F90581"/>
    <w:rsid w:val="00F905D2"/>
    <w:rsid w:val="00F905F2"/>
    <w:rsid w:val="00F906B1"/>
    <w:rsid w:val="00F907EE"/>
    <w:rsid w:val="00F90825"/>
    <w:rsid w:val="00F90902"/>
    <w:rsid w:val="00F90A24"/>
    <w:rsid w:val="00F90BAA"/>
    <w:rsid w:val="00F90C86"/>
    <w:rsid w:val="00F90CA1"/>
    <w:rsid w:val="00F90CC8"/>
    <w:rsid w:val="00F90DAB"/>
    <w:rsid w:val="00F90E29"/>
    <w:rsid w:val="00F90E55"/>
    <w:rsid w:val="00F90F02"/>
    <w:rsid w:val="00F91004"/>
    <w:rsid w:val="00F91035"/>
    <w:rsid w:val="00F9104A"/>
    <w:rsid w:val="00F91210"/>
    <w:rsid w:val="00F912E8"/>
    <w:rsid w:val="00F91335"/>
    <w:rsid w:val="00F913A4"/>
    <w:rsid w:val="00F914AC"/>
    <w:rsid w:val="00F914CD"/>
    <w:rsid w:val="00F9161A"/>
    <w:rsid w:val="00F91662"/>
    <w:rsid w:val="00F916BD"/>
    <w:rsid w:val="00F91821"/>
    <w:rsid w:val="00F918B0"/>
    <w:rsid w:val="00F9195C"/>
    <w:rsid w:val="00F91A1E"/>
    <w:rsid w:val="00F91B3C"/>
    <w:rsid w:val="00F91C4C"/>
    <w:rsid w:val="00F91CA7"/>
    <w:rsid w:val="00F91CB6"/>
    <w:rsid w:val="00F91D62"/>
    <w:rsid w:val="00F91D7F"/>
    <w:rsid w:val="00F91DE8"/>
    <w:rsid w:val="00F91E59"/>
    <w:rsid w:val="00F91E67"/>
    <w:rsid w:val="00F91FF0"/>
    <w:rsid w:val="00F91FF8"/>
    <w:rsid w:val="00F92471"/>
    <w:rsid w:val="00F92485"/>
    <w:rsid w:val="00F9255F"/>
    <w:rsid w:val="00F925BD"/>
    <w:rsid w:val="00F925FC"/>
    <w:rsid w:val="00F9264E"/>
    <w:rsid w:val="00F9269A"/>
    <w:rsid w:val="00F92830"/>
    <w:rsid w:val="00F92902"/>
    <w:rsid w:val="00F92955"/>
    <w:rsid w:val="00F92A0D"/>
    <w:rsid w:val="00F92C29"/>
    <w:rsid w:val="00F92C30"/>
    <w:rsid w:val="00F92DD5"/>
    <w:rsid w:val="00F92EA2"/>
    <w:rsid w:val="00F92EAE"/>
    <w:rsid w:val="00F930D4"/>
    <w:rsid w:val="00F932E9"/>
    <w:rsid w:val="00F9341F"/>
    <w:rsid w:val="00F9348F"/>
    <w:rsid w:val="00F934FC"/>
    <w:rsid w:val="00F935B2"/>
    <w:rsid w:val="00F93718"/>
    <w:rsid w:val="00F93766"/>
    <w:rsid w:val="00F93787"/>
    <w:rsid w:val="00F938EE"/>
    <w:rsid w:val="00F939D0"/>
    <w:rsid w:val="00F93B4D"/>
    <w:rsid w:val="00F93CA4"/>
    <w:rsid w:val="00F93D30"/>
    <w:rsid w:val="00F93FE2"/>
    <w:rsid w:val="00F941A9"/>
    <w:rsid w:val="00F94493"/>
    <w:rsid w:val="00F94749"/>
    <w:rsid w:val="00F94793"/>
    <w:rsid w:val="00F94832"/>
    <w:rsid w:val="00F948CA"/>
    <w:rsid w:val="00F9491C"/>
    <w:rsid w:val="00F9499F"/>
    <w:rsid w:val="00F949F4"/>
    <w:rsid w:val="00F94A41"/>
    <w:rsid w:val="00F94A86"/>
    <w:rsid w:val="00F94AFD"/>
    <w:rsid w:val="00F94C17"/>
    <w:rsid w:val="00F94F38"/>
    <w:rsid w:val="00F95153"/>
    <w:rsid w:val="00F951F0"/>
    <w:rsid w:val="00F952B8"/>
    <w:rsid w:val="00F9531A"/>
    <w:rsid w:val="00F954DC"/>
    <w:rsid w:val="00F95536"/>
    <w:rsid w:val="00F95637"/>
    <w:rsid w:val="00F9566C"/>
    <w:rsid w:val="00F958E6"/>
    <w:rsid w:val="00F95A6F"/>
    <w:rsid w:val="00F95B5D"/>
    <w:rsid w:val="00F95B8E"/>
    <w:rsid w:val="00F95D9A"/>
    <w:rsid w:val="00F95DB9"/>
    <w:rsid w:val="00F95DBA"/>
    <w:rsid w:val="00F95E5D"/>
    <w:rsid w:val="00F95EAC"/>
    <w:rsid w:val="00F95ED5"/>
    <w:rsid w:val="00F95FC9"/>
    <w:rsid w:val="00F96034"/>
    <w:rsid w:val="00F96040"/>
    <w:rsid w:val="00F963F1"/>
    <w:rsid w:val="00F964A6"/>
    <w:rsid w:val="00F9657A"/>
    <w:rsid w:val="00F96592"/>
    <w:rsid w:val="00F96766"/>
    <w:rsid w:val="00F96795"/>
    <w:rsid w:val="00F9694A"/>
    <w:rsid w:val="00F96AD9"/>
    <w:rsid w:val="00F96C67"/>
    <w:rsid w:val="00F96D4F"/>
    <w:rsid w:val="00F970F2"/>
    <w:rsid w:val="00F97456"/>
    <w:rsid w:val="00F97498"/>
    <w:rsid w:val="00F975DC"/>
    <w:rsid w:val="00F976B8"/>
    <w:rsid w:val="00F97AF7"/>
    <w:rsid w:val="00F97BFF"/>
    <w:rsid w:val="00F97D54"/>
    <w:rsid w:val="00F97E11"/>
    <w:rsid w:val="00F97E49"/>
    <w:rsid w:val="00F97ED3"/>
    <w:rsid w:val="00F97F36"/>
    <w:rsid w:val="00F9D324"/>
    <w:rsid w:val="00F9EF8F"/>
    <w:rsid w:val="00FA006A"/>
    <w:rsid w:val="00FA00DF"/>
    <w:rsid w:val="00FA00E3"/>
    <w:rsid w:val="00FA02BF"/>
    <w:rsid w:val="00FA042E"/>
    <w:rsid w:val="00FA05AF"/>
    <w:rsid w:val="00FA05C0"/>
    <w:rsid w:val="00FA0747"/>
    <w:rsid w:val="00FA094D"/>
    <w:rsid w:val="00FA0960"/>
    <w:rsid w:val="00FA0998"/>
    <w:rsid w:val="00FA0BC2"/>
    <w:rsid w:val="00FA0C68"/>
    <w:rsid w:val="00FA0C96"/>
    <w:rsid w:val="00FA0DFC"/>
    <w:rsid w:val="00FA104E"/>
    <w:rsid w:val="00FA108A"/>
    <w:rsid w:val="00FA1159"/>
    <w:rsid w:val="00FA11AC"/>
    <w:rsid w:val="00FA152F"/>
    <w:rsid w:val="00FA16C6"/>
    <w:rsid w:val="00FA1701"/>
    <w:rsid w:val="00FA1AB2"/>
    <w:rsid w:val="00FA1B9F"/>
    <w:rsid w:val="00FA1BEA"/>
    <w:rsid w:val="00FA1D20"/>
    <w:rsid w:val="00FA1EB7"/>
    <w:rsid w:val="00FA1FA6"/>
    <w:rsid w:val="00FA2369"/>
    <w:rsid w:val="00FA23D7"/>
    <w:rsid w:val="00FA266C"/>
    <w:rsid w:val="00FA28DF"/>
    <w:rsid w:val="00FA2A37"/>
    <w:rsid w:val="00FA2AB7"/>
    <w:rsid w:val="00FA2AC6"/>
    <w:rsid w:val="00FA2C0D"/>
    <w:rsid w:val="00FA2C79"/>
    <w:rsid w:val="00FA2D5B"/>
    <w:rsid w:val="00FA2D64"/>
    <w:rsid w:val="00FA2F6E"/>
    <w:rsid w:val="00FA3141"/>
    <w:rsid w:val="00FA3168"/>
    <w:rsid w:val="00FA31B6"/>
    <w:rsid w:val="00FA33A1"/>
    <w:rsid w:val="00FA3551"/>
    <w:rsid w:val="00FA36C0"/>
    <w:rsid w:val="00FA36D7"/>
    <w:rsid w:val="00FA37A0"/>
    <w:rsid w:val="00FA380B"/>
    <w:rsid w:val="00FA383F"/>
    <w:rsid w:val="00FA3971"/>
    <w:rsid w:val="00FA39CA"/>
    <w:rsid w:val="00FA3A31"/>
    <w:rsid w:val="00FA3B62"/>
    <w:rsid w:val="00FA3B67"/>
    <w:rsid w:val="00FA3B77"/>
    <w:rsid w:val="00FA3E04"/>
    <w:rsid w:val="00FA3E38"/>
    <w:rsid w:val="00FA3E44"/>
    <w:rsid w:val="00FA3EC2"/>
    <w:rsid w:val="00FA3FF4"/>
    <w:rsid w:val="00FA4147"/>
    <w:rsid w:val="00FA42F3"/>
    <w:rsid w:val="00FA4386"/>
    <w:rsid w:val="00FA4535"/>
    <w:rsid w:val="00FA458F"/>
    <w:rsid w:val="00FA45E0"/>
    <w:rsid w:val="00FA46F5"/>
    <w:rsid w:val="00FA4970"/>
    <w:rsid w:val="00FA4B5A"/>
    <w:rsid w:val="00FA4C0C"/>
    <w:rsid w:val="00FA4C10"/>
    <w:rsid w:val="00FA4D15"/>
    <w:rsid w:val="00FA4D5E"/>
    <w:rsid w:val="00FA4F3F"/>
    <w:rsid w:val="00FA4F67"/>
    <w:rsid w:val="00FA4FBF"/>
    <w:rsid w:val="00FA501C"/>
    <w:rsid w:val="00FA5049"/>
    <w:rsid w:val="00FA505B"/>
    <w:rsid w:val="00FA5070"/>
    <w:rsid w:val="00FA509C"/>
    <w:rsid w:val="00FA509F"/>
    <w:rsid w:val="00FA50C1"/>
    <w:rsid w:val="00FA50CD"/>
    <w:rsid w:val="00FA51A7"/>
    <w:rsid w:val="00FA52F2"/>
    <w:rsid w:val="00FA5329"/>
    <w:rsid w:val="00FA5360"/>
    <w:rsid w:val="00FA53A2"/>
    <w:rsid w:val="00FA5466"/>
    <w:rsid w:val="00FA5820"/>
    <w:rsid w:val="00FA585D"/>
    <w:rsid w:val="00FA58BE"/>
    <w:rsid w:val="00FA5918"/>
    <w:rsid w:val="00FA59D5"/>
    <w:rsid w:val="00FA5AB5"/>
    <w:rsid w:val="00FA5B61"/>
    <w:rsid w:val="00FA5BC9"/>
    <w:rsid w:val="00FA5BEA"/>
    <w:rsid w:val="00FA5CB5"/>
    <w:rsid w:val="00FA5D04"/>
    <w:rsid w:val="00FA5D37"/>
    <w:rsid w:val="00FA5DE9"/>
    <w:rsid w:val="00FA609B"/>
    <w:rsid w:val="00FA6233"/>
    <w:rsid w:val="00FA62A5"/>
    <w:rsid w:val="00FA6624"/>
    <w:rsid w:val="00FA66E8"/>
    <w:rsid w:val="00FA674E"/>
    <w:rsid w:val="00FA67E9"/>
    <w:rsid w:val="00FA67EF"/>
    <w:rsid w:val="00FA6826"/>
    <w:rsid w:val="00FA6ABA"/>
    <w:rsid w:val="00FA6C32"/>
    <w:rsid w:val="00FA6C8A"/>
    <w:rsid w:val="00FA6C9E"/>
    <w:rsid w:val="00FA6CAB"/>
    <w:rsid w:val="00FA6E0A"/>
    <w:rsid w:val="00FA6E4B"/>
    <w:rsid w:val="00FA7003"/>
    <w:rsid w:val="00FA7062"/>
    <w:rsid w:val="00FA70BE"/>
    <w:rsid w:val="00FA70DC"/>
    <w:rsid w:val="00FA7358"/>
    <w:rsid w:val="00FA7552"/>
    <w:rsid w:val="00FA75A8"/>
    <w:rsid w:val="00FA766D"/>
    <w:rsid w:val="00FA76F1"/>
    <w:rsid w:val="00FA7723"/>
    <w:rsid w:val="00FA7867"/>
    <w:rsid w:val="00FA7921"/>
    <w:rsid w:val="00FA79E0"/>
    <w:rsid w:val="00FA7B4F"/>
    <w:rsid w:val="00FA7CFB"/>
    <w:rsid w:val="00FA7D18"/>
    <w:rsid w:val="00FA7D51"/>
    <w:rsid w:val="00FA7DBD"/>
    <w:rsid w:val="00FA7DD6"/>
    <w:rsid w:val="00FA7E2E"/>
    <w:rsid w:val="00FA7E47"/>
    <w:rsid w:val="00FA7E60"/>
    <w:rsid w:val="00FB00B2"/>
    <w:rsid w:val="00FB01AC"/>
    <w:rsid w:val="00FB01E4"/>
    <w:rsid w:val="00FB027E"/>
    <w:rsid w:val="00FB03E1"/>
    <w:rsid w:val="00FB073F"/>
    <w:rsid w:val="00FB07E4"/>
    <w:rsid w:val="00FB080B"/>
    <w:rsid w:val="00FB0983"/>
    <w:rsid w:val="00FB0B46"/>
    <w:rsid w:val="00FB0D73"/>
    <w:rsid w:val="00FB0DF3"/>
    <w:rsid w:val="00FB0E6A"/>
    <w:rsid w:val="00FB0EA1"/>
    <w:rsid w:val="00FB0EBE"/>
    <w:rsid w:val="00FB1112"/>
    <w:rsid w:val="00FB1270"/>
    <w:rsid w:val="00FB1342"/>
    <w:rsid w:val="00FB1367"/>
    <w:rsid w:val="00FB1391"/>
    <w:rsid w:val="00FB13EB"/>
    <w:rsid w:val="00FB1639"/>
    <w:rsid w:val="00FB17B2"/>
    <w:rsid w:val="00FB17F7"/>
    <w:rsid w:val="00FB1825"/>
    <w:rsid w:val="00FB1851"/>
    <w:rsid w:val="00FB18F1"/>
    <w:rsid w:val="00FB192A"/>
    <w:rsid w:val="00FB19AE"/>
    <w:rsid w:val="00FB19B4"/>
    <w:rsid w:val="00FB19E9"/>
    <w:rsid w:val="00FB1A83"/>
    <w:rsid w:val="00FB1B33"/>
    <w:rsid w:val="00FB1B9C"/>
    <w:rsid w:val="00FB1C32"/>
    <w:rsid w:val="00FB1CF4"/>
    <w:rsid w:val="00FB1D87"/>
    <w:rsid w:val="00FB1E52"/>
    <w:rsid w:val="00FB2026"/>
    <w:rsid w:val="00FB20C7"/>
    <w:rsid w:val="00FB21CF"/>
    <w:rsid w:val="00FB22BE"/>
    <w:rsid w:val="00FB24E5"/>
    <w:rsid w:val="00FB2699"/>
    <w:rsid w:val="00FB26B4"/>
    <w:rsid w:val="00FB26D6"/>
    <w:rsid w:val="00FB285F"/>
    <w:rsid w:val="00FB28DE"/>
    <w:rsid w:val="00FB296C"/>
    <w:rsid w:val="00FB29A3"/>
    <w:rsid w:val="00FB29DA"/>
    <w:rsid w:val="00FB2A56"/>
    <w:rsid w:val="00FB2ACF"/>
    <w:rsid w:val="00FB2B60"/>
    <w:rsid w:val="00FB2BBE"/>
    <w:rsid w:val="00FB2BDC"/>
    <w:rsid w:val="00FB2D10"/>
    <w:rsid w:val="00FB2D87"/>
    <w:rsid w:val="00FB3094"/>
    <w:rsid w:val="00FB309E"/>
    <w:rsid w:val="00FB3143"/>
    <w:rsid w:val="00FB3153"/>
    <w:rsid w:val="00FB3224"/>
    <w:rsid w:val="00FB3250"/>
    <w:rsid w:val="00FB3406"/>
    <w:rsid w:val="00FB3441"/>
    <w:rsid w:val="00FB3445"/>
    <w:rsid w:val="00FB34BA"/>
    <w:rsid w:val="00FB34DC"/>
    <w:rsid w:val="00FB3593"/>
    <w:rsid w:val="00FB369D"/>
    <w:rsid w:val="00FB373E"/>
    <w:rsid w:val="00FB3813"/>
    <w:rsid w:val="00FB38AB"/>
    <w:rsid w:val="00FB3A34"/>
    <w:rsid w:val="00FB3C61"/>
    <w:rsid w:val="00FB3CC6"/>
    <w:rsid w:val="00FB3CDD"/>
    <w:rsid w:val="00FB3D28"/>
    <w:rsid w:val="00FB40A5"/>
    <w:rsid w:val="00FB411C"/>
    <w:rsid w:val="00FB414A"/>
    <w:rsid w:val="00FB41BD"/>
    <w:rsid w:val="00FB4307"/>
    <w:rsid w:val="00FB43C1"/>
    <w:rsid w:val="00FB4464"/>
    <w:rsid w:val="00FB458F"/>
    <w:rsid w:val="00FB45F2"/>
    <w:rsid w:val="00FB4649"/>
    <w:rsid w:val="00FB4655"/>
    <w:rsid w:val="00FB47B0"/>
    <w:rsid w:val="00FB49CC"/>
    <w:rsid w:val="00FB4ADF"/>
    <w:rsid w:val="00FB4B2F"/>
    <w:rsid w:val="00FB4C02"/>
    <w:rsid w:val="00FB4CD3"/>
    <w:rsid w:val="00FB4D23"/>
    <w:rsid w:val="00FB4E72"/>
    <w:rsid w:val="00FB4EFE"/>
    <w:rsid w:val="00FB4FEC"/>
    <w:rsid w:val="00FB5012"/>
    <w:rsid w:val="00FB5236"/>
    <w:rsid w:val="00FB529E"/>
    <w:rsid w:val="00FB52C3"/>
    <w:rsid w:val="00FB5344"/>
    <w:rsid w:val="00FB5403"/>
    <w:rsid w:val="00FB540C"/>
    <w:rsid w:val="00FB542C"/>
    <w:rsid w:val="00FB5708"/>
    <w:rsid w:val="00FB5715"/>
    <w:rsid w:val="00FB5749"/>
    <w:rsid w:val="00FB58C8"/>
    <w:rsid w:val="00FB5929"/>
    <w:rsid w:val="00FB5A1D"/>
    <w:rsid w:val="00FB5BE8"/>
    <w:rsid w:val="00FB5D25"/>
    <w:rsid w:val="00FB5E0A"/>
    <w:rsid w:val="00FB5E45"/>
    <w:rsid w:val="00FB5E6D"/>
    <w:rsid w:val="00FB5ECC"/>
    <w:rsid w:val="00FB5F4A"/>
    <w:rsid w:val="00FB5FAF"/>
    <w:rsid w:val="00FB5FEA"/>
    <w:rsid w:val="00FB6153"/>
    <w:rsid w:val="00FB625F"/>
    <w:rsid w:val="00FB62FC"/>
    <w:rsid w:val="00FB659C"/>
    <w:rsid w:val="00FB6785"/>
    <w:rsid w:val="00FB686B"/>
    <w:rsid w:val="00FB6ABD"/>
    <w:rsid w:val="00FB6CAF"/>
    <w:rsid w:val="00FB6CF5"/>
    <w:rsid w:val="00FB6D8A"/>
    <w:rsid w:val="00FB7060"/>
    <w:rsid w:val="00FB70E7"/>
    <w:rsid w:val="00FB71A1"/>
    <w:rsid w:val="00FB73A8"/>
    <w:rsid w:val="00FB73B9"/>
    <w:rsid w:val="00FB76AE"/>
    <w:rsid w:val="00FB78D6"/>
    <w:rsid w:val="00FB7944"/>
    <w:rsid w:val="00FB7BBD"/>
    <w:rsid w:val="00FB7CD4"/>
    <w:rsid w:val="00FB7D75"/>
    <w:rsid w:val="00FB7DBD"/>
    <w:rsid w:val="00FB7DC9"/>
    <w:rsid w:val="00FB7DF0"/>
    <w:rsid w:val="00FB7F9B"/>
    <w:rsid w:val="00FC0009"/>
    <w:rsid w:val="00FC0136"/>
    <w:rsid w:val="00FC0413"/>
    <w:rsid w:val="00FC072D"/>
    <w:rsid w:val="00FC07C1"/>
    <w:rsid w:val="00FC07CE"/>
    <w:rsid w:val="00FC08F2"/>
    <w:rsid w:val="00FC09AB"/>
    <w:rsid w:val="00FC09C1"/>
    <w:rsid w:val="00FC0A23"/>
    <w:rsid w:val="00FC0B33"/>
    <w:rsid w:val="00FC0C2E"/>
    <w:rsid w:val="00FC0CE9"/>
    <w:rsid w:val="00FC0D6D"/>
    <w:rsid w:val="00FC0D99"/>
    <w:rsid w:val="00FC0ED6"/>
    <w:rsid w:val="00FC0EDA"/>
    <w:rsid w:val="00FC0FA8"/>
    <w:rsid w:val="00FC103D"/>
    <w:rsid w:val="00FC107B"/>
    <w:rsid w:val="00FC10ED"/>
    <w:rsid w:val="00FC11CA"/>
    <w:rsid w:val="00FC1546"/>
    <w:rsid w:val="00FC1576"/>
    <w:rsid w:val="00FC1652"/>
    <w:rsid w:val="00FC1669"/>
    <w:rsid w:val="00FC17E4"/>
    <w:rsid w:val="00FC184A"/>
    <w:rsid w:val="00FC1879"/>
    <w:rsid w:val="00FC1920"/>
    <w:rsid w:val="00FC1B60"/>
    <w:rsid w:val="00FC1B9A"/>
    <w:rsid w:val="00FC1D51"/>
    <w:rsid w:val="00FC1EE9"/>
    <w:rsid w:val="00FC2100"/>
    <w:rsid w:val="00FC21E1"/>
    <w:rsid w:val="00FC221B"/>
    <w:rsid w:val="00FC23CE"/>
    <w:rsid w:val="00FC26BD"/>
    <w:rsid w:val="00FC2840"/>
    <w:rsid w:val="00FC289A"/>
    <w:rsid w:val="00FC29A3"/>
    <w:rsid w:val="00FC2D8C"/>
    <w:rsid w:val="00FC2FCE"/>
    <w:rsid w:val="00FC30C5"/>
    <w:rsid w:val="00FC34DF"/>
    <w:rsid w:val="00FC3626"/>
    <w:rsid w:val="00FC3652"/>
    <w:rsid w:val="00FC368A"/>
    <w:rsid w:val="00FC3732"/>
    <w:rsid w:val="00FC3809"/>
    <w:rsid w:val="00FC3908"/>
    <w:rsid w:val="00FC3946"/>
    <w:rsid w:val="00FC3948"/>
    <w:rsid w:val="00FC39C5"/>
    <w:rsid w:val="00FC3AFB"/>
    <w:rsid w:val="00FC3B2E"/>
    <w:rsid w:val="00FC3C79"/>
    <w:rsid w:val="00FC3D3C"/>
    <w:rsid w:val="00FC3F37"/>
    <w:rsid w:val="00FC41C9"/>
    <w:rsid w:val="00FC41FE"/>
    <w:rsid w:val="00FC4224"/>
    <w:rsid w:val="00FC42D0"/>
    <w:rsid w:val="00FC434D"/>
    <w:rsid w:val="00FC4357"/>
    <w:rsid w:val="00FC445A"/>
    <w:rsid w:val="00FC457C"/>
    <w:rsid w:val="00FC4666"/>
    <w:rsid w:val="00FC4756"/>
    <w:rsid w:val="00FC4792"/>
    <w:rsid w:val="00FC4962"/>
    <w:rsid w:val="00FC498E"/>
    <w:rsid w:val="00FC49F5"/>
    <w:rsid w:val="00FC4A44"/>
    <w:rsid w:val="00FC4A8D"/>
    <w:rsid w:val="00FC4E43"/>
    <w:rsid w:val="00FC4E80"/>
    <w:rsid w:val="00FC50E9"/>
    <w:rsid w:val="00FC5115"/>
    <w:rsid w:val="00FC5364"/>
    <w:rsid w:val="00FC5481"/>
    <w:rsid w:val="00FC5522"/>
    <w:rsid w:val="00FC5540"/>
    <w:rsid w:val="00FC5625"/>
    <w:rsid w:val="00FC56B9"/>
    <w:rsid w:val="00FC5751"/>
    <w:rsid w:val="00FC5977"/>
    <w:rsid w:val="00FC5A1F"/>
    <w:rsid w:val="00FC5A9D"/>
    <w:rsid w:val="00FC5B04"/>
    <w:rsid w:val="00FC5B4B"/>
    <w:rsid w:val="00FC5B57"/>
    <w:rsid w:val="00FC5B85"/>
    <w:rsid w:val="00FC5BCB"/>
    <w:rsid w:val="00FC5C93"/>
    <w:rsid w:val="00FC5C94"/>
    <w:rsid w:val="00FC5D5B"/>
    <w:rsid w:val="00FC5DFB"/>
    <w:rsid w:val="00FC5FAF"/>
    <w:rsid w:val="00FC60C3"/>
    <w:rsid w:val="00FC61B2"/>
    <w:rsid w:val="00FC6242"/>
    <w:rsid w:val="00FC6272"/>
    <w:rsid w:val="00FC62E2"/>
    <w:rsid w:val="00FC638A"/>
    <w:rsid w:val="00FC65D3"/>
    <w:rsid w:val="00FC661A"/>
    <w:rsid w:val="00FC66D6"/>
    <w:rsid w:val="00FC67BA"/>
    <w:rsid w:val="00FC67FF"/>
    <w:rsid w:val="00FC6A8A"/>
    <w:rsid w:val="00FC6AAD"/>
    <w:rsid w:val="00FC6CC8"/>
    <w:rsid w:val="00FC6CEE"/>
    <w:rsid w:val="00FC6D1C"/>
    <w:rsid w:val="00FC6D4B"/>
    <w:rsid w:val="00FC6ED1"/>
    <w:rsid w:val="00FC6FE8"/>
    <w:rsid w:val="00FC7073"/>
    <w:rsid w:val="00FC7118"/>
    <w:rsid w:val="00FC715A"/>
    <w:rsid w:val="00FC71E3"/>
    <w:rsid w:val="00FC72EF"/>
    <w:rsid w:val="00FC73C0"/>
    <w:rsid w:val="00FC7407"/>
    <w:rsid w:val="00FC755E"/>
    <w:rsid w:val="00FC75D9"/>
    <w:rsid w:val="00FC770A"/>
    <w:rsid w:val="00FC7973"/>
    <w:rsid w:val="00FC7A2C"/>
    <w:rsid w:val="00FC7AF6"/>
    <w:rsid w:val="00FC7C6E"/>
    <w:rsid w:val="00FC7CD7"/>
    <w:rsid w:val="00FC7DFF"/>
    <w:rsid w:val="00FC7E2E"/>
    <w:rsid w:val="00FC7E75"/>
    <w:rsid w:val="00FC7EAB"/>
    <w:rsid w:val="00FC7F41"/>
    <w:rsid w:val="00FC7F6E"/>
    <w:rsid w:val="00FC7FC1"/>
    <w:rsid w:val="00FC7FC9"/>
    <w:rsid w:val="00FC9FE3"/>
    <w:rsid w:val="00FCDB64"/>
    <w:rsid w:val="00FCDE66"/>
    <w:rsid w:val="00FD028B"/>
    <w:rsid w:val="00FD03F2"/>
    <w:rsid w:val="00FD041E"/>
    <w:rsid w:val="00FD044E"/>
    <w:rsid w:val="00FD0588"/>
    <w:rsid w:val="00FD0736"/>
    <w:rsid w:val="00FD0795"/>
    <w:rsid w:val="00FD0A70"/>
    <w:rsid w:val="00FD0A74"/>
    <w:rsid w:val="00FD0AEC"/>
    <w:rsid w:val="00FD0B25"/>
    <w:rsid w:val="00FD0DA4"/>
    <w:rsid w:val="00FD0DD2"/>
    <w:rsid w:val="00FD0DDF"/>
    <w:rsid w:val="00FD0E45"/>
    <w:rsid w:val="00FD0F8E"/>
    <w:rsid w:val="00FD0FBD"/>
    <w:rsid w:val="00FD1106"/>
    <w:rsid w:val="00FD11E7"/>
    <w:rsid w:val="00FD15A6"/>
    <w:rsid w:val="00FD1644"/>
    <w:rsid w:val="00FD1731"/>
    <w:rsid w:val="00FD1814"/>
    <w:rsid w:val="00FD189A"/>
    <w:rsid w:val="00FD1C4A"/>
    <w:rsid w:val="00FD1C65"/>
    <w:rsid w:val="00FD1E7A"/>
    <w:rsid w:val="00FD1E98"/>
    <w:rsid w:val="00FD1FEF"/>
    <w:rsid w:val="00FD210F"/>
    <w:rsid w:val="00FD2117"/>
    <w:rsid w:val="00FD215B"/>
    <w:rsid w:val="00FD222D"/>
    <w:rsid w:val="00FD2262"/>
    <w:rsid w:val="00FD247F"/>
    <w:rsid w:val="00FD24EE"/>
    <w:rsid w:val="00FD2739"/>
    <w:rsid w:val="00FD2789"/>
    <w:rsid w:val="00FD287A"/>
    <w:rsid w:val="00FD289D"/>
    <w:rsid w:val="00FD28A7"/>
    <w:rsid w:val="00FD28D4"/>
    <w:rsid w:val="00FD2961"/>
    <w:rsid w:val="00FD2B99"/>
    <w:rsid w:val="00FD2C37"/>
    <w:rsid w:val="00FD2CFB"/>
    <w:rsid w:val="00FD2D28"/>
    <w:rsid w:val="00FD2D48"/>
    <w:rsid w:val="00FD2E33"/>
    <w:rsid w:val="00FD2E76"/>
    <w:rsid w:val="00FD2F0E"/>
    <w:rsid w:val="00FD2F31"/>
    <w:rsid w:val="00FD2F48"/>
    <w:rsid w:val="00FD3072"/>
    <w:rsid w:val="00FD309B"/>
    <w:rsid w:val="00FD3249"/>
    <w:rsid w:val="00FD33B9"/>
    <w:rsid w:val="00FD353D"/>
    <w:rsid w:val="00FD35C9"/>
    <w:rsid w:val="00FD3847"/>
    <w:rsid w:val="00FD3A3D"/>
    <w:rsid w:val="00FD3A6B"/>
    <w:rsid w:val="00FD3BA2"/>
    <w:rsid w:val="00FD3C41"/>
    <w:rsid w:val="00FD3F30"/>
    <w:rsid w:val="00FD3FE8"/>
    <w:rsid w:val="00FD3FFC"/>
    <w:rsid w:val="00FD4125"/>
    <w:rsid w:val="00FD41CB"/>
    <w:rsid w:val="00FD423A"/>
    <w:rsid w:val="00FD4290"/>
    <w:rsid w:val="00FD42B4"/>
    <w:rsid w:val="00FD4341"/>
    <w:rsid w:val="00FD4344"/>
    <w:rsid w:val="00FD46A6"/>
    <w:rsid w:val="00FD47FB"/>
    <w:rsid w:val="00FD481C"/>
    <w:rsid w:val="00FD4C91"/>
    <w:rsid w:val="00FD4CD4"/>
    <w:rsid w:val="00FD4DAE"/>
    <w:rsid w:val="00FD4EE2"/>
    <w:rsid w:val="00FD5084"/>
    <w:rsid w:val="00FD508E"/>
    <w:rsid w:val="00FD520C"/>
    <w:rsid w:val="00FD5251"/>
    <w:rsid w:val="00FD5277"/>
    <w:rsid w:val="00FD531D"/>
    <w:rsid w:val="00FD5429"/>
    <w:rsid w:val="00FD5472"/>
    <w:rsid w:val="00FD54E2"/>
    <w:rsid w:val="00FD5898"/>
    <w:rsid w:val="00FD5A8F"/>
    <w:rsid w:val="00FD5B0D"/>
    <w:rsid w:val="00FD5D4D"/>
    <w:rsid w:val="00FD5DFA"/>
    <w:rsid w:val="00FD5E52"/>
    <w:rsid w:val="00FD5EEB"/>
    <w:rsid w:val="00FD5F93"/>
    <w:rsid w:val="00FD600E"/>
    <w:rsid w:val="00FD6283"/>
    <w:rsid w:val="00FD63DE"/>
    <w:rsid w:val="00FD63E1"/>
    <w:rsid w:val="00FD63F3"/>
    <w:rsid w:val="00FD64D4"/>
    <w:rsid w:val="00FD690A"/>
    <w:rsid w:val="00FD6956"/>
    <w:rsid w:val="00FD69B3"/>
    <w:rsid w:val="00FD6B5F"/>
    <w:rsid w:val="00FD6BF0"/>
    <w:rsid w:val="00FD6DE4"/>
    <w:rsid w:val="00FD6E80"/>
    <w:rsid w:val="00FD6EC1"/>
    <w:rsid w:val="00FD6F31"/>
    <w:rsid w:val="00FD7176"/>
    <w:rsid w:val="00FD71A1"/>
    <w:rsid w:val="00FD7427"/>
    <w:rsid w:val="00FD7480"/>
    <w:rsid w:val="00FD7487"/>
    <w:rsid w:val="00FD74FB"/>
    <w:rsid w:val="00FD76C3"/>
    <w:rsid w:val="00FD7894"/>
    <w:rsid w:val="00FD795B"/>
    <w:rsid w:val="00FD7AD0"/>
    <w:rsid w:val="00FD7B26"/>
    <w:rsid w:val="00FD7BB7"/>
    <w:rsid w:val="00FD7BFA"/>
    <w:rsid w:val="00FD7C00"/>
    <w:rsid w:val="00FD7CF3"/>
    <w:rsid w:val="00FD7CFB"/>
    <w:rsid w:val="00FD7E5A"/>
    <w:rsid w:val="00FD7E61"/>
    <w:rsid w:val="00FD7E6F"/>
    <w:rsid w:val="00FD7E92"/>
    <w:rsid w:val="00FD7F0A"/>
    <w:rsid w:val="00FDCFB0"/>
    <w:rsid w:val="00FE0245"/>
    <w:rsid w:val="00FE05C9"/>
    <w:rsid w:val="00FE0796"/>
    <w:rsid w:val="00FE0910"/>
    <w:rsid w:val="00FE09F7"/>
    <w:rsid w:val="00FE0A14"/>
    <w:rsid w:val="00FE0BF7"/>
    <w:rsid w:val="00FE0F19"/>
    <w:rsid w:val="00FE107C"/>
    <w:rsid w:val="00FE1160"/>
    <w:rsid w:val="00FE1287"/>
    <w:rsid w:val="00FE1341"/>
    <w:rsid w:val="00FE14FC"/>
    <w:rsid w:val="00FE1647"/>
    <w:rsid w:val="00FE191D"/>
    <w:rsid w:val="00FE1A1F"/>
    <w:rsid w:val="00FE1C28"/>
    <w:rsid w:val="00FE1CEF"/>
    <w:rsid w:val="00FE1E88"/>
    <w:rsid w:val="00FE1EDE"/>
    <w:rsid w:val="00FE20B0"/>
    <w:rsid w:val="00FE23DF"/>
    <w:rsid w:val="00FE241C"/>
    <w:rsid w:val="00FE24CD"/>
    <w:rsid w:val="00FE24D1"/>
    <w:rsid w:val="00FE2558"/>
    <w:rsid w:val="00FE258C"/>
    <w:rsid w:val="00FE28C1"/>
    <w:rsid w:val="00FE299F"/>
    <w:rsid w:val="00FE2A82"/>
    <w:rsid w:val="00FE2AF6"/>
    <w:rsid w:val="00FE2D70"/>
    <w:rsid w:val="00FE2E89"/>
    <w:rsid w:val="00FE2EFA"/>
    <w:rsid w:val="00FE30F7"/>
    <w:rsid w:val="00FE316B"/>
    <w:rsid w:val="00FE31E0"/>
    <w:rsid w:val="00FE31EC"/>
    <w:rsid w:val="00FE3236"/>
    <w:rsid w:val="00FE33B3"/>
    <w:rsid w:val="00FE34E6"/>
    <w:rsid w:val="00FE3540"/>
    <w:rsid w:val="00FE357D"/>
    <w:rsid w:val="00FE35CC"/>
    <w:rsid w:val="00FE36A4"/>
    <w:rsid w:val="00FE37BC"/>
    <w:rsid w:val="00FE381D"/>
    <w:rsid w:val="00FE38C7"/>
    <w:rsid w:val="00FE391A"/>
    <w:rsid w:val="00FE39D0"/>
    <w:rsid w:val="00FE3A3E"/>
    <w:rsid w:val="00FE3AD7"/>
    <w:rsid w:val="00FE3BFD"/>
    <w:rsid w:val="00FE3C0D"/>
    <w:rsid w:val="00FE3C69"/>
    <w:rsid w:val="00FE3CCE"/>
    <w:rsid w:val="00FE3F41"/>
    <w:rsid w:val="00FE3F8E"/>
    <w:rsid w:val="00FE3FE6"/>
    <w:rsid w:val="00FE40D9"/>
    <w:rsid w:val="00FE4151"/>
    <w:rsid w:val="00FE4444"/>
    <w:rsid w:val="00FE458B"/>
    <w:rsid w:val="00FE4744"/>
    <w:rsid w:val="00FE47A8"/>
    <w:rsid w:val="00FE4921"/>
    <w:rsid w:val="00FE495C"/>
    <w:rsid w:val="00FE4A13"/>
    <w:rsid w:val="00FE4AE6"/>
    <w:rsid w:val="00FE4C18"/>
    <w:rsid w:val="00FE4CB4"/>
    <w:rsid w:val="00FE4D20"/>
    <w:rsid w:val="00FE4F45"/>
    <w:rsid w:val="00FE5047"/>
    <w:rsid w:val="00FE511E"/>
    <w:rsid w:val="00FE53D9"/>
    <w:rsid w:val="00FE559D"/>
    <w:rsid w:val="00FE5620"/>
    <w:rsid w:val="00FE5646"/>
    <w:rsid w:val="00FE5745"/>
    <w:rsid w:val="00FE59B2"/>
    <w:rsid w:val="00FE59F4"/>
    <w:rsid w:val="00FE5A15"/>
    <w:rsid w:val="00FE5A52"/>
    <w:rsid w:val="00FE5B91"/>
    <w:rsid w:val="00FE5D41"/>
    <w:rsid w:val="00FE5D52"/>
    <w:rsid w:val="00FE5EE6"/>
    <w:rsid w:val="00FE60C7"/>
    <w:rsid w:val="00FE621F"/>
    <w:rsid w:val="00FE629E"/>
    <w:rsid w:val="00FE62F2"/>
    <w:rsid w:val="00FE6463"/>
    <w:rsid w:val="00FE64A5"/>
    <w:rsid w:val="00FE6603"/>
    <w:rsid w:val="00FE68A7"/>
    <w:rsid w:val="00FE6A16"/>
    <w:rsid w:val="00FE6A67"/>
    <w:rsid w:val="00FE6B70"/>
    <w:rsid w:val="00FE6BD3"/>
    <w:rsid w:val="00FE6CB6"/>
    <w:rsid w:val="00FE6D79"/>
    <w:rsid w:val="00FE6DF6"/>
    <w:rsid w:val="00FE6E55"/>
    <w:rsid w:val="00FE6E9D"/>
    <w:rsid w:val="00FE6EB6"/>
    <w:rsid w:val="00FE70BF"/>
    <w:rsid w:val="00FE71EC"/>
    <w:rsid w:val="00FE7503"/>
    <w:rsid w:val="00FE750E"/>
    <w:rsid w:val="00FE754E"/>
    <w:rsid w:val="00FE762B"/>
    <w:rsid w:val="00FE78C4"/>
    <w:rsid w:val="00FE7B95"/>
    <w:rsid w:val="00FE7BC4"/>
    <w:rsid w:val="00FE7BD3"/>
    <w:rsid w:val="00FE7C5E"/>
    <w:rsid w:val="00FE7DC4"/>
    <w:rsid w:val="00FE7DEC"/>
    <w:rsid w:val="00FE7F39"/>
    <w:rsid w:val="00FF01D1"/>
    <w:rsid w:val="00FF0274"/>
    <w:rsid w:val="00FF02D8"/>
    <w:rsid w:val="00FF0448"/>
    <w:rsid w:val="00FF0561"/>
    <w:rsid w:val="00FF05EC"/>
    <w:rsid w:val="00FF0731"/>
    <w:rsid w:val="00FF07B1"/>
    <w:rsid w:val="00FF0A86"/>
    <w:rsid w:val="00FF0AC1"/>
    <w:rsid w:val="00FF0B4C"/>
    <w:rsid w:val="00FF0C78"/>
    <w:rsid w:val="00FF0D5D"/>
    <w:rsid w:val="00FF0E4F"/>
    <w:rsid w:val="00FF10A1"/>
    <w:rsid w:val="00FF1621"/>
    <w:rsid w:val="00FF168F"/>
    <w:rsid w:val="00FF183F"/>
    <w:rsid w:val="00FF1AE8"/>
    <w:rsid w:val="00FF1BA2"/>
    <w:rsid w:val="00FF1BA7"/>
    <w:rsid w:val="00FF1CC1"/>
    <w:rsid w:val="00FF1CD7"/>
    <w:rsid w:val="00FF1DB9"/>
    <w:rsid w:val="00FF1E7D"/>
    <w:rsid w:val="00FF1F6A"/>
    <w:rsid w:val="00FF1F8D"/>
    <w:rsid w:val="00FF1FDA"/>
    <w:rsid w:val="00FF2437"/>
    <w:rsid w:val="00FF24D2"/>
    <w:rsid w:val="00FF250F"/>
    <w:rsid w:val="00FF2629"/>
    <w:rsid w:val="00FF2760"/>
    <w:rsid w:val="00FF28C8"/>
    <w:rsid w:val="00FF2960"/>
    <w:rsid w:val="00FF2A0D"/>
    <w:rsid w:val="00FF2AAD"/>
    <w:rsid w:val="00FF2C7B"/>
    <w:rsid w:val="00FF2DEE"/>
    <w:rsid w:val="00FF2E92"/>
    <w:rsid w:val="00FF2F01"/>
    <w:rsid w:val="00FF2F36"/>
    <w:rsid w:val="00FF322E"/>
    <w:rsid w:val="00FF32B6"/>
    <w:rsid w:val="00FF32E3"/>
    <w:rsid w:val="00FF341C"/>
    <w:rsid w:val="00FF34F9"/>
    <w:rsid w:val="00FF354A"/>
    <w:rsid w:val="00FF3641"/>
    <w:rsid w:val="00FF37E1"/>
    <w:rsid w:val="00FF383C"/>
    <w:rsid w:val="00FF3B44"/>
    <w:rsid w:val="00FF3D10"/>
    <w:rsid w:val="00FF3E9E"/>
    <w:rsid w:val="00FF3EB2"/>
    <w:rsid w:val="00FF3F79"/>
    <w:rsid w:val="00FF3F9B"/>
    <w:rsid w:val="00FF40C7"/>
    <w:rsid w:val="00FF40D7"/>
    <w:rsid w:val="00FF40FC"/>
    <w:rsid w:val="00FF4432"/>
    <w:rsid w:val="00FF46D5"/>
    <w:rsid w:val="00FF472E"/>
    <w:rsid w:val="00FF477B"/>
    <w:rsid w:val="00FF47B6"/>
    <w:rsid w:val="00FF48A6"/>
    <w:rsid w:val="00FF49F5"/>
    <w:rsid w:val="00FF4CEA"/>
    <w:rsid w:val="00FF4DBF"/>
    <w:rsid w:val="00FF4E4D"/>
    <w:rsid w:val="00FF4F78"/>
    <w:rsid w:val="00FF50E2"/>
    <w:rsid w:val="00FF5110"/>
    <w:rsid w:val="00FF53F4"/>
    <w:rsid w:val="00FF5635"/>
    <w:rsid w:val="00FF58A7"/>
    <w:rsid w:val="00FF5944"/>
    <w:rsid w:val="00FF59B3"/>
    <w:rsid w:val="00FF5A15"/>
    <w:rsid w:val="00FF5ABA"/>
    <w:rsid w:val="00FF5B43"/>
    <w:rsid w:val="00FF5CAE"/>
    <w:rsid w:val="00FF5E8F"/>
    <w:rsid w:val="00FF5EC8"/>
    <w:rsid w:val="00FF5FBA"/>
    <w:rsid w:val="00FF60AE"/>
    <w:rsid w:val="00FF612A"/>
    <w:rsid w:val="00FF652D"/>
    <w:rsid w:val="00FF6556"/>
    <w:rsid w:val="00FF6561"/>
    <w:rsid w:val="00FF6594"/>
    <w:rsid w:val="00FF66A4"/>
    <w:rsid w:val="00FF66BE"/>
    <w:rsid w:val="00FF66E1"/>
    <w:rsid w:val="00FF6793"/>
    <w:rsid w:val="00FF6803"/>
    <w:rsid w:val="00FF6837"/>
    <w:rsid w:val="00FF6889"/>
    <w:rsid w:val="00FF68C7"/>
    <w:rsid w:val="00FF6AC4"/>
    <w:rsid w:val="00FF6AF9"/>
    <w:rsid w:val="00FF6CED"/>
    <w:rsid w:val="00FF6F0F"/>
    <w:rsid w:val="00FF6F56"/>
    <w:rsid w:val="00FF70FA"/>
    <w:rsid w:val="00FF710D"/>
    <w:rsid w:val="00FF7395"/>
    <w:rsid w:val="00FF740A"/>
    <w:rsid w:val="00FF7898"/>
    <w:rsid w:val="00FF79AC"/>
    <w:rsid w:val="00FF7AFA"/>
    <w:rsid w:val="00FF7BE8"/>
    <w:rsid w:val="00FF7F4C"/>
    <w:rsid w:val="00FF7F83"/>
    <w:rsid w:val="010021F0"/>
    <w:rsid w:val="0100F19B"/>
    <w:rsid w:val="0100FDEC"/>
    <w:rsid w:val="010112EE"/>
    <w:rsid w:val="01018A9B"/>
    <w:rsid w:val="0101A954"/>
    <w:rsid w:val="01027D95"/>
    <w:rsid w:val="0102A620"/>
    <w:rsid w:val="01037F52"/>
    <w:rsid w:val="01041A9B"/>
    <w:rsid w:val="01047AAC"/>
    <w:rsid w:val="0105B74D"/>
    <w:rsid w:val="01062ADA"/>
    <w:rsid w:val="01076D0D"/>
    <w:rsid w:val="01079532"/>
    <w:rsid w:val="01082A69"/>
    <w:rsid w:val="0108FEEE"/>
    <w:rsid w:val="01094F29"/>
    <w:rsid w:val="010B97B4"/>
    <w:rsid w:val="010BA4EE"/>
    <w:rsid w:val="010BB2F3"/>
    <w:rsid w:val="010C5965"/>
    <w:rsid w:val="010CAC90"/>
    <w:rsid w:val="010CED8D"/>
    <w:rsid w:val="010D00E5"/>
    <w:rsid w:val="010D447B"/>
    <w:rsid w:val="010DAF25"/>
    <w:rsid w:val="010DDD53"/>
    <w:rsid w:val="010EB827"/>
    <w:rsid w:val="010F0861"/>
    <w:rsid w:val="010F92FF"/>
    <w:rsid w:val="010F9A25"/>
    <w:rsid w:val="01116434"/>
    <w:rsid w:val="0111BE72"/>
    <w:rsid w:val="0113E2A6"/>
    <w:rsid w:val="0113EB62"/>
    <w:rsid w:val="01142C57"/>
    <w:rsid w:val="01145219"/>
    <w:rsid w:val="01146AFE"/>
    <w:rsid w:val="01146B4B"/>
    <w:rsid w:val="0115009B"/>
    <w:rsid w:val="011590CB"/>
    <w:rsid w:val="0116E345"/>
    <w:rsid w:val="011868CE"/>
    <w:rsid w:val="0118DE38"/>
    <w:rsid w:val="0119F841"/>
    <w:rsid w:val="011A5114"/>
    <w:rsid w:val="011A99D0"/>
    <w:rsid w:val="011B214A"/>
    <w:rsid w:val="011BEF83"/>
    <w:rsid w:val="011CDB7F"/>
    <w:rsid w:val="011CF21D"/>
    <w:rsid w:val="011D47C5"/>
    <w:rsid w:val="011DED36"/>
    <w:rsid w:val="011F452A"/>
    <w:rsid w:val="011F4F70"/>
    <w:rsid w:val="011F6EA6"/>
    <w:rsid w:val="0120450A"/>
    <w:rsid w:val="0120C5E3"/>
    <w:rsid w:val="0120CE3F"/>
    <w:rsid w:val="012202F0"/>
    <w:rsid w:val="01223CCD"/>
    <w:rsid w:val="01224378"/>
    <w:rsid w:val="01234FCD"/>
    <w:rsid w:val="01238E58"/>
    <w:rsid w:val="01241244"/>
    <w:rsid w:val="01243040"/>
    <w:rsid w:val="0124E2F7"/>
    <w:rsid w:val="0125514E"/>
    <w:rsid w:val="0125F8F1"/>
    <w:rsid w:val="012629B8"/>
    <w:rsid w:val="01265FBA"/>
    <w:rsid w:val="0126C8EA"/>
    <w:rsid w:val="01270477"/>
    <w:rsid w:val="01270BE8"/>
    <w:rsid w:val="0127D29E"/>
    <w:rsid w:val="0127F4C1"/>
    <w:rsid w:val="01284BC9"/>
    <w:rsid w:val="012878D2"/>
    <w:rsid w:val="0129E3B8"/>
    <w:rsid w:val="012A27A6"/>
    <w:rsid w:val="012A7783"/>
    <w:rsid w:val="012ABCB3"/>
    <w:rsid w:val="012B44C0"/>
    <w:rsid w:val="012B9D81"/>
    <w:rsid w:val="012BE914"/>
    <w:rsid w:val="012C0DA1"/>
    <w:rsid w:val="012C1F31"/>
    <w:rsid w:val="012C72EC"/>
    <w:rsid w:val="012CAA82"/>
    <w:rsid w:val="012DCA68"/>
    <w:rsid w:val="012E9AA6"/>
    <w:rsid w:val="012E9E65"/>
    <w:rsid w:val="012EC2C8"/>
    <w:rsid w:val="012F81F4"/>
    <w:rsid w:val="01303B21"/>
    <w:rsid w:val="01307E78"/>
    <w:rsid w:val="0134B8B6"/>
    <w:rsid w:val="01367AA8"/>
    <w:rsid w:val="013715DB"/>
    <w:rsid w:val="0137B406"/>
    <w:rsid w:val="01383D01"/>
    <w:rsid w:val="013934BA"/>
    <w:rsid w:val="0139B0FB"/>
    <w:rsid w:val="013A1BE4"/>
    <w:rsid w:val="013A3840"/>
    <w:rsid w:val="013B1D25"/>
    <w:rsid w:val="013B3BC1"/>
    <w:rsid w:val="013B586D"/>
    <w:rsid w:val="013B943A"/>
    <w:rsid w:val="013C0539"/>
    <w:rsid w:val="013CEF30"/>
    <w:rsid w:val="013DB07B"/>
    <w:rsid w:val="013E3942"/>
    <w:rsid w:val="013E8B4F"/>
    <w:rsid w:val="013EFF61"/>
    <w:rsid w:val="013FB721"/>
    <w:rsid w:val="0140573A"/>
    <w:rsid w:val="01411593"/>
    <w:rsid w:val="014133F5"/>
    <w:rsid w:val="01414A96"/>
    <w:rsid w:val="01425BE2"/>
    <w:rsid w:val="01431ABD"/>
    <w:rsid w:val="014442FC"/>
    <w:rsid w:val="0144434C"/>
    <w:rsid w:val="01447168"/>
    <w:rsid w:val="0146CDB2"/>
    <w:rsid w:val="0146CFB2"/>
    <w:rsid w:val="01474C64"/>
    <w:rsid w:val="01478CBF"/>
    <w:rsid w:val="01482ABD"/>
    <w:rsid w:val="014A937C"/>
    <w:rsid w:val="014B5DB3"/>
    <w:rsid w:val="014C0312"/>
    <w:rsid w:val="014C3577"/>
    <w:rsid w:val="014C515E"/>
    <w:rsid w:val="014E0A1A"/>
    <w:rsid w:val="014F08C8"/>
    <w:rsid w:val="014F4D79"/>
    <w:rsid w:val="014F8A14"/>
    <w:rsid w:val="014FA709"/>
    <w:rsid w:val="014FD7FD"/>
    <w:rsid w:val="014FDCAC"/>
    <w:rsid w:val="014FFC1D"/>
    <w:rsid w:val="01509FCC"/>
    <w:rsid w:val="01513092"/>
    <w:rsid w:val="0151AFBD"/>
    <w:rsid w:val="01525BA9"/>
    <w:rsid w:val="0152A345"/>
    <w:rsid w:val="0152B23F"/>
    <w:rsid w:val="0152C438"/>
    <w:rsid w:val="01531218"/>
    <w:rsid w:val="015326D8"/>
    <w:rsid w:val="01537090"/>
    <w:rsid w:val="01540504"/>
    <w:rsid w:val="01544F8F"/>
    <w:rsid w:val="0154B87D"/>
    <w:rsid w:val="0154DB04"/>
    <w:rsid w:val="01553D5F"/>
    <w:rsid w:val="01553E7C"/>
    <w:rsid w:val="015565D3"/>
    <w:rsid w:val="015569B2"/>
    <w:rsid w:val="0155F068"/>
    <w:rsid w:val="0156179E"/>
    <w:rsid w:val="01562C57"/>
    <w:rsid w:val="015781C5"/>
    <w:rsid w:val="01583875"/>
    <w:rsid w:val="01583A7D"/>
    <w:rsid w:val="01586415"/>
    <w:rsid w:val="01598A90"/>
    <w:rsid w:val="01599CA1"/>
    <w:rsid w:val="0159B79F"/>
    <w:rsid w:val="015A85CB"/>
    <w:rsid w:val="015B22E1"/>
    <w:rsid w:val="015BD464"/>
    <w:rsid w:val="015BF77C"/>
    <w:rsid w:val="015C0C27"/>
    <w:rsid w:val="015C876B"/>
    <w:rsid w:val="015CE6F3"/>
    <w:rsid w:val="015CEB97"/>
    <w:rsid w:val="015D9D1B"/>
    <w:rsid w:val="015DF2E8"/>
    <w:rsid w:val="015E11DD"/>
    <w:rsid w:val="015F2CD4"/>
    <w:rsid w:val="015F3408"/>
    <w:rsid w:val="015FF8B6"/>
    <w:rsid w:val="016114D2"/>
    <w:rsid w:val="01622C88"/>
    <w:rsid w:val="01629429"/>
    <w:rsid w:val="016337F8"/>
    <w:rsid w:val="01633B19"/>
    <w:rsid w:val="01639DA6"/>
    <w:rsid w:val="0163F129"/>
    <w:rsid w:val="01645557"/>
    <w:rsid w:val="016458E8"/>
    <w:rsid w:val="0164CAE9"/>
    <w:rsid w:val="01670321"/>
    <w:rsid w:val="01678CD4"/>
    <w:rsid w:val="0167E3FC"/>
    <w:rsid w:val="01680470"/>
    <w:rsid w:val="01687438"/>
    <w:rsid w:val="016A6059"/>
    <w:rsid w:val="016A6B0C"/>
    <w:rsid w:val="016AA190"/>
    <w:rsid w:val="016B32DC"/>
    <w:rsid w:val="016BC4F0"/>
    <w:rsid w:val="016CB113"/>
    <w:rsid w:val="016E0F0F"/>
    <w:rsid w:val="016E10EC"/>
    <w:rsid w:val="016EA314"/>
    <w:rsid w:val="016EED75"/>
    <w:rsid w:val="016F081C"/>
    <w:rsid w:val="016F9A5C"/>
    <w:rsid w:val="01715C13"/>
    <w:rsid w:val="017241E2"/>
    <w:rsid w:val="0174106B"/>
    <w:rsid w:val="017469EE"/>
    <w:rsid w:val="0174AED4"/>
    <w:rsid w:val="0175167F"/>
    <w:rsid w:val="017578FC"/>
    <w:rsid w:val="0176A081"/>
    <w:rsid w:val="0176D722"/>
    <w:rsid w:val="017773AD"/>
    <w:rsid w:val="0178B84E"/>
    <w:rsid w:val="01795837"/>
    <w:rsid w:val="01798F6D"/>
    <w:rsid w:val="01799145"/>
    <w:rsid w:val="017B163B"/>
    <w:rsid w:val="017BA19A"/>
    <w:rsid w:val="017CC520"/>
    <w:rsid w:val="017D5B31"/>
    <w:rsid w:val="017DA298"/>
    <w:rsid w:val="017E9E8D"/>
    <w:rsid w:val="01807FB0"/>
    <w:rsid w:val="0180A99B"/>
    <w:rsid w:val="01814148"/>
    <w:rsid w:val="01816ED2"/>
    <w:rsid w:val="0181BD68"/>
    <w:rsid w:val="0181EEAD"/>
    <w:rsid w:val="0182B0F1"/>
    <w:rsid w:val="0183326D"/>
    <w:rsid w:val="0184622F"/>
    <w:rsid w:val="0184D82D"/>
    <w:rsid w:val="0185FD5B"/>
    <w:rsid w:val="0185FE02"/>
    <w:rsid w:val="01868FA8"/>
    <w:rsid w:val="01876E7E"/>
    <w:rsid w:val="0187B40F"/>
    <w:rsid w:val="0188382E"/>
    <w:rsid w:val="01885ED6"/>
    <w:rsid w:val="01892C64"/>
    <w:rsid w:val="018974B1"/>
    <w:rsid w:val="0189B3C2"/>
    <w:rsid w:val="0189FDB3"/>
    <w:rsid w:val="018A3B4F"/>
    <w:rsid w:val="018BE9B1"/>
    <w:rsid w:val="018C0677"/>
    <w:rsid w:val="018D7420"/>
    <w:rsid w:val="018D87CD"/>
    <w:rsid w:val="018D8FD7"/>
    <w:rsid w:val="018E8C87"/>
    <w:rsid w:val="018F7422"/>
    <w:rsid w:val="018FDAC9"/>
    <w:rsid w:val="018FFAF3"/>
    <w:rsid w:val="01902D8A"/>
    <w:rsid w:val="0191D544"/>
    <w:rsid w:val="01921555"/>
    <w:rsid w:val="01925C8D"/>
    <w:rsid w:val="0192994A"/>
    <w:rsid w:val="0192D155"/>
    <w:rsid w:val="01936BE3"/>
    <w:rsid w:val="0193C67A"/>
    <w:rsid w:val="0193F689"/>
    <w:rsid w:val="01942FEA"/>
    <w:rsid w:val="0194446D"/>
    <w:rsid w:val="01945F83"/>
    <w:rsid w:val="0194B9A4"/>
    <w:rsid w:val="0196BB70"/>
    <w:rsid w:val="019730EF"/>
    <w:rsid w:val="01974489"/>
    <w:rsid w:val="01986C48"/>
    <w:rsid w:val="01994C8A"/>
    <w:rsid w:val="01996D8A"/>
    <w:rsid w:val="019AAE24"/>
    <w:rsid w:val="019BB08A"/>
    <w:rsid w:val="019C1B5E"/>
    <w:rsid w:val="019CD303"/>
    <w:rsid w:val="019D29DE"/>
    <w:rsid w:val="019D6E1B"/>
    <w:rsid w:val="019D7FA7"/>
    <w:rsid w:val="019E5330"/>
    <w:rsid w:val="019EBB9D"/>
    <w:rsid w:val="019F102F"/>
    <w:rsid w:val="01A0665C"/>
    <w:rsid w:val="01A09228"/>
    <w:rsid w:val="01A0B98D"/>
    <w:rsid w:val="01A19152"/>
    <w:rsid w:val="01A1A18A"/>
    <w:rsid w:val="01A2ADF4"/>
    <w:rsid w:val="01A391BC"/>
    <w:rsid w:val="01A42B2A"/>
    <w:rsid w:val="01A4F2BF"/>
    <w:rsid w:val="01A4F752"/>
    <w:rsid w:val="01A67A15"/>
    <w:rsid w:val="01A6E7D6"/>
    <w:rsid w:val="01A6F514"/>
    <w:rsid w:val="01A7965E"/>
    <w:rsid w:val="01A7D24E"/>
    <w:rsid w:val="01A92214"/>
    <w:rsid w:val="01AAA6F4"/>
    <w:rsid w:val="01AB088E"/>
    <w:rsid w:val="01AC3FF7"/>
    <w:rsid w:val="01AC8C6E"/>
    <w:rsid w:val="01AC925D"/>
    <w:rsid w:val="01ACC237"/>
    <w:rsid w:val="01AD82C5"/>
    <w:rsid w:val="01AD989C"/>
    <w:rsid w:val="01ADF191"/>
    <w:rsid w:val="01AE41A1"/>
    <w:rsid w:val="01AE90A6"/>
    <w:rsid w:val="01AF243E"/>
    <w:rsid w:val="01AFCE84"/>
    <w:rsid w:val="01AFF170"/>
    <w:rsid w:val="01B0AF46"/>
    <w:rsid w:val="01B1482C"/>
    <w:rsid w:val="01B16337"/>
    <w:rsid w:val="01B274D0"/>
    <w:rsid w:val="01B409E9"/>
    <w:rsid w:val="01B69864"/>
    <w:rsid w:val="01B7C916"/>
    <w:rsid w:val="01B89C1C"/>
    <w:rsid w:val="01B8DA9F"/>
    <w:rsid w:val="01BA1360"/>
    <w:rsid w:val="01BA42A1"/>
    <w:rsid w:val="01BB1AA9"/>
    <w:rsid w:val="01BD0269"/>
    <w:rsid w:val="01BD22B3"/>
    <w:rsid w:val="01BD2D88"/>
    <w:rsid w:val="01BD44D0"/>
    <w:rsid w:val="01BD771F"/>
    <w:rsid w:val="01BE123E"/>
    <w:rsid w:val="01BE1547"/>
    <w:rsid w:val="01BE940D"/>
    <w:rsid w:val="01BEEB32"/>
    <w:rsid w:val="01BF2A27"/>
    <w:rsid w:val="01C12B55"/>
    <w:rsid w:val="01C1741F"/>
    <w:rsid w:val="01C24C0B"/>
    <w:rsid w:val="01C25220"/>
    <w:rsid w:val="01C29890"/>
    <w:rsid w:val="01C3BF88"/>
    <w:rsid w:val="01C45FA9"/>
    <w:rsid w:val="01C46066"/>
    <w:rsid w:val="01C548DD"/>
    <w:rsid w:val="01C5AB53"/>
    <w:rsid w:val="01C5AEBA"/>
    <w:rsid w:val="01C5B5C4"/>
    <w:rsid w:val="01C5D429"/>
    <w:rsid w:val="01C63E29"/>
    <w:rsid w:val="01C641A5"/>
    <w:rsid w:val="01C64BD9"/>
    <w:rsid w:val="01C66214"/>
    <w:rsid w:val="01C685E5"/>
    <w:rsid w:val="01C6E51E"/>
    <w:rsid w:val="01C70764"/>
    <w:rsid w:val="01C86B3A"/>
    <w:rsid w:val="01C8B444"/>
    <w:rsid w:val="01C92103"/>
    <w:rsid w:val="01C94FDA"/>
    <w:rsid w:val="01CA15D2"/>
    <w:rsid w:val="01CA68D5"/>
    <w:rsid w:val="01CB43D2"/>
    <w:rsid w:val="01CC0293"/>
    <w:rsid w:val="01CC1C4A"/>
    <w:rsid w:val="01CD19A4"/>
    <w:rsid w:val="01CD6D8E"/>
    <w:rsid w:val="01CD72BD"/>
    <w:rsid w:val="01CE92A1"/>
    <w:rsid w:val="01CFCDBA"/>
    <w:rsid w:val="01D0F467"/>
    <w:rsid w:val="01D30962"/>
    <w:rsid w:val="01D37495"/>
    <w:rsid w:val="01D3BCF0"/>
    <w:rsid w:val="01D42C39"/>
    <w:rsid w:val="01D4584F"/>
    <w:rsid w:val="01D54A41"/>
    <w:rsid w:val="01D57504"/>
    <w:rsid w:val="01D688DD"/>
    <w:rsid w:val="01D69316"/>
    <w:rsid w:val="01D6F2F9"/>
    <w:rsid w:val="01D73EA0"/>
    <w:rsid w:val="01D77D80"/>
    <w:rsid w:val="01D882B9"/>
    <w:rsid w:val="01D8EDBE"/>
    <w:rsid w:val="01D90172"/>
    <w:rsid w:val="01DA88BD"/>
    <w:rsid w:val="01DAA0CB"/>
    <w:rsid w:val="01DC26DB"/>
    <w:rsid w:val="01DD7DA6"/>
    <w:rsid w:val="01DE17A4"/>
    <w:rsid w:val="01DE7DD2"/>
    <w:rsid w:val="01DFC09C"/>
    <w:rsid w:val="01E05337"/>
    <w:rsid w:val="01E07280"/>
    <w:rsid w:val="01E09710"/>
    <w:rsid w:val="01E0FD14"/>
    <w:rsid w:val="01E1BD87"/>
    <w:rsid w:val="01E2771E"/>
    <w:rsid w:val="01E33751"/>
    <w:rsid w:val="01E39572"/>
    <w:rsid w:val="01E3ECE4"/>
    <w:rsid w:val="01E432BB"/>
    <w:rsid w:val="01E48714"/>
    <w:rsid w:val="01E49B19"/>
    <w:rsid w:val="01E517BB"/>
    <w:rsid w:val="01E5AF16"/>
    <w:rsid w:val="01E6E817"/>
    <w:rsid w:val="01E726F0"/>
    <w:rsid w:val="01E88AF3"/>
    <w:rsid w:val="01E9A9F3"/>
    <w:rsid w:val="01EAAA38"/>
    <w:rsid w:val="01EAD73C"/>
    <w:rsid w:val="01EB81F9"/>
    <w:rsid w:val="01EB822E"/>
    <w:rsid w:val="01EBDC61"/>
    <w:rsid w:val="01EC0370"/>
    <w:rsid w:val="01EDD274"/>
    <w:rsid w:val="01EE9803"/>
    <w:rsid w:val="01EEAC8E"/>
    <w:rsid w:val="01EF847B"/>
    <w:rsid w:val="01EF9BB8"/>
    <w:rsid w:val="01F11D5B"/>
    <w:rsid w:val="01F4EC89"/>
    <w:rsid w:val="01F541A7"/>
    <w:rsid w:val="01F56DEF"/>
    <w:rsid w:val="01F797C0"/>
    <w:rsid w:val="01F7CDC6"/>
    <w:rsid w:val="01F7D338"/>
    <w:rsid w:val="01F816C2"/>
    <w:rsid w:val="01F84F7B"/>
    <w:rsid w:val="01F88402"/>
    <w:rsid w:val="01F96A66"/>
    <w:rsid w:val="01F98818"/>
    <w:rsid w:val="01FAC257"/>
    <w:rsid w:val="01FAFBCB"/>
    <w:rsid w:val="01FB0C31"/>
    <w:rsid w:val="01FB6230"/>
    <w:rsid w:val="01FC246D"/>
    <w:rsid w:val="01FC85A3"/>
    <w:rsid w:val="01FE024D"/>
    <w:rsid w:val="01FE69AB"/>
    <w:rsid w:val="01FF1480"/>
    <w:rsid w:val="01FF40A4"/>
    <w:rsid w:val="01FF89C0"/>
    <w:rsid w:val="01FFCA15"/>
    <w:rsid w:val="02008B88"/>
    <w:rsid w:val="02009E73"/>
    <w:rsid w:val="0200E17B"/>
    <w:rsid w:val="02023342"/>
    <w:rsid w:val="02024A70"/>
    <w:rsid w:val="02028FE5"/>
    <w:rsid w:val="0202AD3E"/>
    <w:rsid w:val="020331EA"/>
    <w:rsid w:val="02036C23"/>
    <w:rsid w:val="0203B3AC"/>
    <w:rsid w:val="0203F4C1"/>
    <w:rsid w:val="02046334"/>
    <w:rsid w:val="0204A164"/>
    <w:rsid w:val="0204E6A1"/>
    <w:rsid w:val="02050AFA"/>
    <w:rsid w:val="02055925"/>
    <w:rsid w:val="0205793A"/>
    <w:rsid w:val="02059084"/>
    <w:rsid w:val="02070CCA"/>
    <w:rsid w:val="02077018"/>
    <w:rsid w:val="0207B374"/>
    <w:rsid w:val="020805FA"/>
    <w:rsid w:val="0208A720"/>
    <w:rsid w:val="02090CDC"/>
    <w:rsid w:val="02090D5E"/>
    <w:rsid w:val="0209856C"/>
    <w:rsid w:val="0209CE6B"/>
    <w:rsid w:val="020AD107"/>
    <w:rsid w:val="020AEECE"/>
    <w:rsid w:val="020B34BB"/>
    <w:rsid w:val="020BC77A"/>
    <w:rsid w:val="020C054E"/>
    <w:rsid w:val="020C662C"/>
    <w:rsid w:val="020C91C3"/>
    <w:rsid w:val="020F3A55"/>
    <w:rsid w:val="020F5F22"/>
    <w:rsid w:val="02103511"/>
    <w:rsid w:val="0210F236"/>
    <w:rsid w:val="0211299B"/>
    <w:rsid w:val="02132149"/>
    <w:rsid w:val="0214AB43"/>
    <w:rsid w:val="0216023C"/>
    <w:rsid w:val="02167CDA"/>
    <w:rsid w:val="0216B024"/>
    <w:rsid w:val="0217235D"/>
    <w:rsid w:val="0217388A"/>
    <w:rsid w:val="02179674"/>
    <w:rsid w:val="02183275"/>
    <w:rsid w:val="021962DC"/>
    <w:rsid w:val="02197203"/>
    <w:rsid w:val="0219803E"/>
    <w:rsid w:val="021A8C44"/>
    <w:rsid w:val="021A99B2"/>
    <w:rsid w:val="021AD8ED"/>
    <w:rsid w:val="021AEF59"/>
    <w:rsid w:val="021B7F0D"/>
    <w:rsid w:val="021F3266"/>
    <w:rsid w:val="0221CF5D"/>
    <w:rsid w:val="0221E574"/>
    <w:rsid w:val="02224D50"/>
    <w:rsid w:val="0222966A"/>
    <w:rsid w:val="0222D45C"/>
    <w:rsid w:val="0223AFD9"/>
    <w:rsid w:val="02242E4D"/>
    <w:rsid w:val="022485D9"/>
    <w:rsid w:val="02251EAA"/>
    <w:rsid w:val="02265137"/>
    <w:rsid w:val="0226BDB5"/>
    <w:rsid w:val="0227B932"/>
    <w:rsid w:val="0227D6D6"/>
    <w:rsid w:val="02281587"/>
    <w:rsid w:val="0228AD79"/>
    <w:rsid w:val="022997EE"/>
    <w:rsid w:val="022A5CB1"/>
    <w:rsid w:val="022A9E13"/>
    <w:rsid w:val="022AA220"/>
    <w:rsid w:val="022AA37B"/>
    <w:rsid w:val="022B61E6"/>
    <w:rsid w:val="022BC796"/>
    <w:rsid w:val="022C0E12"/>
    <w:rsid w:val="022C242E"/>
    <w:rsid w:val="022DA80E"/>
    <w:rsid w:val="022DB702"/>
    <w:rsid w:val="022DEEAC"/>
    <w:rsid w:val="022DF147"/>
    <w:rsid w:val="02301E94"/>
    <w:rsid w:val="02319D1C"/>
    <w:rsid w:val="0232E555"/>
    <w:rsid w:val="0232FE22"/>
    <w:rsid w:val="0233CB8D"/>
    <w:rsid w:val="0235007C"/>
    <w:rsid w:val="02350860"/>
    <w:rsid w:val="0235F994"/>
    <w:rsid w:val="02368A10"/>
    <w:rsid w:val="02375225"/>
    <w:rsid w:val="02383EC9"/>
    <w:rsid w:val="0238B340"/>
    <w:rsid w:val="0239AFE4"/>
    <w:rsid w:val="023A7BF7"/>
    <w:rsid w:val="023AB975"/>
    <w:rsid w:val="023AD9B4"/>
    <w:rsid w:val="023ADE02"/>
    <w:rsid w:val="023B6C14"/>
    <w:rsid w:val="023C0CEA"/>
    <w:rsid w:val="023D80B9"/>
    <w:rsid w:val="023D81AC"/>
    <w:rsid w:val="023DC165"/>
    <w:rsid w:val="023DE00F"/>
    <w:rsid w:val="023F4177"/>
    <w:rsid w:val="023F9858"/>
    <w:rsid w:val="023FBCEF"/>
    <w:rsid w:val="02404108"/>
    <w:rsid w:val="02406121"/>
    <w:rsid w:val="0240A120"/>
    <w:rsid w:val="024132DA"/>
    <w:rsid w:val="024140D3"/>
    <w:rsid w:val="0241F984"/>
    <w:rsid w:val="02422428"/>
    <w:rsid w:val="0242E12D"/>
    <w:rsid w:val="0243ED47"/>
    <w:rsid w:val="024436CA"/>
    <w:rsid w:val="02461F99"/>
    <w:rsid w:val="0246A78E"/>
    <w:rsid w:val="0247A4C0"/>
    <w:rsid w:val="0247DA7F"/>
    <w:rsid w:val="0247F94A"/>
    <w:rsid w:val="0248DCB2"/>
    <w:rsid w:val="024944BC"/>
    <w:rsid w:val="0249AC71"/>
    <w:rsid w:val="024A0621"/>
    <w:rsid w:val="024CA67E"/>
    <w:rsid w:val="024D0D7E"/>
    <w:rsid w:val="024DDB2D"/>
    <w:rsid w:val="024F7F4F"/>
    <w:rsid w:val="024F90BC"/>
    <w:rsid w:val="025012AE"/>
    <w:rsid w:val="02502F28"/>
    <w:rsid w:val="0250F620"/>
    <w:rsid w:val="0251E3D2"/>
    <w:rsid w:val="0252A4FE"/>
    <w:rsid w:val="0252FAC0"/>
    <w:rsid w:val="0253B2EA"/>
    <w:rsid w:val="0253C5F9"/>
    <w:rsid w:val="0253D389"/>
    <w:rsid w:val="0254D9F4"/>
    <w:rsid w:val="0255A008"/>
    <w:rsid w:val="0255ACC8"/>
    <w:rsid w:val="0256B688"/>
    <w:rsid w:val="02570043"/>
    <w:rsid w:val="02572F30"/>
    <w:rsid w:val="02578016"/>
    <w:rsid w:val="02579DE7"/>
    <w:rsid w:val="02581ECC"/>
    <w:rsid w:val="02588B56"/>
    <w:rsid w:val="02589571"/>
    <w:rsid w:val="0258B6B5"/>
    <w:rsid w:val="0258BA40"/>
    <w:rsid w:val="02599045"/>
    <w:rsid w:val="0259A2E3"/>
    <w:rsid w:val="025A0489"/>
    <w:rsid w:val="025A2A21"/>
    <w:rsid w:val="025B0443"/>
    <w:rsid w:val="025B1665"/>
    <w:rsid w:val="025BAEEA"/>
    <w:rsid w:val="025CE9C4"/>
    <w:rsid w:val="025D0890"/>
    <w:rsid w:val="025D3142"/>
    <w:rsid w:val="025D8746"/>
    <w:rsid w:val="025E12B8"/>
    <w:rsid w:val="025E51C6"/>
    <w:rsid w:val="025E6FF0"/>
    <w:rsid w:val="025F3CCF"/>
    <w:rsid w:val="02606BC7"/>
    <w:rsid w:val="0260BD88"/>
    <w:rsid w:val="026145CA"/>
    <w:rsid w:val="0261BF33"/>
    <w:rsid w:val="0261F39F"/>
    <w:rsid w:val="0262508A"/>
    <w:rsid w:val="026250B1"/>
    <w:rsid w:val="0263B1D0"/>
    <w:rsid w:val="0263CC48"/>
    <w:rsid w:val="02648426"/>
    <w:rsid w:val="0264AB53"/>
    <w:rsid w:val="0265D636"/>
    <w:rsid w:val="0266589F"/>
    <w:rsid w:val="0266B9C9"/>
    <w:rsid w:val="0267666E"/>
    <w:rsid w:val="02680027"/>
    <w:rsid w:val="0268B44E"/>
    <w:rsid w:val="0269C8ED"/>
    <w:rsid w:val="026AFD2D"/>
    <w:rsid w:val="026B3F42"/>
    <w:rsid w:val="026B9449"/>
    <w:rsid w:val="026BD0F9"/>
    <w:rsid w:val="026C26DE"/>
    <w:rsid w:val="026C36C1"/>
    <w:rsid w:val="026C40C1"/>
    <w:rsid w:val="026C7607"/>
    <w:rsid w:val="026C8D2A"/>
    <w:rsid w:val="026C90C6"/>
    <w:rsid w:val="026D8F45"/>
    <w:rsid w:val="026E4155"/>
    <w:rsid w:val="026E41DE"/>
    <w:rsid w:val="026F972F"/>
    <w:rsid w:val="0270BCCE"/>
    <w:rsid w:val="0270FBCF"/>
    <w:rsid w:val="0271370E"/>
    <w:rsid w:val="027281A3"/>
    <w:rsid w:val="0272892E"/>
    <w:rsid w:val="0272A240"/>
    <w:rsid w:val="02734935"/>
    <w:rsid w:val="0273B2C3"/>
    <w:rsid w:val="02744D25"/>
    <w:rsid w:val="027510AA"/>
    <w:rsid w:val="0275251B"/>
    <w:rsid w:val="02756BE3"/>
    <w:rsid w:val="0275AB33"/>
    <w:rsid w:val="0276637E"/>
    <w:rsid w:val="02777A84"/>
    <w:rsid w:val="02790DA9"/>
    <w:rsid w:val="027B047C"/>
    <w:rsid w:val="027F8E18"/>
    <w:rsid w:val="02815918"/>
    <w:rsid w:val="02820A89"/>
    <w:rsid w:val="0282DDE3"/>
    <w:rsid w:val="0282F883"/>
    <w:rsid w:val="0283F76C"/>
    <w:rsid w:val="02847DAE"/>
    <w:rsid w:val="02867FB2"/>
    <w:rsid w:val="0287C5B5"/>
    <w:rsid w:val="028839D1"/>
    <w:rsid w:val="0288637D"/>
    <w:rsid w:val="0288B785"/>
    <w:rsid w:val="02894747"/>
    <w:rsid w:val="02897C0A"/>
    <w:rsid w:val="02897E18"/>
    <w:rsid w:val="0289E921"/>
    <w:rsid w:val="028AC522"/>
    <w:rsid w:val="028B0897"/>
    <w:rsid w:val="028BB0BC"/>
    <w:rsid w:val="028C832C"/>
    <w:rsid w:val="028C990C"/>
    <w:rsid w:val="028CAC6F"/>
    <w:rsid w:val="028DBB78"/>
    <w:rsid w:val="028E9C31"/>
    <w:rsid w:val="028EF3C2"/>
    <w:rsid w:val="028FA93A"/>
    <w:rsid w:val="028FB613"/>
    <w:rsid w:val="028FF78D"/>
    <w:rsid w:val="02906C96"/>
    <w:rsid w:val="02912647"/>
    <w:rsid w:val="0291BAD8"/>
    <w:rsid w:val="02928F1A"/>
    <w:rsid w:val="029291C8"/>
    <w:rsid w:val="0293454A"/>
    <w:rsid w:val="02935C05"/>
    <w:rsid w:val="0294A5A5"/>
    <w:rsid w:val="0295DD0A"/>
    <w:rsid w:val="0295E536"/>
    <w:rsid w:val="02961BB0"/>
    <w:rsid w:val="0296CD7D"/>
    <w:rsid w:val="0297F738"/>
    <w:rsid w:val="0298B440"/>
    <w:rsid w:val="029947AA"/>
    <w:rsid w:val="0299ED06"/>
    <w:rsid w:val="029A808A"/>
    <w:rsid w:val="029AB5B1"/>
    <w:rsid w:val="029C464F"/>
    <w:rsid w:val="029C5761"/>
    <w:rsid w:val="029DDB02"/>
    <w:rsid w:val="029E3D2F"/>
    <w:rsid w:val="029E7681"/>
    <w:rsid w:val="029E822C"/>
    <w:rsid w:val="029E999F"/>
    <w:rsid w:val="029EB707"/>
    <w:rsid w:val="029F1DD0"/>
    <w:rsid w:val="02A00EA7"/>
    <w:rsid w:val="02A03182"/>
    <w:rsid w:val="02A07061"/>
    <w:rsid w:val="02A1B505"/>
    <w:rsid w:val="02A22DCC"/>
    <w:rsid w:val="02A22F0C"/>
    <w:rsid w:val="02A27677"/>
    <w:rsid w:val="02A286DB"/>
    <w:rsid w:val="02A2D89F"/>
    <w:rsid w:val="02A2F388"/>
    <w:rsid w:val="02A40B40"/>
    <w:rsid w:val="02A44EB3"/>
    <w:rsid w:val="02A4542B"/>
    <w:rsid w:val="02A45568"/>
    <w:rsid w:val="02A54733"/>
    <w:rsid w:val="02A5636C"/>
    <w:rsid w:val="02A5A59C"/>
    <w:rsid w:val="02A5A90F"/>
    <w:rsid w:val="02A5D5DF"/>
    <w:rsid w:val="02A638E8"/>
    <w:rsid w:val="02A6A823"/>
    <w:rsid w:val="02A6B695"/>
    <w:rsid w:val="02A75BE9"/>
    <w:rsid w:val="02A9CFED"/>
    <w:rsid w:val="02AA64BE"/>
    <w:rsid w:val="02AA6AF1"/>
    <w:rsid w:val="02AA77DA"/>
    <w:rsid w:val="02AABD9D"/>
    <w:rsid w:val="02AB6474"/>
    <w:rsid w:val="02AB8F06"/>
    <w:rsid w:val="02ABAF07"/>
    <w:rsid w:val="02ACAD0E"/>
    <w:rsid w:val="02ACD7EF"/>
    <w:rsid w:val="02AD3830"/>
    <w:rsid w:val="02AD5D79"/>
    <w:rsid w:val="02ADDB42"/>
    <w:rsid w:val="02AEA90F"/>
    <w:rsid w:val="02AECFC4"/>
    <w:rsid w:val="02AF31DB"/>
    <w:rsid w:val="02AF40A1"/>
    <w:rsid w:val="02AF7436"/>
    <w:rsid w:val="02AFDA24"/>
    <w:rsid w:val="02B007FA"/>
    <w:rsid w:val="02B0EB23"/>
    <w:rsid w:val="02B313FC"/>
    <w:rsid w:val="02B50E59"/>
    <w:rsid w:val="02B5316F"/>
    <w:rsid w:val="02B63EC8"/>
    <w:rsid w:val="02B6E68A"/>
    <w:rsid w:val="02B7CED6"/>
    <w:rsid w:val="02B8B5D9"/>
    <w:rsid w:val="02BB30AD"/>
    <w:rsid w:val="02BB7D7B"/>
    <w:rsid w:val="02BCF9ED"/>
    <w:rsid w:val="02BCFDB9"/>
    <w:rsid w:val="02BD7CBC"/>
    <w:rsid w:val="02BE34B1"/>
    <w:rsid w:val="02BE40C8"/>
    <w:rsid w:val="02BFB35C"/>
    <w:rsid w:val="02C1FC18"/>
    <w:rsid w:val="02C2ABB0"/>
    <w:rsid w:val="02C3F8AA"/>
    <w:rsid w:val="02C4303A"/>
    <w:rsid w:val="02C447D6"/>
    <w:rsid w:val="02C46926"/>
    <w:rsid w:val="02C4853C"/>
    <w:rsid w:val="02C491F0"/>
    <w:rsid w:val="02C4CA3B"/>
    <w:rsid w:val="02C4E9A6"/>
    <w:rsid w:val="02C569B7"/>
    <w:rsid w:val="02C592FA"/>
    <w:rsid w:val="02C5AEEE"/>
    <w:rsid w:val="02C5EE3F"/>
    <w:rsid w:val="02C7194D"/>
    <w:rsid w:val="02C72C52"/>
    <w:rsid w:val="02C7FF45"/>
    <w:rsid w:val="02C83700"/>
    <w:rsid w:val="02C83F71"/>
    <w:rsid w:val="02C88D3B"/>
    <w:rsid w:val="02C952D9"/>
    <w:rsid w:val="02C9E703"/>
    <w:rsid w:val="02CA09D8"/>
    <w:rsid w:val="02CA3A4A"/>
    <w:rsid w:val="02CAE96F"/>
    <w:rsid w:val="02CBBE81"/>
    <w:rsid w:val="02CBDB83"/>
    <w:rsid w:val="02CC8780"/>
    <w:rsid w:val="02CCE3AA"/>
    <w:rsid w:val="02CDC54E"/>
    <w:rsid w:val="02CED92C"/>
    <w:rsid w:val="02CF30A7"/>
    <w:rsid w:val="02CF7042"/>
    <w:rsid w:val="02CFA0AB"/>
    <w:rsid w:val="02D0C390"/>
    <w:rsid w:val="02D0EDCF"/>
    <w:rsid w:val="02D1236F"/>
    <w:rsid w:val="02D173BF"/>
    <w:rsid w:val="02D19D12"/>
    <w:rsid w:val="02D22FF3"/>
    <w:rsid w:val="02D28389"/>
    <w:rsid w:val="02D2FB07"/>
    <w:rsid w:val="02D355DF"/>
    <w:rsid w:val="02D3E359"/>
    <w:rsid w:val="02D42333"/>
    <w:rsid w:val="02D45E9A"/>
    <w:rsid w:val="02D4755F"/>
    <w:rsid w:val="02D48684"/>
    <w:rsid w:val="02D53E35"/>
    <w:rsid w:val="02D552B1"/>
    <w:rsid w:val="02D57212"/>
    <w:rsid w:val="02D58958"/>
    <w:rsid w:val="02D5AAFA"/>
    <w:rsid w:val="02D5D0C2"/>
    <w:rsid w:val="02D6E89F"/>
    <w:rsid w:val="02D790D3"/>
    <w:rsid w:val="02D873D5"/>
    <w:rsid w:val="02D9CF8A"/>
    <w:rsid w:val="02DA6624"/>
    <w:rsid w:val="02DB8740"/>
    <w:rsid w:val="02DBAF4E"/>
    <w:rsid w:val="02DBDED9"/>
    <w:rsid w:val="02DC1425"/>
    <w:rsid w:val="02DC4BBA"/>
    <w:rsid w:val="02DC6852"/>
    <w:rsid w:val="02DD4893"/>
    <w:rsid w:val="02DDED2B"/>
    <w:rsid w:val="02DE1A27"/>
    <w:rsid w:val="02DE5588"/>
    <w:rsid w:val="02DFFC9F"/>
    <w:rsid w:val="02E006CB"/>
    <w:rsid w:val="02E0A5BA"/>
    <w:rsid w:val="02E191CD"/>
    <w:rsid w:val="02E251F0"/>
    <w:rsid w:val="02E262B0"/>
    <w:rsid w:val="02E4ED21"/>
    <w:rsid w:val="02E5290E"/>
    <w:rsid w:val="02E5E195"/>
    <w:rsid w:val="02E65778"/>
    <w:rsid w:val="02E6A33A"/>
    <w:rsid w:val="02E72018"/>
    <w:rsid w:val="02E76A75"/>
    <w:rsid w:val="02E7C3C9"/>
    <w:rsid w:val="02E7E36C"/>
    <w:rsid w:val="02E85578"/>
    <w:rsid w:val="02E86894"/>
    <w:rsid w:val="02E88241"/>
    <w:rsid w:val="02E92C82"/>
    <w:rsid w:val="02E986F9"/>
    <w:rsid w:val="02EA5544"/>
    <w:rsid w:val="02EB1832"/>
    <w:rsid w:val="02EB4B2D"/>
    <w:rsid w:val="02EB8EFB"/>
    <w:rsid w:val="02EC032D"/>
    <w:rsid w:val="02EC9692"/>
    <w:rsid w:val="02EDF693"/>
    <w:rsid w:val="02EE7A21"/>
    <w:rsid w:val="02EF0965"/>
    <w:rsid w:val="02F0C695"/>
    <w:rsid w:val="02F10687"/>
    <w:rsid w:val="02F15532"/>
    <w:rsid w:val="02F1A217"/>
    <w:rsid w:val="02F1B0D3"/>
    <w:rsid w:val="02F21705"/>
    <w:rsid w:val="02F287D5"/>
    <w:rsid w:val="02F312C1"/>
    <w:rsid w:val="02F3F67E"/>
    <w:rsid w:val="02F65594"/>
    <w:rsid w:val="02F65E8F"/>
    <w:rsid w:val="02F808E1"/>
    <w:rsid w:val="02F82639"/>
    <w:rsid w:val="02F8DE1B"/>
    <w:rsid w:val="02F9A4A9"/>
    <w:rsid w:val="02F9D379"/>
    <w:rsid w:val="02FA0BB4"/>
    <w:rsid w:val="02FA3BD6"/>
    <w:rsid w:val="02FB7276"/>
    <w:rsid w:val="02FB8F42"/>
    <w:rsid w:val="02FBFCA5"/>
    <w:rsid w:val="02FDAB09"/>
    <w:rsid w:val="02FDD0FE"/>
    <w:rsid w:val="02FDF5B6"/>
    <w:rsid w:val="02FEF417"/>
    <w:rsid w:val="02FF7157"/>
    <w:rsid w:val="02FF9EA0"/>
    <w:rsid w:val="02FFC6BF"/>
    <w:rsid w:val="0301BCE1"/>
    <w:rsid w:val="0301E803"/>
    <w:rsid w:val="0302764D"/>
    <w:rsid w:val="03031BAF"/>
    <w:rsid w:val="0303B59A"/>
    <w:rsid w:val="03042342"/>
    <w:rsid w:val="030534F2"/>
    <w:rsid w:val="030550B3"/>
    <w:rsid w:val="0305BE27"/>
    <w:rsid w:val="0306ED5F"/>
    <w:rsid w:val="0307312E"/>
    <w:rsid w:val="03076981"/>
    <w:rsid w:val="0307A26E"/>
    <w:rsid w:val="0307F1CA"/>
    <w:rsid w:val="03093E39"/>
    <w:rsid w:val="030A9699"/>
    <w:rsid w:val="030AF0C0"/>
    <w:rsid w:val="030C325B"/>
    <w:rsid w:val="030C5C1C"/>
    <w:rsid w:val="030C6757"/>
    <w:rsid w:val="030C7D84"/>
    <w:rsid w:val="030D3735"/>
    <w:rsid w:val="030E0627"/>
    <w:rsid w:val="030EA1CA"/>
    <w:rsid w:val="030ECD15"/>
    <w:rsid w:val="030F1A0C"/>
    <w:rsid w:val="03104F91"/>
    <w:rsid w:val="0311D715"/>
    <w:rsid w:val="0312E45B"/>
    <w:rsid w:val="0313CC0A"/>
    <w:rsid w:val="0313D116"/>
    <w:rsid w:val="0313D363"/>
    <w:rsid w:val="03145FA1"/>
    <w:rsid w:val="031494F0"/>
    <w:rsid w:val="031558CB"/>
    <w:rsid w:val="03161914"/>
    <w:rsid w:val="0316F73A"/>
    <w:rsid w:val="03177D67"/>
    <w:rsid w:val="0317BB16"/>
    <w:rsid w:val="03181F6F"/>
    <w:rsid w:val="031844BA"/>
    <w:rsid w:val="0318577B"/>
    <w:rsid w:val="031932BF"/>
    <w:rsid w:val="0319C081"/>
    <w:rsid w:val="0319EF4A"/>
    <w:rsid w:val="031A3FB1"/>
    <w:rsid w:val="031B60F8"/>
    <w:rsid w:val="031B673D"/>
    <w:rsid w:val="031BEE57"/>
    <w:rsid w:val="031BFC4E"/>
    <w:rsid w:val="031D2A77"/>
    <w:rsid w:val="031D33F8"/>
    <w:rsid w:val="031D8C7A"/>
    <w:rsid w:val="031DCA8B"/>
    <w:rsid w:val="03200135"/>
    <w:rsid w:val="0320E7D6"/>
    <w:rsid w:val="03214C81"/>
    <w:rsid w:val="0322AC8D"/>
    <w:rsid w:val="03243E39"/>
    <w:rsid w:val="0327061C"/>
    <w:rsid w:val="03282C1C"/>
    <w:rsid w:val="032895FD"/>
    <w:rsid w:val="0328A768"/>
    <w:rsid w:val="0329061F"/>
    <w:rsid w:val="03299571"/>
    <w:rsid w:val="0329E882"/>
    <w:rsid w:val="032B3E2E"/>
    <w:rsid w:val="032B89BF"/>
    <w:rsid w:val="032C236B"/>
    <w:rsid w:val="032D0470"/>
    <w:rsid w:val="032D42D3"/>
    <w:rsid w:val="032E327A"/>
    <w:rsid w:val="032EFEC7"/>
    <w:rsid w:val="032F3886"/>
    <w:rsid w:val="032F70BA"/>
    <w:rsid w:val="032F8903"/>
    <w:rsid w:val="0332038A"/>
    <w:rsid w:val="03325A3D"/>
    <w:rsid w:val="0332AB9D"/>
    <w:rsid w:val="0332D83C"/>
    <w:rsid w:val="03331087"/>
    <w:rsid w:val="033311DE"/>
    <w:rsid w:val="0333795C"/>
    <w:rsid w:val="0333A372"/>
    <w:rsid w:val="0334040E"/>
    <w:rsid w:val="03340429"/>
    <w:rsid w:val="03344BE9"/>
    <w:rsid w:val="0334E508"/>
    <w:rsid w:val="033506D4"/>
    <w:rsid w:val="03353D2B"/>
    <w:rsid w:val="033590F6"/>
    <w:rsid w:val="03359592"/>
    <w:rsid w:val="0335DB90"/>
    <w:rsid w:val="03361ACC"/>
    <w:rsid w:val="033682CC"/>
    <w:rsid w:val="0336FF37"/>
    <w:rsid w:val="033704F9"/>
    <w:rsid w:val="033787EF"/>
    <w:rsid w:val="03380A89"/>
    <w:rsid w:val="03381E73"/>
    <w:rsid w:val="0338A4D4"/>
    <w:rsid w:val="033A05F8"/>
    <w:rsid w:val="033A12EB"/>
    <w:rsid w:val="033A39A2"/>
    <w:rsid w:val="033A8942"/>
    <w:rsid w:val="033A8BFE"/>
    <w:rsid w:val="033B19C1"/>
    <w:rsid w:val="033BCAF2"/>
    <w:rsid w:val="033C6203"/>
    <w:rsid w:val="033D46A3"/>
    <w:rsid w:val="033D4C51"/>
    <w:rsid w:val="033DBA5B"/>
    <w:rsid w:val="033E1844"/>
    <w:rsid w:val="033ECAAA"/>
    <w:rsid w:val="033EE32B"/>
    <w:rsid w:val="033F1784"/>
    <w:rsid w:val="033F51F9"/>
    <w:rsid w:val="034027B3"/>
    <w:rsid w:val="0340C339"/>
    <w:rsid w:val="034182A5"/>
    <w:rsid w:val="0341F8DB"/>
    <w:rsid w:val="03423465"/>
    <w:rsid w:val="03427D11"/>
    <w:rsid w:val="03430D0E"/>
    <w:rsid w:val="0343783E"/>
    <w:rsid w:val="0343DF7B"/>
    <w:rsid w:val="0345C3A1"/>
    <w:rsid w:val="034634DF"/>
    <w:rsid w:val="03463DFE"/>
    <w:rsid w:val="03471F3A"/>
    <w:rsid w:val="03475534"/>
    <w:rsid w:val="0347A743"/>
    <w:rsid w:val="0347B5A4"/>
    <w:rsid w:val="0348540F"/>
    <w:rsid w:val="0348B9DF"/>
    <w:rsid w:val="03492137"/>
    <w:rsid w:val="03492A4D"/>
    <w:rsid w:val="034A1A8D"/>
    <w:rsid w:val="034AD081"/>
    <w:rsid w:val="034AFF5F"/>
    <w:rsid w:val="034B0597"/>
    <w:rsid w:val="034E8136"/>
    <w:rsid w:val="034F14C0"/>
    <w:rsid w:val="034F15B3"/>
    <w:rsid w:val="0350D996"/>
    <w:rsid w:val="0350F411"/>
    <w:rsid w:val="03510AF7"/>
    <w:rsid w:val="0351D137"/>
    <w:rsid w:val="0351D243"/>
    <w:rsid w:val="035226CE"/>
    <w:rsid w:val="03522B72"/>
    <w:rsid w:val="035234A4"/>
    <w:rsid w:val="035292A0"/>
    <w:rsid w:val="03529813"/>
    <w:rsid w:val="0352DADF"/>
    <w:rsid w:val="03535532"/>
    <w:rsid w:val="0354223E"/>
    <w:rsid w:val="035534D8"/>
    <w:rsid w:val="0355688C"/>
    <w:rsid w:val="03558866"/>
    <w:rsid w:val="0357AB29"/>
    <w:rsid w:val="0358B555"/>
    <w:rsid w:val="0358BA67"/>
    <w:rsid w:val="03594DA1"/>
    <w:rsid w:val="0359FFA0"/>
    <w:rsid w:val="035A4848"/>
    <w:rsid w:val="035A9C19"/>
    <w:rsid w:val="035ABE30"/>
    <w:rsid w:val="035B1BE2"/>
    <w:rsid w:val="035C1BA2"/>
    <w:rsid w:val="035C35DD"/>
    <w:rsid w:val="035D90F2"/>
    <w:rsid w:val="035E65F5"/>
    <w:rsid w:val="035F95AE"/>
    <w:rsid w:val="035FA31C"/>
    <w:rsid w:val="035FCC36"/>
    <w:rsid w:val="03608593"/>
    <w:rsid w:val="0361A48A"/>
    <w:rsid w:val="0362558B"/>
    <w:rsid w:val="0363BCCA"/>
    <w:rsid w:val="0363C5C5"/>
    <w:rsid w:val="0363F09C"/>
    <w:rsid w:val="0364425A"/>
    <w:rsid w:val="0365095E"/>
    <w:rsid w:val="036584BD"/>
    <w:rsid w:val="0365D3DC"/>
    <w:rsid w:val="0366B326"/>
    <w:rsid w:val="03678CD6"/>
    <w:rsid w:val="03679506"/>
    <w:rsid w:val="036797BB"/>
    <w:rsid w:val="03681849"/>
    <w:rsid w:val="03685152"/>
    <w:rsid w:val="0368A1A1"/>
    <w:rsid w:val="03692CEA"/>
    <w:rsid w:val="03694E73"/>
    <w:rsid w:val="036A207D"/>
    <w:rsid w:val="036AABE8"/>
    <w:rsid w:val="036AE01F"/>
    <w:rsid w:val="036BA537"/>
    <w:rsid w:val="036BDF36"/>
    <w:rsid w:val="036D166E"/>
    <w:rsid w:val="036D7394"/>
    <w:rsid w:val="036DBEA0"/>
    <w:rsid w:val="036E168F"/>
    <w:rsid w:val="036E1F41"/>
    <w:rsid w:val="036E28F0"/>
    <w:rsid w:val="036FAB2F"/>
    <w:rsid w:val="0370AA01"/>
    <w:rsid w:val="0371A49D"/>
    <w:rsid w:val="0372DF94"/>
    <w:rsid w:val="0372E3A1"/>
    <w:rsid w:val="0373815C"/>
    <w:rsid w:val="03739F57"/>
    <w:rsid w:val="0373D346"/>
    <w:rsid w:val="0374CBFB"/>
    <w:rsid w:val="037586AE"/>
    <w:rsid w:val="03761F9E"/>
    <w:rsid w:val="03768DA1"/>
    <w:rsid w:val="03773AA8"/>
    <w:rsid w:val="03774812"/>
    <w:rsid w:val="0377EC33"/>
    <w:rsid w:val="03781C25"/>
    <w:rsid w:val="03782A92"/>
    <w:rsid w:val="03785D5D"/>
    <w:rsid w:val="03788A4F"/>
    <w:rsid w:val="037A6315"/>
    <w:rsid w:val="037A7421"/>
    <w:rsid w:val="037ADC57"/>
    <w:rsid w:val="037B422E"/>
    <w:rsid w:val="037B6058"/>
    <w:rsid w:val="037C509B"/>
    <w:rsid w:val="037C6710"/>
    <w:rsid w:val="037D0905"/>
    <w:rsid w:val="037D0965"/>
    <w:rsid w:val="037DA623"/>
    <w:rsid w:val="037F37DB"/>
    <w:rsid w:val="037FE527"/>
    <w:rsid w:val="037FF344"/>
    <w:rsid w:val="0381C71C"/>
    <w:rsid w:val="03820BEF"/>
    <w:rsid w:val="03828D90"/>
    <w:rsid w:val="0382E1B9"/>
    <w:rsid w:val="0383CCD6"/>
    <w:rsid w:val="03840276"/>
    <w:rsid w:val="038452B5"/>
    <w:rsid w:val="03849059"/>
    <w:rsid w:val="03857E04"/>
    <w:rsid w:val="0385FC2C"/>
    <w:rsid w:val="03860623"/>
    <w:rsid w:val="038618E9"/>
    <w:rsid w:val="038773DB"/>
    <w:rsid w:val="0387979B"/>
    <w:rsid w:val="0387F4E3"/>
    <w:rsid w:val="0387FB1D"/>
    <w:rsid w:val="038819BD"/>
    <w:rsid w:val="03882209"/>
    <w:rsid w:val="03884758"/>
    <w:rsid w:val="03898FF2"/>
    <w:rsid w:val="0389B4C9"/>
    <w:rsid w:val="0389EE05"/>
    <w:rsid w:val="038A0705"/>
    <w:rsid w:val="038A4075"/>
    <w:rsid w:val="038B3425"/>
    <w:rsid w:val="038BAE6E"/>
    <w:rsid w:val="038BE9D5"/>
    <w:rsid w:val="038C9474"/>
    <w:rsid w:val="038D076F"/>
    <w:rsid w:val="038D59BE"/>
    <w:rsid w:val="038D938D"/>
    <w:rsid w:val="038F3CD5"/>
    <w:rsid w:val="038FEF57"/>
    <w:rsid w:val="0390426D"/>
    <w:rsid w:val="0390EB96"/>
    <w:rsid w:val="039113B9"/>
    <w:rsid w:val="03917804"/>
    <w:rsid w:val="0391ACE7"/>
    <w:rsid w:val="0391F362"/>
    <w:rsid w:val="03926086"/>
    <w:rsid w:val="0392D890"/>
    <w:rsid w:val="0393E07C"/>
    <w:rsid w:val="0394374C"/>
    <w:rsid w:val="0394B8AE"/>
    <w:rsid w:val="0394F066"/>
    <w:rsid w:val="03950030"/>
    <w:rsid w:val="03960126"/>
    <w:rsid w:val="03973BFC"/>
    <w:rsid w:val="0397A68D"/>
    <w:rsid w:val="0397A83F"/>
    <w:rsid w:val="0397C9CA"/>
    <w:rsid w:val="0397D77D"/>
    <w:rsid w:val="0398659E"/>
    <w:rsid w:val="03987C64"/>
    <w:rsid w:val="0398ACCD"/>
    <w:rsid w:val="03993C68"/>
    <w:rsid w:val="0399C06A"/>
    <w:rsid w:val="0399CBE0"/>
    <w:rsid w:val="0399ED79"/>
    <w:rsid w:val="039A40A3"/>
    <w:rsid w:val="039AF647"/>
    <w:rsid w:val="039B44C9"/>
    <w:rsid w:val="039B78BC"/>
    <w:rsid w:val="039CD4F6"/>
    <w:rsid w:val="039CF913"/>
    <w:rsid w:val="039D71CF"/>
    <w:rsid w:val="039D75CB"/>
    <w:rsid w:val="039E0414"/>
    <w:rsid w:val="039E14C2"/>
    <w:rsid w:val="039F516A"/>
    <w:rsid w:val="039F7586"/>
    <w:rsid w:val="039FFE52"/>
    <w:rsid w:val="03A02B08"/>
    <w:rsid w:val="03A08A40"/>
    <w:rsid w:val="03A0EE2A"/>
    <w:rsid w:val="03A14643"/>
    <w:rsid w:val="03A146DB"/>
    <w:rsid w:val="03A288C9"/>
    <w:rsid w:val="03A2E103"/>
    <w:rsid w:val="03A57DBF"/>
    <w:rsid w:val="03A58470"/>
    <w:rsid w:val="03A5B1DE"/>
    <w:rsid w:val="03A65EC5"/>
    <w:rsid w:val="03A6E36A"/>
    <w:rsid w:val="03A73B76"/>
    <w:rsid w:val="03A7CB10"/>
    <w:rsid w:val="03A97C57"/>
    <w:rsid w:val="03A98A7D"/>
    <w:rsid w:val="03AB5912"/>
    <w:rsid w:val="03AC88C5"/>
    <w:rsid w:val="03AD0E38"/>
    <w:rsid w:val="03AD226D"/>
    <w:rsid w:val="03AD91E3"/>
    <w:rsid w:val="03AE4AB7"/>
    <w:rsid w:val="03AEA1EB"/>
    <w:rsid w:val="03AEB27C"/>
    <w:rsid w:val="03AEB602"/>
    <w:rsid w:val="03AF4E10"/>
    <w:rsid w:val="03AF7935"/>
    <w:rsid w:val="03AFC998"/>
    <w:rsid w:val="03B0C1F4"/>
    <w:rsid w:val="03B105FC"/>
    <w:rsid w:val="03B18D3D"/>
    <w:rsid w:val="03B1E900"/>
    <w:rsid w:val="03B27D51"/>
    <w:rsid w:val="03B2F044"/>
    <w:rsid w:val="03B3CE38"/>
    <w:rsid w:val="03B4166F"/>
    <w:rsid w:val="03B46421"/>
    <w:rsid w:val="03B4CA09"/>
    <w:rsid w:val="03B4E4A7"/>
    <w:rsid w:val="03B55360"/>
    <w:rsid w:val="03B7ED8C"/>
    <w:rsid w:val="03B86454"/>
    <w:rsid w:val="03B86BED"/>
    <w:rsid w:val="03B92EEE"/>
    <w:rsid w:val="03B94A9C"/>
    <w:rsid w:val="03B9751E"/>
    <w:rsid w:val="03BA8A7C"/>
    <w:rsid w:val="03BCC906"/>
    <w:rsid w:val="03BE8093"/>
    <w:rsid w:val="03BEFBBA"/>
    <w:rsid w:val="03BF697E"/>
    <w:rsid w:val="03C0D9E2"/>
    <w:rsid w:val="03C1FAA2"/>
    <w:rsid w:val="03C2818B"/>
    <w:rsid w:val="03C34ED3"/>
    <w:rsid w:val="03C432F9"/>
    <w:rsid w:val="03C503BF"/>
    <w:rsid w:val="03C57E86"/>
    <w:rsid w:val="03C8F42D"/>
    <w:rsid w:val="03C980B2"/>
    <w:rsid w:val="03C98E59"/>
    <w:rsid w:val="03CADF31"/>
    <w:rsid w:val="03CAF10B"/>
    <w:rsid w:val="03CBEB9A"/>
    <w:rsid w:val="03CC2782"/>
    <w:rsid w:val="03CD610A"/>
    <w:rsid w:val="03CDE92D"/>
    <w:rsid w:val="03CF0BB4"/>
    <w:rsid w:val="03CF1F47"/>
    <w:rsid w:val="03CFFCAA"/>
    <w:rsid w:val="03D04A83"/>
    <w:rsid w:val="03D057AF"/>
    <w:rsid w:val="03D1301D"/>
    <w:rsid w:val="03D1876C"/>
    <w:rsid w:val="03D1F7CF"/>
    <w:rsid w:val="03D29761"/>
    <w:rsid w:val="03D33832"/>
    <w:rsid w:val="03D35EB6"/>
    <w:rsid w:val="03D397D9"/>
    <w:rsid w:val="03D45652"/>
    <w:rsid w:val="03D46A93"/>
    <w:rsid w:val="03D4AC67"/>
    <w:rsid w:val="03D4C3CE"/>
    <w:rsid w:val="03D4F1C8"/>
    <w:rsid w:val="03D5A61F"/>
    <w:rsid w:val="03D5F17D"/>
    <w:rsid w:val="03D6A6A4"/>
    <w:rsid w:val="03D738FD"/>
    <w:rsid w:val="03D801EA"/>
    <w:rsid w:val="03D825A8"/>
    <w:rsid w:val="03D9F367"/>
    <w:rsid w:val="03DB535F"/>
    <w:rsid w:val="03DC02E2"/>
    <w:rsid w:val="03DC27AC"/>
    <w:rsid w:val="03DCE07A"/>
    <w:rsid w:val="03DE7B21"/>
    <w:rsid w:val="03DF24DE"/>
    <w:rsid w:val="03DF281D"/>
    <w:rsid w:val="03E23065"/>
    <w:rsid w:val="03E34AFF"/>
    <w:rsid w:val="03E38FAD"/>
    <w:rsid w:val="03E3961B"/>
    <w:rsid w:val="03E4352B"/>
    <w:rsid w:val="03E520D2"/>
    <w:rsid w:val="03E54975"/>
    <w:rsid w:val="03E57A18"/>
    <w:rsid w:val="03E584A0"/>
    <w:rsid w:val="03E5F8B3"/>
    <w:rsid w:val="03E609D1"/>
    <w:rsid w:val="03E64AAA"/>
    <w:rsid w:val="03E6DA3A"/>
    <w:rsid w:val="03E75200"/>
    <w:rsid w:val="03E765B2"/>
    <w:rsid w:val="03E793E9"/>
    <w:rsid w:val="03E7A5A7"/>
    <w:rsid w:val="03E931D2"/>
    <w:rsid w:val="03E9B6B8"/>
    <w:rsid w:val="03EB83CE"/>
    <w:rsid w:val="03EC0DC0"/>
    <w:rsid w:val="03EC23AD"/>
    <w:rsid w:val="03EC5269"/>
    <w:rsid w:val="03ED35C9"/>
    <w:rsid w:val="03EDC3FF"/>
    <w:rsid w:val="03EF4DFA"/>
    <w:rsid w:val="03EF7317"/>
    <w:rsid w:val="03EFE441"/>
    <w:rsid w:val="03F00474"/>
    <w:rsid w:val="03F007B9"/>
    <w:rsid w:val="03F0345F"/>
    <w:rsid w:val="03F1DCA4"/>
    <w:rsid w:val="03F2B415"/>
    <w:rsid w:val="03F38EC7"/>
    <w:rsid w:val="03F41BCD"/>
    <w:rsid w:val="03F4FC70"/>
    <w:rsid w:val="03F70D22"/>
    <w:rsid w:val="03F717ED"/>
    <w:rsid w:val="03F7F038"/>
    <w:rsid w:val="03F83B39"/>
    <w:rsid w:val="03F94E1A"/>
    <w:rsid w:val="03F951F4"/>
    <w:rsid w:val="03F9E96F"/>
    <w:rsid w:val="03F9E9A5"/>
    <w:rsid w:val="03FA2EE3"/>
    <w:rsid w:val="03FABB1B"/>
    <w:rsid w:val="03FB3CF6"/>
    <w:rsid w:val="03FCB725"/>
    <w:rsid w:val="03FD5AF9"/>
    <w:rsid w:val="03FD9445"/>
    <w:rsid w:val="03FDB1C5"/>
    <w:rsid w:val="03FE22C4"/>
    <w:rsid w:val="03FF0A8E"/>
    <w:rsid w:val="03FF566A"/>
    <w:rsid w:val="0400486E"/>
    <w:rsid w:val="04014086"/>
    <w:rsid w:val="0401B9B9"/>
    <w:rsid w:val="04021597"/>
    <w:rsid w:val="04029806"/>
    <w:rsid w:val="0403946B"/>
    <w:rsid w:val="040396B6"/>
    <w:rsid w:val="0404FFEA"/>
    <w:rsid w:val="04051526"/>
    <w:rsid w:val="04054A33"/>
    <w:rsid w:val="04062349"/>
    <w:rsid w:val="0406C312"/>
    <w:rsid w:val="0406F533"/>
    <w:rsid w:val="040709BC"/>
    <w:rsid w:val="0407CBAF"/>
    <w:rsid w:val="04081A7B"/>
    <w:rsid w:val="04096336"/>
    <w:rsid w:val="040966E5"/>
    <w:rsid w:val="0409953E"/>
    <w:rsid w:val="0409A0AF"/>
    <w:rsid w:val="0409F51B"/>
    <w:rsid w:val="040A3D1E"/>
    <w:rsid w:val="040A9156"/>
    <w:rsid w:val="040AE261"/>
    <w:rsid w:val="040BF583"/>
    <w:rsid w:val="040D78EE"/>
    <w:rsid w:val="040DB3A2"/>
    <w:rsid w:val="040E2D52"/>
    <w:rsid w:val="040E4AA5"/>
    <w:rsid w:val="040EBBD2"/>
    <w:rsid w:val="040F8286"/>
    <w:rsid w:val="040FF44D"/>
    <w:rsid w:val="0410A481"/>
    <w:rsid w:val="0410BB3B"/>
    <w:rsid w:val="0410D8F6"/>
    <w:rsid w:val="04113C9F"/>
    <w:rsid w:val="041171E5"/>
    <w:rsid w:val="0411CCBA"/>
    <w:rsid w:val="0412EAE6"/>
    <w:rsid w:val="041424B7"/>
    <w:rsid w:val="0414C2F6"/>
    <w:rsid w:val="0415AA61"/>
    <w:rsid w:val="04169703"/>
    <w:rsid w:val="041819B8"/>
    <w:rsid w:val="0418F032"/>
    <w:rsid w:val="041A3AB8"/>
    <w:rsid w:val="041A5C0E"/>
    <w:rsid w:val="041B2BE3"/>
    <w:rsid w:val="041C413C"/>
    <w:rsid w:val="041C73F3"/>
    <w:rsid w:val="041CBD10"/>
    <w:rsid w:val="041D9BD4"/>
    <w:rsid w:val="041DA690"/>
    <w:rsid w:val="041E3FE0"/>
    <w:rsid w:val="041E5042"/>
    <w:rsid w:val="041E66B7"/>
    <w:rsid w:val="041FD996"/>
    <w:rsid w:val="041FEB80"/>
    <w:rsid w:val="0420F582"/>
    <w:rsid w:val="04211C98"/>
    <w:rsid w:val="04217E8C"/>
    <w:rsid w:val="0421F162"/>
    <w:rsid w:val="04229570"/>
    <w:rsid w:val="04259484"/>
    <w:rsid w:val="0426E508"/>
    <w:rsid w:val="042743BA"/>
    <w:rsid w:val="0427770F"/>
    <w:rsid w:val="0427DB6C"/>
    <w:rsid w:val="0427DD5E"/>
    <w:rsid w:val="04287B56"/>
    <w:rsid w:val="04289180"/>
    <w:rsid w:val="0428B7FD"/>
    <w:rsid w:val="042960D0"/>
    <w:rsid w:val="04299B6B"/>
    <w:rsid w:val="0429EA54"/>
    <w:rsid w:val="042B2EE2"/>
    <w:rsid w:val="042B67D6"/>
    <w:rsid w:val="042B74C6"/>
    <w:rsid w:val="042BD172"/>
    <w:rsid w:val="042E251F"/>
    <w:rsid w:val="0430777C"/>
    <w:rsid w:val="0431C585"/>
    <w:rsid w:val="0431EFC6"/>
    <w:rsid w:val="043223CB"/>
    <w:rsid w:val="0432E156"/>
    <w:rsid w:val="04340058"/>
    <w:rsid w:val="04346D61"/>
    <w:rsid w:val="0434B306"/>
    <w:rsid w:val="0434C7A7"/>
    <w:rsid w:val="0434F367"/>
    <w:rsid w:val="0435180B"/>
    <w:rsid w:val="04354BB3"/>
    <w:rsid w:val="0435D5F8"/>
    <w:rsid w:val="04361F3E"/>
    <w:rsid w:val="043739A6"/>
    <w:rsid w:val="04374966"/>
    <w:rsid w:val="04384810"/>
    <w:rsid w:val="04393B13"/>
    <w:rsid w:val="0439CC50"/>
    <w:rsid w:val="043A0208"/>
    <w:rsid w:val="043AA78E"/>
    <w:rsid w:val="043AAA0F"/>
    <w:rsid w:val="043AE44F"/>
    <w:rsid w:val="043B8DCA"/>
    <w:rsid w:val="043B9695"/>
    <w:rsid w:val="043BB748"/>
    <w:rsid w:val="043BE1BD"/>
    <w:rsid w:val="043CADD6"/>
    <w:rsid w:val="043CD802"/>
    <w:rsid w:val="043CED08"/>
    <w:rsid w:val="043EDAAC"/>
    <w:rsid w:val="043F427A"/>
    <w:rsid w:val="0440D790"/>
    <w:rsid w:val="04421BAF"/>
    <w:rsid w:val="044230EA"/>
    <w:rsid w:val="04435B5C"/>
    <w:rsid w:val="04446A91"/>
    <w:rsid w:val="04446F8B"/>
    <w:rsid w:val="044489C4"/>
    <w:rsid w:val="04448CE5"/>
    <w:rsid w:val="0444A0F4"/>
    <w:rsid w:val="04455C57"/>
    <w:rsid w:val="04458EEB"/>
    <w:rsid w:val="0446080E"/>
    <w:rsid w:val="0448460F"/>
    <w:rsid w:val="044849CB"/>
    <w:rsid w:val="04486B5D"/>
    <w:rsid w:val="04494916"/>
    <w:rsid w:val="044A8472"/>
    <w:rsid w:val="044B5012"/>
    <w:rsid w:val="044B6905"/>
    <w:rsid w:val="044BEE5C"/>
    <w:rsid w:val="044C0362"/>
    <w:rsid w:val="044C13D2"/>
    <w:rsid w:val="044C40BF"/>
    <w:rsid w:val="044D29BC"/>
    <w:rsid w:val="044E3878"/>
    <w:rsid w:val="044F7968"/>
    <w:rsid w:val="044FB385"/>
    <w:rsid w:val="0450B93E"/>
    <w:rsid w:val="04515EA2"/>
    <w:rsid w:val="0452168E"/>
    <w:rsid w:val="0452EAF7"/>
    <w:rsid w:val="0452FF01"/>
    <w:rsid w:val="04532E61"/>
    <w:rsid w:val="0453B5D0"/>
    <w:rsid w:val="04545BAE"/>
    <w:rsid w:val="0454B6F9"/>
    <w:rsid w:val="0454C3F7"/>
    <w:rsid w:val="045514F2"/>
    <w:rsid w:val="045520F1"/>
    <w:rsid w:val="045558AF"/>
    <w:rsid w:val="045672FF"/>
    <w:rsid w:val="0456DD9F"/>
    <w:rsid w:val="0456E5E7"/>
    <w:rsid w:val="045706A3"/>
    <w:rsid w:val="0457447F"/>
    <w:rsid w:val="0457E626"/>
    <w:rsid w:val="0457F54A"/>
    <w:rsid w:val="045816C3"/>
    <w:rsid w:val="04583F99"/>
    <w:rsid w:val="045858F3"/>
    <w:rsid w:val="04588345"/>
    <w:rsid w:val="045B72B3"/>
    <w:rsid w:val="045DD028"/>
    <w:rsid w:val="046032BE"/>
    <w:rsid w:val="04607638"/>
    <w:rsid w:val="0460E4A5"/>
    <w:rsid w:val="0463DDC1"/>
    <w:rsid w:val="0464E452"/>
    <w:rsid w:val="0465BC7C"/>
    <w:rsid w:val="04669323"/>
    <w:rsid w:val="0466C02D"/>
    <w:rsid w:val="0467D545"/>
    <w:rsid w:val="04687499"/>
    <w:rsid w:val="04691071"/>
    <w:rsid w:val="0469C12E"/>
    <w:rsid w:val="046B3201"/>
    <w:rsid w:val="046BE941"/>
    <w:rsid w:val="046D15EC"/>
    <w:rsid w:val="046D39BA"/>
    <w:rsid w:val="046E6C07"/>
    <w:rsid w:val="046E7720"/>
    <w:rsid w:val="046ECB68"/>
    <w:rsid w:val="046F53C4"/>
    <w:rsid w:val="046FFCE1"/>
    <w:rsid w:val="04713CD8"/>
    <w:rsid w:val="0471AD4A"/>
    <w:rsid w:val="04722B49"/>
    <w:rsid w:val="047285C8"/>
    <w:rsid w:val="04729047"/>
    <w:rsid w:val="04729205"/>
    <w:rsid w:val="04733C75"/>
    <w:rsid w:val="0473436A"/>
    <w:rsid w:val="0473BFC3"/>
    <w:rsid w:val="047689F4"/>
    <w:rsid w:val="0476B01D"/>
    <w:rsid w:val="0476CF10"/>
    <w:rsid w:val="0478A433"/>
    <w:rsid w:val="047A3C6E"/>
    <w:rsid w:val="047A3ECC"/>
    <w:rsid w:val="047ADA1E"/>
    <w:rsid w:val="047B4403"/>
    <w:rsid w:val="047B64A0"/>
    <w:rsid w:val="047B9930"/>
    <w:rsid w:val="047C14DB"/>
    <w:rsid w:val="047CD21A"/>
    <w:rsid w:val="047D7A75"/>
    <w:rsid w:val="047E447B"/>
    <w:rsid w:val="047F8A66"/>
    <w:rsid w:val="047F8C6E"/>
    <w:rsid w:val="047FC723"/>
    <w:rsid w:val="04801B03"/>
    <w:rsid w:val="0481A505"/>
    <w:rsid w:val="0481CAF9"/>
    <w:rsid w:val="0481DE43"/>
    <w:rsid w:val="04823271"/>
    <w:rsid w:val="04824D10"/>
    <w:rsid w:val="0483DFDD"/>
    <w:rsid w:val="0486EF98"/>
    <w:rsid w:val="0487CBB6"/>
    <w:rsid w:val="0489F9DF"/>
    <w:rsid w:val="048B28E6"/>
    <w:rsid w:val="048C9A72"/>
    <w:rsid w:val="048CB474"/>
    <w:rsid w:val="048D28EE"/>
    <w:rsid w:val="048D5638"/>
    <w:rsid w:val="048DDABA"/>
    <w:rsid w:val="048E2398"/>
    <w:rsid w:val="048E5E44"/>
    <w:rsid w:val="048F30CD"/>
    <w:rsid w:val="048F57B6"/>
    <w:rsid w:val="048FEFD1"/>
    <w:rsid w:val="049026D5"/>
    <w:rsid w:val="0490D03F"/>
    <w:rsid w:val="0491355C"/>
    <w:rsid w:val="04923F79"/>
    <w:rsid w:val="0492D00D"/>
    <w:rsid w:val="04950601"/>
    <w:rsid w:val="04959E78"/>
    <w:rsid w:val="0495BE67"/>
    <w:rsid w:val="0496648B"/>
    <w:rsid w:val="0496C815"/>
    <w:rsid w:val="04970EA9"/>
    <w:rsid w:val="0497B12B"/>
    <w:rsid w:val="04997D38"/>
    <w:rsid w:val="049B0E3A"/>
    <w:rsid w:val="049B3577"/>
    <w:rsid w:val="049BA46D"/>
    <w:rsid w:val="049C1E5F"/>
    <w:rsid w:val="049C3697"/>
    <w:rsid w:val="049D6D9B"/>
    <w:rsid w:val="049D7958"/>
    <w:rsid w:val="049E16C9"/>
    <w:rsid w:val="049E4786"/>
    <w:rsid w:val="049E7FAF"/>
    <w:rsid w:val="049F38FC"/>
    <w:rsid w:val="049FB5CF"/>
    <w:rsid w:val="049FB5DC"/>
    <w:rsid w:val="04A03652"/>
    <w:rsid w:val="04A0B21C"/>
    <w:rsid w:val="04A0CCBC"/>
    <w:rsid w:val="04A13741"/>
    <w:rsid w:val="04A197F3"/>
    <w:rsid w:val="04A24F31"/>
    <w:rsid w:val="04A46C2F"/>
    <w:rsid w:val="04A4D244"/>
    <w:rsid w:val="04A4EF85"/>
    <w:rsid w:val="04A57B07"/>
    <w:rsid w:val="04A5EEE2"/>
    <w:rsid w:val="04A65667"/>
    <w:rsid w:val="04A68521"/>
    <w:rsid w:val="04A73CA7"/>
    <w:rsid w:val="04A79F9D"/>
    <w:rsid w:val="04A8449D"/>
    <w:rsid w:val="04A8AAA8"/>
    <w:rsid w:val="04A8B01B"/>
    <w:rsid w:val="04AB3762"/>
    <w:rsid w:val="04AB3F9C"/>
    <w:rsid w:val="04AB60F6"/>
    <w:rsid w:val="04ABB12D"/>
    <w:rsid w:val="04ABD470"/>
    <w:rsid w:val="04AC4333"/>
    <w:rsid w:val="04AD557A"/>
    <w:rsid w:val="04ADA935"/>
    <w:rsid w:val="04AE4723"/>
    <w:rsid w:val="04AF146F"/>
    <w:rsid w:val="04AF8C33"/>
    <w:rsid w:val="04AFEED6"/>
    <w:rsid w:val="04B0C91C"/>
    <w:rsid w:val="04B13476"/>
    <w:rsid w:val="04B26B67"/>
    <w:rsid w:val="04B2F3BB"/>
    <w:rsid w:val="04B3C01A"/>
    <w:rsid w:val="04B3EF20"/>
    <w:rsid w:val="04B45A9C"/>
    <w:rsid w:val="04B4C509"/>
    <w:rsid w:val="04B4E1AB"/>
    <w:rsid w:val="04B5DE96"/>
    <w:rsid w:val="04B71799"/>
    <w:rsid w:val="04B8EC13"/>
    <w:rsid w:val="04B904F7"/>
    <w:rsid w:val="04B9CE85"/>
    <w:rsid w:val="04B9DA16"/>
    <w:rsid w:val="04BB0049"/>
    <w:rsid w:val="04BE1FC4"/>
    <w:rsid w:val="04BE44BF"/>
    <w:rsid w:val="04BEA750"/>
    <w:rsid w:val="04BEECA5"/>
    <w:rsid w:val="04C0087E"/>
    <w:rsid w:val="04C03660"/>
    <w:rsid w:val="04C07111"/>
    <w:rsid w:val="04C07175"/>
    <w:rsid w:val="04C0CF6A"/>
    <w:rsid w:val="04C13D26"/>
    <w:rsid w:val="04C1867D"/>
    <w:rsid w:val="04C238DF"/>
    <w:rsid w:val="04C29142"/>
    <w:rsid w:val="04C2FFD1"/>
    <w:rsid w:val="04C348E5"/>
    <w:rsid w:val="04C42A39"/>
    <w:rsid w:val="04C5384A"/>
    <w:rsid w:val="04C5F584"/>
    <w:rsid w:val="04C69927"/>
    <w:rsid w:val="04C6BC6D"/>
    <w:rsid w:val="04C6DC5E"/>
    <w:rsid w:val="04C73156"/>
    <w:rsid w:val="04C7693B"/>
    <w:rsid w:val="04C7BC49"/>
    <w:rsid w:val="04C7F499"/>
    <w:rsid w:val="04C83038"/>
    <w:rsid w:val="04C84873"/>
    <w:rsid w:val="04C85E2C"/>
    <w:rsid w:val="04C86E41"/>
    <w:rsid w:val="04C882EE"/>
    <w:rsid w:val="04C89217"/>
    <w:rsid w:val="04C9AF44"/>
    <w:rsid w:val="04CAA1C5"/>
    <w:rsid w:val="04CB044E"/>
    <w:rsid w:val="04CB4351"/>
    <w:rsid w:val="04CB5073"/>
    <w:rsid w:val="04CB9AD2"/>
    <w:rsid w:val="04CC3FD7"/>
    <w:rsid w:val="04CC5531"/>
    <w:rsid w:val="04CC86FE"/>
    <w:rsid w:val="04CCD22E"/>
    <w:rsid w:val="04CD223C"/>
    <w:rsid w:val="04CD63AC"/>
    <w:rsid w:val="04CD79A7"/>
    <w:rsid w:val="04CF395A"/>
    <w:rsid w:val="04CF6CAD"/>
    <w:rsid w:val="04CFE744"/>
    <w:rsid w:val="04D0115B"/>
    <w:rsid w:val="04D05CAD"/>
    <w:rsid w:val="04D0D407"/>
    <w:rsid w:val="04D12C77"/>
    <w:rsid w:val="04D13C97"/>
    <w:rsid w:val="04D17B1F"/>
    <w:rsid w:val="04D38D30"/>
    <w:rsid w:val="04D39E0B"/>
    <w:rsid w:val="04D3D85C"/>
    <w:rsid w:val="04D3F548"/>
    <w:rsid w:val="04D3FDDA"/>
    <w:rsid w:val="04D46333"/>
    <w:rsid w:val="04D48FF5"/>
    <w:rsid w:val="04D598B0"/>
    <w:rsid w:val="04D63DDB"/>
    <w:rsid w:val="04D66EF2"/>
    <w:rsid w:val="04D6CB46"/>
    <w:rsid w:val="04D76F64"/>
    <w:rsid w:val="04D7EE10"/>
    <w:rsid w:val="04D87713"/>
    <w:rsid w:val="04D94E72"/>
    <w:rsid w:val="04DA5E60"/>
    <w:rsid w:val="04DB7882"/>
    <w:rsid w:val="04DB9844"/>
    <w:rsid w:val="04DCB513"/>
    <w:rsid w:val="04DD1F54"/>
    <w:rsid w:val="04DDB3EB"/>
    <w:rsid w:val="04DDEF64"/>
    <w:rsid w:val="04DE94B1"/>
    <w:rsid w:val="04DECC98"/>
    <w:rsid w:val="04DF1154"/>
    <w:rsid w:val="04DF3F5A"/>
    <w:rsid w:val="04DF423D"/>
    <w:rsid w:val="04DF6ACB"/>
    <w:rsid w:val="04DF93F7"/>
    <w:rsid w:val="04E065DE"/>
    <w:rsid w:val="04E06E97"/>
    <w:rsid w:val="04E091B0"/>
    <w:rsid w:val="04E0C451"/>
    <w:rsid w:val="04E0EBFA"/>
    <w:rsid w:val="04E197E2"/>
    <w:rsid w:val="04E2BAD9"/>
    <w:rsid w:val="04E4F539"/>
    <w:rsid w:val="04E51A58"/>
    <w:rsid w:val="04E6156A"/>
    <w:rsid w:val="04E72553"/>
    <w:rsid w:val="04E73C47"/>
    <w:rsid w:val="04E7F307"/>
    <w:rsid w:val="04E7F3E9"/>
    <w:rsid w:val="04E8420B"/>
    <w:rsid w:val="04E8B524"/>
    <w:rsid w:val="04E8E750"/>
    <w:rsid w:val="04E8EB75"/>
    <w:rsid w:val="04E977D0"/>
    <w:rsid w:val="04E9980E"/>
    <w:rsid w:val="04EA02C0"/>
    <w:rsid w:val="04EAC05A"/>
    <w:rsid w:val="04EB9757"/>
    <w:rsid w:val="04EC2889"/>
    <w:rsid w:val="04EC43D2"/>
    <w:rsid w:val="04ECD73A"/>
    <w:rsid w:val="04ECEBBB"/>
    <w:rsid w:val="04ED0E48"/>
    <w:rsid w:val="04ED1391"/>
    <w:rsid w:val="04ED6121"/>
    <w:rsid w:val="04ED81B7"/>
    <w:rsid w:val="04EDDA71"/>
    <w:rsid w:val="04EE388A"/>
    <w:rsid w:val="04EE8870"/>
    <w:rsid w:val="04EF1A6B"/>
    <w:rsid w:val="04EF42C9"/>
    <w:rsid w:val="04EF69D8"/>
    <w:rsid w:val="04EFACC1"/>
    <w:rsid w:val="04F0CE74"/>
    <w:rsid w:val="04F16208"/>
    <w:rsid w:val="04F336BF"/>
    <w:rsid w:val="04F33A1D"/>
    <w:rsid w:val="04F4097F"/>
    <w:rsid w:val="04F43247"/>
    <w:rsid w:val="04F517F6"/>
    <w:rsid w:val="04F676FE"/>
    <w:rsid w:val="04F7BF2F"/>
    <w:rsid w:val="04F856BA"/>
    <w:rsid w:val="04F8B0D0"/>
    <w:rsid w:val="04F94D06"/>
    <w:rsid w:val="04F9D857"/>
    <w:rsid w:val="04FA4DFF"/>
    <w:rsid w:val="04FB1F48"/>
    <w:rsid w:val="04FB92F5"/>
    <w:rsid w:val="04FD0402"/>
    <w:rsid w:val="04FD7BEA"/>
    <w:rsid w:val="04FDDCF3"/>
    <w:rsid w:val="04FE202D"/>
    <w:rsid w:val="04FE207F"/>
    <w:rsid w:val="04FEB3B5"/>
    <w:rsid w:val="04FEF8FE"/>
    <w:rsid w:val="04FF34A6"/>
    <w:rsid w:val="04FF5B6F"/>
    <w:rsid w:val="05001BEA"/>
    <w:rsid w:val="0504630F"/>
    <w:rsid w:val="05046868"/>
    <w:rsid w:val="05046B7A"/>
    <w:rsid w:val="05074117"/>
    <w:rsid w:val="050769F3"/>
    <w:rsid w:val="0508CEF6"/>
    <w:rsid w:val="05094F59"/>
    <w:rsid w:val="05098A88"/>
    <w:rsid w:val="050A4914"/>
    <w:rsid w:val="050B02FA"/>
    <w:rsid w:val="050C155B"/>
    <w:rsid w:val="050CB5CB"/>
    <w:rsid w:val="050CCCE0"/>
    <w:rsid w:val="050D6D63"/>
    <w:rsid w:val="050EE624"/>
    <w:rsid w:val="050F9D57"/>
    <w:rsid w:val="0510B023"/>
    <w:rsid w:val="0511FB79"/>
    <w:rsid w:val="05122663"/>
    <w:rsid w:val="0512CB47"/>
    <w:rsid w:val="05132916"/>
    <w:rsid w:val="0513DC81"/>
    <w:rsid w:val="0514DF46"/>
    <w:rsid w:val="05153F5C"/>
    <w:rsid w:val="0516FC67"/>
    <w:rsid w:val="051723B3"/>
    <w:rsid w:val="05174A33"/>
    <w:rsid w:val="05176385"/>
    <w:rsid w:val="0518ECCF"/>
    <w:rsid w:val="051B3C9A"/>
    <w:rsid w:val="051BC501"/>
    <w:rsid w:val="051D0F41"/>
    <w:rsid w:val="051D3754"/>
    <w:rsid w:val="051D533E"/>
    <w:rsid w:val="051D6BD6"/>
    <w:rsid w:val="051EAF7D"/>
    <w:rsid w:val="051F2F7B"/>
    <w:rsid w:val="051F5BB7"/>
    <w:rsid w:val="051F5FE9"/>
    <w:rsid w:val="051F67EF"/>
    <w:rsid w:val="051F6996"/>
    <w:rsid w:val="051FC682"/>
    <w:rsid w:val="052089AD"/>
    <w:rsid w:val="0520C4BB"/>
    <w:rsid w:val="0521680F"/>
    <w:rsid w:val="05223548"/>
    <w:rsid w:val="052270E6"/>
    <w:rsid w:val="0523099F"/>
    <w:rsid w:val="0523B388"/>
    <w:rsid w:val="0523E318"/>
    <w:rsid w:val="0524314C"/>
    <w:rsid w:val="0524ABF9"/>
    <w:rsid w:val="05253640"/>
    <w:rsid w:val="05254A56"/>
    <w:rsid w:val="0525E142"/>
    <w:rsid w:val="05264C3C"/>
    <w:rsid w:val="052765C2"/>
    <w:rsid w:val="0527B25A"/>
    <w:rsid w:val="05282C27"/>
    <w:rsid w:val="05283EC2"/>
    <w:rsid w:val="0528CEB6"/>
    <w:rsid w:val="0529F91E"/>
    <w:rsid w:val="052AE2EA"/>
    <w:rsid w:val="052B18BB"/>
    <w:rsid w:val="052D5C0A"/>
    <w:rsid w:val="052DBB5A"/>
    <w:rsid w:val="052DCC27"/>
    <w:rsid w:val="052DE249"/>
    <w:rsid w:val="052FFB4D"/>
    <w:rsid w:val="0530360F"/>
    <w:rsid w:val="05305605"/>
    <w:rsid w:val="053078B3"/>
    <w:rsid w:val="0530A1F8"/>
    <w:rsid w:val="05315FC1"/>
    <w:rsid w:val="05325529"/>
    <w:rsid w:val="05332003"/>
    <w:rsid w:val="0533C4DA"/>
    <w:rsid w:val="05341847"/>
    <w:rsid w:val="05348BAF"/>
    <w:rsid w:val="0534DAC1"/>
    <w:rsid w:val="053595EF"/>
    <w:rsid w:val="0536F73B"/>
    <w:rsid w:val="0537D333"/>
    <w:rsid w:val="05386094"/>
    <w:rsid w:val="0538F0BF"/>
    <w:rsid w:val="05397E4B"/>
    <w:rsid w:val="0539B97A"/>
    <w:rsid w:val="0539EC9E"/>
    <w:rsid w:val="053A6F58"/>
    <w:rsid w:val="053B1A44"/>
    <w:rsid w:val="053B75AA"/>
    <w:rsid w:val="053B98C7"/>
    <w:rsid w:val="053C6E17"/>
    <w:rsid w:val="053D4B39"/>
    <w:rsid w:val="053D8CFF"/>
    <w:rsid w:val="053DE6F7"/>
    <w:rsid w:val="053E9592"/>
    <w:rsid w:val="053EEE8F"/>
    <w:rsid w:val="053EEF02"/>
    <w:rsid w:val="053F444A"/>
    <w:rsid w:val="053FAFB5"/>
    <w:rsid w:val="05422B26"/>
    <w:rsid w:val="05451334"/>
    <w:rsid w:val="0549D939"/>
    <w:rsid w:val="054AB551"/>
    <w:rsid w:val="054AD377"/>
    <w:rsid w:val="054B2D9A"/>
    <w:rsid w:val="054DB32B"/>
    <w:rsid w:val="054E554D"/>
    <w:rsid w:val="054E9A70"/>
    <w:rsid w:val="054EA33A"/>
    <w:rsid w:val="054EF632"/>
    <w:rsid w:val="054F1436"/>
    <w:rsid w:val="054F64A3"/>
    <w:rsid w:val="054F6F07"/>
    <w:rsid w:val="054FB09C"/>
    <w:rsid w:val="05504A22"/>
    <w:rsid w:val="0550A52C"/>
    <w:rsid w:val="0550E6E1"/>
    <w:rsid w:val="05515D5B"/>
    <w:rsid w:val="05517F04"/>
    <w:rsid w:val="0551AF20"/>
    <w:rsid w:val="05520F78"/>
    <w:rsid w:val="05526547"/>
    <w:rsid w:val="0552C704"/>
    <w:rsid w:val="0552E2D8"/>
    <w:rsid w:val="05539098"/>
    <w:rsid w:val="0553E151"/>
    <w:rsid w:val="05544676"/>
    <w:rsid w:val="055451F6"/>
    <w:rsid w:val="055468EC"/>
    <w:rsid w:val="0555F344"/>
    <w:rsid w:val="055848F3"/>
    <w:rsid w:val="0558669C"/>
    <w:rsid w:val="0558BEF6"/>
    <w:rsid w:val="055A9295"/>
    <w:rsid w:val="055B6A74"/>
    <w:rsid w:val="055B70D0"/>
    <w:rsid w:val="055C80DD"/>
    <w:rsid w:val="055CC311"/>
    <w:rsid w:val="055E8580"/>
    <w:rsid w:val="05606B22"/>
    <w:rsid w:val="05612D65"/>
    <w:rsid w:val="05615A02"/>
    <w:rsid w:val="05616AE6"/>
    <w:rsid w:val="05617AB3"/>
    <w:rsid w:val="0562CDA3"/>
    <w:rsid w:val="05637C62"/>
    <w:rsid w:val="0563C5A2"/>
    <w:rsid w:val="0564A3D6"/>
    <w:rsid w:val="056571CF"/>
    <w:rsid w:val="05666853"/>
    <w:rsid w:val="05676400"/>
    <w:rsid w:val="0567761C"/>
    <w:rsid w:val="0567A760"/>
    <w:rsid w:val="0567B188"/>
    <w:rsid w:val="0567BA15"/>
    <w:rsid w:val="05685A66"/>
    <w:rsid w:val="056863D9"/>
    <w:rsid w:val="0568B374"/>
    <w:rsid w:val="0568FAF8"/>
    <w:rsid w:val="056950AF"/>
    <w:rsid w:val="056A4EDF"/>
    <w:rsid w:val="056A5274"/>
    <w:rsid w:val="056A9EA9"/>
    <w:rsid w:val="056AA330"/>
    <w:rsid w:val="056B2B0E"/>
    <w:rsid w:val="056C2B25"/>
    <w:rsid w:val="056C316A"/>
    <w:rsid w:val="056C978E"/>
    <w:rsid w:val="056CB6E9"/>
    <w:rsid w:val="056D5A1B"/>
    <w:rsid w:val="056F54C8"/>
    <w:rsid w:val="056FDA4D"/>
    <w:rsid w:val="05712B4E"/>
    <w:rsid w:val="057154F5"/>
    <w:rsid w:val="05717BD2"/>
    <w:rsid w:val="0571823C"/>
    <w:rsid w:val="057216B8"/>
    <w:rsid w:val="0572A935"/>
    <w:rsid w:val="0572B3CA"/>
    <w:rsid w:val="0572F62E"/>
    <w:rsid w:val="057401E2"/>
    <w:rsid w:val="05740C10"/>
    <w:rsid w:val="0574430A"/>
    <w:rsid w:val="05749948"/>
    <w:rsid w:val="05759177"/>
    <w:rsid w:val="05769D86"/>
    <w:rsid w:val="05774DD5"/>
    <w:rsid w:val="0577ABD9"/>
    <w:rsid w:val="057842C7"/>
    <w:rsid w:val="0578AA28"/>
    <w:rsid w:val="05793520"/>
    <w:rsid w:val="05799761"/>
    <w:rsid w:val="0579C3E9"/>
    <w:rsid w:val="0579E676"/>
    <w:rsid w:val="057A2A1A"/>
    <w:rsid w:val="057AFC1F"/>
    <w:rsid w:val="057D4614"/>
    <w:rsid w:val="057E99C0"/>
    <w:rsid w:val="057F0BEB"/>
    <w:rsid w:val="057F1BB9"/>
    <w:rsid w:val="057F61E8"/>
    <w:rsid w:val="057FB6C8"/>
    <w:rsid w:val="057FF9E5"/>
    <w:rsid w:val="0581DCF0"/>
    <w:rsid w:val="0582A73E"/>
    <w:rsid w:val="05830A5B"/>
    <w:rsid w:val="05833F36"/>
    <w:rsid w:val="05847A1D"/>
    <w:rsid w:val="0584B8CD"/>
    <w:rsid w:val="058587DA"/>
    <w:rsid w:val="0585ADE5"/>
    <w:rsid w:val="0585B2CF"/>
    <w:rsid w:val="05868226"/>
    <w:rsid w:val="0587FF67"/>
    <w:rsid w:val="0588943E"/>
    <w:rsid w:val="0588A21F"/>
    <w:rsid w:val="05892F20"/>
    <w:rsid w:val="058A3C77"/>
    <w:rsid w:val="058ADCA6"/>
    <w:rsid w:val="058AF155"/>
    <w:rsid w:val="058B07D7"/>
    <w:rsid w:val="058B7C27"/>
    <w:rsid w:val="058BC9E8"/>
    <w:rsid w:val="058BD048"/>
    <w:rsid w:val="058C65B3"/>
    <w:rsid w:val="058D0D3A"/>
    <w:rsid w:val="058D7795"/>
    <w:rsid w:val="058DAD05"/>
    <w:rsid w:val="058DD7BB"/>
    <w:rsid w:val="058E15CA"/>
    <w:rsid w:val="058E1FFC"/>
    <w:rsid w:val="058E596D"/>
    <w:rsid w:val="058E69A0"/>
    <w:rsid w:val="058F04FF"/>
    <w:rsid w:val="058F50A5"/>
    <w:rsid w:val="058FE049"/>
    <w:rsid w:val="0590151D"/>
    <w:rsid w:val="05906DCD"/>
    <w:rsid w:val="0590F027"/>
    <w:rsid w:val="05914375"/>
    <w:rsid w:val="05934178"/>
    <w:rsid w:val="059467DE"/>
    <w:rsid w:val="059497A1"/>
    <w:rsid w:val="0594A6FB"/>
    <w:rsid w:val="0594A7DC"/>
    <w:rsid w:val="05951738"/>
    <w:rsid w:val="0595513E"/>
    <w:rsid w:val="0596141F"/>
    <w:rsid w:val="05962846"/>
    <w:rsid w:val="05966C16"/>
    <w:rsid w:val="0596AF37"/>
    <w:rsid w:val="0597618A"/>
    <w:rsid w:val="0597B79B"/>
    <w:rsid w:val="0598322E"/>
    <w:rsid w:val="05983AE2"/>
    <w:rsid w:val="0599F0E2"/>
    <w:rsid w:val="0599F5A0"/>
    <w:rsid w:val="059A9621"/>
    <w:rsid w:val="059B15B3"/>
    <w:rsid w:val="059D3EB9"/>
    <w:rsid w:val="059D48F5"/>
    <w:rsid w:val="059D5CC2"/>
    <w:rsid w:val="059E2DC9"/>
    <w:rsid w:val="059E82CE"/>
    <w:rsid w:val="059EE56B"/>
    <w:rsid w:val="05A03004"/>
    <w:rsid w:val="05A07505"/>
    <w:rsid w:val="05A14C83"/>
    <w:rsid w:val="05A27E4C"/>
    <w:rsid w:val="05A29DEF"/>
    <w:rsid w:val="05A34DBE"/>
    <w:rsid w:val="05A3A4CB"/>
    <w:rsid w:val="05A3C19D"/>
    <w:rsid w:val="05A48EDD"/>
    <w:rsid w:val="05A4C8C6"/>
    <w:rsid w:val="05A5288D"/>
    <w:rsid w:val="05A56337"/>
    <w:rsid w:val="05A57D69"/>
    <w:rsid w:val="05A5E243"/>
    <w:rsid w:val="05A68066"/>
    <w:rsid w:val="05A7FA43"/>
    <w:rsid w:val="05A8C151"/>
    <w:rsid w:val="05A983B8"/>
    <w:rsid w:val="05A98D8B"/>
    <w:rsid w:val="05AA2151"/>
    <w:rsid w:val="05AA6F21"/>
    <w:rsid w:val="05AAB2EB"/>
    <w:rsid w:val="05AAD322"/>
    <w:rsid w:val="05AB0925"/>
    <w:rsid w:val="05AB0C8E"/>
    <w:rsid w:val="05AB1C5E"/>
    <w:rsid w:val="05AB6904"/>
    <w:rsid w:val="05ACDDE6"/>
    <w:rsid w:val="05AEB30C"/>
    <w:rsid w:val="05B02894"/>
    <w:rsid w:val="05B05C97"/>
    <w:rsid w:val="05B0E43C"/>
    <w:rsid w:val="05B11AE2"/>
    <w:rsid w:val="05B180F2"/>
    <w:rsid w:val="05B1EA71"/>
    <w:rsid w:val="05B21347"/>
    <w:rsid w:val="05B3F2D9"/>
    <w:rsid w:val="05B4C048"/>
    <w:rsid w:val="05B5D848"/>
    <w:rsid w:val="05B5FD3E"/>
    <w:rsid w:val="05B6273A"/>
    <w:rsid w:val="05B693ED"/>
    <w:rsid w:val="05B8497F"/>
    <w:rsid w:val="05B9720E"/>
    <w:rsid w:val="05B990F5"/>
    <w:rsid w:val="05BA11F1"/>
    <w:rsid w:val="05BAFD79"/>
    <w:rsid w:val="05BB27D3"/>
    <w:rsid w:val="05BB8417"/>
    <w:rsid w:val="05BC953E"/>
    <w:rsid w:val="05BD03C8"/>
    <w:rsid w:val="05BDD658"/>
    <w:rsid w:val="05BE03C5"/>
    <w:rsid w:val="05BE3C3C"/>
    <w:rsid w:val="05BE71F9"/>
    <w:rsid w:val="05BEF494"/>
    <w:rsid w:val="05BF4CF0"/>
    <w:rsid w:val="05BF5580"/>
    <w:rsid w:val="05BFA183"/>
    <w:rsid w:val="05BFEA49"/>
    <w:rsid w:val="05C029C8"/>
    <w:rsid w:val="05C098F1"/>
    <w:rsid w:val="05C0D2C8"/>
    <w:rsid w:val="05C2BFA7"/>
    <w:rsid w:val="05C2E6C4"/>
    <w:rsid w:val="05C30DE7"/>
    <w:rsid w:val="05C321DA"/>
    <w:rsid w:val="05C36852"/>
    <w:rsid w:val="05C3A3D1"/>
    <w:rsid w:val="05C41034"/>
    <w:rsid w:val="05C474F0"/>
    <w:rsid w:val="05C60BCF"/>
    <w:rsid w:val="05C6A74E"/>
    <w:rsid w:val="05C6E335"/>
    <w:rsid w:val="05C71441"/>
    <w:rsid w:val="05C7D3CD"/>
    <w:rsid w:val="05C7ED08"/>
    <w:rsid w:val="05C8E9BA"/>
    <w:rsid w:val="05C92420"/>
    <w:rsid w:val="05C95698"/>
    <w:rsid w:val="05C95AFF"/>
    <w:rsid w:val="05CD8AF2"/>
    <w:rsid w:val="05CDB304"/>
    <w:rsid w:val="05CDB797"/>
    <w:rsid w:val="05CDD830"/>
    <w:rsid w:val="05CDD8E0"/>
    <w:rsid w:val="05CE9FD1"/>
    <w:rsid w:val="05CF5032"/>
    <w:rsid w:val="05CFB79A"/>
    <w:rsid w:val="05CFDC5D"/>
    <w:rsid w:val="05D23A87"/>
    <w:rsid w:val="05D2A52D"/>
    <w:rsid w:val="05D3A473"/>
    <w:rsid w:val="05D3E54A"/>
    <w:rsid w:val="05D70F6D"/>
    <w:rsid w:val="05D757B5"/>
    <w:rsid w:val="05D9FA86"/>
    <w:rsid w:val="05DA54CB"/>
    <w:rsid w:val="05DA7FC7"/>
    <w:rsid w:val="05DAD5AB"/>
    <w:rsid w:val="05DADAEE"/>
    <w:rsid w:val="05DB4285"/>
    <w:rsid w:val="05DB47BB"/>
    <w:rsid w:val="05DBCE44"/>
    <w:rsid w:val="05DBE291"/>
    <w:rsid w:val="05DBFE15"/>
    <w:rsid w:val="05DDFD93"/>
    <w:rsid w:val="05DE140E"/>
    <w:rsid w:val="05DE20B6"/>
    <w:rsid w:val="05DEE226"/>
    <w:rsid w:val="05DF62A5"/>
    <w:rsid w:val="05DFFB83"/>
    <w:rsid w:val="05E00C80"/>
    <w:rsid w:val="05E0AF12"/>
    <w:rsid w:val="05E0DEC3"/>
    <w:rsid w:val="05E11F11"/>
    <w:rsid w:val="05E15640"/>
    <w:rsid w:val="05E18406"/>
    <w:rsid w:val="05E1F91C"/>
    <w:rsid w:val="05E3006E"/>
    <w:rsid w:val="05E3169F"/>
    <w:rsid w:val="05E42097"/>
    <w:rsid w:val="05E47323"/>
    <w:rsid w:val="05E4E47A"/>
    <w:rsid w:val="05E4F657"/>
    <w:rsid w:val="05E55A13"/>
    <w:rsid w:val="05E5AE19"/>
    <w:rsid w:val="05E6D3F1"/>
    <w:rsid w:val="05E76644"/>
    <w:rsid w:val="05E807F9"/>
    <w:rsid w:val="05E80EDD"/>
    <w:rsid w:val="05E88CAC"/>
    <w:rsid w:val="05E8EA6D"/>
    <w:rsid w:val="05E97C21"/>
    <w:rsid w:val="05EA1221"/>
    <w:rsid w:val="05EAEAD6"/>
    <w:rsid w:val="05EC337F"/>
    <w:rsid w:val="05EDDD21"/>
    <w:rsid w:val="05EE6045"/>
    <w:rsid w:val="05EF553C"/>
    <w:rsid w:val="05F00F1D"/>
    <w:rsid w:val="05F03B7C"/>
    <w:rsid w:val="05F2D074"/>
    <w:rsid w:val="05F33AAD"/>
    <w:rsid w:val="05F390A6"/>
    <w:rsid w:val="05F3FA59"/>
    <w:rsid w:val="05F5DEBD"/>
    <w:rsid w:val="05F79519"/>
    <w:rsid w:val="05F863A0"/>
    <w:rsid w:val="05F94194"/>
    <w:rsid w:val="05F99CB0"/>
    <w:rsid w:val="05FA7CB1"/>
    <w:rsid w:val="05FB7CE6"/>
    <w:rsid w:val="05FC4E0B"/>
    <w:rsid w:val="05FC8829"/>
    <w:rsid w:val="05FD63FF"/>
    <w:rsid w:val="05FDA526"/>
    <w:rsid w:val="05FE30A7"/>
    <w:rsid w:val="05FF1304"/>
    <w:rsid w:val="0600AF9A"/>
    <w:rsid w:val="0600F9AC"/>
    <w:rsid w:val="0601089C"/>
    <w:rsid w:val="06024408"/>
    <w:rsid w:val="06026A11"/>
    <w:rsid w:val="06027447"/>
    <w:rsid w:val="0602A337"/>
    <w:rsid w:val="0602A556"/>
    <w:rsid w:val="06036126"/>
    <w:rsid w:val="0603C3A6"/>
    <w:rsid w:val="0603DDEA"/>
    <w:rsid w:val="06041895"/>
    <w:rsid w:val="06052858"/>
    <w:rsid w:val="0605A524"/>
    <w:rsid w:val="06061AED"/>
    <w:rsid w:val="060647DF"/>
    <w:rsid w:val="06064979"/>
    <w:rsid w:val="06068219"/>
    <w:rsid w:val="0606FEF2"/>
    <w:rsid w:val="060A1DD4"/>
    <w:rsid w:val="060A8700"/>
    <w:rsid w:val="060ABCB9"/>
    <w:rsid w:val="060B02F9"/>
    <w:rsid w:val="060B3C6F"/>
    <w:rsid w:val="060C4D14"/>
    <w:rsid w:val="060CF564"/>
    <w:rsid w:val="060EA95C"/>
    <w:rsid w:val="060ED2BD"/>
    <w:rsid w:val="060FA40F"/>
    <w:rsid w:val="060FC8BB"/>
    <w:rsid w:val="060FE491"/>
    <w:rsid w:val="06101197"/>
    <w:rsid w:val="06111AB9"/>
    <w:rsid w:val="06112EAD"/>
    <w:rsid w:val="061135B2"/>
    <w:rsid w:val="06118F89"/>
    <w:rsid w:val="061195C1"/>
    <w:rsid w:val="06119DA2"/>
    <w:rsid w:val="0611B10B"/>
    <w:rsid w:val="0615123F"/>
    <w:rsid w:val="0615E9E1"/>
    <w:rsid w:val="06165A82"/>
    <w:rsid w:val="0617EBCB"/>
    <w:rsid w:val="06181259"/>
    <w:rsid w:val="0619E235"/>
    <w:rsid w:val="0619EDC9"/>
    <w:rsid w:val="061E077D"/>
    <w:rsid w:val="061F842E"/>
    <w:rsid w:val="061F88A7"/>
    <w:rsid w:val="061FDB95"/>
    <w:rsid w:val="062033B8"/>
    <w:rsid w:val="06204048"/>
    <w:rsid w:val="06206925"/>
    <w:rsid w:val="0621D572"/>
    <w:rsid w:val="06227C88"/>
    <w:rsid w:val="062400A7"/>
    <w:rsid w:val="06247E1D"/>
    <w:rsid w:val="062550C6"/>
    <w:rsid w:val="06260464"/>
    <w:rsid w:val="06261609"/>
    <w:rsid w:val="0626327A"/>
    <w:rsid w:val="0626C93A"/>
    <w:rsid w:val="0627D23F"/>
    <w:rsid w:val="06284380"/>
    <w:rsid w:val="0628F12D"/>
    <w:rsid w:val="06293525"/>
    <w:rsid w:val="06293AC3"/>
    <w:rsid w:val="0629F4FD"/>
    <w:rsid w:val="062A160E"/>
    <w:rsid w:val="062B0944"/>
    <w:rsid w:val="062B60F9"/>
    <w:rsid w:val="062BD808"/>
    <w:rsid w:val="062C4425"/>
    <w:rsid w:val="062CEABF"/>
    <w:rsid w:val="062CF551"/>
    <w:rsid w:val="062CF948"/>
    <w:rsid w:val="062CFEC2"/>
    <w:rsid w:val="062D146C"/>
    <w:rsid w:val="062DEC84"/>
    <w:rsid w:val="062E302E"/>
    <w:rsid w:val="062F4246"/>
    <w:rsid w:val="062FDDD0"/>
    <w:rsid w:val="062FFF83"/>
    <w:rsid w:val="06305ECD"/>
    <w:rsid w:val="0630F18F"/>
    <w:rsid w:val="0630F9B9"/>
    <w:rsid w:val="0631106A"/>
    <w:rsid w:val="06313A8C"/>
    <w:rsid w:val="06314DA5"/>
    <w:rsid w:val="0631E026"/>
    <w:rsid w:val="06324E39"/>
    <w:rsid w:val="0633C698"/>
    <w:rsid w:val="06345BC9"/>
    <w:rsid w:val="0637A22E"/>
    <w:rsid w:val="0638CA47"/>
    <w:rsid w:val="06398C09"/>
    <w:rsid w:val="063A01C9"/>
    <w:rsid w:val="063A631C"/>
    <w:rsid w:val="063BE029"/>
    <w:rsid w:val="063D888F"/>
    <w:rsid w:val="063D9C8B"/>
    <w:rsid w:val="063E25F7"/>
    <w:rsid w:val="063F7BE2"/>
    <w:rsid w:val="063F97B9"/>
    <w:rsid w:val="063FC351"/>
    <w:rsid w:val="06401A89"/>
    <w:rsid w:val="06403714"/>
    <w:rsid w:val="06406515"/>
    <w:rsid w:val="0640EA4D"/>
    <w:rsid w:val="06412D70"/>
    <w:rsid w:val="0642145A"/>
    <w:rsid w:val="0643483B"/>
    <w:rsid w:val="06439F3B"/>
    <w:rsid w:val="06444FF2"/>
    <w:rsid w:val="06455655"/>
    <w:rsid w:val="064602B7"/>
    <w:rsid w:val="064741DE"/>
    <w:rsid w:val="064758E2"/>
    <w:rsid w:val="0647A3D0"/>
    <w:rsid w:val="0647BA99"/>
    <w:rsid w:val="064816EB"/>
    <w:rsid w:val="064859B2"/>
    <w:rsid w:val="06497CAB"/>
    <w:rsid w:val="064AF703"/>
    <w:rsid w:val="064B4EBE"/>
    <w:rsid w:val="064B8B3E"/>
    <w:rsid w:val="064BD7D1"/>
    <w:rsid w:val="064C1919"/>
    <w:rsid w:val="064EC790"/>
    <w:rsid w:val="064F602E"/>
    <w:rsid w:val="0652DE4D"/>
    <w:rsid w:val="0653E18D"/>
    <w:rsid w:val="065401A8"/>
    <w:rsid w:val="06541CA1"/>
    <w:rsid w:val="06554949"/>
    <w:rsid w:val="06560097"/>
    <w:rsid w:val="0656113B"/>
    <w:rsid w:val="06561573"/>
    <w:rsid w:val="0656AA1F"/>
    <w:rsid w:val="0656C101"/>
    <w:rsid w:val="065712D9"/>
    <w:rsid w:val="0657625A"/>
    <w:rsid w:val="065838A9"/>
    <w:rsid w:val="065885B4"/>
    <w:rsid w:val="0658F4AB"/>
    <w:rsid w:val="06590810"/>
    <w:rsid w:val="065A132E"/>
    <w:rsid w:val="065A861E"/>
    <w:rsid w:val="065A8841"/>
    <w:rsid w:val="065BBFF5"/>
    <w:rsid w:val="065C4003"/>
    <w:rsid w:val="065C4EB0"/>
    <w:rsid w:val="065DCB6B"/>
    <w:rsid w:val="065DEDD4"/>
    <w:rsid w:val="065E13AE"/>
    <w:rsid w:val="065E6644"/>
    <w:rsid w:val="065E7BAA"/>
    <w:rsid w:val="065EE63D"/>
    <w:rsid w:val="065F16DF"/>
    <w:rsid w:val="0660C48C"/>
    <w:rsid w:val="0660CEE5"/>
    <w:rsid w:val="0661EAD2"/>
    <w:rsid w:val="0663348A"/>
    <w:rsid w:val="0663ED33"/>
    <w:rsid w:val="0664C199"/>
    <w:rsid w:val="06652ECB"/>
    <w:rsid w:val="0665E354"/>
    <w:rsid w:val="06662B82"/>
    <w:rsid w:val="06663717"/>
    <w:rsid w:val="06676FB6"/>
    <w:rsid w:val="0668BC8B"/>
    <w:rsid w:val="0668C3CC"/>
    <w:rsid w:val="0668CB5E"/>
    <w:rsid w:val="0668F9A8"/>
    <w:rsid w:val="066971D9"/>
    <w:rsid w:val="066AC8EE"/>
    <w:rsid w:val="066BEE3E"/>
    <w:rsid w:val="066CD269"/>
    <w:rsid w:val="066E8A91"/>
    <w:rsid w:val="066FD782"/>
    <w:rsid w:val="067005D2"/>
    <w:rsid w:val="06704085"/>
    <w:rsid w:val="0670F3EA"/>
    <w:rsid w:val="067177C3"/>
    <w:rsid w:val="0671D1FE"/>
    <w:rsid w:val="067264FB"/>
    <w:rsid w:val="06727191"/>
    <w:rsid w:val="06732BF4"/>
    <w:rsid w:val="06757D3B"/>
    <w:rsid w:val="0675ED62"/>
    <w:rsid w:val="06769A9B"/>
    <w:rsid w:val="0677BE3A"/>
    <w:rsid w:val="06785D26"/>
    <w:rsid w:val="06791B57"/>
    <w:rsid w:val="067983A5"/>
    <w:rsid w:val="067A05C4"/>
    <w:rsid w:val="067A5D8E"/>
    <w:rsid w:val="067B0D68"/>
    <w:rsid w:val="067BF018"/>
    <w:rsid w:val="067D4E6D"/>
    <w:rsid w:val="067E2B4C"/>
    <w:rsid w:val="067F7079"/>
    <w:rsid w:val="067F8BB1"/>
    <w:rsid w:val="067FB68C"/>
    <w:rsid w:val="067FCA99"/>
    <w:rsid w:val="067FCEF6"/>
    <w:rsid w:val="067FD8A1"/>
    <w:rsid w:val="06816697"/>
    <w:rsid w:val="0681BFC8"/>
    <w:rsid w:val="0681F344"/>
    <w:rsid w:val="06820EF4"/>
    <w:rsid w:val="06835410"/>
    <w:rsid w:val="068399BB"/>
    <w:rsid w:val="068446B2"/>
    <w:rsid w:val="068544B1"/>
    <w:rsid w:val="0685E1F9"/>
    <w:rsid w:val="06863583"/>
    <w:rsid w:val="0687876A"/>
    <w:rsid w:val="06882D26"/>
    <w:rsid w:val="06896384"/>
    <w:rsid w:val="068A217A"/>
    <w:rsid w:val="068A6528"/>
    <w:rsid w:val="068B3691"/>
    <w:rsid w:val="068B43F2"/>
    <w:rsid w:val="068C672E"/>
    <w:rsid w:val="068D006D"/>
    <w:rsid w:val="068D3BAC"/>
    <w:rsid w:val="068D5735"/>
    <w:rsid w:val="068D8DB7"/>
    <w:rsid w:val="068D91AC"/>
    <w:rsid w:val="068D99CA"/>
    <w:rsid w:val="068DD9F4"/>
    <w:rsid w:val="068E09C5"/>
    <w:rsid w:val="068E8960"/>
    <w:rsid w:val="068F130E"/>
    <w:rsid w:val="068F4AB4"/>
    <w:rsid w:val="068FC959"/>
    <w:rsid w:val="069073B2"/>
    <w:rsid w:val="06922C4D"/>
    <w:rsid w:val="06926019"/>
    <w:rsid w:val="0692D64E"/>
    <w:rsid w:val="06931974"/>
    <w:rsid w:val="0693CDDC"/>
    <w:rsid w:val="06945A14"/>
    <w:rsid w:val="06945FE5"/>
    <w:rsid w:val="06949449"/>
    <w:rsid w:val="0694F14B"/>
    <w:rsid w:val="0695266A"/>
    <w:rsid w:val="069592D0"/>
    <w:rsid w:val="0696D322"/>
    <w:rsid w:val="0696DD29"/>
    <w:rsid w:val="06977D25"/>
    <w:rsid w:val="0697D646"/>
    <w:rsid w:val="06981CF0"/>
    <w:rsid w:val="0698923C"/>
    <w:rsid w:val="06991707"/>
    <w:rsid w:val="0699A714"/>
    <w:rsid w:val="069A1EB1"/>
    <w:rsid w:val="069A37FA"/>
    <w:rsid w:val="069A6A67"/>
    <w:rsid w:val="069A7594"/>
    <w:rsid w:val="069AA707"/>
    <w:rsid w:val="069BA39B"/>
    <w:rsid w:val="069BC5C3"/>
    <w:rsid w:val="069C4222"/>
    <w:rsid w:val="069D18AC"/>
    <w:rsid w:val="069D2D8E"/>
    <w:rsid w:val="069D86F5"/>
    <w:rsid w:val="069DD49D"/>
    <w:rsid w:val="069E2AFD"/>
    <w:rsid w:val="069FAF95"/>
    <w:rsid w:val="06A07959"/>
    <w:rsid w:val="06A12D42"/>
    <w:rsid w:val="06A168F7"/>
    <w:rsid w:val="06A2A6EB"/>
    <w:rsid w:val="06A3001C"/>
    <w:rsid w:val="06A4ED8F"/>
    <w:rsid w:val="06A6F7DA"/>
    <w:rsid w:val="06A70801"/>
    <w:rsid w:val="06A71B76"/>
    <w:rsid w:val="06A7708D"/>
    <w:rsid w:val="06A825B2"/>
    <w:rsid w:val="06A876B7"/>
    <w:rsid w:val="06A89558"/>
    <w:rsid w:val="06A94F08"/>
    <w:rsid w:val="06A98976"/>
    <w:rsid w:val="06A9FF04"/>
    <w:rsid w:val="06A9FF19"/>
    <w:rsid w:val="06AAF0F3"/>
    <w:rsid w:val="06AAFBCC"/>
    <w:rsid w:val="06AB5732"/>
    <w:rsid w:val="06ABA8D8"/>
    <w:rsid w:val="06ABE1D5"/>
    <w:rsid w:val="06ABEC45"/>
    <w:rsid w:val="06ACA9DA"/>
    <w:rsid w:val="06ACCA4A"/>
    <w:rsid w:val="06AD04E0"/>
    <w:rsid w:val="06AD4BC7"/>
    <w:rsid w:val="06ADF74B"/>
    <w:rsid w:val="06AE6D2D"/>
    <w:rsid w:val="06AE99D6"/>
    <w:rsid w:val="06AEC14E"/>
    <w:rsid w:val="06AFE16C"/>
    <w:rsid w:val="06B00D67"/>
    <w:rsid w:val="06B04589"/>
    <w:rsid w:val="06B04DC6"/>
    <w:rsid w:val="06B052EB"/>
    <w:rsid w:val="06B06197"/>
    <w:rsid w:val="06B0AFA7"/>
    <w:rsid w:val="06B13CC6"/>
    <w:rsid w:val="06B13E50"/>
    <w:rsid w:val="06B29955"/>
    <w:rsid w:val="06B393C5"/>
    <w:rsid w:val="06B3F7C6"/>
    <w:rsid w:val="06B5492F"/>
    <w:rsid w:val="06B6B319"/>
    <w:rsid w:val="06B6B70C"/>
    <w:rsid w:val="06B6EFC3"/>
    <w:rsid w:val="06B77542"/>
    <w:rsid w:val="06B7D6E2"/>
    <w:rsid w:val="06B7FD79"/>
    <w:rsid w:val="06B80434"/>
    <w:rsid w:val="06B80456"/>
    <w:rsid w:val="06B80F0A"/>
    <w:rsid w:val="06B92E2D"/>
    <w:rsid w:val="06BA2B59"/>
    <w:rsid w:val="06BAAB0E"/>
    <w:rsid w:val="06BF2B42"/>
    <w:rsid w:val="06BF5C69"/>
    <w:rsid w:val="06BFA1FC"/>
    <w:rsid w:val="06C0990C"/>
    <w:rsid w:val="06C0E4A4"/>
    <w:rsid w:val="06C26A4D"/>
    <w:rsid w:val="06C60C4F"/>
    <w:rsid w:val="06C631FE"/>
    <w:rsid w:val="06C6819A"/>
    <w:rsid w:val="06C6D7CB"/>
    <w:rsid w:val="06C81297"/>
    <w:rsid w:val="06C8998E"/>
    <w:rsid w:val="06C9A107"/>
    <w:rsid w:val="06C9B432"/>
    <w:rsid w:val="06CA4A36"/>
    <w:rsid w:val="06CA79DD"/>
    <w:rsid w:val="06CAAD50"/>
    <w:rsid w:val="06CAB437"/>
    <w:rsid w:val="06CAB939"/>
    <w:rsid w:val="06CB41E6"/>
    <w:rsid w:val="06CCEB43"/>
    <w:rsid w:val="06CF3619"/>
    <w:rsid w:val="06CF4213"/>
    <w:rsid w:val="06CF4EC8"/>
    <w:rsid w:val="06D01DF7"/>
    <w:rsid w:val="06D032B1"/>
    <w:rsid w:val="06D0ED81"/>
    <w:rsid w:val="06D121EB"/>
    <w:rsid w:val="06D19395"/>
    <w:rsid w:val="06D24F67"/>
    <w:rsid w:val="06D2BA75"/>
    <w:rsid w:val="06D351ED"/>
    <w:rsid w:val="06D375D8"/>
    <w:rsid w:val="06D424E4"/>
    <w:rsid w:val="06D4EDFB"/>
    <w:rsid w:val="06D57097"/>
    <w:rsid w:val="06D6BE10"/>
    <w:rsid w:val="06D6FA2F"/>
    <w:rsid w:val="06D78574"/>
    <w:rsid w:val="06D81034"/>
    <w:rsid w:val="06D938C3"/>
    <w:rsid w:val="06D9478A"/>
    <w:rsid w:val="06D9A504"/>
    <w:rsid w:val="06D9D675"/>
    <w:rsid w:val="06DACD81"/>
    <w:rsid w:val="06DB71A4"/>
    <w:rsid w:val="06DC1843"/>
    <w:rsid w:val="06DC7AD9"/>
    <w:rsid w:val="06DC94CA"/>
    <w:rsid w:val="06DD78F7"/>
    <w:rsid w:val="06DD9841"/>
    <w:rsid w:val="06DE1E70"/>
    <w:rsid w:val="06DE21E8"/>
    <w:rsid w:val="06DECA7E"/>
    <w:rsid w:val="06DF4F38"/>
    <w:rsid w:val="06E09991"/>
    <w:rsid w:val="06E0B4E6"/>
    <w:rsid w:val="06E0EF29"/>
    <w:rsid w:val="06E13B89"/>
    <w:rsid w:val="06E1C352"/>
    <w:rsid w:val="06E20007"/>
    <w:rsid w:val="06E32AE4"/>
    <w:rsid w:val="06E406B4"/>
    <w:rsid w:val="06E43D30"/>
    <w:rsid w:val="06E472F5"/>
    <w:rsid w:val="06E4FD85"/>
    <w:rsid w:val="06E577AD"/>
    <w:rsid w:val="06E58BFB"/>
    <w:rsid w:val="06E7AF35"/>
    <w:rsid w:val="06E80332"/>
    <w:rsid w:val="06E89DA7"/>
    <w:rsid w:val="06E8AFE3"/>
    <w:rsid w:val="06E92A8F"/>
    <w:rsid w:val="06E9B109"/>
    <w:rsid w:val="06EA46F4"/>
    <w:rsid w:val="06EA797E"/>
    <w:rsid w:val="06EACF25"/>
    <w:rsid w:val="06EB2ABA"/>
    <w:rsid w:val="06EDA912"/>
    <w:rsid w:val="06EF2186"/>
    <w:rsid w:val="06EFEA7D"/>
    <w:rsid w:val="06F10CD1"/>
    <w:rsid w:val="06F188A9"/>
    <w:rsid w:val="06F2A25A"/>
    <w:rsid w:val="06F32903"/>
    <w:rsid w:val="06F3926F"/>
    <w:rsid w:val="06F3BCDD"/>
    <w:rsid w:val="06F3C6F5"/>
    <w:rsid w:val="06F3CD44"/>
    <w:rsid w:val="06F51598"/>
    <w:rsid w:val="06F67136"/>
    <w:rsid w:val="06F6E190"/>
    <w:rsid w:val="06F78303"/>
    <w:rsid w:val="06F7B545"/>
    <w:rsid w:val="06FA6BBA"/>
    <w:rsid w:val="06FAED32"/>
    <w:rsid w:val="06FBAF08"/>
    <w:rsid w:val="06FBF4E9"/>
    <w:rsid w:val="06FC0301"/>
    <w:rsid w:val="06FC0601"/>
    <w:rsid w:val="06FC2483"/>
    <w:rsid w:val="06FEAC64"/>
    <w:rsid w:val="06FFA53A"/>
    <w:rsid w:val="07006AA8"/>
    <w:rsid w:val="07021021"/>
    <w:rsid w:val="070245BE"/>
    <w:rsid w:val="0702C42B"/>
    <w:rsid w:val="0702FDFE"/>
    <w:rsid w:val="0703814F"/>
    <w:rsid w:val="07050934"/>
    <w:rsid w:val="07055D14"/>
    <w:rsid w:val="07063623"/>
    <w:rsid w:val="07069470"/>
    <w:rsid w:val="0706E79B"/>
    <w:rsid w:val="0707BB98"/>
    <w:rsid w:val="0708B2B0"/>
    <w:rsid w:val="07090CC8"/>
    <w:rsid w:val="070923CA"/>
    <w:rsid w:val="07099F82"/>
    <w:rsid w:val="070AC5EC"/>
    <w:rsid w:val="070B4E79"/>
    <w:rsid w:val="070C53BD"/>
    <w:rsid w:val="070CD774"/>
    <w:rsid w:val="070D072C"/>
    <w:rsid w:val="070D96CE"/>
    <w:rsid w:val="070DC41D"/>
    <w:rsid w:val="070EA4A9"/>
    <w:rsid w:val="070EE088"/>
    <w:rsid w:val="070EE9CE"/>
    <w:rsid w:val="070F7330"/>
    <w:rsid w:val="07108313"/>
    <w:rsid w:val="0712598D"/>
    <w:rsid w:val="07132D02"/>
    <w:rsid w:val="07156048"/>
    <w:rsid w:val="07171C1E"/>
    <w:rsid w:val="0717568D"/>
    <w:rsid w:val="07182B3C"/>
    <w:rsid w:val="0718728D"/>
    <w:rsid w:val="0718D922"/>
    <w:rsid w:val="07198E4C"/>
    <w:rsid w:val="0719B04E"/>
    <w:rsid w:val="071ABAB2"/>
    <w:rsid w:val="071B4C24"/>
    <w:rsid w:val="071B83EF"/>
    <w:rsid w:val="071C4D80"/>
    <w:rsid w:val="071C7D19"/>
    <w:rsid w:val="071C8927"/>
    <w:rsid w:val="071FB7DC"/>
    <w:rsid w:val="07202B35"/>
    <w:rsid w:val="0720A3B7"/>
    <w:rsid w:val="0721E319"/>
    <w:rsid w:val="07221C3B"/>
    <w:rsid w:val="072289D6"/>
    <w:rsid w:val="0723B163"/>
    <w:rsid w:val="0726FA01"/>
    <w:rsid w:val="0728E3C5"/>
    <w:rsid w:val="07293179"/>
    <w:rsid w:val="0729673E"/>
    <w:rsid w:val="072B6C1D"/>
    <w:rsid w:val="072BC048"/>
    <w:rsid w:val="072C1ECB"/>
    <w:rsid w:val="072DFF41"/>
    <w:rsid w:val="072EF769"/>
    <w:rsid w:val="072F6C76"/>
    <w:rsid w:val="072FA5E7"/>
    <w:rsid w:val="07308F0C"/>
    <w:rsid w:val="07309118"/>
    <w:rsid w:val="07317BCC"/>
    <w:rsid w:val="0732718D"/>
    <w:rsid w:val="07332DBB"/>
    <w:rsid w:val="073385CF"/>
    <w:rsid w:val="0733A428"/>
    <w:rsid w:val="0733BD22"/>
    <w:rsid w:val="07340D1E"/>
    <w:rsid w:val="07357640"/>
    <w:rsid w:val="0735F7AD"/>
    <w:rsid w:val="0735FC5F"/>
    <w:rsid w:val="07361294"/>
    <w:rsid w:val="0736DBB1"/>
    <w:rsid w:val="073780FF"/>
    <w:rsid w:val="0737D887"/>
    <w:rsid w:val="07381C87"/>
    <w:rsid w:val="0738D0E5"/>
    <w:rsid w:val="0739BBC2"/>
    <w:rsid w:val="073A845D"/>
    <w:rsid w:val="073CFDE3"/>
    <w:rsid w:val="073D2243"/>
    <w:rsid w:val="073D6B86"/>
    <w:rsid w:val="073EBD94"/>
    <w:rsid w:val="073EC15B"/>
    <w:rsid w:val="073EF651"/>
    <w:rsid w:val="073F2837"/>
    <w:rsid w:val="073FF8A6"/>
    <w:rsid w:val="07404E39"/>
    <w:rsid w:val="0740587A"/>
    <w:rsid w:val="0740E1EC"/>
    <w:rsid w:val="0740FD58"/>
    <w:rsid w:val="0741608F"/>
    <w:rsid w:val="07418F39"/>
    <w:rsid w:val="0742B958"/>
    <w:rsid w:val="0744B9D4"/>
    <w:rsid w:val="07452589"/>
    <w:rsid w:val="07462133"/>
    <w:rsid w:val="0746A197"/>
    <w:rsid w:val="0747925E"/>
    <w:rsid w:val="0748150D"/>
    <w:rsid w:val="0749201F"/>
    <w:rsid w:val="074A6A47"/>
    <w:rsid w:val="074A6E58"/>
    <w:rsid w:val="074AB06E"/>
    <w:rsid w:val="074B0E59"/>
    <w:rsid w:val="074C46CB"/>
    <w:rsid w:val="074C83D1"/>
    <w:rsid w:val="074DEBAA"/>
    <w:rsid w:val="074DFFCC"/>
    <w:rsid w:val="075038CD"/>
    <w:rsid w:val="07504DD8"/>
    <w:rsid w:val="07513D91"/>
    <w:rsid w:val="0752644E"/>
    <w:rsid w:val="075276F0"/>
    <w:rsid w:val="0752DA7A"/>
    <w:rsid w:val="075307F0"/>
    <w:rsid w:val="075313AD"/>
    <w:rsid w:val="0753207C"/>
    <w:rsid w:val="07536A84"/>
    <w:rsid w:val="0754066D"/>
    <w:rsid w:val="07542589"/>
    <w:rsid w:val="07547599"/>
    <w:rsid w:val="0754D598"/>
    <w:rsid w:val="0755DA54"/>
    <w:rsid w:val="0755F391"/>
    <w:rsid w:val="0756DA89"/>
    <w:rsid w:val="0756F66F"/>
    <w:rsid w:val="075780B6"/>
    <w:rsid w:val="07589C04"/>
    <w:rsid w:val="07594AD2"/>
    <w:rsid w:val="07596368"/>
    <w:rsid w:val="075A5152"/>
    <w:rsid w:val="075B5655"/>
    <w:rsid w:val="075B7A1E"/>
    <w:rsid w:val="075C0376"/>
    <w:rsid w:val="075C362F"/>
    <w:rsid w:val="075C3FA4"/>
    <w:rsid w:val="075C592A"/>
    <w:rsid w:val="075C78A8"/>
    <w:rsid w:val="075C8A73"/>
    <w:rsid w:val="075CFDAB"/>
    <w:rsid w:val="075D5FDA"/>
    <w:rsid w:val="075D78A9"/>
    <w:rsid w:val="075DB59F"/>
    <w:rsid w:val="075E1327"/>
    <w:rsid w:val="075E785D"/>
    <w:rsid w:val="075EEB67"/>
    <w:rsid w:val="076014AD"/>
    <w:rsid w:val="07607FD8"/>
    <w:rsid w:val="0761C281"/>
    <w:rsid w:val="07620328"/>
    <w:rsid w:val="0762655B"/>
    <w:rsid w:val="076291A5"/>
    <w:rsid w:val="07659B4B"/>
    <w:rsid w:val="0766E852"/>
    <w:rsid w:val="076718D7"/>
    <w:rsid w:val="0767BA9D"/>
    <w:rsid w:val="0767DE11"/>
    <w:rsid w:val="076A047F"/>
    <w:rsid w:val="076A82A5"/>
    <w:rsid w:val="076B7EE4"/>
    <w:rsid w:val="076B83DF"/>
    <w:rsid w:val="076BBCF4"/>
    <w:rsid w:val="076C3994"/>
    <w:rsid w:val="076C6673"/>
    <w:rsid w:val="076C6F23"/>
    <w:rsid w:val="076C75AD"/>
    <w:rsid w:val="076CEFFD"/>
    <w:rsid w:val="076D224B"/>
    <w:rsid w:val="076D22E0"/>
    <w:rsid w:val="076DED50"/>
    <w:rsid w:val="076E1831"/>
    <w:rsid w:val="076E1CAD"/>
    <w:rsid w:val="076EDD03"/>
    <w:rsid w:val="077099AA"/>
    <w:rsid w:val="07712730"/>
    <w:rsid w:val="0771652F"/>
    <w:rsid w:val="077166FD"/>
    <w:rsid w:val="0771DEA4"/>
    <w:rsid w:val="07720816"/>
    <w:rsid w:val="07722B18"/>
    <w:rsid w:val="0772F933"/>
    <w:rsid w:val="0774A0BF"/>
    <w:rsid w:val="07755D10"/>
    <w:rsid w:val="07774E75"/>
    <w:rsid w:val="07786352"/>
    <w:rsid w:val="0778B4FD"/>
    <w:rsid w:val="0778D5E0"/>
    <w:rsid w:val="077ABB55"/>
    <w:rsid w:val="077B590E"/>
    <w:rsid w:val="077B7458"/>
    <w:rsid w:val="077D2669"/>
    <w:rsid w:val="077E5A21"/>
    <w:rsid w:val="077E66DF"/>
    <w:rsid w:val="077E8412"/>
    <w:rsid w:val="077EC38C"/>
    <w:rsid w:val="077F5A3E"/>
    <w:rsid w:val="0780B704"/>
    <w:rsid w:val="0781EC0C"/>
    <w:rsid w:val="078204FA"/>
    <w:rsid w:val="0782BA68"/>
    <w:rsid w:val="0782F080"/>
    <w:rsid w:val="0783C6FF"/>
    <w:rsid w:val="0783EA55"/>
    <w:rsid w:val="078560FB"/>
    <w:rsid w:val="0786C6A9"/>
    <w:rsid w:val="0786DC62"/>
    <w:rsid w:val="0786EE4A"/>
    <w:rsid w:val="0787E6EA"/>
    <w:rsid w:val="0788A5A3"/>
    <w:rsid w:val="078AAD4A"/>
    <w:rsid w:val="078B7F83"/>
    <w:rsid w:val="078BC105"/>
    <w:rsid w:val="078C2A8B"/>
    <w:rsid w:val="078C9B72"/>
    <w:rsid w:val="078CD8A6"/>
    <w:rsid w:val="078D3858"/>
    <w:rsid w:val="078D8AE7"/>
    <w:rsid w:val="078DB4F5"/>
    <w:rsid w:val="078E41C7"/>
    <w:rsid w:val="078F3E45"/>
    <w:rsid w:val="078FA068"/>
    <w:rsid w:val="0791C5F7"/>
    <w:rsid w:val="0791D16E"/>
    <w:rsid w:val="0791DDCF"/>
    <w:rsid w:val="079226DC"/>
    <w:rsid w:val="07926F54"/>
    <w:rsid w:val="0795CFEB"/>
    <w:rsid w:val="07973AEB"/>
    <w:rsid w:val="07979EEE"/>
    <w:rsid w:val="079810C1"/>
    <w:rsid w:val="079898F8"/>
    <w:rsid w:val="07997AA2"/>
    <w:rsid w:val="079B1094"/>
    <w:rsid w:val="079B1B9A"/>
    <w:rsid w:val="079B2BCD"/>
    <w:rsid w:val="079B7CC9"/>
    <w:rsid w:val="079BCE29"/>
    <w:rsid w:val="079C2973"/>
    <w:rsid w:val="079C6DFD"/>
    <w:rsid w:val="079CF20A"/>
    <w:rsid w:val="079D8E47"/>
    <w:rsid w:val="079DE7F7"/>
    <w:rsid w:val="079EA370"/>
    <w:rsid w:val="079F5ABA"/>
    <w:rsid w:val="079F87D5"/>
    <w:rsid w:val="079F8C32"/>
    <w:rsid w:val="07A0092F"/>
    <w:rsid w:val="07A05AA7"/>
    <w:rsid w:val="07A07FA7"/>
    <w:rsid w:val="07A08BFC"/>
    <w:rsid w:val="07A13741"/>
    <w:rsid w:val="07A1A334"/>
    <w:rsid w:val="07A22CE3"/>
    <w:rsid w:val="07A2386A"/>
    <w:rsid w:val="07A278C0"/>
    <w:rsid w:val="07A39F0C"/>
    <w:rsid w:val="07A40F56"/>
    <w:rsid w:val="07A46C92"/>
    <w:rsid w:val="07A4BCD6"/>
    <w:rsid w:val="07A55479"/>
    <w:rsid w:val="07A56BEE"/>
    <w:rsid w:val="07A7B9B6"/>
    <w:rsid w:val="07A8D93F"/>
    <w:rsid w:val="07AAAD7D"/>
    <w:rsid w:val="07AAB078"/>
    <w:rsid w:val="07AADADB"/>
    <w:rsid w:val="07AB19C6"/>
    <w:rsid w:val="07AB2A43"/>
    <w:rsid w:val="07ABD566"/>
    <w:rsid w:val="07AC7022"/>
    <w:rsid w:val="07AC94CE"/>
    <w:rsid w:val="07AE6B10"/>
    <w:rsid w:val="07AF67C0"/>
    <w:rsid w:val="07B05875"/>
    <w:rsid w:val="07B256E2"/>
    <w:rsid w:val="07B299B4"/>
    <w:rsid w:val="07B2C872"/>
    <w:rsid w:val="07B2F946"/>
    <w:rsid w:val="07B4AA40"/>
    <w:rsid w:val="07B7C1A2"/>
    <w:rsid w:val="07B7F1AD"/>
    <w:rsid w:val="07B7F3EB"/>
    <w:rsid w:val="07B95DF8"/>
    <w:rsid w:val="07BB583B"/>
    <w:rsid w:val="07BB5908"/>
    <w:rsid w:val="07BB7809"/>
    <w:rsid w:val="07BC53C7"/>
    <w:rsid w:val="07BE8305"/>
    <w:rsid w:val="07BF9248"/>
    <w:rsid w:val="07C09385"/>
    <w:rsid w:val="07C0B66D"/>
    <w:rsid w:val="07C0CFE2"/>
    <w:rsid w:val="07C0E793"/>
    <w:rsid w:val="07C21CAD"/>
    <w:rsid w:val="07C35538"/>
    <w:rsid w:val="07C38742"/>
    <w:rsid w:val="07C4F298"/>
    <w:rsid w:val="07C61CB6"/>
    <w:rsid w:val="07C6D1D3"/>
    <w:rsid w:val="07C710CA"/>
    <w:rsid w:val="07C78FBC"/>
    <w:rsid w:val="07C8D2BE"/>
    <w:rsid w:val="07C96B38"/>
    <w:rsid w:val="07C96E1E"/>
    <w:rsid w:val="07C99BF5"/>
    <w:rsid w:val="07CA7A0C"/>
    <w:rsid w:val="07CACC51"/>
    <w:rsid w:val="07CB6CF3"/>
    <w:rsid w:val="07CBECC6"/>
    <w:rsid w:val="07CBF3D1"/>
    <w:rsid w:val="07CC1C60"/>
    <w:rsid w:val="07CCE19A"/>
    <w:rsid w:val="07CD4129"/>
    <w:rsid w:val="07CD5F33"/>
    <w:rsid w:val="07CD9DE6"/>
    <w:rsid w:val="07CEECB9"/>
    <w:rsid w:val="07CEFAD4"/>
    <w:rsid w:val="07CF7917"/>
    <w:rsid w:val="07D0E17D"/>
    <w:rsid w:val="07D0EF63"/>
    <w:rsid w:val="07D17A44"/>
    <w:rsid w:val="07D1A727"/>
    <w:rsid w:val="07D2A62C"/>
    <w:rsid w:val="07D2B554"/>
    <w:rsid w:val="07D2DCE1"/>
    <w:rsid w:val="07D3F376"/>
    <w:rsid w:val="07D43462"/>
    <w:rsid w:val="07D43A81"/>
    <w:rsid w:val="07D4AD85"/>
    <w:rsid w:val="07D5E9A6"/>
    <w:rsid w:val="07D61099"/>
    <w:rsid w:val="07D6528F"/>
    <w:rsid w:val="07D67B3D"/>
    <w:rsid w:val="07D7E27F"/>
    <w:rsid w:val="07D9D68A"/>
    <w:rsid w:val="07D9F7BF"/>
    <w:rsid w:val="07D9FA88"/>
    <w:rsid w:val="07DA2F0A"/>
    <w:rsid w:val="07DA34F5"/>
    <w:rsid w:val="07DA66CB"/>
    <w:rsid w:val="07DA7579"/>
    <w:rsid w:val="07DB212F"/>
    <w:rsid w:val="07DBA462"/>
    <w:rsid w:val="07DC6E16"/>
    <w:rsid w:val="07DCBB8F"/>
    <w:rsid w:val="07DDAA04"/>
    <w:rsid w:val="07DDB2B8"/>
    <w:rsid w:val="07DDED8B"/>
    <w:rsid w:val="07DE9A0C"/>
    <w:rsid w:val="07DEF566"/>
    <w:rsid w:val="07DFC22B"/>
    <w:rsid w:val="07DFEEEA"/>
    <w:rsid w:val="07E08E46"/>
    <w:rsid w:val="07E0D49F"/>
    <w:rsid w:val="07E10906"/>
    <w:rsid w:val="07E20500"/>
    <w:rsid w:val="07E214B4"/>
    <w:rsid w:val="07E22B31"/>
    <w:rsid w:val="07E2F4E0"/>
    <w:rsid w:val="07E2FF74"/>
    <w:rsid w:val="07E375FA"/>
    <w:rsid w:val="07E52930"/>
    <w:rsid w:val="07E60861"/>
    <w:rsid w:val="07E651DF"/>
    <w:rsid w:val="07E7C762"/>
    <w:rsid w:val="07E852CB"/>
    <w:rsid w:val="07E87AAB"/>
    <w:rsid w:val="07E8A7DD"/>
    <w:rsid w:val="07E95ECD"/>
    <w:rsid w:val="07E97B18"/>
    <w:rsid w:val="07E987F2"/>
    <w:rsid w:val="07EA2436"/>
    <w:rsid w:val="07EA6C96"/>
    <w:rsid w:val="07EB24D4"/>
    <w:rsid w:val="07EBBBAF"/>
    <w:rsid w:val="07EC1641"/>
    <w:rsid w:val="07ED23B2"/>
    <w:rsid w:val="07ED3D87"/>
    <w:rsid w:val="07ED78FF"/>
    <w:rsid w:val="07EDFB03"/>
    <w:rsid w:val="07EE238A"/>
    <w:rsid w:val="07EE6386"/>
    <w:rsid w:val="07EE7253"/>
    <w:rsid w:val="07EEA2B7"/>
    <w:rsid w:val="07EEC05B"/>
    <w:rsid w:val="07EFD418"/>
    <w:rsid w:val="07F04729"/>
    <w:rsid w:val="07F0A8DC"/>
    <w:rsid w:val="07F0D70F"/>
    <w:rsid w:val="07F0E1FB"/>
    <w:rsid w:val="07F138C4"/>
    <w:rsid w:val="07F1FB94"/>
    <w:rsid w:val="07F27A3E"/>
    <w:rsid w:val="07F2A281"/>
    <w:rsid w:val="07F2BC0F"/>
    <w:rsid w:val="07F375F0"/>
    <w:rsid w:val="07F38994"/>
    <w:rsid w:val="07F450D2"/>
    <w:rsid w:val="07F45A24"/>
    <w:rsid w:val="07F4FD9D"/>
    <w:rsid w:val="07F58432"/>
    <w:rsid w:val="07F65A09"/>
    <w:rsid w:val="07F65BD1"/>
    <w:rsid w:val="07F6872D"/>
    <w:rsid w:val="07F78706"/>
    <w:rsid w:val="07F79BBD"/>
    <w:rsid w:val="07F94CDF"/>
    <w:rsid w:val="07F9999D"/>
    <w:rsid w:val="07F9CB76"/>
    <w:rsid w:val="07FA6E92"/>
    <w:rsid w:val="07FA7799"/>
    <w:rsid w:val="07FAA539"/>
    <w:rsid w:val="07FAE1F2"/>
    <w:rsid w:val="07FAFD5C"/>
    <w:rsid w:val="07FB192A"/>
    <w:rsid w:val="07FEDD20"/>
    <w:rsid w:val="07FF8553"/>
    <w:rsid w:val="08002116"/>
    <w:rsid w:val="08002F17"/>
    <w:rsid w:val="08008689"/>
    <w:rsid w:val="080092D4"/>
    <w:rsid w:val="0801A71B"/>
    <w:rsid w:val="08021F66"/>
    <w:rsid w:val="080265F3"/>
    <w:rsid w:val="0802B65A"/>
    <w:rsid w:val="0802BB4C"/>
    <w:rsid w:val="0802E574"/>
    <w:rsid w:val="0804C7BD"/>
    <w:rsid w:val="080501D1"/>
    <w:rsid w:val="080569F0"/>
    <w:rsid w:val="0805972A"/>
    <w:rsid w:val="0805EA05"/>
    <w:rsid w:val="0805FA78"/>
    <w:rsid w:val="0805FC46"/>
    <w:rsid w:val="0805FCE4"/>
    <w:rsid w:val="080608B3"/>
    <w:rsid w:val="080667CC"/>
    <w:rsid w:val="0806745D"/>
    <w:rsid w:val="08071614"/>
    <w:rsid w:val="080765DC"/>
    <w:rsid w:val="08084749"/>
    <w:rsid w:val="0808E5F0"/>
    <w:rsid w:val="08091D4B"/>
    <w:rsid w:val="0809F749"/>
    <w:rsid w:val="080A343A"/>
    <w:rsid w:val="080A753C"/>
    <w:rsid w:val="080AC396"/>
    <w:rsid w:val="080B5FC9"/>
    <w:rsid w:val="080BA586"/>
    <w:rsid w:val="080EFDCF"/>
    <w:rsid w:val="080F5CAC"/>
    <w:rsid w:val="080FCEEC"/>
    <w:rsid w:val="0810ACA7"/>
    <w:rsid w:val="0810C7E1"/>
    <w:rsid w:val="081176FE"/>
    <w:rsid w:val="0811E59B"/>
    <w:rsid w:val="08127EC6"/>
    <w:rsid w:val="0812FABB"/>
    <w:rsid w:val="0812FDB2"/>
    <w:rsid w:val="08137649"/>
    <w:rsid w:val="0813F2F7"/>
    <w:rsid w:val="08145790"/>
    <w:rsid w:val="081531D0"/>
    <w:rsid w:val="0815345F"/>
    <w:rsid w:val="08160867"/>
    <w:rsid w:val="0816915D"/>
    <w:rsid w:val="0816A4CB"/>
    <w:rsid w:val="081705DE"/>
    <w:rsid w:val="08179EEB"/>
    <w:rsid w:val="0817A410"/>
    <w:rsid w:val="0817C9A3"/>
    <w:rsid w:val="08180FEB"/>
    <w:rsid w:val="08193FEB"/>
    <w:rsid w:val="08194436"/>
    <w:rsid w:val="081986C3"/>
    <w:rsid w:val="081A1A8E"/>
    <w:rsid w:val="081A1AD1"/>
    <w:rsid w:val="081ACDCC"/>
    <w:rsid w:val="081B461C"/>
    <w:rsid w:val="081C6408"/>
    <w:rsid w:val="081CB274"/>
    <w:rsid w:val="081D2A9A"/>
    <w:rsid w:val="081E6279"/>
    <w:rsid w:val="081F1E59"/>
    <w:rsid w:val="082134BA"/>
    <w:rsid w:val="08218AEE"/>
    <w:rsid w:val="0822B8D2"/>
    <w:rsid w:val="0822FFAD"/>
    <w:rsid w:val="08231B0E"/>
    <w:rsid w:val="08245413"/>
    <w:rsid w:val="08267988"/>
    <w:rsid w:val="08281D9F"/>
    <w:rsid w:val="08284953"/>
    <w:rsid w:val="08284B39"/>
    <w:rsid w:val="082850A8"/>
    <w:rsid w:val="08293E7F"/>
    <w:rsid w:val="0829F3BF"/>
    <w:rsid w:val="082CA32C"/>
    <w:rsid w:val="082CF069"/>
    <w:rsid w:val="082D274B"/>
    <w:rsid w:val="082DC8A5"/>
    <w:rsid w:val="082E9ACB"/>
    <w:rsid w:val="082FABAC"/>
    <w:rsid w:val="0830F7B1"/>
    <w:rsid w:val="083169C0"/>
    <w:rsid w:val="08327C0C"/>
    <w:rsid w:val="083488DC"/>
    <w:rsid w:val="083500BD"/>
    <w:rsid w:val="08351D16"/>
    <w:rsid w:val="08356D11"/>
    <w:rsid w:val="08357588"/>
    <w:rsid w:val="08369D81"/>
    <w:rsid w:val="0838097A"/>
    <w:rsid w:val="0838532C"/>
    <w:rsid w:val="083929B5"/>
    <w:rsid w:val="0839E3E3"/>
    <w:rsid w:val="083A85B5"/>
    <w:rsid w:val="083B7DF1"/>
    <w:rsid w:val="083C2E54"/>
    <w:rsid w:val="083DF147"/>
    <w:rsid w:val="083E041D"/>
    <w:rsid w:val="083E0FD4"/>
    <w:rsid w:val="083E4307"/>
    <w:rsid w:val="083F4199"/>
    <w:rsid w:val="0841DE05"/>
    <w:rsid w:val="084210C5"/>
    <w:rsid w:val="084250AF"/>
    <w:rsid w:val="0842572B"/>
    <w:rsid w:val="08427583"/>
    <w:rsid w:val="0842CCFF"/>
    <w:rsid w:val="08432AC1"/>
    <w:rsid w:val="0843A541"/>
    <w:rsid w:val="0843E562"/>
    <w:rsid w:val="084456D8"/>
    <w:rsid w:val="08455B76"/>
    <w:rsid w:val="0845BC9B"/>
    <w:rsid w:val="08474A19"/>
    <w:rsid w:val="08493708"/>
    <w:rsid w:val="0849DD25"/>
    <w:rsid w:val="084C8008"/>
    <w:rsid w:val="084CD8AE"/>
    <w:rsid w:val="084D08A2"/>
    <w:rsid w:val="084D185A"/>
    <w:rsid w:val="084D3D2C"/>
    <w:rsid w:val="084D4683"/>
    <w:rsid w:val="084E4138"/>
    <w:rsid w:val="084EFB8C"/>
    <w:rsid w:val="084F0430"/>
    <w:rsid w:val="0850442C"/>
    <w:rsid w:val="08505229"/>
    <w:rsid w:val="08516866"/>
    <w:rsid w:val="08522B46"/>
    <w:rsid w:val="08522F77"/>
    <w:rsid w:val="085238B1"/>
    <w:rsid w:val="085341EE"/>
    <w:rsid w:val="08542228"/>
    <w:rsid w:val="0854D70E"/>
    <w:rsid w:val="085614E5"/>
    <w:rsid w:val="0856BD02"/>
    <w:rsid w:val="0856DCB7"/>
    <w:rsid w:val="0856F32F"/>
    <w:rsid w:val="085741B0"/>
    <w:rsid w:val="085792AA"/>
    <w:rsid w:val="0857CC1F"/>
    <w:rsid w:val="0858179A"/>
    <w:rsid w:val="08586632"/>
    <w:rsid w:val="085B27E8"/>
    <w:rsid w:val="085B497B"/>
    <w:rsid w:val="085C8E38"/>
    <w:rsid w:val="085D3D57"/>
    <w:rsid w:val="085E429D"/>
    <w:rsid w:val="086403BF"/>
    <w:rsid w:val="08642E0D"/>
    <w:rsid w:val="0864B950"/>
    <w:rsid w:val="0866DA8A"/>
    <w:rsid w:val="08697323"/>
    <w:rsid w:val="086A8371"/>
    <w:rsid w:val="086B8158"/>
    <w:rsid w:val="086C3E92"/>
    <w:rsid w:val="086CF990"/>
    <w:rsid w:val="086D1EA7"/>
    <w:rsid w:val="086D8F40"/>
    <w:rsid w:val="086DD0AD"/>
    <w:rsid w:val="086E35E6"/>
    <w:rsid w:val="086ED60E"/>
    <w:rsid w:val="086F1428"/>
    <w:rsid w:val="086FBD03"/>
    <w:rsid w:val="0870D3AC"/>
    <w:rsid w:val="0871FD82"/>
    <w:rsid w:val="08722EC6"/>
    <w:rsid w:val="08743BE8"/>
    <w:rsid w:val="08748F83"/>
    <w:rsid w:val="0874E61D"/>
    <w:rsid w:val="0875B411"/>
    <w:rsid w:val="08763D54"/>
    <w:rsid w:val="0876A4D0"/>
    <w:rsid w:val="087717E9"/>
    <w:rsid w:val="0878C1EE"/>
    <w:rsid w:val="08790A0A"/>
    <w:rsid w:val="0879FDA4"/>
    <w:rsid w:val="087A61EC"/>
    <w:rsid w:val="087B2073"/>
    <w:rsid w:val="087BDA6D"/>
    <w:rsid w:val="087C624D"/>
    <w:rsid w:val="087E2083"/>
    <w:rsid w:val="087F5D34"/>
    <w:rsid w:val="0881AFDF"/>
    <w:rsid w:val="088477E0"/>
    <w:rsid w:val="0884DFFC"/>
    <w:rsid w:val="0885440F"/>
    <w:rsid w:val="08864A86"/>
    <w:rsid w:val="08868C22"/>
    <w:rsid w:val="08874C28"/>
    <w:rsid w:val="0889977B"/>
    <w:rsid w:val="0889DD91"/>
    <w:rsid w:val="088A017D"/>
    <w:rsid w:val="088A0742"/>
    <w:rsid w:val="088A78DD"/>
    <w:rsid w:val="088AD793"/>
    <w:rsid w:val="088B12AA"/>
    <w:rsid w:val="088BA8CB"/>
    <w:rsid w:val="088DA1F1"/>
    <w:rsid w:val="088DE945"/>
    <w:rsid w:val="088F86C1"/>
    <w:rsid w:val="088FA515"/>
    <w:rsid w:val="088FC72F"/>
    <w:rsid w:val="0890016B"/>
    <w:rsid w:val="08916318"/>
    <w:rsid w:val="0891D19E"/>
    <w:rsid w:val="089239D1"/>
    <w:rsid w:val="08936F6A"/>
    <w:rsid w:val="0893753F"/>
    <w:rsid w:val="0893E558"/>
    <w:rsid w:val="0894A74E"/>
    <w:rsid w:val="0894C834"/>
    <w:rsid w:val="0895198B"/>
    <w:rsid w:val="0895FE39"/>
    <w:rsid w:val="08961EEC"/>
    <w:rsid w:val="08977DC2"/>
    <w:rsid w:val="0898C15B"/>
    <w:rsid w:val="0898D00E"/>
    <w:rsid w:val="0898E203"/>
    <w:rsid w:val="08994468"/>
    <w:rsid w:val="08998C10"/>
    <w:rsid w:val="08998DFD"/>
    <w:rsid w:val="089A4A89"/>
    <w:rsid w:val="089BD979"/>
    <w:rsid w:val="089CFC72"/>
    <w:rsid w:val="089DDAA5"/>
    <w:rsid w:val="089E095F"/>
    <w:rsid w:val="089E36DE"/>
    <w:rsid w:val="089E8B1F"/>
    <w:rsid w:val="089EA4EA"/>
    <w:rsid w:val="089ECF78"/>
    <w:rsid w:val="089ECFDF"/>
    <w:rsid w:val="089EF5DC"/>
    <w:rsid w:val="08A01EDE"/>
    <w:rsid w:val="08A04807"/>
    <w:rsid w:val="08A0C4F2"/>
    <w:rsid w:val="08A3537A"/>
    <w:rsid w:val="08A3D791"/>
    <w:rsid w:val="08A4272B"/>
    <w:rsid w:val="08A46480"/>
    <w:rsid w:val="08A50F4C"/>
    <w:rsid w:val="08A62739"/>
    <w:rsid w:val="08A64EA6"/>
    <w:rsid w:val="08A7532B"/>
    <w:rsid w:val="08A75D2C"/>
    <w:rsid w:val="08A7D986"/>
    <w:rsid w:val="08A8308E"/>
    <w:rsid w:val="08A929B6"/>
    <w:rsid w:val="08A9D2E4"/>
    <w:rsid w:val="08A9ECA4"/>
    <w:rsid w:val="08AB629A"/>
    <w:rsid w:val="08ABD9DA"/>
    <w:rsid w:val="08AD3716"/>
    <w:rsid w:val="08AE0D45"/>
    <w:rsid w:val="08AE37F3"/>
    <w:rsid w:val="08AE8AD4"/>
    <w:rsid w:val="08AEC517"/>
    <w:rsid w:val="08AEF371"/>
    <w:rsid w:val="08AF0B21"/>
    <w:rsid w:val="08AF18DC"/>
    <w:rsid w:val="08AF48AC"/>
    <w:rsid w:val="08B00463"/>
    <w:rsid w:val="08B069B3"/>
    <w:rsid w:val="08B06CE9"/>
    <w:rsid w:val="08B0EE07"/>
    <w:rsid w:val="08B10A35"/>
    <w:rsid w:val="08B16CAE"/>
    <w:rsid w:val="08B2C621"/>
    <w:rsid w:val="08B2D05A"/>
    <w:rsid w:val="08B47939"/>
    <w:rsid w:val="08B47C89"/>
    <w:rsid w:val="08B5262E"/>
    <w:rsid w:val="08B6243F"/>
    <w:rsid w:val="08B6A5DF"/>
    <w:rsid w:val="08B6EDCE"/>
    <w:rsid w:val="08B7524E"/>
    <w:rsid w:val="08B7F558"/>
    <w:rsid w:val="08B82749"/>
    <w:rsid w:val="08B8EE76"/>
    <w:rsid w:val="08BA55CC"/>
    <w:rsid w:val="08BA74AB"/>
    <w:rsid w:val="08BB6B95"/>
    <w:rsid w:val="08BBFEDC"/>
    <w:rsid w:val="08BC2392"/>
    <w:rsid w:val="08BC4378"/>
    <w:rsid w:val="08BDFF23"/>
    <w:rsid w:val="08BF48A0"/>
    <w:rsid w:val="08BFAA6B"/>
    <w:rsid w:val="08BFC6AC"/>
    <w:rsid w:val="08C0D681"/>
    <w:rsid w:val="08C0EEE9"/>
    <w:rsid w:val="08C1A3F1"/>
    <w:rsid w:val="08C1A424"/>
    <w:rsid w:val="08C1B447"/>
    <w:rsid w:val="08C275B9"/>
    <w:rsid w:val="08C2895F"/>
    <w:rsid w:val="08C2B46D"/>
    <w:rsid w:val="08C2CB70"/>
    <w:rsid w:val="08C2CE12"/>
    <w:rsid w:val="08C34B73"/>
    <w:rsid w:val="08C35166"/>
    <w:rsid w:val="08C3D3AC"/>
    <w:rsid w:val="08C40B9A"/>
    <w:rsid w:val="08C45E9E"/>
    <w:rsid w:val="08C58D05"/>
    <w:rsid w:val="08C62841"/>
    <w:rsid w:val="08C64211"/>
    <w:rsid w:val="08C66D91"/>
    <w:rsid w:val="08C737E1"/>
    <w:rsid w:val="08CAA1B6"/>
    <w:rsid w:val="08CAA56B"/>
    <w:rsid w:val="08CAA9F2"/>
    <w:rsid w:val="08CBF3E3"/>
    <w:rsid w:val="08CC1C90"/>
    <w:rsid w:val="08CD5D92"/>
    <w:rsid w:val="08CE83AE"/>
    <w:rsid w:val="08CE9323"/>
    <w:rsid w:val="08CE95E4"/>
    <w:rsid w:val="08D09A62"/>
    <w:rsid w:val="08D11252"/>
    <w:rsid w:val="08D1784A"/>
    <w:rsid w:val="08D333C7"/>
    <w:rsid w:val="08D4D094"/>
    <w:rsid w:val="08D5B77A"/>
    <w:rsid w:val="08D692AF"/>
    <w:rsid w:val="08D6F0E1"/>
    <w:rsid w:val="08D7A256"/>
    <w:rsid w:val="08D85808"/>
    <w:rsid w:val="08D97E38"/>
    <w:rsid w:val="08D993BE"/>
    <w:rsid w:val="08DA76FF"/>
    <w:rsid w:val="08DBF92D"/>
    <w:rsid w:val="08DCE646"/>
    <w:rsid w:val="08DCFD01"/>
    <w:rsid w:val="08DD0B41"/>
    <w:rsid w:val="08DE17D0"/>
    <w:rsid w:val="08DEA5DF"/>
    <w:rsid w:val="08E03FA0"/>
    <w:rsid w:val="08E0C05A"/>
    <w:rsid w:val="08E3362B"/>
    <w:rsid w:val="08E33651"/>
    <w:rsid w:val="08E3487A"/>
    <w:rsid w:val="08E3530B"/>
    <w:rsid w:val="08E3BCA5"/>
    <w:rsid w:val="08E70804"/>
    <w:rsid w:val="08E77DC7"/>
    <w:rsid w:val="08E7CFD1"/>
    <w:rsid w:val="08E8AAD1"/>
    <w:rsid w:val="08E929B0"/>
    <w:rsid w:val="08E9676C"/>
    <w:rsid w:val="08EA064B"/>
    <w:rsid w:val="08EA5864"/>
    <w:rsid w:val="08EB639D"/>
    <w:rsid w:val="08EB7FAE"/>
    <w:rsid w:val="08EC251B"/>
    <w:rsid w:val="08EC7532"/>
    <w:rsid w:val="08ED1458"/>
    <w:rsid w:val="08ED7B68"/>
    <w:rsid w:val="08EE454E"/>
    <w:rsid w:val="08EF1E49"/>
    <w:rsid w:val="08EF66DD"/>
    <w:rsid w:val="08EF67D2"/>
    <w:rsid w:val="08EFA064"/>
    <w:rsid w:val="08F04618"/>
    <w:rsid w:val="08F09236"/>
    <w:rsid w:val="08F16760"/>
    <w:rsid w:val="08F2183C"/>
    <w:rsid w:val="08F28283"/>
    <w:rsid w:val="08F2B3A2"/>
    <w:rsid w:val="08F2BA0D"/>
    <w:rsid w:val="08F39E4D"/>
    <w:rsid w:val="08F3D1FF"/>
    <w:rsid w:val="08F3EB5C"/>
    <w:rsid w:val="08F41350"/>
    <w:rsid w:val="08F42D2F"/>
    <w:rsid w:val="08F68A9C"/>
    <w:rsid w:val="08F80EF0"/>
    <w:rsid w:val="08F8EFBF"/>
    <w:rsid w:val="08F902C8"/>
    <w:rsid w:val="08F9728D"/>
    <w:rsid w:val="08F9959B"/>
    <w:rsid w:val="08F9B529"/>
    <w:rsid w:val="08FA126E"/>
    <w:rsid w:val="08FA4305"/>
    <w:rsid w:val="08FA465C"/>
    <w:rsid w:val="08FADF42"/>
    <w:rsid w:val="08FBC5D4"/>
    <w:rsid w:val="08FC44C4"/>
    <w:rsid w:val="08FD519E"/>
    <w:rsid w:val="08FE193F"/>
    <w:rsid w:val="08FEE5E9"/>
    <w:rsid w:val="08FF467D"/>
    <w:rsid w:val="08FFA1DA"/>
    <w:rsid w:val="09008A7C"/>
    <w:rsid w:val="0901147E"/>
    <w:rsid w:val="09015723"/>
    <w:rsid w:val="090197EC"/>
    <w:rsid w:val="0901CFAC"/>
    <w:rsid w:val="09028EEA"/>
    <w:rsid w:val="0903004C"/>
    <w:rsid w:val="090307D2"/>
    <w:rsid w:val="09038F00"/>
    <w:rsid w:val="090431CA"/>
    <w:rsid w:val="09057C86"/>
    <w:rsid w:val="0905AF39"/>
    <w:rsid w:val="0906BD07"/>
    <w:rsid w:val="090742AB"/>
    <w:rsid w:val="09083F74"/>
    <w:rsid w:val="09090EB0"/>
    <w:rsid w:val="0909A745"/>
    <w:rsid w:val="0909D9DE"/>
    <w:rsid w:val="090B313C"/>
    <w:rsid w:val="090BFA19"/>
    <w:rsid w:val="090CB5ED"/>
    <w:rsid w:val="090CFB0E"/>
    <w:rsid w:val="090EC913"/>
    <w:rsid w:val="090F498F"/>
    <w:rsid w:val="090FBFBA"/>
    <w:rsid w:val="09100CD4"/>
    <w:rsid w:val="09107DB3"/>
    <w:rsid w:val="0910CE85"/>
    <w:rsid w:val="0910F159"/>
    <w:rsid w:val="09125FF3"/>
    <w:rsid w:val="0914E890"/>
    <w:rsid w:val="09163965"/>
    <w:rsid w:val="0917296F"/>
    <w:rsid w:val="09174445"/>
    <w:rsid w:val="0917AE26"/>
    <w:rsid w:val="0918D39B"/>
    <w:rsid w:val="09192594"/>
    <w:rsid w:val="09192986"/>
    <w:rsid w:val="091A6050"/>
    <w:rsid w:val="091A65F9"/>
    <w:rsid w:val="091B19E8"/>
    <w:rsid w:val="091B52F7"/>
    <w:rsid w:val="091BA377"/>
    <w:rsid w:val="091BF04E"/>
    <w:rsid w:val="091C4347"/>
    <w:rsid w:val="091CB7B8"/>
    <w:rsid w:val="091D22CE"/>
    <w:rsid w:val="091DE70D"/>
    <w:rsid w:val="091EC675"/>
    <w:rsid w:val="0921A893"/>
    <w:rsid w:val="0921B053"/>
    <w:rsid w:val="0921E11A"/>
    <w:rsid w:val="0922D9C9"/>
    <w:rsid w:val="092341BC"/>
    <w:rsid w:val="09246652"/>
    <w:rsid w:val="0924752D"/>
    <w:rsid w:val="092537B2"/>
    <w:rsid w:val="0925A239"/>
    <w:rsid w:val="0926BBDF"/>
    <w:rsid w:val="092732E2"/>
    <w:rsid w:val="0927B2A4"/>
    <w:rsid w:val="09283FC6"/>
    <w:rsid w:val="092A0341"/>
    <w:rsid w:val="092A0EB8"/>
    <w:rsid w:val="092A84E8"/>
    <w:rsid w:val="092BC388"/>
    <w:rsid w:val="092BC421"/>
    <w:rsid w:val="092C5FE2"/>
    <w:rsid w:val="092CA69E"/>
    <w:rsid w:val="092D2E22"/>
    <w:rsid w:val="092DD898"/>
    <w:rsid w:val="092DF73D"/>
    <w:rsid w:val="092E16BF"/>
    <w:rsid w:val="092F35CE"/>
    <w:rsid w:val="0930870D"/>
    <w:rsid w:val="09320A3E"/>
    <w:rsid w:val="0932B9AC"/>
    <w:rsid w:val="0933205E"/>
    <w:rsid w:val="09333860"/>
    <w:rsid w:val="09345143"/>
    <w:rsid w:val="09346610"/>
    <w:rsid w:val="093514B7"/>
    <w:rsid w:val="09352401"/>
    <w:rsid w:val="09355817"/>
    <w:rsid w:val="093583B3"/>
    <w:rsid w:val="093588FC"/>
    <w:rsid w:val="09369DD2"/>
    <w:rsid w:val="09380C04"/>
    <w:rsid w:val="093858CC"/>
    <w:rsid w:val="09390B65"/>
    <w:rsid w:val="0939CF1B"/>
    <w:rsid w:val="093CE4EB"/>
    <w:rsid w:val="093D096B"/>
    <w:rsid w:val="093D36EA"/>
    <w:rsid w:val="093D38E3"/>
    <w:rsid w:val="093D6D11"/>
    <w:rsid w:val="093E80CC"/>
    <w:rsid w:val="093EAA35"/>
    <w:rsid w:val="093F7ED4"/>
    <w:rsid w:val="093F9C03"/>
    <w:rsid w:val="093FAA9E"/>
    <w:rsid w:val="094086F6"/>
    <w:rsid w:val="094098B1"/>
    <w:rsid w:val="09413AD5"/>
    <w:rsid w:val="09416876"/>
    <w:rsid w:val="09417CDA"/>
    <w:rsid w:val="0941B2E3"/>
    <w:rsid w:val="09421065"/>
    <w:rsid w:val="09429543"/>
    <w:rsid w:val="09429886"/>
    <w:rsid w:val="094307F7"/>
    <w:rsid w:val="09430BD1"/>
    <w:rsid w:val="09433682"/>
    <w:rsid w:val="0943507B"/>
    <w:rsid w:val="09444E7A"/>
    <w:rsid w:val="0944C2DA"/>
    <w:rsid w:val="09453982"/>
    <w:rsid w:val="09468E64"/>
    <w:rsid w:val="0946A15E"/>
    <w:rsid w:val="0946A439"/>
    <w:rsid w:val="0946FAA4"/>
    <w:rsid w:val="094817BD"/>
    <w:rsid w:val="0948988D"/>
    <w:rsid w:val="0948A86D"/>
    <w:rsid w:val="0948B876"/>
    <w:rsid w:val="094963A0"/>
    <w:rsid w:val="094C4E95"/>
    <w:rsid w:val="094CA57C"/>
    <w:rsid w:val="094CA7EB"/>
    <w:rsid w:val="094F048B"/>
    <w:rsid w:val="09508383"/>
    <w:rsid w:val="0951A7F1"/>
    <w:rsid w:val="09526C6D"/>
    <w:rsid w:val="0952AA4B"/>
    <w:rsid w:val="0953160F"/>
    <w:rsid w:val="09535A01"/>
    <w:rsid w:val="0953A6F3"/>
    <w:rsid w:val="09554511"/>
    <w:rsid w:val="09572969"/>
    <w:rsid w:val="09573ED6"/>
    <w:rsid w:val="09575523"/>
    <w:rsid w:val="095862F9"/>
    <w:rsid w:val="09589549"/>
    <w:rsid w:val="09599FA3"/>
    <w:rsid w:val="095A8ED6"/>
    <w:rsid w:val="095A947E"/>
    <w:rsid w:val="095BECC4"/>
    <w:rsid w:val="095D9673"/>
    <w:rsid w:val="095E69FC"/>
    <w:rsid w:val="095E6CA7"/>
    <w:rsid w:val="09601687"/>
    <w:rsid w:val="0960F6FD"/>
    <w:rsid w:val="096265F0"/>
    <w:rsid w:val="09627050"/>
    <w:rsid w:val="096290B4"/>
    <w:rsid w:val="0964AF6B"/>
    <w:rsid w:val="0965D9D9"/>
    <w:rsid w:val="0967530D"/>
    <w:rsid w:val="09676BB0"/>
    <w:rsid w:val="0967B113"/>
    <w:rsid w:val="0967F4D5"/>
    <w:rsid w:val="09681F11"/>
    <w:rsid w:val="09682D98"/>
    <w:rsid w:val="09688238"/>
    <w:rsid w:val="0968B12C"/>
    <w:rsid w:val="0968F00D"/>
    <w:rsid w:val="096964E3"/>
    <w:rsid w:val="09697983"/>
    <w:rsid w:val="096984F5"/>
    <w:rsid w:val="0969B607"/>
    <w:rsid w:val="096A6127"/>
    <w:rsid w:val="096AF01A"/>
    <w:rsid w:val="096B6808"/>
    <w:rsid w:val="096D0675"/>
    <w:rsid w:val="096D2477"/>
    <w:rsid w:val="096D36B9"/>
    <w:rsid w:val="096D567E"/>
    <w:rsid w:val="096DC206"/>
    <w:rsid w:val="096E4DF1"/>
    <w:rsid w:val="096E87EB"/>
    <w:rsid w:val="096EF71E"/>
    <w:rsid w:val="096F5556"/>
    <w:rsid w:val="097222F0"/>
    <w:rsid w:val="0972E883"/>
    <w:rsid w:val="09730FB0"/>
    <w:rsid w:val="09746497"/>
    <w:rsid w:val="09746C9D"/>
    <w:rsid w:val="09747B2C"/>
    <w:rsid w:val="0975AF24"/>
    <w:rsid w:val="09777612"/>
    <w:rsid w:val="0977A4B5"/>
    <w:rsid w:val="09790504"/>
    <w:rsid w:val="09798B9A"/>
    <w:rsid w:val="097BFCA9"/>
    <w:rsid w:val="097CB8C9"/>
    <w:rsid w:val="097D3DD4"/>
    <w:rsid w:val="097DC34B"/>
    <w:rsid w:val="097DD25F"/>
    <w:rsid w:val="097DD5EE"/>
    <w:rsid w:val="097DF4E5"/>
    <w:rsid w:val="097E18AB"/>
    <w:rsid w:val="097EA2C2"/>
    <w:rsid w:val="097ED02F"/>
    <w:rsid w:val="097F0649"/>
    <w:rsid w:val="097F1F41"/>
    <w:rsid w:val="097F30D5"/>
    <w:rsid w:val="097F67C3"/>
    <w:rsid w:val="097F7204"/>
    <w:rsid w:val="097F7BE7"/>
    <w:rsid w:val="097FA964"/>
    <w:rsid w:val="098030FD"/>
    <w:rsid w:val="09803693"/>
    <w:rsid w:val="09817FEA"/>
    <w:rsid w:val="09822508"/>
    <w:rsid w:val="098350D4"/>
    <w:rsid w:val="09837706"/>
    <w:rsid w:val="0984EAB9"/>
    <w:rsid w:val="09863AF9"/>
    <w:rsid w:val="098694CA"/>
    <w:rsid w:val="0987F56E"/>
    <w:rsid w:val="0988C4DD"/>
    <w:rsid w:val="0988C89D"/>
    <w:rsid w:val="098934EF"/>
    <w:rsid w:val="098976FD"/>
    <w:rsid w:val="09897A0D"/>
    <w:rsid w:val="0989E075"/>
    <w:rsid w:val="098A0263"/>
    <w:rsid w:val="098A3A37"/>
    <w:rsid w:val="098C2964"/>
    <w:rsid w:val="098C57B6"/>
    <w:rsid w:val="098C58F9"/>
    <w:rsid w:val="098D3503"/>
    <w:rsid w:val="098DA50F"/>
    <w:rsid w:val="098FC864"/>
    <w:rsid w:val="0990AAF0"/>
    <w:rsid w:val="0990CBE0"/>
    <w:rsid w:val="099180F4"/>
    <w:rsid w:val="0991EE30"/>
    <w:rsid w:val="0991F808"/>
    <w:rsid w:val="0994AD2B"/>
    <w:rsid w:val="09953AC9"/>
    <w:rsid w:val="0995A8CC"/>
    <w:rsid w:val="0995D66B"/>
    <w:rsid w:val="09963EF3"/>
    <w:rsid w:val="09965BBF"/>
    <w:rsid w:val="09971DC9"/>
    <w:rsid w:val="09976BDA"/>
    <w:rsid w:val="0997BE06"/>
    <w:rsid w:val="09983A97"/>
    <w:rsid w:val="09984521"/>
    <w:rsid w:val="0998465B"/>
    <w:rsid w:val="09996B93"/>
    <w:rsid w:val="099A31E4"/>
    <w:rsid w:val="099A4693"/>
    <w:rsid w:val="099BB996"/>
    <w:rsid w:val="099BC9C1"/>
    <w:rsid w:val="099C6495"/>
    <w:rsid w:val="099CBBDC"/>
    <w:rsid w:val="099CD826"/>
    <w:rsid w:val="099D0983"/>
    <w:rsid w:val="099D860E"/>
    <w:rsid w:val="099DD326"/>
    <w:rsid w:val="099F6324"/>
    <w:rsid w:val="099F7827"/>
    <w:rsid w:val="099F872C"/>
    <w:rsid w:val="09A004E7"/>
    <w:rsid w:val="09A02193"/>
    <w:rsid w:val="09A34BE1"/>
    <w:rsid w:val="09A3E6C9"/>
    <w:rsid w:val="09A59886"/>
    <w:rsid w:val="09A5AFD2"/>
    <w:rsid w:val="09A68D01"/>
    <w:rsid w:val="09A69FC3"/>
    <w:rsid w:val="09A6B444"/>
    <w:rsid w:val="09A6BB47"/>
    <w:rsid w:val="09A6D7FD"/>
    <w:rsid w:val="09A79CBB"/>
    <w:rsid w:val="09A8D553"/>
    <w:rsid w:val="09A98EA0"/>
    <w:rsid w:val="09AA1522"/>
    <w:rsid w:val="09AA4FF7"/>
    <w:rsid w:val="09AA95BE"/>
    <w:rsid w:val="09AB699A"/>
    <w:rsid w:val="09ABD230"/>
    <w:rsid w:val="09AC32F6"/>
    <w:rsid w:val="09AC761A"/>
    <w:rsid w:val="09ADBBEE"/>
    <w:rsid w:val="09ADF80A"/>
    <w:rsid w:val="09AEB2A0"/>
    <w:rsid w:val="09AEC8D0"/>
    <w:rsid w:val="09AEE669"/>
    <w:rsid w:val="09AF5FFE"/>
    <w:rsid w:val="09AF8006"/>
    <w:rsid w:val="09AF87C7"/>
    <w:rsid w:val="09B0B3DF"/>
    <w:rsid w:val="09B15683"/>
    <w:rsid w:val="09B1B86F"/>
    <w:rsid w:val="09B1D133"/>
    <w:rsid w:val="09B2427F"/>
    <w:rsid w:val="09B25F7F"/>
    <w:rsid w:val="09B2E060"/>
    <w:rsid w:val="09B39A31"/>
    <w:rsid w:val="09B3A129"/>
    <w:rsid w:val="09B475B1"/>
    <w:rsid w:val="09B4D95D"/>
    <w:rsid w:val="09B5A910"/>
    <w:rsid w:val="09B61987"/>
    <w:rsid w:val="09B8E6B8"/>
    <w:rsid w:val="09BB06D6"/>
    <w:rsid w:val="09BB84ED"/>
    <w:rsid w:val="09BB8AB2"/>
    <w:rsid w:val="09BBB601"/>
    <w:rsid w:val="09BC9AAC"/>
    <w:rsid w:val="09BCF2E3"/>
    <w:rsid w:val="09BD4B48"/>
    <w:rsid w:val="09BD5008"/>
    <w:rsid w:val="09BE5AED"/>
    <w:rsid w:val="09BEDAAC"/>
    <w:rsid w:val="09BF1A22"/>
    <w:rsid w:val="09BFFA9F"/>
    <w:rsid w:val="09C0450B"/>
    <w:rsid w:val="09C0580E"/>
    <w:rsid w:val="09C06179"/>
    <w:rsid w:val="09C0CBA8"/>
    <w:rsid w:val="09C1978B"/>
    <w:rsid w:val="09C1C61A"/>
    <w:rsid w:val="09C24B66"/>
    <w:rsid w:val="09C26990"/>
    <w:rsid w:val="09C2E1BE"/>
    <w:rsid w:val="09C37D1F"/>
    <w:rsid w:val="09C40E49"/>
    <w:rsid w:val="09C62592"/>
    <w:rsid w:val="09C69542"/>
    <w:rsid w:val="09C6B33F"/>
    <w:rsid w:val="09C6E4E4"/>
    <w:rsid w:val="09C77421"/>
    <w:rsid w:val="09C78506"/>
    <w:rsid w:val="09C89D5A"/>
    <w:rsid w:val="09C8DCA8"/>
    <w:rsid w:val="09C9B565"/>
    <w:rsid w:val="09C9D4C6"/>
    <w:rsid w:val="09C9EF2E"/>
    <w:rsid w:val="09CB8ADB"/>
    <w:rsid w:val="09CBB351"/>
    <w:rsid w:val="09CC2B44"/>
    <w:rsid w:val="09CC3658"/>
    <w:rsid w:val="09CC6297"/>
    <w:rsid w:val="09CC962E"/>
    <w:rsid w:val="09CDE90E"/>
    <w:rsid w:val="09CE07AB"/>
    <w:rsid w:val="09CE231E"/>
    <w:rsid w:val="09CF28BE"/>
    <w:rsid w:val="09CF4DD7"/>
    <w:rsid w:val="09CF7673"/>
    <w:rsid w:val="09CFA3BC"/>
    <w:rsid w:val="09CFE02C"/>
    <w:rsid w:val="09D0AE46"/>
    <w:rsid w:val="09D118B3"/>
    <w:rsid w:val="09D1436A"/>
    <w:rsid w:val="09D2514D"/>
    <w:rsid w:val="09D2D0D9"/>
    <w:rsid w:val="09D3B36D"/>
    <w:rsid w:val="09D5065E"/>
    <w:rsid w:val="09D5E98B"/>
    <w:rsid w:val="09D6F8F1"/>
    <w:rsid w:val="09D80AB9"/>
    <w:rsid w:val="09D88C0A"/>
    <w:rsid w:val="09D89CBE"/>
    <w:rsid w:val="09DA3354"/>
    <w:rsid w:val="09DA7EFC"/>
    <w:rsid w:val="09DBCA41"/>
    <w:rsid w:val="09DC93F7"/>
    <w:rsid w:val="09DCFD60"/>
    <w:rsid w:val="09DE2B08"/>
    <w:rsid w:val="09DE6A7D"/>
    <w:rsid w:val="09DEBC08"/>
    <w:rsid w:val="09DF86CF"/>
    <w:rsid w:val="09DFFD1A"/>
    <w:rsid w:val="09E0A56B"/>
    <w:rsid w:val="09E17D72"/>
    <w:rsid w:val="09E3AACD"/>
    <w:rsid w:val="09E43397"/>
    <w:rsid w:val="09E43E5F"/>
    <w:rsid w:val="09E4E7F7"/>
    <w:rsid w:val="09E5C1D5"/>
    <w:rsid w:val="09E65ED6"/>
    <w:rsid w:val="09E6DDFC"/>
    <w:rsid w:val="09E7EF78"/>
    <w:rsid w:val="09E8F1F3"/>
    <w:rsid w:val="09E9C195"/>
    <w:rsid w:val="09E9F23C"/>
    <w:rsid w:val="09E9FB64"/>
    <w:rsid w:val="09EAB7BE"/>
    <w:rsid w:val="09EAC960"/>
    <w:rsid w:val="09EB12B3"/>
    <w:rsid w:val="09EB1BA7"/>
    <w:rsid w:val="09EBF143"/>
    <w:rsid w:val="09EC0D73"/>
    <w:rsid w:val="09EC5492"/>
    <w:rsid w:val="09EC8481"/>
    <w:rsid w:val="09EC9E25"/>
    <w:rsid w:val="09EDE920"/>
    <w:rsid w:val="09EDE928"/>
    <w:rsid w:val="09F085F1"/>
    <w:rsid w:val="09F09C51"/>
    <w:rsid w:val="09F1E3B7"/>
    <w:rsid w:val="09F23C36"/>
    <w:rsid w:val="09F32C0C"/>
    <w:rsid w:val="09F3CF44"/>
    <w:rsid w:val="09F5245F"/>
    <w:rsid w:val="09F54865"/>
    <w:rsid w:val="09F573D8"/>
    <w:rsid w:val="09F5901A"/>
    <w:rsid w:val="09F5CE45"/>
    <w:rsid w:val="09F6594E"/>
    <w:rsid w:val="09F6B798"/>
    <w:rsid w:val="09F6F634"/>
    <w:rsid w:val="09F7BE60"/>
    <w:rsid w:val="09F8BE8D"/>
    <w:rsid w:val="09F92CA4"/>
    <w:rsid w:val="09FA6177"/>
    <w:rsid w:val="09FA6CD0"/>
    <w:rsid w:val="09FA9189"/>
    <w:rsid w:val="09FB1252"/>
    <w:rsid w:val="09FBDDE9"/>
    <w:rsid w:val="09FCF40F"/>
    <w:rsid w:val="09FD4BEA"/>
    <w:rsid w:val="09FE20C0"/>
    <w:rsid w:val="09FE2A2D"/>
    <w:rsid w:val="09FE66F5"/>
    <w:rsid w:val="09FEA06D"/>
    <w:rsid w:val="09FEAC0B"/>
    <w:rsid w:val="09FF03CA"/>
    <w:rsid w:val="09FF0E33"/>
    <w:rsid w:val="0A01EBFF"/>
    <w:rsid w:val="0A023E35"/>
    <w:rsid w:val="0A02BD34"/>
    <w:rsid w:val="0A03AFD0"/>
    <w:rsid w:val="0A0411B4"/>
    <w:rsid w:val="0A044C18"/>
    <w:rsid w:val="0A052C1B"/>
    <w:rsid w:val="0A05340D"/>
    <w:rsid w:val="0A0543EF"/>
    <w:rsid w:val="0A06523D"/>
    <w:rsid w:val="0A066DC4"/>
    <w:rsid w:val="0A07EE90"/>
    <w:rsid w:val="0A0806FF"/>
    <w:rsid w:val="0A08D6DF"/>
    <w:rsid w:val="0A095BE9"/>
    <w:rsid w:val="0A0B21FE"/>
    <w:rsid w:val="0A0B93DC"/>
    <w:rsid w:val="0A0C69D1"/>
    <w:rsid w:val="0A0CEF7B"/>
    <w:rsid w:val="0A0E0CC9"/>
    <w:rsid w:val="0A0E33BE"/>
    <w:rsid w:val="0A0E6D6F"/>
    <w:rsid w:val="0A0EECD4"/>
    <w:rsid w:val="0A0F0129"/>
    <w:rsid w:val="0A0F55BF"/>
    <w:rsid w:val="0A108617"/>
    <w:rsid w:val="0A10D44F"/>
    <w:rsid w:val="0A122FAF"/>
    <w:rsid w:val="0A12B24E"/>
    <w:rsid w:val="0A12B654"/>
    <w:rsid w:val="0A13253A"/>
    <w:rsid w:val="0A13355B"/>
    <w:rsid w:val="0A14287E"/>
    <w:rsid w:val="0A151EA7"/>
    <w:rsid w:val="0A15663A"/>
    <w:rsid w:val="0A15ACA0"/>
    <w:rsid w:val="0A1627C2"/>
    <w:rsid w:val="0A16BFBF"/>
    <w:rsid w:val="0A17AF60"/>
    <w:rsid w:val="0A182CEC"/>
    <w:rsid w:val="0A1896BD"/>
    <w:rsid w:val="0A190938"/>
    <w:rsid w:val="0A197462"/>
    <w:rsid w:val="0A199748"/>
    <w:rsid w:val="0A19D2B1"/>
    <w:rsid w:val="0A1B6862"/>
    <w:rsid w:val="0A1C5594"/>
    <w:rsid w:val="0A1C67BA"/>
    <w:rsid w:val="0A1E14E2"/>
    <w:rsid w:val="0A1E19EF"/>
    <w:rsid w:val="0A1E4403"/>
    <w:rsid w:val="0A1E5228"/>
    <w:rsid w:val="0A1FA7E1"/>
    <w:rsid w:val="0A203B58"/>
    <w:rsid w:val="0A20A93D"/>
    <w:rsid w:val="0A2101E2"/>
    <w:rsid w:val="0A21855F"/>
    <w:rsid w:val="0A2242D8"/>
    <w:rsid w:val="0A23017D"/>
    <w:rsid w:val="0A231107"/>
    <w:rsid w:val="0A24E186"/>
    <w:rsid w:val="0A259B18"/>
    <w:rsid w:val="0A262578"/>
    <w:rsid w:val="0A26CC45"/>
    <w:rsid w:val="0A275B88"/>
    <w:rsid w:val="0A285252"/>
    <w:rsid w:val="0A28F5BF"/>
    <w:rsid w:val="0A29C3AB"/>
    <w:rsid w:val="0A2DE44B"/>
    <w:rsid w:val="0A2E36A4"/>
    <w:rsid w:val="0A2E85D1"/>
    <w:rsid w:val="0A31D971"/>
    <w:rsid w:val="0A31E20D"/>
    <w:rsid w:val="0A34158E"/>
    <w:rsid w:val="0A343882"/>
    <w:rsid w:val="0A34B12A"/>
    <w:rsid w:val="0A351AAA"/>
    <w:rsid w:val="0A3524AD"/>
    <w:rsid w:val="0A360298"/>
    <w:rsid w:val="0A365C9B"/>
    <w:rsid w:val="0A36DE71"/>
    <w:rsid w:val="0A38C0D3"/>
    <w:rsid w:val="0A39C7F9"/>
    <w:rsid w:val="0A3A7722"/>
    <w:rsid w:val="0A3A777F"/>
    <w:rsid w:val="0A3B93DF"/>
    <w:rsid w:val="0A3DC5CB"/>
    <w:rsid w:val="0A3E30BE"/>
    <w:rsid w:val="0A3E6380"/>
    <w:rsid w:val="0A3F0A8B"/>
    <w:rsid w:val="0A4043BE"/>
    <w:rsid w:val="0A407838"/>
    <w:rsid w:val="0A42BBBE"/>
    <w:rsid w:val="0A4447CF"/>
    <w:rsid w:val="0A44D926"/>
    <w:rsid w:val="0A46B919"/>
    <w:rsid w:val="0A47BB5F"/>
    <w:rsid w:val="0A48A960"/>
    <w:rsid w:val="0A490303"/>
    <w:rsid w:val="0A492C04"/>
    <w:rsid w:val="0A496A51"/>
    <w:rsid w:val="0A49B8CB"/>
    <w:rsid w:val="0A4A48DB"/>
    <w:rsid w:val="0A4A979A"/>
    <w:rsid w:val="0A4B002F"/>
    <w:rsid w:val="0A4B3B23"/>
    <w:rsid w:val="0A4B6916"/>
    <w:rsid w:val="0A4BCD98"/>
    <w:rsid w:val="0A4BD22A"/>
    <w:rsid w:val="0A4CA341"/>
    <w:rsid w:val="0A4CD9F6"/>
    <w:rsid w:val="0A4CFEFB"/>
    <w:rsid w:val="0A4E8A56"/>
    <w:rsid w:val="0A4E9A46"/>
    <w:rsid w:val="0A4EF0A2"/>
    <w:rsid w:val="0A4F5AE6"/>
    <w:rsid w:val="0A4F98EE"/>
    <w:rsid w:val="0A509822"/>
    <w:rsid w:val="0A50A90A"/>
    <w:rsid w:val="0A526847"/>
    <w:rsid w:val="0A52962B"/>
    <w:rsid w:val="0A543E7A"/>
    <w:rsid w:val="0A5478ED"/>
    <w:rsid w:val="0A551806"/>
    <w:rsid w:val="0A55C582"/>
    <w:rsid w:val="0A56547D"/>
    <w:rsid w:val="0A569312"/>
    <w:rsid w:val="0A56FE96"/>
    <w:rsid w:val="0A579314"/>
    <w:rsid w:val="0A57A83B"/>
    <w:rsid w:val="0A57BD5C"/>
    <w:rsid w:val="0A581E05"/>
    <w:rsid w:val="0A58B12D"/>
    <w:rsid w:val="0A595BF3"/>
    <w:rsid w:val="0A5A5FBF"/>
    <w:rsid w:val="0A5ABE0A"/>
    <w:rsid w:val="0A5B2AF9"/>
    <w:rsid w:val="0A5B6011"/>
    <w:rsid w:val="0A5BE168"/>
    <w:rsid w:val="0A5E18B6"/>
    <w:rsid w:val="0A5ED623"/>
    <w:rsid w:val="0A5F710E"/>
    <w:rsid w:val="0A5F92CB"/>
    <w:rsid w:val="0A5FD1CD"/>
    <w:rsid w:val="0A60233F"/>
    <w:rsid w:val="0A607905"/>
    <w:rsid w:val="0A60F071"/>
    <w:rsid w:val="0A6219EF"/>
    <w:rsid w:val="0A627147"/>
    <w:rsid w:val="0A659CB5"/>
    <w:rsid w:val="0A66E344"/>
    <w:rsid w:val="0A67105D"/>
    <w:rsid w:val="0A673B7B"/>
    <w:rsid w:val="0A67F967"/>
    <w:rsid w:val="0A682EE6"/>
    <w:rsid w:val="0A68B996"/>
    <w:rsid w:val="0A6B5017"/>
    <w:rsid w:val="0A6B79E6"/>
    <w:rsid w:val="0A6B93AE"/>
    <w:rsid w:val="0A6BBBA0"/>
    <w:rsid w:val="0A6BC33D"/>
    <w:rsid w:val="0A6BF493"/>
    <w:rsid w:val="0A6C2BE6"/>
    <w:rsid w:val="0A6C3A61"/>
    <w:rsid w:val="0A6C4F7B"/>
    <w:rsid w:val="0A6C9552"/>
    <w:rsid w:val="0A6D74C0"/>
    <w:rsid w:val="0A6E44AD"/>
    <w:rsid w:val="0A6E5D65"/>
    <w:rsid w:val="0A70CF34"/>
    <w:rsid w:val="0A70CFFD"/>
    <w:rsid w:val="0A71A278"/>
    <w:rsid w:val="0A727E22"/>
    <w:rsid w:val="0A72CC18"/>
    <w:rsid w:val="0A72E2D6"/>
    <w:rsid w:val="0A734789"/>
    <w:rsid w:val="0A74213B"/>
    <w:rsid w:val="0A74E42C"/>
    <w:rsid w:val="0A79076E"/>
    <w:rsid w:val="0A794C67"/>
    <w:rsid w:val="0A797696"/>
    <w:rsid w:val="0A79E38D"/>
    <w:rsid w:val="0A7A0057"/>
    <w:rsid w:val="0A7A02D6"/>
    <w:rsid w:val="0A7A2A2F"/>
    <w:rsid w:val="0A7A497A"/>
    <w:rsid w:val="0A7C089D"/>
    <w:rsid w:val="0A7C0921"/>
    <w:rsid w:val="0A7C4673"/>
    <w:rsid w:val="0A7CA7FD"/>
    <w:rsid w:val="0A7EAC8E"/>
    <w:rsid w:val="0A7EB07E"/>
    <w:rsid w:val="0A7EBB5C"/>
    <w:rsid w:val="0A7F4F9C"/>
    <w:rsid w:val="0A7F6918"/>
    <w:rsid w:val="0A8112CD"/>
    <w:rsid w:val="0A822C36"/>
    <w:rsid w:val="0A82D642"/>
    <w:rsid w:val="0A83E03A"/>
    <w:rsid w:val="0A8594B2"/>
    <w:rsid w:val="0A89F440"/>
    <w:rsid w:val="0A8A16A8"/>
    <w:rsid w:val="0A8A4EAA"/>
    <w:rsid w:val="0A8C3CE9"/>
    <w:rsid w:val="0A8CBF65"/>
    <w:rsid w:val="0A8CEE8D"/>
    <w:rsid w:val="0A8D087E"/>
    <w:rsid w:val="0A8D767F"/>
    <w:rsid w:val="0A8E8F26"/>
    <w:rsid w:val="0A8FCCA6"/>
    <w:rsid w:val="0A90E452"/>
    <w:rsid w:val="0A92EC1D"/>
    <w:rsid w:val="0A935EC1"/>
    <w:rsid w:val="0A94BC41"/>
    <w:rsid w:val="0A9521B8"/>
    <w:rsid w:val="0A9525EF"/>
    <w:rsid w:val="0A95B9C5"/>
    <w:rsid w:val="0A96ACA7"/>
    <w:rsid w:val="0A971B07"/>
    <w:rsid w:val="0A973CC1"/>
    <w:rsid w:val="0A98D894"/>
    <w:rsid w:val="0A98E9F9"/>
    <w:rsid w:val="0A996343"/>
    <w:rsid w:val="0A99A515"/>
    <w:rsid w:val="0A99CE0D"/>
    <w:rsid w:val="0A9B557F"/>
    <w:rsid w:val="0A9BBC9A"/>
    <w:rsid w:val="0A9C37BB"/>
    <w:rsid w:val="0A9C3D5A"/>
    <w:rsid w:val="0A9D0C77"/>
    <w:rsid w:val="0A9E0BC4"/>
    <w:rsid w:val="0A9E0EF4"/>
    <w:rsid w:val="0A9E75F8"/>
    <w:rsid w:val="0A9F37E9"/>
    <w:rsid w:val="0A9FA37F"/>
    <w:rsid w:val="0A9FAE05"/>
    <w:rsid w:val="0AA11482"/>
    <w:rsid w:val="0AA29C73"/>
    <w:rsid w:val="0AA2A24C"/>
    <w:rsid w:val="0AA2E2CE"/>
    <w:rsid w:val="0AA3BC33"/>
    <w:rsid w:val="0AA468E2"/>
    <w:rsid w:val="0AA48776"/>
    <w:rsid w:val="0AA5CD6B"/>
    <w:rsid w:val="0AA7361A"/>
    <w:rsid w:val="0AA829FF"/>
    <w:rsid w:val="0AA88932"/>
    <w:rsid w:val="0AA89266"/>
    <w:rsid w:val="0AA93B6A"/>
    <w:rsid w:val="0AA97311"/>
    <w:rsid w:val="0AA9A604"/>
    <w:rsid w:val="0AAACDE7"/>
    <w:rsid w:val="0AAB3038"/>
    <w:rsid w:val="0AAB3E5F"/>
    <w:rsid w:val="0AABAB59"/>
    <w:rsid w:val="0AAC0E58"/>
    <w:rsid w:val="0AAC92E4"/>
    <w:rsid w:val="0AAC9E9E"/>
    <w:rsid w:val="0AACA20A"/>
    <w:rsid w:val="0AACAC40"/>
    <w:rsid w:val="0AADFA5F"/>
    <w:rsid w:val="0AAE288A"/>
    <w:rsid w:val="0AAE8BED"/>
    <w:rsid w:val="0AAF0CFF"/>
    <w:rsid w:val="0AB02E22"/>
    <w:rsid w:val="0AB04189"/>
    <w:rsid w:val="0AB0E4EC"/>
    <w:rsid w:val="0AB12CCA"/>
    <w:rsid w:val="0AB1A18B"/>
    <w:rsid w:val="0AB1C3C9"/>
    <w:rsid w:val="0AB32C2E"/>
    <w:rsid w:val="0AB3F3C3"/>
    <w:rsid w:val="0AB40BBE"/>
    <w:rsid w:val="0AB41195"/>
    <w:rsid w:val="0AB534FE"/>
    <w:rsid w:val="0AB5DDE5"/>
    <w:rsid w:val="0AB62FE8"/>
    <w:rsid w:val="0AB6473B"/>
    <w:rsid w:val="0AB649CE"/>
    <w:rsid w:val="0AB704DA"/>
    <w:rsid w:val="0AB7FB31"/>
    <w:rsid w:val="0AB814AF"/>
    <w:rsid w:val="0ABA76C3"/>
    <w:rsid w:val="0ABB74AC"/>
    <w:rsid w:val="0ABBF9F5"/>
    <w:rsid w:val="0ABE0319"/>
    <w:rsid w:val="0ABE1584"/>
    <w:rsid w:val="0ABE693A"/>
    <w:rsid w:val="0ABECA68"/>
    <w:rsid w:val="0ABF21A7"/>
    <w:rsid w:val="0ABF27D2"/>
    <w:rsid w:val="0ABFB2EE"/>
    <w:rsid w:val="0AC1D0AB"/>
    <w:rsid w:val="0AC2962D"/>
    <w:rsid w:val="0AC2E0DA"/>
    <w:rsid w:val="0AC3291D"/>
    <w:rsid w:val="0AC37362"/>
    <w:rsid w:val="0AC443FE"/>
    <w:rsid w:val="0AC51195"/>
    <w:rsid w:val="0AC537CE"/>
    <w:rsid w:val="0AC5C5F9"/>
    <w:rsid w:val="0AC5E291"/>
    <w:rsid w:val="0AC68929"/>
    <w:rsid w:val="0AC6F277"/>
    <w:rsid w:val="0AC70BC7"/>
    <w:rsid w:val="0AC7A6FD"/>
    <w:rsid w:val="0AC865EE"/>
    <w:rsid w:val="0AC97F58"/>
    <w:rsid w:val="0AC98B5C"/>
    <w:rsid w:val="0AC996CB"/>
    <w:rsid w:val="0AC9AC28"/>
    <w:rsid w:val="0ACA3ABA"/>
    <w:rsid w:val="0ACB4550"/>
    <w:rsid w:val="0ACB6ADA"/>
    <w:rsid w:val="0ACB7651"/>
    <w:rsid w:val="0ACCBC0E"/>
    <w:rsid w:val="0ACD4906"/>
    <w:rsid w:val="0ACE1377"/>
    <w:rsid w:val="0ACF06F3"/>
    <w:rsid w:val="0ACF1DE8"/>
    <w:rsid w:val="0ACF257D"/>
    <w:rsid w:val="0ACF8208"/>
    <w:rsid w:val="0ACFA069"/>
    <w:rsid w:val="0ACFEC4B"/>
    <w:rsid w:val="0AD054F1"/>
    <w:rsid w:val="0AD05792"/>
    <w:rsid w:val="0AD0A8A4"/>
    <w:rsid w:val="0AD0C83C"/>
    <w:rsid w:val="0AD13F3D"/>
    <w:rsid w:val="0AD17F72"/>
    <w:rsid w:val="0AD18D4A"/>
    <w:rsid w:val="0AD1D90B"/>
    <w:rsid w:val="0AD2F6F7"/>
    <w:rsid w:val="0AD3213D"/>
    <w:rsid w:val="0AD391E6"/>
    <w:rsid w:val="0AD42D20"/>
    <w:rsid w:val="0AD504B9"/>
    <w:rsid w:val="0AD55F97"/>
    <w:rsid w:val="0AD64DA2"/>
    <w:rsid w:val="0AD6E8FF"/>
    <w:rsid w:val="0AD77368"/>
    <w:rsid w:val="0AD853B7"/>
    <w:rsid w:val="0AD8DCCD"/>
    <w:rsid w:val="0AD91437"/>
    <w:rsid w:val="0AD9A815"/>
    <w:rsid w:val="0AD9AC9D"/>
    <w:rsid w:val="0AD9F2E1"/>
    <w:rsid w:val="0ADB1A07"/>
    <w:rsid w:val="0ADB7CEC"/>
    <w:rsid w:val="0ADB8100"/>
    <w:rsid w:val="0ADB8398"/>
    <w:rsid w:val="0ADBE7F1"/>
    <w:rsid w:val="0ADC7CA9"/>
    <w:rsid w:val="0ADE7279"/>
    <w:rsid w:val="0ADF0C36"/>
    <w:rsid w:val="0AE04BF8"/>
    <w:rsid w:val="0AE16039"/>
    <w:rsid w:val="0AE1881E"/>
    <w:rsid w:val="0AE206D1"/>
    <w:rsid w:val="0AE20EE1"/>
    <w:rsid w:val="0AE26996"/>
    <w:rsid w:val="0AE398A1"/>
    <w:rsid w:val="0AE3A76A"/>
    <w:rsid w:val="0AE4FAC5"/>
    <w:rsid w:val="0AE7A25A"/>
    <w:rsid w:val="0AE900DB"/>
    <w:rsid w:val="0AE9C923"/>
    <w:rsid w:val="0AE9EB2E"/>
    <w:rsid w:val="0AEA8CF2"/>
    <w:rsid w:val="0AEB2E6F"/>
    <w:rsid w:val="0AEB3DE1"/>
    <w:rsid w:val="0AEB71EB"/>
    <w:rsid w:val="0AEBCD78"/>
    <w:rsid w:val="0AECDBA1"/>
    <w:rsid w:val="0AED22F2"/>
    <w:rsid w:val="0AEDB9F3"/>
    <w:rsid w:val="0AEDBFD0"/>
    <w:rsid w:val="0AEE3929"/>
    <w:rsid w:val="0AEF654F"/>
    <w:rsid w:val="0AEF9D0C"/>
    <w:rsid w:val="0AEFC4DD"/>
    <w:rsid w:val="0AEFE249"/>
    <w:rsid w:val="0AEFF417"/>
    <w:rsid w:val="0AEFFF7A"/>
    <w:rsid w:val="0AF01C2F"/>
    <w:rsid w:val="0AF0F2A5"/>
    <w:rsid w:val="0AF1C448"/>
    <w:rsid w:val="0AF2F551"/>
    <w:rsid w:val="0AF2F9CA"/>
    <w:rsid w:val="0AF38882"/>
    <w:rsid w:val="0AF38BE9"/>
    <w:rsid w:val="0AF39426"/>
    <w:rsid w:val="0AF3E25B"/>
    <w:rsid w:val="0AF50D48"/>
    <w:rsid w:val="0AF6C219"/>
    <w:rsid w:val="0AF6C5A0"/>
    <w:rsid w:val="0AF716DA"/>
    <w:rsid w:val="0AF8F4D8"/>
    <w:rsid w:val="0AFA2AEF"/>
    <w:rsid w:val="0AFA3B75"/>
    <w:rsid w:val="0AFA7A40"/>
    <w:rsid w:val="0AFA9557"/>
    <w:rsid w:val="0AFAE9B3"/>
    <w:rsid w:val="0AFC2102"/>
    <w:rsid w:val="0AFC25F4"/>
    <w:rsid w:val="0AFE73E3"/>
    <w:rsid w:val="0AFE919C"/>
    <w:rsid w:val="0AFF5691"/>
    <w:rsid w:val="0AFFB789"/>
    <w:rsid w:val="0B00E541"/>
    <w:rsid w:val="0B02078D"/>
    <w:rsid w:val="0B029FD4"/>
    <w:rsid w:val="0B02D588"/>
    <w:rsid w:val="0B031F8C"/>
    <w:rsid w:val="0B032491"/>
    <w:rsid w:val="0B035617"/>
    <w:rsid w:val="0B03F5D2"/>
    <w:rsid w:val="0B040F6F"/>
    <w:rsid w:val="0B044FF8"/>
    <w:rsid w:val="0B05095E"/>
    <w:rsid w:val="0B055CA7"/>
    <w:rsid w:val="0B05E78A"/>
    <w:rsid w:val="0B077E13"/>
    <w:rsid w:val="0B08A081"/>
    <w:rsid w:val="0B0A3BED"/>
    <w:rsid w:val="0B0A442C"/>
    <w:rsid w:val="0B0AB7F7"/>
    <w:rsid w:val="0B0B3842"/>
    <w:rsid w:val="0B0CA56D"/>
    <w:rsid w:val="0B0CD010"/>
    <w:rsid w:val="0B0DDF57"/>
    <w:rsid w:val="0B0E9484"/>
    <w:rsid w:val="0B0EAEE2"/>
    <w:rsid w:val="0B0ED085"/>
    <w:rsid w:val="0B0F2094"/>
    <w:rsid w:val="0B0F58E2"/>
    <w:rsid w:val="0B0F755A"/>
    <w:rsid w:val="0B0F810E"/>
    <w:rsid w:val="0B0F947D"/>
    <w:rsid w:val="0B1067F7"/>
    <w:rsid w:val="0B106ADA"/>
    <w:rsid w:val="0B118171"/>
    <w:rsid w:val="0B11F28A"/>
    <w:rsid w:val="0B128F29"/>
    <w:rsid w:val="0B12E1FB"/>
    <w:rsid w:val="0B131B26"/>
    <w:rsid w:val="0B133D96"/>
    <w:rsid w:val="0B13705C"/>
    <w:rsid w:val="0B13F6F3"/>
    <w:rsid w:val="0B13F852"/>
    <w:rsid w:val="0B146059"/>
    <w:rsid w:val="0B14A452"/>
    <w:rsid w:val="0B15FAFA"/>
    <w:rsid w:val="0B1610AE"/>
    <w:rsid w:val="0B180928"/>
    <w:rsid w:val="0B18D298"/>
    <w:rsid w:val="0B18D9D7"/>
    <w:rsid w:val="0B1A3276"/>
    <w:rsid w:val="0B1A45A7"/>
    <w:rsid w:val="0B1A5699"/>
    <w:rsid w:val="0B1A6A57"/>
    <w:rsid w:val="0B1BE787"/>
    <w:rsid w:val="0B1D1707"/>
    <w:rsid w:val="0B1D8123"/>
    <w:rsid w:val="0B1D8925"/>
    <w:rsid w:val="0B1DD540"/>
    <w:rsid w:val="0B1E0739"/>
    <w:rsid w:val="0B1E57B1"/>
    <w:rsid w:val="0B1EAEB4"/>
    <w:rsid w:val="0B223307"/>
    <w:rsid w:val="0B2251AE"/>
    <w:rsid w:val="0B22E2D0"/>
    <w:rsid w:val="0B240BA1"/>
    <w:rsid w:val="0B24FF27"/>
    <w:rsid w:val="0B268CB8"/>
    <w:rsid w:val="0B26A002"/>
    <w:rsid w:val="0B26CEC7"/>
    <w:rsid w:val="0B27E496"/>
    <w:rsid w:val="0B27F068"/>
    <w:rsid w:val="0B284552"/>
    <w:rsid w:val="0B28EC1A"/>
    <w:rsid w:val="0B29C81E"/>
    <w:rsid w:val="0B29CA42"/>
    <w:rsid w:val="0B2A3F32"/>
    <w:rsid w:val="0B2A8776"/>
    <w:rsid w:val="0B2ADBAD"/>
    <w:rsid w:val="0B2B416F"/>
    <w:rsid w:val="0B2BBA0D"/>
    <w:rsid w:val="0B2BC6F9"/>
    <w:rsid w:val="0B2C1F88"/>
    <w:rsid w:val="0B2C2544"/>
    <w:rsid w:val="0B2C39FE"/>
    <w:rsid w:val="0B2C5BFA"/>
    <w:rsid w:val="0B2DD67E"/>
    <w:rsid w:val="0B2E5FBE"/>
    <w:rsid w:val="0B2ED973"/>
    <w:rsid w:val="0B2FF0B4"/>
    <w:rsid w:val="0B302EAF"/>
    <w:rsid w:val="0B3068F3"/>
    <w:rsid w:val="0B30F0AE"/>
    <w:rsid w:val="0B317155"/>
    <w:rsid w:val="0B319FF0"/>
    <w:rsid w:val="0B32011F"/>
    <w:rsid w:val="0B322DED"/>
    <w:rsid w:val="0B324B13"/>
    <w:rsid w:val="0B325FDD"/>
    <w:rsid w:val="0B326158"/>
    <w:rsid w:val="0B32E83D"/>
    <w:rsid w:val="0B32E85A"/>
    <w:rsid w:val="0B344140"/>
    <w:rsid w:val="0B34AEFD"/>
    <w:rsid w:val="0B355F22"/>
    <w:rsid w:val="0B357D3A"/>
    <w:rsid w:val="0B35A8AB"/>
    <w:rsid w:val="0B3776B9"/>
    <w:rsid w:val="0B37FD15"/>
    <w:rsid w:val="0B3856A1"/>
    <w:rsid w:val="0B391E0D"/>
    <w:rsid w:val="0B3A9B13"/>
    <w:rsid w:val="0B3AE9CA"/>
    <w:rsid w:val="0B3B1642"/>
    <w:rsid w:val="0B3BB98D"/>
    <w:rsid w:val="0B3C5A02"/>
    <w:rsid w:val="0B3D3590"/>
    <w:rsid w:val="0B3D72E5"/>
    <w:rsid w:val="0B3DB789"/>
    <w:rsid w:val="0B3DBE04"/>
    <w:rsid w:val="0B3EE335"/>
    <w:rsid w:val="0B3FC3A3"/>
    <w:rsid w:val="0B40012E"/>
    <w:rsid w:val="0B414B68"/>
    <w:rsid w:val="0B421C3D"/>
    <w:rsid w:val="0B433F03"/>
    <w:rsid w:val="0B4363A8"/>
    <w:rsid w:val="0B43DFB9"/>
    <w:rsid w:val="0B43E5E2"/>
    <w:rsid w:val="0B43FD0E"/>
    <w:rsid w:val="0B442100"/>
    <w:rsid w:val="0B443256"/>
    <w:rsid w:val="0B453C31"/>
    <w:rsid w:val="0B465661"/>
    <w:rsid w:val="0B471156"/>
    <w:rsid w:val="0B4740B4"/>
    <w:rsid w:val="0B4772B1"/>
    <w:rsid w:val="0B47F98B"/>
    <w:rsid w:val="0B48649D"/>
    <w:rsid w:val="0B48A26E"/>
    <w:rsid w:val="0B48F9E6"/>
    <w:rsid w:val="0B4A14F1"/>
    <w:rsid w:val="0B4A2F1A"/>
    <w:rsid w:val="0B4B724E"/>
    <w:rsid w:val="0B4B85AD"/>
    <w:rsid w:val="0B4B9944"/>
    <w:rsid w:val="0B4BF78F"/>
    <w:rsid w:val="0B4C68F3"/>
    <w:rsid w:val="0B4D06C6"/>
    <w:rsid w:val="0B4D5A70"/>
    <w:rsid w:val="0B4D982E"/>
    <w:rsid w:val="0B4E56D5"/>
    <w:rsid w:val="0B4EAA0A"/>
    <w:rsid w:val="0B4F025B"/>
    <w:rsid w:val="0B4F1DDB"/>
    <w:rsid w:val="0B50E324"/>
    <w:rsid w:val="0B511173"/>
    <w:rsid w:val="0B51171E"/>
    <w:rsid w:val="0B516154"/>
    <w:rsid w:val="0B52AF8E"/>
    <w:rsid w:val="0B531703"/>
    <w:rsid w:val="0B53AF2F"/>
    <w:rsid w:val="0B540C38"/>
    <w:rsid w:val="0B54C8EC"/>
    <w:rsid w:val="0B55F276"/>
    <w:rsid w:val="0B55FA99"/>
    <w:rsid w:val="0B56237E"/>
    <w:rsid w:val="0B5827BD"/>
    <w:rsid w:val="0B583C9A"/>
    <w:rsid w:val="0B5895E6"/>
    <w:rsid w:val="0B592273"/>
    <w:rsid w:val="0B59412E"/>
    <w:rsid w:val="0B5A1656"/>
    <w:rsid w:val="0B5BA44B"/>
    <w:rsid w:val="0B5BCB2B"/>
    <w:rsid w:val="0B5C89C5"/>
    <w:rsid w:val="0B5CA52D"/>
    <w:rsid w:val="0B5CD5E9"/>
    <w:rsid w:val="0B5E0053"/>
    <w:rsid w:val="0B5E5076"/>
    <w:rsid w:val="0B5E8FB8"/>
    <w:rsid w:val="0B5F0BDD"/>
    <w:rsid w:val="0B607260"/>
    <w:rsid w:val="0B608C6F"/>
    <w:rsid w:val="0B611992"/>
    <w:rsid w:val="0B618916"/>
    <w:rsid w:val="0B648834"/>
    <w:rsid w:val="0B6549EA"/>
    <w:rsid w:val="0B663B8D"/>
    <w:rsid w:val="0B667C71"/>
    <w:rsid w:val="0B673228"/>
    <w:rsid w:val="0B675CCA"/>
    <w:rsid w:val="0B67A4BA"/>
    <w:rsid w:val="0B67BA24"/>
    <w:rsid w:val="0B685557"/>
    <w:rsid w:val="0B697F37"/>
    <w:rsid w:val="0B69DC76"/>
    <w:rsid w:val="0B6A2919"/>
    <w:rsid w:val="0B6B24B5"/>
    <w:rsid w:val="0B6C2913"/>
    <w:rsid w:val="0B6CD3E1"/>
    <w:rsid w:val="0B6D5DEA"/>
    <w:rsid w:val="0B6D797C"/>
    <w:rsid w:val="0B6F07ED"/>
    <w:rsid w:val="0B701C2D"/>
    <w:rsid w:val="0B7054FA"/>
    <w:rsid w:val="0B70ED17"/>
    <w:rsid w:val="0B732DA0"/>
    <w:rsid w:val="0B73479D"/>
    <w:rsid w:val="0B73BCD7"/>
    <w:rsid w:val="0B73C204"/>
    <w:rsid w:val="0B752965"/>
    <w:rsid w:val="0B75617D"/>
    <w:rsid w:val="0B7572DB"/>
    <w:rsid w:val="0B75FDB4"/>
    <w:rsid w:val="0B7638BF"/>
    <w:rsid w:val="0B766503"/>
    <w:rsid w:val="0B76F00A"/>
    <w:rsid w:val="0B770180"/>
    <w:rsid w:val="0B770AA9"/>
    <w:rsid w:val="0B775C56"/>
    <w:rsid w:val="0B7770D1"/>
    <w:rsid w:val="0B77AFB0"/>
    <w:rsid w:val="0B77EC52"/>
    <w:rsid w:val="0B7874B5"/>
    <w:rsid w:val="0B79AC9D"/>
    <w:rsid w:val="0B7AE11E"/>
    <w:rsid w:val="0B7AEC71"/>
    <w:rsid w:val="0B7BE332"/>
    <w:rsid w:val="0B7C1CA5"/>
    <w:rsid w:val="0B7CDA10"/>
    <w:rsid w:val="0B7D7BE8"/>
    <w:rsid w:val="0B7D8462"/>
    <w:rsid w:val="0B7D9001"/>
    <w:rsid w:val="0B7E468A"/>
    <w:rsid w:val="0B7E875A"/>
    <w:rsid w:val="0B7E93C0"/>
    <w:rsid w:val="0B7EBEDD"/>
    <w:rsid w:val="0B7EFC7B"/>
    <w:rsid w:val="0B7FA4E9"/>
    <w:rsid w:val="0B80CEEE"/>
    <w:rsid w:val="0B80EEB6"/>
    <w:rsid w:val="0B821AC7"/>
    <w:rsid w:val="0B82D55E"/>
    <w:rsid w:val="0B83968A"/>
    <w:rsid w:val="0B84911B"/>
    <w:rsid w:val="0B8526E4"/>
    <w:rsid w:val="0B854FAF"/>
    <w:rsid w:val="0B868E0E"/>
    <w:rsid w:val="0B872AE3"/>
    <w:rsid w:val="0B884512"/>
    <w:rsid w:val="0B894063"/>
    <w:rsid w:val="0B8942C0"/>
    <w:rsid w:val="0B89AD1C"/>
    <w:rsid w:val="0B89D6C1"/>
    <w:rsid w:val="0B8A2065"/>
    <w:rsid w:val="0B8AD3EF"/>
    <w:rsid w:val="0B8B824D"/>
    <w:rsid w:val="0B8CD4E4"/>
    <w:rsid w:val="0B8CEF7D"/>
    <w:rsid w:val="0B8D63B3"/>
    <w:rsid w:val="0B8E377E"/>
    <w:rsid w:val="0B8E8F61"/>
    <w:rsid w:val="0B8F64BB"/>
    <w:rsid w:val="0B906564"/>
    <w:rsid w:val="0B9066BD"/>
    <w:rsid w:val="0B9091C3"/>
    <w:rsid w:val="0B90B01B"/>
    <w:rsid w:val="0B90E309"/>
    <w:rsid w:val="0B90F966"/>
    <w:rsid w:val="0B91E7E6"/>
    <w:rsid w:val="0B921FF3"/>
    <w:rsid w:val="0B922497"/>
    <w:rsid w:val="0B92512F"/>
    <w:rsid w:val="0B9253FA"/>
    <w:rsid w:val="0B927126"/>
    <w:rsid w:val="0B92981F"/>
    <w:rsid w:val="0B92D072"/>
    <w:rsid w:val="0B93972A"/>
    <w:rsid w:val="0B94476B"/>
    <w:rsid w:val="0B94FBA0"/>
    <w:rsid w:val="0B968611"/>
    <w:rsid w:val="0B96F1AD"/>
    <w:rsid w:val="0B9861D9"/>
    <w:rsid w:val="0B99371D"/>
    <w:rsid w:val="0B9A2CCA"/>
    <w:rsid w:val="0B9C166E"/>
    <w:rsid w:val="0B9C3CBB"/>
    <w:rsid w:val="0B9D6CF0"/>
    <w:rsid w:val="0B9E2EEF"/>
    <w:rsid w:val="0B9E42CF"/>
    <w:rsid w:val="0BA0A0F9"/>
    <w:rsid w:val="0BA0EC37"/>
    <w:rsid w:val="0BA0FBB0"/>
    <w:rsid w:val="0BA161BF"/>
    <w:rsid w:val="0BA1AADE"/>
    <w:rsid w:val="0BA2BA02"/>
    <w:rsid w:val="0BA3028B"/>
    <w:rsid w:val="0BA30D01"/>
    <w:rsid w:val="0BA3A28E"/>
    <w:rsid w:val="0BA42166"/>
    <w:rsid w:val="0BA47B8C"/>
    <w:rsid w:val="0BA5291E"/>
    <w:rsid w:val="0BA66D7C"/>
    <w:rsid w:val="0BA6B297"/>
    <w:rsid w:val="0BA6B812"/>
    <w:rsid w:val="0BA6B9A2"/>
    <w:rsid w:val="0BA7210A"/>
    <w:rsid w:val="0BA752D3"/>
    <w:rsid w:val="0BA7559E"/>
    <w:rsid w:val="0BA7A9B8"/>
    <w:rsid w:val="0BA8386C"/>
    <w:rsid w:val="0BA8642C"/>
    <w:rsid w:val="0BA88B0A"/>
    <w:rsid w:val="0BA89BAC"/>
    <w:rsid w:val="0BA89E9F"/>
    <w:rsid w:val="0BAA4636"/>
    <w:rsid w:val="0BAB1400"/>
    <w:rsid w:val="0BAC7728"/>
    <w:rsid w:val="0BAE0C52"/>
    <w:rsid w:val="0BAE30CE"/>
    <w:rsid w:val="0BAF6144"/>
    <w:rsid w:val="0BAFA09D"/>
    <w:rsid w:val="0BB1209B"/>
    <w:rsid w:val="0BB37645"/>
    <w:rsid w:val="0BB3F6D2"/>
    <w:rsid w:val="0BB48987"/>
    <w:rsid w:val="0BB4A65E"/>
    <w:rsid w:val="0BB4BA14"/>
    <w:rsid w:val="0BB528CD"/>
    <w:rsid w:val="0BB5C6A7"/>
    <w:rsid w:val="0BB609F7"/>
    <w:rsid w:val="0BB68CE1"/>
    <w:rsid w:val="0BB74B96"/>
    <w:rsid w:val="0BB7CB8E"/>
    <w:rsid w:val="0BB86DE8"/>
    <w:rsid w:val="0BB8B102"/>
    <w:rsid w:val="0BB93DA5"/>
    <w:rsid w:val="0BB9F0A1"/>
    <w:rsid w:val="0BBAE3EC"/>
    <w:rsid w:val="0BBB75AE"/>
    <w:rsid w:val="0BBD1703"/>
    <w:rsid w:val="0BBDA0BF"/>
    <w:rsid w:val="0BBE0F9D"/>
    <w:rsid w:val="0BBE7C02"/>
    <w:rsid w:val="0BBEC7BD"/>
    <w:rsid w:val="0BBECB79"/>
    <w:rsid w:val="0BBF0BCA"/>
    <w:rsid w:val="0BC0855B"/>
    <w:rsid w:val="0BC1285E"/>
    <w:rsid w:val="0BC1F6DA"/>
    <w:rsid w:val="0BC28E63"/>
    <w:rsid w:val="0BC465A1"/>
    <w:rsid w:val="0BC564BD"/>
    <w:rsid w:val="0BC6A0E0"/>
    <w:rsid w:val="0BC6DC2C"/>
    <w:rsid w:val="0BC6F794"/>
    <w:rsid w:val="0BC70DE4"/>
    <w:rsid w:val="0BC73F1C"/>
    <w:rsid w:val="0BC7BA71"/>
    <w:rsid w:val="0BC7E0A6"/>
    <w:rsid w:val="0BC834EA"/>
    <w:rsid w:val="0BC8CED9"/>
    <w:rsid w:val="0BC8FB14"/>
    <w:rsid w:val="0BC98716"/>
    <w:rsid w:val="0BC9BF59"/>
    <w:rsid w:val="0BC9ED0D"/>
    <w:rsid w:val="0BCABE5F"/>
    <w:rsid w:val="0BCB8DF6"/>
    <w:rsid w:val="0BCB9123"/>
    <w:rsid w:val="0BCC8684"/>
    <w:rsid w:val="0BCC9134"/>
    <w:rsid w:val="0BCE622B"/>
    <w:rsid w:val="0BCE9B08"/>
    <w:rsid w:val="0BCF18FC"/>
    <w:rsid w:val="0BCF1940"/>
    <w:rsid w:val="0BCF1A48"/>
    <w:rsid w:val="0BCF3848"/>
    <w:rsid w:val="0BCF95A6"/>
    <w:rsid w:val="0BCFB25A"/>
    <w:rsid w:val="0BCFC0DF"/>
    <w:rsid w:val="0BD06D64"/>
    <w:rsid w:val="0BD070B0"/>
    <w:rsid w:val="0BD1EC7A"/>
    <w:rsid w:val="0BD2D993"/>
    <w:rsid w:val="0BD3016B"/>
    <w:rsid w:val="0BD47526"/>
    <w:rsid w:val="0BD59C87"/>
    <w:rsid w:val="0BD5D657"/>
    <w:rsid w:val="0BD686AA"/>
    <w:rsid w:val="0BD6E828"/>
    <w:rsid w:val="0BD8C032"/>
    <w:rsid w:val="0BD944F7"/>
    <w:rsid w:val="0BDA96F4"/>
    <w:rsid w:val="0BDBFE94"/>
    <w:rsid w:val="0BDDB37A"/>
    <w:rsid w:val="0BDDEFEE"/>
    <w:rsid w:val="0BDE12C7"/>
    <w:rsid w:val="0BDEEBBA"/>
    <w:rsid w:val="0BDF69F1"/>
    <w:rsid w:val="0BDF92C2"/>
    <w:rsid w:val="0BDF9495"/>
    <w:rsid w:val="0BDFB1F4"/>
    <w:rsid w:val="0BDFB5DF"/>
    <w:rsid w:val="0BE09F80"/>
    <w:rsid w:val="0BE175BD"/>
    <w:rsid w:val="0BE3AF70"/>
    <w:rsid w:val="0BE3D17F"/>
    <w:rsid w:val="0BE44E97"/>
    <w:rsid w:val="0BE5155C"/>
    <w:rsid w:val="0BE60A5A"/>
    <w:rsid w:val="0BE6672F"/>
    <w:rsid w:val="0BE78505"/>
    <w:rsid w:val="0BE7DCE0"/>
    <w:rsid w:val="0BE7F010"/>
    <w:rsid w:val="0BE96C61"/>
    <w:rsid w:val="0BE9D96A"/>
    <w:rsid w:val="0BEA2952"/>
    <w:rsid w:val="0BEC70F0"/>
    <w:rsid w:val="0BED997A"/>
    <w:rsid w:val="0BEED149"/>
    <w:rsid w:val="0BEF2E85"/>
    <w:rsid w:val="0BEFAEFA"/>
    <w:rsid w:val="0BF12F52"/>
    <w:rsid w:val="0BF25034"/>
    <w:rsid w:val="0BF31984"/>
    <w:rsid w:val="0BF349AE"/>
    <w:rsid w:val="0BF3604A"/>
    <w:rsid w:val="0BF38736"/>
    <w:rsid w:val="0BF41FEB"/>
    <w:rsid w:val="0BF42B4A"/>
    <w:rsid w:val="0BF42FFE"/>
    <w:rsid w:val="0BF44C5A"/>
    <w:rsid w:val="0BF466D2"/>
    <w:rsid w:val="0BF60DF6"/>
    <w:rsid w:val="0BF68FC7"/>
    <w:rsid w:val="0BF7CE25"/>
    <w:rsid w:val="0BF7E7C2"/>
    <w:rsid w:val="0BF7EE49"/>
    <w:rsid w:val="0BF9EC81"/>
    <w:rsid w:val="0BFAE2CE"/>
    <w:rsid w:val="0BFB3E6F"/>
    <w:rsid w:val="0BFB47C2"/>
    <w:rsid w:val="0BFB632C"/>
    <w:rsid w:val="0BFB8931"/>
    <w:rsid w:val="0BFBF205"/>
    <w:rsid w:val="0BFCC24F"/>
    <w:rsid w:val="0BFD7595"/>
    <w:rsid w:val="0BFDB340"/>
    <w:rsid w:val="0BFECA3C"/>
    <w:rsid w:val="0BFF339D"/>
    <w:rsid w:val="0BFF5DAD"/>
    <w:rsid w:val="0BFF6601"/>
    <w:rsid w:val="0C000037"/>
    <w:rsid w:val="0C00DFD3"/>
    <w:rsid w:val="0C01091B"/>
    <w:rsid w:val="0C01365F"/>
    <w:rsid w:val="0C01543C"/>
    <w:rsid w:val="0C016E91"/>
    <w:rsid w:val="0C019581"/>
    <w:rsid w:val="0C024E85"/>
    <w:rsid w:val="0C033482"/>
    <w:rsid w:val="0C034B86"/>
    <w:rsid w:val="0C04A5FE"/>
    <w:rsid w:val="0C052E68"/>
    <w:rsid w:val="0C05D9E8"/>
    <w:rsid w:val="0C064C3B"/>
    <w:rsid w:val="0C06DA13"/>
    <w:rsid w:val="0C06F52E"/>
    <w:rsid w:val="0C07EC6C"/>
    <w:rsid w:val="0C0849EC"/>
    <w:rsid w:val="0C085635"/>
    <w:rsid w:val="0C086070"/>
    <w:rsid w:val="0C090CE9"/>
    <w:rsid w:val="0C099F01"/>
    <w:rsid w:val="0C0B1EEB"/>
    <w:rsid w:val="0C0B211D"/>
    <w:rsid w:val="0C0BBDA0"/>
    <w:rsid w:val="0C0BF9B6"/>
    <w:rsid w:val="0C0BFEED"/>
    <w:rsid w:val="0C0D1C48"/>
    <w:rsid w:val="0C0DCE9E"/>
    <w:rsid w:val="0C0E4950"/>
    <w:rsid w:val="0C0F5A10"/>
    <w:rsid w:val="0C100A32"/>
    <w:rsid w:val="0C101D3E"/>
    <w:rsid w:val="0C103C2C"/>
    <w:rsid w:val="0C10AD56"/>
    <w:rsid w:val="0C111A93"/>
    <w:rsid w:val="0C11557F"/>
    <w:rsid w:val="0C1166B5"/>
    <w:rsid w:val="0C117EE6"/>
    <w:rsid w:val="0C122D4B"/>
    <w:rsid w:val="0C14D949"/>
    <w:rsid w:val="0C1625BB"/>
    <w:rsid w:val="0C16688E"/>
    <w:rsid w:val="0C16AF2F"/>
    <w:rsid w:val="0C16B5CF"/>
    <w:rsid w:val="0C16D086"/>
    <w:rsid w:val="0C16D298"/>
    <w:rsid w:val="0C16FFDD"/>
    <w:rsid w:val="0C1702C1"/>
    <w:rsid w:val="0C1787E2"/>
    <w:rsid w:val="0C17A95D"/>
    <w:rsid w:val="0C17B2FA"/>
    <w:rsid w:val="0C17FE22"/>
    <w:rsid w:val="0C185CC0"/>
    <w:rsid w:val="0C18609F"/>
    <w:rsid w:val="0C18CCB7"/>
    <w:rsid w:val="0C1932B8"/>
    <w:rsid w:val="0C193FFE"/>
    <w:rsid w:val="0C1A1D77"/>
    <w:rsid w:val="0C1A9648"/>
    <w:rsid w:val="0C1B0EE5"/>
    <w:rsid w:val="0C1BA13C"/>
    <w:rsid w:val="0C1BDAA9"/>
    <w:rsid w:val="0C1BE2D9"/>
    <w:rsid w:val="0C1D51FF"/>
    <w:rsid w:val="0C1D60E5"/>
    <w:rsid w:val="0C1E4A0F"/>
    <w:rsid w:val="0C1E7B2B"/>
    <w:rsid w:val="0C1F8D7C"/>
    <w:rsid w:val="0C200D0D"/>
    <w:rsid w:val="0C20159B"/>
    <w:rsid w:val="0C20A474"/>
    <w:rsid w:val="0C20B298"/>
    <w:rsid w:val="0C20CAD8"/>
    <w:rsid w:val="0C214A10"/>
    <w:rsid w:val="0C216DE4"/>
    <w:rsid w:val="0C21F650"/>
    <w:rsid w:val="0C2203E3"/>
    <w:rsid w:val="0C22115A"/>
    <w:rsid w:val="0C225C2F"/>
    <w:rsid w:val="0C22E59B"/>
    <w:rsid w:val="0C23A873"/>
    <w:rsid w:val="0C243EF2"/>
    <w:rsid w:val="0C2466BD"/>
    <w:rsid w:val="0C250405"/>
    <w:rsid w:val="0C251A10"/>
    <w:rsid w:val="0C251B8E"/>
    <w:rsid w:val="0C255FED"/>
    <w:rsid w:val="0C257E45"/>
    <w:rsid w:val="0C25DCB5"/>
    <w:rsid w:val="0C26543B"/>
    <w:rsid w:val="0C2660A0"/>
    <w:rsid w:val="0C28A146"/>
    <w:rsid w:val="0C296D92"/>
    <w:rsid w:val="0C299648"/>
    <w:rsid w:val="0C2A9D24"/>
    <w:rsid w:val="0C2B6709"/>
    <w:rsid w:val="0C2B6B49"/>
    <w:rsid w:val="0C2B7FEE"/>
    <w:rsid w:val="0C2DB7E6"/>
    <w:rsid w:val="0C2DD9E9"/>
    <w:rsid w:val="0C2DE5FF"/>
    <w:rsid w:val="0C2F2EE5"/>
    <w:rsid w:val="0C30610D"/>
    <w:rsid w:val="0C3141E7"/>
    <w:rsid w:val="0C31B5FF"/>
    <w:rsid w:val="0C329EE3"/>
    <w:rsid w:val="0C32D012"/>
    <w:rsid w:val="0C3300B9"/>
    <w:rsid w:val="0C3367B4"/>
    <w:rsid w:val="0C34825D"/>
    <w:rsid w:val="0C348578"/>
    <w:rsid w:val="0C34B638"/>
    <w:rsid w:val="0C352329"/>
    <w:rsid w:val="0C373869"/>
    <w:rsid w:val="0C384289"/>
    <w:rsid w:val="0C388B60"/>
    <w:rsid w:val="0C389A3A"/>
    <w:rsid w:val="0C38AD15"/>
    <w:rsid w:val="0C38BA32"/>
    <w:rsid w:val="0C39457F"/>
    <w:rsid w:val="0C39727C"/>
    <w:rsid w:val="0C39F0CE"/>
    <w:rsid w:val="0C3A1D2B"/>
    <w:rsid w:val="0C3A6C8F"/>
    <w:rsid w:val="0C3A8345"/>
    <w:rsid w:val="0C3A8F37"/>
    <w:rsid w:val="0C3ADB15"/>
    <w:rsid w:val="0C3ADE33"/>
    <w:rsid w:val="0C3B9E84"/>
    <w:rsid w:val="0C3CB117"/>
    <w:rsid w:val="0C3E04CC"/>
    <w:rsid w:val="0C3FBB74"/>
    <w:rsid w:val="0C400375"/>
    <w:rsid w:val="0C404ECD"/>
    <w:rsid w:val="0C4108D3"/>
    <w:rsid w:val="0C411A0A"/>
    <w:rsid w:val="0C415C51"/>
    <w:rsid w:val="0C42D87D"/>
    <w:rsid w:val="0C44A813"/>
    <w:rsid w:val="0C44A97D"/>
    <w:rsid w:val="0C45826F"/>
    <w:rsid w:val="0C45D9B6"/>
    <w:rsid w:val="0C469A15"/>
    <w:rsid w:val="0C47D149"/>
    <w:rsid w:val="0C4811E9"/>
    <w:rsid w:val="0C4847D4"/>
    <w:rsid w:val="0C4A8B75"/>
    <w:rsid w:val="0C4B0970"/>
    <w:rsid w:val="0C4B741D"/>
    <w:rsid w:val="0C4C205C"/>
    <w:rsid w:val="0C4CF356"/>
    <w:rsid w:val="0C4D696B"/>
    <w:rsid w:val="0C4E1C91"/>
    <w:rsid w:val="0C4E7193"/>
    <w:rsid w:val="0C4EAC0F"/>
    <w:rsid w:val="0C4EC58E"/>
    <w:rsid w:val="0C4F2CE1"/>
    <w:rsid w:val="0C4FC4FE"/>
    <w:rsid w:val="0C505F41"/>
    <w:rsid w:val="0C506BBC"/>
    <w:rsid w:val="0C507980"/>
    <w:rsid w:val="0C51B915"/>
    <w:rsid w:val="0C5209AB"/>
    <w:rsid w:val="0C52B7E2"/>
    <w:rsid w:val="0C54FE05"/>
    <w:rsid w:val="0C560568"/>
    <w:rsid w:val="0C57293B"/>
    <w:rsid w:val="0C57FC67"/>
    <w:rsid w:val="0C584020"/>
    <w:rsid w:val="0C58CFBA"/>
    <w:rsid w:val="0C594CD4"/>
    <w:rsid w:val="0C5AC86D"/>
    <w:rsid w:val="0C5C7821"/>
    <w:rsid w:val="0C5E013A"/>
    <w:rsid w:val="0C5E0536"/>
    <w:rsid w:val="0C5E53BC"/>
    <w:rsid w:val="0C6026D7"/>
    <w:rsid w:val="0C61E423"/>
    <w:rsid w:val="0C61FB12"/>
    <w:rsid w:val="0C620ADE"/>
    <w:rsid w:val="0C629ADE"/>
    <w:rsid w:val="0C62CE3B"/>
    <w:rsid w:val="0C62D59C"/>
    <w:rsid w:val="0C62E6FC"/>
    <w:rsid w:val="0C6340F6"/>
    <w:rsid w:val="0C658643"/>
    <w:rsid w:val="0C6611A4"/>
    <w:rsid w:val="0C666EC5"/>
    <w:rsid w:val="0C66A9E9"/>
    <w:rsid w:val="0C67784B"/>
    <w:rsid w:val="0C689E1B"/>
    <w:rsid w:val="0C698A71"/>
    <w:rsid w:val="0C6A3E65"/>
    <w:rsid w:val="0C6B5041"/>
    <w:rsid w:val="0C6BA513"/>
    <w:rsid w:val="0C6C6A94"/>
    <w:rsid w:val="0C6C786A"/>
    <w:rsid w:val="0C6D20F5"/>
    <w:rsid w:val="0C6DBE36"/>
    <w:rsid w:val="0C6DD58A"/>
    <w:rsid w:val="0C6DD8BD"/>
    <w:rsid w:val="0C6DF1B9"/>
    <w:rsid w:val="0C6E2CC1"/>
    <w:rsid w:val="0C6F61F1"/>
    <w:rsid w:val="0C6FE4B6"/>
    <w:rsid w:val="0C7215C5"/>
    <w:rsid w:val="0C7240D1"/>
    <w:rsid w:val="0C72458A"/>
    <w:rsid w:val="0C72487D"/>
    <w:rsid w:val="0C7268D3"/>
    <w:rsid w:val="0C727EE2"/>
    <w:rsid w:val="0C73FA39"/>
    <w:rsid w:val="0C74763A"/>
    <w:rsid w:val="0C7528B8"/>
    <w:rsid w:val="0C75726A"/>
    <w:rsid w:val="0C75B921"/>
    <w:rsid w:val="0C75DCF1"/>
    <w:rsid w:val="0C766965"/>
    <w:rsid w:val="0C77282B"/>
    <w:rsid w:val="0C78189F"/>
    <w:rsid w:val="0C78631F"/>
    <w:rsid w:val="0C7978A8"/>
    <w:rsid w:val="0C79A742"/>
    <w:rsid w:val="0C7A97BA"/>
    <w:rsid w:val="0C7AED63"/>
    <w:rsid w:val="0C7BCD5A"/>
    <w:rsid w:val="0C7C0B56"/>
    <w:rsid w:val="0C7DF65D"/>
    <w:rsid w:val="0C7F0F1B"/>
    <w:rsid w:val="0C7FFF6A"/>
    <w:rsid w:val="0C802A87"/>
    <w:rsid w:val="0C80CB66"/>
    <w:rsid w:val="0C80F488"/>
    <w:rsid w:val="0C82E2FC"/>
    <w:rsid w:val="0C82F4DF"/>
    <w:rsid w:val="0C83948E"/>
    <w:rsid w:val="0C84549C"/>
    <w:rsid w:val="0C846C23"/>
    <w:rsid w:val="0C84BAD4"/>
    <w:rsid w:val="0C84E9C5"/>
    <w:rsid w:val="0C856658"/>
    <w:rsid w:val="0C85B650"/>
    <w:rsid w:val="0C862575"/>
    <w:rsid w:val="0C86D74C"/>
    <w:rsid w:val="0C87D4AF"/>
    <w:rsid w:val="0C87EDD9"/>
    <w:rsid w:val="0C883D4A"/>
    <w:rsid w:val="0C8879EA"/>
    <w:rsid w:val="0C88D197"/>
    <w:rsid w:val="0C8970AE"/>
    <w:rsid w:val="0C899031"/>
    <w:rsid w:val="0C8A20FD"/>
    <w:rsid w:val="0C8BA2BB"/>
    <w:rsid w:val="0C8CB785"/>
    <w:rsid w:val="0C8D2C1B"/>
    <w:rsid w:val="0C8EAE09"/>
    <w:rsid w:val="0C8F3DFE"/>
    <w:rsid w:val="0C8FD34B"/>
    <w:rsid w:val="0C909CB1"/>
    <w:rsid w:val="0C912386"/>
    <w:rsid w:val="0C915369"/>
    <w:rsid w:val="0C9262AE"/>
    <w:rsid w:val="0C9264FD"/>
    <w:rsid w:val="0C928D8D"/>
    <w:rsid w:val="0C933915"/>
    <w:rsid w:val="0C936D8F"/>
    <w:rsid w:val="0C93E88D"/>
    <w:rsid w:val="0C94DFB7"/>
    <w:rsid w:val="0C9500E5"/>
    <w:rsid w:val="0C952C99"/>
    <w:rsid w:val="0C964208"/>
    <w:rsid w:val="0C967BBF"/>
    <w:rsid w:val="0C9681F7"/>
    <w:rsid w:val="0C97410E"/>
    <w:rsid w:val="0C974B88"/>
    <w:rsid w:val="0C97E1D4"/>
    <w:rsid w:val="0C97EC69"/>
    <w:rsid w:val="0C996F71"/>
    <w:rsid w:val="0C99B0DF"/>
    <w:rsid w:val="0C99B783"/>
    <w:rsid w:val="0C9C119E"/>
    <w:rsid w:val="0C9C2CCF"/>
    <w:rsid w:val="0C9C4E25"/>
    <w:rsid w:val="0C9C4E7C"/>
    <w:rsid w:val="0C9C52BB"/>
    <w:rsid w:val="0C9C9D43"/>
    <w:rsid w:val="0C9CEA47"/>
    <w:rsid w:val="0C9D938A"/>
    <w:rsid w:val="0C9DFABA"/>
    <w:rsid w:val="0C9FDC75"/>
    <w:rsid w:val="0CA02CFD"/>
    <w:rsid w:val="0CA07F67"/>
    <w:rsid w:val="0CA08D96"/>
    <w:rsid w:val="0CA0D621"/>
    <w:rsid w:val="0CA0DF5C"/>
    <w:rsid w:val="0CA0E35B"/>
    <w:rsid w:val="0CA15589"/>
    <w:rsid w:val="0CA2E38E"/>
    <w:rsid w:val="0CA2F06B"/>
    <w:rsid w:val="0CA30F6D"/>
    <w:rsid w:val="0CA38CD2"/>
    <w:rsid w:val="0CA7768A"/>
    <w:rsid w:val="0CA77CEC"/>
    <w:rsid w:val="0CA78B56"/>
    <w:rsid w:val="0CA86693"/>
    <w:rsid w:val="0CA907A7"/>
    <w:rsid w:val="0CA95ECB"/>
    <w:rsid w:val="0CA9BCA6"/>
    <w:rsid w:val="0CAA756A"/>
    <w:rsid w:val="0CABC7DA"/>
    <w:rsid w:val="0CABD08C"/>
    <w:rsid w:val="0CADE6BF"/>
    <w:rsid w:val="0CAE43BF"/>
    <w:rsid w:val="0CAE4719"/>
    <w:rsid w:val="0CAF3E0A"/>
    <w:rsid w:val="0CAF81B0"/>
    <w:rsid w:val="0CAFA4B0"/>
    <w:rsid w:val="0CB01FC1"/>
    <w:rsid w:val="0CB02096"/>
    <w:rsid w:val="0CB0539C"/>
    <w:rsid w:val="0CB15818"/>
    <w:rsid w:val="0CB1862F"/>
    <w:rsid w:val="0CB1BFCC"/>
    <w:rsid w:val="0CB3DC2A"/>
    <w:rsid w:val="0CB40FAF"/>
    <w:rsid w:val="0CB4DD0B"/>
    <w:rsid w:val="0CB501A9"/>
    <w:rsid w:val="0CB550CD"/>
    <w:rsid w:val="0CB57E26"/>
    <w:rsid w:val="0CB59866"/>
    <w:rsid w:val="0CB5AD47"/>
    <w:rsid w:val="0CB5CB6C"/>
    <w:rsid w:val="0CB70BF8"/>
    <w:rsid w:val="0CB79CEC"/>
    <w:rsid w:val="0CB81252"/>
    <w:rsid w:val="0CB91BAA"/>
    <w:rsid w:val="0CB95E63"/>
    <w:rsid w:val="0CBA17B4"/>
    <w:rsid w:val="0CBA6588"/>
    <w:rsid w:val="0CBABDCC"/>
    <w:rsid w:val="0CBAE6FE"/>
    <w:rsid w:val="0CBAF414"/>
    <w:rsid w:val="0CBB7743"/>
    <w:rsid w:val="0CBB80CA"/>
    <w:rsid w:val="0CBBEA14"/>
    <w:rsid w:val="0CBC0BB4"/>
    <w:rsid w:val="0CBCA3CD"/>
    <w:rsid w:val="0CBCF473"/>
    <w:rsid w:val="0CBDC2FE"/>
    <w:rsid w:val="0CBEF60B"/>
    <w:rsid w:val="0CBF2D6D"/>
    <w:rsid w:val="0CBF8C8B"/>
    <w:rsid w:val="0CC04165"/>
    <w:rsid w:val="0CC137AB"/>
    <w:rsid w:val="0CC16C15"/>
    <w:rsid w:val="0CC1C9A5"/>
    <w:rsid w:val="0CC1E5CC"/>
    <w:rsid w:val="0CC26B8D"/>
    <w:rsid w:val="0CC40A06"/>
    <w:rsid w:val="0CC5608E"/>
    <w:rsid w:val="0CC5C694"/>
    <w:rsid w:val="0CC640B1"/>
    <w:rsid w:val="0CC88532"/>
    <w:rsid w:val="0CCAE51B"/>
    <w:rsid w:val="0CCB1CF6"/>
    <w:rsid w:val="0CCBCEF1"/>
    <w:rsid w:val="0CCC3A33"/>
    <w:rsid w:val="0CCCBAE2"/>
    <w:rsid w:val="0CCCC6B8"/>
    <w:rsid w:val="0CCCE006"/>
    <w:rsid w:val="0CCD8B55"/>
    <w:rsid w:val="0CCE6FAC"/>
    <w:rsid w:val="0CCEB785"/>
    <w:rsid w:val="0CCEE99B"/>
    <w:rsid w:val="0CD0ACDE"/>
    <w:rsid w:val="0CD0FFCC"/>
    <w:rsid w:val="0CD1200C"/>
    <w:rsid w:val="0CD198BE"/>
    <w:rsid w:val="0CD2C522"/>
    <w:rsid w:val="0CD3075E"/>
    <w:rsid w:val="0CD3BFE9"/>
    <w:rsid w:val="0CD42248"/>
    <w:rsid w:val="0CD42F23"/>
    <w:rsid w:val="0CD445F3"/>
    <w:rsid w:val="0CD4F3E6"/>
    <w:rsid w:val="0CD577BE"/>
    <w:rsid w:val="0CD65B12"/>
    <w:rsid w:val="0CD6CAEF"/>
    <w:rsid w:val="0CD76025"/>
    <w:rsid w:val="0CD7835C"/>
    <w:rsid w:val="0CD78B08"/>
    <w:rsid w:val="0CD7D85A"/>
    <w:rsid w:val="0CD8E46F"/>
    <w:rsid w:val="0CD93363"/>
    <w:rsid w:val="0CD98340"/>
    <w:rsid w:val="0CDB768C"/>
    <w:rsid w:val="0CDBC8E5"/>
    <w:rsid w:val="0CDC4E0F"/>
    <w:rsid w:val="0CDD5B5A"/>
    <w:rsid w:val="0CDE247E"/>
    <w:rsid w:val="0CDE83F6"/>
    <w:rsid w:val="0CDE9B49"/>
    <w:rsid w:val="0CE07E4F"/>
    <w:rsid w:val="0CE0FCC8"/>
    <w:rsid w:val="0CE20ECE"/>
    <w:rsid w:val="0CE277C8"/>
    <w:rsid w:val="0CE2EA77"/>
    <w:rsid w:val="0CE2EAAB"/>
    <w:rsid w:val="0CE331F3"/>
    <w:rsid w:val="0CE41749"/>
    <w:rsid w:val="0CE42015"/>
    <w:rsid w:val="0CE4246E"/>
    <w:rsid w:val="0CE54CDB"/>
    <w:rsid w:val="0CE5AB25"/>
    <w:rsid w:val="0CE63D52"/>
    <w:rsid w:val="0CE756E8"/>
    <w:rsid w:val="0CE75F77"/>
    <w:rsid w:val="0CE76D3F"/>
    <w:rsid w:val="0CE7B595"/>
    <w:rsid w:val="0CE85812"/>
    <w:rsid w:val="0CE885BE"/>
    <w:rsid w:val="0CEA12CC"/>
    <w:rsid w:val="0CEA4406"/>
    <w:rsid w:val="0CEB91FD"/>
    <w:rsid w:val="0CEC6F3E"/>
    <w:rsid w:val="0CECD711"/>
    <w:rsid w:val="0CEE3AE5"/>
    <w:rsid w:val="0CEE6A78"/>
    <w:rsid w:val="0CEE8BC0"/>
    <w:rsid w:val="0CEF2D53"/>
    <w:rsid w:val="0CEF9DB1"/>
    <w:rsid w:val="0CF07427"/>
    <w:rsid w:val="0CF10C44"/>
    <w:rsid w:val="0CF10FF6"/>
    <w:rsid w:val="0CF40E70"/>
    <w:rsid w:val="0CF51B0C"/>
    <w:rsid w:val="0CF55BCD"/>
    <w:rsid w:val="0CF59322"/>
    <w:rsid w:val="0CF65C22"/>
    <w:rsid w:val="0CF71252"/>
    <w:rsid w:val="0CF72256"/>
    <w:rsid w:val="0CF7833D"/>
    <w:rsid w:val="0CF7C66A"/>
    <w:rsid w:val="0CF7FD06"/>
    <w:rsid w:val="0CF8E869"/>
    <w:rsid w:val="0CF90F0E"/>
    <w:rsid w:val="0CF97C12"/>
    <w:rsid w:val="0CFB0C10"/>
    <w:rsid w:val="0CFBD623"/>
    <w:rsid w:val="0CFC29A9"/>
    <w:rsid w:val="0CFC31BD"/>
    <w:rsid w:val="0CFD2C65"/>
    <w:rsid w:val="0CFE2E74"/>
    <w:rsid w:val="0CFEC2FA"/>
    <w:rsid w:val="0CFF09AA"/>
    <w:rsid w:val="0CFF7FE8"/>
    <w:rsid w:val="0D009AC9"/>
    <w:rsid w:val="0D02C9B4"/>
    <w:rsid w:val="0D02DEC2"/>
    <w:rsid w:val="0D02E4EC"/>
    <w:rsid w:val="0D02F8D2"/>
    <w:rsid w:val="0D04775E"/>
    <w:rsid w:val="0D06D7CB"/>
    <w:rsid w:val="0D07266E"/>
    <w:rsid w:val="0D077247"/>
    <w:rsid w:val="0D07B64C"/>
    <w:rsid w:val="0D08B260"/>
    <w:rsid w:val="0D0A27D7"/>
    <w:rsid w:val="0D0A3153"/>
    <w:rsid w:val="0D0A6777"/>
    <w:rsid w:val="0D0A813C"/>
    <w:rsid w:val="0D0B90D1"/>
    <w:rsid w:val="0D0BD060"/>
    <w:rsid w:val="0D0E0D41"/>
    <w:rsid w:val="0D0F4DFF"/>
    <w:rsid w:val="0D0FB6B7"/>
    <w:rsid w:val="0D1055B6"/>
    <w:rsid w:val="0D10C58E"/>
    <w:rsid w:val="0D10F284"/>
    <w:rsid w:val="0D1217AB"/>
    <w:rsid w:val="0D12194C"/>
    <w:rsid w:val="0D121E4E"/>
    <w:rsid w:val="0D126356"/>
    <w:rsid w:val="0D1379C6"/>
    <w:rsid w:val="0D15BC57"/>
    <w:rsid w:val="0D1630E5"/>
    <w:rsid w:val="0D163201"/>
    <w:rsid w:val="0D169710"/>
    <w:rsid w:val="0D175BD6"/>
    <w:rsid w:val="0D17799D"/>
    <w:rsid w:val="0D180A28"/>
    <w:rsid w:val="0D18B54A"/>
    <w:rsid w:val="0D195845"/>
    <w:rsid w:val="0D19B3FE"/>
    <w:rsid w:val="0D19B4B7"/>
    <w:rsid w:val="0D19C04B"/>
    <w:rsid w:val="0D1B04A7"/>
    <w:rsid w:val="0D1B0A03"/>
    <w:rsid w:val="0D1B7DBD"/>
    <w:rsid w:val="0D1BF8FA"/>
    <w:rsid w:val="0D1C3FFB"/>
    <w:rsid w:val="0D1C62CE"/>
    <w:rsid w:val="0D1C8739"/>
    <w:rsid w:val="0D1CA45F"/>
    <w:rsid w:val="0D1DEC9A"/>
    <w:rsid w:val="0D1DF706"/>
    <w:rsid w:val="0D1F8904"/>
    <w:rsid w:val="0D20167B"/>
    <w:rsid w:val="0D2018B7"/>
    <w:rsid w:val="0D203E26"/>
    <w:rsid w:val="0D207087"/>
    <w:rsid w:val="0D209084"/>
    <w:rsid w:val="0D2094DE"/>
    <w:rsid w:val="0D213F34"/>
    <w:rsid w:val="0D226E60"/>
    <w:rsid w:val="0D22FA1E"/>
    <w:rsid w:val="0D231889"/>
    <w:rsid w:val="0D24A5E8"/>
    <w:rsid w:val="0D24C216"/>
    <w:rsid w:val="0D251A52"/>
    <w:rsid w:val="0D26FF0C"/>
    <w:rsid w:val="0D2743F4"/>
    <w:rsid w:val="0D274D21"/>
    <w:rsid w:val="0D2840A4"/>
    <w:rsid w:val="0D28A85F"/>
    <w:rsid w:val="0D28EE74"/>
    <w:rsid w:val="0D29B3DE"/>
    <w:rsid w:val="0D29C862"/>
    <w:rsid w:val="0D2B9AE9"/>
    <w:rsid w:val="0D2BAE0D"/>
    <w:rsid w:val="0D2BD4BF"/>
    <w:rsid w:val="0D2BD665"/>
    <w:rsid w:val="0D2C1126"/>
    <w:rsid w:val="0D2ED93E"/>
    <w:rsid w:val="0D301EB4"/>
    <w:rsid w:val="0D306DE8"/>
    <w:rsid w:val="0D3092CB"/>
    <w:rsid w:val="0D30DD57"/>
    <w:rsid w:val="0D311F21"/>
    <w:rsid w:val="0D317544"/>
    <w:rsid w:val="0D322358"/>
    <w:rsid w:val="0D3398E3"/>
    <w:rsid w:val="0D34645B"/>
    <w:rsid w:val="0D3573F3"/>
    <w:rsid w:val="0D35E6F7"/>
    <w:rsid w:val="0D364106"/>
    <w:rsid w:val="0D36BEC8"/>
    <w:rsid w:val="0D3807B0"/>
    <w:rsid w:val="0D3A5405"/>
    <w:rsid w:val="0D3B672B"/>
    <w:rsid w:val="0D3C6950"/>
    <w:rsid w:val="0D3CE7F2"/>
    <w:rsid w:val="0D3D46B9"/>
    <w:rsid w:val="0D3D530D"/>
    <w:rsid w:val="0D3D5E0B"/>
    <w:rsid w:val="0D3D6E59"/>
    <w:rsid w:val="0D3E6ECB"/>
    <w:rsid w:val="0D41AA98"/>
    <w:rsid w:val="0D420920"/>
    <w:rsid w:val="0D42F81F"/>
    <w:rsid w:val="0D442FB4"/>
    <w:rsid w:val="0D454F03"/>
    <w:rsid w:val="0D45D3ED"/>
    <w:rsid w:val="0D45E758"/>
    <w:rsid w:val="0D45ED38"/>
    <w:rsid w:val="0D45F2DE"/>
    <w:rsid w:val="0D46C0B4"/>
    <w:rsid w:val="0D472A1B"/>
    <w:rsid w:val="0D47ED45"/>
    <w:rsid w:val="0D480728"/>
    <w:rsid w:val="0D4832CE"/>
    <w:rsid w:val="0D487DE2"/>
    <w:rsid w:val="0D48CCB2"/>
    <w:rsid w:val="0D4941C6"/>
    <w:rsid w:val="0D49A928"/>
    <w:rsid w:val="0D4A153E"/>
    <w:rsid w:val="0D4AF5E9"/>
    <w:rsid w:val="0D4B1D6C"/>
    <w:rsid w:val="0D4C3007"/>
    <w:rsid w:val="0D4C6E8D"/>
    <w:rsid w:val="0D4CBA60"/>
    <w:rsid w:val="0D4E1F00"/>
    <w:rsid w:val="0D4F5A46"/>
    <w:rsid w:val="0D4FAD9C"/>
    <w:rsid w:val="0D51DEB5"/>
    <w:rsid w:val="0D521D81"/>
    <w:rsid w:val="0D53BFBB"/>
    <w:rsid w:val="0D548A2E"/>
    <w:rsid w:val="0D54E696"/>
    <w:rsid w:val="0D54FE4E"/>
    <w:rsid w:val="0D5561E0"/>
    <w:rsid w:val="0D55BE1B"/>
    <w:rsid w:val="0D56472C"/>
    <w:rsid w:val="0D570C58"/>
    <w:rsid w:val="0D574370"/>
    <w:rsid w:val="0D575F58"/>
    <w:rsid w:val="0D58068F"/>
    <w:rsid w:val="0D586802"/>
    <w:rsid w:val="0D588D5B"/>
    <w:rsid w:val="0D58CC25"/>
    <w:rsid w:val="0D597E9F"/>
    <w:rsid w:val="0D59BEA6"/>
    <w:rsid w:val="0D5B11DA"/>
    <w:rsid w:val="0D5B56EE"/>
    <w:rsid w:val="0D5B6C86"/>
    <w:rsid w:val="0D5BB6F0"/>
    <w:rsid w:val="0D5C1F15"/>
    <w:rsid w:val="0D5C263C"/>
    <w:rsid w:val="0D5E1ECA"/>
    <w:rsid w:val="0D5EC7FF"/>
    <w:rsid w:val="0D5ECE65"/>
    <w:rsid w:val="0D5EE195"/>
    <w:rsid w:val="0D605D3D"/>
    <w:rsid w:val="0D60D21F"/>
    <w:rsid w:val="0D6122A2"/>
    <w:rsid w:val="0D61314F"/>
    <w:rsid w:val="0D61635F"/>
    <w:rsid w:val="0D61CE59"/>
    <w:rsid w:val="0D620D2B"/>
    <w:rsid w:val="0D6485E8"/>
    <w:rsid w:val="0D673EBE"/>
    <w:rsid w:val="0D678520"/>
    <w:rsid w:val="0D67BA22"/>
    <w:rsid w:val="0D67E882"/>
    <w:rsid w:val="0D68085E"/>
    <w:rsid w:val="0D68A3C1"/>
    <w:rsid w:val="0D69FDD0"/>
    <w:rsid w:val="0D6A0619"/>
    <w:rsid w:val="0D6A3B41"/>
    <w:rsid w:val="0D6B2420"/>
    <w:rsid w:val="0D6B5144"/>
    <w:rsid w:val="0D6C6AA6"/>
    <w:rsid w:val="0D6CDE77"/>
    <w:rsid w:val="0D6D9791"/>
    <w:rsid w:val="0D6F0F68"/>
    <w:rsid w:val="0D706DA5"/>
    <w:rsid w:val="0D70F676"/>
    <w:rsid w:val="0D713ADE"/>
    <w:rsid w:val="0D71B068"/>
    <w:rsid w:val="0D71BCA8"/>
    <w:rsid w:val="0D71D6BA"/>
    <w:rsid w:val="0D71FAB5"/>
    <w:rsid w:val="0D72058F"/>
    <w:rsid w:val="0D721EFF"/>
    <w:rsid w:val="0D722145"/>
    <w:rsid w:val="0D724A90"/>
    <w:rsid w:val="0D724D26"/>
    <w:rsid w:val="0D737F2A"/>
    <w:rsid w:val="0D7496F9"/>
    <w:rsid w:val="0D750322"/>
    <w:rsid w:val="0D754E9C"/>
    <w:rsid w:val="0D758A09"/>
    <w:rsid w:val="0D75BEAE"/>
    <w:rsid w:val="0D75DC08"/>
    <w:rsid w:val="0D7613EA"/>
    <w:rsid w:val="0D76DCE6"/>
    <w:rsid w:val="0D77987D"/>
    <w:rsid w:val="0D795580"/>
    <w:rsid w:val="0D7972DF"/>
    <w:rsid w:val="0D79BD0E"/>
    <w:rsid w:val="0D79CC4E"/>
    <w:rsid w:val="0D79FF27"/>
    <w:rsid w:val="0D7A4BB0"/>
    <w:rsid w:val="0D7A7CF9"/>
    <w:rsid w:val="0D7AAFCE"/>
    <w:rsid w:val="0D7ADEEC"/>
    <w:rsid w:val="0D7AF292"/>
    <w:rsid w:val="0D7AF2DB"/>
    <w:rsid w:val="0D7B04C8"/>
    <w:rsid w:val="0D7B672F"/>
    <w:rsid w:val="0D7B825B"/>
    <w:rsid w:val="0D7B88A9"/>
    <w:rsid w:val="0D7BA196"/>
    <w:rsid w:val="0D7BA633"/>
    <w:rsid w:val="0D7C10C6"/>
    <w:rsid w:val="0D7F29A5"/>
    <w:rsid w:val="0D7F795E"/>
    <w:rsid w:val="0D811422"/>
    <w:rsid w:val="0D81C5FC"/>
    <w:rsid w:val="0D82A4BE"/>
    <w:rsid w:val="0D82C160"/>
    <w:rsid w:val="0D82C9BF"/>
    <w:rsid w:val="0D833AEE"/>
    <w:rsid w:val="0D835615"/>
    <w:rsid w:val="0D83E194"/>
    <w:rsid w:val="0D846483"/>
    <w:rsid w:val="0D84DE35"/>
    <w:rsid w:val="0D86E13F"/>
    <w:rsid w:val="0D86EE37"/>
    <w:rsid w:val="0D86FC35"/>
    <w:rsid w:val="0D879D24"/>
    <w:rsid w:val="0D87FADC"/>
    <w:rsid w:val="0D88DB67"/>
    <w:rsid w:val="0D89A0AE"/>
    <w:rsid w:val="0D8B520D"/>
    <w:rsid w:val="0D8C87E5"/>
    <w:rsid w:val="0D8CB8D0"/>
    <w:rsid w:val="0D8D95CE"/>
    <w:rsid w:val="0D8E7B33"/>
    <w:rsid w:val="0D8F6FFF"/>
    <w:rsid w:val="0D8FACB5"/>
    <w:rsid w:val="0D91200B"/>
    <w:rsid w:val="0D91B275"/>
    <w:rsid w:val="0D922478"/>
    <w:rsid w:val="0D9312E1"/>
    <w:rsid w:val="0D9381A8"/>
    <w:rsid w:val="0D9408BA"/>
    <w:rsid w:val="0D95FF4A"/>
    <w:rsid w:val="0D96BF4F"/>
    <w:rsid w:val="0D970B2D"/>
    <w:rsid w:val="0D9770D9"/>
    <w:rsid w:val="0D977CAF"/>
    <w:rsid w:val="0D980565"/>
    <w:rsid w:val="0D98AA05"/>
    <w:rsid w:val="0D99AB47"/>
    <w:rsid w:val="0D9ADCA7"/>
    <w:rsid w:val="0D9B79B8"/>
    <w:rsid w:val="0D9D404D"/>
    <w:rsid w:val="0D9EB22D"/>
    <w:rsid w:val="0D9ECADA"/>
    <w:rsid w:val="0D9EF27B"/>
    <w:rsid w:val="0D9EFA41"/>
    <w:rsid w:val="0D9FD3E7"/>
    <w:rsid w:val="0D9FF972"/>
    <w:rsid w:val="0DA07601"/>
    <w:rsid w:val="0DA0BCD7"/>
    <w:rsid w:val="0DA0C4F1"/>
    <w:rsid w:val="0DA0EA69"/>
    <w:rsid w:val="0DA1504A"/>
    <w:rsid w:val="0DA1A558"/>
    <w:rsid w:val="0DA25A63"/>
    <w:rsid w:val="0DA2EBCA"/>
    <w:rsid w:val="0DA4C7BE"/>
    <w:rsid w:val="0DAA0AA4"/>
    <w:rsid w:val="0DAC158A"/>
    <w:rsid w:val="0DAC2A8B"/>
    <w:rsid w:val="0DACCB77"/>
    <w:rsid w:val="0DAD2B27"/>
    <w:rsid w:val="0DAD4F26"/>
    <w:rsid w:val="0DADACA7"/>
    <w:rsid w:val="0DADCAA2"/>
    <w:rsid w:val="0DAF5808"/>
    <w:rsid w:val="0DAF607C"/>
    <w:rsid w:val="0DB03543"/>
    <w:rsid w:val="0DB0E19A"/>
    <w:rsid w:val="0DB0E81B"/>
    <w:rsid w:val="0DB0EA70"/>
    <w:rsid w:val="0DB1B915"/>
    <w:rsid w:val="0DB1EAC8"/>
    <w:rsid w:val="0DB1F3E1"/>
    <w:rsid w:val="0DB2830B"/>
    <w:rsid w:val="0DB3D693"/>
    <w:rsid w:val="0DB5B4CE"/>
    <w:rsid w:val="0DB78303"/>
    <w:rsid w:val="0DB7BFCB"/>
    <w:rsid w:val="0DB87738"/>
    <w:rsid w:val="0DB8E2CD"/>
    <w:rsid w:val="0DB98728"/>
    <w:rsid w:val="0DB99DDA"/>
    <w:rsid w:val="0DBAAF68"/>
    <w:rsid w:val="0DBBF784"/>
    <w:rsid w:val="0DBC2DBE"/>
    <w:rsid w:val="0DBDBA24"/>
    <w:rsid w:val="0DBDD6C2"/>
    <w:rsid w:val="0DBE5D3F"/>
    <w:rsid w:val="0DBECB08"/>
    <w:rsid w:val="0DC187A9"/>
    <w:rsid w:val="0DC2B6C9"/>
    <w:rsid w:val="0DC2D42B"/>
    <w:rsid w:val="0DC2E0C2"/>
    <w:rsid w:val="0DC44AB7"/>
    <w:rsid w:val="0DC4A5DF"/>
    <w:rsid w:val="0DC4C910"/>
    <w:rsid w:val="0DC590B5"/>
    <w:rsid w:val="0DC5AAA4"/>
    <w:rsid w:val="0DC5AB00"/>
    <w:rsid w:val="0DC5ADCC"/>
    <w:rsid w:val="0DC649FB"/>
    <w:rsid w:val="0DC6741E"/>
    <w:rsid w:val="0DC7986E"/>
    <w:rsid w:val="0DC84212"/>
    <w:rsid w:val="0DC91B22"/>
    <w:rsid w:val="0DC9226C"/>
    <w:rsid w:val="0DC964D3"/>
    <w:rsid w:val="0DC97A06"/>
    <w:rsid w:val="0DC98634"/>
    <w:rsid w:val="0DC9BE17"/>
    <w:rsid w:val="0DC9CC05"/>
    <w:rsid w:val="0DCA4A6E"/>
    <w:rsid w:val="0DCAED16"/>
    <w:rsid w:val="0DCB25F7"/>
    <w:rsid w:val="0DCB55D9"/>
    <w:rsid w:val="0DCC4B98"/>
    <w:rsid w:val="0DCD0512"/>
    <w:rsid w:val="0DCDAF84"/>
    <w:rsid w:val="0DCED0F1"/>
    <w:rsid w:val="0DCF5AE3"/>
    <w:rsid w:val="0DCF797A"/>
    <w:rsid w:val="0DCFAEEA"/>
    <w:rsid w:val="0DD029D0"/>
    <w:rsid w:val="0DD18449"/>
    <w:rsid w:val="0DD1C7FA"/>
    <w:rsid w:val="0DD1E143"/>
    <w:rsid w:val="0DD2FE01"/>
    <w:rsid w:val="0DD32E78"/>
    <w:rsid w:val="0DD3368B"/>
    <w:rsid w:val="0DD3D23B"/>
    <w:rsid w:val="0DD54ADB"/>
    <w:rsid w:val="0DD5684F"/>
    <w:rsid w:val="0DD768A0"/>
    <w:rsid w:val="0DD800B3"/>
    <w:rsid w:val="0DD8AFF9"/>
    <w:rsid w:val="0DD91C06"/>
    <w:rsid w:val="0DD92F08"/>
    <w:rsid w:val="0DD9DAED"/>
    <w:rsid w:val="0DDA18CB"/>
    <w:rsid w:val="0DDBAF0F"/>
    <w:rsid w:val="0DDC0970"/>
    <w:rsid w:val="0DDDD46E"/>
    <w:rsid w:val="0DDDE894"/>
    <w:rsid w:val="0DDE1185"/>
    <w:rsid w:val="0DDE80A3"/>
    <w:rsid w:val="0DDED897"/>
    <w:rsid w:val="0DDFBBC0"/>
    <w:rsid w:val="0DDFC07A"/>
    <w:rsid w:val="0DE010A6"/>
    <w:rsid w:val="0DE17790"/>
    <w:rsid w:val="0DE1794F"/>
    <w:rsid w:val="0DE2464A"/>
    <w:rsid w:val="0DE27FF5"/>
    <w:rsid w:val="0DE2CEAA"/>
    <w:rsid w:val="0DE2E5A5"/>
    <w:rsid w:val="0DE339EF"/>
    <w:rsid w:val="0DE35BB9"/>
    <w:rsid w:val="0DE3E9A7"/>
    <w:rsid w:val="0DE45CCE"/>
    <w:rsid w:val="0DE469C5"/>
    <w:rsid w:val="0DE4AC23"/>
    <w:rsid w:val="0DE73178"/>
    <w:rsid w:val="0DE76DEE"/>
    <w:rsid w:val="0DE7D385"/>
    <w:rsid w:val="0DE85BA7"/>
    <w:rsid w:val="0DE89BD7"/>
    <w:rsid w:val="0DE9815D"/>
    <w:rsid w:val="0DEA7477"/>
    <w:rsid w:val="0DEAE26A"/>
    <w:rsid w:val="0DEC7062"/>
    <w:rsid w:val="0DECFB61"/>
    <w:rsid w:val="0DED47E1"/>
    <w:rsid w:val="0DED546B"/>
    <w:rsid w:val="0DEDAC79"/>
    <w:rsid w:val="0DF079A6"/>
    <w:rsid w:val="0DF085C7"/>
    <w:rsid w:val="0DF13C25"/>
    <w:rsid w:val="0DF17280"/>
    <w:rsid w:val="0DF1B7E4"/>
    <w:rsid w:val="0DF227A2"/>
    <w:rsid w:val="0DF2BE4E"/>
    <w:rsid w:val="0DF2F105"/>
    <w:rsid w:val="0DF319DE"/>
    <w:rsid w:val="0DF33B9E"/>
    <w:rsid w:val="0DF3445E"/>
    <w:rsid w:val="0DF45256"/>
    <w:rsid w:val="0DF4E7B2"/>
    <w:rsid w:val="0DF4FA50"/>
    <w:rsid w:val="0DF57885"/>
    <w:rsid w:val="0DF7E650"/>
    <w:rsid w:val="0DFB086D"/>
    <w:rsid w:val="0DFB4254"/>
    <w:rsid w:val="0DFB56E7"/>
    <w:rsid w:val="0DFBF738"/>
    <w:rsid w:val="0DFCF243"/>
    <w:rsid w:val="0DFCF39D"/>
    <w:rsid w:val="0DFDB154"/>
    <w:rsid w:val="0DFE10B8"/>
    <w:rsid w:val="0DFE7515"/>
    <w:rsid w:val="0DFF5912"/>
    <w:rsid w:val="0E00D086"/>
    <w:rsid w:val="0E00FCAC"/>
    <w:rsid w:val="0E0147CC"/>
    <w:rsid w:val="0E01D537"/>
    <w:rsid w:val="0E02006A"/>
    <w:rsid w:val="0E027E3D"/>
    <w:rsid w:val="0E02D7A5"/>
    <w:rsid w:val="0E031116"/>
    <w:rsid w:val="0E032BBA"/>
    <w:rsid w:val="0E035CE0"/>
    <w:rsid w:val="0E03669B"/>
    <w:rsid w:val="0E0465FF"/>
    <w:rsid w:val="0E04E480"/>
    <w:rsid w:val="0E0525FA"/>
    <w:rsid w:val="0E069986"/>
    <w:rsid w:val="0E0732CE"/>
    <w:rsid w:val="0E0789D0"/>
    <w:rsid w:val="0E07B150"/>
    <w:rsid w:val="0E07D12E"/>
    <w:rsid w:val="0E080287"/>
    <w:rsid w:val="0E085DBF"/>
    <w:rsid w:val="0E091119"/>
    <w:rsid w:val="0E0973A7"/>
    <w:rsid w:val="0E09C05D"/>
    <w:rsid w:val="0E0A16A9"/>
    <w:rsid w:val="0E0A7F5A"/>
    <w:rsid w:val="0E0B2BDF"/>
    <w:rsid w:val="0E0B5425"/>
    <w:rsid w:val="0E0B9535"/>
    <w:rsid w:val="0E0CAA79"/>
    <w:rsid w:val="0E0EAF7E"/>
    <w:rsid w:val="0E0F982C"/>
    <w:rsid w:val="0E0FA187"/>
    <w:rsid w:val="0E100083"/>
    <w:rsid w:val="0E110918"/>
    <w:rsid w:val="0E112D8D"/>
    <w:rsid w:val="0E11E0C6"/>
    <w:rsid w:val="0E1207F2"/>
    <w:rsid w:val="0E1230FA"/>
    <w:rsid w:val="0E12653C"/>
    <w:rsid w:val="0E132D2A"/>
    <w:rsid w:val="0E14382D"/>
    <w:rsid w:val="0E14BF35"/>
    <w:rsid w:val="0E15C4F9"/>
    <w:rsid w:val="0E15FE7F"/>
    <w:rsid w:val="0E1644B9"/>
    <w:rsid w:val="0E16714D"/>
    <w:rsid w:val="0E16E9F0"/>
    <w:rsid w:val="0E1978C0"/>
    <w:rsid w:val="0E19F2D4"/>
    <w:rsid w:val="0E19F2F3"/>
    <w:rsid w:val="0E1A8429"/>
    <w:rsid w:val="0E1A8847"/>
    <w:rsid w:val="0E1A90B6"/>
    <w:rsid w:val="0E1BB081"/>
    <w:rsid w:val="0E1C13A4"/>
    <w:rsid w:val="0E1CDF09"/>
    <w:rsid w:val="0E1DC0F5"/>
    <w:rsid w:val="0E1E8088"/>
    <w:rsid w:val="0E1F3B3B"/>
    <w:rsid w:val="0E1F533B"/>
    <w:rsid w:val="0E206A9A"/>
    <w:rsid w:val="0E21CB9B"/>
    <w:rsid w:val="0E223A66"/>
    <w:rsid w:val="0E224788"/>
    <w:rsid w:val="0E22C038"/>
    <w:rsid w:val="0E2350FB"/>
    <w:rsid w:val="0E236A50"/>
    <w:rsid w:val="0E240FAC"/>
    <w:rsid w:val="0E241F02"/>
    <w:rsid w:val="0E24E45B"/>
    <w:rsid w:val="0E24F127"/>
    <w:rsid w:val="0E266664"/>
    <w:rsid w:val="0E26B629"/>
    <w:rsid w:val="0E26C969"/>
    <w:rsid w:val="0E2CC34A"/>
    <w:rsid w:val="0E2D284E"/>
    <w:rsid w:val="0E2D3959"/>
    <w:rsid w:val="0E2D5F5F"/>
    <w:rsid w:val="0E2DC6B6"/>
    <w:rsid w:val="0E2DD880"/>
    <w:rsid w:val="0E2F9754"/>
    <w:rsid w:val="0E2FA961"/>
    <w:rsid w:val="0E2FD9B8"/>
    <w:rsid w:val="0E2FEDE6"/>
    <w:rsid w:val="0E31D500"/>
    <w:rsid w:val="0E31FCC0"/>
    <w:rsid w:val="0E321C7B"/>
    <w:rsid w:val="0E3232A4"/>
    <w:rsid w:val="0E32DA4E"/>
    <w:rsid w:val="0E332E29"/>
    <w:rsid w:val="0E341CD1"/>
    <w:rsid w:val="0E351134"/>
    <w:rsid w:val="0E364479"/>
    <w:rsid w:val="0E367D31"/>
    <w:rsid w:val="0E36B3FE"/>
    <w:rsid w:val="0E36E349"/>
    <w:rsid w:val="0E36E465"/>
    <w:rsid w:val="0E382568"/>
    <w:rsid w:val="0E384E24"/>
    <w:rsid w:val="0E3852ED"/>
    <w:rsid w:val="0E3898CB"/>
    <w:rsid w:val="0E38F038"/>
    <w:rsid w:val="0E39106A"/>
    <w:rsid w:val="0E39DC5C"/>
    <w:rsid w:val="0E39F7F6"/>
    <w:rsid w:val="0E3A9728"/>
    <w:rsid w:val="0E3B016A"/>
    <w:rsid w:val="0E3BC0A6"/>
    <w:rsid w:val="0E3C26AF"/>
    <w:rsid w:val="0E3E6914"/>
    <w:rsid w:val="0E3E89B8"/>
    <w:rsid w:val="0E3E8B96"/>
    <w:rsid w:val="0E3EA450"/>
    <w:rsid w:val="0E3F6C63"/>
    <w:rsid w:val="0E3F8188"/>
    <w:rsid w:val="0E3FBCE9"/>
    <w:rsid w:val="0E3FDC86"/>
    <w:rsid w:val="0E40EF7C"/>
    <w:rsid w:val="0E4245AE"/>
    <w:rsid w:val="0E429C5B"/>
    <w:rsid w:val="0E42CF93"/>
    <w:rsid w:val="0E434352"/>
    <w:rsid w:val="0E43C6FA"/>
    <w:rsid w:val="0E43D935"/>
    <w:rsid w:val="0E4521D7"/>
    <w:rsid w:val="0E459DA4"/>
    <w:rsid w:val="0E45A3C6"/>
    <w:rsid w:val="0E475486"/>
    <w:rsid w:val="0E47C733"/>
    <w:rsid w:val="0E481DC7"/>
    <w:rsid w:val="0E488644"/>
    <w:rsid w:val="0E495481"/>
    <w:rsid w:val="0E495828"/>
    <w:rsid w:val="0E498386"/>
    <w:rsid w:val="0E49BC96"/>
    <w:rsid w:val="0E49EFA0"/>
    <w:rsid w:val="0E4B45E8"/>
    <w:rsid w:val="0E4C1D93"/>
    <w:rsid w:val="0E4CCD62"/>
    <w:rsid w:val="0E4D9689"/>
    <w:rsid w:val="0E4DEEE0"/>
    <w:rsid w:val="0E4E21DF"/>
    <w:rsid w:val="0E4E6992"/>
    <w:rsid w:val="0E4ECC0A"/>
    <w:rsid w:val="0E5029FC"/>
    <w:rsid w:val="0E5116C8"/>
    <w:rsid w:val="0E51E4E5"/>
    <w:rsid w:val="0E535226"/>
    <w:rsid w:val="0E5484DF"/>
    <w:rsid w:val="0E550CF3"/>
    <w:rsid w:val="0E557131"/>
    <w:rsid w:val="0E55E63F"/>
    <w:rsid w:val="0E56025C"/>
    <w:rsid w:val="0E56098C"/>
    <w:rsid w:val="0E567CEB"/>
    <w:rsid w:val="0E581BF8"/>
    <w:rsid w:val="0E583405"/>
    <w:rsid w:val="0E583825"/>
    <w:rsid w:val="0E589C89"/>
    <w:rsid w:val="0E59AA8B"/>
    <w:rsid w:val="0E5A45CD"/>
    <w:rsid w:val="0E5ACB2A"/>
    <w:rsid w:val="0E5B0A88"/>
    <w:rsid w:val="0E5B65B8"/>
    <w:rsid w:val="0E5BA966"/>
    <w:rsid w:val="0E5C5AE0"/>
    <w:rsid w:val="0E5CAFC8"/>
    <w:rsid w:val="0E5D34D5"/>
    <w:rsid w:val="0E5E7132"/>
    <w:rsid w:val="0E5FF608"/>
    <w:rsid w:val="0E602CC3"/>
    <w:rsid w:val="0E605B98"/>
    <w:rsid w:val="0E61B34D"/>
    <w:rsid w:val="0E61BB23"/>
    <w:rsid w:val="0E61EEA3"/>
    <w:rsid w:val="0E629BBB"/>
    <w:rsid w:val="0E6302C8"/>
    <w:rsid w:val="0E632260"/>
    <w:rsid w:val="0E659D77"/>
    <w:rsid w:val="0E663802"/>
    <w:rsid w:val="0E6690CB"/>
    <w:rsid w:val="0E67D5FA"/>
    <w:rsid w:val="0E67F970"/>
    <w:rsid w:val="0E6A28B8"/>
    <w:rsid w:val="0E6A9F05"/>
    <w:rsid w:val="0E6AD3E2"/>
    <w:rsid w:val="0E6B3449"/>
    <w:rsid w:val="0E6B7010"/>
    <w:rsid w:val="0E6BF5B1"/>
    <w:rsid w:val="0E6C2A28"/>
    <w:rsid w:val="0E6CF109"/>
    <w:rsid w:val="0E6CFCD5"/>
    <w:rsid w:val="0E6DACF1"/>
    <w:rsid w:val="0E6E0554"/>
    <w:rsid w:val="0E6E0E9C"/>
    <w:rsid w:val="0E6E524E"/>
    <w:rsid w:val="0E6E78A0"/>
    <w:rsid w:val="0E6F46F2"/>
    <w:rsid w:val="0E6F5A54"/>
    <w:rsid w:val="0E7162B7"/>
    <w:rsid w:val="0E721AA4"/>
    <w:rsid w:val="0E7237FB"/>
    <w:rsid w:val="0E758125"/>
    <w:rsid w:val="0E7668B7"/>
    <w:rsid w:val="0E766A57"/>
    <w:rsid w:val="0E76B10E"/>
    <w:rsid w:val="0E76B52C"/>
    <w:rsid w:val="0E773D49"/>
    <w:rsid w:val="0E77775E"/>
    <w:rsid w:val="0E78C9A9"/>
    <w:rsid w:val="0E790983"/>
    <w:rsid w:val="0E7984B5"/>
    <w:rsid w:val="0E7A0304"/>
    <w:rsid w:val="0E7AC721"/>
    <w:rsid w:val="0E7B0D30"/>
    <w:rsid w:val="0E7BDAE1"/>
    <w:rsid w:val="0E7BE3C3"/>
    <w:rsid w:val="0E7BEE6E"/>
    <w:rsid w:val="0E7D1798"/>
    <w:rsid w:val="0E7E4279"/>
    <w:rsid w:val="0E7F0750"/>
    <w:rsid w:val="0E7F1055"/>
    <w:rsid w:val="0E80A1C0"/>
    <w:rsid w:val="0E812D22"/>
    <w:rsid w:val="0E8284B8"/>
    <w:rsid w:val="0E82D788"/>
    <w:rsid w:val="0E82D908"/>
    <w:rsid w:val="0E851D2F"/>
    <w:rsid w:val="0E85FEA4"/>
    <w:rsid w:val="0E860F94"/>
    <w:rsid w:val="0E863F4F"/>
    <w:rsid w:val="0E88335F"/>
    <w:rsid w:val="0E8A1BAC"/>
    <w:rsid w:val="0E8BB483"/>
    <w:rsid w:val="0E8BE95C"/>
    <w:rsid w:val="0E8C8051"/>
    <w:rsid w:val="0E8D7060"/>
    <w:rsid w:val="0E8DA350"/>
    <w:rsid w:val="0E8EFFBB"/>
    <w:rsid w:val="0E8F1AB2"/>
    <w:rsid w:val="0E903583"/>
    <w:rsid w:val="0E903943"/>
    <w:rsid w:val="0E905C46"/>
    <w:rsid w:val="0E905C69"/>
    <w:rsid w:val="0E923EE3"/>
    <w:rsid w:val="0E929B50"/>
    <w:rsid w:val="0E938E93"/>
    <w:rsid w:val="0E93CF93"/>
    <w:rsid w:val="0E93EE97"/>
    <w:rsid w:val="0E9579DB"/>
    <w:rsid w:val="0E9623D1"/>
    <w:rsid w:val="0E96961F"/>
    <w:rsid w:val="0E96C2D3"/>
    <w:rsid w:val="0E97C0B9"/>
    <w:rsid w:val="0E984557"/>
    <w:rsid w:val="0E995F79"/>
    <w:rsid w:val="0E9A1146"/>
    <w:rsid w:val="0E9AFD3E"/>
    <w:rsid w:val="0E9C8EBB"/>
    <w:rsid w:val="0E9D6D7C"/>
    <w:rsid w:val="0E9DBF12"/>
    <w:rsid w:val="0E9DE361"/>
    <w:rsid w:val="0E9DF2ED"/>
    <w:rsid w:val="0E9E0441"/>
    <w:rsid w:val="0E9FB2D7"/>
    <w:rsid w:val="0E9FE222"/>
    <w:rsid w:val="0EA0602D"/>
    <w:rsid w:val="0EA09CA8"/>
    <w:rsid w:val="0EA0D2D9"/>
    <w:rsid w:val="0EA19FA5"/>
    <w:rsid w:val="0EA1D9CD"/>
    <w:rsid w:val="0EA1F79C"/>
    <w:rsid w:val="0EA21279"/>
    <w:rsid w:val="0EA22BBB"/>
    <w:rsid w:val="0EA314D2"/>
    <w:rsid w:val="0EA4F2DB"/>
    <w:rsid w:val="0EA5E393"/>
    <w:rsid w:val="0EA6B17F"/>
    <w:rsid w:val="0EA6EBE0"/>
    <w:rsid w:val="0EA76254"/>
    <w:rsid w:val="0EA7CAB9"/>
    <w:rsid w:val="0EA88E75"/>
    <w:rsid w:val="0EA8B3B1"/>
    <w:rsid w:val="0EA90A32"/>
    <w:rsid w:val="0EA94016"/>
    <w:rsid w:val="0EA9B4DE"/>
    <w:rsid w:val="0EA9B945"/>
    <w:rsid w:val="0EAA00F2"/>
    <w:rsid w:val="0EAA11DC"/>
    <w:rsid w:val="0EAA5B8F"/>
    <w:rsid w:val="0EAA67DF"/>
    <w:rsid w:val="0EAC13BA"/>
    <w:rsid w:val="0EAC44F2"/>
    <w:rsid w:val="0EAD0C47"/>
    <w:rsid w:val="0EAF969B"/>
    <w:rsid w:val="0EAFEFBA"/>
    <w:rsid w:val="0EB02813"/>
    <w:rsid w:val="0EB081BC"/>
    <w:rsid w:val="0EB144AF"/>
    <w:rsid w:val="0EB2246E"/>
    <w:rsid w:val="0EB243DF"/>
    <w:rsid w:val="0EB272B6"/>
    <w:rsid w:val="0EB27EA9"/>
    <w:rsid w:val="0EB2EEAE"/>
    <w:rsid w:val="0EB3D849"/>
    <w:rsid w:val="0EB47B20"/>
    <w:rsid w:val="0EB4AE78"/>
    <w:rsid w:val="0EB5B0E9"/>
    <w:rsid w:val="0EB5D835"/>
    <w:rsid w:val="0EB609D8"/>
    <w:rsid w:val="0EB6EFC8"/>
    <w:rsid w:val="0EB7DB8B"/>
    <w:rsid w:val="0EB7E539"/>
    <w:rsid w:val="0EB7E74D"/>
    <w:rsid w:val="0EB9AF97"/>
    <w:rsid w:val="0EBB1AEC"/>
    <w:rsid w:val="0EBB8A48"/>
    <w:rsid w:val="0EBD1A2C"/>
    <w:rsid w:val="0EBD91DB"/>
    <w:rsid w:val="0EBF41CB"/>
    <w:rsid w:val="0EBF76BD"/>
    <w:rsid w:val="0EBFC92F"/>
    <w:rsid w:val="0EBFE97F"/>
    <w:rsid w:val="0EC08851"/>
    <w:rsid w:val="0EC133DA"/>
    <w:rsid w:val="0EC151A5"/>
    <w:rsid w:val="0EC15488"/>
    <w:rsid w:val="0EC1731A"/>
    <w:rsid w:val="0EC2AFDE"/>
    <w:rsid w:val="0EC368F3"/>
    <w:rsid w:val="0EC56BD4"/>
    <w:rsid w:val="0EC57CB8"/>
    <w:rsid w:val="0EC5918E"/>
    <w:rsid w:val="0EC68E23"/>
    <w:rsid w:val="0EC77D34"/>
    <w:rsid w:val="0EC88229"/>
    <w:rsid w:val="0EC8AC1D"/>
    <w:rsid w:val="0EC9380E"/>
    <w:rsid w:val="0EC9A6B3"/>
    <w:rsid w:val="0ECA4285"/>
    <w:rsid w:val="0ECA9A31"/>
    <w:rsid w:val="0ECAE03E"/>
    <w:rsid w:val="0ECBAAF1"/>
    <w:rsid w:val="0ECBB18B"/>
    <w:rsid w:val="0ECCBD9B"/>
    <w:rsid w:val="0ECD3770"/>
    <w:rsid w:val="0ECE4B5A"/>
    <w:rsid w:val="0ECE4C89"/>
    <w:rsid w:val="0ECE6251"/>
    <w:rsid w:val="0ECF4B81"/>
    <w:rsid w:val="0ED0B4FE"/>
    <w:rsid w:val="0ED17CDB"/>
    <w:rsid w:val="0ED1FE9C"/>
    <w:rsid w:val="0ED28800"/>
    <w:rsid w:val="0ED40492"/>
    <w:rsid w:val="0ED6ADB4"/>
    <w:rsid w:val="0ED6FE6D"/>
    <w:rsid w:val="0ED6FF24"/>
    <w:rsid w:val="0ED7682C"/>
    <w:rsid w:val="0ED76E9F"/>
    <w:rsid w:val="0ED9139F"/>
    <w:rsid w:val="0ED93961"/>
    <w:rsid w:val="0ED9DD4B"/>
    <w:rsid w:val="0EDA5B4E"/>
    <w:rsid w:val="0EDA9354"/>
    <w:rsid w:val="0EDACCC9"/>
    <w:rsid w:val="0EDC6858"/>
    <w:rsid w:val="0EDCA6F9"/>
    <w:rsid w:val="0EDD605D"/>
    <w:rsid w:val="0EDDD8B8"/>
    <w:rsid w:val="0EDE3901"/>
    <w:rsid w:val="0EDE5587"/>
    <w:rsid w:val="0EDE9B10"/>
    <w:rsid w:val="0EDEDE64"/>
    <w:rsid w:val="0EDFA46F"/>
    <w:rsid w:val="0EDFB5F8"/>
    <w:rsid w:val="0EDFF372"/>
    <w:rsid w:val="0EE0A0C4"/>
    <w:rsid w:val="0EE1105A"/>
    <w:rsid w:val="0EE18847"/>
    <w:rsid w:val="0EE208EC"/>
    <w:rsid w:val="0EE26DA2"/>
    <w:rsid w:val="0EE2DF8A"/>
    <w:rsid w:val="0EE354F4"/>
    <w:rsid w:val="0EE3F249"/>
    <w:rsid w:val="0EE49237"/>
    <w:rsid w:val="0EE4FC1C"/>
    <w:rsid w:val="0EE51964"/>
    <w:rsid w:val="0EE5E5D9"/>
    <w:rsid w:val="0EE646AE"/>
    <w:rsid w:val="0EE6CB76"/>
    <w:rsid w:val="0EE71783"/>
    <w:rsid w:val="0EE7414E"/>
    <w:rsid w:val="0EE775D9"/>
    <w:rsid w:val="0EE81F30"/>
    <w:rsid w:val="0EE823FC"/>
    <w:rsid w:val="0EE827C1"/>
    <w:rsid w:val="0EE88FD4"/>
    <w:rsid w:val="0EEB6F00"/>
    <w:rsid w:val="0EEBAC40"/>
    <w:rsid w:val="0EEC5D6D"/>
    <w:rsid w:val="0EECC94C"/>
    <w:rsid w:val="0EEDA9B9"/>
    <w:rsid w:val="0EEDB8C2"/>
    <w:rsid w:val="0EEE37B6"/>
    <w:rsid w:val="0EEE4B27"/>
    <w:rsid w:val="0EEE759D"/>
    <w:rsid w:val="0EEEAEDA"/>
    <w:rsid w:val="0EEED3B9"/>
    <w:rsid w:val="0EEF3B5D"/>
    <w:rsid w:val="0EEF700F"/>
    <w:rsid w:val="0EEF804C"/>
    <w:rsid w:val="0EEFECC0"/>
    <w:rsid w:val="0EF06F59"/>
    <w:rsid w:val="0EF0B2F3"/>
    <w:rsid w:val="0EF1490B"/>
    <w:rsid w:val="0EF2B1C8"/>
    <w:rsid w:val="0EF34C7E"/>
    <w:rsid w:val="0EF37356"/>
    <w:rsid w:val="0EF3E631"/>
    <w:rsid w:val="0EF3F753"/>
    <w:rsid w:val="0EF49A88"/>
    <w:rsid w:val="0EF534DD"/>
    <w:rsid w:val="0EF58452"/>
    <w:rsid w:val="0EF73894"/>
    <w:rsid w:val="0EF7E5C1"/>
    <w:rsid w:val="0EF83A68"/>
    <w:rsid w:val="0EF89457"/>
    <w:rsid w:val="0EF92CA7"/>
    <w:rsid w:val="0EF955F2"/>
    <w:rsid w:val="0EF984C1"/>
    <w:rsid w:val="0EF9C948"/>
    <w:rsid w:val="0EFA60EA"/>
    <w:rsid w:val="0EFBDE65"/>
    <w:rsid w:val="0EFC1250"/>
    <w:rsid w:val="0EFD8210"/>
    <w:rsid w:val="0EFDDF95"/>
    <w:rsid w:val="0EFE2AAD"/>
    <w:rsid w:val="0EFE6604"/>
    <w:rsid w:val="0EFE905E"/>
    <w:rsid w:val="0EFF63B0"/>
    <w:rsid w:val="0F007475"/>
    <w:rsid w:val="0F0310BA"/>
    <w:rsid w:val="0F03927D"/>
    <w:rsid w:val="0F044D6A"/>
    <w:rsid w:val="0F04A768"/>
    <w:rsid w:val="0F05A0EF"/>
    <w:rsid w:val="0F0639CD"/>
    <w:rsid w:val="0F0763B4"/>
    <w:rsid w:val="0F085BDE"/>
    <w:rsid w:val="0F08872C"/>
    <w:rsid w:val="0F08FD90"/>
    <w:rsid w:val="0F0B4FD0"/>
    <w:rsid w:val="0F0B9C28"/>
    <w:rsid w:val="0F0CA3EA"/>
    <w:rsid w:val="0F0D4E6E"/>
    <w:rsid w:val="0F0D705A"/>
    <w:rsid w:val="0F0E60C8"/>
    <w:rsid w:val="0F0EEAFA"/>
    <w:rsid w:val="0F0F63CD"/>
    <w:rsid w:val="0F0F6AE9"/>
    <w:rsid w:val="0F11479E"/>
    <w:rsid w:val="0F116AAB"/>
    <w:rsid w:val="0F122994"/>
    <w:rsid w:val="0F132103"/>
    <w:rsid w:val="0F13B5B4"/>
    <w:rsid w:val="0F13CF45"/>
    <w:rsid w:val="0F145C3D"/>
    <w:rsid w:val="0F14702E"/>
    <w:rsid w:val="0F14E186"/>
    <w:rsid w:val="0F158D6F"/>
    <w:rsid w:val="0F1720C7"/>
    <w:rsid w:val="0F179005"/>
    <w:rsid w:val="0F1844F1"/>
    <w:rsid w:val="0F18E641"/>
    <w:rsid w:val="0F190A3E"/>
    <w:rsid w:val="0F1A26FE"/>
    <w:rsid w:val="0F1C291D"/>
    <w:rsid w:val="0F1E19C8"/>
    <w:rsid w:val="0F1ED23F"/>
    <w:rsid w:val="0F1F2E00"/>
    <w:rsid w:val="0F1F65B2"/>
    <w:rsid w:val="0F1F9B25"/>
    <w:rsid w:val="0F1FB479"/>
    <w:rsid w:val="0F202C4D"/>
    <w:rsid w:val="0F20D97C"/>
    <w:rsid w:val="0F210F05"/>
    <w:rsid w:val="0F21306F"/>
    <w:rsid w:val="0F215920"/>
    <w:rsid w:val="0F21F30F"/>
    <w:rsid w:val="0F2353CB"/>
    <w:rsid w:val="0F239BAE"/>
    <w:rsid w:val="0F2404B4"/>
    <w:rsid w:val="0F24B042"/>
    <w:rsid w:val="0F25309B"/>
    <w:rsid w:val="0F258E23"/>
    <w:rsid w:val="0F26CC03"/>
    <w:rsid w:val="0F27A4BE"/>
    <w:rsid w:val="0F282C07"/>
    <w:rsid w:val="0F28ABF1"/>
    <w:rsid w:val="0F2926AF"/>
    <w:rsid w:val="0F29D08F"/>
    <w:rsid w:val="0F2A0B06"/>
    <w:rsid w:val="0F2A241A"/>
    <w:rsid w:val="0F2A7ED7"/>
    <w:rsid w:val="0F2A993A"/>
    <w:rsid w:val="0F2AD2B3"/>
    <w:rsid w:val="0F2BED50"/>
    <w:rsid w:val="0F2C1A43"/>
    <w:rsid w:val="0F2C59AD"/>
    <w:rsid w:val="0F2C61D1"/>
    <w:rsid w:val="0F2D0377"/>
    <w:rsid w:val="0F2E1281"/>
    <w:rsid w:val="0F2E77C4"/>
    <w:rsid w:val="0F2E81C2"/>
    <w:rsid w:val="0F2F0E8D"/>
    <w:rsid w:val="0F2F20E7"/>
    <w:rsid w:val="0F3053E0"/>
    <w:rsid w:val="0F3092CF"/>
    <w:rsid w:val="0F3104E1"/>
    <w:rsid w:val="0F310FFC"/>
    <w:rsid w:val="0F31580F"/>
    <w:rsid w:val="0F330713"/>
    <w:rsid w:val="0F33220F"/>
    <w:rsid w:val="0F33DAA4"/>
    <w:rsid w:val="0F345A6F"/>
    <w:rsid w:val="0F362261"/>
    <w:rsid w:val="0F363EE9"/>
    <w:rsid w:val="0F364E4C"/>
    <w:rsid w:val="0F36FF3D"/>
    <w:rsid w:val="0F37598B"/>
    <w:rsid w:val="0F37ABCB"/>
    <w:rsid w:val="0F37D4FD"/>
    <w:rsid w:val="0F37FF7D"/>
    <w:rsid w:val="0F380A6C"/>
    <w:rsid w:val="0F386A80"/>
    <w:rsid w:val="0F3AC02F"/>
    <w:rsid w:val="0F3AD75F"/>
    <w:rsid w:val="0F3B16E2"/>
    <w:rsid w:val="0F3C950F"/>
    <w:rsid w:val="0F3CCD5A"/>
    <w:rsid w:val="0F3D88DB"/>
    <w:rsid w:val="0F3E0C44"/>
    <w:rsid w:val="0F3E16C4"/>
    <w:rsid w:val="0F3E9A92"/>
    <w:rsid w:val="0F3EAF87"/>
    <w:rsid w:val="0F3F34FB"/>
    <w:rsid w:val="0F3F4FEF"/>
    <w:rsid w:val="0F3F9241"/>
    <w:rsid w:val="0F40E120"/>
    <w:rsid w:val="0F4141F7"/>
    <w:rsid w:val="0F41FE66"/>
    <w:rsid w:val="0F423B7A"/>
    <w:rsid w:val="0F428C9C"/>
    <w:rsid w:val="0F42AF38"/>
    <w:rsid w:val="0F43601B"/>
    <w:rsid w:val="0F43642B"/>
    <w:rsid w:val="0F44FC89"/>
    <w:rsid w:val="0F46351C"/>
    <w:rsid w:val="0F463706"/>
    <w:rsid w:val="0F46958E"/>
    <w:rsid w:val="0F4784BD"/>
    <w:rsid w:val="0F478580"/>
    <w:rsid w:val="0F4850A1"/>
    <w:rsid w:val="0F49ECFE"/>
    <w:rsid w:val="0F4B540B"/>
    <w:rsid w:val="0F4BA521"/>
    <w:rsid w:val="0F4BC3DB"/>
    <w:rsid w:val="0F4C53ED"/>
    <w:rsid w:val="0F4D163C"/>
    <w:rsid w:val="0F4DFA6F"/>
    <w:rsid w:val="0F4E1E07"/>
    <w:rsid w:val="0F4E6B51"/>
    <w:rsid w:val="0F4EDDF1"/>
    <w:rsid w:val="0F4F673B"/>
    <w:rsid w:val="0F502BD8"/>
    <w:rsid w:val="0F52282A"/>
    <w:rsid w:val="0F528D5C"/>
    <w:rsid w:val="0F536EB9"/>
    <w:rsid w:val="0F541EBA"/>
    <w:rsid w:val="0F552A41"/>
    <w:rsid w:val="0F55668A"/>
    <w:rsid w:val="0F560D64"/>
    <w:rsid w:val="0F5842E4"/>
    <w:rsid w:val="0F58FF95"/>
    <w:rsid w:val="0F595D81"/>
    <w:rsid w:val="0F596317"/>
    <w:rsid w:val="0F5969B7"/>
    <w:rsid w:val="0F5A1440"/>
    <w:rsid w:val="0F5A3629"/>
    <w:rsid w:val="0F5A9087"/>
    <w:rsid w:val="0F5AF372"/>
    <w:rsid w:val="0F5B1C8F"/>
    <w:rsid w:val="0F5B5ADA"/>
    <w:rsid w:val="0F5BD07A"/>
    <w:rsid w:val="0F5D67FA"/>
    <w:rsid w:val="0F5D8D8F"/>
    <w:rsid w:val="0F5DF1A1"/>
    <w:rsid w:val="0F5E165B"/>
    <w:rsid w:val="0F5F64E7"/>
    <w:rsid w:val="0F5F6B48"/>
    <w:rsid w:val="0F5FA542"/>
    <w:rsid w:val="0F608C80"/>
    <w:rsid w:val="0F60B22F"/>
    <w:rsid w:val="0F616FC8"/>
    <w:rsid w:val="0F618C89"/>
    <w:rsid w:val="0F61CE95"/>
    <w:rsid w:val="0F61D1FE"/>
    <w:rsid w:val="0F6231F7"/>
    <w:rsid w:val="0F628E6C"/>
    <w:rsid w:val="0F63BE47"/>
    <w:rsid w:val="0F63D2B3"/>
    <w:rsid w:val="0F64E553"/>
    <w:rsid w:val="0F6591D4"/>
    <w:rsid w:val="0F65BF74"/>
    <w:rsid w:val="0F663C1A"/>
    <w:rsid w:val="0F672C26"/>
    <w:rsid w:val="0F674678"/>
    <w:rsid w:val="0F676218"/>
    <w:rsid w:val="0F67B903"/>
    <w:rsid w:val="0F68730E"/>
    <w:rsid w:val="0F69F612"/>
    <w:rsid w:val="0F6B08F0"/>
    <w:rsid w:val="0F6BD9ED"/>
    <w:rsid w:val="0F6C0ABF"/>
    <w:rsid w:val="0F6C25CD"/>
    <w:rsid w:val="0F6E38CE"/>
    <w:rsid w:val="0F6E9115"/>
    <w:rsid w:val="0F70277E"/>
    <w:rsid w:val="0F70B521"/>
    <w:rsid w:val="0F711782"/>
    <w:rsid w:val="0F71388B"/>
    <w:rsid w:val="0F7157DE"/>
    <w:rsid w:val="0F718CE3"/>
    <w:rsid w:val="0F71EAE1"/>
    <w:rsid w:val="0F72A704"/>
    <w:rsid w:val="0F73E7D2"/>
    <w:rsid w:val="0F74588A"/>
    <w:rsid w:val="0F74FE57"/>
    <w:rsid w:val="0F75E358"/>
    <w:rsid w:val="0F763F84"/>
    <w:rsid w:val="0F764728"/>
    <w:rsid w:val="0F765700"/>
    <w:rsid w:val="0F76B029"/>
    <w:rsid w:val="0F776EE2"/>
    <w:rsid w:val="0F77BCA8"/>
    <w:rsid w:val="0F77D5F1"/>
    <w:rsid w:val="0F77E86E"/>
    <w:rsid w:val="0F77F32E"/>
    <w:rsid w:val="0F77F61A"/>
    <w:rsid w:val="0F77FF7B"/>
    <w:rsid w:val="0F78B8DB"/>
    <w:rsid w:val="0F790443"/>
    <w:rsid w:val="0F790AEC"/>
    <w:rsid w:val="0F793231"/>
    <w:rsid w:val="0F79B669"/>
    <w:rsid w:val="0F7A155B"/>
    <w:rsid w:val="0F7AA8F8"/>
    <w:rsid w:val="0F7AC185"/>
    <w:rsid w:val="0F7B2B7E"/>
    <w:rsid w:val="0F7CBF01"/>
    <w:rsid w:val="0F7CC916"/>
    <w:rsid w:val="0F7CE996"/>
    <w:rsid w:val="0F7D3FDE"/>
    <w:rsid w:val="0F7E19D5"/>
    <w:rsid w:val="0F7E2D53"/>
    <w:rsid w:val="0F7E3ACB"/>
    <w:rsid w:val="0F7F023D"/>
    <w:rsid w:val="0F7F657B"/>
    <w:rsid w:val="0F7F695D"/>
    <w:rsid w:val="0F801F80"/>
    <w:rsid w:val="0F8051E8"/>
    <w:rsid w:val="0F805491"/>
    <w:rsid w:val="0F806CD3"/>
    <w:rsid w:val="0F81080E"/>
    <w:rsid w:val="0F812B94"/>
    <w:rsid w:val="0F814F4B"/>
    <w:rsid w:val="0F822FCE"/>
    <w:rsid w:val="0F828039"/>
    <w:rsid w:val="0F83A951"/>
    <w:rsid w:val="0F851C0B"/>
    <w:rsid w:val="0F856264"/>
    <w:rsid w:val="0F85963A"/>
    <w:rsid w:val="0F8637D8"/>
    <w:rsid w:val="0F8640DB"/>
    <w:rsid w:val="0F86BAEB"/>
    <w:rsid w:val="0F86BF94"/>
    <w:rsid w:val="0F86CA44"/>
    <w:rsid w:val="0F877699"/>
    <w:rsid w:val="0F87FBB0"/>
    <w:rsid w:val="0F8847DD"/>
    <w:rsid w:val="0F8873F1"/>
    <w:rsid w:val="0F8888F5"/>
    <w:rsid w:val="0F8BAD50"/>
    <w:rsid w:val="0F8BBEC8"/>
    <w:rsid w:val="0F8CB92E"/>
    <w:rsid w:val="0F8D0C12"/>
    <w:rsid w:val="0F8D470D"/>
    <w:rsid w:val="0F8D8D36"/>
    <w:rsid w:val="0F8EA103"/>
    <w:rsid w:val="0F8F1384"/>
    <w:rsid w:val="0F8F31D9"/>
    <w:rsid w:val="0F8F6431"/>
    <w:rsid w:val="0F90ECEB"/>
    <w:rsid w:val="0F91EC81"/>
    <w:rsid w:val="0F92C236"/>
    <w:rsid w:val="0F93D5F7"/>
    <w:rsid w:val="0F943A35"/>
    <w:rsid w:val="0F94CFB9"/>
    <w:rsid w:val="0F951DE6"/>
    <w:rsid w:val="0F95272A"/>
    <w:rsid w:val="0F9592E8"/>
    <w:rsid w:val="0F976479"/>
    <w:rsid w:val="0F97A693"/>
    <w:rsid w:val="0F98C70F"/>
    <w:rsid w:val="0F99371C"/>
    <w:rsid w:val="0F99B5B2"/>
    <w:rsid w:val="0F9BCC88"/>
    <w:rsid w:val="0F9C2556"/>
    <w:rsid w:val="0F9C2A40"/>
    <w:rsid w:val="0F9C5966"/>
    <w:rsid w:val="0F9D029F"/>
    <w:rsid w:val="0F9E1D12"/>
    <w:rsid w:val="0F9FD006"/>
    <w:rsid w:val="0FA0502F"/>
    <w:rsid w:val="0FA231CE"/>
    <w:rsid w:val="0FA25E54"/>
    <w:rsid w:val="0FA2808E"/>
    <w:rsid w:val="0FA28483"/>
    <w:rsid w:val="0FA2D511"/>
    <w:rsid w:val="0FA2E638"/>
    <w:rsid w:val="0FA33462"/>
    <w:rsid w:val="0FA5433F"/>
    <w:rsid w:val="0FA582A1"/>
    <w:rsid w:val="0FA5E29A"/>
    <w:rsid w:val="0FA6135E"/>
    <w:rsid w:val="0FA7BF3F"/>
    <w:rsid w:val="0FA85FDD"/>
    <w:rsid w:val="0FA86EC4"/>
    <w:rsid w:val="0FA89D90"/>
    <w:rsid w:val="0FA8C7C9"/>
    <w:rsid w:val="0FA8D05B"/>
    <w:rsid w:val="0FA91008"/>
    <w:rsid w:val="0FA9193A"/>
    <w:rsid w:val="0FA92F36"/>
    <w:rsid w:val="0FA9A89F"/>
    <w:rsid w:val="0FAAC78E"/>
    <w:rsid w:val="0FAB223A"/>
    <w:rsid w:val="0FAD705C"/>
    <w:rsid w:val="0FAF3D6D"/>
    <w:rsid w:val="0FAF5FD0"/>
    <w:rsid w:val="0FAF6A28"/>
    <w:rsid w:val="0FB04D50"/>
    <w:rsid w:val="0FB06D54"/>
    <w:rsid w:val="0FB08655"/>
    <w:rsid w:val="0FB12678"/>
    <w:rsid w:val="0FB25DC0"/>
    <w:rsid w:val="0FB31C85"/>
    <w:rsid w:val="0FB4CC3B"/>
    <w:rsid w:val="0FB592B1"/>
    <w:rsid w:val="0FB635BB"/>
    <w:rsid w:val="0FB6DD49"/>
    <w:rsid w:val="0FB72F3C"/>
    <w:rsid w:val="0FB74A75"/>
    <w:rsid w:val="0FB76F74"/>
    <w:rsid w:val="0FB82BCE"/>
    <w:rsid w:val="0FB83777"/>
    <w:rsid w:val="0FB85B94"/>
    <w:rsid w:val="0FB9BD89"/>
    <w:rsid w:val="0FB9D1E5"/>
    <w:rsid w:val="0FBA11BB"/>
    <w:rsid w:val="0FBACB36"/>
    <w:rsid w:val="0FBB2311"/>
    <w:rsid w:val="0FBBEF21"/>
    <w:rsid w:val="0FBCC882"/>
    <w:rsid w:val="0FBD5C8C"/>
    <w:rsid w:val="0FBE12A6"/>
    <w:rsid w:val="0FBE8D55"/>
    <w:rsid w:val="0FBF1AD3"/>
    <w:rsid w:val="0FBF5D15"/>
    <w:rsid w:val="0FBF6FD3"/>
    <w:rsid w:val="0FC230A9"/>
    <w:rsid w:val="0FC24E96"/>
    <w:rsid w:val="0FC28EE7"/>
    <w:rsid w:val="0FC2C198"/>
    <w:rsid w:val="0FC2E547"/>
    <w:rsid w:val="0FC35E60"/>
    <w:rsid w:val="0FC3C13C"/>
    <w:rsid w:val="0FC45438"/>
    <w:rsid w:val="0FC488D2"/>
    <w:rsid w:val="0FC4958A"/>
    <w:rsid w:val="0FC53CDD"/>
    <w:rsid w:val="0FC66AED"/>
    <w:rsid w:val="0FC7A5FE"/>
    <w:rsid w:val="0FC7E9EE"/>
    <w:rsid w:val="0FC868B9"/>
    <w:rsid w:val="0FC8C351"/>
    <w:rsid w:val="0FC9F933"/>
    <w:rsid w:val="0FCA774D"/>
    <w:rsid w:val="0FCA965E"/>
    <w:rsid w:val="0FCB278A"/>
    <w:rsid w:val="0FCB2D4D"/>
    <w:rsid w:val="0FCBE02D"/>
    <w:rsid w:val="0FCC8F2C"/>
    <w:rsid w:val="0FCD3696"/>
    <w:rsid w:val="0FCD6AE5"/>
    <w:rsid w:val="0FCD6FFA"/>
    <w:rsid w:val="0FCDCE1B"/>
    <w:rsid w:val="0FCDDB46"/>
    <w:rsid w:val="0FCE27EC"/>
    <w:rsid w:val="0FCEBA86"/>
    <w:rsid w:val="0FCF215D"/>
    <w:rsid w:val="0FCF9982"/>
    <w:rsid w:val="0FCFFBDD"/>
    <w:rsid w:val="0FD02A70"/>
    <w:rsid w:val="0FD0621D"/>
    <w:rsid w:val="0FD165BA"/>
    <w:rsid w:val="0FD1E8BD"/>
    <w:rsid w:val="0FD2BBA1"/>
    <w:rsid w:val="0FD31C3B"/>
    <w:rsid w:val="0FD39950"/>
    <w:rsid w:val="0FD39ED8"/>
    <w:rsid w:val="0FD3D7CE"/>
    <w:rsid w:val="0FD46DEE"/>
    <w:rsid w:val="0FD50714"/>
    <w:rsid w:val="0FD57A20"/>
    <w:rsid w:val="0FD5AD55"/>
    <w:rsid w:val="0FD5EEC5"/>
    <w:rsid w:val="0FD85744"/>
    <w:rsid w:val="0FDA2662"/>
    <w:rsid w:val="0FDAD6A2"/>
    <w:rsid w:val="0FDB1490"/>
    <w:rsid w:val="0FDBD703"/>
    <w:rsid w:val="0FDCA6C1"/>
    <w:rsid w:val="0FDCB91D"/>
    <w:rsid w:val="0FDCCD92"/>
    <w:rsid w:val="0FDD44F3"/>
    <w:rsid w:val="0FDD7633"/>
    <w:rsid w:val="0FDDCA34"/>
    <w:rsid w:val="0FDE55E9"/>
    <w:rsid w:val="0FDE999A"/>
    <w:rsid w:val="0FDF018B"/>
    <w:rsid w:val="0FE042EE"/>
    <w:rsid w:val="0FE0822D"/>
    <w:rsid w:val="0FE14B43"/>
    <w:rsid w:val="0FE427EE"/>
    <w:rsid w:val="0FE6A2A2"/>
    <w:rsid w:val="0FE7BC08"/>
    <w:rsid w:val="0FE8A651"/>
    <w:rsid w:val="0FE8AD06"/>
    <w:rsid w:val="0FE9CFA5"/>
    <w:rsid w:val="0FEA5B65"/>
    <w:rsid w:val="0FEBAC81"/>
    <w:rsid w:val="0FEC83C0"/>
    <w:rsid w:val="0FEDA43F"/>
    <w:rsid w:val="0FEE9537"/>
    <w:rsid w:val="0FEE9ED2"/>
    <w:rsid w:val="0FEF48B7"/>
    <w:rsid w:val="0FF0578C"/>
    <w:rsid w:val="0FF09D16"/>
    <w:rsid w:val="0FF09D5C"/>
    <w:rsid w:val="0FF3018F"/>
    <w:rsid w:val="0FF53C6B"/>
    <w:rsid w:val="0FF578E0"/>
    <w:rsid w:val="0FF70EE8"/>
    <w:rsid w:val="0FF75641"/>
    <w:rsid w:val="0FF7F21D"/>
    <w:rsid w:val="0FF8E720"/>
    <w:rsid w:val="0FF9F98E"/>
    <w:rsid w:val="0FFB56AA"/>
    <w:rsid w:val="0FFC164A"/>
    <w:rsid w:val="0FFC8B1D"/>
    <w:rsid w:val="0FFCB5C5"/>
    <w:rsid w:val="0FFD7E71"/>
    <w:rsid w:val="0FFE48E1"/>
    <w:rsid w:val="0FFED208"/>
    <w:rsid w:val="0FFEE49A"/>
    <w:rsid w:val="0FFF13BE"/>
    <w:rsid w:val="10003B3B"/>
    <w:rsid w:val="100140C8"/>
    <w:rsid w:val="10025E78"/>
    <w:rsid w:val="100260FF"/>
    <w:rsid w:val="1002FC0A"/>
    <w:rsid w:val="10030286"/>
    <w:rsid w:val="1003028F"/>
    <w:rsid w:val="100506AC"/>
    <w:rsid w:val="1005724B"/>
    <w:rsid w:val="1005E6FD"/>
    <w:rsid w:val="10064C49"/>
    <w:rsid w:val="100725DC"/>
    <w:rsid w:val="1007ABBF"/>
    <w:rsid w:val="100845E8"/>
    <w:rsid w:val="1008AEAE"/>
    <w:rsid w:val="1008B44B"/>
    <w:rsid w:val="10090631"/>
    <w:rsid w:val="100976BC"/>
    <w:rsid w:val="10097AB3"/>
    <w:rsid w:val="10099D26"/>
    <w:rsid w:val="1009DDEC"/>
    <w:rsid w:val="100B9533"/>
    <w:rsid w:val="100C8E9B"/>
    <w:rsid w:val="100CB5A9"/>
    <w:rsid w:val="100D2699"/>
    <w:rsid w:val="100D3DFA"/>
    <w:rsid w:val="100DA2B3"/>
    <w:rsid w:val="100E0FDC"/>
    <w:rsid w:val="100E54C5"/>
    <w:rsid w:val="100EE126"/>
    <w:rsid w:val="100F5407"/>
    <w:rsid w:val="100FEF75"/>
    <w:rsid w:val="10104E2F"/>
    <w:rsid w:val="1010E267"/>
    <w:rsid w:val="101228A9"/>
    <w:rsid w:val="10129C6F"/>
    <w:rsid w:val="1012E497"/>
    <w:rsid w:val="101335F7"/>
    <w:rsid w:val="101393D7"/>
    <w:rsid w:val="101408BF"/>
    <w:rsid w:val="1014D38C"/>
    <w:rsid w:val="1014F3AF"/>
    <w:rsid w:val="10152657"/>
    <w:rsid w:val="10159086"/>
    <w:rsid w:val="1015A469"/>
    <w:rsid w:val="1015C429"/>
    <w:rsid w:val="10164A1E"/>
    <w:rsid w:val="1016F4CB"/>
    <w:rsid w:val="101722CB"/>
    <w:rsid w:val="10176E3A"/>
    <w:rsid w:val="1017E3CE"/>
    <w:rsid w:val="101853B8"/>
    <w:rsid w:val="10188698"/>
    <w:rsid w:val="1018B400"/>
    <w:rsid w:val="1018C3DB"/>
    <w:rsid w:val="1018F5C1"/>
    <w:rsid w:val="10190832"/>
    <w:rsid w:val="1019175B"/>
    <w:rsid w:val="1019EA88"/>
    <w:rsid w:val="101A2867"/>
    <w:rsid w:val="101B99DF"/>
    <w:rsid w:val="101CFF0C"/>
    <w:rsid w:val="101D07B2"/>
    <w:rsid w:val="101D74BB"/>
    <w:rsid w:val="101E17CE"/>
    <w:rsid w:val="101E8003"/>
    <w:rsid w:val="101EB2DC"/>
    <w:rsid w:val="101F47D9"/>
    <w:rsid w:val="101FF112"/>
    <w:rsid w:val="10211216"/>
    <w:rsid w:val="102115AC"/>
    <w:rsid w:val="10215F73"/>
    <w:rsid w:val="10216A92"/>
    <w:rsid w:val="10229B9D"/>
    <w:rsid w:val="1022AFA1"/>
    <w:rsid w:val="1022E491"/>
    <w:rsid w:val="10237C94"/>
    <w:rsid w:val="10239760"/>
    <w:rsid w:val="1023D602"/>
    <w:rsid w:val="102529B4"/>
    <w:rsid w:val="10269938"/>
    <w:rsid w:val="10289655"/>
    <w:rsid w:val="1028EF0A"/>
    <w:rsid w:val="10291C86"/>
    <w:rsid w:val="10299C67"/>
    <w:rsid w:val="1029A569"/>
    <w:rsid w:val="102ADCCE"/>
    <w:rsid w:val="102AE0AD"/>
    <w:rsid w:val="102B00C7"/>
    <w:rsid w:val="102B5136"/>
    <w:rsid w:val="102B6A6C"/>
    <w:rsid w:val="102BA71F"/>
    <w:rsid w:val="102C1CE6"/>
    <w:rsid w:val="102C3151"/>
    <w:rsid w:val="102C4CCC"/>
    <w:rsid w:val="102CF7B9"/>
    <w:rsid w:val="102E89B2"/>
    <w:rsid w:val="102EA0D9"/>
    <w:rsid w:val="102F3AC0"/>
    <w:rsid w:val="102FF5B2"/>
    <w:rsid w:val="102FF71B"/>
    <w:rsid w:val="1030A9BE"/>
    <w:rsid w:val="1030B384"/>
    <w:rsid w:val="1031DF56"/>
    <w:rsid w:val="1032BDB0"/>
    <w:rsid w:val="1032CC15"/>
    <w:rsid w:val="1032E4B7"/>
    <w:rsid w:val="1033B544"/>
    <w:rsid w:val="103486FB"/>
    <w:rsid w:val="10362F17"/>
    <w:rsid w:val="1036B53A"/>
    <w:rsid w:val="10379713"/>
    <w:rsid w:val="1037C492"/>
    <w:rsid w:val="10380DE2"/>
    <w:rsid w:val="1038AC9D"/>
    <w:rsid w:val="103901E8"/>
    <w:rsid w:val="10393D79"/>
    <w:rsid w:val="10395BD0"/>
    <w:rsid w:val="1039DD6C"/>
    <w:rsid w:val="103A6A76"/>
    <w:rsid w:val="103AA4D3"/>
    <w:rsid w:val="103B0B10"/>
    <w:rsid w:val="103B463F"/>
    <w:rsid w:val="103B8F09"/>
    <w:rsid w:val="103CC8DB"/>
    <w:rsid w:val="103D458C"/>
    <w:rsid w:val="103DB90A"/>
    <w:rsid w:val="103EFB24"/>
    <w:rsid w:val="103F997A"/>
    <w:rsid w:val="104010EE"/>
    <w:rsid w:val="10410889"/>
    <w:rsid w:val="1041267C"/>
    <w:rsid w:val="1041456F"/>
    <w:rsid w:val="10426AF1"/>
    <w:rsid w:val="1042AE9B"/>
    <w:rsid w:val="104311AC"/>
    <w:rsid w:val="104545F8"/>
    <w:rsid w:val="1045F690"/>
    <w:rsid w:val="10468F4A"/>
    <w:rsid w:val="104700AD"/>
    <w:rsid w:val="1047F8B8"/>
    <w:rsid w:val="104885C0"/>
    <w:rsid w:val="104A230E"/>
    <w:rsid w:val="104A2867"/>
    <w:rsid w:val="104B6B46"/>
    <w:rsid w:val="104CDCEF"/>
    <w:rsid w:val="104D0996"/>
    <w:rsid w:val="104D0EBF"/>
    <w:rsid w:val="104EA284"/>
    <w:rsid w:val="1050BDB4"/>
    <w:rsid w:val="1050DDAB"/>
    <w:rsid w:val="1050F853"/>
    <w:rsid w:val="105183E9"/>
    <w:rsid w:val="1051B417"/>
    <w:rsid w:val="1052A240"/>
    <w:rsid w:val="1052B68C"/>
    <w:rsid w:val="10537FE3"/>
    <w:rsid w:val="1053BE2C"/>
    <w:rsid w:val="1053D747"/>
    <w:rsid w:val="10540AE8"/>
    <w:rsid w:val="10544544"/>
    <w:rsid w:val="105488C8"/>
    <w:rsid w:val="1054F7E8"/>
    <w:rsid w:val="1055073C"/>
    <w:rsid w:val="1055CD74"/>
    <w:rsid w:val="10560B96"/>
    <w:rsid w:val="10561DDA"/>
    <w:rsid w:val="10575168"/>
    <w:rsid w:val="1058D1FC"/>
    <w:rsid w:val="1059C7FB"/>
    <w:rsid w:val="105CBE25"/>
    <w:rsid w:val="105D5085"/>
    <w:rsid w:val="105E399F"/>
    <w:rsid w:val="105F66B8"/>
    <w:rsid w:val="10602FA8"/>
    <w:rsid w:val="10603E42"/>
    <w:rsid w:val="10603F8C"/>
    <w:rsid w:val="106303C7"/>
    <w:rsid w:val="1063170D"/>
    <w:rsid w:val="106357B9"/>
    <w:rsid w:val="10636D64"/>
    <w:rsid w:val="10658D3D"/>
    <w:rsid w:val="10666DD0"/>
    <w:rsid w:val="1066EC52"/>
    <w:rsid w:val="1066F166"/>
    <w:rsid w:val="10684A95"/>
    <w:rsid w:val="10685409"/>
    <w:rsid w:val="10689DF8"/>
    <w:rsid w:val="1068CAA9"/>
    <w:rsid w:val="1069045E"/>
    <w:rsid w:val="10691873"/>
    <w:rsid w:val="106CD191"/>
    <w:rsid w:val="106D5B16"/>
    <w:rsid w:val="106DFA38"/>
    <w:rsid w:val="106E669D"/>
    <w:rsid w:val="106EA794"/>
    <w:rsid w:val="106EA993"/>
    <w:rsid w:val="106EC796"/>
    <w:rsid w:val="106FAB0E"/>
    <w:rsid w:val="106FF98C"/>
    <w:rsid w:val="107170DA"/>
    <w:rsid w:val="1071A396"/>
    <w:rsid w:val="10728841"/>
    <w:rsid w:val="1073990A"/>
    <w:rsid w:val="1074DA96"/>
    <w:rsid w:val="10755420"/>
    <w:rsid w:val="107576AC"/>
    <w:rsid w:val="107659C8"/>
    <w:rsid w:val="107685F5"/>
    <w:rsid w:val="107722EC"/>
    <w:rsid w:val="107793DE"/>
    <w:rsid w:val="10781863"/>
    <w:rsid w:val="10787D6A"/>
    <w:rsid w:val="107881D4"/>
    <w:rsid w:val="10791E29"/>
    <w:rsid w:val="10798093"/>
    <w:rsid w:val="107994CF"/>
    <w:rsid w:val="1079B4FD"/>
    <w:rsid w:val="1079C4C7"/>
    <w:rsid w:val="107AA6C0"/>
    <w:rsid w:val="107B0061"/>
    <w:rsid w:val="107B354B"/>
    <w:rsid w:val="107B39A8"/>
    <w:rsid w:val="107BAFCD"/>
    <w:rsid w:val="107C6D88"/>
    <w:rsid w:val="107C8944"/>
    <w:rsid w:val="107CB32F"/>
    <w:rsid w:val="107D70C2"/>
    <w:rsid w:val="107D7441"/>
    <w:rsid w:val="107DA835"/>
    <w:rsid w:val="107EC591"/>
    <w:rsid w:val="107FFEB4"/>
    <w:rsid w:val="1080041B"/>
    <w:rsid w:val="10803E11"/>
    <w:rsid w:val="10831389"/>
    <w:rsid w:val="1083CA0F"/>
    <w:rsid w:val="10855072"/>
    <w:rsid w:val="10857BDE"/>
    <w:rsid w:val="10860D0B"/>
    <w:rsid w:val="10868A0B"/>
    <w:rsid w:val="1086E143"/>
    <w:rsid w:val="10877A47"/>
    <w:rsid w:val="1088F75D"/>
    <w:rsid w:val="10897DC8"/>
    <w:rsid w:val="1089F100"/>
    <w:rsid w:val="108A5952"/>
    <w:rsid w:val="108B524F"/>
    <w:rsid w:val="108B8239"/>
    <w:rsid w:val="108BCD24"/>
    <w:rsid w:val="108D3AC2"/>
    <w:rsid w:val="108DD7C6"/>
    <w:rsid w:val="108E8229"/>
    <w:rsid w:val="108F475A"/>
    <w:rsid w:val="108F9336"/>
    <w:rsid w:val="108FBB80"/>
    <w:rsid w:val="108FC4E0"/>
    <w:rsid w:val="108FE292"/>
    <w:rsid w:val="108FE8D6"/>
    <w:rsid w:val="1090063D"/>
    <w:rsid w:val="10907CD7"/>
    <w:rsid w:val="1090E01D"/>
    <w:rsid w:val="109143BE"/>
    <w:rsid w:val="1091B6A4"/>
    <w:rsid w:val="1092F870"/>
    <w:rsid w:val="10932695"/>
    <w:rsid w:val="1094DADD"/>
    <w:rsid w:val="10950C7F"/>
    <w:rsid w:val="10956238"/>
    <w:rsid w:val="10961C0D"/>
    <w:rsid w:val="109631D4"/>
    <w:rsid w:val="10965DB8"/>
    <w:rsid w:val="10986020"/>
    <w:rsid w:val="10990094"/>
    <w:rsid w:val="1099BA45"/>
    <w:rsid w:val="109A3325"/>
    <w:rsid w:val="109ABDBF"/>
    <w:rsid w:val="109C8529"/>
    <w:rsid w:val="109DA456"/>
    <w:rsid w:val="109DC4D9"/>
    <w:rsid w:val="109E8995"/>
    <w:rsid w:val="109EAD32"/>
    <w:rsid w:val="10A017E5"/>
    <w:rsid w:val="10A0AB2B"/>
    <w:rsid w:val="10A1C20A"/>
    <w:rsid w:val="10A2050C"/>
    <w:rsid w:val="10A318C5"/>
    <w:rsid w:val="10A36066"/>
    <w:rsid w:val="10A38D45"/>
    <w:rsid w:val="10A3AAB6"/>
    <w:rsid w:val="10A3C14C"/>
    <w:rsid w:val="10A442E8"/>
    <w:rsid w:val="10A47352"/>
    <w:rsid w:val="10A49469"/>
    <w:rsid w:val="10A5746D"/>
    <w:rsid w:val="10A5E48B"/>
    <w:rsid w:val="10A79F7C"/>
    <w:rsid w:val="10A7E4D9"/>
    <w:rsid w:val="10A7E84B"/>
    <w:rsid w:val="10A87394"/>
    <w:rsid w:val="10A9B667"/>
    <w:rsid w:val="10AA2425"/>
    <w:rsid w:val="10AA46D5"/>
    <w:rsid w:val="10AA4B3D"/>
    <w:rsid w:val="10AAE2EB"/>
    <w:rsid w:val="10AB25B5"/>
    <w:rsid w:val="10AB977F"/>
    <w:rsid w:val="10ABE14B"/>
    <w:rsid w:val="10ACEB65"/>
    <w:rsid w:val="10AD27B8"/>
    <w:rsid w:val="10AF4CF6"/>
    <w:rsid w:val="10AF52A2"/>
    <w:rsid w:val="10AFB030"/>
    <w:rsid w:val="10AFBCCC"/>
    <w:rsid w:val="10AFEE4B"/>
    <w:rsid w:val="10B20B30"/>
    <w:rsid w:val="10B2C7A1"/>
    <w:rsid w:val="10B2DCE7"/>
    <w:rsid w:val="10B3A9EF"/>
    <w:rsid w:val="10B55C93"/>
    <w:rsid w:val="10B5FA7F"/>
    <w:rsid w:val="10B69E62"/>
    <w:rsid w:val="10B78A04"/>
    <w:rsid w:val="10B839E9"/>
    <w:rsid w:val="10B99D4C"/>
    <w:rsid w:val="10B9E68D"/>
    <w:rsid w:val="10BADE00"/>
    <w:rsid w:val="10BB91F8"/>
    <w:rsid w:val="10BBF7EF"/>
    <w:rsid w:val="10BC21E4"/>
    <w:rsid w:val="10BC375A"/>
    <w:rsid w:val="10BCD543"/>
    <w:rsid w:val="10BD8859"/>
    <w:rsid w:val="10BDD57B"/>
    <w:rsid w:val="10BDE29E"/>
    <w:rsid w:val="10BE4DD9"/>
    <w:rsid w:val="10BE9261"/>
    <w:rsid w:val="10BF964B"/>
    <w:rsid w:val="10BFA81C"/>
    <w:rsid w:val="10C17ED4"/>
    <w:rsid w:val="10C19B8B"/>
    <w:rsid w:val="10C250A6"/>
    <w:rsid w:val="10C29507"/>
    <w:rsid w:val="10C4637B"/>
    <w:rsid w:val="10C4761A"/>
    <w:rsid w:val="10C47B17"/>
    <w:rsid w:val="10C564D4"/>
    <w:rsid w:val="10C57239"/>
    <w:rsid w:val="10C6D1DF"/>
    <w:rsid w:val="10C70116"/>
    <w:rsid w:val="10C7C2A6"/>
    <w:rsid w:val="10C8B790"/>
    <w:rsid w:val="10C8EB02"/>
    <w:rsid w:val="10C9D42A"/>
    <w:rsid w:val="10CB6CA7"/>
    <w:rsid w:val="10CBFAF7"/>
    <w:rsid w:val="10CCD5A4"/>
    <w:rsid w:val="10CDC424"/>
    <w:rsid w:val="10CE8075"/>
    <w:rsid w:val="10CF45E9"/>
    <w:rsid w:val="10D0C542"/>
    <w:rsid w:val="10D28383"/>
    <w:rsid w:val="10D2A26D"/>
    <w:rsid w:val="10D42C73"/>
    <w:rsid w:val="10D4388A"/>
    <w:rsid w:val="10D44F32"/>
    <w:rsid w:val="10D48DEC"/>
    <w:rsid w:val="10D4ED1B"/>
    <w:rsid w:val="10D4FF1F"/>
    <w:rsid w:val="10D69048"/>
    <w:rsid w:val="10D77E42"/>
    <w:rsid w:val="10D80588"/>
    <w:rsid w:val="10D81291"/>
    <w:rsid w:val="10D95D09"/>
    <w:rsid w:val="10D9635E"/>
    <w:rsid w:val="10D9A459"/>
    <w:rsid w:val="10DA69E3"/>
    <w:rsid w:val="10DA8948"/>
    <w:rsid w:val="10DB6821"/>
    <w:rsid w:val="10DBBEC1"/>
    <w:rsid w:val="10DD3F54"/>
    <w:rsid w:val="10DD7BED"/>
    <w:rsid w:val="10DF4E76"/>
    <w:rsid w:val="10E05DE4"/>
    <w:rsid w:val="10E0B107"/>
    <w:rsid w:val="10E0E5C9"/>
    <w:rsid w:val="10E1AAE3"/>
    <w:rsid w:val="10E247EC"/>
    <w:rsid w:val="10E24F94"/>
    <w:rsid w:val="10E350E2"/>
    <w:rsid w:val="10E35205"/>
    <w:rsid w:val="10E40D79"/>
    <w:rsid w:val="10E4AC3D"/>
    <w:rsid w:val="10E57189"/>
    <w:rsid w:val="10E5AF77"/>
    <w:rsid w:val="10E63F36"/>
    <w:rsid w:val="10E657F2"/>
    <w:rsid w:val="10E658DE"/>
    <w:rsid w:val="10E65A67"/>
    <w:rsid w:val="10E7148F"/>
    <w:rsid w:val="10E8B363"/>
    <w:rsid w:val="10E97E5D"/>
    <w:rsid w:val="10E9AA20"/>
    <w:rsid w:val="10EAAAC0"/>
    <w:rsid w:val="10EB62E5"/>
    <w:rsid w:val="10EDA75B"/>
    <w:rsid w:val="10EDF215"/>
    <w:rsid w:val="10EF73A3"/>
    <w:rsid w:val="10F0568A"/>
    <w:rsid w:val="10F0C739"/>
    <w:rsid w:val="10F0CB25"/>
    <w:rsid w:val="10F0F7F0"/>
    <w:rsid w:val="10F299F7"/>
    <w:rsid w:val="10F380E2"/>
    <w:rsid w:val="10F4B986"/>
    <w:rsid w:val="10F4D4CE"/>
    <w:rsid w:val="10F57931"/>
    <w:rsid w:val="10F59B56"/>
    <w:rsid w:val="10F61665"/>
    <w:rsid w:val="10F69C57"/>
    <w:rsid w:val="10F72B1D"/>
    <w:rsid w:val="10F731F4"/>
    <w:rsid w:val="10F7D1EB"/>
    <w:rsid w:val="10F838C4"/>
    <w:rsid w:val="10F8E618"/>
    <w:rsid w:val="10F90530"/>
    <w:rsid w:val="10F93A04"/>
    <w:rsid w:val="10F9AB3B"/>
    <w:rsid w:val="10F9E1C2"/>
    <w:rsid w:val="10FA10DC"/>
    <w:rsid w:val="10FA7DA9"/>
    <w:rsid w:val="10FA8174"/>
    <w:rsid w:val="10FA876B"/>
    <w:rsid w:val="10FB6A0F"/>
    <w:rsid w:val="10FC1E61"/>
    <w:rsid w:val="10FC407E"/>
    <w:rsid w:val="10FDD597"/>
    <w:rsid w:val="10FE1292"/>
    <w:rsid w:val="10FF8960"/>
    <w:rsid w:val="10FFA1DA"/>
    <w:rsid w:val="1100AAB8"/>
    <w:rsid w:val="1100C516"/>
    <w:rsid w:val="1100EC63"/>
    <w:rsid w:val="1100F827"/>
    <w:rsid w:val="1101B7E1"/>
    <w:rsid w:val="110215D8"/>
    <w:rsid w:val="11028719"/>
    <w:rsid w:val="110302CD"/>
    <w:rsid w:val="1103D1C4"/>
    <w:rsid w:val="1104143B"/>
    <w:rsid w:val="110480B1"/>
    <w:rsid w:val="11054712"/>
    <w:rsid w:val="1106187F"/>
    <w:rsid w:val="1106D4BD"/>
    <w:rsid w:val="110819EF"/>
    <w:rsid w:val="11089FE1"/>
    <w:rsid w:val="11092CEC"/>
    <w:rsid w:val="1109F48E"/>
    <w:rsid w:val="110AF0F2"/>
    <w:rsid w:val="110BDFA3"/>
    <w:rsid w:val="110C6C89"/>
    <w:rsid w:val="110D05CF"/>
    <w:rsid w:val="110D0A71"/>
    <w:rsid w:val="110D32E4"/>
    <w:rsid w:val="110E4E74"/>
    <w:rsid w:val="110E7609"/>
    <w:rsid w:val="110E8CFB"/>
    <w:rsid w:val="110EE8C8"/>
    <w:rsid w:val="110F671A"/>
    <w:rsid w:val="11108F81"/>
    <w:rsid w:val="1110DA5F"/>
    <w:rsid w:val="1111628A"/>
    <w:rsid w:val="111254F6"/>
    <w:rsid w:val="1114FAB3"/>
    <w:rsid w:val="111518AC"/>
    <w:rsid w:val="11163C62"/>
    <w:rsid w:val="1116E769"/>
    <w:rsid w:val="1117335F"/>
    <w:rsid w:val="1117538D"/>
    <w:rsid w:val="1119329C"/>
    <w:rsid w:val="11196A3B"/>
    <w:rsid w:val="111AE4B8"/>
    <w:rsid w:val="111AE60F"/>
    <w:rsid w:val="111C4886"/>
    <w:rsid w:val="111CD22E"/>
    <w:rsid w:val="111D08C6"/>
    <w:rsid w:val="111D7D3D"/>
    <w:rsid w:val="111DF52C"/>
    <w:rsid w:val="111E3B4F"/>
    <w:rsid w:val="111F5D68"/>
    <w:rsid w:val="111FDFD2"/>
    <w:rsid w:val="1120A782"/>
    <w:rsid w:val="11210A86"/>
    <w:rsid w:val="1121E258"/>
    <w:rsid w:val="1121FFF2"/>
    <w:rsid w:val="1123330A"/>
    <w:rsid w:val="11243B1C"/>
    <w:rsid w:val="112468C3"/>
    <w:rsid w:val="11247143"/>
    <w:rsid w:val="112472C8"/>
    <w:rsid w:val="11247FCD"/>
    <w:rsid w:val="11256255"/>
    <w:rsid w:val="112692C0"/>
    <w:rsid w:val="1126C995"/>
    <w:rsid w:val="1126E6C8"/>
    <w:rsid w:val="11272934"/>
    <w:rsid w:val="11280C53"/>
    <w:rsid w:val="11285013"/>
    <w:rsid w:val="1128705B"/>
    <w:rsid w:val="1128845A"/>
    <w:rsid w:val="11288D60"/>
    <w:rsid w:val="11295C36"/>
    <w:rsid w:val="1129823D"/>
    <w:rsid w:val="112B8054"/>
    <w:rsid w:val="112C15A5"/>
    <w:rsid w:val="112CC718"/>
    <w:rsid w:val="112D1B25"/>
    <w:rsid w:val="112E181B"/>
    <w:rsid w:val="112E3169"/>
    <w:rsid w:val="112E317C"/>
    <w:rsid w:val="112EDE44"/>
    <w:rsid w:val="112EECBE"/>
    <w:rsid w:val="11307961"/>
    <w:rsid w:val="11315A39"/>
    <w:rsid w:val="113164B1"/>
    <w:rsid w:val="11322D2B"/>
    <w:rsid w:val="113275F6"/>
    <w:rsid w:val="11334766"/>
    <w:rsid w:val="11346B1F"/>
    <w:rsid w:val="11348EFC"/>
    <w:rsid w:val="11349770"/>
    <w:rsid w:val="1135EC4E"/>
    <w:rsid w:val="113670B6"/>
    <w:rsid w:val="1138EDDF"/>
    <w:rsid w:val="113907F2"/>
    <w:rsid w:val="11392A48"/>
    <w:rsid w:val="11395F0F"/>
    <w:rsid w:val="1139BB51"/>
    <w:rsid w:val="113A3493"/>
    <w:rsid w:val="113A3D81"/>
    <w:rsid w:val="113A8C45"/>
    <w:rsid w:val="113B0762"/>
    <w:rsid w:val="113B3499"/>
    <w:rsid w:val="113BF859"/>
    <w:rsid w:val="113C4E8F"/>
    <w:rsid w:val="113CA814"/>
    <w:rsid w:val="113CE3CD"/>
    <w:rsid w:val="113F7D19"/>
    <w:rsid w:val="113FCCF1"/>
    <w:rsid w:val="113FE553"/>
    <w:rsid w:val="1141CB50"/>
    <w:rsid w:val="114276D7"/>
    <w:rsid w:val="11428203"/>
    <w:rsid w:val="1142D143"/>
    <w:rsid w:val="11432455"/>
    <w:rsid w:val="11432674"/>
    <w:rsid w:val="11432D9B"/>
    <w:rsid w:val="11435764"/>
    <w:rsid w:val="11436653"/>
    <w:rsid w:val="1143C704"/>
    <w:rsid w:val="11441DA7"/>
    <w:rsid w:val="1148DC88"/>
    <w:rsid w:val="11495371"/>
    <w:rsid w:val="1149CA7D"/>
    <w:rsid w:val="114AB1D5"/>
    <w:rsid w:val="114C14F9"/>
    <w:rsid w:val="114D3B7E"/>
    <w:rsid w:val="114D4E70"/>
    <w:rsid w:val="114E7524"/>
    <w:rsid w:val="114EB919"/>
    <w:rsid w:val="114EE7BB"/>
    <w:rsid w:val="114EFC10"/>
    <w:rsid w:val="114FB340"/>
    <w:rsid w:val="1150D583"/>
    <w:rsid w:val="1151139B"/>
    <w:rsid w:val="11517FDD"/>
    <w:rsid w:val="1151C613"/>
    <w:rsid w:val="1151F788"/>
    <w:rsid w:val="11527AFF"/>
    <w:rsid w:val="1153CBBB"/>
    <w:rsid w:val="1154CCE2"/>
    <w:rsid w:val="1154E1F3"/>
    <w:rsid w:val="11557BB8"/>
    <w:rsid w:val="115596FF"/>
    <w:rsid w:val="115655A3"/>
    <w:rsid w:val="1157ED0C"/>
    <w:rsid w:val="11586731"/>
    <w:rsid w:val="1158B8FC"/>
    <w:rsid w:val="115A01C9"/>
    <w:rsid w:val="115A521C"/>
    <w:rsid w:val="115B5856"/>
    <w:rsid w:val="115D0E99"/>
    <w:rsid w:val="115E91F9"/>
    <w:rsid w:val="115ED798"/>
    <w:rsid w:val="115F4006"/>
    <w:rsid w:val="11604C02"/>
    <w:rsid w:val="11606B9D"/>
    <w:rsid w:val="11619539"/>
    <w:rsid w:val="1161EC4E"/>
    <w:rsid w:val="11629EBF"/>
    <w:rsid w:val="1162C143"/>
    <w:rsid w:val="116399AA"/>
    <w:rsid w:val="1163A91E"/>
    <w:rsid w:val="11640EC7"/>
    <w:rsid w:val="11649C96"/>
    <w:rsid w:val="1164FE57"/>
    <w:rsid w:val="1165BA2A"/>
    <w:rsid w:val="1165CCA9"/>
    <w:rsid w:val="1165CE21"/>
    <w:rsid w:val="11662EEB"/>
    <w:rsid w:val="11666F57"/>
    <w:rsid w:val="116763DF"/>
    <w:rsid w:val="1167B33F"/>
    <w:rsid w:val="11682B7E"/>
    <w:rsid w:val="116949C4"/>
    <w:rsid w:val="116A00F5"/>
    <w:rsid w:val="116A424C"/>
    <w:rsid w:val="116B2362"/>
    <w:rsid w:val="116CB888"/>
    <w:rsid w:val="116CEC24"/>
    <w:rsid w:val="116D16E3"/>
    <w:rsid w:val="116D3822"/>
    <w:rsid w:val="116DAC1B"/>
    <w:rsid w:val="116DEC22"/>
    <w:rsid w:val="116E64C2"/>
    <w:rsid w:val="116EF571"/>
    <w:rsid w:val="116F3AE8"/>
    <w:rsid w:val="116F3DFF"/>
    <w:rsid w:val="116FF9B9"/>
    <w:rsid w:val="1170FFB9"/>
    <w:rsid w:val="1172E095"/>
    <w:rsid w:val="1172F226"/>
    <w:rsid w:val="11733AEA"/>
    <w:rsid w:val="1174538D"/>
    <w:rsid w:val="11746152"/>
    <w:rsid w:val="11749212"/>
    <w:rsid w:val="117499D0"/>
    <w:rsid w:val="1174E8FC"/>
    <w:rsid w:val="11755C1A"/>
    <w:rsid w:val="11759B88"/>
    <w:rsid w:val="117613E0"/>
    <w:rsid w:val="1176D76B"/>
    <w:rsid w:val="11770BB5"/>
    <w:rsid w:val="1177B085"/>
    <w:rsid w:val="1177DFBA"/>
    <w:rsid w:val="1178CE84"/>
    <w:rsid w:val="11791C3D"/>
    <w:rsid w:val="11799ABA"/>
    <w:rsid w:val="117A654D"/>
    <w:rsid w:val="117A7FF6"/>
    <w:rsid w:val="117A8B82"/>
    <w:rsid w:val="117AB613"/>
    <w:rsid w:val="117AC014"/>
    <w:rsid w:val="117BEACF"/>
    <w:rsid w:val="117C2664"/>
    <w:rsid w:val="117CA8ED"/>
    <w:rsid w:val="117E40F1"/>
    <w:rsid w:val="117EEDA8"/>
    <w:rsid w:val="1181D5FF"/>
    <w:rsid w:val="1181DB5C"/>
    <w:rsid w:val="1181E88C"/>
    <w:rsid w:val="11835D42"/>
    <w:rsid w:val="11844B1E"/>
    <w:rsid w:val="1184BB40"/>
    <w:rsid w:val="1184F2DE"/>
    <w:rsid w:val="1185AF71"/>
    <w:rsid w:val="1185C1AB"/>
    <w:rsid w:val="1185F22A"/>
    <w:rsid w:val="11872EEE"/>
    <w:rsid w:val="11889688"/>
    <w:rsid w:val="1188EF30"/>
    <w:rsid w:val="118A0C43"/>
    <w:rsid w:val="118A7221"/>
    <w:rsid w:val="118AA586"/>
    <w:rsid w:val="118AE1BC"/>
    <w:rsid w:val="118CD9DB"/>
    <w:rsid w:val="118D85E2"/>
    <w:rsid w:val="118DA1B5"/>
    <w:rsid w:val="118DF064"/>
    <w:rsid w:val="118E2390"/>
    <w:rsid w:val="118F9D63"/>
    <w:rsid w:val="118FA745"/>
    <w:rsid w:val="11904939"/>
    <w:rsid w:val="119070B1"/>
    <w:rsid w:val="1190B1AE"/>
    <w:rsid w:val="1190D85E"/>
    <w:rsid w:val="1192055A"/>
    <w:rsid w:val="11927E7B"/>
    <w:rsid w:val="1192CCE4"/>
    <w:rsid w:val="1192F13E"/>
    <w:rsid w:val="11931045"/>
    <w:rsid w:val="119324F5"/>
    <w:rsid w:val="1193B68E"/>
    <w:rsid w:val="119467BF"/>
    <w:rsid w:val="1194846E"/>
    <w:rsid w:val="1194DA4F"/>
    <w:rsid w:val="1195BFE2"/>
    <w:rsid w:val="11960F23"/>
    <w:rsid w:val="11966F3B"/>
    <w:rsid w:val="119771B1"/>
    <w:rsid w:val="1197C58D"/>
    <w:rsid w:val="1197E165"/>
    <w:rsid w:val="11986F65"/>
    <w:rsid w:val="119899B4"/>
    <w:rsid w:val="119937B7"/>
    <w:rsid w:val="1199D5D9"/>
    <w:rsid w:val="119AAE51"/>
    <w:rsid w:val="119AB0D2"/>
    <w:rsid w:val="119B7C34"/>
    <w:rsid w:val="119BC478"/>
    <w:rsid w:val="119C2DE8"/>
    <w:rsid w:val="119CF1F6"/>
    <w:rsid w:val="119D7CBF"/>
    <w:rsid w:val="119DCE1E"/>
    <w:rsid w:val="119DF748"/>
    <w:rsid w:val="119DFBFE"/>
    <w:rsid w:val="119ED4FD"/>
    <w:rsid w:val="119EED3F"/>
    <w:rsid w:val="11A097D8"/>
    <w:rsid w:val="11A15B7B"/>
    <w:rsid w:val="11A1CF00"/>
    <w:rsid w:val="11A2A442"/>
    <w:rsid w:val="11A43303"/>
    <w:rsid w:val="11A47858"/>
    <w:rsid w:val="11A49A33"/>
    <w:rsid w:val="11A549C0"/>
    <w:rsid w:val="11A69E2F"/>
    <w:rsid w:val="11A6A85C"/>
    <w:rsid w:val="11A704FE"/>
    <w:rsid w:val="11A95333"/>
    <w:rsid w:val="11AADC25"/>
    <w:rsid w:val="11AB7289"/>
    <w:rsid w:val="11AC5C1A"/>
    <w:rsid w:val="11AD32F5"/>
    <w:rsid w:val="11AD6B34"/>
    <w:rsid w:val="11AE081E"/>
    <w:rsid w:val="11AE78DE"/>
    <w:rsid w:val="11AF275E"/>
    <w:rsid w:val="11B02D38"/>
    <w:rsid w:val="11B11C35"/>
    <w:rsid w:val="11B34935"/>
    <w:rsid w:val="11B4E58F"/>
    <w:rsid w:val="11B5B1ED"/>
    <w:rsid w:val="11B74CE1"/>
    <w:rsid w:val="11B80D1C"/>
    <w:rsid w:val="11B98FD3"/>
    <w:rsid w:val="11B9C127"/>
    <w:rsid w:val="11BAC0FD"/>
    <w:rsid w:val="11BB190E"/>
    <w:rsid w:val="11BB3979"/>
    <w:rsid w:val="11BB7520"/>
    <w:rsid w:val="11BD44C0"/>
    <w:rsid w:val="11BD4AB4"/>
    <w:rsid w:val="11BE226A"/>
    <w:rsid w:val="11BEE205"/>
    <w:rsid w:val="11BEFDC4"/>
    <w:rsid w:val="11C071E2"/>
    <w:rsid w:val="11C092A9"/>
    <w:rsid w:val="11C0AB65"/>
    <w:rsid w:val="11C166D8"/>
    <w:rsid w:val="11C2FB38"/>
    <w:rsid w:val="11C34FAA"/>
    <w:rsid w:val="11C37AD8"/>
    <w:rsid w:val="11C3A4D8"/>
    <w:rsid w:val="11C474CB"/>
    <w:rsid w:val="11C5A113"/>
    <w:rsid w:val="11C5BEB3"/>
    <w:rsid w:val="11C6C878"/>
    <w:rsid w:val="11C70E7B"/>
    <w:rsid w:val="11C71248"/>
    <w:rsid w:val="11C857EF"/>
    <w:rsid w:val="11C924D2"/>
    <w:rsid w:val="11CA4230"/>
    <w:rsid w:val="11CAC20A"/>
    <w:rsid w:val="11CB29F8"/>
    <w:rsid w:val="11CBA70A"/>
    <w:rsid w:val="11CBC886"/>
    <w:rsid w:val="11CC644E"/>
    <w:rsid w:val="11CC7D9C"/>
    <w:rsid w:val="11CC8F95"/>
    <w:rsid w:val="11CCF0AC"/>
    <w:rsid w:val="11CDB918"/>
    <w:rsid w:val="11CE7EED"/>
    <w:rsid w:val="11D08A6E"/>
    <w:rsid w:val="11D14234"/>
    <w:rsid w:val="11D2F10B"/>
    <w:rsid w:val="11D33115"/>
    <w:rsid w:val="11D35293"/>
    <w:rsid w:val="11D3945E"/>
    <w:rsid w:val="11D429E3"/>
    <w:rsid w:val="11D49536"/>
    <w:rsid w:val="11D7BDD7"/>
    <w:rsid w:val="11D81DBC"/>
    <w:rsid w:val="11D8328F"/>
    <w:rsid w:val="11D8F3E6"/>
    <w:rsid w:val="11DAC26C"/>
    <w:rsid w:val="11DC03B7"/>
    <w:rsid w:val="11DC37EE"/>
    <w:rsid w:val="11DC5784"/>
    <w:rsid w:val="11DD82AA"/>
    <w:rsid w:val="11DDABCF"/>
    <w:rsid w:val="11DDB009"/>
    <w:rsid w:val="11DEDC1F"/>
    <w:rsid w:val="11DEE070"/>
    <w:rsid w:val="11DEF882"/>
    <w:rsid w:val="11DF1876"/>
    <w:rsid w:val="11DF2AF9"/>
    <w:rsid w:val="11DF347D"/>
    <w:rsid w:val="11DF5B77"/>
    <w:rsid w:val="11DF6717"/>
    <w:rsid w:val="11DF69F1"/>
    <w:rsid w:val="11E18A3F"/>
    <w:rsid w:val="11E1BFCF"/>
    <w:rsid w:val="11E26676"/>
    <w:rsid w:val="11E26CB7"/>
    <w:rsid w:val="11E2A268"/>
    <w:rsid w:val="11E2C6CB"/>
    <w:rsid w:val="11E2E8BB"/>
    <w:rsid w:val="11E50BE4"/>
    <w:rsid w:val="11E7D32B"/>
    <w:rsid w:val="11EA292B"/>
    <w:rsid w:val="11EA5373"/>
    <w:rsid w:val="11EABAFE"/>
    <w:rsid w:val="11EBD6B1"/>
    <w:rsid w:val="11EC1816"/>
    <w:rsid w:val="11EC7DB3"/>
    <w:rsid w:val="11ED7F2D"/>
    <w:rsid w:val="11ED7FB3"/>
    <w:rsid w:val="11EDA207"/>
    <w:rsid w:val="11EEC2C9"/>
    <w:rsid w:val="11EF455F"/>
    <w:rsid w:val="11EF4B76"/>
    <w:rsid w:val="11EF9C2A"/>
    <w:rsid w:val="11F0256C"/>
    <w:rsid w:val="11F055AA"/>
    <w:rsid w:val="11F2722A"/>
    <w:rsid w:val="11F364AC"/>
    <w:rsid w:val="11F38648"/>
    <w:rsid w:val="11F45A20"/>
    <w:rsid w:val="11F49439"/>
    <w:rsid w:val="11F50249"/>
    <w:rsid w:val="11F5B180"/>
    <w:rsid w:val="11F6FE46"/>
    <w:rsid w:val="11F9092E"/>
    <w:rsid w:val="11FB7A73"/>
    <w:rsid w:val="11FCC160"/>
    <w:rsid w:val="11FD15A3"/>
    <w:rsid w:val="11FD2ACB"/>
    <w:rsid w:val="11FE071E"/>
    <w:rsid w:val="11FE0BF0"/>
    <w:rsid w:val="11FE2AC6"/>
    <w:rsid w:val="11FEF931"/>
    <w:rsid w:val="11FF2A86"/>
    <w:rsid w:val="11FFAB22"/>
    <w:rsid w:val="12016084"/>
    <w:rsid w:val="12017E4F"/>
    <w:rsid w:val="120202F6"/>
    <w:rsid w:val="12025CB7"/>
    <w:rsid w:val="12034955"/>
    <w:rsid w:val="12036777"/>
    <w:rsid w:val="12037839"/>
    <w:rsid w:val="1203DEE2"/>
    <w:rsid w:val="12054F12"/>
    <w:rsid w:val="1205EBE4"/>
    <w:rsid w:val="12067758"/>
    <w:rsid w:val="12076152"/>
    <w:rsid w:val="12078428"/>
    <w:rsid w:val="1207C705"/>
    <w:rsid w:val="120853A8"/>
    <w:rsid w:val="1209454F"/>
    <w:rsid w:val="120A709C"/>
    <w:rsid w:val="120AEFE6"/>
    <w:rsid w:val="120B499D"/>
    <w:rsid w:val="120C98B1"/>
    <w:rsid w:val="120D12FC"/>
    <w:rsid w:val="120DDEC7"/>
    <w:rsid w:val="120E95D7"/>
    <w:rsid w:val="120F9E3A"/>
    <w:rsid w:val="12104183"/>
    <w:rsid w:val="1210C294"/>
    <w:rsid w:val="1211060E"/>
    <w:rsid w:val="121107BE"/>
    <w:rsid w:val="121121D5"/>
    <w:rsid w:val="121158C6"/>
    <w:rsid w:val="1212023B"/>
    <w:rsid w:val="12133748"/>
    <w:rsid w:val="12136967"/>
    <w:rsid w:val="1213B976"/>
    <w:rsid w:val="1214067B"/>
    <w:rsid w:val="1214D2FA"/>
    <w:rsid w:val="1215655B"/>
    <w:rsid w:val="121719AE"/>
    <w:rsid w:val="1217A81A"/>
    <w:rsid w:val="121950E9"/>
    <w:rsid w:val="12197052"/>
    <w:rsid w:val="121985BC"/>
    <w:rsid w:val="1219D4CA"/>
    <w:rsid w:val="121A7E7F"/>
    <w:rsid w:val="121AF383"/>
    <w:rsid w:val="121B0A93"/>
    <w:rsid w:val="121BE7AC"/>
    <w:rsid w:val="121BEFBD"/>
    <w:rsid w:val="121C1887"/>
    <w:rsid w:val="121CA5A0"/>
    <w:rsid w:val="121D0499"/>
    <w:rsid w:val="121E4028"/>
    <w:rsid w:val="121EE7F6"/>
    <w:rsid w:val="121F25AC"/>
    <w:rsid w:val="121F8FFA"/>
    <w:rsid w:val="12206DD8"/>
    <w:rsid w:val="1220EC2A"/>
    <w:rsid w:val="1220FEBC"/>
    <w:rsid w:val="1221F417"/>
    <w:rsid w:val="122269C2"/>
    <w:rsid w:val="12235547"/>
    <w:rsid w:val="1223AF15"/>
    <w:rsid w:val="1224B638"/>
    <w:rsid w:val="122577D7"/>
    <w:rsid w:val="1228421C"/>
    <w:rsid w:val="1228CC5C"/>
    <w:rsid w:val="1228D819"/>
    <w:rsid w:val="12292313"/>
    <w:rsid w:val="12299362"/>
    <w:rsid w:val="122A3556"/>
    <w:rsid w:val="122B5368"/>
    <w:rsid w:val="122BB8C3"/>
    <w:rsid w:val="122C36E8"/>
    <w:rsid w:val="122CF06F"/>
    <w:rsid w:val="122D976B"/>
    <w:rsid w:val="122D9F6B"/>
    <w:rsid w:val="122EFBFB"/>
    <w:rsid w:val="122EFD2A"/>
    <w:rsid w:val="122F9172"/>
    <w:rsid w:val="122FAB33"/>
    <w:rsid w:val="122FFD23"/>
    <w:rsid w:val="1230027D"/>
    <w:rsid w:val="123015E1"/>
    <w:rsid w:val="1230D834"/>
    <w:rsid w:val="12316878"/>
    <w:rsid w:val="12325804"/>
    <w:rsid w:val="12329739"/>
    <w:rsid w:val="12330494"/>
    <w:rsid w:val="123378C3"/>
    <w:rsid w:val="12351597"/>
    <w:rsid w:val="1235E1F2"/>
    <w:rsid w:val="12368AC8"/>
    <w:rsid w:val="12376017"/>
    <w:rsid w:val="1237E720"/>
    <w:rsid w:val="12388549"/>
    <w:rsid w:val="12394A0F"/>
    <w:rsid w:val="1239AF60"/>
    <w:rsid w:val="1239F4D8"/>
    <w:rsid w:val="123A030F"/>
    <w:rsid w:val="123A5C0C"/>
    <w:rsid w:val="123AE2F7"/>
    <w:rsid w:val="123AEBC4"/>
    <w:rsid w:val="123B2035"/>
    <w:rsid w:val="123B3458"/>
    <w:rsid w:val="123CF620"/>
    <w:rsid w:val="123D0EED"/>
    <w:rsid w:val="123D3888"/>
    <w:rsid w:val="123D9EA0"/>
    <w:rsid w:val="123E53AC"/>
    <w:rsid w:val="12401F36"/>
    <w:rsid w:val="12412950"/>
    <w:rsid w:val="124193D6"/>
    <w:rsid w:val="1242B94B"/>
    <w:rsid w:val="1242FF76"/>
    <w:rsid w:val="12443227"/>
    <w:rsid w:val="12447125"/>
    <w:rsid w:val="1244728D"/>
    <w:rsid w:val="1244804F"/>
    <w:rsid w:val="1244C468"/>
    <w:rsid w:val="1244C542"/>
    <w:rsid w:val="1244E972"/>
    <w:rsid w:val="1245922E"/>
    <w:rsid w:val="124689BC"/>
    <w:rsid w:val="12469A2D"/>
    <w:rsid w:val="12478ABE"/>
    <w:rsid w:val="1247B3E5"/>
    <w:rsid w:val="12482548"/>
    <w:rsid w:val="12486393"/>
    <w:rsid w:val="1248A8C0"/>
    <w:rsid w:val="12496D7A"/>
    <w:rsid w:val="12496DAF"/>
    <w:rsid w:val="124B9515"/>
    <w:rsid w:val="124BC6A8"/>
    <w:rsid w:val="124C5F13"/>
    <w:rsid w:val="124C9676"/>
    <w:rsid w:val="124CA696"/>
    <w:rsid w:val="124D12B9"/>
    <w:rsid w:val="124D2AF4"/>
    <w:rsid w:val="124D53FC"/>
    <w:rsid w:val="124ED205"/>
    <w:rsid w:val="124ED35C"/>
    <w:rsid w:val="124F6FDE"/>
    <w:rsid w:val="124FC43B"/>
    <w:rsid w:val="125074B0"/>
    <w:rsid w:val="1250D69D"/>
    <w:rsid w:val="1250ED12"/>
    <w:rsid w:val="125222FB"/>
    <w:rsid w:val="12533B90"/>
    <w:rsid w:val="12534091"/>
    <w:rsid w:val="125347A3"/>
    <w:rsid w:val="12548BB8"/>
    <w:rsid w:val="12550ED1"/>
    <w:rsid w:val="1255FF90"/>
    <w:rsid w:val="12561F08"/>
    <w:rsid w:val="1256561F"/>
    <w:rsid w:val="12566C47"/>
    <w:rsid w:val="1256AAAB"/>
    <w:rsid w:val="1257031F"/>
    <w:rsid w:val="12570A24"/>
    <w:rsid w:val="125838A2"/>
    <w:rsid w:val="12589EBB"/>
    <w:rsid w:val="1258BB2A"/>
    <w:rsid w:val="1259D0A3"/>
    <w:rsid w:val="125A567A"/>
    <w:rsid w:val="125AA558"/>
    <w:rsid w:val="125AD014"/>
    <w:rsid w:val="125ADE9F"/>
    <w:rsid w:val="125B7709"/>
    <w:rsid w:val="125BAEA7"/>
    <w:rsid w:val="125C4219"/>
    <w:rsid w:val="125C8BA2"/>
    <w:rsid w:val="125C991F"/>
    <w:rsid w:val="125CA395"/>
    <w:rsid w:val="125CEE24"/>
    <w:rsid w:val="125CEFB4"/>
    <w:rsid w:val="125D5DBF"/>
    <w:rsid w:val="125D893E"/>
    <w:rsid w:val="125DBA5C"/>
    <w:rsid w:val="125DEB49"/>
    <w:rsid w:val="125EBA84"/>
    <w:rsid w:val="1260A387"/>
    <w:rsid w:val="1260BA42"/>
    <w:rsid w:val="12619725"/>
    <w:rsid w:val="1261D354"/>
    <w:rsid w:val="1262D177"/>
    <w:rsid w:val="1264E502"/>
    <w:rsid w:val="1265F8D0"/>
    <w:rsid w:val="1266373D"/>
    <w:rsid w:val="1266AAA8"/>
    <w:rsid w:val="1267BAF3"/>
    <w:rsid w:val="1267BBFA"/>
    <w:rsid w:val="126915EF"/>
    <w:rsid w:val="126932AE"/>
    <w:rsid w:val="126ACB96"/>
    <w:rsid w:val="126B3AFD"/>
    <w:rsid w:val="126BA36C"/>
    <w:rsid w:val="126D9D36"/>
    <w:rsid w:val="126DBEEF"/>
    <w:rsid w:val="126FB1CA"/>
    <w:rsid w:val="1270319E"/>
    <w:rsid w:val="127092E1"/>
    <w:rsid w:val="12749812"/>
    <w:rsid w:val="1274C9FD"/>
    <w:rsid w:val="12778B70"/>
    <w:rsid w:val="1277EC23"/>
    <w:rsid w:val="1277FEE1"/>
    <w:rsid w:val="127831D2"/>
    <w:rsid w:val="12783E0D"/>
    <w:rsid w:val="1278D1BB"/>
    <w:rsid w:val="127AA05A"/>
    <w:rsid w:val="127B2B18"/>
    <w:rsid w:val="127BA4B4"/>
    <w:rsid w:val="127C3EA8"/>
    <w:rsid w:val="127D301F"/>
    <w:rsid w:val="127F9BE8"/>
    <w:rsid w:val="127FAE94"/>
    <w:rsid w:val="1280C401"/>
    <w:rsid w:val="12815C76"/>
    <w:rsid w:val="128161C2"/>
    <w:rsid w:val="12824E6A"/>
    <w:rsid w:val="1282BAF7"/>
    <w:rsid w:val="1282E52C"/>
    <w:rsid w:val="12835391"/>
    <w:rsid w:val="12837B2A"/>
    <w:rsid w:val="12838CD6"/>
    <w:rsid w:val="1284FD63"/>
    <w:rsid w:val="12854ABF"/>
    <w:rsid w:val="12862C0D"/>
    <w:rsid w:val="12867D86"/>
    <w:rsid w:val="12869AD3"/>
    <w:rsid w:val="1286DCCE"/>
    <w:rsid w:val="12872E5B"/>
    <w:rsid w:val="12876286"/>
    <w:rsid w:val="12882D58"/>
    <w:rsid w:val="128878A7"/>
    <w:rsid w:val="12890853"/>
    <w:rsid w:val="128AA85D"/>
    <w:rsid w:val="128B8E51"/>
    <w:rsid w:val="128BB263"/>
    <w:rsid w:val="128BF6F2"/>
    <w:rsid w:val="128D427C"/>
    <w:rsid w:val="128DA457"/>
    <w:rsid w:val="128DBDC2"/>
    <w:rsid w:val="128DE919"/>
    <w:rsid w:val="128DF35F"/>
    <w:rsid w:val="128E5492"/>
    <w:rsid w:val="12901D2B"/>
    <w:rsid w:val="1290E08E"/>
    <w:rsid w:val="1292194D"/>
    <w:rsid w:val="12924FB2"/>
    <w:rsid w:val="12926DE7"/>
    <w:rsid w:val="12929FF2"/>
    <w:rsid w:val="1292A747"/>
    <w:rsid w:val="1292FAED"/>
    <w:rsid w:val="1294DB4A"/>
    <w:rsid w:val="129521A0"/>
    <w:rsid w:val="1295D84C"/>
    <w:rsid w:val="1295ED3E"/>
    <w:rsid w:val="129725DF"/>
    <w:rsid w:val="12973767"/>
    <w:rsid w:val="12980E79"/>
    <w:rsid w:val="12986428"/>
    <w:rsid w:val="129866A4"/>
    <w:rsid w:val="1299FD2B"/>
    <w:rsid w:val="129A7430"/>
    <w:rsid w:val="129B0DF8"/>
    <w:rsid w:val="129BE145"/>
    <w:rsid w:val="129C12B1"/>
    <w:rsid w:val="129CA11D"/>
    <w:rsid w:val="129CF463"/>
    <w:rsid w:val="129D3897"/>
    <w:rsid w:val="129DBEFB"/>
    <w:rsid w:val="129E847A"/>
    <w:rsid w:val="129EA6C2"/>
    <w:rsid w:val="129F09F5"/>
    <w:rsid w:val="129F6289"/>
    <w:rsid w:val="129FC142"/>
    <w:rsid w:val="12A09D30"/>
    <w:rsid w:val="12A1044E"/>
    <w:rsid w:val="12A1E56B"/>
    <w:rsid w:val="12A2CD1D"/>
    <w:rsid w:val="12A362EE"/>
    <w:rsid w:val="12A4D404"/>
    <w:rsid w:val="12A4E576"/>
    <w:rsid w:val="12A4E812"/>
    <w:rsid w:val="12A63AA6"/>
    <w:rsid w:val="12A64990"/>
    <w:rsid w:val="12A66662"/>
    <w:rsid w:val="12A6AFCA"/>
    <w:rsid w:val="12A78F60"/>
    <w:rsid w:val="12A8A482"/>
    <w:rsid w:val="12A9B583"/>
    <w:rsid w:val="12A9EC10"/>
    <w:rsid w:val="12AADFCE"/>
    <w:rsid w:val="12AAFDF0"/>
    <w:rsid w:val="12AC5BBE"/>
    <w:rsid w:val="12AD24BE"/>
    <w:rsid w:val="12ADC42B"/>
    <w:rsid w:val="12AE3140"/>
    <w:rsid w:val="12AE7965"/>
    <w:rsid w:val="12AF9692"/>
    <w:rsid w:val="12B04014"/>
    <w:rsid w:val="12B09972"/>
    <w:rsid w:val="12B129F1"/>
    <w:rsid w:val="12B14AD0"/>
    <w:rsid w:val="12B1F1AE"/>
    <w:rsid w:val="12B28447"/>
    <w:rsid w:val="12B2E4B8"/>
    <w:rsid w:val="12B3307C"/>
    <w:rsid w:val="12B44B22"/>
    <w:rsid w:val="12B4BA46"/>
    <w:rsid w:val="12B5BA48"/>
    <w:rsid w:val="12B5C8B2"/>
    <w:rsid w:val="12B5F6D9"/>
    <w:rsid w:val="12B60672"/>
    <w:rsid w:val="12B683CF"/>
    <w:rsid w:val="12B71927"/>
    <w:rsid w:val="12B731CB"/>
    <w:rsid w:val="12B877EF"/>
    <w:rsid w:val="12B8E0B2"/>
    <w:rsid w:val="12B97EF3"/>
    <w:rsid w:val="12B98D0D"/>
    <w:rsid w:val="12BA27EF"/>
    <w:rsid w:val="12BAADF5"/>
    <w:rsid w:val="12BBA43D"/>
    <w:rsid w:val="12BC23B1"/>
    <w:rsid w:val="12BEA8BA"/>
    <w:rsid w:val="12BF17C7"/>
    <w:rsid w:val="12BF957F"/>
    <w:rsid w:val="12BF9943"/>
    <w:rsid w:val="12BFBDE4"/>
    <w:rsid w:val="12C02EDB"/>
    <w:rsid w:val="12C20A90"/>
    <w:rsid w:val="12C28D2B"/>
    <w:rsid w:val="12C2DA31"/>
    <w:rsid w:val="12C3F7F5"/>
    <w:rsid w:val="12C4651B"/>
    <w:rsid w:val="12C4C98C"/>
    <w:rsid w:val="12C54257"/>
    <w:rsid w:val="12C554F5"/>
    <w:rsid w:val="12C5C6F9"/>
    <w:rsid w:val="12C653E0"/>
    <w:rsid w:val="12C6AC77"/>
    <w:rsid w:val="12C6F6C0"/>
    <w:rsid w:val="12C74424"/>
    <w:rsid w:val="12C97143"/>
    <w:rsid w:val="12CA49CC"/>
    <w:rsid w:val="12CABE9B"/>
    <w:rsid w:val="12CB9F10"/>
    <w:rsid w:val="12CBB5FF"/>
    <w:rsid w:val="12CC33D6"/>
    <w:rsid w:val="12CC9F80"/>
    <w:rsid w:val="12CD26EE"/>
    <w:rsid w:val="12D0A632"/>
    <w:rsid w:val="12D18616"/>
    <w:rsid w:val="12D1980C"/>
    <w:rsid w:val="12D44BA5"/>
    <w:rsid w:val="12D4E2E8"/>
    <w:rsid w:val="12D55465"/>
    <w:rsid w:val="12D57F53"/>
    <w:rsid w:val="12D8EA2E"/>
    <w:rsid w:val="12D9CB93"/>
    <w:rsid w:val="12DAEC4E"/>
    <w:rsid w:val="12DB2931"/>
    <w:rsid w:val="12DB29AD"/>
    <w:rsid w:val="12DB4F7B"/>
    <w:rsid w:val="12DB547F"/>
    <w:rsid w:val="12DB61AA"/>
    <w:rsid w:val="12DB841A"/>
    <w:rsid w:val="12DC4B31"/>
    <w:rsid w:val="12DCE3B9"/>
    <w:rsid w:val="12DD0B7D"/>
    <w:rsid w:val="12DD6DCA"/>
    <w:rsid w:val="12DDA10B"/>
    <w:rsid w:val="12DDFF05"/>
    <w:rsid w:val="12DF2900"/>
    <w:rsid w:val="12E022B1"/>
    <w:rsid w:val="12E07DF9"/>
    <w:rsid w:val="12E08FA7"/>
    <w:rsid w:val="12E1107A"/>
    <w:rsid w:val="12E1A60C"/>
    <w:rsid w:val="12E20C01"/>
    <w:rsid w:val="12E25C5B"/>
    <w:rsid w:val="12E2AFBF"/>
    <w:rsid w:val="12E32C6E"/>
    <w:rsid w:val="12E34743"/>
    <w:rsid w:val="12E46C68"/>
    <w:rsid w:val="12E5DA41"/>
    <w:rsid w:val="12E7394C"/>
    <w:rsid w:val="12E8960C"/>
    <w:rsid w:val="12E91ED2"/>
    <w:rsid w:val="12EAE421"/>
    <w:rsid w:val="12EB643C"/>
    <w:rsid w:val="12EBFE3F"/>
    <w:rsid w:val="12EC3B1A"/>
    <w:rsid w:val="12ED47D0"/>
    <w:rsid w:val="12EDD51D"/>
    <w:rsid w:val="12EF2C75"/>
    <w:rsid w:val="12EF40A7"/>
    <w:rsid w:val="12EF7A08"/>
    <w:rsid w:val="12EF9C4D"/>
    <w:rsid w:val="12EFA02D"/>
    <w:rsid w:val="12F011C8"/>
    <w:rsid w:val="12F06413"/>
    <w:rsid w:val="12F099E5"/>
    <w:rsid w:val="12F12D6F"/>
    <w:rsid w:val="12F13F2F"/>
    <w:rsid w:val="12F1416B"/>
    <w:rsid w:val="12F149B1"/>
    <w:rsid w:val="12F1BC2B"/>
    <w:rsid w:val="12F248BE"/>
    <w:rsid w:val="12F2D502"/>
    <w:rsid w:val="12F3103C"/>
    <w:rsid w:val="12F39332"/>
    <w:rsid w:val="12F43D3E"/>
    <w:rsid w:val="12F46661"/>
    <w:rsid w:val="12F56BF8"/>
    <w:rsid w:val="12F61A95"/>
    <w:rsid w:val="12F686B3"/>
    <w:rsid w:val="12F700E8"/>
    <w:rsid w:val="12F7CA47"/>
    <w:rsid w:val="12F81560"/>
    <w:rsid w:val="12F996A3"/>
    <w:rsid w:val="12F9CE3F"/>
    <w:rsid w:val="12F9E77D"/>
    <w:rsid w:val="12FA90A5"/>
    <w:rsid w:val="12FA974E"/>
    <w:rsid w:val="12FC55D2"/>
    <w:rsid w:val="12FC7680"/>
    <w:rsid w:val="12FCB033"/>
    <w:rsid w:val="12FE1C31"/>
    <w:rsid w:val="12FE3817"/>
    <w:rsid w:val="12FED346"/>
    <w:rsid w:val="12FF0402"/>
    <w:rsid w:val="12FF27B4"/>
    <w:rsid w:val="12FF300C"/>
    <w:rsid w:val="12FF385E"/>
    <w:rsid w:val="1304297C"/>
    <w:rsid w:val="130430D7"/>
    <w:rsid w:val="13047D78"/>
    <w:rsid w:val="13048E43"/>
    <w:rsid w:val="1304BB79"/>
    <w:rsid w:val="130552E3"/>
    <w:rsid w:val="1305EA13"/>
    <w:rsid w:val="13061C1D"/>
    <w:rsid w:val="1307C302"/>
    <w:rsid w:val="130810BE"/>
    <w:rsid w:val="13083BC8"/>
    <w:rsid w:val="130981F9"/>
    <w:rsid w:val="1309A0C2"/>
    <w:rsid w:val="1309A2FA"/>
    <w:rsid w:val="130A0267"/>
    <w:rsid w:val="130B00E4"/>
    <w:rsid w:val="130B44C0"/>
    <w:rsid w:val="130BB847"/>
    <w:rsid w:val="130C7EE1"/>
    <w:rsid w:val="130CF154"/>
    <w:rsid w:val="130D2143"/>
    <w:rsid w:val="130EFD47"/>
    <w:rsid w:val="130F11CE"/>
    <w:rsid w:val="130FB9CB"/>
    <w:rsid w:val="13104B5B"/>
    <w:rsid w:val="1310A2A1"/>
    <w:rsid w:val="13118DF8"/>
    <w:rsid w:val="1311E73E"/>
    <w:rsid w:val="1311E8FD"/>
    <w:rsid w:val="1311F16D"/>
    <w:rsid w:val="131243A7"/>
    <w:rsid w:val="1312596F"/>
    <w:rsid w:val="131267C4"/>
    <w:rsid w:val="1312AF7F"/>
    <w:rsid w:val="1312BE9A"/>
    <w:rsid w:val="1312E973"/>
    <w:rsid w:val="1313D8AD"/>
    <w:rsid w:val="13143CBB"/>
    <w:rsid w:val="1315937C"/>
    <w:rsid w:val="13167BC3"/>
    <w:rsid w:val="13177450"/>
    <w:rsid w:val="13178B71"/>
    <w:rsid w:val="131A7E1C"/>
    <w:rsid w:val="131A898E"/>
    <w:rsid w:val="131A9497"/>
    <w:rsid w:val="131ADFBA"/>
    <w:rsid w:val="131B13FC"/>
    <w:rsid w:val="131B73E9"/>
    <w:rsid w:val="131B9904"/>
    <w:rsid w:val="131C3CB6"/>
    <w:rsid w:val="131C6289"/>
    <w:rsid w:val="131E704C"/>
    <w:rsid w:val="131E93DE"/>
    <w:rsid w:val="131F8CFC"/>
    <w:rsid w:val="131FE761"/>
    <w:rsid w:val="13200DA3"/>
    <w:rsid w:val="13205BCA"/>
    <w:rsid w:val="1320BBF3"/>
    <w:rsid w:val="1320D405"/>
    <w:rsid w:val="13211A0C"/>
    <w:rsid w:val="1322A6FD"/>
    <w:rsid w:val="13237AA5"/>
    <w:rsid w:val="1323DDD5"/>
    <w:rsid w:val="132463F0"/>
    <w:rsid w:val="1324783E"/>
    <w:rsid w:val="1326243E"/>
    <w:rsid w:val="132660CC"/>
    <w:rsid w:val="13269BB2"/>
    <w:rsid w:val="1326E631"/>
    <w:rsid w:val="1328876E"/>
    <w:rsid w:val="13295869"/>
    <w:rsid w:val="1329CBAD"/>
    <w:rsid w:val="132A05FA"/>
    <w:rsid w:val="132AAFC1"/>
    <w:rsid w:val="132AC4D1"/>
    <w:rsid w:val="132C5BE1"/>
    <w:rsid w:val="132C6EAA"/>
    <w:rsid w:val="132CDF3A"/>
    <w:rsid w:val="132D2D10"/>
    <w:rsid w:val="132E35A4"/>
    <w:rsid w:val="132FD74C"/>
    <w:rsid w:val="13301DD6"/>
    <w:rsid w:val="13305EB1"/>
    <w:rsid w:val="13306830"/>
    <w:rsid w:val="1331315F"/>
    <w:rsid w:val="1331F596"/>
    <w:rsid w:val="1331F7BA"/>
    <w:rsid w:val="1333647D"/>
    <w:rsid w:val="1333A9DE"/>
    <w:rsid w:val="133425F3"/>
    <w:rsid w:val="13355B23"/>
    <w:rsid w:val="1335AC07"/>
    <w:rsid w:val="1335CFA1"/>
    <w:rsid w:val="13364AC0"/>
    <w:rsid w:val="13369879"/>
    <w:rsid w:val="1336DF15"/>
    <w:rsid w:val="13376714"/>
    <w:rsid w:val="1338363E"/>
    <w:rsid w:val="13388563"/>
    <w:rsid w:val="133A53BA"/>
    <w:rsid w:val="133B5ED2"/>
    <w:rsid w:val="133B63CD"/>
    <w:rsid w:val="133BE2E6"/>
    <w:rsid w:val="133C3F55"/>
    <w:rsid w:val="133C7DF3"/>
    <w:rsid w:val="133CBE71"/>
    <w:rsid w:val="133D5E87"/>
    <w:rsid w:val="133E6252"/>
    <w:rsid w:val="133E9045"/>
    <w:rsid w:val="133EF6A8"/>
    <w:rsid w:val="13401C70"/>
    <w:rsid w:val="134093FA"/>
    <w:rsid w:val="1340E529"/>
    <w:rsid w:val="13410763"/>
    <w:rsid w:val="1343DE9C"/>
    <w:rsid w:val="1343ED4D"/>
    <w:rsid w:val="134459FE"/>
    <w:rsid w:val="1344CA12"/>
    <w:rsid w:val="13453F7B"/>
    <w:rsid w:val="13454B5E"/>
    <w:rsid w:val="1345B58B"/>
    <w:rsid w:val="1346DF31"/>
    <w:rsid w:val="13472C48"/>
    <w:rsid w:val="1347F817"/>
    <w:rsid w:val="13490972"/>
    <w:rsid w:val="13491E1C"/>
    <w:rsid w:val="134C02A7"/>
    <w:rsid w:val="134CA4D3"/>
    <w:rsid w:val="134D684F"/>
    <w:rsid w:val="134DAC23"/>
    <w:rsid w:val="134DEC77"/>
    <w:rsid w:val="134F5E8F"/>
    <w:rsid w:val="135157C7"/>
    <w:rsid w:val="1352B923"/>
    <w:rsid w:val="13538208"/>
    <w:rsid w:val="135536F3"/>
    <w:rsid w:val="135565FA"/>
    <w:rsid w:val="13562C66"/>
    <w:rsid w:val="13563E35"/>
    <w:rsid w:val="1356808C"/>
    <w:rsid w:val="1356E2D0"/>
    <w:rsid w:val="1357AF95"/>
    <w:rsid w:val="135855EF"/>
    <w:rsid w:val="13588065"/>
    <w:rsid w:val="1358D7D6"/>
    <w:rsid w:val="13590B85"/>
    <w:rsid w:val="13594D87"/>
    <w:rsid w:val="135A02F0"/>
    <w:rsid w:val="135A053F"/>
    <w:rsid w:val="135AF6D5"/>
    <w:rsid w:val="135B69FB"/>
    <w:rsid w:val="135C2BAF"/>
    <w:rsid w:val="135C9B1F"/>
    <w:rsid w:val="135D1A97"/>
    <w:rsid w:val="135D5AD2"/>
    <w:rsid w:val="135DD290"/>
    <w:rsid w:val="135E8C86"/>
    <w:rsid w:val="135EF804"/>
    <w:rsid w:val="135FA147"/>
    <w:rsid w:val="135FE217"/>
    <w:rsid w:val="135FF9CC"/>
    <w:rsid w:val="13605ECF"/>
    <w:rsid w:val="13612ACC"/>
    <w:rsid w:val="13624AA0"/>
    <w:rsid w:val="1362EAFA"/>
    <w:rsid w:val="13631B77"/>
    <w:rsid w:val="136327D7"/>
    <w:rsid w:val="13633741"/>
    <w:rsid w:val="13648AB5"/>
    <w:rsid w:val="13649106"/>
    <w:rsid w:val="13655C2F"/>
    <w:rsid w:val="13656415"/>
    <w:rsid w:val="1365E48F"/>
    <w:rsid w:val="136655B2"/>
    <w:rsid w:val="13670878"/>
    <w:rsid w:val="1367C71B"/>
    <w:rsid w:val="13684E9C"/>
    <w:rsid w:val="1368AB53"/>
    <w:rsid w:val="1368CD4A"/>
    <w:rsid w:val="13698762"/>
    <w:rsid w:val="1369D688"/>
    <w:rsid w:val="136A0A81"/>
    <w:rsid w:val="136A435C"/>
    <w:rsid w:val="136A6690"/>
    <w:rsid w:val="136AD38A"/>
    <w:rsid w:val="136AFBAF"/>
    <w:rsid w:val="136B43F1"/>
    <w:rsid w:val="136B9A63"/>
    <w:rsid w:val="136C4BA2"/>
    <w:rsid w:val="136CB1AE"/>
    <w:rsid w:val="136D199B"/>
    <w:rsid w:val="136D435D"/>
    <w:rsid w:val="136E9761"/>
    <w:rsid w:val="136EA80A"/>
    <w:rsid w:val="136FEAC1"/>
    <w:rsid w:val="137026C9"/>
    <w:rsid w:val="137059ED"/>
    <w:rsid w:val="13709542"/>
    <w:rsid w:val="13717793"/>
    <w:rsid w:val="13721672"/>
    <w:rsid w:val="137277E3"/>
    <w:rsid w:val="13738646"/>
    <w:rsid w:val="13744093"/>
    <w:rsid w:val="137503C8"/>
    <w:rsid w:val="13764BA3"/>
    <w:rsid w:val="1376530B"/>
    <w:rsid w:val="1376B72F"/>
    <w:rsid w:val="13772A53"/>
    <w:rsid w:val="1377CA3F"/>
    <w:rsid w:val="1378B61B"/>
    <w:rsid w:val="13792D59"/>
    <w:rsid w:val="1379B3DC"/>
    <w:rsid w:val="1379B703"/>
    <w:rsid w:val="137B6D0B"/>
    <w:rsid w:val="137BE912"/>
    <w:rsid w:val="137C0CB7"/>
    <w:rsid w:val="137C9E5C"/>
    <w:rsid w:val="137DBB06"/>
    <w:rsid w:val="137EC4A0"/>
    <w:rsid w:val="13812241"/>
    <w:rsid w:val="1384321F"/>
    <w:rsid w:val="13847278"/>
    <w:rsid w:val="13852267"/>
    <w:rsid w:val="1385A5EC"/>
    <w:rsid w:val="138653EC"/>
    <w:rsid w:val="13866F55"/>
    <w:rsid w:val="13869D5A"/>
    <w:rsid w:val="1386D3D5"/>
    <w:rsid w:val="1386E198"/>
    <w:rsid w:val="13881AEB"/>
    <w:rsid w:val="1388AA9B"/>
    <w:rsid w:val="1388D2B6"/>
    <w:rsid w:val="1388F603"/>
    <w:rsid w:val="138A0B4E"/>
    <w:rsid w:val="138B6453"/>
    <w:rsid w:val="138C16F1"/>
    <w:rsid w:val="138C170F"/>
    <w:rsid w:val="138C40BF"/>
    <w:rsid w:val="138C5905"/>
    <w:rsid w:val="138CE93B"/>
    <w:rsid w:val="138D867D"/>
    <w:rsid w:val="138F13AE"/>
    <w:rsid w:val="138FBA69"/>
    <w:rsid w:val="138FC84D"/>
    <w:rsid w:val="1390093E"/>
    <w:rsid w:val="139072AF"/>
    <w:rsid w:val="1392521C"/>
    <w:rsid w:val="13931BDD"/>
    <w:rsid w:val="1393F2DC"/>
    <w:rsid w:val="1394CF12"/>
    <w:rsid w:val="13955472"/>
    <w:rsid w:val="1395B436"/>
    <w:rsid w:val="13962125"/>
    <w:rsid w:val="1397F230"/>
    <w:rsid w:val="13994387"/>
    <w:rsid w:val="1399D748"/>
    <w:rsid w:val="139A2CB2"/>
    <w:rsid w:val="139A4917"/>
    <w:rsid w:val="139A56CD"/>
    <w:rsid w:val="139B645C"/>
    <w:rsid w:val="139D4B94"/>
    <w:rsid w:val="139E5105"/>
    <w:rsid w:val="139EB45A"/>
    <w:rsid w:val="139F2206"/>
    <w:rsid w:val="139F5A82"/>
    <w:rsid w:val="139FABB4"/>
    <w:rsid w:val="139FD5E7"/>
    <w:rsid w:val="13A00D85"/>
    <w:rsid w:val="13A0217B"/>
    <w:rsid w:val="13A0E663"/>
    <w:rsid w:val="13A207F8"/>
    <w:rsid w:val="13A3208F"/>
    <w:rsid w:val="13A3D203"/>
    <w:rsid w:val="13A4BF6E"/>
    <w:rsid w:val="13A5ADCC"/>
    <w:rsid w:val="13A7124B"/>
    <w:rsid w:val="13A72A1A"/>
    <w:rsid w:val="13A75946"/>
    <w:rsid w:val="13A77001"/>
    <w:rsid w:val="13A78E4E"/>
    <w:rsid w:val="13A8AD05"/>
    <w:rsid w:val="13A8D290"/>
    <w:rsid w:val="13A9B8D5"/>
    <w:rsid w:val="13AA29A7"/>
    <w:rsid w:val="13AB042B"/>
    <w:rsid w:val="13AB321A"/>
    <w:rsid w:val="13ACC7C9"/>
    <w:rsid w:val="13AD1936"/>
    <w:rsid w:val="13ADAB03"/>
    <w:rsid w:val="13AF1238"/>
    <w:rsid w:val="13B04E9C"/>
    <w:rsid w:val="13B09FD9"/>
    <w:rsid w:val="13B12663"/>
    <w:rsid w:val="13B178C1"/>
    <w:rsid w:val="13B17A48"/>
    <w:rsid w:val="13B28E12"/>
    <w:rsid w:val="13B2D77D"/>
    <w:rsid w:val="13B58892"/>
    <w:rsid w:val="13B5D1D6"/>
    <w:rsid w:val="13B68AE6"/>
    <w:rsid w:val="13B69C17"/>
    <w:rsid w:val="13B6B203"/>
    <w:rsid w:val="13B6E839"/>
    <w:rsid w:val="13B6EF1F"/>
    <w:rsid w:val="13B70FA6"/>
    <w:rsid w:val="13B770C9"/>
    <w:rsid w:val="13B7ACE3"/>
    <w:rsid w:val="13B7E7B6"/>
    <w:rsid w:val="13B7F497"/>
    <w:rsid w:val="13B94A86"/>
    <w:rsid w:val="13BA62CE"/>
    <w:rsid w:val="13BA73B4"/>
    <w:rsid w:val="13BB8001"/>
    <w:rsid w:val="13BD0687"/>
    <w:rsid w:val="13BD3836"/>
    <w:rsid w:val="13BD60BD"/>
    <w:rsid w:val="13BE2CEF"/>
    <w:rsid w:val="13BE839E"/>
    <w:rsid w:val="13BE932C"/>
    <w:rsid w:val="13BED54C"/>
    <w:rsid w:val="13C09103"/>
    <w:rsid w:val="13C0E9B0"/>
    <w:rsid w:val="13C1C311"/>
    <w:rsid w:val="13C29DBC"/>
    <w:rsid w:val="13C2E81D"/>
    <w:rsid w:val="13C39A6C"/>
    <w:rsid w:val="13C3B418"/>
    <w:rsid w:val="13C40858"/>
    <w:rsid w:val="13C4D38E"/>
    <w:rsid w:val="13C6405D"/>
    <w:rsid w:val="13C73867"/>
    <w:rsid w:val="13C7CE71"/>
    <w:rsid w:val="13C7D0DB"/>
    <w:rsid w:val="13C7FD40"/>
    <w:rsid w:val="13C89C62"/>
    <w:rsid w:val="13C93F95"/>
    <w:rsid w:val="13C997F9"/>
    <w:rsid w:val="13CAF24A"/>
    <w:rsid w:val="13CB78F5"/>
    <w:rsid w:val="13CD02FA"/>
    <w:rsid w:val="13CD9C73"/>
    <w:rsid w:val="13CDC13C"/>
    <w:rsid w:val="13CDD723"/>
    <w:rsid w:val="13CE4C04"/>
    <w:rsid w:val="13CF3E69"/>
    <w:rsid w:val="13D0CBFD"/>
    <w:rsid w:val="13D18B67"/>
    <w:rsid w:val="13D1FD7C"/>
    <w:rsid w:val="13D25410"/>
    <w:rsid w:val="13D2BE14"/>
    <w:rsid w:val="13D327BA"/>
    <w:rsid w:val="13D34CE8"/>
    <w:rsid w:val="13D36395"/>
    <w:rsid w:val="13D39AAB"/>
    <w:rsid w:val="13D3D828"/>
    <w:rsid w:val="13D4804C"/>
    <w:rsid w:val="13D4CBFA"/>
    <w:rsid w:val="13D4EF56"/>
    <w:rsid w:val="13D67D3D"/>
    <w:rsid w:val="13D721E8"/>
    <w:rsid w:val="13D7816F"/>
    <w:rsid w:val="13D798AF"/>
    <w:rsid w:val="13D871AB"/>
    <w:rsid w:val="13D8AF92"/>
    <w:rsid w:val="13D9B76E"/>
    <w:rsid w:val="13DA9767"/>
    <w:rsid w:val="13DAFB9D"/>
    <w:rsid w:val="13DBA18B"/>
    <w:rsid w:val="13DC1DC8"/>
    <w:rsid w:val="13DC2213"/>
    <w:rsid w:val="13DC261C"/>
    <w:rsid w:val="13DC3CFD"/>
    <w:rsid w:val="13DD218C"/>
    <w:rsid w:val="13DD7330"/>
    <w:rsid w:val="13DDC088"/>
    <w:rsid w:val="13DE0B59"/>
    <w:rsid w:val="13DEA3FC"/>
    <w:rsid w:val="13DF97D9"/>
    <w:rsid w:val="13E0421E"/>
    <w:rsid w:val="13E0DAC4"/>
    <w:rsid w:val="13E18523"/>
    <w:rsid w:val="13E1F79F"/>
    <w:rsid w:val="13E2C29B"/>
    <w:rsid w:val="13E2FC88"/>
    <w:rsid w:val="13E3A4EE"/>
    <w:rsid w:val="13E41C86"/>
    <w:rsid w:val="13E450FE"/>
    <w:rsid w:val="13E4C645"/>
    <w:rsid w:val="13E57112"/>
    <w:rsid w:val="13E5B3C5"/>
    <w:rsid w:val="13E5CC06"/>
    <w:rsid w:val="13E600D6"/>
    <w:rsid w:val="13E690C4"/>
    <w:rsid w:val="13E6B2FF"/>
    <w:rsid w:val="13E724F3"/>
    <w:rsid w:val="13E73BDD"/>
    <w:rsid w:val="13E73D42"/>
    <w:rsid w:val="13E7F5D8"/>
    <w:rsid w:val="13E83374"/>
    <w:rsid w:val="13E8792D"/>
    <w:rsid w:val="13E8C423"/>
    <w:rsid w:val="13E8FE92"/>
    <w:rsid w:val="13EA4FDD"/>
    <w:rsid w:val="13EB8030"/>
    <w:rsid w:val="13EC4DDC"/>
    <w:rsid w:val="13EC594E"/>
    <w:rsid w:val="13EDAB4D"/>
    <w:rsid w:val="13EED21F"/>
    <w:rsid w:val="13EF13E6"/>
    <w:rsid w:val="13EFD215"/>
    <w:rsid w:val="13EFF204"/>
    <w:rsid w:val="13F0671B"/>
    <w:rsid w:val="13F1EFE7"/>
    <w:rsid w:val="13F28AF7"/>
    <w:rsid w:val="13F29363"/>
    <w:rsid w:val="13F3299A"/>
    <w:rsid w:val="13F3FB0C"/>
    <w:rsid w:val="13F4CD89"/>
    <w:rsid w:val="13F50296"/>
    <w:rsid w:val="13F5128A"/>
    <w:rsid w:val="13F6228F"/>
    <w:rsid w:val="13F67FC2"/>
    <w:rsid w:val="13F94F29"/>
    <w:rsid w:val="13F993C2"/>
    <w:rsid w:val="13FA0DAF"/>
    <w:rsid w:val="13FAAAB1"/>
    <w:rsid w:val="13FAD326"/>
    <w:rsid w:val="13FAED44"/>
    <w:rsid w:val="13FC6248"/>
    <w:rsid w:val="13FC6AB1"/>
    <w:rsid w:val="13FCF426"/>
    <w:rsid w:val="13FCFB40"/>
    <w:rsid w:val="13FD2960"/>
    <w:rsid w:val="13FD64D1"/>
    <w:rsid w:val="13FE466F"/>
    <w:rsid w:val="14001C98"/>
    <w:rsid w:val="140036AF"/>
    <w:rsid w:val="14022118"/>
    <w:rsid w:val="14027CAB"/>
    <w:rsid w:val="14028B03"/>
    <w:rsid w:val="14031C25"/>
    <w:rsid w:val="14038B98"/>
    <w:rsid w:val="1403CFB6"/>
    <w:rsid w:val="140451E5"/>
    <w:rsid w:val="1404CD0F"/>
    <w:rsid w:val="140564F8"/>
    <w:rsid w:val="1405718E"/>
    <w:rsid w:val="1405721B"/>
    <w:rsid w:val="1406366A"/>
    <w:rsid w:val="1408D855"/>
    <w:rsid w:val="140AB0D1"/>
    <w:rsid w:val="140AE709"/>
    <w:rsid w:val="140C8862"/>
    <w:rsid w:val="140D4315"/>
    <w:rsid w:val="140D52B1"/>
    <w:rsid w:val="140DB9AF"/>
    <w:rsid w:val="140DDA39"/>
    <w:rsid w:val="140F3332"/>
    <w:rsid w:val="140F3FB2"/>
    <w:rsid w:val="140F462D"/>
    <w:rsid w:val="140F9E28"/>
    <w:rsid w:val="14104D49"/>
    <w:rsid w:val="14124BFA"/>
    <w:rsid w:val="141295F2"/>
    <w:rsid w:val="1412AACF"/>
    <w:rsid w:val="1412C459"/>
    <w:rsid w:val="1412E915"/>
    <w:rsid w:val="141325AF"/>
    <w:rsid w:val="14155851"/>
    <w:rsid w:val="1416D154"/>
    <w:rsid w:val="1416D90C"/>
    <w:rsid w:val="1416FA7A"/>
    <w:rsid w:val="14173EA3"/>
    <w:rsid w:val="141861FA"/>
    <w:rsid w:val="1418D757"/>
    <w:rsid w:val="1419DA10"/>
    <w:rsid w:val="141B6C49"/>
    <w:rsid w:val="141B7C90"/>
    <w:rsid w:val="141B9DF2"/>
    <w:rsid w:val="141C02E9"/>
    <w:rsid w:val="141C3D0E"/>
    <w:rsid w:val="141D10FB"/>
    <w:rsid w:val="141D7AB4"/>
    <w:rsid w:val="141EA1DE"/>
    <w:rsid w:val="141F0382"/>
    <w:rsid w:val="141FA77E"/>
    <w:rsid w:val="142045A2"/>
    <w:rsid w:val="1420D034"/>
    <w:rsid w:val="14219F26"/>
    <w:rsid w:val="1421DC11"/>
    <w:rsid w:val="14220D6D"/>
    <w:rsid w:val="142378F3"/>
    <w:rsid w:val="1425E722"/>
    <w:rsid w:val="1427F1FF"/>
    <w:rsid w:val="1428213B"/>
    <w:rsid w:val="14299B11"/>
    <w:rsid w:val="142AA8D5"/>
    <w:rsid w:val="142B001C"/>
    <w:rsid w:val="142B2F1E"/>
    <w:rsid w:val="142BF765"/>
    <w:rsid w:val="142C917E"/>
    <w:rsid w:val="142C9369"/>
    <w:rsid w:val="142CA0B1"/>
    <w:rsid w:val="142D2C35"/>
    <w:rsid w:val="142D479B"/>
    <w:rsid w:val="142E2013"/>
    <w:rsid w:val="142E4E37"/>
    <w:rsid w:val="142E6106"/>
    <w:rsid w:val="142EE462"/>
    <w:rsid w:val="142FE46A"/>
    <w:rsid w:val="142FF836"/>
    <w:rsid w:val="14303FDF"/>
    <w:rsid w:val="143141B3"/>
    <w:rsid w:val="1432C090"/>
    <w:rsid w:val="1432D351"/>
    <w:rsid w:val="1432F33A"/>
    <w:rsid w:val="143427FF"/>
    <w:rsid w:val="1434B1FC"/>
    <w:rsid w:val="1434EC8F"/>
    <w:rsid w:val="143599E4"/>
    <w:rsid w:val="1435AEF0"/>
    <w:rsid w:val="1435DFE2"/>
    <w:rsid w:val="143650F4"/>
    <w:rsid w:val="143663FF"/>
    <w:rsid w:val="1436FC23"/>
    <w:rsid w:val="1438B03E"/>
    <w:rsid w:val="1438C7E1"/>
    <w:rsid w:val="143954A0"/>
    <w:rsid w:val="143964F4"/>
    <w:rsid w:val="1439A605"/>
    <w:rsid w:val="143A2F16"/>
    <w:rsid w:val="143B18C3"/>
    <w:rsid w:val="143B9ACB"/>
    <w:rsid w:val="143C1979"/>
    <w:rsid w:val="143C668D"/>
    <w:rsid w:val="143D8E8D"/>
    <w:rsid w:val="143DE3D0"/>
    <w:rsid w:val="143DE7F1"/>
    <w:rsid w:val="143E1FBE"/>
    <w:rsid w:val="143E3C89"/>
    <w:rsid w:val="143F7970"/>
    <w:rsid w:val="143F8EA2"/>
    <w:rsid w:val="143F909F"/>
    <w:rsid w:val="1440EEDA"/>
    <w:rsid w:val="14416943"/>
    <w:rsid w:val="144171BC"/>
    <w:rsid w:val="1441B014"/>
    <w:rsid w:val="1441C5AF"/>
    <w:rsid w:val="1441CA66"/>
    <w:rsid w:val="14437613"/>
    <w:rsid w:val="1443A46E"/>
    <w:rsid w:val="1443BD86"/>
    <w:rsid w:val="14443DC2"/>
    <w:rsid w:val="14453F5B"/>
    <w:rsid w:val="144616CB"/>
    <w:rsid w:val="14468089"/>
    <w:rsid w:val="14474FCF"/>
    <w:rsid w:val="144843BE"/>
    <w:rsid w:val="1448789A"/>
    <w:rsid w:val="1449F36C"/>
    <w:rsid w:val="144A825C"/>
    <w:rsid w:val="144AC2F5"/>
    <w:rsid w:val="144CAA5B"/>
    <w:rsid w:val="144D1B31"/>
    <w:rsid w:val="144DF2CE"/>
    <w:rsid w:val="144E1A1B"/>
    <w:rsid w:val="144F61C3"/>
    <w:rsid w:val="144F670F"/>
    <w:rsid w:val="144F7B90"/>
    <w:rsid w:val="144F9935"/>
    <w:rsid w:val="14510A8A"/>
    <w:rsid w:val="1451B7A5"/>
    <w:rsid w:val="14524738"/>
    <w:rsid w:val="1453494D"/>
    <w:rsid w:val="1453F8FF"/>
    <w:rsid w:val="14541EFD"/>
    <w:rsid w:val="1454BBD7"/>
    <w:rsid w:val="14552863"/>
    <w:rsid w:val="1455955C"/>
    <w:rsid w:val="14563AB7"/>
    <w:rsid w:val="1456F3D3"/>
    <w:rsid w:val="14572601"/>
    <w:rsid w:val="14573F64"/>
    <w:rsid w:val="14575E06"/>
    <w:rsid w:val="1457A457"/>
    <w:rsid w:val="14584145"/>
    <w:rsid w:val="14599E7F"/>
    <w:rsid w:val="1459D35F"/>
    <w:rsid w:val="1459EAA1"/>
    <w:rsid w:val="145A7631"/>
    <w:rsid w:val="145AB97E"/>
    <w:rsid w:val="145B06BF"/>
    <w:rsid w:val="145B7107"/>
    <w:rsid w:val="145BF963"/>
    <w:rsid w:val="145C2AC9"/>
    <w:rsid w:val="145C324A"/>
    <w:rsid w:val="145CC0DC"/>
    <w:rsid w:val="145EB587"/>
    <w:rsid w:val="145F0823"/>
    <w:rsid w:val="145F1EBC"/>
    <w:rsid w:val="145F3954"/>
    <w:rsid w:val="145FE6CB"/>
    <w:rsid w:val="1460BBB7"/>
    <w:rsid w:val="146169A5"/>
    <w:rsid w:val="1462A674"/>
    <w:rsid w:val="1462C695"/>
    <w:rsid w:val="14646155"/>
    <w:rsid w:val="146528A2"/>
    <w:rsid w:val="14652A39"/>
    <w:rsid w:val="1465793C"/>
    <w:rsid w:val="1465B56F"/>
    <w:rsid w:val="14663D11"/>
    <w:rsid w:val="1466922D"/>
    <w:rsid w:val="146699F0"/>
    <w:rsid w:val="1466B6A4"/>
    <w:rsid w:val="146841F3"/>
    <w:rsid w:val="14688E33"/>
    <w:rsid w:val="14689605"/>
    <w:rsid w:val="14691632"/>
    <w:rsid w:val="1469613C"/>
    <w:rsid w:val="1469B12B"/>
    <w:rsid w:val="146B8B47"/>
    <w:rsid w:val="146C4D0D"/>
    <w:rsid w:val="146CBBB5"/>
    <w:rsid w:val="146D4924"/>
    <w:rsid w:val="146E996A"/>
    <w:rsid w:val="1471A99B"/>
    <w:rsid w:val="14720F14"/>
    <w:rsid w:val="1474995E"/>
    <w:rsid w:val="14750DF3"/>
    <w:rsid w:val="14756B71"/>
    <w:rsid w:val="1475BED0"/>
    <w:rsid w:val="14763969"/>
    <w:rsid w:val="1478F6E8"/>
    <w:rsid w:val="14796090"/>
    <w:rsid w:val="1479EE4E"/>
    <w:rsid w:val="147B7FA0"/>
    <w:rsid w:val="147BB0C7"/>
    <w:rsid w:val="147BE3E8"/>
    <w:rsid w:val="147C42ED"/>
    <w:rsid w:val="147C43B7"/>
    <w:rsid w:val="147C832E"/>
    <w:rsid w:val="147C8DC2"/>
    <w:rsid w:val="147CCB0F"/>
    <w:rsid w:val="147CD3C6"/>
    <w:rsid w:val="147D8939"/>
    <w:rsid w:val="147E13E4"/>
    <w:rsid w:val="147EDD5C"/>
    <w:rsid w:val="147F0F86"/>
    <w:rsid w:val="147F1BE8"/>
    <w:rsid w:val="147F3E58"/>
    <w:rsid w:val="147FDC62"/>
    <w:rsid w:val="1480056B"/>
    <w:rsid w:val="1481040F"/>
    <w:rsid w:val="148264D0"/>
    <w:rsid w:val="1482B395"/>
    <w:rsid w:val="1482F817"/>
    <w:rsid w:val="14837AD2"/>
    <w:rsid w:val="14838E8F"/>
    <w:rsid w:val="1484471E"/>
    <w:rsid w:val="14851C38"/>
    <w:rsid w:val="1485A025"/>
    <w:rsid w:val="14866B12"/>
    <w:rsid w:val="1486A53E"/>
    <w:rsid w:val="1486CC80"/>
    <w:rsid w:val="1486EA6D"/>
    <w:rsid w:val="148783F8"/>
    <w:rsid w:val="1487DCB8"/>
    <w:rsid w:val="1488A540"/>
    <w:rsid w:val="1488E10D"/>
    <w:rsid w:val="148962F2"/>
    <w:rsid w:val="1489684A"/>
    <w:rsid w:val="1489C8F4"/>
    <w:rsid w:val="148C343B"/>
    <w:rsid w:val="148CC245"/>
    <w:rsid w:val="148DC8D1"/>
    <w:rsid w:val="148E0E56"/>
    <w:rsid w:val="148E392F"/>
    <w:rsid w:val="1490C25C"/>
    <w:rsid w:val="1490C72C"/>
    <w:rsid w:val="14913E66"/>
    <w:rsid w:val="14916982"/>
    <w:rsid w:val="14918F81"/>
    <w:rsid w:val="1491C831"/>
    <w:rsid w:val="1492611F"/>
    <w:rsid w:val="1493C45C"/>
    <w:rsid w:val="14947FAD"/>
    <w:rsid w:val="14965A4C"/>
    <w:rsid w:val="1496A577"/>
    <w:rsid w:val="1496D44D"/>
    <w:rsid w:val="1497ACD9"/>
    <w:rsid w:val="14981CB1"/>
    <w:rsid w:val="14982FC3"/>
    <w:rsid w:val="149907BD"/>
    <w:rsid w:val="14992567"/>
    <w:rsid w:val="1499CFE6"/>
    <w:rsid w:val="149A270E"/>
    <w:rsid w:val="149AD85A"/>
    <w:rsid w:val="149AF409"/>
    <w:rsid w:val="149D4166"/>
    <w:rsid w:val="149DE2F6"/>
    <w:rsid w:val="14A0359B"/>
    <w:rsid w:val="14A108E3"/>
    <w:rsid w:val="14A1C996"/>
    <w:rsid w:val="14A28259"/>
    <w:rsid w:val="14A2D7E8"/>
    <w:rsid w:val="14A47458"/>
    <w:rsid w:val="14A55DA2"/>
    <w:rsid w:val="14A57B4E"/>
    <w:rsid w:val="14A69447"/>
    <w:rsid w:val="14A6EF02"/>
    <w:rsid w:val="14A6F651"/>
    <w:rsid w:val="14A7963D"/>
    <w:rsid w:val="14A83378"/>
    <w:rsid w:val="14A83CE7"/>
    <w:rsid w:val="14A846B7"/>
    <w:rsid w:val="14A914C3"/>
    <w:rsid w:val="14A92914"/>
    <w:rsid w:val="14A945DB"/>
    <w:rsid w:val="14A9CCCA"/>
    <w:rsid w:val="14AA0149"/>
    <w:rsid w:val="14ACB97A"/>
    <w:rsid w:val="14AD4520"/>
    <w:rsid w:val="14AE7221"/>
    <w:rsid w:val="14B02B82"/>
    <w:rsid w:val="14B0A5D6"/>
    <w:rsid w:val="14B0C076"/>
    <w:rsid w:val="14B0D305"/>
    <w:rsid w:val="14B19309"/>
    <w:rsid w:val="14B199D0"/>
    <w:rsid w:val="14B1C9C4"/>
    <w:rsid w:val="14B23248"/>
    <w:rsid w:val="14B26F96"/>
    <w:rsid w:val="14B290BB"/>
    <w:rsid w:val="14B2BE9D"/>
    <w:rsid w:val="14B3073D"/>
    <w:rsid w:val="14B349C5"/>
    <w:rsid w:val="14B360D7"/>
    <w:rsid w:val="14B39DCD"/>
    <w:rsid w:val="14B46867"/>
    <w:rsid w:val="14B4922C"/>
    <w:rsid w:val="14B5632A"/>
    <w:rsid w:val="14B5F669"/>
    <w:rsid w:val="14B66A59"/>
    <w:rsid w:val="14B66F82"/>
    <w:rsid w:val="14B78C19"/>
    <w:rsid w:val="14B8DD00"/>
    <w:rsid w:val="14BA1E2F"/>
    <w:rsid w:val="14BA3635"/>
    <w:rsid w:val="14BB5F17"/>
    <w:rsid w:val="14BC6C05"/>
    <w:rsid w:val="14BD3770"/>
    <w:rsid w:val="14BEAAE3"/>
    <w:rsid w:val="14BF54EF"/>
    <w:rsid w:val="14BF727B"/>
    <w:rsid w:val="14BF87A9"/>
    <w:rsid w:val="14BFACAF"/>
    <w:rsid w:val="14C09872"/>
    <w:rsid w:val="14C10C7F"/>
    <w:rsid w:val="14C117A4"/>
    <w:rsid w:val="14C13B1B"/>
    <w:rsid w:val="14C18818"/>
    <w:rsid w:val="14C1A957"/>
    <w:rsid w:val="14C1F1C8"/>
    <w:rsid w:val="14C27C46"/>
    <w:rsid w:val="14C3222F"/>
    <w:rsid w:val="14C3F660"/>
    <w:rsid w:val="14C4689A"/>
    <w:rsid w:val="14C488E7"/>
    <w:rsid w:val="14C4C790"/>
    <w:rsid w:val="14C50541"/>
    <w:rsid w:val="14C54505"/>
    <w:rsid w:val="14C59D4A"/>
    <w:rsid w:val="14C66E5C"/>
    <w:rsid w:val="14C6B122"/>
    <w:rsid w:val="14C6E63F"/>
    <w:rsid w:val="14C71620"/>
    <w:rsid w:val="14C74D43"/>
    <w:rsid w:val="14C76DB7"/>
    <w:rsid w:val="14C7CD50"/>
    <w:rsid w:val="14C84036"/>
    <w:rsid w:val="14C8D62E"/>
    <w:rsid w:val="14C8EA9C"/>
    <w:rsid w:val="14C94FC6"/>
    <w:rsid w:val="14C99688"/>
    <w:rsid w:val="14CB89AE"/>
    <w:rsid w:val="14CCAE5D"/>
    <w:rsid w:val="14CCFF7A"/>
    <w:rsid w:val="14CD6FCC"/>
    <w:rsid w:val="14CDC5F7"/>
    <w:rsid w:val="14CF1FA8"/>
    <w:rsid w:val="14CF44E2"/>
    <w:rsid w:val="14D03C19"/>
    <w:rsid w:val="14D07B51"/>
    <w:rsid w:val="14D0C9F3"/>
    <w:rsid w:val="14D1AB62"/>
    <w:rsid w:val="14D2059F"/>
    <w:rsid w:val="14D22133"/>
    <w:rsid w:val="14D2897F"/>
    <w:rsid w:val="14D30A4A"/>
    <w:rsid w:val="14D3ACB1"/>
    <w:rsid w:val="14D4150C"/>
    <w:rsid w:val="14D484E2"/>
    <w:rsid w:val="14D4D2FE"/>
    <w:rsid w:val="14D523A0"/>
    <w:rsid w:val="14D5AF13"/>
    <w:rsid w:val="14D895F7"/>
    <w:rsid w:val="14D9286C"/>
    <w:rsid w:val="14D9C681"/>
    <w:rsid w:val="14D9CDF6"/>
    <w:rsid w:val="14DA43B0"/>
    <w:rsid w:val="14DA4E16"/>
    <w:rsid w:val="14DD329F"/>
    <w:rsid w:val="14E03071"/>
    <w:rsid w:val="14E0F8E4"/>
    <w:rsid w:val="14E0FCC1"/>
    <w:rsid w:val="14E118D7"/>
    <w:rsid w:val="14E16493"/>
    <w:rsid w:val="14E2F072"/>
    <w:rsid w:val="14E385FA"/>
    <w:rsid w:val="14E3A7DC"/>
    <w:rsid w:val="14E3CB2D"/>
    <w:rsid w:val="14E40BC0"/>
    <w:rsid w:val="14E4370B"/>
    <w:rsid w:val="14E47ACB"/>
    <w:rsid w:val="14E6EB4E"/>
    <w:rsid w:val="14E7A359"/>
    <w:rsid w:val="14E7F42B"/>
    <w:rsid w:val="14E80A65"/>
    <w:rsid w:val="14E8443E"/>
    <w:rsid w:val="14E98B65"/>
    <w:rsid w:val="14E99617"/>
    <w:rsid w:val="14E9DB61"/>
    <w:rsid w:val="14EA19BA"/>
    <w:rsid w:val="14EA2609"/>
    <w:rsid w:val="14EA9EBB"/>
    <w:rsid w:val="14EBB050"/>
    <w:rsid w:val="14EC1540"/>
    <w:rsid w:val="14EC4287"/>
    <w:rsid w:val="14ECC148"/>
    <w:rsid w:val="14EDBC13"/>
    <w:rsid w:val="14EEB2D5"/>
    <w:rsid w:val="14EEC716"/>
    <w:rsid w:val="14EF367F"/>
    <w:rsid w:val="14F082C6"/>
    <w:rsid w:val="14F0D8E8"/>
    <w:rsid w:val="14F1AD80"/>
    <w:rsid w:val="14F1E2DF"/>
    <w:rsid w:val="14F247EC"/>
    <w:rsid w:val="14F2FC1B"/>
    <w:rsid w:val="14F32BBE"/>
    <w:rsid w:val="14F330FF"/>
    <w:rsid w:val="14F47A91"/>
    <w:rsid w:val="14F64654"/>
    <w:rsid w:val="14F651BC"/>
    <w:rsid w:val="14F6E63D"/>
    <w:rsid w:val="14F76170"/>
    <w:rsid w:val="14F94088"/>
    <w:rsid w:val="14F947FC"/>
    <w:rsid w:val="14F99459"/>
    <w:rsid w:val="14F9BD8D"/>
    <w:rsid w:val="14F9C3C6"/>
    <w:rsid w:val="14FAD82A"/>
    <w:rsid w:val="14FB822F"/>
    <w:rsid w:val="14FC8162"/>
    <w:rsid w:val="14FD1CA4"/>
    <w:rsid w:val="14FE5B24"/>
    <w:rsid w:val="14FF67F2"/>
    <w:rsid w:val="14FF83B1"/>
    <w:rsid w:val="15002D32"/>
    <w:rsid w:val="15018632"/>
    <w:rsid w:val="15028C4A"/>
    <w:rsid w:val="1502B706"/>
    <w:rsid w:val="1503B466"/>
    <w:rsid w:val="1504A3E0"/>
    <w:rsid w:val="15055E28"/>
    <w:rsid w:val="1505D5AF"/>
    <w:rsid w:val="1505E725"/>
    <w:rsid w:val="15069A64"/>
    <w:rsid w:val="1508D183"/>
    <w:rsid w:val="150AB627"/>
    <w:rsid w:val="150BA538"/>
    <w:rsid w:val="150CA38B"/>
    <w:rsid w:val="150CAB2C"/>
    <w:rsid w:val="150D0255"/>
    <w:rsid w:val="150D5A2B"/>
    <w:rsid w:val="150EA4B7"/>
    <w:rsid w:val="150F90C6"/>
    <w:rsid w:val="150FC40D"/>
    <w:rsid w:val="15106065"/>
    <w:rsid w:val="1510B8DB"/>
    <w:rsid w:val="15114B4E"/>
    <w:rsid w:val="151227E2"/>
    <w:rsid w:val="15138A91"/>
    <w:rsid w:val="15146F2D"/>
    <w:rsid w:val="15159D3A"/>
    <w:rsid w:val="1515C823"/>
    <w:rsid w:val="151641E4"/>
    <w:rsid w:val="15168040"/>
    <w:rsid w:val="151736D8"/>
    <w:rsid w:val="15175D1F"/>
    <w:rsid w:val="1517673B"/>
    <w:rsid w:val="15184E7B"/>
    <w:rsid w:val="1518E09D"/>
    <w:rsid w:val="15198790"/>
    <w:rsid w:val="151A028D"/>
    <w:rsid w:val="151B066F"/>
    <w:rsid w:val="151BA80A"/>
    <w:rsid w:val="151BEF5A"/>
    <w:rsid w:val="151C0E00"/>
    <w:rsid w:val="151C5953"/>
    <w:rsid w:val="151CFC9C"/>
    <w:rsid w:val="151D17B9"/>
    <w:rsid w:val="151F09E4"/>
    <w:rsid w:val="151FFBF8"/>
    <w:rsid w:val="1520270F"/>
    <w:rsid w:val="15206960"/>
    <w:rsid w:val="1520A4D8"/>
    <w:rsid w:val="1520D831"/>
    <w:rsid w:val="1521271F"/>
    <w:rsid w:val="15217A7A"/>
    <w:rsid w:val="1521DA01"/>
    <w:rsid w:val="15226981"/>
    <w:rsid w:val="15233135"/>
    <w:rsid w:val="1523EAC1"/>
    <w:rsid w:val="15241E75"/>
    <w:rsid w:val="15250039"/>
    <w:rsid w:val="1525C42F"/>
    <w:rsid w:val="1525E39A"/>
    <w:rsid w:val="1525F923"/>
    <w:rsid w:val="1526118E"/>
    <w:rsid w:val="1527BD21"/>
    <w:rsid w:val="15285A01"/>
    <w:rsid w:val="152AE63C"/>
    <w:rsid w:val="152B1109"/>
    <w:rsid w:val="152C990D"/>
    <w:rsid w:val="152D0B71"/>
    <w:rsid w:val="152D3A05"/>
    <w:rsid w:val="152DECF7"/>
    <w:rsid w:val="152E3871"/>
    <w:rsid w:val="152EFDBD"/>
    <w:rsid w:val="15305123"/>
    <w:rsid w:val="1530EBEE"/>
    <w:rsid w:val="153141D6"/>
    <w:rsid w:val="1531E4F6"/>
    <w:rsid w:val="15323813"/>
    <w:rsid w:val="15328651"/>
    <w:rsid w:val="15328FF8"/>
    <w:rsid w:val="1534A4E3"/>
    <w:rsid w:val="15382153"/>
    <w:rsid w:val="1538AE2E"/>
    <w:rsid w:val="153911EE"/>
    <w:rsid w:val="153918C8"/>
    <w:rsid w:val="153946D0"/>
    <w:rsid w:val="15397CE6"/>
    <w:rsid w:val="1539BD69"/>
    <w:rsid w:val="153BC610"/>
    <w:rsid w:val="153C5AAE"/>
    <w:rsid w:val="153C8A3E"/>
    <w:rsid w:val="153CEEE2"/>
    <w:rsid w:val="153D40BA"/>
    <w:rsid w:val="153DDD6D"/>
    <w:rsid w:val="153E431B"/>
    <w:rsid w:val="153EE9A9"/>
    <w:rsid w:val="1540607F"/>
    <w:rsid w:val="15418456"/>
    <w:rsid w:val="15426097"/>
    <w:rsid w:val="154310D7"/>
    <w:rsid w:val="154318C2"/>
    <w:rsid w:val="15432CCF"/>
    <w:rsid w:val="154449B4"/>
    <w:rsid w:val="154570B0"/>
    <w:rsid w:val="1545848B"/>
    <w:rsid w:val="154639BB"/>
    <w:rsid w:val="154791C0"/>
    <w:rsid w:val="1548168F"/>
    <w:rsid w:val="1548FAC8"/>
    <w:rsid w:val="15490DA5"/>
    <w:rsid w:val="15496CE6"/>
    <w:rsid w:val="1549DA0B"/>
    <w:rsid w:val="154A16D7"/>
    <w:rsid w:val="154A391E"/>
    <w:rsid w:val="154A9635"/>
    <w:rsid w:val="154A9EF3"/>
    <w:rsid w:val="154C81A7"/>
    <w:rsid w:val="154F5416"/>
    <w:rsid w:val="154F5465"/>
    <w:rsid w:val="154FB78A"/>
    <w:rsid w:val="154FC2C7"/>
    <w:rsid w:val="15503EEE"/>
    <w:rsid w:val="1552CD70"/>
    <w:rsid w:val="15534837"/>
    <w:rsid w:val="1553AFFF"/>
    <w:rsid w:val="15543077"/>
    <w:rsid w:val="15547B4D"/>
    <w:rsid w:val="15549503"/>
    <w:rsid w:val="15558E83"/>
    <w:rsid w:val="15560C6F"/>
    <w:rsid w:val="1557A468"/>
    <w:rsid w:val="155816EA"/>
    <w:rsid w:val="155A2097"/>
    <w:rsid w:val="155A6693"/>
    <w:rsid w:val="155B36AE"/>
    <w:rsid w:val="155B6E45"/>
    <w:rsid w:val="155BE838"/>
    <w:rsid w:val="155CAA81"/>
    <w:rsid w:val="155CC8A4"/>
    <w:rsid w:val="155D31FE"/>
    <w:rsid w:val="155D5A36"/>
    <w:rsid w:val="155DCFE9"/>
    <w:rsid w:val="155E3A20"/>
    <w:rsid w:val="155F135D"/>
    <w:rsid w:val="155F8B5E"/>
    <w:rsid w:val="155F9A86"/>
    <w:rsid w:val="155FDF5C"/>
    <w:rsid w:val="156114F6"/>
    <w:rsid w:val="156117CD"/>
    <w:rsid w:val="15613424"/>
    <w:rsid w:val="1561563F"/>
    <w:rsid w:val="156239BB"/>
    <w:rsid w:val="15625C1F"/>
    <w:rsid w:val="1562E204"/>
    <w:rsid w:val="15639F40"/>
    <w:rsid w:val="1563FE0A"/>
    <w:rsid w:val="1564B183"/>
    <w:rsid w:val="1564B67B"/>
    <w:rsid w:val="1564D4B0"/>
    <w:rsid w:val="156656D0"/>
    <w:rsid w:val="156664CD"/>
    <w:rsid w:val="1566B587"/>
    <w:rsid w:val="15676956"/>
    <w:rsid w:val="15687014"/>
    <w:rsid w:val="156973E0"/>
    <w:rsid w:val="1569BFB9"/>
    <w:rsid w:val="156A86BE"/>
    <w:rsid w:val="156A8E89"/>
    <w:rsid w:val="156B46B7"/>
    <w:rsid w:val="156B4708"/>
    <w:rsid w:val="156B9E13"/>
    <w:rsid w:val="156BA236"/>
    <w:rsid w:val="156BA656"/>
    <w:rsid w:val="156CE0D2"/>
    <w:rsid w:val="156CF265"/>
    <w:rsid w:val="156D050C"/>
    <w:rsid w:val="156D2636"/>
    <w:rsid w:val="156E8CEC"/>
    <w:rsid w:val="156EA187"/>
    <w:rsid w:val="1570634C"/>
    <w:rsid w:val="1570CE8F"/>
    <w:rsid w:val="1570F6A8"/>
    <w:rsid w:val="15721750"/>
    <w:rsid w:val="15723D70"/>
    <w:rsid w:val="15725634"/>
    <w:rsid w:val="1572E8E3"/>
    <w:rsid w:val="15735F6A"/>
    <w:rsid w:val="15736C54"/>
    <w:rsid w:val="15743966"/>
    <w:rsid w:val="1574435D"/>
    <w:rsid w:val="15746B0F"/>
    <w:rsid w:val="1574CB41"/>
    <w:rsid w:val="157573E0"/>
    <w:rsid w:val="1575FE6F"/>
    <w:rsid w:val="1576480C"/>
    <w:rsid w:val="15768AA0"/>
    <w:rsid w:val="15770B48"/>
    <w:rsid w:val="15777683"/>
    <w:rsid w:val="157790AB"/>
    <w:rsid w:val="15791F62"/>
    <w:rsid w:val="157AD5A5"/>
    <w:rsid w:val="157AE992"/>
    <w:rsid w:val="157B4BF0"/>
    <w:rsid w:val="157C996C"/>
    <w:rsid w:val="157EDAEB"/>
    <w:rsid w:val="157F611B"/>
    <w:rsid w:val="157FA28F"/>
    <w:rsid w:val="15807783"/>
    <w:rsid w:val="1580C0FB"/>
    <w:rsid w:val="1580F3AA"/>
    <w:rsid w:val="15825D2C"/>
    <w:rsid w:val="158298D9"/>
    <w:rsid w:val="1582D65A"/>
    <w:rsid w:val="15840CA6"/>
    <w:rsid w:val="158421DB"/>
    <w:rsid w:val="158482FF"/>
    <w:rsid w:val="1585CFD1"/>
    <w:rsid w:val="158612E7"/>
    <w:rsid w:val="1586DB97"/>
    <w:rsid w:val="1586F737"/>
    <w:rsid w:val="15870959"/>
    <w:rsid w:val="15871A54"/>
    <w:rsid w:val="1587460F"/>
    <w:rsid w:val="15880A2E"/>
    <w:rsid w:val="15889A0C"/>
    <w:rsid w:val="15895135"/>
    <w:rsid w:val="158B4A74"/>
    <w:rsid w:val="158BA236"/>
    <w:rsid w:val="158DD568"/>
    <w:rsid w:val="158E7CEA"/>
    <w:rsid w:val="15904E01"/>
    <w:rsid w:val="15907DF5"/>
    <w:rsid w:val="15910EAA"/>
    <w:rsid w:val="15915770"/>
    <w:rsid w:val="15920114"/>
    <w:rsid w:val="15920FF4"/>
    <w:rsid w:val="1593A375"/>
    <w:rsid w:val="159487A5"/>
    <w:rsid w:val="15965657"/>
    <w:rsid w:val="1597E9FD"/>
    <w:rsid w:val="15980C61"/>
    <w:rsid w:val="15985F2B"/>
    <w:rsid w:val="15995A11"/>
    <w:rsid w:val="159971FB"/>
    <w:rsid w:val="159995A2"/>
    <w:rsid w:val="159A17AD"/>
    <w:rsid w:val="159A43DB"/>
    <w:rsid w:val="159BC474"/>
    <w:rsid w:val="159C4D62"/>
    <w:rsid w:val="159CAFE3"/>
    <w:rsid w:val="159CE49E"/>
    <w:rsid w:val="159E2B09"/>
    <w:rsid w:val="159E3EBA"/>
    <w:rsid w:val="159E686A"/>
    <w:rsid w:val="159F5BC9"/>
    <w:rsid w:val="15A0A29D"/>
    <w:rsid w:val="15A181FB"/>
    <w:rsid w:val="15A268F2"/>
    <w:rsid w:val="15A38343"/>
    <w:rsid w:val="15A476B1"/>
    <w:rsid w:val="15A5193B"/>
    <w:rsid w:val="15A545EB"/>
    <w:rsid w:val="15A5DA29"/>
    <w:rsid w:val="15A5ECDE"/>
    <w:rsid w:val="15A61DD6"/>
    <w:rsid w:val="15A688AF"/>
    <w:rsid w:val="15A70BFF"/>
    <w:rsid w:val="15A7211F"/>
    <w:rsid w:val="15A832BE"/>
    <w:rsid w:val="15A85E72"/>
    <w:rsid w:val="15A928ED"/>
    <w:rsid w:val="15A9E030"/>
    <w:rsid w:val="15A9E75B"/>
    <w:rsid w:val="15A9E779"/>
    <w:rsid w:val="15AB7C41"/>
    <w:rsid w:val="15AB9DA9"/>
    <w:rsid w:val="15ABAA5D"/>
    <w:rsid w:val="15AC1D1B"/>
    <w:rsid w:val="15AC3F70"/>
    <w:rsid w:val="15ACEA59"/>
    <w:rsid w:val="15ACF379"/>
    <w:rsid w:val="15AD5BD8"/>
    <w:rsid w:val="15AD8743"/>
    <w:rsid w:val="15ADA578"/>
    <w:rsid w:val="15AEF610"/>
    <w:rsid w:val="15AF0D61"/>
    <w:rsid w:val="15AFF108"/>
    <w:rsid w:val="15B04299"/>
    <w:rsid w:val="15B0BF86"/>
    <w:rsid w:val="15B123DF"/>
    <w:rsid w:val="15B160B8"/>
    <w:rsid w:val="15B185DC"/>
    <w:rsid w:val="15B248A7"/>
    <w:rsid w:val="15B2ADFF"/>
    <w:rsid w:val="15B2CAB1"/>
    <w:rsid w:val="15B2D7F3"/>
    <w:rsid w:val="15B3B1AD"/>
    <w:rsid w:val="15B3D9EE"/>
    <w:rsid w:val="15B4DCDE"/>
    <w:rsid w:val="15B6638A"/>
    <w:rsid w:val="15B6C06A"/>
    <w:rsid w:val="15B6C1C3"/>
    <w:rsid w:val="15B7019F"/>
    <w:rsid w:val="15B7A5F7"/>
    <w:rsid w:val="15B7BF70"/>
    <w:rsid w:val="15B8BEF2"/>
    <w:rsid w:val="15B8F5CC"/>
    <w:rsid w:val="15B906D3"/>
    <w:rsid w:val="15B9B059"/>
    <w:rsid w:val="15B9E626"/>
    <w:rsid w:val="15BB4FF9"/>
    <w:rsid w:val="15BCA8AE"/>
    <w:rsid w:val="15BD183A"/>
    <w:rsid w:val="15BF1A56"/>
    <w:rsid w:val="15BF62FF"/>
    <w:rsid w:val="15BF8554"/>
    <w:rsid w:val="15C05650"/>
    <w:rsid w:val="15C0B9E8"/>
    <w:rsid w:val="15C0E8FB"/>
    <w:rsid w:val="15C13545"/>
    <w:rsid w:val="15C145E3"/>
    <w:rsid w:val="15C21460"/>
    <w:rsid w:val="15C27B4C"/>
    <w:rsid w:val="15C28A83"/>
    <w:rsid w:val="15C2CDEA"/>
    <w:rsid w:val="15C2D714"/>
    <w:rsid w:val="15C38A1C"/>
    <w:rsid w:val="15C3E685"/>
    <w:rsid w:val="15C4DF69"/>
    <w:rsid w:val="15C58900"/>
    <w:rsid w:val="15C5D68A"/>
    <w:rsid w:val="15C64114"/>
    <w:rsid w:val="15C70391"/>
    <w:rsid w:val="15C70AAA"/>
    <w:rsid w:val="15C76EFE"/>
    <w:rsid w:val="15C863CA"/>
    <w:rsid w:val="15C88583"/>
    <w:rsid w:val="15C94FCC"/>
    <w:rsid w:val="15C9D406"/>
    <w:rsid w:val="15CA582E"/>
    <w:rsid w:val="15CA96C1"/>
    <w:rsid w:val="15CB1890"/>
    <w:rsid w:val="15CB2280"/>
    <w:rsid w:val="15CB889A"/>
    <w:rsid w:val="15CB88D1"/>
    <w:rsid w:val="15CBB4A0"/>
    <w:rsid w:val="15CC1CB9"/>
    <w:rsid w:val="15CC30FD"/>
    <w:rsid w:val="15CC477D"/>
    <w:rsid w:val="15CD1E21"/>
    <w:rsid w:val="15CD99F6"/>
    <w:rsid w:val="15CDB62B"/>
    <w:rsid w:val="15CF6FD9"/>
    <w:rsid w:val="15D07074"/>
    <w:rsid w:val="15D0F592"/>
    <w:rsid w:val="15D27875"/>
    <w:rsid w:val="15D28520"/>
    <w:rsid w:val="15D2EEDA"/>
    <w:rsid w:val="15D38945"/>
    <w:rsid w:val="15D3DD3C"/>
    <w:rsid w:val="15D427FA"/>
    <w:rsid w:val="15D4B05B"/>
    <w:rsid w:val="15D4F2DD"/>
    <w:rsid w:val="15D71460"/>
    <w:rsid w:val="15D82F3A"/>
    <w:rsid w:val="15D883F6"/>
    <w:rsid w:val="15D8D0BE"/>
    <w:rsid w:val="15DA6685"/>
    <w:rsid w:val="15DACD22"/>
    <w:rsid w:val="15DB9682"/>
    <w:rsid w:val="15DBE84C"/>
    <w:rsid w:val="15DBFAD0"/>
    <w:rsid w:val="15DE42F8"/>
    <w:rsid w:val="15DE85A8"/>
    <w:rsid w:val="15DEB050"/>
    <w:rsid w:val="15DF09CB"/>
    <w:rsid w:val="15DF52E2"/>
    <w:rsid w:val="15DF64A9"/>
    <w:rsid w:val="15E04E37"/>
    <w:rsid w:val="15E09627"/>
    <w:rsid w:val="15E11E1F"/>
    <w:rsid w:val="15E17142"/>
    <w:rsid w:val="15E21460"/>
    <w:rsid w:val="15E2187F"/>
    <w:rsid w:val="15E2C991"/>
    <w:rsid w:val="15E2CA85"/>
    <w:rsid w:val="15E31F36"/>
    <w:rsid w:val="15E344EC"/>
    <w:rsid w:val="15E35767"/>
    <w:rsid w:val="15E46192"/>
    <w:rsid w:val="15E46917"/>
    <w:rsid w:val="15E524DC"/>
    <w:rsid w:val="15E57D40"/>
    <w:rsid w:val="15E5F6E2"/>
    <w:rsid w:val="15E64AF6"/>
    <w:rsid w:val="15E8424F"/>
    <w:rsid w:val="15E8CA31"/>
    <w:rsid w:val="15EA35F2"/>
    <w:rsid w:val="15EAACCC"/>
    <w:rsid w:val="15EB3772"/>
    <w:rsid w:val="15EB5906"/>
    <w:rsid w:val="15EBF406"/>
    <w:rsid w:val="15ECB4BE"/>
    <w:rsid w:val="15EE3447"/>
    <w:rsid w:val="15EF26BE"/>
    <w:rsid w:val="15F057B0"/>
    <w:rsid w:val="15F0814B"/>
    <w:rsid w:val="15F370F0"/>
    <w:rsid w:val="15F42C83"/>
    <w:rsid w:val="15F4B966"/>
    <w:rsid w:val="15F5702F"/>
    <w:rsid w:val="15F69398"/>
    <w:rsid w:val="15F75542"/>
    <w:rsid w:val="15F8CE8B"/>
    <w:rsid w:val="15F9A5F1"/>
    <w:rsid w:val="15F9E703"/>
    <w:rsid w:val="15F9F19D"/>
    <w:rsid w:val="15FA5688"/>
    <w:rsid w:val="15FA7825"/>
    <w:rsid w:val="15FB2909"/>
    <w:rsid w:val="15FB6B24"/>
    <w:rsid w:val="15FB9629"/>
    <w:rsid w:val="15FBB468"/>
    <w:rsid w:val="15FCD751"/>
    <w:rsid w:val="16008C97"/>
    <w:rsid w:val="1600CF8D"/>
    <w:rsid w:val="1600ED26"/>
    <w:rsid w:val="16012F52"/>
    <w:rsid w:val="16017F2D"/>
    <w:rsid w:val="16020C9C"/>
    <w:rsid w:val="16041AEA"/>
    <w:rsid w:val="16047700"/>
    <w:rsid w:val="1604B920"/>
    <w:rsid w:val="1604D147"/>
    <w:rsid w:val="1606AE36"/>
    <w:rsid w:val="16078964"/>
    <w:rsid w:val="1607FBAE"/>
    <w:rsid w:val="1608149B"/>
    <w:rsid w:val="1608A522"/>
    <w:rsid w:val="1608FCB1"/>
    <w:rsid w:val="160B18E2"/>
    <w:rsid w:val="160B3201"/>
    <w:rsid w:val="160B6C79"/>
    <w:rsid w:val="160B89CF"/>
    <w:rsid w:val="160B905A"/>
    <w:rsid w:val="160BFAE9"/>
    <w:rsid w:val="160D22E6"/>
    <w:rsid w:val="160D23F3"/>
    <w:rsid w:val="160F148B"/>
    <w:rsid w:val="1610869E"/>
    <w:rsid w:val="1610BF50"/>
    <w:rsid w:val="161103D8"/>
    <w:rsid w:val="1611AEF3"/>
    <w:rsid w:val="1611E529"/>
    <w:rsid w:val="161284BD"/>
    <w:rsid w:val="1612D3CC"/>
    <w:rsid w:val="1613837D"/>
    <w:rsid w:val="1613AC30"/>
    <w:rsid w:val="1615262D"/>
    <w:rsid w:val="1615EEEF"/>
    <w:rsid w:val="16160D12"/>
    <w:rsid w:val="1617493B"/>
    <w:rsid w:val="1617BA20"/>
    <w:rsid w:val="1618136F"/>
    <w:rsid w:val="16184347"/>
    <w:rsid w:val="161888B9"/>
    <w:rsid w:val="161ADAA6"/>
    <w:rsid w:val="161B8A82"/>
    <w:rsid w:val="161BDEE2"/>
    <w:rsid w:val="161C7DF7"/>
    <w:rsid w:val="161DEE83"/>
    <w:rsid w:val="161E532F"/>
    <w:rsid w:val="161EF8EA"/>
    <w:rsid w:val="161F533A"/>
    <w:rsid w:val="161FC1CC"/>
    <w:rsid w:val="16201260"/>
    <w:rsid w:val="16204776"/>
    <w:rsid w:val="16207E7E"/>
    <w:rsid w:val="16209EC3"/>
    <w:rsid w:val="16211B49"/>
    <w:rsid w:val="162147D7"/>
    <w:rsid w:val="16214F91"/>
    <w:rsid w:val="16219C16"/>
    <w:rsid w:val="16221214"/>
    <w:rsid w:val="162289C5"/>
    <w:rsid w:val="1622DC42"/>
    <w:rsid w:val="162351F8"/>
    <w:rsid w:val="16239D69"/>
    <w:rsid w:val="1623FE79"/>
    <w:rsid w:val="16242C58"/>
    <w:rsid w:val="16243E6E"/>
    <w:rsid w:val="1624916A"/>
    <w:rsid w:val="1625CAE0"/>
    <w:rsid w:val="1625D659"/>
    <w:rsid w:val="1627A039"/>
    <w:rsid w:val="1627AFF3"/>
    <w:rsid w:val="162827D7"/>
    <w:rsid w:val="162847CA"/>
    <w:rsid w:val="162B716C"/>
    <w:rsid w:val="162BAFA8"/>
    <w:rsid w:val="162BC279"/>
    <w:rsid w:val="162C46EF"/>
    <w:rsid w:val="162C664B"/>
    <w:rsid w:val="162D16A3"/>
    <w:rsid w:val="162D95F8"/>
    <w:rsid w:val="162D9A70"/>
    <w:rsid w:val="162E5DE6"/>
    <w:rsid w:val="162E9994"/>
    <w:rsid w:val="162F096A"/>
    <w:rsid w:val="162F29A9"/>
    <w:rsid w:val="162F6975"/>
    <w:rsid w:val="162F8B97"/>
    <w:rsid w:val="16310563"/>
    <w:rsid w:val="16310642"/>
    <w:rsid w:val="16327CCF"/>
    <w:rsid w:val="16329205"/>
    <w:rsid w:val="1633E5F3"/>
    <w:rsid w:val="16340C16"/>
    <w:rsid w:val="16347409"/>
    <w:rsid w:val="1634E26A"/>
    <w:rsid w:val="16354B8F"/>
    <w:rsid w:val="16356806"/>
    <w:rsid w:val="163615BE"/>
    <w:rsid w:val="1637A72E"/>
    <w:rsid w:val="1638CBAB"/>
    <w:rsid w:val="16396F52"/>
    <w:rsid w:val="1639B190"/>
    <w:rsid w:val="163A5C58"/>
    <w:rsid w:val="163C35C0"/>
    <w:rsid w:val="163E9BAC"/>
    <w:rsid w:val="163F1E27"/>
    <w:rsid w:val="163FC480"/>
    <w:rsid w:val="163FE0C2"/>
    <w:rsid w:val="16405E47"/>
    <w:rsid w:val="16407457"/>
    <w:rsid w:val="1640C173"/>
    <w:rsid w:val="1640DACE"/>
    <w:rsid w:val="1640DBBB"/>
    <w:rsid w:val="16413DF5"/>
    <w:rsid w:val="1641CEFF"/>
    <w:rsid w:val="1641F64A"/>
    <w:rsid w:val="16421FBA"/>
    <w:rsid w:val="1642A03E"/>
    <w:rsid w:val="164305CC"/>
    <w:rsid w:val="164321F2"/>
    <w:rsid w:val="164389DB"/>
    <w:rsid w:val="1643A6B3"/>
    <w:rsid w:val="164489DA"/>
    <w:rsid w:val="16449F35"/>
    <w:rsid w:val="1644F975"/>
    <w:rsid w:val="1645CA98"/>
    <w:rsid w:val="16464CC3"/>
    <w:rsid w:val="1646B78A"/>
    <w:rsid w:val="16472486"/>
    <w:rsid w:val="16474742"/>
    <w:rsid w:val="164771E5"/>
    <w:rsid w:val="1648F99B"/>
    <w:rsid w:val="164A70EE"/>
    <w:rsid w:val="164A7BBF"/>
    <w:rsid w:val="164B9F60"/>
    <w:rsid w:val="164CAB79"/>
    <w:rsid w:val="164D4CDA"/>
    <w:rsid w:val="164DC3BA"/>
    <w:rsid w:val="164DF4B3"/>
    <w:rsid w:val="164EA536"/>
    <w:rsid w:val="164F96AE"/>
    <w:rsid w:val="164FC426"/>
    <w:rsid w:val="16504A6D"/>
    <w:rsid w:val="16546BD4"/>
    <w:rsid w:val="165526BC"/>
    <w:rsid w:val="16554F9C"/>
    <w:rsid w:val="165582C0"/>
    <w:rsid w:val="16558D40"/>
    <w:rsid w:val="16559A78"/>
    <w:rsid w:val="1655B547"/>
    <w:rsid w:val="1655DB64"/>
    <w:rsid w:val="16560696"/>
    <w:rsid w:val="16568D52"/>
    <w:rsid w:val="1657571A"/>
    <w:rsid w:val="16579363"/>
    <w:rsid w:val="1657ADB4"/>
    <w:rsid w:val="1657E2E2"/>
    <w:rsid w:val="16582A7A"/>
    <w:rsid w:val="1658B241"/>
    <w:rsid w:val="1658E957"/>
    <w:rsid w:val="16599FE7"/>
    <w:rsid w:val="1659D0B0"/>
    <w:rsid w:val="165BC5D1"/>
    <w:rsid w:val="165C5A3D"/>
    <w:rsid w:val="165D0012"/>
    <w:rsid w:val="165D4C57"/>
    <w:rsid w:val="165DCED4"/>
    <w:rsid w:val="165E6259"/>
    <w:rsid w:val="165F2714"/>
    <w:rsid w:val="16605B90"/>
    <w:rsid w:val="1660CF27"/>
    <w:rsid w:val="1661602F"/>
    <w:rsid w:val="16618C13"/>
    <w:rsid w:val="1661ED48"/>
    <w:rsid w:val="16635537"/>
    <w:rsid w:val="1663E61D"/>
    <w:rsid w:val="16643FAB"/>
    <w:rsid w:val="1664B5D1"/>
    <w:rsid w:val="1665DA13"/>
    <w:rsid w:val="16661776"/>
    <w:rsid w:val="1666FF69"/>
    <w:rsid w:val="16670401"/>
    <w:rsid w:val="1667DE38"/>
    <w:rsid w:val="166804E0"/>
    <w:rsid w:val="1669017A"/>
    <w:rsid w:val="166960B2"/>
    <w:rsid w:val="166AB4F0"/>
    <w:rsid w:val="166AEE57"/>
    <w:rsid w:val="166BC462"/>
    <w:rsid w:val="166D95F0"/>
    <w:rsid w:val="166F551C"/>
    <w:rsid w:val="167085FA"/>
    <w:rsid w:val="16716722"/>
    <w:rsid w:val="16724229"/>
    <w:rsid w:val="16729A47"/>
    <w:rsid w:val="16729F13"/>
    <w:rsid w:val="16738D03"/>
    <w:rsid w:val="16744680"/>
    <w:rsid w:val="16753007"/>
    <w:rsid w:val="1675BA8A"/>
    <w:rsid w:val="1675ECB5"/>
    <w:rsid w:val="16764752"/>
    <w:rsid w:val="1676D87F"/>
    <w:rsid w:val="1677B6D0"/>
    <w:rsid w:val="1677CF3A"/>
    <w:rsid w:val="167A4B07"/>
    <w:rsid w:val="167B868F"/>
    <w:rsid w:val="167BDCBB"/>
    <w:rsid w:val="167CA08A"/>
    <w:rsid w:val="167CF105"/>
    <w:rsid w:val="167D564D"/>
    <w:rsid w:val="167E187A"/>
    <w:rsid w:val="167E93F6"/>
    <w:rsid w:val="167FB900"/>
    <w:rsid w:val="16805A9F"/>
    <w:rsid w:val="1680A9AA"/>
    <w:rsid w:val="1680BDE9"/>
    <w:rsid w:val="1680D3EF"/>
    <w:rsid w:val="1680EEEE"/>
    <w:rsid w:val="16816FCF"/>
    <w:rsid w:val="1681DAA3"/>
    <w:rsid w:val="1681F9D2"/>
    <w:rsid w:val="16823682"/>
    <w:rsid w:val="1682880A"/>
    <w:rsid w:val="16829DF3"/>
    <w:rsid w:val="168306D1"/>
    <w:rsid w:val="16839BED"/>
    <w:rsid w:val="16845219"/>
    <w:rsid w:val="1685663C"/>
    <w:rsid w:val="16877BD7"/>
    <w:rsid w:val="1688AC5B"/>
    <w:rsid w:val="168917DF"/>
    <w:rsid w:val="16891B37"/>
    <w:rsid w:val="16899E9C"/>
    <w:rsid w:val="1689BD60"/>
    <w:rsid w:val="168A3195"/>
    <w:rsid w:val="168AB70F"/>
    <w:rsid w:val="168BF7B3"/>
    <w:rsid w:val="168C04C5"/>
    <w:rsid w:val="168C5D69"/>
    <w:rsid w:val="168CBB57"/>
    <w:rsid w:val="168D196F"/>
    <w:rsid w:val="168DBA3B"/>
    <w:rsid w:val="168E3076"/>
    <w:rsid w:val="168F6526"/>
    <w:rsid w:val="1690232C"/>
    <w:rsid w:val="16906C7C"/>
    <w:rsid w:val="1690839D"/>
    <w:rsid w:val="1691D584"/>
    <w:rsid w:val="169242E8"/>
    <w:rsid w:val="1692A560"/>
    <w:rsid w:val="1692B91D"/>
    <w:rsid w:val="16936A6B"/>
    <w:rsid w:val="1693A62D"/>
    <w:rsid w:val="1693DB75"/>
    <w:rsid w:val="1694746E"/>
    <w:rsid w:val="1694CB89"/>
    <w:rsid w:val="16965892"/>
    <w:rsid w:val="1696B9EF"/>
    <w:rsid w:val="16973EEE"/>
    <w:rsid w:val="16983AFB"/>
    <w:rsid w:val="169885F5"/>
    <w:rsid w:val="1698DB1A"/>
    <w:rsid w:val="169BBDD5"/>
    <w:rsid w:val="169E6EB6"/>
    <w:rsid w:val="169EDECF"/>
    <w:rsid w:val="169EF713"/>
    <w:rsid w:val="169F0CA9"/>
    <w:rsid w:val="169F0EB8"/>
    <w:rsid w:val="16A03D32"/>
    <w:rsid w:val="16A15634"/>
    <w:rsid w:val="16A1DF83"/>
    <w:rsid w:val="16A2655B"/>
    <w:rsid w:val="16A278CB"/>
    <w:rsid w:val="16A2BB51"/>
    <w:rsid w:val="16A3FD93"/>
    <w:rsid w:val="16A772F3"/>
    <w:rsid w:val="16A79AFC"/>
    <w:rsid w:val="16AAD5D2"/>
    <w:rsid w:val="16AB2282"/>
    <w:rsid w:val="16AB39EC"/>
    <w:rsid w:val="16AC9844"/>
    <w:rsid w:val="16AD14DF"/>
    <w:rsid w:val="16AD711B"/>
    <w:rsid w:val="16ADC2C0"/>
    <w:rsid w:val="16AED073"/>
    <w:rsid w:val="16AEDAAF"/>
    <w:rsid w:val="16AF34A1"/>
    <w:rsid w:val="16B10010"/>
    <w:rsid w:val="16B118A8"/>
    <w:rsid w:val="16B1A2A2"/>
    <w:rsid w:val="16B1AED1"/>
    <w:rsid w:val="16B204A2"/>
    <w:rsid w:val="16B2F090"/>
    <w:rsid w:val="16B31519"/>
    <w:rsid w:val="16B3695B"/>
    <w:rsid w:val="16B37802"/>
    <w:rsid w:val="16B43243"/>
    <w:rsid w:val="16B5ECF2"/>
    <w:rsid w:val="16B7F73A"/>
    <w:rsid w:val="16B87232"/>
    <w:rsid w:val="16B93094"/>
    <w:rsid w:val="16B94536"/>
    <w:rsid w:val="16BA24AC"/>
    <w:rsid w:val="16BA4BA6"/>
    <w:rsid w:val="16BAADA2"/>
    <w:rsid w:val="16BAFB1A"/>
    <w:rsid w:val="16BB7427"/>
    <w:rsid w:val="16BBEF49"/>
    <w:rsid w:val="16BC007B"/>
    <w:rsid w:val="16BC11F0"/>
    <w:rsid w:val="16BD200C"/>
    <w:rsid w:val="16BE5A47"/>
    <w:rsid w:val="16BEFF0A"/>
    <w:rsid w:val="16BF18D8"/>
    <w:rsid w:val="16BFF72C"/>
    <w:rsid w:val="16C0B916"/>
    <w:rsid w:val="16C17962"/>
    <w:rsid w:val="16C1CAAB"/>
    <w:rsid w:val="16C1CDDE"/>
    <w:rsid w:val="16C28FF7"/>
    <w:rsid w:val="16C2D345"/>
    <w:rsid w:val="16C30A7C"/>
    <w:rsid w:val="16C3B8FC"/>
    <w:rsid w:val="16C422CE"/>
    <w:rsid w:val="16C42977"/>
    <w:rsid w:val="16C43BBD"/>
    <w:rsid w:val="16C53100"/>
    <w:rsid w:val="16C56825"/>
    <w:rsid w:val="16C578DB"/>
    <w:rsid w:val="16C69850"/>
    <w:rsid w:val="16C6A6B5"/>
    <w:rsid w:val="16C7271D"/>
    <w:rsid w:val="16C80437"/>
    <w:rsid w:val="16C86D44"/>
    <w:rsid w:val="16C8A686"/>
    <w:rsid w:val="16C8EA3B"/>
    <w:rsid w:val="16C99256"/>
    <w:rsid w:val="16C9E933"/>
    <w:rsid w:val="16C9EE6C"/>
    <w:rsid w:val="16CB097F"/>
    <w:rsid w:val="16CC9E0C"/>
    <w:rsid w:val="16CE1FD8"/>
    <w:rsid w:val="16CF83B4"/>
    <w:rsid w:val="16D01A98"/>
    <w:rsid w:val="16D0EDF5"/>
    <w:rsid w:val="16D19D64"/>
    <w:rsid w:val="16D1CCE2"/>
    <w:rsid w:val="16D25969"/>
    <w:rsid w:val="16D2C2A5"/>
    <w:rsid w:val="16D34BB0"/>
    <w:rsid w:val="16D3655B"/>
    <w:rsid w:val="16D3B325"/>
    <w:rsid w:val="16D538A5"/>
    <w:rsid w:val="16D55149"/>
    <w:rsid w:val="16D5EEC0"/>
    <w:rsid w:val="16D6E9E3"/>
    <w:rsid w:val="16D78162"/>
    <w:rsid w:val="16D83F11"/>
    <w:rsid w:val="16D8D0DE"/>
    <w:rsid w:val="16D955E5"/>
    <w:rsid w:val="16D963C7"/>
    <w:rsid w:val="16D9CB2A"/>
    <w:rsid w:val="16D9E18C"/>
    <w:rsid w:val="16D9EE99"/>
    <w:rsid w:val="16DA40D8"/>
    <w:rsid w:val="16DB5530"/>
    <w:rsid w:val="16DB8F54"/>
    <w:rsid w:val="16DBC486"/>
    <w:rsid w:val="16DC6B46"/>
    <w:rsid w:val="16DCE553"/>
    <w:rsid w:val="16DD676D"/>
    <w:rsid w:val="16DE1EDE"/>
    <w:rsid w:val="16DE2F99"/>
    <w:rsid w:val="16DE3E99"/>
    <w:rsid w:val="16DEBE06"/>
    <w:rsid w:val="16DF6252"/>
    <w:rsid w:val="16DF6792"/>
    <w:rsid w:val="16DF69AF"/>
    <w:rsid w:val="16DFFF33"/>
    <w:rsid w:val="16E05127"/>
    <w:rsid w:val="16E09264"/>
    <w:rsid w:val="16E0C289"/>
    <w:rsid w:val="16E16A5C"/>
    <w:rsid w:val="16E1C184"/>
    <w:rsid w:val="16E1E7FC"/>
    <w:rsid w:val="16E2A8BF"/>
    <w:rsid w:val="16E2B7B6"/>
    <w:rsid w:val="16E328B0"/>
    <w:rsid w:val="16E4F22E"/>
    <w:rsid w:val="16E51E82"/>
    <w:rsid w:val="16E58C52"/>
    <w:rsid w:val="16E5C573"/>
    <w:rsid w:val="16E5DF17"/>
    <w:rsid w:val="16E81506"/>
    <w:rsid w:val="16E8C85A"/>
    <w:rsid w:val="16E95957"/>
    <w:rsid w:val="16E98F52"/>
    <w:rsid w:val="16E9BC30"/>
    <w:rsid w:val="16E9D228"/>
    <w:rsid w:val="16E9F98B"/>
    <w:rsid w:val="16E9FF0C"/>
    <w:rsid w:val="16EA39EB"/>
    <w:rsid w:val="16EAC9AF"/>
    <w:rsid w:val="16EB81A3"/>
    <w:rsid w:val="16EB9C6F"/>
    <w:rsid w:val="16EB9D84"/>
    <w:rsid w:val="16EECCD7"/>
    <w:rsid w:val="16EEEF6B"/>
    <w:rsid w:val="16F000DA"/>
    <w:rsid w:val="16F159DD"/>
    <w:rsid w:val="16F23298"/>
    <w:rsid w:val="16F3FABF"/>
    <w:rsid w:val="16F4B037"/>
    <w:rsid w:val="16F51C50"/>
    <w:rsid w:val="16F5798E"/>
    <w:rsid w:val="16F58F1D"/>
    <w:rsid w:val="16F5C92A"/>
    <w:rsid w:val="16F630A9"/>
    <w:rsid w:val="16F65900"/>
    <w:rsid w:val="16F6DA86"/>
    <w:rsid w:val="16F8691E"/>
    <w:rsid w:val="16F8B27F"/>
    <w:rsid w:val="16F8F8F5"/>
    <w:rsid w:val="16F94645"/>
    <w:rsid w:val="16F96EFE"/>
    <w:rsid w:val="16F98FA0"/>
    <w:rsid w:val="16FACC10"/>
    <w:rsid w:val="16FB66B5"/>
    <w:rsid w:val="16FBFEC6"/>
    <w:rsid w:val="16FCA653"/>
    <w:rsid w:val="16FD574C"/>
    <w:rsid w:val="16FEC9B7"/>
    <w:rsid w:val="16FECA1D"/>
    <w:rsid w:val="16FF8BAA"/>
    <w:rsid w:val="17007D98"/>
    <w:rsid w:val="1700AC57"/>
    <w:rsid w:val="1701B9EA"/>
    <w:rsid w:val="17023066"/>
    <w:rsid w:val="17026C67"/>
    <w:rsid w:val="1702F68B"/>
    <w:rsid w:val="17048F0D"/>
    <w:rsid w:val="17052453"/>
    <w:rsid w:val="170535DA"/>
    <w:rsid w:val="1705CC73"/>
    <w:rsid w:val="1706FCE6"/>
    <w:rsid w:val="17070C3C"/>
    <w:rsid w:val="170788FA"/>
    <w:rsid w:val="170824BA"/>
    <w:rsid w:val="1708F697"/>
    <w:rsid w:val="17095D96"/>
    <w:rsid w:val="1709E1FB"/>
    <w:rsid w:val="170A7D01"/>
    <w:rsid w:val="170A8A24"/>
    <w:rsid w:val="170B81E3"/>
    <w:rsid w:val="170C33AD"/>
    <w:rsid w:val="170C8430"/>
    <w:rsid w:val="170CD7FD"/>
    <w:rsid w:val="170D2970"/>
    <w:rsid w:val="170D393D"/>
    <w:rsid w:val="170D7EFE"/>
    <w:rsid w:val="170D9E31"/>
    <w:rsid w:val="170DC444"/>
    <w:rsid w:val="170DD94B"/>
    <w:rsid w:val="170DEB2E"/>
    <w:rsid w:val="170E4C5F"/>
    <w:rsid w:val="170EA1D4"/>
    <w:rsid w:val="170EC6C7"/>
    <w:rsid w:val="170FA1A3"/>
    <w:rsid w:val="17108975"/>
    <w:rsid w:val="17110138"/>
    <w:rsid w:val="1711E958"/>
    <w:rsid w:val="1712FED0"/>
    <w:rsid w:val="171364D5"/>
    <w:rsid w:val="17139CE3"/>
    <w:rsid w:val="1713E904"/>
    <w:rsid w:val="1714CF31"/>
    <w:rsid w:val="17150B79"/>
    <w:rsid w:val="17152E4F"/>
    <w:rsid w:val="171575DA"/>
    <w:rsid w:val="17168432"/>
    <w:rsid w:val="1717662E"/>
    <w:rsid w:val="171767B9"/>
    <w:rsid w:val="1717B450"/>
    <w:rsid w:val="1717B759"/>
    <w:rsid w:val="17185D13"/>
    <w:rsid w:val="171905F0"/>
    <w:rsid w:val="171948ED"/>
    <w:rsid w:val="171B6636"/>
    <w:rsid w:val="171BC069"/>
    <w:rsid w:val="171C56E8"/>
    <w:rsid w:val="171C76C6"/>
    <w:rsid w:val="171D4704"/>
    <w:rsid w:val="171D771C"/>
    <w:rsid w:val="171DF6D2"/>
    <w:rsid w:val="171F6501"/>
    <w:rsid w:val="17204EB1"/>
    <w:rsid w:val="17207220"/>
    <w:rsid w:val="17209F54"/>
    <w:rsid w:val="1721106E"/>
    <w:rsid w:val="1721CB63"/>
    <w:rsid w:val="1721F310"/>
    <w:rsid w:val="172204D6"/>
    <w:rsid w:val="172349A2"/>
    <w:rsid w:val="172463ED"/>
    <w:rsid w:val="17251CE2"/>
    <w:rsid w:val="17252662"/>
    <w:rsid w:val="17257C60"/>
    <w:rsid w:val="17259696"/>
    <w:rsid w:val="17261CD5"/>
    <w:rsid w:val="1726FEF5"/>
    <w:rsid w:val="172701FF"/>
    <w:rsid w:val="17276321"/>
    <w:rsid w:val="1728AF41"/>
    <w:rsid w:val="17298E65"/>
    <w:rsid w:val="172A0054"/>
    <w:rsid w:val="172A0FBC"/>
    <w:rsid w:val="172A641C"/>
    <w:rsid w:val="172B058B"/>
    <w:rsid w:val="172BA617"/>
    <w:rsid w:val="172C35F5"/>
    <w:rsid w:val="172C856A"/>
    <w:rsid w:val="172DE665"/>
    <w:rsid w:val="172E1D4C"/>
    <w:rsid w:val="172F079D"/>
    <w:rsid w:val="17301948"/>
    <w:rsid w:val="17304ACE"/>
    <w:rsid w:val="1731849A"/>
    <w:rsid w:val="1731D9BE"/>
    <w:rsid w:val="17328437"/>
    <w:rsid w:val="173342A4"/>
    <w:rsid w:val="17339B9F"/>
    <w:rsid w:val="1733BBF2"/>
    <w:rsid w:val="1733F302"/>
    <w:rsid w:val="1734753D"/>
    <w:rsid w:val="17348CC3"/>
    <w:rsid w:val="173495F4"/>
    <w:rsid w:val="17352FE1"/>
    <w:rsid w:val="1735BF49"/>
    <w:rsid w:val="1735E35C"/>
    <w:rsid w:val="173606EC"/>
    <w:rsid w:val="17362139"/>
    <w:rsid w:val="1736D4D0"/>
    <w:rsid w:val="173704D1"/>
    <w:rsid w:val="17370AA0"/>
    <w:rsid w:val="17385293"/>
    <w:rsid w:val="17393B5A"/>
    <w:rsid w:val="173A04B0"/>
    <w:rsid w:val="173A817D"/>
    <w:rsid w:val="173B0E4F"/>
    <w:rsid w:val="173B9921"/>
    <w:rsid w:val="173BA330"/>
    <w:rsid w:val="173C585D"/>
    <w:rsid w:val="173E0669"/>
    <w:rsid w:val="173E52F0"/>
    <w:rsid w:val="173F333A"/>
    <w:rsid w:val="174021E1"/>
    <w:rsid w:val="17404D12"/>
    <w:rsid w:val="17411507"/>
    <w:rsid w:val="174124F3"/>
    <w:rsid w:val="1742089C"/>
    <w:rsid w:val="17425525"/>
    <w:rsid w:val="1743920D"/>
    <w:rsid w:val="1743EFDB"/>
    <w:rsid w:val="174462FA"/>
    <w:rsid w:val="17462DBE"/>
    <w:rsid w:val="17479AFB"/>
    <w:rsid w:val="17485100"/>
    <w:rsid w:val="17498A12"/>
    <w:rsid w:val="1749C3E0"/>
    <w:rsid w:val="174A9538"/>
    <w:rsid w:val="174ABBAA"/>
    <w:rsid w:val="174AC0AD"/>
    <w:rsid w:val="174BF7D0"/>
    <w:rsid w:val="174C1EE6"/>
    <w:rsid w:val="174C8FB9"/>
    <w:rsid w:val="174D3212"/>
    <w:rsid w:val="174E7815"/>
    <w:rsid w:val="174F2093"/>
    <w:rsid w:val="17517285"/>
    <w:rsid w:val="1751F6BC"/>
    <w:rsid w:val="17524665"/>
    <w:rsid w:val="17527728"/>
    <w:rsid w:val="1752F775"/>
    <w:rsid w:val="17532246"/>
    <w:rsid w:val="17542091"/>
    <w:rsid w:val="17547154"/>
    <w:rsid w:val="17554DA3"/>
    <w:rsid w:val="17557889"/>
    <w:rsid w:val="1755F482"/>
    <w:rsid w:val="1756C494"/>
    <w:rsid w:val="1756D621"/>
    <w:rsid w:val="1757C30B"/>
    <w:rsid w:val="1758467C"/>
    <w:rsid w:val="1759115F"/>
    <w:rsid w:val="1759AE2F"/>
    <w:rsid w:val="175A48D4"/>
    <w:rsid w:val="175A8815"/>
    <w:rsid w:val="175A89E5"/>
    <w:rsid w:val="175B37AB"/>
    <w:rsid w:val="175E29C2"/>
    <w:rsid w:val="175E76A0"/>
    <w:rsid w:val="175EE9BF"/>
    <w:rsid w:val="175EFA90"/>
    <w:rsid w:val="175FD125"/>
    <w:rsid w:val="17612646"/>
    <w:rsid w:val="1761C1D7"/>
    <w:rsid w:val="1762738E"/>
    <w:rsid w:val="1762E3D8"/>
    <w:rsid w:val="17644A91"/>
    <w:rsid w:val="1764D8F4"/>
    <w:rsid w:val="1764E2CA"/>
    <w:rsid w:val="176529E8"/>
    <w:rsid w:val="17660830"/>
    <w:rsid w:val="1767C6AC"/>
    <w:rsid w:val="17696FDA"/>
    <w:rsid w:val="176988B2"/>
    <w:rsid w:val="176AAA00"/>
    <w:rsid w:val="176AF48F"/>
    <w:rsid w:val="176C3FE7"/>
    <w:rsid w:val="176D9397"/>
    <w:rsid w:val="176E23A1"/>
    <w:rsid w:val="176E249E"/>
    <w:rsid w:val="176E5EB0"/>
    <w:rsid w:val="176EAAE1"/>
    <w:rsid w:val="176EB053"/>
    <w:rsid w:val="176EE99A"/>
    <w:rsid w:val="176F410F"/>
    <w:rsid w:val="176F5C7B"/>
    <w:rsid w:val="176F9525"/>
    <w:rsid w:val="1770B331"/>
    <w:rsid w:val="1772632B"/>
    <w:rsid w:val="17728E1E"/>
    <w:rsid w:val="1772B4B8"/>
    <w:rsid w:val="17744024"/>
    <w:rsid w:val="177488BE"/>
    <w:rsid w:val="177524F0"/>
    <w:rsid w:val="17753B6A"/>
    <w:rsid w:val="17779664"/>
    <w:rsid w:val="1777EDD4"/>
    <w:rsid w:val="1779486F"/>
    <w:rsid w:val="177A8384"/>
    <w:rsid w:val="177AA376"/>
    <w:rsid w:val="177AD63A"/>
    <w:rsid w:val="177B19B4"/>
    <w:rsid w:val="177C5F1C"/>
    <w:rsid w:val="177C925E"/>
    <w:rsid w:val="177CF366"/>
    <w:rsid w:val="177CFE8C"/>
    <w:rsid w:val="177D1004"/>
    <w:rsid w:val="177E00CA"/>
    <w:rsid w:val="177E861A"/>
    <w:rsid w:val="177F1D30"/>
    <w:rsid w:val="177FDD64"/>
    <w:rsid w:val="177FE3E4"/>
    <w:rsid w:val="17800B7A"/>
    <w:rsid w:val="17801B5A"/>
    <w:rsid w:val="17802422"/>
    <w:rsid w:val="17804DEF"/>
    <w:rsid w:val="17811ED9"/>
    <w:rsid w:val="17815B7A"/>
    <w:rsid w:val="1782372F"/>
    <w:rsid w:val="17826328"/>
    <w:rsid w:val="1782F312"/>
    <w:rsid w:val="17830090"/>
    <w:rsid w:val="1783495F"/>
    <w:rsid w:val="17839CFC"/>
    <w:rsid w:val="1783DDD3"/>
    <w:rsid w:val="1783EE9D"/>
    <w:rsid w:val="17848E66"/>
    <w:rsid w:val="1784ABD6"/>
    <w:rsid w:val="1784C0C2"/>
    <w:rsid w:val="1785BC80"/>
    <w:rsid w:val="17860FDC"/>
    <w:rsid w:val="178682A6"/>
    <w:rsid w:val="178765C4"/>
    <w:rsid w:val="1787E0E6"/>
    <w:rsid w:val="17883B85"/>
    <w:rsid w:val="17886C4E"/>
    <w:rsid w:val="17889022"/>
    <w:rsid w:val="1788AA30"/>
    <w:rsid w:val="17894B96"/>
    <w:rsid w:val="17897B02"/>
    <w:rsid w:val="1789B28A"/>
    <w:rsid w:val="1789C9C6"/>
    <w:rsid w:val="178A1F59"/>
    <w:rsid w:val="178A4A41"/>
    <w:rsid w:val="178A845A"/>
    <w:rsid w:val="178B7381"/>
    <w:rsid w:val="178C7238"/>
    <w:rsid w:val="178D84A0"/>
    <w:rsid w:val="178DCB44"/>
    <w:rsid w:val="178E56E3"/>
    <w:rsid w:val="178E5BF8"/>
    <w:rsid w:val="178EC628"/>
    <w:rsid w:val="178EED25"/>
    <w:rsid w:val="178F7C6D"/>
    <w:rsid w:val="179079FB"/>
    <w:rsid w:val="17913C05"/>
    <w:rsid w:val="17916DFD"/>
    <w:rsid w:val="17923CB6"/>
    <w:rsid w:val="1792408C"/>
    <w:rsid w:val="17928095"/>
    <w:rsid w:val="1792FA54"/>
    <w:rsid w:val="17949857"/>
    <w:rsid w:val="17952237"/>
    <w:rsid w:val="17955167"/>
    <w:rsid w:val="17972927"/>
    <w:rsid w:val="1797C50F"/>
    <w:rsid w:val="17990FB4"/>
    <w:rsid w:val="17991751"/>
    <w:rsid w:val="179A1D9A"/>
    <w:rsid w:val="179A709A"/>
    <w:rsid w:val="179AB3FD"/>
    <w:rsid w:val="179BA072"/>
    <w:rsid w:val="179BC43A"/>
    <w:rsid w:val="179E671E"/>
    <w:rsid w:val="179EE432"/>
    <w:rsid w:val="179F79A5"/>
    <w:rsid w:val="179FCFF4"/>
    <w:rsid w:val="179FD303"/>
    <w:rsid w:val="17A14148"/>
    <w:rsid w:val="17A22B2B"/>
    <w:rsid w:val="17A25D70"/>
    <w:rsid w:val="17A3ABF1"/>
    <w:rsid w:val="17A43300"/>
    <w:rsid w:val="17A4A11F"/>
    <w:rsid w:val="17A54B40"/>
    <w:rsid w:val="17A57AA3"/>
    <w:rsid w:val="17A5C27D"/>
    <w:rsid w:val="17A7D671"/>
    <w:rsid w:val="17A87A64"/>
    <w:rsid w:val="17A8A42D"/>
    <w:rsid w:val="17A8E983"/>
    <w:rsid w:val="17AA49A2"/>
    <w:rsid w:val="17AC5F28"/>
    <w:rsid w:val="17AC8A95"/>
    <w:rsid w:val="17AC93DC"/>
    <w:rsid w:val="17AE0B05"/>
    <w:rsid w:val="17AE3401"/>
    <w:rsid w:val="17AE3C6E"/>
    <w:rsid w:val="17AE6EFC"/>
    <w:rsid w:val="17AF2A32"/>
    <w:rsid w:val="17AF3DE6"/>
    <w:rsid w:val="17B082BD"/>
    <w:rsid w:val="17B0A61B"/>
    <w:rsid w:val="17B33592"/>
    <w:rsid w:val="17B393D4"/>
    <w:rsid w:val="17B40CB7"/>
    <w:rsid w:val="17B454A8"/>
    <w:rsid w:val="17B4CC5E"/>
    <w:rsid w:val="17B5E078"/>
    <w:rsid w:val="17B61220"/>
    <w:rsid w:val="17B8097D"/>
    <w:rsid w:val="17B8263B"/>
    <w:rsid w:val="17B910D2"/>
    <w:rsid w:val="17B9DADB"/>
    <w:rsid w:val="17BA684E"/>
    <w:rsid w:val="17BB85BD"/>
    <w:rsid w:val="17BB9F36"/>
    <w:rsid w:val="17BC8FF4"/>
    <w:rsid w:val="17BE064D"/>
    <w:rsid w:val="17BF137C"/>
    <w:rsid w:val="17BFD2CC"/>
    <w:rsid w:val="17C00EDC"/>
    <w:rsid w:val="17C0C93A"/>
    <w:rsid w:val="17C1351A"/>
    <w:rsid w:val="17C204A2"/>
    <w:rsid w:val="17C2C2CE"/>
    <w:rsid w:val="17C2DD4C"/>
    <w:rsid w:val="17C32D1A"/>
    <w:rsid w:val="17C34A7E"/>
    <w:rsid w:val="17C43CFA"/>
    <w:rsid w:val="17C4B397"/>
    <w:rsid w:val="17C532B8"/>
    <w:rsid w:val="17C65268"/>
    <w:rsid w:val="17C8105D"/>
    <w:rsid w:val="17C84295"/>
    <w:rsid w:val="17C8741B"/>
    <w:rsid w:val="17C950E3"/>
    <w:rsid w:val="17C978D1"/>
    <w:rsid w:val="17C9DFA8"/>
    <w:rsid w:val="17CAC996"/>
    <w:rsid w:val="17CB3DA7"/>
    <w:rsid w:val="17CB9ABA"/>
    <w:rsid w:val="17CBE1D0"/>
    <w:rsid w:val="17CE8770"/>
    <w:rsid w:val="17CF4657"/>
    <w:rsid w:val="17D0D861"/>
    <w:rsid w:val="17D2206F"/>
    <w:rsid w:val="17D2C1D7"/>
    <w:rsid w:val="17D350F4"/>
    <w:rsid w:val="17D3582E"/>
    <w:rsid w:val="17D4B4E5"/>
    <w:rsid w:val="17D533AE"/>
    <w:rsid w:val="17D6218C"/>
    <w:rsid w:val="17D710D8"/>
    <w:rsid w:val="17D71743"/>
    <w:rsid w:val="17D722DD"/>
    <w:rsid w:val="17D7834B"/>
    <w:rsid w:val="17D78EA5"/>
    <w:rsid w:val="17D856E9"/>
    <w:rsid w:val="17D86250"/>
    <w:rsid w:val="17D9061E"/>
    <w:rsid w:val="17D90EA2"/>
    <w:rsid w:val="17D956BD"/>
    <w:rsid w:val="17D95C97"/>
    <w:rsid w:val="17D97BF6"/>
    <w:rsid w:val="17D97E07"/>
    <w:rsid w:val="17D9BE6B"/>
    <w:rsid w:val="17D9C425"/>
    <w:rsid w:val="17DA90A5"/>
    <w:rsid w:val="17DB3BB9"/>
    <w:rsid w:val="17DC8F3F"/>
    <w:rsid w:val="17DD09AE"/>
    <w:rsid w:val="17DD16BB"/>
    <w:rsid w:val="17DD78FD"/>
    <w:rsid w:val="17DD8951"/>
    <w:rsid w:val="17DDBF68"/>
    <w:rsid w:val="17DDF811"/>
    <w:rsid w:val="17DE9713"/>
    <w:rsid w:val="17E017D3"/>
    <w:rsid w:val="17E17669"/>
    <w:rsid w:val="17E1B73A"/>
    <w:rsid w:val="17E30F57"/>
    <w:rsid w:val="17E3DEB2"/>
    <w:rsid w:val="17E3E066"/>
    <w:rsid w:val="17E407B5"/>
    <w:rsid w:val="17E512D7"/>
    <w:rsid w:val="17E59AF0"/>
    <w:rsid w:val="17E613DB"/>
    <w:rsid w:val="17E6AB74"/>
    <w:rsid w:val="17E89FAF"/>
    <w:rsid w:val="17E91F5A"/>
    <w:rsid w:val="17E92192"/>
    <w:rsid w:val="17E926F3"/>
    <w:rsid w:val="17E9C467"/>
    <w:rsid w:val="17EA3089"/>
    <w:rsid w:val="17EABC77"/>
    <w:rsid w:val="17EAFD6C"/>
    <w:rsid w:val="17EB04C7"/>
    <w:rsid w:val="17EB055B"/>
    <w:rsid w:val="17EB11FC"/>
    <w:rsid w:val="17EB82E6"/>
    <w:rsid w:val="17EB8FB8"/>
    <w:rsid w:val="17EB9E24"/>
    <w:rsid w:val="17ECAEDF"/>
    <w:rsid w:val="17ECD17F"/>
    <w:rsid w:val="17EDEC63"/>
    <w:rsid w:val="17EEF7BD"/>
    <w:rsid w:val="17EFC6A8"/>
    <w:rsid w:val="17F0094B"/>
    <w:rsid w:val="17F20E22"/>
    <w:rsid w:val="17F269B5"/>
    <w:rsid w:val="17F3B789"/>
    <w:rsid w:val="17F3E711"/>
    <w:rsid w:val="17F5F17E"/>
    <w:rsid w:val="17F6E10F"/>
    <w:rsid w:val="17F71ABE"/>
    <w:rsid w:val="17F9F392"/>
    <w:rsid w:val="17FA5A33"/>
    <w:rsid w:val="17FA9C5E"/>
    <w:rsid w:val="17FBA9D0"/>
    <w:rsid w:val="17FC73BA"/>
    <w:rsid w:val="17FCE387"/>
    <w:rsid w:val="17FDC624"/>
    <w:rsid w:val="17FDCA13"/>
    <w:rsid w:val="17FDCA65"/>
    <w:rsid w:val="17FE0000"/>
    <w:rsid w:val="17FFDA11"/>
    <w:rsid w:val="180143AF"/>
    <w:rsid w:val="18031298"/>
    <w:rsid w:val="1803B0BF"/>
    <w:rsid w:val="1806E27B"/>
    <w:rsid w:val="18075D91"/>
    <w:rsid w:val="18079EE4"/>
    <w:rsid w:val="1807A25D"/>
    <w:rsid w:val="1807DBDF"/>
    <w:rsid w:val="1808218A"/>
    <w:rsid w:val="1808B25A"/>
    <w:rsid w:val="1809F889"/>
    <w:rsid w:val="1809FE6E"/>
    <w:rsid w:val="180B7B03"/>
    <w:rsid w:val="180B9622"/>
    <w:rsid w:val="180BF0A9"/>
    <w:rsid w:val="180C545D"/>
    <w:rsid w:val="180CD151"/>
    <w:rsid w:val="180CD1DD"/>
    <w:rsid w:val="180DA7A7"/>
    <w:rsid w:val="180E02A6"/>
    <w:rsid w:val="180E72AE"/>
    <w:rsid w:val="180EDA19"/>
    <w:rsid w:val="180FD42A"/>
    <w:rsid w:val="181027B4"/>
    <w:rsid w:val="1810F877"/>
    <w:rsid w:val="1811D7D2"/>
    <w:rsid w:val="1812CD5E"/>
    <w:rsid w:val="1813147B"/>
    <w:rsid w:val="18134C69"/>
    <w:rsid w:val="1813DBA7"/>
    <w:rsid w:val="18142E5D"/>
    <w:rsid w:val="1814A3F2"/>
    <w:rsid w:val="1814A645"/>
    <w:rsid w:val="181598F0"/>
    <w:rsid w:val="1816EA70"/>
    <w:rsid w:val="18182E6C"/>
    <w:rsid w:val="18184653"/>
    <w:rsid w:val="1818980E"/>
    <w:rsid w:val="1818A07D"/>
    <w:rsid w:val="1818D024"/>
    <w:rsid w:val="1818F835"/>
    <w:rsid w:val="18190424"/>
    <w:rsid w:val="181A4DCC"/>
    <w:rsid w:val="181C2D10"/>
    <w:rsid w:val="181CD797"/>
    <w:rsid w:val="181D3F45"/>
    <w:rsid w:val="181DA9EB"/>
    <w:rsid w:val="181E1B46"/>
    <w:rsid w:val="181E3BB1"/>
    <w:rsid w:val="181E467F"/>
    <w:rsid w:val="181EB9A6"/>
    <w:rsid w:val="181EE2EC"/>
    <w:rsid w:val="181EE5CC"/>
    <w:rsid w:val="181F5F95"/>
    <w:rsid w:val="1820516B"/>
    <w:rsid w:val="18213F68"/>
    <w:rsid w:val="182172EC"/>
    <w:rsid w:val="18219637"/>
    <w:rsid w:val="1822CB99"/>
    <w:rsid w:val="1823B899"/>
    <w:rsid w:val="18248501"/>
    <w:rsid w:val="1824B79D"/>
    <w:rsid w:val="1824E021"/>
    <w:rsid w:val="1825B6A5"/>
    <w:rsid w:val="1825DC39"/>
    <w:rsid w:val="18273B4B"/>
    <w:rsid w:val="18277873"/>
    <w:rsid w:val="18282407"/>
    <w:rsid w:val="1828CEDB"/>
    <w:rsid w:val="1828FF81"/>
    <w:rsid w:val="182A1CE4"/>
    <w:rsid w:val="182A80B8"/>
    <w:rsid w:val="182AF169"/>
    <w:rsid w:val="182C2082"/>
    <w:rsid w:val="182C4AE0"/>
    <w:rsid w:val="182D2B7D"/>
    <w:rsid w:val="182D97E8"/>
    <w:rsid w:val="182ECFBD"/>
    <w:rsid w:val="182F148A"/>
    <w:rsid w:val="183045B5"/>
    <w:rsid w:val="18309B12"/>
    <w:rsid w:val="183133FF"/>
    <w:rsid w:val="18318466"/>
    <w:rsid w:val="18321BDE"/>
    <w:rsid w:val="18326988"/>
    <w:rsid w:val="1832C981"/>
    <w:rsid w:val="18330FB0"/>
    <w:rsid w:val="18331D88"/>
    <w:rsid w:val="1833CDAB"/>
    <w:rsid w:val="183403B5"/>
    <w:rsid w:val="1835BDC1"/>
    <w:rsid w:val="18367640"/>
    <w:rsid w:val="183830C4"/>
    <w:rsid w:val="1838F205"/>
    <w:rsid w:val="1839CBBB"/>
    <w:rsid w:val="183A1DDC"/>
    <w:rsid w:val="183A9C9A"/>
    <w:rsid w:val="183AB3C7"/>
    <w:rsid w:val="183AFA3A"/>
    <w:rsid w:val="183B75A7"/>
    <w:rsid w:val="183B7875"/>
    <w:rsid w:val="183BFC37"/>
    <w:rsid w:val="183C05BF"/>
    <w:rsid w:val="183C62E1"/>
    <w:rsid w:val="183C7D35"/>
    <w:rsid w:val="183D9CE7"/>
    <w:rsid w:val="183EC3F2"/>
    <w:rsid w:val="183ED750"/>
    <w:rsid w:val="183ED96D"/>
    <w:rsid w:val="183EEFD8"/>
    <w:rsid w:val="183F126A"/>
    <w:rsid w:val="183FCCEE"/>
    <w:rsid w:val="1840ABB6"/>
    <w:rsid w:val="1841639B"/>
    <w:rsid w:val="1841972E"/>
    <w:rsid w:val="184239A4"/>
    <w:rsid w:val="184277D2"/>
    <w:rsid w:val="1842FFA3"/>
    <w:rsid w:val="1843329E"/>
    <w:rsid w:val="1843838E"/>
    <w:rsid w:val="1843FC46"/>
    <w:rsid w:val="184536EB"/>
    <w:rsid w:val="18455659"/>
    <w:rsid w:val="1845651E"/>
    <w:rsid w:val="18458082"/>
    <w:rsid w:val="1846226D"/>
    <w:rsid w:val="1846C996"/>
    <w:rsid w:val="18471522"/>
    <w:rsid w:val="1847CC77"/>
    <w:rsid w:val="1847D65C"/>
    <w:rsid w:val="1848188B"/>
    <w:rsid w:val="1848756D"/>
    <w:rsid w:val="184946F4"/>
    <w:rsid w:val="18499771"/>
    <w:rsid w:val="184B6333"/>
    <w:rsid w:val="184EC4F3"/>
    <w:rsid w:val="184ECC0A"/>
    <w:rsid w:val="184FB5C6"/>
    <w:rsid w:val="1851E682"/>
    <w:rsid w:val="1855C691"/>
    <w:rsid w:val="1856EC39"/>
    <w:rsid w:val="185713E2"/>
    <w:rsid w:val="18583DBE"/>
    <w:rsid w:val="18583F63"/>
    <w:rsid w:val="1858EF19"/>
    <w:rsid w:val="18590598"/>
    <w:rsid w:val="1859206B"/>
    <w:rsid w:val="1859BBE3"/>
    <w:rsid w:val="1859C3BC"/>
    <w:rsid w:val="1859D62F"/>
    <w:rsid w:val="185AF859"/>
    <w:rsid w:val="185BD91A"/>
    <w:rsid w:val="185CEEAD"/>
    <w:rsid w:val="185D2D58"/>
    <w:rsid w:val="185D72E4"/>
    <w:rsid w:val="185EAA84"/>
    <w:rsid w:val="185F5DE3"/>
    <w:rsid w:val="18602CEF"/>
    <w:rsid w:val="186120A6"/>
    <w:rsid w:val="186126B0"/>
    <w:rsid w:val="18615D2A"/>
    <w:rsid w:val="186211B1"/>
    <w:rsid w:val="18624ED9"/>
    <w:rsid w:val="18626BE4"/>
    <w:rsid w:val="18628E69"/>
    <w:rsid w:val="1862BC2F"/>
    <w:rsid w:val="1863680C"/>
    <w:rsid w:val="1864C9DE"/>
    <w:rsid w:val="18659B5F"/>
    <w:rsid w:val="186663CA"/>
    <w:rsid w:val="1867132F"/>
    <w:rsid w:val="1867398D"/>
    <w:rsid w:val="186760EF"/>
    <w:rsid w:val="18686DDB"/>
    <w:rsid w:val="186B1753"/>
    <w:rsid w:val="186B51D8"/>
    <w:rsid w:val="186C597B"/>
    <w:rsid w:val="186C875E"/>
    <w:rsid w:val="186CBC9E"/>
    <w:rsid w:val="186D6392"/>
    <w:rsid w:val="186E1DDA"/>
    <w:rsid w:val="186E9386"/>
    <w:rsid w:val="186E9DB5"/>
    <w:rsid w:val="186F0E82"/>
    <w:rsid w:val="186FE1BC"/>
    <w:rsid w:val="1870C722"/>
    <w:rsid w:val="1871A664"/>
    <w:rsid w:val="18727D01"/>
    <w:rsid w:val="1872F4AF"/>
    <w:rsid w:val="18732B84"/>
    <w:rsid w:val="18747AC7"/>
    <w:rsid w:val="18754DC5"/>
    <w:rsid w:val="18762DC7"/>
    <w:rsid w:val="18767C5D"/>
    <w:rsid w:val="1876F501"/>
    <w:rsid w:val="18771334"/>
    <w:rsid w:val="18772FF2"/>
    <w:rsid w:val="1879532A"/>
    <w:rsid w:val="1879591E"/>
    <w:rsid w:val="18795E06"/>
    <w:rsid w:val="187986E2"/>
    <w:rsid w:val="187A353C"/>
    <w:rsid w:val="187A9973"/>
    <w:rsid w:val="187C4DAC"/>
    <w:rsid w:val="187CD9DA"/>
    <w:rsid w:val="187DCB58"/>
    <w:rsid w:val="187F40C7"/>
    <w:rsid w:val="18815ED6"/>
    <w:rsid w:val="1882799A"/>
    <w:rsid w:val="188308AF"/>
    <w:rsid w:val="18839676"/>
    <w:rsid w:val="1884811C"/>
    <w:rsid w:val="1885254A"/>
    <w:rsid w:val="1885A178"/>
    <w:rsid w:val="1886C114"/>
    <w:rsid w:val="1887FDCD"/>
    <w:rsid w:val="18880A3C"/>
    <w:rsid w:val="1888A72D"/>
    <w:rsid w:val="1888AF3D"/>
    <w:rsid w:val="1888B19D"/>
    <w:rsid w:val="1889ABB2"/>
    <w:rsid w:val="1889D9D7"/>
    <w:rsid w:val="188A6B7D"/>
    <w:rsid w:val="188AACD8"/>
    <w:rsid w:val="188B51B9"/>
    <w:rsid w:val="188B59A7"/>
    <w:rsid w:val="188B606B"/>
    <w:rsid w:val="188BA63B"/>
    <w:rsid w:val="188BF94C"/>
    <w:rsid w:val="188C3FF5"/>
    <w:rsid w:val="188C6823"/>
    <w:rsid w:val="188C6EE6"/>
    <w:rsid w:val="188D51B4"/>
    <w:rsid w:val="188F452A"/>
    <w:rsid w:val="188F8D64"/>
    <w:rsid w:val="1890706E"/>
    <w:rsid w:val="18918211"/>
    <w:rsid w:val="189305AC"/>
    <w:rsid w:val="1894F051"/>
    <w:rsid w:val="18959ABB"/>
    <w:rsid w:val="1895FFFB"/>
    <w:rsid w:val="1898E17A"/>
    <w:rsid w:val="18999FB5"/>
    <w:rsid w:val="1899F6CA"/>
    <w:rsid w:val="189A89A4"/>
    <w:rsid w:val="189ABBCE"/>
    <w:rsid w:val="189BDF5A"/>
    <w:rsid w:val="189C09FB"/>
    <w:rsid w:val="189C2413"/>
    <w:rsid w:val="189E51DD"/>
    <w:rsid w:val="189EA456"/>
    <w:rsid w:val="189ED2C4"/>
    <w:rsid w:val="189F14E6"/>
    <w:rsid w:val="189F2494"/>
    <w:rsid w:val="189F7457"/>
    <w:rsid w:val="189F9B52"/>
    <w:rsid w:val="189FFD0E"/>
    <w:rsid w:val="18A089DE"/>
    <w:rsid w:val="18A1633C"/>
    <w:rsid w:val="18A1D36E"/>
    <w:rsid w:val="18A295EC"/>
    <w:rsid w:val="18A3409A"/>
    <w:rsid w:val="18A4B43D"/>
    <w:rsid w:val="18A4CD65"/>
    <w:rsid w:val="18A53A8D"/>
    <w:rsid w:val="18A5483B"/>
    <w:rsid w:val="18A63314"/>
    <w:rsid w:val="18A7CE43"/>
    <w:rsid w:val="18A85DE4"/>
    <w:rsid w:val="18A8A9E4"/>
    <w:rsid w:val="18A8BE1E"/>
    <w:rsid w:val="18A8C2D3"/>
    <w:rsid w:val="18A9555C"/>
    <w:rsid w:val="18A95A7C"/>
    <w:rsid w:val="18AA06BA"/>
    <w:rsid w:val="18AA196E"/>
    <w:rsid w:val="18AA4212"/>
    <w:rsid w:val="18AA6A8C"/>
    <w:rsid w:val="18AB26CF"/>
    <w:rsid w:val="18ABFDDA"/>
    <w:rsid w:val="18ACB1F5"/>
    <w:rsid w:val="18ACB238"/>
    <w:rsid w:val="18ACFC6D"/>
    <w:rsid w:val="18ADC4C1"/>
    <w:rsid w:val="18AE4E2E"/>
    <w:rsid w:val="18AE63FE"/>
    <w:rsid w:val="18AF2AEE"/>
    <w:rsid w:val="18AFE70F"/>
    <w:rsid w:val="18AFFC16"/>
    <w:rsid w:val="18B03F93"/>
    <w:rsid w:val="18B1D06C"/>
    <w:rsid w:val="18B1D874"/>
    <w:rsid w:val="18B1E0F7"/>
    <w:rsid w:val="18B2EB01"/>
    <w:rsid w:val="18B39939"/>
    <w:rsid w:val="18B39944"/>
    <w:rsid w:val="18B43971"/>
    <w:rsid w:val="18B5A46D"/>
    <w:rsid w:val="18B6A021"/>
    <w:rsid w:val="18B7756A"/>
    <w:rsid w:val="18B961AD"/>
    <w:rsid w:val="18BA503F"/>
    <w:rsid w:val="18BAC64E"/>
    <w:rsid w:val="18BB437D"/>
    <w:rsid w:val="18BB5159"/>
    <w:rsid w:val="18BC461F"/>
    <w:rsid w:val="18BDC2BC"/>
    <w:rsid w:val="18BFA89C"/>
    <w:rsid w:val="18BFC178"/>
    <w:rsid w:val="18C031C5"/>
    <w:rsid w:val="18C06CEB"/>
    <w:rsid w:val="18C09F05"/>
    <w:rsid w:val="18C1F3FC"/>
    <w:rsid w:val="18C3531D"/>
    <w:rsid w:val="18C3A10A"/>
    <w:rsid w:val="18C3A473"/>
    <w:rsid w:val="18C3CAEC"/>
    <w:rsid w:val="18C3CB2E"/>
    <w:rsid w:val="18C44A7D"/>
    <w:rsid w:val="18C45BD5"/>
    <w:rsid w:val="18C49F7C"/>
    <w:rsid w:val="18C4B49D"/>
    <w:rsid w:val="18C59A71"/>
    <w:rsid w:val="18C61FE9"/>
    <w:rsid w:val="18C64328"/>
    <w:rsid w:val="18C7B68D"/>
    <w:rsid w:val="18C8BB93"/>
    <w:rsid w:val="18CA9BFA"/>
    <w:rsid w:val="18CBD2B0"/>
    <w:rsid w:val="18CBEADD"/>
    <w:rsid w:val="18CBF6A6"/>
    <w:rsid w:val="18CC5F9A"/>
    <w:rsid w:val="18CC8732"/>
    <w:rsid w:val="18CCACB0"/>
    <w:rsid w:val="18CCFBF9"/>
    <w:rsid w:val="18CE26F6"/>
    <w:rsid w:val="18D05557"/>
    <w:rsid w:val="18D0B0BA"/>
    <w:rsid w:val="18D0B9CF"/>
    <w:rsid w:val="18D0FD82"/>
    <w:rsid w:val="18D1BD92"/>
    <w:rsid w:val="18D1F04B"/>
    <w:rsid w:val="18D27A14"/>
    <w:rsid w:val="18D28CEF"/>
    <w:rsid w:val="18D2F826"/>
    <w:rsid w:val="18D350E4"/>
    <w:rsid w:val="18D39C80"/>
    <w:rsid w:val="18D3E878"/>
    <w:rsid w:val="18D4A50B"/>
    <w:rsid w:val="18D4F4C7"/>
    <w:rsid w:val="18D52B3A"/>
    <w:rsid w:val="18D53EC9"/>
    <w:rsid w:val="18D54A2D"/>
    <w:rsid w:val="18D582EC"/>
    <w:rsid w:val="18D5838E"/>
    <w:rsid w:val="18D5A3B2"/>
    <w:rsid w:val="18D5B50F"/>
    <w:rsid w:val="18D6C941"/>
    <w:rsid w:val="18D7B9FF"/>
    <w:rsid w:val="18D84A8F"/>
    <w:rsid w:val="18D978B6"/>
    <w:rsid w:val="18D98E8F"/>
    <w:rsid w:val="18D9F41D"/>
    <w:rsid w:val="18DAE3D1"/>
    <w:rsid w:val="18DB31D5"/>
    <w:rsid w:val="18DB4BB9"/>
    <w:rsid w:val="18DB540B"/>
    <w:rsid w:val="18DC5758"/>
    <w:rsid w:val="18DC8D5B"/>
    <w:rsid w:val="18DCCCB3"/>
    <w:rsid w:val="18DD3E9F"/>
    <w:rsid w:val="18DE0612"/>
    <w:rsid w:val="18DE523A"/>
    <w:rsid w:val="18DEF2E9"/>
    <w:rsid w:val="18DF8FCC"/>
    <w:rsid w:val="18E058E4"/>
    <w:rsid w:val="18E079AD"/>
    <w:rsid w:val="18E0F833"/>
    <w:rsid w:val="18E134CF"/>
    <w:rsid w:val="18E29739"/>
    <w:rsid w:val="18E563A8"/>
    <w:rsid w:val="18E5D3BC"/>
    <w:rsid w:val="18E606F1"/>
    <w:rsid w:val="18E6E8E7"/>
    <w:rsid w:val="18E80ADF"/>
    <w:rsid w:val="18E86184"/>
    <w:rsid w:val="18E86713"/>
    <w:rsid w:val="18E8D027"/>
    <w:rsid w:val="18E970A8"/>
    <w:rsid w:val="18E97DD3"/>
    <w:rsid w:val="18EB2B3B"/>
    <w:rsid w:val="18EBC2C4"/>
    <w:rsid w:val="18EC7B4D"/>
    <w:rsid w:val="18EDB79F"/>
    <w:rsid w:val="18EF662A"/>
    <w:rsid w:val="18F1E8E1"/>
    <w:rsid w:val="18F3A441"/>
    <w:rsid w:val="18F42799"/>
    <w:rsid w:val="18F53A7A"/>
    <w:rsid w:val="18F5557A"/>
    <w:rsid w:val="18F665EF"/>
    <w:rsid w:val="18F6E766"/>
    <w:rsid w:val="18F71ED8"/>
    <w:rsid w:val="18F833AC"/>
    <w:rsid w:val="18F8507C"/>
    <w:rsid w:val="18F967C8"/>
    <w:rsid w:val="18FA0692"/>
    <w:rsid w:val="18FB73DE"/>
    <w:rsid w:val="18FCC55D"/>
    <w:rsid w:val="18FCEB98"/>
    <w:rsid w:val="18FD3A22"/>
    <w:rsid w:val="18FD6AB7"/>
    <w:rsid w:val="18FEF921"/>
    <w:rsid w:val="18FF4E0F"/>
    <w:rsid w:val="18FF53EA"/>
    <w:rsid w:val="1901CFB1"/>
    <w:rsid w:val="1902195C"/>
    <w:rsid w:val="19022A83"/>
    <w:rsid w:val="19023C12"/>
    <w:rsid w:val="19024035"/>
    <w:rsid w:val="19027835"/>
    <w:rsid w:val="19027C04"/>
    <w:rsid w:val="19031EF4"/>
    <w:rsid w:val="190367ED"/>
    <w:rsid w:val="19040497"/>
    <w:rsid w:val="19044890"/>
    <w:rsid w:val="19049EB3"/>
    <w:rsid w:val="1905765C"/>
    <w:rsid w:val="19060F8B"/>
    <w:rsid w:val="1907B328"/>
    <w:rsid w:val="19083409"/>
    <w:rsid w:val="19083C5E"/>
    <w:rsid w:val="1908B378"/>
    <w:rsid w:val="1908C50E"/>
    <w:rsid w:val="1908FB2D"/>
    <w:rsid w:val="190A0E75"/>
    <w:rsid w:val="190A352F"/>
    <w:rsid w:val="190B6AB1"/>
    <w:rsid w:val="190BCA71"/>
    <w:rsid w:val="190C2DE3"/>
    <w:rsid w:val="190C4434"/>
    <w:rsid w:val="190C4CEA"/>
    <w:rsid w:val="190CA706"/>
    <w:rsid w:val="190EFBAD"/>
    <w:rsid w:val="190F6EEF"/>
    <w:rsid w:val="190F8515"/>
    <w:rsid w:val="1910182B"/>
    <w:rsid w:val="19101E12"/>
    <w:rsid w:val="19118128"/>
    <w:rsid w:val="19118F7D"/>
    <w:rsid w:val="19119D33"/>
    <w:rsid w:val="1912389E"/>
    <w:rsid w:val="19127075"/>
    <w:rsid w:val="19129319"/>
    <w:rsid w:val="191383D8"/>
    <w:rsid w:val="1913B02F"/>
    <w:rsid w:val="19140A67"/>
    <w:rsid w:val="19144A5E"/>
    <w:rsid w:val="1914CA6B"/>
    <w:rsid w:val="1914F990"/>
    <w:rsid w:val="191610FB"/>
    <w:rsid w:val="1916A990"/>
    <w:rsid w:val="1916D1D7"/>
    <w:rsid w:val="191710B9"/>
    <w:rsid w:val="19172964"/>
    <w:rsid w:val="1917838C"/>
    <w:rsid w:val="1917891C"/>
    <w:rsid w:val="191795FE"/>
    <w:rsid w:val="191B416E"/>
    <w:rsid w:val="191B5E3F"/>
    <w:rsid w:val="191B67FC"/>
    <w:rsid w:val="191B7D86"/>
    <w:rsid w:val="191BBFBD"/>
    <w:rsid w:val="191C3BEA"/>
    <w:rsid w:val="191DC2D6"/>
    <w:rsid w:val="191E4CC5"/>
    <w:rsid w:val="191E4F5F"/>
    <w:rsid w:val="191EB143"/>
    <w:rsid w:val="191F4B41"/>
    <w:rsid w:val="191FAA0A"/>
    <w:rsid w:val="191FD271"/>
    <w:rsid w:val="19206C14"/>
    <w:rsid w:val="19207926"/>
    <w:rsid w:val="19207C37"/>
    <w:rsid w:val="19208737"/>
    <w:rsid w:val="1920C6ED"/>
    <w:rsid w:val="1920E696"/>
    <w:rsid w:val="1921345D"/>
    <w:rsid w:val="1922062A"/>
    <w:rsid w:val="1922E94F"/>
    <w:rsid w:val="1923493D"/>
    <w:rsid w:val="19238FFB"/>
    <w:rsid w:val="1923BF6C"/>
    <w:rsid w:val="19242700"/>
    <w:rsid w:val="1924ACE1"/>
    <w:rsid w:val="1924DB49"/>
    <w:rsid w:val="1924E34E"/>
    <w:rsid w:val="1925C0A5"/>
    <w:rsid w:val="1926D9D0"/>
    <w:rsid w:val="1927D31A"/>
    <w:rsid w:val="1927E410"/>
    <w:rsid w:val="1928C8F1"/>
    <w:rsid w:val="192AEA13"/>
    <w:rsid w:val="192B7ABF"/>
    <w:rsid w:val="192CE722"/>
    <w:rsid w:val="192CF5DE"/>
    <w:rsid w:val="192D2D4E"/>
    <w:rsid w:val="192DF4EE"/>
    <w:rsid w:val="19303007"/>
    <w:rsid w:val="19307D13"/>
    <w:rsid w:val="19312347"/>
    <w:rsid w:val="193124B8"/>
    <w:rsid w:val="19315DCA"/>
    <w:rsid w:val="1931686E"/>
    <w:rsid w:val="1931CC9F"/>
    <w:rsid w:val="19324FCC"/>
    <w:rsid w:val="193314EA"/>
    <w:rsid w:val="19336FB4"/>
    <w:rsid w:val="193371E7"/>
    <w:rsid w:val="19358307"/>
    <w:rsid w:val="19358838"/>
    <w:rsid w:val="1936E56E"/>
    <w:rsid w:val="1936F570"/>
    <w:rsid w:val="1937DF1C"/>
    <w:rsid w:val="1937EFDE"/>
    <w:rsid w:val="1938A29B"/>
    <w:rsid w:val="193912CA"/>
    <w:rsid w:val="193A9F84"/>
    <w:rsid w:val="193AA869"/>
    <w:rsid w:val="193AAE5E"/>
    <w:rsid w:val="193B1A4B"/>
    <w:rsid w:val="193BFDEE"/>
    <w:rsid w:val="193C00D4"/>
    <w:rsid w:val="193C0338"/>
    <w:rsid w:val="193C3B21"/>
    <w:rsid w:val="193D8F9D"/>
    <w:rsid w:val="193DA547"/>
    <w:rsid w:val="193ECBD6"/>
    <w:rsid w:val="193F3BBE"/>
    <w:rsid w:val="1940414C"/>
    <w:rsid w:val="194171DF"/>
    <w:rsid w:val="19445766"/>
    <w:rsid w:val="1944E9DD"/>
    <w:rsid w:val="1949D571"/>
    <w:rsid w:val="194A3426"/>
    <w:rsid w:val="194B0688"/>
    <w:rsid w:val="194B3D87"/>
    <w:rsid w:val="194B4611"/>
    <w:rsid w:val="194DBF75"/>
    <w:rsid w:val="194E346A"/>
    <w:rsid w:val="194FFDF4"/>
    <w:rsid w:val="1951CDBE"/>
    <w:rsid w:val="195270B6"/>
    <w:rsid w:val="1952CB25"/>
    <w:rsid w:val="19531B4C"/>
    <w:rsid w:val="1953A590"/>
    <w:rsid w:val="195405A7"/>
    <w:rsid w:val="195429C1"/>
    <w:rsid w:val="1955061F"/>
    <w:rsid w:val="19551121"/>
    <w:rsid w:val="19551B19"/>
    <w:rsid w:val="1955AD2D"/>
    <w:rsid w:val="1956DE3C"/>
    <w:rsid w:val="19574C6E"/>
    <w:rsid w:val="19582370"/>
    <w:rsid w:val="19590BEA"/>
    <w:rsid w:val="1959863A"/>
    <w:rsid w:val="195B0F7B"/>
    <w:rsid w:val="195B90F9"/>
    <w:rsid w:val="195BD0CB"/>
    <w:rsid w:val="195BDB57"/>
    <w:rsid w:val="195C2871"/>
    <w:rsid w:val="195C9A01"/>
    <w:rsid w:val="195CDB53"/>
    <w:rsid w:val="195EC037"/>
    <w:rsid w:val="195F06DF"/>
    <w:rsid w:val="1960B3A5"/>
    <w:rsid w:val="19612CBB"/>
    <w:rsid w:val="19618E41"/>
    <w:rsid w:val="1961F837"/>
    <w:rsid w:val="1963B9B4"/>
    <w:rsid w:val="19647748"/>
    <w:rsid w:val="1964F3B1"/>
    <w:rsid w:val="19656399"/>
    <w:rsid w:val="19666C92"/>
    <w:rsid w:val="1967735B"/>
    <w:rsid w:val="1967994D"/>
    <w:rsid w:val="1967A8D1"/>
    <w:rsid w:val="1967BB56"/>
    <w:rsid w:val="1967CCF8"/>
    <w:rsid w:val="1968173E"/>
    <w:rsid w:val="196844E5"/>
    <w:rsid w:val="19685F49"/>
    <w:rsid w:val="196A2527"/>
    <w:rsid w:val="196AE39E"/>
    <w:rsid w:val="196BF4C5"/>
    <w:rsid w:val="196CD240"/>
    <w:rsid w:val="196D0C23"/>
    <w:rsid w:val="196D7C5D"/>
    <w:rsid w:val="196DBBA9"/>
    <w:rsid w:val="196DF88E"/>
    <w:rsid w:val="196E6212"/>
    <w:rsid w:val="196F45C0"/>
    <w:rsid w:val="196FA861"/>
    <w:rsid w:val="196FA8B2"/>
    <w:rsid w:val="19705E8F"/>
    <w:rsid w:val="1970FE32"/>
    <w:rsid w:val="197138E6"/>
    <w:rsid w:val="1971B78B"/>
    <w:rsid w:val="19729BC1"/>
    <w:rsid w:val="1972FEEB"/>
    <w:rsid w:val="197393B7"/>
    <w:rsid w:val="1973CC04"/>
    <w:rsid w:val="19747A68"/>
    <w:rsid w:val="1974A1C5"/>
    <w:rsid w:val="19753640"/>
    <w:rsid w:val="1975BB3C"/>
    <w:rsid w:val="19781526"/>
    <w:rsid w:val="197963D8"/>
    <w:rsid w:val="19799360"/>
    <w:rsid w:val="1979EBD9"/>
    <w:rsid w:val="1979F2DA"/>
    <w:rsid w:val="197A90F3"/>
    <w:rsid w:val="197ADC38"/>
    <w:rsid w:val="197B0DFA"/>
    <w:rsid w:val="197CA1B9"/>
    <w:rsid w:val="197D0AA3"/>
    <w:rsid w:val="197D498F"/>
    <w:rsid w:val="197DC9B3"/>
    <w:rsid w:val="197EBCF3"/>
    <w:rsid w:val="197EDA63"/>
    <w:rsid w:val="197FB9F3"/>
    <w:rsid w:val="197FDB80"/>
    <w:rsid w:val="19805775"/>
    <w:rsid w:val="1981788D"/>
    <w:rsid w:val="198306D1"/>
    <w:rsid w:val="1983D7D5"/>
    <w:rsid w:val="1983DCEB"/>
    <w:rsid w:val="19840378"/>
    <w:rsid w:val="19846C8C"/>
    <w:rsid w:val="1985AA84"/>
    <w:rsid w:val="1985C053"/>
    <w:rsid w:val="1985F6F3"/>
    <w:rsid w:val="19864318"/>
    <w:rsid w:val="19864CAC"/>
    <w:rsid w:val="198690B6"/>
    <w:rsid w:val="1987851D"/>
    <w:rsid w:val="1987B804"/>
    <w:rsid w:val="19888AA7"/>
    <w:rsid w:val="198A7A9F"/>
    <w:rsid w:val="198B13F4"/>
    <w:rsid w:val="198B4F6E"/>
    <w:rsid w:val="198CB8F6"/>
    <w:rsid w:val="198D0CC8"/>
    <w:rsid w:val="198D53C1"/>
    <w:rsid w:val="198D5B9E"/>
    <w:rsid w:val="198E9AB0"/>
    <w:rsid w:val="198F3606"/>
    <w:rsid w:val="199116EB"/>
    <w:rsid w:val="1991B625"/>
    <w:rsid w:val="1992038F"/>
    <w:rsid w:val="1994B3A1"/>
    <w:rsid w:val="1996C486"/>
    <w:rsid w:val="1996F1D3"/>
    <w:rsid w:val="1997866F"/>
    <w:rsid w:val="19988994"/>
    <w:rsid w:val="199912C7"/>
    <w:rsid w:val="199A64F8"/>
    <w:rsid w:val="199ADC94"/>
    <w:rsid w:val="199C8AF8"/>
    <w:rsid w:val="199D7151"/>
    <w:rsid w:val="199F0C84"/>
    <w:rsid w:val="199F68EB"/>
    <w:rsid w:val="19A0F363"/>
    <w:rsid w:val="19A18C66"/>
    <w:rsid w:val="19A20851"/>
    <w:rsid w:val="19A2C6D7"/>
    <w:rsid w:val="19A32B60"/>
    <w:rsid w:val="19A37547"/>
    <w:rsid w:val="19A3A35C"/>
    <w:rsid w:val="19A3F809"/>
    <w:rsid w:val="19A4BA67"/>
    <w:rsid w:val="19A6AD51"/>
    <w:rsid w:val="19A74B09"/>
    <w:rsid w:val="19A7C10A"/>
    <w:rsid w:val="19A8D3C8"/>
    <w:rsid w:val="19A8E9AA"/>
    <w:rsid w:val="19A98D09"/>
    <w:rsid w:val="19A9BBBF"/>
    <w:rsid w:val="19A9DC99"/>
    <w:rsid w:val="19AA6774"/>
    <w:rsid w:val="19AB53A5"/>
    <w:rsid w:val="19ABBB4A"/>
    <w:rsid w:val="19AC3766"/>
    <w:rsid w:val="19AC6178"/>
    <w:rsid w:val="19AC75EF"/>
    <w:rsid w:val="19AD67DD"/>
    <w:rsid w:val="19ADF534"/>
    <w:rsid w:val="19AE7856"/>
    <w:rsid w:val="19AF2682"/>
    <w:rsid w:val="19B0FBB6"/>
    <w:rsid w:val="19B2245F"/>
    <w:rsid w:val="19B25F77"/>
    <w:rsid w:val="19B33D0C"/>
    <w:rsid w:val="19B41573"/>
    <w:rsid w:val="19B4CBF9"/>
    <w:rsid w:val="19B4DBE1"/>
    <w:rsid w:val="19B5DBB4"/>
    <w:rsid w:val="19B7C28F"/>
    <w:rsid w:val="19B7D90A"/>
    <w:rsid w:val="19B987C7"/>
    <w:rsid w:val="19BB0E49"/>
    <w:rsid w:val="19BBF0FF"/>
    <w:rsid w:val="19BBFE19"/>
    <w:rsid w:val="19BC0382"/>
    <w:rsid w:val="19BC82F1"/>
    <w:rsid w:val="19BD21A2"/>
    <w:rsid w:val="19BE0CE9"/>
    <w:rsid w:val="19BF411E"/>
    <w:rsid w:val="19BFCF11"/>
    <w:rsid w:val="19BFE2ED"/>
    <w:rsid w:val="19C005C1"/>
    <w:rsid w:val="19C033BE"/>
    <w:rsid w:val="19C0435E"/>
    <w:rsid w:val="19C06494"/>
    <w:rsid w:val="19C0EC2A"/>
    <w:rsid w:val="19C0EF8C"/>
    <w:rsid w:val="19C1716C"/>
    <w:rsid w:val="19C2E20A"/>
    <w:rsid w:val="19C39F38"/>
    <w:rsid w:val="19C40139"/>
    <w:rsid w:val="19C5C769"/>
    <w:rsid w:val="19C5C855"/>
    <w:rsid w:val="19C751E0"/>
    <w:rsid w:val="19C7D1C3"/>
    <w:rsid w:val="19C8884C"/>
    <w:rsid w:val="19C8C3FB"/>
    <w:rsid w:val="19C8F92A"/>
    <w:rsid w:val="19C93578"/>
    <w:rsid w:val="19C9F07B"/>
    <w:rsid w:val="19CA8AA5"/>
    <w:rsid w:val="19CBD48B"/>
    <w:rsid w:val="19CBE7CF"/>
    <w:rsid w:val="19CC7110"/>
    <w:rsid w:val="19CCE32A"/>
    <w:rsid w:val="19CD0989"/>
    <w:rsid w:val="19CD8A12"/>
    <w:rsid w:val="19CE82AA"/>
    <w:rsid w:val="19CE9396"/>
    <w:rsid w:val="19CEFDC3"/>
    <w:rsid w:val="19CFB925"/>
    <w:rsid w:val="19D07EA5"/>
    <w:rsid w:val="19D21C2E"/>
    <w:rsid w:val="19D339CE"/>
    <w:rsid w:val="19D368D2"/>
    <w:rsid w:val="19D49900"/>
    <w:rsid w:val="19D4A44D"/>
    <w:rsid w:val="19D56186"/>
    <w:rsid w:val="19D57C76"/>
    <w:rsid w:val="19D57D27"/>
    <w:rsid w:val="19D59119"/>
    <w:rsid w:val="19D5DE82"/>
    <w:rsid w:val="19D67CE4"/>
    <w:rsid w:val="19D6C856"/>
    <w:rsid w:val="19D6CC0A"/>
    <w:rsid w:val="19D72C01"/>
    <w:rsid w:val="19D8F936"/>
    <w:rsid w:val="19DA2BF3"/>
    <w:rsid w:val="19DB4648"/>
    <w:rsid w:val="19DBA60D"/>
    <w:rsid w:val="19DBDE0C"/>
    <w:rsid w:val="19DD0FA4"/>
    <w:rsid w:val="19DD18EC"/>
    <w:rsid w:val="19DDDF9B"/>
    <w:rsid w:val="19DE6AD9"/>
    <w:rsid w:val="19DE7E54"/>
    <w:rsid w:val="19DF3636"/>
    <w:rsid w:val="19DFC4EB"/>
    <w:rsid w:val="19DFE8F9"/>
    <w:rsid w:val="19E00590"/>
    <w:rsid w:val="19E0609E"/>
    <w:rsid w:val="19E07C0A"/>
    <w:rsid w:val="19E10B36"/>
    <w:rsid w:val="19E156E9"/>
    <w:rsid w:val="19E27A14"/>
    <w:rsid w:val="19E27ABF"/>
    <w:rsid w:val="19E345F4"/>
    <w:rsid w:val="19E3BA97"/>
    <w:rsid w:val="19E3EE5E"/>
    <w:rsid w:val="19E416CF"/>
    <w:rsid w:val="19E45359"/>
    <w:rsid w:val="19E4DD3C"/>
    <w:rsid w:val="19E6823E"/>
    <w:rsid w:val="19E6898B"/>
    <w:rsid w:val="19E727A0"/>
    <w:rsid w:val="19E75734"/>
    <w:rsid w:val="19E7958A"/>
    <w:rsid w:val="19E81296"/>
    <w:rsid w:val="19E83FFF"/>
    <w:rsid w:val="19E84E0E"/>
    <w:rsid w:val="19E85D1F"/>
    <w:rsid w:val="19E915F6"/>
    <w:rsid w:val="19EA32C1"/>
    <w:rsid w:val="19EA35F5"/>
    <w:rsid w:val="19EA936C"/>
    <w:rsid w:val="19EAED8A"/>
    <w:rsid w:val="19EBA992"/>
    <w:rsid w:val="19EBAA80"/>
    <w:rsid w:val="19EC4648"/>
    <w:rsid w:val="19EC9237"/>
    <w:rsid w:val="19ED2C53"/>
    <w:rsid w:val="19ED7A32"/>
    <w:rsid w:val="19EDA38C"/>
    <w:rsid w:val="19EDFC08"/>
    <w:rsid w:val="19EE5B01"/>
    <w:rsid w:val="19EE7F9C"/>
    <w:rsid w:val="19EE9FBD"/>
    <w:rsid w:val="19EF84A8"/>
    <w:rsid w:val="19EF9EDE"/>
    <w:rsid w:val="19EFABB5"/>
    <w:rsid w:val="19EFAF82"/>
    <w:rsid w:val="19F00872"/>
    <w:rsid w:val="19F17D29"/>
    <w:rsid w:val="19F25AF2"/>
    <w:rsid w:val="19F28DD6"/>
    <w:rsid w:val="19F2D490"/>
    <w:rsid w:val="19F337D4"/>
    <w:rsid w:val="19F3EBB2"/>
    <w:rsid w:val="19F47CED"/>
    <w:rsid w:val="19F5637E"/>
    <w:rsid w:val="19F5DD66"/>
    <w:rsid w:val="19F64FE6"/>
    <w:rsid w:val="19F6A641"/>
    <w:rsid w:val="19F81B6C"/>
    <w:rsid w:val="19F88CFF"/>
    <w:rsid w:val="19F89C9C"/>
    <w:rsid w:val="19F91645"/>
    <w:rsid w:val="19F99F3B"/>
    <w:rsid w:val="19FBD5BC"/>
    <w:rsid w:val="19FC80DE"/>
    <w:rsid w:val="19FDBE6D"/>
    <w:rsid w:val="19FEAF4D"/>
    <w:rsid w:val="1A029BCB"/>
    <w:rsid w:val="1A02B798"/>
    <w:rsid w:val="1A02BCD3"/>
    <w:rsid w:val="1A042AEC"/>
    <w:rsid w:val="1A0498D3"/>
    <w:rsid w:val="1A04A901"/>
    <w:rsid w:val="1A056D43"/>
    <w:rsid w:val="1A05C62E"/>
    <w:rsid w:val="1A082148"/>
    <w:rsid w:val="1A091BDD"/>
    <w:rsid w:val="1A0922F5"/>
    <w:rsid w:val="1A0A58F8"/>
    <w:rsid w:val="1A0A6890"/>
    <w:rsid w:val="1A0B083D"/>
    <w:rsid w:val="1A0C487C"/>
    <w:rsid w:val="1A0C6A05"/>
    <w:rsid w:val="1A0D4A02"/>
    <w:rsid w:val="1A0D6580"/>
    <w:rsid w:val="1A0EA33F"/>
    <w:rsid w:val="1A0ECBD7"/>
    <w:rsid w:val="1A0EEC18"/>
    <w:rsid w:val="1A0F63EA"/>
    <w:rsid w:val="1A102FAC"/>
    <w:rsid w:val="1A107ED1"/>
    <w:rsid w:val="1A114C49"/>
    <w:rsid w:val="1A121D6E"/>
    <w:rsid w:val="1A12CDF9"/>
    <w:rsid w:val="1A1343DC"/>
    <w:rsid w:val="1A13F687"/>
    <w:rsid w:val="1A147AC5"/>
    <w:rsid w:val="1A14955C"/>
    <w:rsid w:val="1A14BE14"/>
    <w:rsid w:val="1A14C680"/>
    <w:rsid w:val="1A14F1DC"/>
    <w:rsid w:val="1A1575F8"/>
    <w:rsid w:val="1A16BB9C"/>
    <w:rsid w:val="1A17A05A"/>
    <w:rsid w:val="1A17B15E"/>
    <w:rsid w:val="1A17C78C"/>
    <w:rsid w:val="1A17DC0A"/>
    <w:rsid w:val="1A1981BF"/>
    <w:rsid w:val="1A19888A"/>
    <w:rsid w:val="1A19E676"/>
    <w:rsid w:val="1A1B015E"/>
    <w:rsid w:val="1A1B04BA"/>
    <w:rsid w:val="1A1CD14D"/>
    <w:rsid w:val="1A1D89AA"/>
    <w:rsid w:val="1A20B604"/>
    <w:rsid w:val="1A20D2C6"/>
    <w:rsid w:val="1A20D9BE"/>
    <w:rsid w:val="1A20DD02"/>
    <w:rsid w:val="1A21104A"/>
    <w:rsid w:val="1A213D0F"/>
    <w:rsid w:val="1A219926"/>
    <w:rsid w:val="1A21A7E7"/>
    <w:rsid w:val="1A21EF47"/>
    <w:rsid w:val="1A221BA2"/>
    <w:rsid w:val="1A2226EE"/>
    <w:rsid w:val="1A24042C"/>
    <w:rsid w:val="1A24225B"/>
    <w:rsid w:val="1A2451D1"/>
    <w:rsid w:val="1A2473B9"/>
    <w:rsid w:val="1A24F0BA"/>
    <w:rsid w:val="1A252AB4"/>
    <w:rsid w:val="1A277F4E"/>
    <w:rsid w:val="1A2866B0"/>
    <w:rsid w:val="1A2895FF"/>
    <w:rsid w:val="1A2A11E1"/>
    <w:rsid w:val="1A2B20FC"/>
    <w:rsid w:val="1A2B3F43"/>
    <w:rsid w:val="1A2B75DC"/>
    <w:rsid w:val="1A2DB949"/>
    <w:rsid w:val="1A2DC93B"/>
    <w:rsid w:val="1A3020BD"/>
    <w:rsid w:val="1A30C048"/>
    <w:rsid w:val="1A327F0D"/>
    <w:rsid w:val="1A332CDD"/>
    <w:rsid w:val="1A35B466"/>
    <w:rsid w:val="1A35DEE5"/>
    <w:rsid w:val="1A361AAB"/>
    <w:rsid w:val="1A3630BA"/>
    <w:rsid w:val="1A36F317"/>
    <w:rsid w:val="1A370D4A"/>
    <w:rsid w:val="1A37985F"/>
    <w:rsid w:val="1A379DEC"/>
    <w:rsid w:val="1A383BC9"/>
    <w:rsid w:val="1A3872DA"/>
    <w:rsid w:val="1A3927F7"/>
    <w:rsid w:val="1A39A4ED"/>
    <w:rsid w:val="1A3A3B39"/>
    <w:rsid w:val="1A3A5A0C"/>
    <w:rsid w:val="1A3B0DD4"/>
    <w:rsid w:val="1A3B5D73"/>
    <w:rsid w:val="1A3C08D6"/>
    <w:rsid w:val="1A3C3A96"/>
    <w:rsid w:val="1A3D161F"/>
    <w:rsid w:val="1A3D2A84"/>
    <w:rsid w:val="1A3E60D0"/>
    <w:rsid w:val="1A3E6CAF"/>
    <w:rsid w:val="1A3FD2CD"/>
    <w:rsid w:val="1A402405"/>
    <w:rsid w:val="1A413D03"/>
    <w:rsid w:val="1A427836"/>
    <w:rsid w:val="1A42DA76"/>
    <w:rsid w:val="1A43DE2B"/>
    <w:rsid w:val="1A453EF3"/>
    <w:rsid w:val="1A45734E"/>
    <w:rsid w:val="1A461B65"/>
    <w:rsid w:val="1A462269"/>
    <w:rsid w:val="1A46C578"/>
    <w:rsid w:val="1A470D17"/>
    <w:rsid w:val="1A471F3C"/>
    <w:rsid w:val="1A4741AB"/>
    <w:rsid w:val="1A47E7C9"/>
    <w:rsid w:val="1A483B1A"/>
    <w:rsid w:val="1A48E001"/>
    <w:rsid w:val="1A4904E3"/>
    <w:rsid w:val="1A493B2C"/>
    <w:rsid w:val="1A4944A5"/>
    <w:rsid w:val="1A496FD3"/>
    <w:rsid w:val="1A49B58E"/>
    <w:rsid w:val="1A4A56D1"/>
    <w:rsid w:val="1A4A96F0"/>
    <w:rsid w:val="1A4B9BAA"/>
    <w:rsid w:val="1A4BC714"/>
    <w:rsid w:val="1A4C35E0"/>
    <w:rsid w:val="1A4C9D0F"/>
    <w:rsid w:val="1A4D6C43"/>
    <w:rsid w:val="1A4D9999"/>
    <w:rsid w:val="1A4DA32D"/>
    <w:rsid w:val="1A4E021E"/>
    <w:rsid w:val="1A5010E0"/>
    <w:rsid w:val="1A5013E2"/>
    <w:rsid w:val="1A5091AD"/>
    <w:rsid w:val="1A50C9E4"/>
    <w:rsid w:val="1A516F51"/>
    <w:rsid w:val="1A523E8E"/>
    <w:rsid w:val="1A527816"/>
    <w:rsid w:val="1A52988B"/>
    <w:rsid w:val="1A52A9DF"/>
    <w:rsid w:val="1A539756"/>
    <w:rsid w:val="1A5443A8"/>
    <w:rsid w:val="1A54B2CD"/>
    <w:rsid w:val="1A54BF6D"/>
    <w:rsid w:val="1A54CA8E"/>
    <w:rsid w:val="1A5603DC"/>
    <w:rsid w:val="1A56C3C6"/>
    <w:rsid w:val="1A57811D"/>
    <w:rsid w:val="1A57CC07"/>
    <w:rsid w:val="1A57CE4A"/>
    <w:rsid w:val="1A57E898"/>
    <w:rsid w:val="1A58163A"/>
    <w:rsid w:val="1A587195"/>
    <w:rsid w:val="1A5945D2"/>
    <w:rsid w:val="1A595D55"/>
    <w:rsid w:val="1A597F0A"/>
    <w:rsid w:val="1A5A127E"/>
    <w:rsid w:val="1A5A1B6B"/>
    <w:rsid w:val="1A5A8762"/>
    <w:rsid w:val="1A5B78EB"/>
    <w:rsid w:val="1A5BE1C2"/>
    <w:rsid w:val="1A5C00A0"/>
    <w:rsid w:val="1A5CB8AC"/>
    <w:rsid w:val="1A5D02F0"/>
    <w:rsid w:val="1A5D8C80"/>
    <w:rsid w:val="1A5E2A1E"/>
    <w:rsid w:val="1A5E741C"/>
    <w:rsid w:val="1A5EBA28"/>
    <w:rsid w:val="1A5F4BE4"/>
    <w:rsid w:val="1A5FE555"/>
    <w:rsid w:val="1A60DD40"/>
    <w:rsid w:val="1A60F8A3"/>
    <w:rsid w:val="1A61E5DF"/>
    <w:rsid w:val="1A62C2A8"/>
    <w:rsid w:val="1A63AAEC"/>
    <w:rsid w:val="1A63EE14"/>
    <w:rsid w:val="1A64EF64"/>
    <w:rsid w:val="1A65AE63"/>
    <w:rsid w:val="1A65B6BE"/>
    <w:rsid w:val="1A65DEB5"/>
    <w:rsid w:val="1A66245B"/>
    <w:rsid w:val="1A667759"/>
    <w:rsid w:val="1A66EE43"/>
    <w:rsid w:val="1A672CBE"/>
    <w:rsid w:val="1A67FA11"/>
    <w:rsid w:val="1A681F14"/>
    <w:rsid w:val="1A6A2F09"/>
    <w:rsid w:val="1A6B4050"/>
    <w:rsid w:val="1A6B4648"/>
    <w:rsid w:val="1A6B6516"/>
    <w:rsid w:val="1A6D97D7"/>
    <w:rsid w:val="1A6DF9F7"/>
    <w:rsid w:val="1A6F5EA9"/>
    <w:rsid w:val="1A702A75"/>
    <w:rsid w:val="1A709B88"/>
    <w:rsid w:val="1A7181EC"/>
    <w:rsid w:val="1A72631E"/>
    <w:rsid w:val="1A7273A6"/>
    <w:rsid w:val="1A729C49"/>
    <w:rsid w:val="1A729C92"/>
    <w:rsid w:val="1A7324CE"/>
    <w:rsid w:val="1A733D90"/>
    <w:rsid w:val="1A73E72F"/>
    <w:rsid w:val="1A74D1F9"/>
    <w:rsid w:val="1A74F5CD"/>
    <w:rsid w:val="1A75B33A"/>
    <w:rsid w:val="1A760397"/>
    <w:rsid w:val="1A76423F"/>
    <w:rsid w:val="1A76B819"/>
    <w:rsid w:val="1A77D9C0"/>
    <w:rsid w:val="1A77EC6A"/>
    <w:rsid w:val="1A789D35"/>
    <w:rsid w:val="1A78B38B"/>
    <w:rsid w:val="1A78FD5B"/>
    <w:rsid w:val="1A790383"/>
    <w:rsid w:val="1A793C41"/>
    <w:rsid w:val="1A7957E6"/>
    <w:rsid w:val="1A7990A7"/>
    <w:rsid w:val="1A7A76C9"/>
    <w:rsid w:val="1A7A7AD6"/>
    <w:rsid w:val="1A7B9A38"/>
    <w:rsid w:val="1A7C28CB"/>
    <w:rsid w:val="1A7D0860"/>
    <w:rsid w:val="1A7D30F7"/>
    <w:rsid w:val="1A7D33E4"/>
    <w:rsid w:val="1A7D5982"/>
    <w:rsid w:val="1A7DB52F"/>
    <w:rsid w:val="1A7DEA06"/>
    <w:rsid w:val="1A7E438D"/>
    <w:rsid w:val="1A7E524B"/>
    <w:rsid w:val="1A7E5711"/>
    <w:rsid w:val="1A7E7A32"/>
    <w:rsid w:val="1A7E7F0B"/>
    <w:rsid w:val="1A7EAF2A"/>
    <w:rsid w:val="1A7F05DB"/>
    <w:rsid w:val="1A7F9CC1"/>
    <w:rsid w:val="1A7FCAEE"/>
    <w:rsid w:val="1A802D3F"/>
    <w:rsid w:val="1A80F3FB"/>
    <w:rsid w:val="1A828BD7"/>
    <w:rsid w:val="1A82D6DA"/>
    <w:rsid w:val="1A82F0A4"/>
    <w:rsid w:val="1A830BA0"/>
    <w:rsid w:val="1A8350C9"/>
    <w:rsid w:val="1A836B24"/>
    <w:rsid w:val="1A8479DE"/>
    <w:rsid w:val="1A85016A"/>
    <w:rsid w:val="1A853E46"/>
    <w:rsid w:val="1A85C6B2"/>
    <w:rsid w:val="1A864769"/>
    <w:rsid w:val="1A882DA1"/>
    <w:rsid w:val="1A883838"/>
    <w:rsid w:val="1A899CFC"/>
    <w:rsid w:val="1A8A3328"/>
    <w:rsid w:val="1A8B53B9"/>
    <w:rsid w:val="1A8C5072"/>
    <w:rsid w:val="1A8C6AA5"/>
    <w:rsid w:val="1A8C767D"/>
    <w:rsid w:val="1A8C77F6"/>
    <w:rsid w:val="1A8C81C2"/>
    <w:rsid w:val="1A8DAEC9"/>
    <w:rsid w:val="1A8E452C"/>
    <w:rsid w:val="1A8E5F8E"/>
    <w:rsid w:val="1A8E873C"/>
    <w:rsid w:val="1A8E8BAC"/>
    <w:rsid w:val="1A9017FD"/>
    <w:rsid w:val="1A90CA14"/>
    <w:rsid w:val="1A9125DB"/>
    <w:rsid w:val="1A9159A2"/>
    <w:rsid w:val="1A9193D2"/>
    <w:rsid w:val="1A91FC07"/>
    <w:rsid w:val="1A922CAE"/>
    <w:rsid w:val="1A9509B0"/>
    <w:rsid w:val="1A951475"/>
    <w:rsid w:val="1A95943D"/>
    <w:rsid w:val="1A9594B4"/>
    <w:rsid w:val="1A96BAF0"/>
    <w:rsid w:val="1A972053"/>
    <w:rsid w:val="1A97A871"/>
    <w:rsid w:val="1A992A94"/>
    <w:rsid w:val="1A9AAC11"/>
    <w:rsid w:val="1A9ABC5B"/>
    <w:rsid w:val="1A9AF115"/>
    <w:rsid w:val="1A9B1DAB"/>
    <w:rsid w:val="1A9CC106"/>
    <w:rsid w:val="1A9D1E6E"/>
    <w:rsid w:val="1A9D5FDB"/>
    <w:rsid w:val="1A9DEC10"/>
    <w:rsid w:val="1A9E4867"/>
    <w:rsid w:val="1A9E7DD8"/>
    <w:rsid w:val="1A9EC293"/>
    <w:rsid w:val="1A9F6892"/>
    <w:rsid w:val="1AA11F2F"/>
    <w:rsid w:val="1AA12043"/>
    <w:rsid w:val="1AA2DCA2"/>
    <w:rsid w:val="1AA3322B"/>
    <w:rsid w:val="1AA354F9"/>
    <w:rsid w:val="1AA47B4B"/>
    <w:rsid w:val="1AA53D52"/>
    <w:rsid w:val="1AA63DA7"/>
    <w:rsid w:val="1AA64FC7"/>
    <w:rsid w:val="1AA76A6A"/>
    <w:rsid w:val="1AA7AF4A"/>
    <w:rsid w:val="1AA8BA02"/>
    <w:rsid w:val="1AA8C63A"/>
    <w:rsid w:val="1AA959D0"/>
    <w:rsid w:val="1AA9623B"/>
    <w:rsid w:val="1AABBE09"/>
    <w:rsid w:val="1AAC62BD"/>
    <w:rsid w:val="1AACDE1A"/>
    <w:rsid w:val="1AADCEED"/>
    <w:rsid w:val="1AADECF8"/>
    <w:rsid w:val="1AAE243C"/>
    <w:rsid w:val="1AAE5E48"/>
    <w:rsid w:val="1AAF3B32"/>
    <w:rsid w:val="1AAF5194"/>
    <w:rsid w:val="1AB199E7"/>
    <w:rsid w:val="1AB3146A"/>
    <w:rsid w:val="1AB380B9"/>
    <w:rsid w:val="1AB3BFE9"/>
    <w:rsid w:val="1AB3DD14"/>
    <w:rsid w:val="1AB42F85"/>
    <w:rsid w:val="1AB43424"/>
    <w:rsid w:val="1AB444A1"/>
    <w:rsid w:val="1AB489A8"/>
    <w:rsid w:val="1AB4DBF9"/>
    <w:rsid w:val="1AB4DCB2"/>
    <w:rsid w:val="1AB5F640"/>
    <w:rsid w:val="1AB65988"/>
    <w:rsid w:val="1AB6BA32"/>
    <w:rsid w:val="1AB6CCAD"/>
    <w:rsid w:val="1AB7F237"/>
    <w:rsid w:val="1AB895FF"/>
    <w:rsid w:val="1AB9C3FB"/>
    <w:rsid w:val="1ABA133B"/>
    <w:rsid w:val="1ABA5C52"/>
    <w:rsid w:val="1ABC57C5"/>
    <w:rsid w:val="1ABD41F6"/>
    <w:rsid w:val="1ABD4B46"/>
    <w:rsid w:val="1ABE5B1A"/>
    <w:rsid w:val="1ABE8BAD"/>
    <w:rsid w:val="1ABEB776"/>
    <w:rsid w:val="1ABEE013"/>
    <w:rsid w:val="1ABEE325"/>
    <w:rsid w:val="1ABF1D3B"/>
    <w:rsid w:val="1AC01171"/>
    <w:rsid w:val="1AC14E1C"/>
    <w:rsid w:val="1AC1EE08"/>
    <w:rsid w:val="1AC21353"/>
    <w:rsid w:val="1AC2733F"/>
    <w:rsid w:val="1AC31970"/>
    <w:rsid w:val="1AC42DE9"/>
    <w:rsid w:val="1AC46521"/>
    <w:rsid w:val="1AC4CEE6"/>
    <w:rsid w:val="1AC51E21"/>
    <w:rsid w:val="1AC5459D"/>
    <w:rsid w:val="1AC6AE31"/>
    <w:rsid w:val="1AC77B16"/>
    <w:rsid w:val="1AC9136F"/>
    <w:rsid w:val="1AC91827"/>
    <w:rsid w:val="1AC93FAA"/>
    <w:rsid w:val="1AC9AD97"/>
    <w:rsid w:val="1ACA452D"/>
    <w:rsid w:val="1ACA50D0"/>
    <w:rsid w:val="1ACA90C2"/>
    <w:rsid w:val="1ACAC7A2"/>
    <w:rsid w:val="1ACC0C52"/>
    <w:rsid w:val="1ACCE048"/>
    <w:rsid w:val="1ACEA3CB"/>
    <w:rsid w:val="1ACFA85A"/>
    <w:rsid w:val="1ACFBEF8"/>
    <w:rsid w:val="1ACFC6B8"/>
    <w:rsid w:val="1AD05722"/>
    <w:rsid w:val="1AD0CF3A"/>
    <w:rsid w:val="1AD3271F"/>
    <w:rsid w:val="1AD3EBB3"/>
    <w:rsid w:val="1AD42ABD"/>
    <w:rsid w:val="1AD5008F"/>
    <w:rsid w:val="1AD60549"/>
    <w:rsid w:val="1AD6A247"/>
    <w:rsid w:val="1AD7ECFA"/>
    <w:rsid w:val="1ADBC9C5"/>
    <w:rsid w:val="1ADC41AC"/>
    <w:rsid w:val="1ADC5F93"/>
    <w:rsid w:val="1ADCB95F"/>
    <w:rsid w:val="1ADD1CF6"/>
    <w:rsid w:val="1ADD288B"/>
    <w:rsid w:val="1ADDB656"/>
    <w:rsid w:val="1AE11CC8"/>
    <w:rsid w:val="1AE15DF9"/>
    <w:rsid w:val="1AE1E3E2"/>
    <w:rsid w:val="1AE32E15"/>
    <w:rsid w:val="1AE35424"/>
    <w:rsid w:val="1AE5062B"/>
    <w:rsid w:val="1AE58F01"/>
    <w:rsid w:val="1AE66C62"/>
    <w:rsid w:val="1AE767E8"/>
    <w:rsid w:val="1AE7DCDF"/>
    <w:rsid w:val="1AE7F5AB"/>
    <w:rsid w:val="1AE807FA"/>
    <w:rsid w:val="1AE82212"/>
    <w:rsid w:val="1AE8A659"/>
    <w:rsid w:val="1AE9A2C1"/>
    <w:rsid w:val="1AEACA54"/>
    <w:rsid w:val="1AEBA060"/>
    <w:rsid w:val="1AEDAB56"/>
    <w:rsid w:val="1AEDDBA3"/>
    <w:rsid w:val="1AEE7CBB"/>
    <w:rsid w:val="1AEE885D"/>
    <w:rsid w:val="1AEE9EF0"/>
    <w:rsid w:val="1AF02A37"/>
    <w:rsid w:val="1AF036EE"/>
    <w:rsid w:val="1AF0E362"/>
    <w:rsid w:val="1AF14FA2"/>
    <w:rsid w:val="1AF22F27"/>
    <w:rsid w:val="1AF2AB92"/>
    <w:rsid w:val="1AF2CC70"/>
    <w:rsid w:val="1AF32F63"/>
    <w:rsid w:val="1AF33FF8"/>
    <w:rsid w:val="1AF3B899"/>
    <w:rsid w:val="1AF50679"/>
    <w:rsid w:val="1AF60CBF"/>
    <w:rsid w:val="1AF62249"/>
    <w:rsid w:val="1AF62BF1"/>
    <w:rsid w:val="1AF63EF2"/>
    <w:rsid w:val="1AF669F9"/>
    <w:rsid w:val="1AF83FB5"/>
    <w:rsid w:val="1AF8C5A8"/>
    <w:rsid w:val="1AF97284"/>
    <w:rsid w:val="1AFA158A"/>
    <w:rsid w:val="1AFA4DAB"/>
    <w:rsid w:val="1AFB72E6"/>
    <w:rsid w:val="1AFB7AE9"/>
    <w:rsid w:val="1AFC8606"/>
    <w:rsid w:val="1AFD6542"/>
    <w:rsid w:val="1AFE5AC3"/>
    <w:rsid w:val="1AFFEABF"/>
    <w:rsid w:val="1B006AA0"/>
    <w:rsid w:val="1B00B0FC"/>
    <w:rsid w:val="1B02B9FA"/>
    <w:rsid w:val="1B03BF74"/>
    <w:rsid w:val="1B041546"/>
    <w:rsid w:val="1B04A22D"/>
    <w:rsid w:val="1B04DEC9"/>
    <w:rsid w:val="1B058658"/>
    <w:rsid w:val="1B072EF8"/>
    <w:rsid w:val="1B073C46"/>
    <w:rsid w:val="1B08A613"/>
    <w:rsid w:val="1B08B646"/>
    <w:rsid w:val="1B09913A"/>
    <w:rsid w:val="1B0AB9D3"/>
    <w:rsid w:val="1B0AD964"/>
    <w:rsid w:val="1B0B6012"/>
    <w:rsid w:val="1B0C281D"/>
    <w:rsid w:val="1B0CE2A4"/>
    <w:rsid w:val="1B0CFD8B"/>
    <w:rsid w:val="1B0E0C63"/>
    <w:rsid w:val="1B0F7B78"/>
    <w:rsid w:val="1B0F8C49"/>
    <w:rsid w:val="1B0F91C8"/>
    <w:rsid w:val="1B104F5C"/>
    <w:rsid w:val="1B106AB3"/>
    <w:rsid w:val="1B109512"/>
    <w:rsid w:val="1B10AFA1"/>
    <w:rsid w:val="1B121832"/>
    <w:rsid w:val="1B127885"/>
    <w:rsid w:val="1B131F8D"/>
    <w:rsid w:val="1B13BC52"/>
    <w:rsid w:val="1B144A80"/>
    <w:rsid w:val="1B149EAB"/>
    <w:rsid w:val="1B14C498"/>
    <w:rsid w:val="1B15D427"/>
    <w:rsid w:val="1B1628DB"/>
    <w:rsid w:val="1B17B92B"/>
    <w:rsid w:val="1B18DCED"/>
    <w:rsid w:val="1B1A0E07"/>
    <w:rsid w:val="1B1A5249"/>
    <w:rsid w:val="1B1B4C56"/>
    <w:rsid w:val="1B1B566C"/>
    <w:rsid w:val="1B1D22EE"/>
    <w:rsid w:val="1B1DE650"/>
    <w:rsid w:val="1B1E4569"/>
    <w:rsid w:val="1B1E538F"/>
    <w:rsid w:val="1B1E5D96"/>
    <w:rsid w:val="1B1E8872"/>
    <w:rsid w:val="1B1EAD6B"/>
    <w:rsid w:val="1B20EB73"/>
    <w:rsid w:val="1B20EC37"/>
    <w:rsid w:val="1B20FC73"/>
    <w:rsid w:val="1B215411"/>
    <w:rsid w:val="1B21FA70"/>
    <w:rsid w:val="1B223FCD"/>
    <w:rsid w:val="1B22B882"/>
    <w:rsid w:val="1B23BFB2"/>
    <w:rsid w:val="1B23D456"/>
    <w:rsid w:val="1B2433D4"/>
    <w:rsid w:val="1B24E301"/>
    <w:rsid w:val="1B25A544"/>
    <w:rsid w:val="1B25A87F"/>
    <w:rsid w:val="1B2609C3"/>
    <w:rsid w:val="1B260D46"/>
    <w:rsid w:val="1B26700F"/>
    <w:rsid w:val="1B268C93"/>
    <w:rsid w:val="1B2708B0"/>
    <w:rsid w:val="1B274FE2"/>
    <w:rsid w:val="1B29F602"/>
    <w:rsid w:val="1B2A27AF"/>
    <w:rsid w:val="1B2A45B6"/>
    <w:rsid w:val="1B2A6D0B"/>
    <w:rsid w:val="1B2BB81B"/>
    <w:rsid w:val="1B2BFAAD"/>
    <w:rsid w:val="1B2C8BFB"/>
    <w:rsid w:val="1B2D6894"/>
    <w:rsid w:val="1B2D7309"/>
    <w:rsid w:val="1B2D7729"/>
    <w:rsid w:val="1B2EA373"/>
    <w:rsid w:val="1B2F6C76"/>
    <w:rsid w:val="1B2F8635"/>
    <w:rsid w:val="1B2FC7DA"/>
    <w:rsid w:val="1B302266"/>
    <w:rsid w:val="1B313E58"/>
    <w:rsid w:val="1B314C92"/>
    <w:rsid w:val="1B316C74"/>
    <w:rsid w:val="1B3336A8"/>
    <w:rsid w:val="1B3370CB"/>
    <w:rsid w:val="1B33C049"/>
    <w:rsid w:val="1B3585FB"/>
    <w:rsid w:val="1B366A3E"/>
    <w:rsid w:val="1B3910FC"/>
    <w:rsid w:val="1B3999FB"/>
    <w:rsid w:val="1B39AAD9"/>
    <w:rsid w:val="1B39B07C"/>
    <w:rsid w:val="1B3A4326"/>
    <w:rsid w:val="1B3A5DE2"/>
    <w:rsid w:val="1B3AA082"/>
    <w:rsid w:val="1B3B42F9"/>
    <w:rsid w:val="1B3B8A88"/>
    <w:rsid w:val="1B3C22C3"/>
    <w:rsid w:val="1B3CF088"/>
    <w:rsid w:val="1B3D25BC"/>
    <w:rsid w:val="1B3DF36C"/>
    <w:rsid w:val="1B3F606F"/>
    <w:rsid w:val="1B3FF1C9"/>
    <w:rsid w:val="1B40296A"/>
    <w:rsid w:val="1B40C2D8"/>
    <w:rsid w:val="1B40F54A"/>
    <w:rsid w:val="1B42B3DE"/>
    <w:rsid w:val="1B42DA3A"/>
    <w:rsid w:val="1B434954"/>
    <w:rsid w:val="1B439B37"/>
    <w:rsid w:val="1B43D001"/>
    <w:rsid w:val="1B44DCE1"/>
    <w:rsid w:val="1B454395"/>
    <w:rsid w:val="1B468478"/>
    <w:rsid w:val="1B46D9A0"/>
    <w:rsid w:val="1B47236A"/>
    <w:rsid w:val="1B47CC48"/>
    <w:rsid w:val="1B47F260"/>
    <w:rsid w:val="1B486DDE"/>
    <w:rsid w:val="1B49B2AF"/>
    <w:rsid w:val="1B4A1091"/>
    <w:rsid w:val="1B4A8CA1"/>
    <w:rsid w:val="1B4BD54D"/>
    <w:rsid w:val="1B4D5963"/>
    <w:rsid w:val="1B4DA077"/>
    <w:rsid w:val="1B4E09CF"/>
    <w:rsid w:val="1B4F193D"/>
    <w:rsid w:val="1B4F3DD0"/>
    <w:rsid w:val="1B4FD68C"/>
    <w:rsid w:val="1B503A99"/>
    <w:rsid w:val="1B510173"/>
    <w:rsid w:val="1B522F3D"/>
    <w:rsid w:val="1B52993E"/>
    <w:rsid w:val="1B52D6E0"/>
    <w:rsid w:val="1B52E2EC"/>
    <w:rsid w:val="1B536370"/>
    <w:rsid w:val="1B54B826"/>
    <w:rsid w:val="1B54C72C"/>
    <w:rsid w:val="1B551443"/>
    <w:rsid w:val="1B555C8C"/>
    <w:rsid w:val="1B5806D7"/>
    <w:rsid w:val="1B58C838"/>
    <w:rsid w:val="1B5933F9"/>
    <w:rsid w:val="1B5B117F"/>
    <w:rsid w:val="1B5BF4EF"/>
    <w:rsid w:val="1B5BFBC5"/>
    <w:rsid w:val="1B5C32B4"/>
    <w:rsid w:val="1B5EEA41"/>
    <w:rsid w:val="1B5FE75A"/>
    <w:rsid w:val="1B61800B"/>
    <w:rsid w:val="1B61AB9F"/>
    <w:rsid w:val="1B626A22"/>
    <w:rsid w:val="1B62B6E6"/>
    <w:rsid w:val="1B63944F"/>
    <w:rsid w:val="1B63EA25"/>
    <w:rsid w:val="1B651107"/>
    <w:rsid w:val="1B656DEE"/>
    <w:rsid w:val="1B669B3D"/>
    <w:rsid w:val="1B670DD0"/>
    <w:rsid w:val="1B671004"/>
    <w:rsid w:val="1B675547"/>
    <w:rsid w:val="1B67E13D"/>
    <w:rsid w:val="1B6866ED"/>
    <w:rsid w:val="1B69A7CB"/>
    <w:rsid w:val="1B6BB440"/>
    <w:rsid w:val="1B6BD047"/>
    <w:rsid w:val="1B6C16BA"/>
    <w:rsid w:val="1B6C393C"/>
    <w:rsid w:val="1B6C4A8B"/>
    <w:rsid w:val="1B6D241E"/>
    <w:rsid w:val="1B6DA351"/>
    <w:rsid w:val="1B6E7549"/>
    <w:rsid w:val="1B6ED9C3"/>
    <w:rsid w:val="1B6F7C97"/>
    <w:rsid w:val="1B6FD186"/>
    <w:rsid w:val="1B700EB6"/>
    <w:rsid w:val="1B7077BB"/>
    <w:rsid w:val="1B707F13"/>
    <w:rsid w:val="1B70A465"/>
    <w:rsid w:val="1B70F6D7"/>
    <w:rsid w:val="1B70F704"/>
    <w:rsid w:val="1B71572E"/>
    <w:rsid w:val="1B71BD71"/>
    <w:rsid w:val="1B7219F5"/>
    <w:rsid w:val="1B73683F"/>
    <w:rsid w:val="1B739B59"/>
    <w:rsid w:val="1B74A7D6"/>
    <w:rsid w:val="1B759305"/>
    <w:rsid w:val="1B768FC0"/>
    <w:rsid w:val="1B770CAE"/>
    <w:rsid w:val="1B787213"/>
    <w:rsid w:val="1B788FCA"/>
    <w:rsid w:val="1B78C00D"/>
    <w:rsid w:val="1B78DD2F"/>
    <w:rsid w:val="1B78DE2A"/>
    <w:rsid w:val="1B79024C"/>
    <w:rsid w:val="1B7927AA"/>
    <w:rsid w:val="1B7AB167"/>
    <w:rsid w:val="1B7AD1F3"/>
    <w:rsid w:val="1B7C265A"/>
    <w:rsid w:val="1B7C5964"/>
    <w:rsid w:val="1B7C69B5"/>
    <w:rsid w:val="1B7CE751"/>
    <w:rsid w:val="1B7D402D"/>
    <w:rsid w:val="1B7DDD1B"/>
    <w:rsid w:val="1B7F04CE"/>
    <w:rsid w:val="1B7FFB50"/>
    <w:rsid w:val="1B80FF4B"/>
    <w:rsid w:val="1B811614"/>
    <w:rsid w:val="1B81740A"/>
    <w:rsid w:val="1B82247C"/>
    <w:rsid w:val="1B82BDBA"/>
    <w:rsid w:val="1B82C283"/>
    <w:rsid w:val="1B8301D7"/>
    <w:rsid w:val="1B847514"/>
    <w:rsid w:val="1B852893"/>
    <w:rsid w:val="1B8621F6"/>
    <w:rsid w:val="1B873646"/>
    <w:rsid w:val="1B87E66F"/>
    <w:rsid w:val="1B88A698"/>
    <w:rsid w:val="1B89595D"/>
    <w:rsid w:val="1B896171"/>
    <w:rsid w:val="1B8AD2F2"/>
    <w:rsid w:val="1B8AF74E"/>
    <w:rsid w:val="1B8B4F84"/>
    <w:rsid w:val="1B8B5780"/>
    <w:rsid w:val="1B8BB236"/>
    <w:rsid w:val="1B8BB5BD"/>
    <w:rsid w:val="1B8C297F"/>
    <w:rsid w:val="1B8DC796"/>
    <w:rsid w:val="1B8DF789"/>
    <w:rsid w:val="1B90A3AD"/>
    <w:rsid w:val="1B91655D"/>
    <w:rsid w:val="1B916653"/>
    <w:rsid w:val="1B91D04C"/>
    <w:rsid w:val="1B9207FE"/>
    <w:rsid w:val="1B92963D"/>
    <w:rsid w:val="1B93F61A"/>
    <w:rsid w:val="1B94526D"/>
    <w:rsid w:val="1B949F73"/>
    <w:rsid w:val="1B94BD17"/>
    <w:rsid w:val="1B95AD01"/>
    <w:rsid w:val="1B9618A3"/>
    <w:rsid w:val="1B973E03"/>
    <w:rsid w:val="1B976A55"/>
    <w:rsid w:val="1B97D7EC"/>
    <w:rsid w:val="1B97F866"/>
    <w:rsid w:val="1B9984DC"/>
    <w:rsid w:val="1B9A3E8C"/>
    <w:rsid w:val="1B9A5209"/>
    <w:rsid w:val="1B9A57C5"/>
    <w:rsid w:val="1B9B7F75"/>
    <w:rsid w:val="1B9BEE77"/>
    <w:rsid w:val="1B9C38F8"/>
    <w:rsid w:val="1B9CBD07"/>
    <w:rsid w:val="1B9D757C"/>
    <w:rsid w:val="1B9DB313"/>
    <w:rsid w:val="1B9E3202"/>
    <w:rsid w:val="1B9E4424"/>
    <w:rsid w:val="1B9EF12C"/>
    <w:rsid w:val="1B9F5EC1"/>
    <w:rsid w:val="1BA151F4"/>
    <w:rsid w:val="1BA2361B"/>
    <w:rsid w:val="1BA2B17C"/>
    <w:rsid w:val="1BA32BD1"/>
    <w:rsid w:val="1BA32C23"/>
    <w:rsid w:val="1BA399F4"/>
    <w:rsid w:val="1BA3AE17"/>
    <w:rsid w:val="1BA3E6A6"/>
    <w:rsid w:val="1BA3EE2C"/>
    <w:rsid w:val="1BA3F1A9"/>
    <w:rsid w:val="1BA40D7C"/>
    <w:rsid w:val="1BA4A79F"/>
    <w:rsid w:val="1BA4E4AE"/>
    <w:rsid w:val="1BA5DC3B"/>
    <w:rsid w:val="1BA6099D"/>
    <w:rsid w:val="1BA62BBC"/>
    <w:rsid w:val="1BA62C97"/>
    <w:rsid w:val="1BA6EF63"/>
    <w:rsid w:val="1BA7A5F4"/>
    <w:rsid w:val="1BAA173E"/>
    <w:rsid w:val="1BAAC50F"/>
    <w:rsid w:val="1BAB0886"/>
    <w:rsid w:val="1BAB3523"/>
    <w:rsid w:val="1BAC3C4F"/>
    <w:rsid w:val="1BAD1F61"/>
    <w:rsid w:val="1BAD5014"/>
    <w:rsid w:val="1BAFBC8A"/>
    <w:rsid w:val="1BAFDE1F"/>
    <w:rsid w:val="1BB0FC53"/>
    <w:rsid w:val="1BB11B3E"/>
    <w:rsid w:val="1BB14350"/>
    <w:rsid w:val="1BB18DA7"/>
    <w:rsid w:val="1BB1CA2D"/>
    <w:rsid w:val="1BB1F601"/>
    <w:rsid w:val="1BB324FB"/>
    <w:rsid w:val="1BB33F00"/>
    <w:rsid w:val="1BB47259"/>
    <w:rsid w:val="1BB4F302"/>
    <w:rsid w:val="1BB6C10D"/>
    <w:rsid w:val="1BB6CF4C"/>
    <w:rsid w:val="1BB6D20E"/>
    <w:rsid w:val="1BB711FD"/>
    <w:rsid w:val="1BB79DDF"/>
    <w:rsid w:val="1BB7B5EA"/>
    <w:rsid w:val="1BB7CF2B"/>
    <w:rsid w:val="1BB7D555"/>
    <w:rsid w:val="1BB81DC9"/>
    <w:rsid w:val="1BB85EDE"/>
    <w:rsid w:val="1BB8BD7A"/>
    <w:rsid w:val="1BBA850B"/>
    <w:rsid w:val="1BBAAEFD"/>
    <w:rsid w:val="1BBB0ADD"/>
    <w:rsid w:val="1BBB9848"/>
    <w:rsid w:val="1BBBB2AA"/>
    <w:rsid w:val="1BBC083E"/>
    <w:rsid w:val="1BBD2301"/>
    <w:rsid w:val="1BBD669D"/>
    <w:rsid w:val="1BBE3176"/>
    <w:rsid w:val="1BBEBC82"/>
    <w:rsid w:val="1BBF18F0"/>
    <w:rsid w:val="1BBF6E36"/>
    <w:rsid w:val="1BC02759"/>
    <w:rsid w:val="1BC03EA1"/>
    <w:rsid w:val="1BC1B6E0"/>
    <w:rsid w:val="1BC1EB29"/>
    <w:rsid w:val="1BC3C449"/>
    <w:rsid w:val="1BC52569"/>
    <w:rsid w:val="1BC64893"/>
    <w:rsid w:val="1BC69D8F"/>
    <w:rsid w:val="1BC73071"/>
    <w:rsid w:val="1BC775BB"/>
    <w:rsid w:val="1BC7B723"/>
    <w:rsid w:val="1BC7C775"/>
    <w:rsid w:val="1BC7EB56"/>
    <w:rsid w:val="1BC875A7"/>
    <w:rsid w:val="1BCA0AB4"/>
    <w:rsid w:val="1BCA1A10"/>
    <w:rsid w:val="1BCA4CE1"/>
    <w:rsid w:val="1BCA73F5"/>
    <w:rsid w:val="1BCACC00"/>
    <w:rsid w:val="1BCAD1E6"/>
    <w:rsid w:val="1BCB88E2"/>
    <w:rsid w:val="1BCBFBDF"/>
    <w:rsid w:val="1BCC280F"/>
    <w:rsid w:val="1BCC65A0"/>
    <w:rsid w:val="1BCC7380"/>
    <w:rsid w:val="1BCCD5EF"/>
    <w:rsid w:val="1BCDA968"/>
    <w:rsid w:val="1BCEC39D"/>
    <w:rsid w:val="1BCFBAAF"/>
    <w:rsid w:val="1BCFF56F"/>
    <w:rsid w:val="1BD10262"/>
    <w:rsid w:val="1BD10C97"/>
    <w:rsid w:val="1BD11DAA"/>
    <w:rsid w:val="1BD1BDBC"/>
    <w:rsid w:val="1BD2B983"/>
    <w:rsid w:val="1BD31AB7"/>
    <w:rsid w:val="1BD37191"/>
    <w:rsid w:val="1BD4477A"/>
    <w:rsid w:val="1BD4871D"/>
    <w:rsid w:val="1BD48756"/>
    <w:rsid w:val="1BD4A0AF"/>
    <w:rsid w:val="1BD4C074"/>
    <w:rsid w:val="1BD4EC3B"/>
    <w:rsid w:val="1BD50EA8"/>
    <w:rsid w:val="1BD5AFE1"/>
    <w:rsid w:val="1BD67F3F"/>
    <w:rsid w:val="1BD76A5B"/>
    <w:rsid w:val="1BD7BD2E"/>
    <w:rsid w:val="1BD7EFD3"/>
    <w:rsid w:val="1BD8868E"/>
    <w:rsid w:val="1BD9AEDC"/>
    <w:rsid w:val="1BDB23BB"/>
    <w:rsid w:val="1BDB3DB1"/>
    <w:rsid w:val="1BDBA17A"/>
    <w:rsid w:val="1BDC1793"/>
    <w:rsid w:val="1BDC3144"/>
    <w:rsid w:val="1BDE2CA1"/>
    <w:rsid w:val="1BDE515D"/>
    <w:rsid w:val="1BDEB4DE"/>
    <w:rsid w:val="1BDF7D4C"/>
    <w:rsid w:val="1BDF98EB"/>
    <w:rsid w:val="1BDFA06D"/>
    <w:rsid w:val="1BDFA257"/>
    <w:rsid w:val="1BE1BF70"/>
    <w:rsid w:val="1BE3AB82"/>
    <w:rsid w:val="1BE42D1E"/>
    <w:rsid w:val="1BE5EE24"/>
    <w:rsid w:val="1BE6309C"/>
    <w:rsid w:val="1BE728A2"/>
    <w:rsid w:val="1BE72AF1"/>
    <w:rsid w:val="1BE74B2B"/>
    <w:rsid w:val="1BE7583C"/>
    <w:rsid w:val="1BE78540"/>
    <w:rsid w:val="1BE91812"/>
    <w:rsid w:val="1BE9B106"/>
    <w:rsid w:val="1BEA63A3"/>
    <w:rsid w:val="1BEAE65D"/>
    <w:rsid w:val="1BEAF0DE"/>
    <w:rsid w:val="1BED6ACF"/>
    <w:rsid w:val="1BEE1AFD"/>
    <w:rsid w:val="1BEEF57F"/>
    <w:rsid w:val="1BEF91E7"/>
    <w:rsid w:val="1BEFB37E"/>
    <w:rsid w:val="1BF08E25"/>
    <w:rsid w:val="1BF0E0F4"/>
    <w:rsid w:val="1BF0ED8F"/>
    <w:rsid w:val="1BF112BB"/>
    <w:rsid w:val="1BF249C7"/>
    <w:rsid w:val="1BF3655D"/>
    <w:rsid w:val="1BF591A9"/>
    <w:rsid w:val="1BF635C7"/>
    <w:rsid w:val="1BF6430E"/>
    <w:rsid w:val="1BF6B183"/>
    <w:rsid w:val="1BF6BB95"/>
    <w:rsid w:val="1BF783A8"/>
    <w:rsid w:val="1BF7E965"/>
    <w:rsid w:val="1BF83C0A"/>
    <w:rsid w:val="1BF8B636"/>
    <w:rsid w:val="1BFA5501"/>
    <w:rsid w:val="1BFB8662"/>
    <w:rsid w:val="1BFC3AE3"/>
    <w:rsid w:val="1BFD85BE"/>
    <w:rsid w:val="1BFDB1ED"/>
    <w:rsid w:val="1BFE9DAA"/>
    <w:rsid w:val="1BFF063E"/>
    <w:rsid w:val="1BFF7511"/>
    <w:rsid w:val="1C00AFBB"/>
    <w:rsid w:val="1C01567A"/>
    <w:rsid w:val="1C01F16B"/>
    <w:rsid w:val="1C025141"/>
    <w:rsid w:val="1C037B4F"/>
    <w:rsid w:val="1C038A87"/>
    <w:rsid w:val="1C0395D3"/>
    <w:rsid w:val="1C03B3D3"/>
    <w:rsid w:val="1C03EBAF"/>
    <w:rsid w:val="1C0437F5"/>
    <w:rsid w:val="1C04530F"/>
    <w:rsid w:val="1C04BB1E"/>
    <w:rsid w:val="1C04E2DF"/>
    <w:rsid w:val="1C05D43E"/>
    <w:rsid w:val="1C05E7C0"/>
    <w:rsid w:val="1C05EBC3"/>
    <w:rsid w:val="1C071DAD"/>
    <w:rsid w:val="1C08CD18"/>
    <w:rsid w:val="1C0915CA"/>
    <w:rsid w:val="1C0973DC"/>
    <w:rsid w:val="1C0983EC"/>
    <w:rsid w:val="1C09A007"/>
    <w:rsid w:val="1C0A610C"/>
    <w:rsid w:val="1C0A9C9B"/>
    <w:rsid w:val="1C0AD491"/>
    <w:rsid w:val="1C0B7553"/>
    <w:rsid w:val="1C0B8143"/>
    <w:rsid w:val="1C0DA7D3"/>
    <w:rsid w:val="1C0DA89C"/>
    <w:rsid w:val="1C0E4423"/>
    <w:rsid w:val="1C0E5BE8"/>
    <w:rsid w:val="1C0E6210"/>
    <w:rsid w:val="1C0F622B"/>
    <w:rsid w:val="1C0FA6F1"/>
    <w:rsid w:val="1C0FD951"/>
    <w:rsid w:val="1C10153B"/>
    <w:rsid w:val="1C10DC9B"/>
    <w:rsid w:val="1C1134D9"/>
    <w:rsid w:val="1C114990"/>
    <w:rsid w:val="1C11AC85"/>
    <w:rsid w:val="1C11E7F5"/>
    <w:rsid w:val="1C12CDEE"/>
    <w:rsid w:val="1C135B77"/>
    <w:rsid w:val="1C137087"/>
    <w:rsid w:val="1C13C27E"/>
    <w:rsid w:val="1C13F460"/>
    <w:rsid w:val="1C1472DB"/>
    <w:rsid w:val="1C15DB01"/>
    <w:rsid w:val="1C15DCD6"/>
    <w:rsid w:val="1C172F14"/>
    <w:rsid w:val="1C1789DC"/>
    <w:rsid w:val="1C17ABAC"/>
    <w:rsid w:val="1C17BDA6"/>
    <w:rsid w:val="1C17DA0E"/>
    <w:rsid w:val="1C182F7A"/>
    <w:rsid w:val="1C1A9D88"/>
    <w:rsid w:val="1C1B13D9"/>
    <w:rsid w:val="1C1B95FB"/>
    <w:rsid w:val="1C1BA264"/>
    <w:rsid w:val="1C1C0DF3"/>
    <w:rsid w:val="1C1C3198"/>
    <w:rsid w:val="1C1C6354"/>
    <w:rsid w:val="1C1DA965"/>
    <w:rsid w:val="1C1DB82C"/>
    <w:rsid w:val="1C1EA59D"/>
    <w:rsid w:val="1C1F69EA"/>
    <w:rsid w:val="1C20EB9D"/>
    <w:rsid w:val="1C215C4F"/>
    <w:rsid w:val="1C21EEDA"/>
    <w:rsid w:val="1C227C2D"/>
    <w:rsid w:val="1C22E83A"/>
    <w:rsid w:val="1C234054"/>
    <w:rsid w:val="1C234C88"/>
    <w:rsid w:val="1C23748E"/>
    <w:rsid w:val="1C238140"/>
    <w:rsid w:val="1C24092D"/>
    <w:rsid w:val="1C242D43"/>
    <w:rsid w:val="1C247ED0"/>
    <w:rsid w:val="1C2485D4"/>
    <w:rsid w:val="1C252725"/>
    <w:rsid w:val="1C253E24"/>
    <w:rsid w:val="1C2613A9"/>
    <w:rsid w:val="1C264492"/>
    <w:rsid w:val="1C283D69"/>
    <w:rsid w:val="1C284CFA"/>
    <w:rsid w:val="1C290A84"/>
    <w:rsid w:val="1C29A350"/>
    <w:rsid w:val="1C2A2898"/>
    <w:rsid w:val="1C2A620D"/>
    <w:rsid w:val="1C2AB999"/>
    <w:rsid w:val="1C2B17E3"/>
    <w:rsid w:val="1C2CAEAB"/>
    <w:rsid w:val="1C2D7A3F"/>
    <w:rsid w:val="1C2E3973"/>
    <w:rsid w:val="1C2F0D00"/>
    <w:rsid w:val="1C2F1B6D"/>
    <w:rsid w:val="1C2FDCEA"/>
    <w:rsid w:val="1C3010A1"/>
    <w:rsid w:val="1C30A749"/>
    <w:rsid w:val="1C30D794"/>
    <w:rsid w:val="1C3125B9"/>
    <w:rsid w:val="1C315F14"/>
    <w:rsid w:val="1C31A0F9"/>
    <w:rsid w:val="1C31A462"/>
    <w:rsid w:val="1C31CFF2"/>
    <w:rsid w:val="1C3299FF"/>
    <w:rsid w:val="1C32D443"/>
    <w:rsid w:val="1C33DCF0"/>
    <w:rsid w:val="1C34C204"/>
    <w:rsid w:val="1C35B6A1"/>
    <w:rsid w:val="1C35F47A"/>
    <w:rsid w:val="1C3630A0"/>
    <w:rsid w:val="1C37851A"/>
    <w:rsid w:val="1C37BF27"/>
    <w:rsid w:val="1C37D90A"/>
    <w:rsid w:val="1C384D14"/>
    <w:rsid w:val="1C3874DB"/>
    <w:rsid w:val="1C3883F5"/>
    <w:rsid w:val="1C389D6C"/>
    <w:rsid w:val="1C39328C"/>
    <w:rsid w:val="1C39D0B8"/>
    <w:rsid w:val="1C3B406B"/>
    <w:rsid w:val="1C3B72DD"/>
    <w:rsid w:val="1C3BFC7C"/>
    <w:rsid w:val="1C3CD55E"/>
    <w:rsid w:val="1C3D1EC9"/>
    <w:rsid w:val="1C3E4900"/>
    <w:rsid w:val="1C3F8AB4"/>
    <w:rsid w:val="1C40978A"/>
    <w:rsid w:val="1C40CA26"/>
    <w:rsid w:val="1C410689"/>
    <w:rsid w:val="1C420E45"/>
    <w:rsid w:val="1C42B993"/>
    <w:rsid w:val="1C42D3EE"/>
    <w:rsid w:val="1C437B14"/>
    <w:rsid w:val="1C43BE2F"/>
    <w:rsid w:val="1C4426AC"/>
    <w:rsid w:val="1C44750E"/>
    <w:rsid w:val="1C449758"/>
    <w:rsid w:val="1C449A21"/>
    <w:rsid w:val="1C4547EE"/>
    <w:rsid w:val="1C4698EC"/>
    <w:rsid w:val="1C47988B"/>
    <w:rsid w:val="1C47A84E"/>
    <w:rsid w:val="1C47FF90"/>
    <w:rsid w:val="1C48E736"/>
    <w:rsid w:val="1C490EEB"/>
    <w:rsid w:val="1C491189"/>
    <w:rsid w:val="1C4A01C3"/>
    <w:rsid w:val="1C4A4C16"/>
    <w:rsid w:val="1C4ADE4B"/>
    <w:rsid w:val="1C4B952F"/>
    <w:rsid w:val="1C4C158E"/>
    <w:rsid w:val="1C4C496B"/>
    <w:rsid w:val="1C4EE7B4"/>
    <w:rsid w:val="1C5034D2"/>
    <w:rsid w:val="1C50418C"/>
    <w:rsid w:val="1C50CCB0"/>
    <w:rsid w:val="1C5183B6"/>
    <w:rsid w:val="1C51BC6A"/>
    <w:rsid w:val="1C51C360"/>
    <w:rsid w:val="1C52B91F"/>
    <w:rsid w:val="1C52CCC2"/>
    <w:rsid w:val="1C536468"/>
    <w:rsid w:val="1C539F2F"/>
    <w:rsid w:val="1C54326A"/>
    <w:rsid w:val="1C5443EF"/>
    <w:rsid w:val="1C54459D"/>
    <w:rsid w:val="1C546660"/>
    <w:rsid w:val="1C54B7D4"/>
    <w:rsid w:val="1C550254"/>
    <w:rsid w:val="1C55810F"/>
    <w:rsid w:val="1C5904D6"/>
    <w:rsid w:val="1C5A89A4"/>
    <w:rsid w:val="1C5AAD09"/>
    <w:rsid w:val="1C5C33FA"/>
    <w:rsid w:val="1C5CF6C3"/>
    <w:rsid w:val="1C5DB519"/>
    <w:rsid w:val="1C5F5E98"/>
    <w:rsid w:val="1C5F8082"/>
    <w:rsid w:val="1C5F92DC"/>
    <w:rsid w:val="1C5FB0E1"/>
    <w:rsid w:val="1C5FC271"/>
    <w:rsid w:val="1C601F3C"/>
    <w:rsid w:val="1C6033C3"/>
    <w:rsid w:val="1C61270D"/>
    <w:rsid w:val="1C6258D1"/>
    <w:rsid w:val="1C629129"/>
    <w:rsid w:val="1C64894D"/>
    <w:rsid w:val="1C64CF86"/>
    <w:rsid w:val="1C66021F"/>
    <w:rsid w:val="1C6675EC"/>
    <w:rsid w:val="1C670F95"/>
    <w:rsid w:val="1C6A5755"/>
    <w:rsid w:val="1C6A9B6A"/>
    <w:rsid w:val="1C6B7696"/>
    <w:rsid w:val="1C6C1C3C"/>
    <w:rsid w:val="1C6C2A53"/>
    <w:rsid w:val="1C6D5149"/>
    <w:rsid w:val="1C6D98F7"/>
    <w:rsid w:val="1C6DB698"/>
    <w:rsid w:val="1C6EC744"/>
    <w:rsid w:val="1C6EC92B"/>
    <w:rsid w:val="1C6EF553"/>
    <w:rsid w:val="1C6FC2F2"/>
    <w:rsid w:val="1C7005F6"/>
    <w:rsid w:val="1C702B7F"/>
    <w:rsid w:val="1C7247AB"/>
    <w:rsid w:val="1C736A39"/>
    <w:rsid w:val="1C73732B"/>
    <w:rsid w:val="1C759FDB"/>
    <w:rsid w:val="1C75E5A9"/>
    <w:rsid w:val="1C76C245"/>
    <w:rsid w:val="1C76F313"/>
    <w:rsid w:val="1C770DD0"/>
    <w:rsid w:val="1C775022"/>
    <w:rsid w:val="1C77BA69"/>
    <w:rsid w:val="1C780648"/>
    <w:rsid w:val="1C787645"/>
    <w:rsid w:val="1C789304"/>
    <w:rsid w:val="1C790E6E"/>
    <w:rsid w:val="1C7A2C25"/>
    <w:rsid w:val="1C7A4B4E"/>
    <w:rsid w:val="1C7ADB8A"/>
    <w:rsid w:val="1C7B489A"/>
    <w:rsid w:val="1C7CB77A"/>
    <w:rsid w:val="1C7D0B7C"/>
    <w:rsid w:val="1C7D6017"/>
    <w:rsid w:val="1C7DB611"/>
    <w:rsid w:val="1C7E3D6C"/>
    <w:rsid w:val="1C7E49C8"/>
    <w:rsid w:val="1C7E65B1"/>
    <w:rsid w:val="1C802FAE"/>
    <w:rsid w:val="1C805AC3"/>
    <w:rsid w:val="1C8120F3"/>
    <w:rsid w:val="1C818DD4"/>
    <w:rsid w:val="1C82D14A"/>
    <w:rsid w:val="1C82D91D"/>
    <w:rsid w:val="1C832126"/>
    <w:rsid w:val="1C836472"/>
    <w:rsid w:val="1C83E84C"/>
    <w:rsid w:val="1C840BB3"/>
    <w:rsid w:val="1C85DA1C"/>
    <w:rsid w:val="1C864758"/>
    <w:rsid w:val="1C868676"/>
    <w:rsid w:val="1C89415F"/>
    <w:rsid w:val="1C89F57D"/>
    <w:rsid w:val="1C8A3459"/>
    <w:rsid w:val="1C8A4357"/>
    <w:rsid w:val="1C8AB1E8"/>
    <w:rsid w:val="1C8ABE57"/>
    <w:rsid w:val="1C8B4E06"/>
    <w:rsid w:val="1C8CA9D3"/>
    <w:rsid w:val="1C8E32FC"/>
    <w:rsid w:val="1C8E438B"/>
    <w:rsid w:val="1C8F2ED8"/>
    <w:rsid w:val="1C8F7B3B"/>
    <w:rsid w:val="1C8F8697"/>
    <w:rsid w:val="1C8FA6B3"/>
    <w:rsid w:val="1C903875"/>
    <w:rsid w:val="1C9094AD"/>
    <w:rsid w:val="1C925B68"/>
    <w:rsid w:val="1C925BA6"/>
    <w:rsid w:val="1C9262AB"/>
    <w:rsid w:val="1C950386"/>
    <w:rsid w:val="1C95D9BE"/>
    <w:rsid w:val="1C95F1B5"/>
    <w:rsid w:val="1C967159"/>
    <w:rsid w:val="1C969992"/>
    <w:rsid w:val="1C9806B5"/>
    <w:rsid w:val="1C9B4EC1"/>
    <w:rsid w:val="1C9D21FA"/>
    <w:rsid w:val="1C9D67A0"/>
    <w:rsid w:val="1C9D86C0"/>
    <w:rsid w:val="1C9F5B9D"/>
    <w:rsid w:val="1C9F5F93"/>
    <w:rsid w:val="1C9F711B"/>
    <w:rsid w:val="1CA107FB"/>
    <w:rsid w:val="1CA23CAF"/>
    <w:rsid w:val="1CA26B18"/>
    <w:rsid w:val="1CA29CBD"/>
    <w:rsid w:val="1CA2F610"/>
    <w:rsid w:val="1CA3C836"/>
    <w:rsid w:val="1CA453E5"/>
    <w:rsid w:val="1CA4C1C9"/>
    <w:rsid w:val="1CA4C591"/>
    <w:rsid w:val="1CA5AD41"/>
    <w:rsid w:val="1CA5D9FE"/>
    <w:rsid w:val="1CA660CC"/>
    <w:rsid w:val="1CA736C5"/>
    <w:rsid w:val="1CA888AC"/>
    <w:rsid w:val="1CA8BC50"/>
    <w:rsid w:val="1CA8CF65"/>
    <w:rsid w:val="1CA934E8"/>
    <w:rsid w:val="1CA9773E"/>
    <w:rsid w:val="1CAA140B"/>
    <w:rsid w:val="1CABE1D7"/>
    <w:rsid w:val="1CAC1FBD"/>
    <w:rsid w:val="1CAC2DCC"/>
    <w:rsid w:val="1CAC3128"/>
    <w:rsid w:val="1CAC71AE"/>
    <w:rsid w:val="1CAC7532"/>
    <w:rsid w:val="1CB014AC"/>
    <w:rsid w:val="1CB0224B"/>
    <w:rsid w:val="1CB05BE3"/>
    <w:rsid w:val="1CB07B8D"/>
    <w:rsid w:val="1CB184E8"/>
    <w:rsid w:val="1CB2528B"/>
    <w:rsid w:val="1CB2D35E"/>
    <w:rsid w:val="1CB334B0"/>
    <w:rsid w:val="1CB4D6ED"/>
    <w:rsid w:val="1CB568E0"/>
    <w:rsid w:val="1CB5BD47"/>
    <w:rsid w:val="1CB5D7CA"/>
    <w:rsid w:val="1CB5F925"/>
    <w:rsid w:val="1CB6064C"/>
    <w:rsid w:val="1CB64002"/>
    <w:rsid w:val="1CB7D0CC"/>
    <w:rsid w:val="1CB8527B"/>
    <w:rsid w:val="1CB8A3FF"/>
    <w:rsid w:val="1CB94D71"/>
    <w:rsid w:val="1CBAB7AE"/>
    <w:rsid w:val="1CBACF36"/>
    <w:rsid w:val="1CBB3098"/>
    <w:rsid w:val="1CBC2574"/>
    <w:rsid w:val="1CBC5FAF"/>
    <w:rsid w:val="1CBC8C5D"/>
    <w:rsid w:val="1CBD89BE"/>
    <w:rsid w:val="1CBDAC07"/>
    <w:rsid w:val="1CBF57CA"/>
    <w:rsid w:val="1CBFF10B"/>
    <w:rsid w:val="1CC00220"/>
    <w:rsid w:val="1CC07D02"/>
    <w:rsid w:val="1CC0F61D"/>
    <w:rsid w:val="1CC14375"/>
    <w:rsid w:val="1CC2B3FD"/>
    <w:rsid w:val="1CC3486D"/>
    <w:rsid w:val="1CC38F72"/>
    <w:rsid w:val="1CC40001"/>
    <w:rsid w:val="1CC48D0F"/>
    <w:rsid w:val="1CC5D096"/>
    <w:rsid w:val="1CC6195A"/>
    <w:rsid w:val="1CC6A554"/>
    <w:rsid w:val="1CC6A7C8"/>
    <w:rsid w:val="1CC6F1C4"/>
    <w:rsid w:val="1CC71368"/>
    <w:rsid w:val="1CC74015"/>
    <w:rsid w:val="1CC794BA"/>
    <w:rsid w:val="1CC8422A"/>
    <w:rsid w:val="1CC8CFD2"/>
    <w:rsid w:val="1CCA44D5"/>
    <w:rsid w:val="1CCA98A0"/>
    <w:rsid w:val="1CCBFB8A"/>
    <w:rsid w:val="1CCC21D4"/>
    <w:rsid w:val="1CCC5D35"/>
    <w:rsid w:val="1CCC76FA"/>
    <w:rsid w:val="1CCE35A8"/>
    <w:rsid w:val="1CCE5C4E"/>
    <w:rsid w:val="1CCF12A0"/>
    <w:rsid w:val="1CCFBCA4"/>
    <w:rsid w:val="1CD0D032"/>
    <w:rsid w:val="1CD18A80"/>
    <w:rsid w:val="1CD1A2AF"/>
    <w:rsid w:val="1CD2C0B1"/>
    <w:rsid w:val="1CD2DC20"/>
    <w:rsid w:val="1CD36045"/>
    <w:rsid w:val="1CD56F2E"/>
    <w:rsid w:val="1CD65A9A"/>
    <w:rsid w:val="1CD79640"/>
    <w:rsid w:val="1CD79F6F"/>
    <w:rsid w:val="1CD83703"/>
    <w:rsid w:val="1CD84337"/>
    <w:rsid w:val="1CD88F91"/>
    <w:rsid w:val="1CD8FAEA"/>
    <w:rsid w:val="1CDAA0B7"/>
    <w:rsid w:val="1CDBB7A2"/>
    <w:rsid w:val="1CDCED77"/>
    <w:rsid w:val="1CDD8B8A"/>
    <w:rsid w:val="1CDDAB52"/>
    <w:rsid w:val="1CDE80BE"/>
    <w:rsid w:val="1CDF444F"/>
    <w:rsid w:val="1CDF51DF"/>
    <w:rsid w:val="1CE040E9"/>
    <w:rsid w:val="1CE155A2"/>
    <w:rsid w:val="1CE38444"/>
    <w:rsid w:val="1CE3FD05"/>
    <w:rsid w:val="1CE46C22"/>
    <w:rsid w:val="1CE58789"/>
    <w:rsid w:val="1CE59F35"/>
    <w:rsid w:val="1CE5BAAC"/>
    <w:rsid w:val="1CE5CAE0"/>
    <w:rsid w:val="1CE634C6"/>
    <w:rsid w:val="1CE642A0"/>
    <w:rsid w:val="1CE656B9"/>
    <w:rsid w:val="1CE7AC31"/>
    <w:rsid w:val="1CE7FF4B"/>
    <w:rsid w:val="1CE87AFA"/>
    <w:rsid w:val="1CE8B1A0"/>
    <w:rsid w:val="1CEA4369"/>
    <w:rsid w:val="1CEA5E8A"/>
    <w:rsid w:val="1CEA9DB1"/>
    <w:rsid w:val="1CEBA720"/>
    <w:rsid w:val="1CEBADF1"/>
    <w:rsid w:val="1CEC36DA"/>
    <w:rsid w:val="1CED1FB2"/>
    <w:rsid w:val="1CEDEABD"/>
    <w:rsid w:val="1CEE4D8E"/>
    <w:rsid w:val="1CEEEEA9"/>
    <w:rsid w:val="1CEF1450"/>
    <w:rsid w:val="1CEF2269"/>
    <w:rsid w:val="1CEF561B"/>
    <w:rsid w:val="1CEFB5A3"/>
    <w:rsid w:val="1CEFFB14"/>
    <w:rsid w:val="1CF1AB35"/>
    <w:rsid w:val="1CF1D65A"/>
    <w:rsid w:val="1CF255FC"/>
    <w:rsid w:val="1CF358D9"/>
    <w:rsid w:val="1CF3D861"/>
    <w:rsid w:val="1CF42142"/>
    <w:rsid w:val="1CF470D0"/>
    <w:rsid w:val="1CF513E8"/>
    <w:rsid w:val="1CF54E58"/>
    <w:rsid w:val="1CF5BF70"/>
    <w:rsid w:val="1CF6AF85"/>
    <w:rsid w:val="1CF857BE"/>
    <w:rsid w:val="1CF8A6AF"/>
    <w:rsid w:val="1CF9B0C2"/>
    <w:rsid w:val="1CFA510F"/>
    <w:rsid w:val="1CFB615A"/>
    <w:rsid w:val="1CFB7A61"/>
    <w:rsid w:val="1CFD73DE"/>
    <w:rsid w:val="1CFDEE0B"/>
    <w:rsid w:val="1CFE085A"/>
    <w:rsid w:val="1CFE37EE"/>
    <w:rsid w:val="1CFF1D46"/>
    <w:rsid w:val="1CFF3E19"/>
    <w:rsid w:val="1CFFB7B2"/>
    <w:rsid w:val="1D003297"/>
    <w:rsid w:val="1D006A9E"/>
    <w:rsid w:val="1D011B8F"/>
    <w:rsid w:val="1D0177FF"/>
    <w:rsid w:val="1D01BBE0"/>
    <w:rsid w:val="1D024B1E"/>
    <w:rsid w:val="1D0285DE"/>
    <w:rsid w:val="1D02A0D9"/>
    <w:rsid w:val="1D030BC4"/>
    <w:rsid w:val="1D03625F"/>
    <w:rsid w:val="1D03742E"/>
    <w:rsid w:val="1D0420B3"/>
    <w:rsid w:val="1D049C5F"/>
    <w:rsid w:val="1D04E696"/>
    <w:rsid w:val="1D05917B"/>
    <w:rsid w:val="1D05A6A5"/>
    <w:rsid w:val="1D05C2C5"/>
    <w:rsid w:val="1D06C174"/>
    <w:rsid w:val="1D0707AB"/>
    <w:rsid w:val="1D080595"/>
    <w:rsid w:val="1D080C8D"/>
    <w:rsid w:val="1D094FB1"/>
    <w:rsid w:val="1D095E55"/>
    <w:rsid w:val="1D0BC43A"/>
    <w:rsid w:val="1D0BF5A5"/>
    <w:rsid w:val="1D0CBBF3"/>
    <w:rsid w:val="1D0E8A57"/>
    <w:rsid w:val="1D0E8EE7"/>
    <w:rsid w:val="1D0FFDB0"/>
    <w:rsid w:val="1D11584F"/>
    <w:rsid w:val="1D129EF2"/>
    <w:rsid w:val="1D12EAF4"/>
    <w:rsid w:val="1D13FA4C"/>
    <w:rsid w:val="1D1525A5"/>
    <w:rsid w:val="1D15740B"/>
    <w:rsid w:val="1D1639C0"/>
    <w:rsid w:val="1D163C23"/>
    <w:rsid w:val="1D16765F"/>
    <w:rsid w:val="1D16E942"/>
    <w:rsid w:val="1D172B06"/>
    <w:rsid w:val="1D17ED10"/>
    <w:rsid w:val="1D181DFA"/>
    <w:rsid w:val="1D18BF26"/>
    <w:rsid w:val="1D18C29B"/>
    <w:rsid w:val="1D1A09D7"/>
    <w:rsid w:val="1D1A1625"/>
    <w:rsid w:val="1D1A5075"/>
    <w:rsid w:val="1D1A59F9"/>
    <w:rsid w:val="1D1C1D9F"/>
    <w:rsid w:val="1D1C2883"/>
    <w:rsid w:val="1D1C7971"/>
    <w:rsid w:val="1D1C8819"/>
    <w:rsid w:val="1D1C8E61"/>
    <w:rsid w:val="1D1F6162"/>
    <w:rsid w:val="1D1F6BC8"/>
    <w:rsid w:val="1D20A377"/>
    <w:rsid w:val="1D20BBE9"/>
    <w:rsid w:val="1D21D1F4"/>
    <w:rsid w:val="1D226C83"/>
    <w:rsid w:val="1D227B35"/>
    <w:rsid w:val="1D227C6E"/>
    <w:rsid w:val="1D2284A9"/>
    <w:rsid w:val="1D22BE4E"/>
    <w:rsid w:val="1D2328F7"/>
    <w:rsid w:val="1D23F980"/>
    <w:rsid w:val="1D240092"/>
    <w:rsid w:val="1D242572"/>
    <w:rsid w:val="1D24955B"/>
    <w:rsid w:val="1D24A384"/>
    <w:rsid w:val="1D250E5D"/>
    <w:rsid w:val="1D25B256"/>
    <w:rsid w:val="1D26A6A7"/>
    <w:rsid w:val="1D26AB2C"/>
    <w:rsid w:val="1D26E668"/>
    <w:rsid w:val="1D26FF63"/>
    <w:rsid w:val="1D276E9B"/>
    <w:rsid w:val="1D27F833"/>
    <w:rsid w:val="1D28375D"/>
    <w:rsid w:val="1D28D709"/>
    <w:rsid w:val="1D28E99E"/>
    <w:rsid w:val="1D29BDE5"/>
    <w:rsid w:val="1D29FF3D"/>
    <w:rsid w:val="1D2A0054"/>
    <w:rsid w:val="1D2A0FF8"/>
    <w:rsid w:val="1D2A46F1"/>
    <w:rsid w:val="1D2CB937"/>
    <w:rsid w:val="1D2D3E92"/>
    <w:rsid w:val="1D2D71EF"/>
    <w:rsid w:val="1D2D7D11"/>
    <w:rsid w:val="1D2E1201"/>
    <w:rsid w:val="1D2E6178"/>
    <w:rsid w:val="1D2ED27A"/>
    <w:rsid w:val="1D2F6405"/>
    <w:rsid w:val="1D2F9AAD"/>
    <w:rsid w:val="1D30881D"/>
    <w:rsid w:val="1D30E910"/>
    <w:rsid w:val="1D30EC54"/>
    <w:rsid w:val="1D312872"/>
    <w:rsid w:val="1D318B76"/>
    <w:rsid w:val="1D32C562"/>
    <w:rsid w:val="1D32ECB6"/>
    <w:rsid w:val="1D32F2B3"/>
    <w:rsid w:val="1D33F77B"/>
    <w:rsid w:val="1D352D23"/>
    <w:rsid w:val="1D361727"/>
    <w:rsid w:val="1D364BAA"/>
    <w:rsid w:val="1D369E8A"/>
    <w:rsid w:val="1D377E2F"/>
    <w:rsid w:val="1D37D6B5"/>
    <w:rsid w:val="1D38F234"/>
    <w:rsid w:val="1D392B39"/>
    <w:rsid w:val="1D393AB1"/>
    <w:rsid w:val="1D3A5E2B"/>
    <w:rsid w:val="1D3CD029"/>
    <w:rsid w:val="1D3D0BA9"/>
    <w:rsid w:val="1D3D1554"/>
    <w:rsid w:val="1D3E72D4"/>
    <w:rsid w:val="1D3E7936"/>
    <w:rsid w:val="1D424426"/>
    <w:rsid w:val="1D42DA2F"/>
    <w:rsid w:val="1D43C8ED"/>
    <w:rsid w:val="1D43F460"/>
    <w:rsid w:val="1D44B443"/>
    <w:rsid w:val="1D45A472"/>
    <w:rsid w:val="1D45F072"/>
    <w:rsid w:val="1D466477"/>
    <w:rsid w:val="1D49EFE7"/>
    <w:rsid w:val="1D4A6DC9"/>
    <w:rsid w:val="1D4B44BB"/>
    <w:rsid w:val="1D4BFB3D"/>
    <w:rsid w:val="1D4CA814"/>
    <w:rsid w:val="1D4E3A98"/>
    <w:rsid w:val="1D4EB754"/>
    <w:rsid w:val="1D50F367"/>
    <w:rsid w:val="1D51981C"/>
    <w:rsid w:val="1D521F7B"/>
    <w:rsid w:val="1D53D166"/>
    <w:rsid w:val="1D53E996"/>
    <w:rsid w:val="1D5451D7"/>
    <w:rsid w:val="1D547F75"/>
    <w:rsid w:val="1D554398"/>
    <w:rsid w:val="1D575DCB"/>
    <w:rsid w:val="1D579A61"/>
    <w:rsid w:val="1D582BDA"/>
    <w:rsid w:val="1D589888"/>
    <w:rsid w:val="1D58AAC4"/>
    <w:rsid w:val="1D5905E8"/>
    <w:rsid w:val="1D5B2C1F"/>
    <w:rsid w:val="1D5C4DEF"/>
    <w:rsid w:val="1D5C6ED0"/>
    <w:rsid w:val="1D5D0EE2"/>
    <w:rsid w:val="1D5D74BD"/>
    <w:rsid w:val="1D5E617D"/>
    <w:rsid w:val="1D5E9A04"/>
    <w:rsid w:val="1D5EC790"/>
    <w:rsid w:val="1D5EE3C0"/>
    <w:rsid w:val="1D5F2843"/>
    <w:rsid w:val="1D5F43D1"/>
    <w:rsid w:val="1D5FACE5"/>
    <w:rsid w:val="1D607447"/>
    <w:rsid w:val="1D60DC22"/>
    <w:rsid w:val="1D626543"/>
    <w:rsid w:val="1D62A035"/>
    <w:rsid w:val="1D62ABDC"/>
    <w:rsid w:val="1D63A650"/>
    <w:rsid w:val="1D6686ED"/>
    <w:rsid w:val="1D66CEAA"/>
    <w:rsid w:val="1D696082"/>
    <w:rsid w:val="1D6ABE76"/>
    <w:rsid w:val="1D6B026F"/>
    <w:rsid w:val="1D6BF9E8"/>
    <w:rsid w:val="1D6CBF5F"/>
    <w:rsid w:val="1D6CE679"/>
    <w:rsid w:val="1D6D03EC"/>
    <w:rsid w:val="1D6DF290"/>
    <w:rsid w:val="1D6E288E"/>
    <w:rsid w:val="1D6EFF03"/>
    <w:rsid w:val="1D705C11"/>
    <w:rsid w:val="1D708482"/>
    <w:rsid w:val="1D7089C5"/>
    <w:rsid w:val="1D70B9F0"/>
    <w:rsid w:val="1D70D0DB"/>
    <w:rsid w:val="1D7146D3"/>
    <w:rsid w:val="1D72B4CD"/>
    <w:rsid w:val="1D731F84"/>
    <w:rsid w:val="1D73D192"/>
    <w:rsid w:val="1D73F4B2"/>
    <w:rsid w:val="1D74222E"/>
    <w:rsid w:val="1D763490"/>
    <w:rsid w:val="1D768553"/>
    <w:rsid w:val="1D772663"/>
    <w:rsid w:val="1D777F57"/>
    <w:rsid w:val="1D784873"/>
    <w:rsid w:val="1D7856D7"/>
    <w:rsid w:val="1D7886FF"/>
    <w:rsid w:val="1D7A0454"/>
    <w:rsid w:val="1D7B0FE9"/>
    <w:rsid w:val="1D7B95F2"/>
    <w:rsid w:val="1D7B9E16"/>
    <w:rsid w:val="1D7BA910"/>
    <w:rsid w:val="1D7C11C1"/>
    <w:rsid w:val="1D7D1286"/>
    <w:rsid w:val="1D7D181C"/>
    <w:rsid w:val="1D7D6CDC"/>
    <w:rsid w:val="1D7E350C"/>
    <w:rsid w:val="1D812098"/>
    <w:rsid w:val="1D822D49"/>
    <w:rsid w:val="1D82E2C3"/>
    <w:rsid w:val="1D835414"/>
    <w:rsid w:val="1D83E4DE"/>
    <w:rsid w:val="1D83F775"/>
    <w:rsid w:val="1D840F26"/>
    <w:rsid w:val="1D84C873"/>
    <w:rsid w:val="1D855550"/>
    <w:rsid w:val="1D859E60"/>
    <w:rsid w:val="1D85D872"/>
    <w:rsid w:val="1D86BF40"/>
    <w:rsid w:val="1D872FFB"/>
    <w:rsid w:val="1D874309"/>
    <w:rsid w:val="1D87648C"/>
    <w:rsid w:val="1D87E6C1"/>
    <w:rsid w:val="1D8858D0"/>
    <w:rsid w:val="1D898AAA"/>
    <w:rsid w:val="1D89AE99"/>
    <w:rsid w:val="1D8A465A"/>
    <w:rsid w:val="1D8B6405"/>
    <w:rsid w:val="1D8B69DF"/>
    <w:rsid w:val="1D8B77F4"/>
    <w:rsid w:val="1D8BF479"/>
    <w:rsid w:val="1D8C0222"/>
    <w:rsid w:val="1D8CD29D"/>
    <w:rsid w:val="1D8CD702"/>
    <w:rsid w:val="1D8D7A22"/>
    <w:rsid w:val="1D8E2A8E"/>
    <w:rsid w:val="1D8E9638"/>
    <w:rsid w:val="1D8F8ED6"/>
    <w:rsid w:val="1D908730"/>
    <w:rsid w:val="1D90F849"/>
    <w:rsid w:val="1D9135A5"/>
    <w:rsid w:val="1D93B9C6"/>
    <w:rsid w:val="1D95019D"/>
    <w:rsid w:val="1D964079"/>
    <w:rsid w:val="1D9735D8"/>
    <w:rsid w:val="1D9748DB"/>
    <w:rsid w:val="1D9832F2"/>
    <w:rsid w:val="1D987CC5"/>
    <w:rsid w:val="1D989DA2"/>
    <w:rsid w:val="1D99DD64"/>
    <w:rsid w:val="1D9C11A8"/>
    <w:rsid w:val="1D9C433E"/>
    <w:rsid w:val="1D9DCDEC"/>
    <w:rsid w:val="1D9E614E"/>
    <w:rsid w:val="1D9EF2F9"/>
    <w:rsid w:val="1D9FC78E"/>
    <w:rsid w:val="1DA01E7D"/>
    <w:rsid w:val="1DA03F6F"/>
    <w:rsid w:val="1DA0AD91"/>
    <w:rsid w:val="1DA0B3C7"/>
    <w:rsid w:val="1DA0ED7D"/>
    <w:rsid w:val="1DA11B42"/>
    <w:rsid w:val="1DA17121"/>
    <w:rsid w:val="1DA17371"/>
    <w:rsid w:val="1DA180BB"/>
    <w:rsid w:val="1DA1A14D"/>
    <w:rsid w:val="1DA2D455"/>
    <w:rsid w:val="1DA30CB0"/>
    <w:rsid w:val="1DA38FBB"/>
    <w:rsid w:val="1DA4461D"/>
    <w:rsid w:val="1DA4639E"/>
    <w:rsid w:val="1DA47D20"/>
    <w:rsid w:val="1DA69208"/>
    <w:rsid w:val="1DA6C881"/>
    <w:rsid w:val="1DA78001"/>
    <w:rsid w:val="1DA87D56"/>
    <w:rsid w:val="1DA8B08C"/>
    <w:rsid w:val="1DA8CCAE"/>
    <w:rsid w:val="1DA8FD1B"/>
    <w:rsid w:val="1DA9906F"/>
    <w:rsid w:val="1DAA6FA0"/>
    <w:rsid w:val="1DAB030B"/>
    <w:rsid w:val="1DAC5FF7"/>
    <w:rsid w:val="1DAC7880"/>
    <w:rsid w:val="1DAD2A52"/>
    <w:rsid w:val="1DAF05D8"/>
    <w:rsid w:val="1DAF715E"/>
    <w:rsid w:val="1DB0544D"/>
    <w:rsid w:val="1DB1BB64"/>
    <w:rsid w:val="1DB295CA"/>
    <w:rsid w:val="1DB43119"/>
    <w:rsid w:val="1DB43328"/>
    <w:rsid w:val="1DB45AF0"/>
    <w:rsid w:val="1DB47632"/>
    <w:rsid w:val="1DB4A168"/>
    <w:rsid w:val="1DB4CB41"/>
    <w:rsid w:val="1DB51D21"/>
    <w:rsid w:val="1DB52E6F"/>
    <w:rsid w:val="1DB621F8"/>
    <w:rsid w:val="1DB70CC6"/>
    <w:rsid w:val="1DB77ABA"/>
    <w:rsid w:val="1DB7CD15"/>
    <w:rsid w:val="1DB7FB56"/>
    <w:rsid w:val="1DB885CB"/>
    <w:rsid w:val="1DB8B776"/>
    <w:rsid w:val="1DB9A66A"/>
    <w:rsid w:val="1DB9E1AA"/>
    <w:rsid w:val="1DBA4075"/>
    <w:rsid w:val="1DBA8252"/>
    <w:rsid w:val="1DBC1DC3"/>
    <w:rsid w:val="1DBD1C33"/>
    <w:rsid w:val="1DBD411B"/>
    <w:rsid w:val="1DBDC992"/>
    <w:rsid w:val="1DC06547"/>
    <w:rsid w:val="1DC0D40C"/>
    <w:rsid w:val="1DC0E911"/>
    <w:rsid w:val="1DC19199"/>
    <w:rsid w:val="1DC41449"/>
    <w:rsid w:val="1DC515F9"/>
    <w:rsid w:val="1DC55F12"/>
    <w:rsid w:val="1DC614A6"/>
    <w:rsid w:val="1DC63D36"/>
    <w:rsid w:val="1DC66F1F"/>
    <w:rsid w:val="1DC7EA05"/>
    <w:rsid w:val="1DC8D980"/>
    <w:rsid w:val="1DC9879B"/>
    <w:rsid w:val="1DC98C11"/>
    <w:rsid w:val="1DCA7F57"/>
    <w:rsid w:val="1DCB2AAA"/>
    <w:rsid w:val="1DCB3739"/>
    <w:rsid w:val="1DCC1AB3"/>
    <w:rsid w:val="1DCC3465"/>
    <w:rsid w:val="1DCC5D11"/>
    <w:rsid w:val="1DCC8E36"/>
    <w:rsid w:val="1DCD50D9"/>
    <w:rsid w:val="1DCDBB84"/>
    <w:rsid w:val="1DCDE600"/>
    <w:rsid w:val="1DCFC61C"/>
    <w:rsid w:val="1DD0A9E2"/>
    <w:rsid w:val="1DD0D7DE"/>
    <w:rsid w:val="1DD246BF"/>
    <w:rsid w:val="1DD2FCF0"/>
    <w:rsid w:val="1DD3715E"/>
    <w:rsid w:val="1DD38007"/>
    <w:rsid w:val="1DD386D7"/>
    <w:rsid w:val="1DD50678"/>
    <w:rsid w:val="1DD6BAD5"/>
    <w:rsid w:val="1DD6C489"/>
    <w:rsid w:val="1DD7B797"/>
    <w:rsid w:val="1DD80F9E"/>
    <w:rsid w:val="1DD82B19"/>
    <w:rsid w:val="1DD8EF2A"/>
    <w:rsid w:val="1DD91901"/>
    <w:rsid w:val="1DD92C0D"/>
    <w:rsid w:val="1DD99AAD"/>
    <w:rsid w:val="1DD9E65A"/>
    <w:rsid w:val="1DDA16B7"/>
    <w:rsid w:val="1DDA17B3"/>
    <w:rsid w:val="1DDA2E7D"/>
    <w:rsid w:val="1DDADD9F"/>
    <w:rsid w:val="1DDAEF8F"/>
    <w:rsid w:val="1DDB14FC"/>
    <w:rsid w:val="1DDB2F9F"/>
    <w:rsid w:val="1DDBF480"/>
    <w:rsid w:val="1DDC6BC5"/>
    <w:rsid w:val="1DDCFFD4"/>
    <w:rsid w:val="1DDD212F"/>
    <w:rsid w:val="1DDD9A48"/>
    <w:rsid w:val="1DDE3D08"/>
    <w:rsid w:val="1DDEE809"/>
    <w:rsid w:val="1DDF2F57"/>
    <w:rsid w:val="1DE0203C"/>
    <w:rsid w:val="1DE0237A"/>
    <w:rsid w:val="1DE0C927"/>
    <w:rsid w:val="1DE0DF18"/>
    <w:rsid w:val="1DE11061"/>
    <w:rsid w:val="1DE1C523"/>
    <w:rsid w:val="1DE21E21"/>
    <w:rsid w:val="1DE2F860"/>
    <w:rsid w:val="1DE3657F"/>
    <w:rsid w:val="1DE462FE"/>
    <w:rsid w:val="1DE5296D"/>
    <w:rsid w:val="1DE57468"/>
    <w:rsid w:val="1DE61C2A"/>
    <w:rsid w:val="1DE6BEE7"/>
    <w:rsid w:val="1DE79A19"/>
    <w:rsid w:val="1DE7F9BD"/>
    <w:rsid w:val="1DE85F33"/>
    <w:rsid w:val="1DE8CE32"/>
    <w:rsid w:val="1DE90B60"/>
    <w:rsid w:val="1DE97C4B"/>
    <w:rsid w:val="1DEA2625"/>
    <w:rsid w:val="1DEAB346"/>
    <w:rsid w:val="1DEAFE72"/>
    <w:rsid w:val="1DEBD44C"/>
    <w:rsid w:val="1DEC0354"/>
    <w:rsid w:val="1DEC2FA3"/>
    <w:rsid w:val="1DEE7340"/>
    <w:rsid w:val="1DEF0466"/>
    <w:rsid w:val="1DEF3D99"/>
    <w:rsid w:val="1DEF6D2D"/>
    <w:rsid w:val="1DEF90A0"/>
    <w:rsid w:val="1DF03783"/>
    <w:rsid w:val="1DF16E74"/>
    <w:rsid w:val="1DF1F970"/>
    <w:rsid w:val="1DF3C032"/>
    <w:rsid w:val="1DF48324"/>
    <w:rsid w:val="1DF588E4"/>
    <w:rsid w:val="1DF5D102"/>
    <w:rsid w:val="1DF64C0F"/>
    <w:rsid w:val="1DF77B73"/>
    <w:rsid w:val="1DF7F019"/>
    <w:rsid w:val="1DF8335C"/>
    <w:rsid w:val="1DF84597"/>
    <w:rsid w:val="1DF8C579"/>
    <w:rsid w:val="1DF9C754"/>
    <w:rsid w:val="1DF9CB23"/>
    <w:rsid w:val="1DF9CC0A"/>
    <w:rsid w:val="1DF9FD97"/>
    <w:rsid w:val="1DFAA500"/>
    <w:rsid w:val="1DFB7BE3"/>
    <w:rsid w:val="1DFC2B52"/>
    <w:rsid w:val="1DFCC308"/>
    <w:rsid w:val="1DFF2FEE"/>
    <w:rsid w:val="1DFFD326"/>
    <w:rsid w:val="1DFFED8F"/>
    <w:rsid w:val="1E008EFE"/>
    <w:rsid w:val="1E010C96"/>
    <w:rsid w:val="1E0163C3"/>
    <w:rsid w:val="1E0226C5"/>
    <w:rsid w:val="1E0253B9"/>
    <w:rsid w:val="1E02A70D"/>
    <w:rsid w:val="1E03B463"/>
    <w:rsid w:val="1E03D941"/>
    <w:rsid w:val="1E042946"/>
    <w:rsid w:val="1E047418"/>
    <w:rsid w:val="1E0486B7"/>
    <w:rsid w:val="1E06E46B"/>
    <w:rsid w:val="1E087174"/>
    <w:rsid w:val="1E087748"/>
    <w:rsid w:val="1E08E376"/>
    <w:rsid w:val="1E09721B"/>
    <w:rsid w:val="1E0A08DC"/>
    <w:rsid w:val="1E0AB209"/>
    <w:rsid w:val="1E0AF9B9"/>
    <w:rsid w:val="1E0C9CCB"/>
    <w:rsid w:val="1E0D1547"/>
    <w:rsid w:val="1E0D3633"/>
    <w:rsid w:val="1E0D4D0F"/>
    <w:rsid w:val="1E0D74D3"/>
    <w:rsid w:val="1E0EB805"/>
    <w:rsid w:val="1E0FE783"/>
    <w:rsid w:val="1E106F6C"/>
    <w:rsid w:val="1E107DD6"/>
    <w:rsid w:val="1E110829"/>
    <w:rsid w:val="1E1170E6"/>
    <w:rsid w:val="1E1237B3"/>
    <w:rsid w:val="1E12755E"/>
    <w:rsid w:val="1E128B66"/>
    <w:rsid w:val="1E12A91B"/>
    <w:rsid w:val="1E12D5E6"/>
    <w:rsid w:val="1E1350F0"/>
    <w:rsid w:val="1E1385CF"/>
    <w:rsid w:val="1E13FB9C"/>
    <w:rsid w:val="1E14F3A6"/>
    <w:rsid w:val="1E165406"/>
    <w:rsid w:val="1E16678D"/>
    <w:rsid w:val="1E16CFA1"/>
    <w:rsid w:val="1E17076B"/>
    <w:rsid w:val="1E17F1E0"/>
    <w:rsid w:val="1E180C5E"/>
    <w:rsid w:val="1E18CDB3"/>
    <w:rsid w:val="1E193780"/>
    <w:rsid w:val="1E1B3DE6"/>
    <w:rsid w:val="1E1B75A1"/>
    <w:rsid w:val="1E1C396D"/>
    <w:rsid w:val="1E1DA1A3"/>
    <w:rsid w:val="1E1DF410"/>
    <w:rsid w:val="1E1E2408"/>
    <w:rsid w:val="1E1EC8BE"/>
    <w:rsid w:val="1E1ECD18"/>
    <w:rsid w:val="1E20267B"/>
    <w:rsid w:val="1E20E730"/>
    <w:rsid w:val="1E2108FE"/>
    <w:rsid w:val="1E215292"/>
    <w:rsid w:val="1E21AAED"/>
    <w:rsid w:val="1E22FA31"/>
    <w:rsid w:val="1E239D98"/>
    <w:rsid w:val="1E23B585"/>
    <w:rsid w:val="1E23D8B5"/>
    <w:rsid w:val="1E24F64D"/>
    <w:rsid w:val="1E252AB5"/>
    <w:rsid w:val="1E25EF60"/>
    <w:rsid w:val="1E2716B3"/>
    <w:rsid w:val="1E27F151"/>
    <w:rsid w:val="1E29847D"/>
    <w:rsid w:val="1E2A4A94"/>
    <w:rsid w:val="1E2B05B9"/>
    <w:rsid w:val="1E2B83E8"/>
    <w:rsid w:val="1E2BB838"/>
    <w:rsid w:val="1E2BFFB7"/>
    <w:rsid w:val="1E2C7C21"/>
    <w:rsid w:val="1E2C8232"/>
    <w:rsid w:val="1E2DCF5F"/>
    <w:rsid w:val="1E2DFF3C"/>
    <w:rsid w:val="1E2EB586"/>
    <w:rsid w:val="1E2ECF42"/>
    <w:rsid w:val="1E2F3FDB"/>
    <w:rsid w:val="1E2FF7C8"/>
    <w:rsid w:val="1E30072D"/>
    <w:rsid w:val="1E301B3D"/>
    <w:rsid w:val="1E30BC7D"/>
    <w:rsid w:val="1E30C6FC"/>
    <w:rsid w:val="1E323558"/>
    <w:rsid w:val="1E324592"/>
    <w:rsid w:val="1E325D23"/>
    <w:rsid w:val="1E3262A7"/>
    <w:rsid w:val="1E3286BC"/>
    <w:rsid w:val="1E333880"/>
    <w:rsid w:val="1E33CBAE"/>
    <w:rsid w:val="1E349462"/>
    <w:rsid w:val="1E351EEF"/>
    <w:rsid w:val="1E361417"/>
    <w:rsid w:val="1E363146"/>
    <w:rsid w:val="1E36739F"/>
    <w:rsid w:val="1E370D92"/>
    <w:rsid w:val="1E37613D"/>
    <w:rsid w:val="1E37DD66"/>
    <w:rsid w:val="1E37F2B5"/>
    <w:rsid w:val="1E38099E"/>
    <w:rsid w:val="1E380A10"/>
    <w:rsid w:val="1E38E8CD"/>
    <w:rsid w:val="1E393D5B"/>
    <w:rsid w:val="1E399F8A"/>
    <w:rsid w:val="1E3CBA20"/>
    <w:rsid w:val="1E3D0677"/>
    <w:rsid w:val="1E3D1AC9"/>
    <w:rsid w:val="1E3D22C2"/>
    <w:rsid w:val="1E3ECABE"/>
    <w:rsid w:val="1E3EFBFA"/>
    <w:rsid w:val="1E3F11C7"/>
    <w:rsid w:val="1E3F6594"/>
    <w:rsid w:val="1E3F9D84"/>
    <w:rsid w:val="1E415A11"/>
    <w:rsid w:val="1E44115A"/>
    <w:rsid w:val="1E442E26"/>
    <w:rsid w:val="1E44FEC6"/>
    <w:rsid w:val="1E455968"/>
    <w:rsid w:val="1E466655"/>
    <w:rsid w:val="1E472607"/>
    <w:rsid w:val="1E4799C4"/>
    <w:rsid w:val="1E47D97F"/>
    <w:rsid w:val="1E47FCC8"/>
    <w:rsid w:val="1E4ADE8E"/>
    <w:rsid w:val="1E4BEB84"/>
    <w:rsid w:val="1E4C92A3"/>
    <w:rsid w:val="1E4CBE5F"/>
    <w:rsid w:val="1E4F454C"/>
    <w:rsid w:val="1E4F9D3C"/>
    <w:rsid w:val="1E51AC9D"/>
    <w:rsid w:val="1E521F05"/>
    <w:rsid w:val="1E529000"/>
    <w:rsid w:val="1E52B19D"/>
    <w:rsid w:val="1E52CDDD"/>
    <w:rsid w:val="1E52EEEF"/>
    <w:rsid w:val="1E52EF23"/>
    <w:rsid w:val="1E52F82F"/>
    <w:rsid w:val="1E539355"/>
    <w:rsid w:val="1E53CAF0"/>
    <w:rsid w:val="1E54CD67"/>
    <w:rsid w:val="1E551DE9"/>
    <w:rsid w:val="1E55B9DB"/>
    <w:rsid w:val="1E563E9A"/>
    <w:rsid w:val="1E567226"/>
    <w:rsid w:val="1E56C113"/>
    <w:rsid w:val="1E5730E4"/>
    <w:rsid w:val="1E57EA91"/>
    <w:rsid w:val="1E57F0C6"/>
    <w:rsid w:val="1E58C37D"/>
    <w:rsid w:val="1E5981B3"/>
    <w:rsid w:val="1E599DAC"/>
    <w:rsid w:val="1E5A4120"/>
    <w:rsid w:val="1E5C1B31"/>
    <w:rsid w:val="1E5CFEFD"/>
    <w:rsid w:val="1E5D2D2C"/>
    <w:rsid w:val="1E5F4504"/>
    <w:rsid w:val="1E5FCF30"/>
    <w:rsid w:val="1E5FFA74"/>
    <w:rsid w:val="1E600983"/>
    <w:rsid w:val="1E606282"/>
    <w:rsid w:val="1E609493"/>
    <w:rsid w:val="1E6192E8"/>
    <w:rsid w:val="1E6224B6"/>
    <w:rsid w:val="1E635D57"/>
    <w:rsid w:val="1E63C828"/>
    <w:rsid w:val="1E63D3CE"/>
    <w:rsid w:val="1E657918"/>
    <w:rsid w:val="1E6658AA"/>
    <w:rsid w:val="1E6801EC"/>
    <w:rsid w:val="1E680B4A"/>
    <w:rsid w:val="1E6823BE"/>
    <w:rsid w:val="1E68A61D"/>
    <w:rsid w:val="1E696739"/>
    <w:rsid w:val="1E69D7E1"/>
    <w:rsid w:val="1E69FD11"/>
    <w:rsid w:val="1E6ABF42"/>
    <w:rsid w:val="1E6B3840"/>
    <w:rsid w:val="1E6BD17C"/>
    <w:rsid w:val="1E6C301E"/>
    <w:rsid w:val="1E6CDC18"/>
    <w:rsid w:val="1E6DBDE9"/>
    <w:rsid w:val="1E6E56B9"/>
    <w:rsid w:val="1E6E5A25"/>
    <w:rsid w:val="1E6FF959"/>
    <w:rsid w:val="1E705F24"/>
    <w:rsid w:val="1E706CC6"/>
    <w:rsid w:val="1E70C213"/>
    <w:rsid w:val="1E71438E"/>
    <w:rsid w:val="1E71EE46"/>
    <w:rsid w:val="1E721D8A"/>
    <w:rsid w:val="1E725181"/>
    <w:rsid w:val="1E73AB45"/>
    <w:rsid w:val="1E7447D6"/>
    <w:rsid w:val="1E7530FE"/>
    <w:rsid w:val="1E76A6A7"/>
    <w:rsid w:val="1E772359"/>
    <w:rsid w:val="1E785404"/>
    <w:rsid w:val="1E787CF5"/>
    <w:rsid w:val="1E79E561"/>
    <w:rsid w:val="1E7AD6B8"/>
    <w:rsid w:val="1E7BB645"/>
    <w:rsid w:val="1E7BD6BC"/>
    <w:rsid w:val="1E7CB572"/>
    <w:rsid w:val="1E7D593A"/>
    <w:rsid w:val="1E7E96DA"/>
    <w:rsid w:val="1E812C88"/>
    <w:rsid w:val="1E817384"/>
    <w:rsid w:val="1E817D84"/>
    <w:rsid w:val="1E81F9FB"/>
    <w:rsid w:val="1E823075"/>
    <w:rsid w:val="1E82D086"/>
    <w:rsid w:val="1E8387A9"/>
    <w:rsid w:val="1E84E162"/>
    <w:rsid w:val="1E855A8F"/>
    <w:rsid w:val="1E85DC9B"/>
    <w:rsid w:val="1E862F02"/>
    <w:rsid w:val="1E870A23"/>
    <w:rsid w:val="1E877969"/>
    <w:rsid w:val="1E878B8A"/>
    <w:rsid w:val="1E8875B3"/>
    <w:rsid w:val="1E892CC3"/>
    <w:rsid w:val="1E893AE8"/>
    <w:rsid w:val="1E893DBD"/>
    <w:rsid w:val="1E8A1E8E"/>
    <w:rsid w:val="1E8A1EC8"/>
    <w:rsid w:val="1E8B621D"/>
    <w:rsid w:val="1E8CAB1C"/>
    <w:rsid w:val="1E8CEC6D"/>
    <w:rsid w:val="1E8DC0B5"/>
    <w:rsid w:val="1E8E1248"/>
    <w:rsid w:val="1E8EC423"/>
    <w:rsid w:val="1E8ECB27"/>
    <w:rsid w:val="1E8F0D3D"/>
    <w:rsid w:val="1E903AD8"/>
    <w:rsid w:val="1E90737E"/>
    <w:rsid w:val="1E90F6DD"/>
    <w:rsid w:val="1E91FB7D"/>
    <w:rsid w:val="1E920311"/>
    <w:rsid w:val="1E922C01"/>
    <w:rsid w:val="1E922D7F"/>
    <w:rsid w:val="1E926571"/>
    <w:rsid w:val="1E926ABF"/>
    <w:rsid w:val="1E931B21"/>
    <w:rsid w:val="1E932471"/>
    <w:rsid w:val="1E936A0F"/>
    <w:rsid w:val="1E942294"/>
    <w:rsid w:val="1E94D49A"/>
    <w:rsid w:val="1E94DF46"/>
    <w:rsid w:val="1E96DADF"/>
    <w:rsid w:val="1E9772A0"/>
    <w:rsid w:val="1E97BC82"/>
    <w:rsid w:val="1E97F409"/>
    <w:rsid w:val="1E98CB38"/>
    <w:rsid w:val="1E9999C4"/>
    <w:rsid w:val="1E9B6AD2"/>
    <w:rsid w:val="1E9CFE9D"/>
    <w:rsid w:val="1E9E4070"/>
    <w:rsid w:val="1E9E432A"/>
    <w:rsid w:val="1E9EBBBC"/>
    <w:rsid w:val="1E9EFDFF"/>
    <w:rsid w:val="1E9F472D"/>
    <w:rsid w:val="1E9F5E2A"/>
    <w:rsid w:val="1E9F74A7"/>
    <w:rsid w:val="1E9F9583"/>
    <w:rsid w:val="1E9FF8EA"/>
    <w:rsid w:val="1EA00C69"/>
    <w:rsid w:val="1EA2924A"/>
    <w:rsid w:val="1EA2E743"/>
    <w:rsid w:val="1EA2FF2D"/>
    <w:rsid w:val="1EA3A796"/>
    <w:rsid w:val="1EA3BD72"/>
    <w:rsid w:val="1EA41753"/>
    <w:rsid w:val="1EA43787"/>
    <w:rsid w:val="1EA4C964"/>
    <w:rsid w:val="1EA70BE5"/>
    <w:rsid w:val="1EA82A9F"/>
    <w:rsid w:val="1EA83474"/>
    <w:rsid w:val="1EA8912E"/>
    <w:rsid w:val="1EA8D162"/>
    <w:rsid w:val="1EA9729E"/>
    <w:rsid w:val="1EA981AA"/>
    <w:rsid w:val="1EA9B12F"/>
    <w:rsid w:val="1EA9D19D"/>
    <w:rsid w:val="1EAA322E"/>
    <w:rsid w:val="1EAB82D9"/>
    <w:rsid w:val="1EAC0CFB"/>
    <w:rsid w:val="1EACB37F"/>
    <w:rsid w:val="1EAD0CD3"/>
    <w:rsid w:val="1EADC445"/>
    <w:rsid w:val="1EADD141"/>
    <w:rsid w:val="1EAED6BE"/>
    <w:rsid w:val="1EAF7A19"/>
    <w:rsid w:val="1EAFD24D"/>
    <w:rsid w:val="1EB00D95"/>
    <w:rsid w:val="1EB0C1C5"/>
    <w:rsid w:val="1EB116C6"/>
    <w:rsid w:val="1EB2D919"/>
    <w:rsid w:val="1EB354AA"/>
    <w:rsid w:val="1EB3E49B"/>
    <w:rsid w:val="1EB41102"/>
    <w:rsid w:val="1EB4887E"/>
    <w:rsid w:val="1EB5744F"/>
    <w:rsid w:val="1EB5825A"/>
    <w:rsid w:val="1EB6E892"/>
    <w:rsid w:val="1EB73AFF"/>
    <w:rsid w:val="1EB80E6C"/>
    <w:rsid w:val="1EB84D27"/>
    <w:rsid w:val="1EBA1E41"/>
    <w:rsid w:val="1EBBDB28"/>
    <w:rsid w:val="1EBCAE9D"/>
    <w:rsid w:val="1EBCC579"/>
    <w:rsid w:val="1EBD70B4"/>
    <w:rsid w:val="1EBD9391"/>
    <w:rsid w:val="1EBDACAA"/>
    <w:rsid w:val="1EBDCB0F"/>
    <w:rsid w:val="1EBEA77D"/>
    <w:rsid w:val="1EBFF5E0"/>
    <w:rsid w:val="1EC06993"/>
    <w:rsid w:val="1EC08069"/>
    <w:rsid w:val="1EC0EF19"/>
    <w:rsid w:val="1EC12463"/>
    <w:rsid w:val="1EC29E4F"/>
    <w:rsid w:val="1EC2C87F"/>
    <w:rsid w:val="1EC2DFC2"/>
    <w:rsid w:val="1EC46A26"/>
    <w:rsid w:val="1EC506E6"/>
    <w:rsid w:val="1EC58E2E"/>
    <w:rsid w:val="1EC59813"/>
    <w:rsid w:val="1EC6DA02"/>
    <w:rsid w:val="1EC6DC0A"/>
    <w:rsid w:val="1EC6FF59"/>
    <w:rsid w:val="1EC8137C"/>
    <w:rsid w:val="1ECAADF0"/>
    <w:rsid w:val="1ECAED90"/>
    <w:rsid w:val="1ECB0046"/>
    <w:rsid w:val="1ECB4425"/>
    <w:rsid w:val="1ECBE09C"/>
    <w:rsid w:val="1ECC0F55"/>
    <w:rsid w:val="1ECC6D47"/>
    <w:rsid w:val="1ECD46C8"/>
    <w:rsid w:val="1ECD6035"/>
    <w:rsid w:val="1ECD64B5"/>
    <w:rsid w:val="1ECDE2A2"/>
    <w:rsid w:val="1ECDFAB7"/>
    <w:rsid w:val="1ECE3342"/>
    <w:rsid w:val="1ECE5442"/>
    <w:rsid w:val="1ECE6B7E"/>
    <w:rsid w:val="1ECED324"/>
    <w:rsid w:val="1ECF0542"/>
    <w:rsid w:val="1ED33CA1"/>
    <w:rsid w:val="1ED340DF"/>
    <w:rsid w:val="1ED42888"/>
    <w:rsid w:val="1ED441ED"/>
    <w:rsid w:val="1ED66CD8"/>
    <w:rsid w:val="1ED6CED2"/>
    <w:rsid w:val="1ED6DC81"/>
    <w:rsid w:val="1ED7813E"/>
    <w:rsid w:val="1ED83718"/>
    <w:rsid w:val="1ED93FE1"/>
    <w:rsid w:val="1ED9550C"/>
    <w:rsid w:val="1ED9F82C"/>
    <w:rsid w:val="1ED9FA81"/>
    <w:rsid w:val="1EDA29A0"/>
    <w:rsid w:val="1EDAD90E"/>
    <w:rsid w:val="1EDB3038"/>
    <w:rsid w:val="1EDBB7E7"/>
    <w:rsid w:val="1EDBD123"/>
    <w:rsid w:val="1EDBD948"/>
    <w:rsid w:val="1EDC16B4"/>
    <w:rsid w:val="1EDC7F8F"/>
    <w:rsid w:val="1EDC821F"/>
    <w:rsid w:val="1EDC8B15"/>
    <w:rsid w:val="1EDD5449"/>
    <w:rsid w:val="1EDDB4B7"/>
    <w:rsid w:val="1EDE1B68"/>
    <w:rsid w:val="1EDF62E7"/>
    <w:rsid w:val="1EDFCDBA"/>
    <w:rsid w:val="1EE06AA9"/>
    <w:rsid w:val="1EE0B400"/>
    <w:rsid w:val="1EE19548"/>
    <w:rsid w:val="1EE2677D"/>
    <w:rsid w:val="1EE28B9F"/>
    <w:rsid w:val="1EE2D5E5"/>
    <w:rsid w:val="1EE31B42"/>
    <w:rsid w:val="1EE37680"/>
    <w:rsid w:val="1EE3EC3D"/>
    <w:rsid w:val="1EE70035"/>
    <w:rsid w:val="1EE707FF"/>
    <w:rsid w:val="1EE73B63"/>
    <w:rsid w:val="1EE8BC00"/>
    <w:rsid w:val="1EE94450"/>
    <w:rsid w:val="1EEA521D"/>
    <w:rsid w:val="1EEAE33B"/>
    <w:rsid w:val="1EEB26F2"/>
    <w:rsid w:val="1EEC24BB"/>
    <w:rsid w:val="1EEC3517"/>
    <w:rsid w:val="1EED557F"/>
    <w:rsid w:val="1EED6CA9"/>
    <w:rsid w:val="1EEE35C4"/>
    <w:rsid w:val="1EEEDA97"/>
    <w:rsid w:val="1EEF8DC4"/>
    <w:rsid w:val="1EEF9B8D"/>
    <w:rsid w:val="1EF038CA"/>
    <w:rsid w:val="1EF0C5C5"/>
    <w:rsid w:val="1EF2C801"/>
    <w:rsid w:val="1EF371DE"/>
    <w:rsid w:val="1EF3C328"/>
    <w:rsid w:val="1EF3D4BB"/>
    <w:rsid w:val="1EF4B9C2"/>
    <w:rsid w:val="1EF4E26B"/>
    <w:rsid w:val="1EF4E5AF"/>
    <w:rsid w:val="1EF55364"/>
    <w:rsid w:val="1EF57EFC"/>
    <w:rsid w:val="1EF67920"/>
    <w:rsid w:val="1EF6A8AF"/>
    <w:rsid w:val="1EF6AD49"/>
    <w:rsid w:val="1EF6EE1C"/>
    <w:rsid w:val="1EF94A10"/>
    <w:rsid w:val="1EF94CD4"/>
    <w:rsid w:val="1EF94E91"/>
    <w:rsid w:val="1EF9B336"/>
    <w:rsid w:val="1EFAC431"/>
    <w:rsid w:val="1EFB2167"/>
    <w:rsid w:val="1EFC028B"/>
    <w:rsid w:val="1EFC65A0"/>
    <w:rsid w:val="1EFC7F6D"/>
    <w:rsid w:val="1EFC84F8"/>
    <w:rsid w:val="1EFCB790"/>
    <w:rsid w:val="1EFD30FE"/>
    <w:rsid w:val="1EFD7451"/>
    <w:rsid w:val="1EFEE54D"/>
    <w:rsid w:val="1EFF0BB3"/>
    <w:rsid w:val="1EFFACEA"/>
    <w:rsid w:val="1F003D96"/>
    <w:rsid w:val="1F02A991"/>
    <w:rsid w:val="1F040D26"/>
    <w:rsid w:val="1F0431D5"/>
    <w:rsid w:val="1F04C46A"/>
    <w:rsid w:val="1F0508A8"/>
    <w:rsid w:val="1F051B03"/>
    <w:rsid w:val="1F0555A7"/>
    <w:rsid w:val="1F067C88"/>
    <w:rsid w:val="1F077E89"/>
    <w:rsid w:val="1F07B02C"/>
    <w:rsid w:val="1F0887DD"/>
    <w:rsid w:val="1F08A076"/>
    <w:rsid w:val="1F097946"/>
    <w:rsid w:val="1F098F7E"/>
    <w:rsid w:val="1F099B55"/>
    <w:rsid w:val="1F09C7F2"/>
    <w:rsid w:val="1F0A6110"/>
    <w:rsid w:val="1F0B77D4"/>
    <w:rsid w:val="1F0BAF21"/>
    <w:rsid w:val="1F0C2A0C"/>
    <w:rsid w:val="1F0C6816"/>
    <w:rsid w:val="1F0DADE8"/>
    <w:rsid w:val="1F0DDB00"/>
    <w:rsid w:val="1F0F7006"/>
    <w:rsid w:val="1F101D9C"/>
    <w:rsid w:val="1F11A3D8"/>
    <w:rsid w:val="1F135ECE"/>
    <w:rsid w:val="1F13B476"/>
    <w:rsid w:val="1F14A388"/>
    <w:rsid w:val="1F14D045"/>
    <w:rsid w:val="1F150602"/>
    <w:rsid w:val="1F173A21"/>
    <w:rsid w:val="1F17D5F2"/>
    <w:rsid w:val="1F18A5D2"/>
    <w:rsid w:val="1F19D877"/>
    <w:rsid w:val="1F19EEC3"/>
    <w:rsid w:val="1F1A74FA"/>
    <w:rsid w:val="1F1AA248"/>
    <w:rsid w:val="1F1B1BCE"/>
    <w:rsid w:val="1F1B3882"/>
    <w:rsid w:val="1F1B679A"/>
    <w:rsid w:val="1F1BC58F"/>
    <w:rsid w:val="1F1BF9D0"/>
    <w:rsid w:val="1F1C3306"/>
    <w:rsid w:val="1F1C331E"/>
    <w:rsid w:val="1F1D5A32"/>
    <w:rsid w:val="1F1DD25A"/>
    <w:rsid w:val="1F1DD965"/>
    <w:rsid w:val="1F1E9A1F"/>
    <w:rsid w:val="1F1F5928"/>
    <w:rsid w:val="1F2034FD"/>
    <w:rsid w:val="1F20D18A"/>
    <w:rsid w:val="1F217E18"/>
    <w:rsid w:val="1F21C5F7"/>
    <w:rsid w:val="1F22946F"/>
    <w:rsid w:val="1F230C7A"/>
    <w:rsid w:val="1F23FE47"/>
    <w:rsid w:val="1F2445FB"/>
    <w:rsid w:val="1F251016"/>
    <w:rsid w:val="1F2549C4"/>
    <w:rsid w:val="1F2573E2"/>
    <w:rsid w:val="1F266572"/>
    <w:rsid w:val="1F26E2A7"/>
    <w:rsid w:val="1F28174C"/>
    <w:rsid w:val="1F28E037"/>
    <w:rsid w:val="1F294928"/>
    <w:rsid w:val="1F295F4B"/>
    <w:rsid w:val="1F2B3A0C"/>
    <w:rsid w:val="1F2C443F"/>
    <w:rsid w:val="1F2C7706"/>
    <w:rsid w:val="1F2CB104"/>
    <w:rsid w:val="1F2D7031"/>
    <w:rsid w:val="1F2D9348"/>
    <w:rsid w:val="1F2E73EB"/>
    <w:rsid w:val="1F2ED788"/>
    <w:rsid w:val="1F2F0D9A"/>
    <w:rsid w:val="1F2F4094"/>
    <w:rsid w:val="1F2F9F57"/>
    <w:rsid w:val="1F2FB4AA"/>
    <w:rsid w:val="1F3003BD"/>
    <w:rsid w:val="1F303160"/>
    <w:rsid w:val="1F3037B6"/>
    <w:rsid w:val="1F30C6C9"/>
    <w:rsid w:val="1F312B3D"/>
    <w:rsid w:val="1F31AB02"/>
    <w:rsid w:val="1F320EBA"/>
    <w:rsid w:val="1F3260E6"/>
    <w:rsid w:val="1F335DA2"/>
    <w:rsid w:val="1F346120"/>
    <w:rsid w:val="1F353EDF"/>
    <w:rsid w:val="1F354754"/>
    <w:rsid w:val="1F355614"/>
    <w:rsid w:val="1F35E925"/>
    <w:rsid w:val="1F363DC5"/>
    <w:rsid w:val="1F36EF3D"/>
    <w:rsid w:val="1F371886"/>
    <w:rsid w:val="1F372FA7"/>
    <w:rsid w:val="1F373BC1"/>
    <w:rsid w:val="1F385348"/>
    <w:rsid w:val="1F386F3F"/>
    <w:rsid w:val="1F389721"/>
    <w:rsid w:val="1F3983C9"/>
    <w:rsid w:val="1F39B2B9"/>
    <w:rsid w:val="1F3A1711"/>
    <w:rsid w:val="1F3A563F"/>
    <w:rsid w:val="1F3BC166"/>
    <w:rsid w:val="1F3BD744"/>
    <w:rsid w:val="1F3BDFE3"/>
    <w:rsid w:val="1F3CDAB6"/>
    <w:rsid w:val="1F3D37C0"/>
    <w:rsid w:val="1F3D79F4"/>
    <w:rsid w:val="1F3EA013"/>
    <w:rsid w:val="1F3F00FA"/>
    <w:rsid w:val="1F3F95F3"/>
    <w:rsid w:val="1F3FBC2D"/>
    <w:rsid w:val="1F4048CD"/>
    <w:rsid w:val="1F407879"/>
    <w:rsid w:val="1F4175EB"/>
    <w:rsid w:val="1F418FF1"/>
    <w:rsid w:val="1F41E7F0"/>
    <w:rsid w:val="1F420336"/>
    <w:rsid w:val="1F421FCD"/>
    <w:rsid w:val="1F425B97"/>
    <w:rsid w:val="1F42D8D3"/>
    <w:rsid w:val="1F431615"/>
    <w:rsid w:val="1F446BC2"/>
    <w:rsid w:val="1F4516B1"/>
    <w:rsid w:val="1F45376C"/>
    <w:rsid w:val="1F455A61"/>
    <w:rsid w:val="1F45F5F4"/>
    <w:rsid w:val="1F460D6C"/>
    <w:rsid w:val="1F46EECF"/>
    <w:rsid w:val="1F47861D"/>
    <w:rsid w:val="1F47BF05"/>
    <w:rsid w:val="1F483CC5"/>
    <w:rsid w:val="1F4926EF"/>
    <w:rsid w:val="1F496ED6"/>
    <w:rsid w:val="1F49FE86"/>
    <w:rsid w:val="1F4AC7AD"/>
    <w:rsid w:val="1F4B6340"/>
    <w:rsid w:val="1F4CA049"/>
    <w:rsid w:val="1F4CBA3E"/>
    <w:rsid w:val="1F4D32C3"/>
    <w:rsid w:val="1F4D39F8"/>
    <w:rsid w:val="1F4D5AC3"/>
    <w:rsid w:val="1F4F3478"/>
    <w:rsid w:val="1F4F4EEF"/>
    <w:rsid w:val="1F4F51AE"/>
    <w:rsid w:val="1F4F882A"/>
    <w:rsid w:val="1F4F8D02"/>
    <w:rsid w:val="1F50935C"/>
    <w:rsid w:val="1F5131EC"/>
    <w:rsid w:val="1F5165B4"/>
    <w:rsid w:val="1F5187DB"/>
    <w:rsid w:val="1F544EBA"/>
    <w:rsid w:val="1F545331"/>
    <w:rsid w:val="1F547A3C"/>
    <w:rsid w:val="1F54A58F"/>
    <w:rsid w:val="1F5565BB"/>
    <w:rsid w:val="1F567103"/>
    <w:rsid w:val="1F56BE00"/>
    <w:rsid w:val="1F57FBE9"/>
    <w:rsid w:val="1F5817FB"/>
    <w:rsid w:val="1F5A2B74"/>
    <w:rsid w:val="1F5A7373"/>
    <w:rsid w:val="1F5A9980"/>
    <w:rsid w:val="1F5B4EDD"/>
    <w:rsid w:val="1F5BAC8E"/>
    <w:rsid w:val="1F5BB455"/>
    <w:rsid w:val="1F5C1B6A"/>
    <w:rsid w:val="1F5C7E9C"/>
    <w:rsid w:val="1F5CA47D"/>
    <w:rsid w:val="1F5D15B9"/>
    <w:rsid w:val="1F5D558D"/>
    <w:rsid w:val="1F5EEB2C"/>
    <w:rsid w:val="1F5F845C"/>
    <w:rsid w:val="1F5FA3FF"/>
    <w:rsid w:val="1F5FE919"/>
    <w:rsid w:val="1F5FF23E"/>
    <w:rsid w:val="1F60B7AC"/>
    <w:rsid w:val="1F613BEB"/>
    <w:rsid w:val="1F6223D9"/>
    <w:rsid w:val="1F636792"/>
    <w:rsid w:val="1F678A5F"/>
    <w:rsid w:val="1F67ABEF"/>
    <w:rsid w:val="1F67D104"/>
    <w:rsid w:val="1F687FED"/>
    <w:rsid w:val="1F68AC84"/>
    <w:rsid w:val="1F68F054"/>
    <w:rsid w:val="1F69A957"/>
    <w:rsid w:val="1F6B589D"/>
    <w:rsid w:val="1F6C9569"/>
    <w:rsid w:val="1F6CACC5"/>
    <w:rsid w:val="1F6CE34D"/>
    <w:rsid w:val="1F6D28EF"/>
    <w:rsid w:val="1F6F1701"/>
    <w:rsid w:val="1F6F6E29"/>
    <w:rsid w:val="1F6FD13C"/>
    <w:rsid w:val="1F703CA2"/>
    <w:rsid w:val="1F705B4C"/>
    <w:rsid w:val="1F70CEF2"/>
    <w:rsid w:val="1F717633"/>
    <w:rsid w:val="1F722F37"/>
    <w:rsid w:val="1F72EDEF"/>
    <w:rsid w:val="1F730A53"/>
    <w:rsid w:val="1F73487C"/>
    <w:rsid w:val="1F738E1E"/>
    <w:rsid w:val="1F73ACE4"/>
    <w:rsid w:val="1F74D95E"/>
    <w:rsid w:val="1F74FAB8"/>
    <w:rsid w:val="1F752EF5"/>
    <w:rsid w:val="1F760E78"/>
    <w:rsid w:val="1F764BE5"/>
    <w:rsid w:val="1F76F350"/>
    <w:rsid w:val="1F773D06"/>
    <w:rsid w:val="1F777C6C"/>
    <w:rsid w:val="1F78401A"/>
    <w:rsid w:val="1F78FBD8"/>
    <w:rsid w:val="1F790EBD"/>
    <w:rsid w:val="1F795F95"/>
    <w:rsid w:val="1F799540"/>
    <w:rsid w:val="1F7A227B"/>
    <w:rsid w:val="1F7AFA4D"/>
    <w:rsid w:val="1F7B658F"/>
    <w:rsid w:val="1F7BC6A6"/>
    <w:rsid w:val="1F7C1AEB"/>
    <w:rsid w:val="1F7D29E5"/>
    <w:rsid w:val="1F7D896F"/>
    <w:rsid w:val="1F7D929C"/>
    <w:rsid w:val="1F7DB9D5"/>
    <w:rsid w:val="1F7EC291"/>
    <w:rsid w:val="1F7FD58C"/>
    <w:rsid w:val="1F802323"/>
    <w:rsid w:val="1F814859"/>
    <w:rsid w:val="1F818844"/>
    <w:rsid w:val="1F82EB85"/>
    <w:rsid w:val="1F83AC6F"/>
    <w:rsid w:val="1F843094"/>
    <w:rsid w:val="1F84944B"/>
    <w:rsid w:val="1F84E5C3"/>
    <w:rsid w:val="1F855ECD"/>
    <w:rsid w:val="1F86029E"/>
    <w:rsid w:val="1F86DB6A"/>
    <w:rsid w:val="1F873C46"/>
    <w:rsid w:val="1F875CD2"/>
    <w:rsid w:val="1F87EA23"/>
    <w:rsid w:val="1F884AF4"/>
    <w:rsid w:val="1F8876F3"/>
    <w:rsid w:val="1F891E7D"/>
    <w:rsid w:val="1F89290F"/>
    <w:rsid w:val="1F894683"/>
    <w:rsid w:val="1F8A31CC"/>
    <w:rsid w:val="1F8A4355"/>
    <w:rsid w:val="1F8A9FA4"/>
    <w:rsid w:val="1F8BC03B"/>
    <w:rsid w:val="1F8BEA28"/>
    <w:rsid w:val="1F8C4020"/>
    <w:rsid w:val="1F8D737C"/>
    <w:rsid w:val="1F8D84BE"/>
    <w:rsid w:val="1F8E210C"/>
    <w:rsid w:val="1F8EB912"/>
    <w:rsid w:val="1F8FD6DB"/>
    <w:rsid w:val="1F90A400"/>
    <w:rsid w:val="1F90DBFD"/>
    <w:rsid w:val="1F915459"/>
    <w:rsid w:val="1F91815A"/>
    <w:rsid w:val="1F91C79A"/>
    <w:rsid w:val="1F925EF4"/>
    <w:rsid w:val="1F92978D"/>
    <w:rsid w:val="1F9336F2"/>
    <w:rsid w:val="1F9389AA"/>
    <w:rsid w:val="1F94076F"/>
    <w:rsid w:val="1F943231"/>
    <w:rsid w:val="1F948708"/>
    <w:rsid w:val="1F95040B"/>
    <w:rsid w:val="1F9580E7"/>
    <w:rsid w:val="1F96FB00"/>
    <w:rsid w:val="1F98D665"/>
    <w:rsid w:val="1F99154F"/>
    <w:rsid w:val="1F991899"/>
    <w:rsid w:val="1F9AA866"/>
    <w:rsid w:val="1F9B49EF"/>
    <w:rsid w:val="1F9B681A"/>
    <w:rsid w:val="1F9C28AE"/>
    <w:rsid w:val="1F9D4694"/>
    <w:rsid w:val="1F9DC2D9"/>
    <w:rsid w:val="1F9FA3E0"/>
    <w:rsid w:val="1F9FCFD2"/>
    <w:rsid w:val="1FA1107D"/>
    <w:rsid w:val="1FA14425"/>
    <w:rsid w:val="1FA15F94"/>
    <w:rsid w:val="1FA17268"/>
    <w:rsid w:val="1FA18A99"/>
    <w:rsid w:val="1FA2074A"/>
    <w:rsid w:val="1FA266C0"/>
    <w:rsid w:val="1FA2A3F6"/>
    <w:rsid w:val="1FA2FD94"/>
    <w:rsid w:val="1FA3B23D"/>
    <w:rsid w:val="1FA41854"/>
    <w:rsid w:val="1FA435A6"/>
    <w:rsid w:val="1FA56901"/>
    <w:rsid w:val="1FA5A0AD"/>
    <w:rsid w:val="1FA6B4B3"/>
    <w:rsid w:val="1FA80B5E"/>
    <w:rsid w:val="1FA829C3"/>
    <w:rsid w:val="1FA9A42C"/>
    <w:rsid w:val="1FAA13A2"/>
    <w:rsid w:val="1FAB4D86"/>
    <w:rsid w:val="1FAB9A82"/>
    <w:rsid w:val="1FABD657"/>
    <w:rsid w:val="1FAD6457"/>
    <w:rsid w:val="1FAE280F"/>
    <w:rsid w:val="1FAE636E"/>
    <w:rsid w:val="1FAE69DD"/>
    <w:rsid w:val="1FAE797C"/>
    <w:rsid w:val="1FAE9988"/>
    <w:rsid w:val="1FAF4775"/>
    <w:rsid w:val="1FAF9C82"/>
    <w:rsid w:val="1FAFC364"/>
    <w:rsid w:val="1FB36A50"/>
    <w:rsid w:val="1FB3A366"/>
    <w:rsid w:val="1FB57366"/>
    <w:rsid w:val="1FB6D603"/>
    <w:rsid w:val="1FB7056E"/>
    <w:rsid w:val="1FB74BA0"/>
    <w:rsid w:val="1FB84920"/>
    <w:rsid w:val="1FB9C40E"/>
    <w:rsid w:val="1FBB563F"/>
    <w:rsid w:val="1FBBECF0"/>
    <w:rsid w:val="1FBE40B6"/>
    <w:rsid w:val="1FBF00D1"/>
    <w:rsid w:val="1FBF634D"/>
    <w:rsid w:val="1FBFBB0D"/>
    <w:rsid w:val="1FBFD1C2"/>
    <w:rsid w:val="1FBFEF86"/>
    <w:rsid w:val="1FBFFC40"/>
    <w:rsid w:val="1FC014F6"/>
    <w:rsid w:val="1FC03E06"/>
    <w:rsid w:val="1FC09FEC"/>
    <w:rsid w:val="1FC0D84B"/>
    <w:rsid w:val="1FC1DA66"/>
    <w:rsid w:val="1FC30EAD"/>
    <w:rsid w:val="1FC36AB3"/>
    <w:rsid w:val="1FC403A5"/>
    <w:rsid w:val="1FC42F51"/>
    <w:rsid w:val="1FC478B3"/>
    <w:rsid w:val="1FC4F0AB"/>
    <w:rsid w:val="1FC54056"/>
    <w:rsid w:val="1FC63FF9"/>
    <w:rsid w:val="1FC69859"/>
    <w:rsid w:val="1FC6BE8D"/>
    <w:rsid w:val="1FC81C2D"/>
    <w:rsid w:val="1FC8358E"/>
    <w:rsid w:val="1FC8A64E"/>
    <w:rsid w:val="1FC9295C"/>
    <w:rsid w:val="1FC99F41"/>
    <w:rsid w:val="1FC9A38C"/>
    <w:rsid w:val="1FC9AAEA"/>
    <w:rsid w:val="1FC9D380"/>
    <w:rsid w:val="1FCA2838"/>
    <w:rsid w:val="1FCA7AFF"/>
    <w:rsid w:val="1FCBC05D"/>
    <w:rsid w:val="1FCBC11D"/>
    <w:rsid w:val="1FCBF7C8"/>
    <w:rsid w:val="1FCCDA62"/>
    <w:rsid w:val="1FCCDCDA"/>
    <w:rsid w:val="1FCD2B18"/>
    <w:rsid w:val="1FCD9C90"/>
    <w:rsid w:val="1FCE2699"/>
    <w:rsid w:val="1FCE646B"/>
    <w:rsid w:val="1FD031EE"/>
    <w:rsid w:val="1FD18A3E"/>
    <w:rsid w:val="1FD19A9A"/>
    <w:rsid w:val="1FD1ADAD"/>
    <w:rsid w:val="1FD1FA3D"/>
    <w:rsid w:val="1FD20FC1"/>
    <w:rsid w:val="1FD2842E"/>
    <w:rsid w:val="1FD32CB4"/>
    <w:rsid w:val="1FD3CA51"/>
    <w:rsid w:val="1FD4202B"/>
    <w:rsid w:val="1FD4DD96"/>
    <w:rsid w:val="1FD5E6DC"/>
    <w:rsid w:val="1FD67680"/>
    <w:rsid w:val="1FD70968"/>
    <w:rsid w:val="1FD754BD"/>
    <w:rsid w:val="1FD855C1"/>
    <w:rsid w:val="1FD857D8"/>
    <w:rsid w:val="1FD8DD25"/>
    <w:rsid w:val="1FD95DAC"/>
    <w:rsid w:val="1FDA6414"/>
    <w:rsid w:val="1FDA7AF5"/>
    <w:rsid w:val="1FDAE555"/>
    <w:rsid w:val="1FDBB417"/>
    <w:rsid w:val="1FDC5E98"/>
    <w:rsid w:val="1FDC9E7D"/>
    <w:rsid w:val="1FDCFB84"/>
    <w:rsid w:val="1FDD0487"/>
    <w:rsid w:val="1FDDB556"/>
    <w:rsid w:val="1FDDC928"/>
    <w:rsid w:val="1FDDD558"/>
    <w:rsid w:val="1FDE5EEE"/>
    <w:rsid w:val="1FDEDCA1"/>
    <w:rsid w:val="1FDFCE42"/>
    <w:rsid w:val="1FE10F53"/>
    <w:rsid w:val="1FE195AE"/>
    <w:rsid w:val="1FE1FCF8"/>
    <w:rsid w:val="1FE30A06"/>
    <w:rsid w:val="1FE3E129"/>
    <w:rsid w:val="1FE46642"/>
    <w:rsid w:val="1FE4B0B0"/>
    <w:rsid w:val="1FE61887"/>
    <w:rsid w:val="1FE6ED77"/>
    <w:rsid w:val="1FE89A08"/>
    <w:rsid w:val="1FE8E7ED"/>
    <w:rsid w:val="1FE93E66"/>
    <w:rsid w:val="1FEA250A"/>
    <w:rsid w:val="1FEA25E2"/>
    <w:rsid w:val="1FEC392A"/>
    <w:rsid w:val="1FEDAEA4"/>
    <w:rsid w:val="1FEE0238"/>
    <w:rsid w:val="1FEE16E7"/>
    <w:rsid w:val="1FEEE311"/>
    <w:rsid w:val="1FEF0A49"/>
    <w:rsid w:val="1FEF78EB"/>
    <w:rsid w:val="1FEFDEF6"/>
    <w:rsid w:val="1FF070B6"/>
    <w:rsid w:val="1FF159D9"/>
    <w:rsid w:val="1FF205AB"/>
    <w:rsid w:val="1FF2129A"/>
    <w:rsid w:val="1FF2C6E1"/>
    <w:rsid w:val="1FF3F150"/>
    <w:rsid w:val="1FF4121B"/>
    <w:rsid w:val="1FF415E1"/>
    <w:rsid w:val="1FF462BE"/>
    <w:rsid w:val="1FF5873E"/>
    <w:rsid w:val="1FF5FBC1"/>
    <w:rsid w:val="1FF64352"/>
    <w:rsid w:val="1FF697A4"/>
    <w:rsid w:val="1FF7D9BA"/>
    <w:rsid w:val="1FF855F5"/>
    <w:rsid w:val="1FF94134"/>
    <w:rsid w:val="1FF990FE"/>
    <w:rsid w:val="1FFA3AA5"/>
    <w:rsid w:val="1FFADECB"/>
    <w:rsid w:val="1FFB2299"/>
    <w:rsid w:val="1FFDE3CB"/>
    <w:rsid w:val="1FFF2489"/>
    <w:rsid w:val="1FFFB50C"/>
    <w:rsid w:val="1FFFD12F"/>
    <w:rsid w:val="20007BC4"/>
    <w:rsid w:val="2000AEF7"/>
    <w:rsid w:val="20015558"/>
    <w:rsid w:val="20018E25"/>
    <w:rsid w:val="2001D1DD"/>
    <w:rsid w:val="20027B1A"/>
    <w:rsid w:val="20029174"/>
    <w:rsid w:val="2002B384"/>
    <w:rsid w:val="2003411D"/>
    <w:rsid w:val="2003D587"/>
    <w:rsid w:val="2004883B"/>
    <w:rsid w:val="2004A4A4"/>
    <w:rsid w:val="2004BDEA"/>
    <w:rsid w:val="2004D0AB"/>
    <w:rsid w:val="20054282"/>
    <w:rsid w:val="2005AA92"/>
    <w:rsid w:val="2005AE66"/>
    <w:rsid w:val="200616A1"/>
    <w:rsid w:val="200649A2"/>
    <w:rsid w:val="2006D8E6"/>
    <w:rsid w:val="2007AAAC"/>
    <w:rsid w:val="2007EBDF"/>
    <w:rsid w:val="20085273"/>
    <w:rsid w:val="2008B061"/>
    <w:rsid w:val="20092807"/>
    <w:rsid w:val="200996A4"/>
    <w:rsid w:val="200A4E1D"/>
    <w:rsid w:val="200AF5EB"/>
    <w:rsid w:val="200BA202"/>
    <w:rsid w:val="200BA3AF"/>
    <w:rsid w:val="200C30CB"/>
    <w:rsid w:val="200C4AC9"/>
    <w:rsid w:val="200CE378"/>
    <w:rsid w:val="200D4200"/>
    <w:rsid w:val="200DD7EF"/>
    <w:rsid w:val="200E499C"/>
    <w:rsid w:val="200E59B5"/>
    <w:rsid w:val="200EF4A4"/>
    <w:rsid w:val="200F0775"/>
    <w:rsid w:val="200FD866"/>
    <w:rsid w:val="2010D45C"/>
    <w:rsid w:val="2011B450"/>
    <w:rsid w:val="2012A7E7"/>
    <w:rsid w:val="2013ADF9"/>
    <w:rsid w:val="2014502B"/>
    <w:rsid w:val="20152617"/>
    <w:rsid w:val="20154F0F"/>
    <w:rsid w:val="2015991A"/>
    <w:rsid w:val="2015D3B4"/>
    <w:rsid w:val="2016AE2E"/>
    <w:rsid w:val="20172236"/>
    <w:rsid w:val="20173AB2"/>
    <w:rsid w:val="201756C9"/>
    <w:rsid w:val="20175F41"/>
    <w:rsid w:val="20178DF5"/>
    <w:rsid w:val="201828D7"/>
    <w:rsid w:val="20190867"/>
    <w:rsid w:val="201928DA"/>
    <w:rsid w:val="20195ACB"/>
    <w:rsid w:val="2019AA8A"/>
    <w:rsid w:val="201A79EE"/>
    <w:rsid w:val="201A99FD"/>
    <w:rsid w:val="201B4523"/>
    <w:rsid w:val="201BB728"/>
    <w:rsid w:val="201C041A"/>
    <w:rsid w:val="201C3C40"/>
    <w:rsid w:val="201C697F"/>
    <w:rsid w:val="201CAD61"/>
    <w:rsid w:val="201CE5F2"/>
    <w:rsid w:val="201D447D"/>
    <w:rsid w:val="201D5375"/>
    <w:rsid w:val="201D54A7"/>
    <w:rsid w:val="201D93DB"/>
    <w:rsid w:val="201EF418"/>
    <w:rsid w:val="201F15C0"/>
    <w:rsid w:val="201FC499"/>
    <w:rsid w:val="20209242"/>
    <w:rsid w:val="2020D5D5"/>
    <w:rsid w:val="2021C847"/>
    <w:rsid w:val="2022F55E"/>
    <w:rsid w:val="202396D7"/>
    <w:rsid w:val="2023C24E"/>
    <w:rsid w:val="2023DBE3"/>
    <w:rsid w:val="202427A2"/>
    <w:rsid w:val="20245CC1"/>
    <w:rsid w:val="20252790"/>
    <w:rsid w:val="20262F74"/>
    <w:rsid w:val="2026C3D0"/>
    <w:rsid w:val="2026D71D"/>
    <w:rsid w:val="2027ED4B"/>
    <w:rsid w:val="202808BF"/>
    <w:rsid w:val="202847F6"/>
    <w:rsid w:val="20286B87"/>
    <w:rsid w:val="202A4565"/>
    <w:rsid w:val="202B8843"/>
    <w:rsid w:val="202C20CC"/>
    <w:rsid w:val="202CCF94"/>
    <w:rsid w:val="202D9B5F"/>
    <w:rsid w:val="202DC107"/>
    <w:rsid w:val="202EA370"/>
    <w:rsid w:val="202F360B"/>
    <w:rsid w:val="20306382"/>
    <w:rsid w:val="2031535D"/>
    <w:rsid w:val="2031D3C1"/>
    <w:rsid w:val="203293FA"/>
    <w:rsid w:val="2032BF11"/>
    <w:rsid w:val="2033A2E1"/>
    <w:rsid w:val="2033E4A4"/>
    <w:rsid w:val="2033F3D0"/>
    <w:rsid w:val="203407B0"/>
    <w:rsid w:val="2034ECA0"/>
    <w:rsid w:val="20357E76"/>
    <w:rsid w:val="20358747"/>
    <w:rsid w:val="203653A1"/>
    <w:rsid w:val="20370397"/>
    <w:rsid w:val="203985E5"/>
    <w:rsid w:val="20399528"/>
    <w:rsid w:val="203BC626"/>
    <w:rsid w:val="203C11DA"/>
    <w:rsid w:val="203C610E"/>
    <w:rsid w:val="203CC6A2"/>
    <w:rsid w:val="203D73BC"/>
    <w:rsid w:val="203D8A20"/>
    <w:rsid w:val="203E3684"/>
    <w:rsid w:val="203FA58F"/>
    <w:rsid w:val="204171F3"/>
    <w:rsid w:val="204372D4"/>
    <w:rsid w:val="20439A2B"/>
    <w:rsid w:val="20442714"/>
    <w:rsid w:val="204491C8"/>
    <w:rsid w:val="204494DB"/>
    <w:rsid w:val="2045EA62"/>
    <w:rsid w:val="2046931F"/>
    <w:rsid w:val="2046D1D5"/>
    <w:rsid w:val="2046F799"/>
    <w:rsid w:val="20474BA8"/>
    <w:rsid w:val="20489D8B"/>
    <w:rsid w:val="20490223"/>
    <w:rsid w:val="204AD201"/>
    <w:rsid w:val="204BE4CE"/>
    <w:rsid w:val="204BFF21"/>
    <w:rsid w:val="204D1A12"/>
    <w:rsid w:val="204DD7B3"/>
    <w:rsid w:val="204E13E4"/>
    <w:rsid w:val="204E4996"/>
    <w:rsid w:val="204EC14B"/>
    <w:rsid w:val="204F174C"/>
    <w:rsid w:val="204FCDBF"/>
    <w:rsid w:val="204FDA2D"/>
    <w:rsid w:val="2050DB0A"/>
    <w:rsid w:val="20514EFD"/>
    <w:rsid w:val="2051E017"/>
    <w:rsid w:val="2051EF2A"/>
    <w:rsid w:val="2051F22A"/>
    <w:rsid w:val="20520709"/>
    <w:rsid w:val="20528A08"/>
    <w:rsid w:val="2052A813"/>
    <w:rsid w:val="2053A1B7"/>
    <w:rsid w:val="2053F000"/>
    <w:rsid w:val="2054313C"/>
    <w:rsid w:val="2055C680"/>
    <w:rsid w:val="20570068"/>
    <w:rsid w:val="205772A6"/>
    <w:rsid w:val="2057E637"/>
    <w:rsid w:val="20589160"/>
    <w:rsid w:val="2058DA5F"/>
    <w:rsid w:val="20594DAA"/>
    <w:rsid w:val="2059C417"/>
    <w:rsid w:val="205A18F1"/>
    <w:rsid w:val="205B59F5"/>
    <w:rsid w:val="205D69F0"/>
    <w:rsid w:val="205D7429"/>
    <w:rsid w:val="205D9D5C"/>
    <w:rsid w:val="205EB3C5"/>
    <w:rsid w:val="205EE7A7"/>
    <w:rsid w:val="20608B2E"/>
    <w:rsid w:val="2062085A"/>
    <w:rsid w:val="2062778C"/>
    <w:rsid w:val="20632C52"/>
    <w:rsid w:val="2063485D"/>
    <w:rsid w:val="20639710"/>
    <w:rsid w:val="20642E7E"/>
    <w:rsid w:val="2064D969"/>
    <w:rsid w:val="2065694E"/>
    <w:rsid w:val="20658D56"/>
    <w:rsid w:val="2065D338"/>
    <w:rsid w:val="20660B68"/>
    <w:rsid w:val="20669F0A"/>
    <w:rsid w:val="206822C2"/>
    <w:rsid w:val="2069B985"/>
    <w:rsid w:val="2069EA86"/>
    <w:rsid w:val="206B5F76"/>
    <w:rsid w:val="206BECFB"/>
    <w:rsid w:val="206C02E1"/>
    <w:rsid w:val="206C6BA2"/>
    <w:rsid w:val="206D4E40"/>
    <w:rsid w:val="206E76E2"/>
    <w:rsid w:val="206EAC21"/>
    <w:rsid w:val="206FBEF3"/>
    <w:rsid w:val="206FF2E8"/>
    <w:rsid w:val="2070CFEB"/>
    <w:rsid w:val="2070F361"/>
    <w:rsid w:val="20710286"/>
    <w:rsid w:val="20714751"/>
    <w:rsid w:val="2071B7EB"/>
    <w:rsid w:val="207209D3"/>
    <w:rsid w:val="2072319E"/>
    <w:rsid w:val="207346E6"/>
    <w:rsid w:val="20737A7F"/>
    <w:rsid w:val="207507C8"/>
    <w:rsid w:val="20758308"/>
    <w:rsid w:val="2075FA34"/>
    <w:rsid w:val="2076148C"/>
    <w:rsid w:val="20761EA1"/>
    <w:rsid w:val="2076366A"/>
    <w:rsid w:val="20768EDA"/>
    <w:rsid w:val="20770F94"/>
    <w:rsid w:val="2077AF60"/>
    <w:rsid w:val="2077F7FF"/>
    <w:rsid w:val="20784664"/>
    <w:rsid w:val="2079CA16"/>
    <w:rsid w:val="207A455C"/>
    <w:rsid w:val="207AC509"/>
    <w:rsid w:val="207B4012"/>
    <w:rsid w:val="207C9378"/>
    <w:rsid w:val="207CB337"/>
    <w:rsid w:val="207CE54C"/>
    <w:rsid w:val="207D96F1"/>
    <w:rsid w:val="207E63F5"/>
    <w:rsid w:val="207E70F2"/>
    <w:rsid w:val="207EA730"/>
    <w:rsid w:val="207F7CDE"/>
    <w:rsid w:val="207FB5BF"/>
    <w:rsid w:val="207FC7CD"/>
    <w:rsid w:val="208079D5"/>
    <w:rsid w:val="2080F7F6"/>
    <w:rsid w:val="208102AF"/>
    <w:rsid w:val="2081F8ED"/>
    <w:rsid w:val="20827F85"/>
    <w:rsid w:val="208288C9"/>
    <w:rsid w:val="20832968"/>
    <w:rsid w:val="20835A1D"/>
    <w:rsid w:val="208413E8"/>
    <w:rsid w:val="2084A183"/>
    <w:rsid w:val="2084EF8C"/>
    <w:rsid w:val="208564A3"/>
    <w:rsid w:val="20859470"/>
    <w:rsid w:val="20863FD4"/>
    <w:rsid w:val="20866181"/>
    <w:rsid w:val="208731B8"/>
    <w:rsid w:val="2087585E"/>
    <w:rsid w:val="20895C14"/>
    <w:rsid w:val="208A3414"/>
    <w:rsid w:val="208A78C4"/>
    <w:rsid w:val="208B4662"/>
    <w:rsid w:val="208C0328"/>
    <w:rsid w:val="208CBA80"/>
    <w:rsid w:val="208D0539"/>
    <w:rsid w:val="208D943D"/>
    <w:rsid w:val="208D9763"/>
    <w:rsid w:val="208DEDE3"/>
    <w:rsid w:val="208FB1AF"/>
    <w:rsid w:val="2090B43C"/>
    <w:rsid w:val="20912094"/>
    <w:rsid w:val="20917D07"/>
    <w:rsid w:val="2091BB7C"/>
    <w:rsid w:val="20924308"/>
    <w:rsid w:val="20928017"/>
    <w:rsid w:val="2092850B"/>
    <w:rsid w:val="20928521"/>
    <w:rsid w:val="2092BC45"/>
    <w:rsid w:val="2092E011"/>
    <w:rsid w:val="20933676"/>
    <w:rsid w:val="2093B18B"/>
    <w:rsid w:val="2093EEB1"/>
    <w:rsid w:val="20947831"/>
    <w:rsid w:val="20949317"/>
    <w:rsid w:val="20958B0E"/>
    <w:rsid w:val="2095B58C"/>
    <w:rsid w:val="20963AC6"/>
    <w:rsid w:val="20974DD2"/>
    <w:rsid w:val="20975281"/>
    <w:rsid w:val="20976D90"/>
    <w:rsid w:val="2097F7A1"/>
    <w:rsid w:val="20985CA1"/>
    <w:rsid w:val="2098D4D9"/>
    <w:rsid w:val="20993054"/>
    <w:rsid w:val="209940DC"/>
    <w:rsid w:val="20994A7A"/>
    <w:rsid w:val="209954E8"/>
    <w:rsid w:val="2099BC35"/>
    <w:rsid w:val="2099D820"/>
    <w:rsid w:val="209A4982"/>
    <w:rsid w:val="209B4670"/>
    <w:rsid w:val="209BDB7C"/>
    <w:rsid w:val="209DA0C9"/>
    <w:rsid w:val="209DD65E"/>
    <w:rsid w:val="209DF0B6"/>
    <w:rsid w:val="20A003CF"/>
    <w:rsid w:val="20A1D8C5"/>
    <w:rsid w:val="20A255D8"/>
    <w:rsid w:val="20A2D6DF"/>
    <w:rsid w:val="20A36C82"/>
    <w:rsid w:val="20A45A35"/>
    <w:rsid w:val="20A55F02"/>
    <w:rsid w:val="20A5C02F"/>
    <w:rsid w:val="20A5DBE6"/>
    <w:rsid w:val="20A64EBD"/>
    <w:rsid w:val="20A6C3FE"/>
    <w:rsid w:val="20A6E45E"/>
    <w:rsid w:val="20A72CB8"/>
    <w:rsid w:val="20A73542"/>
    <w:rsid w:val="20A767A1"/>
    <w:rsid w:val="20A8594C"/>
    <w:rsid w:val="20A8646D"/>
    <w:rsid w:val="20A889A9"/>
    <w:rsid w:val="20A8E153"/>
    <w:rsid w:val="20A9B98F"/>
    <w:rsid w:val="20A9F5C8"/>
    <w:rsid w:val="20AA2BDE"/>
    <w:rsid w:val="20AB5C32"/>
    <w:rsid w:val="20AE5984"/>
    <w:rsid w:val="20AF8BF9"/>
    <w:rsid w:val="20AFE355"/>
    <w:rsid w:val="20B062DF"/>
    <w:rsid w:val="20B06F81"/>
    <w:rsid w:val="20B0D7A8"/>
    <w:rsid w:val="20B153B3"/>
    <w:rsid w:val="20B2BA76"/>
    <w:rsid w:val="20B2E541"/>
    <w:rsid w:val="20B3744E"/>
    <w:rsid w:val="20B3AB3A"/>
    <w:rsid w:val="20B4490B"/>
    <w:rsid w:val="20B6067D"/>
    <w:rsid w:val="20B71C74"/>
    <w:rsid w:val="20B78008"/>
    <w:rsid w:val="20B7C3A9"/>
    <w:rsid w:val="20B7E734"/>
    <w:rsid w:val="20B7F244"/>
    <w:rsid w:val="20B89549"/>
    <w:rsid w:val="20B8ACA4"/>
    <w:rsid w:val="20B8CB28"/>
    <w:rsid w:val="20B97A2C"/>
    <w:rsid w:val="20BB0D7A"/>
    <w:rsid w:val="20BB2764"/>
    <w:rsid w:val="20BB4C6F"/>
    <w:rsid w:val="20BB930B"/>
    <w:rsid w:val="20BC189B"/>
    <w:rsid w:val="20BD84C1"/>
    <w:rsid w:val="20BE5882"/>
    <w:rsid w:val="20BF30D8"/>
    <w:rsid w:val="20C05085"/>
    <w:rsid w:val="20C06654"/>
    <w:rsid w:val="20C0893D"/>
    <w:rsid w:val="20C0CBA8"/>
    <w:rsid w:val="20C1F05D"/>
    <w:rsid w:val="20C2C3AF"/>
    <w:rsid w:val="20C3B409"/>
    <w:rsid w:val="20C494F4"/>
    <w:rsid w:val="20C4E1AE"/>
    <w:rsid w:val="20C4E6D3"/>
    <w:rsid w:val="20C62686"/>
    <w:rsid w:val="20C6F47B"/>
    <w:rsid w:val="20C6F974"/>
    <w:rsid w:val="20C78BE3"/>
    <w:rsid w:val="20C85460"/>
    <w:rsid w:val="20C8F670"/>
    <w:rsid w:val="20C9D9AE"/>
    <w:rsid w:val="20C9FACE"/>
    <w:rsid w:val="20CA332F"/>
    <w:rsid w:val="20CA5F44"/>
    <w:rsid w:val="20CABA8A"/>
    <w:rsid w:val="20CB695E"/>
    <w:rsid w:val="20CBD922"/>
    <w:rsid w:val="20CD31F6"/>
    <w:rsid w:val="20CD8138"/>
    <w:rsid w:val="20CD8326"/>
    <w:rsid w:val="20CDFDAC"/>
    <w:rsid w:val="20CE16D0"/>
    <w:rsid w:val="20CE1E23"/>
    <w:rsid w:val="20CE26DB"/>
    <w:rsid w:val="20CE3566"/>
    <w:rsid w:val="20CEB580"/>
    <w:rsid w:val="20CEC9B3"/>
    <w:rsid w:val="20CFF4A7"/>
    <w:rsid w:val="20D034D9"/>
    <w:rsid w:val="20D146DB"/>
    <w:rsid w:val="20D1928C"/>
    <w:rsid w:val="20D1E1C0"/>
    <w:rsid w:val="20D1FC3B"/>
    <w:rsid w:val="20D29C43"/>
    <w:rsid w:val="20D36A34"/>
    <w:rsid w:val="20D42FE6"/>
    <w:rsid w:val="20D55FFB"/>
    <w:rsid w:val="20D59181"/>
    <w:rsid w:val="20D59981"/>
    <w:rsid w:val="20D5E30B"/>
    <w:rsid w:val="20D6053A"/>
    <w:rsid w:val="20D691D5"/>
    <w:rsid w:val="20D7A091"/>
    <w:rsid w:val="20D952BE"/>
    <w:rsid w:val="20D97174"/>
    <w:rsid w:val="20D9955B"/>
    <w:rsid w:val="20DAF787"/>
    <w:rsid w:val="20DAF997"/>
    <w:rsid w:val="20DBA3AA"/>
    <w:rsid w:val="20DC4376"/>
    <w:rsid w:val="20DC4650"/>
    <w:rsid w:val="20DCB118"/>
    <w:rsid w:val="20DCFB16"/>
    <w:rsid w:val="20DDA1CE"/>
    <w:rsid w:val="20DDD419"/>
    <w:rsid w:val="20DE3F09"/>
    <w:rsid w:val="20DEED41"/>
    <w:rsid w:val="20E0844C"/>
    <w:rsid w:val="20E10C51"/>
    <w:rsid w:val="20E22106"/>
    <w:rsid w:val="20E2EC51"/>
    <w:rsid w:val="20E2F4D3"/>
    <w:rsid w:val="20E480B1"/>
    <w:rsid w:val="20E7A719"/>
    <w:rsid w:val="20E97F91"/>
    <w:rsid w:val="20E989E8"/>
    <w:rsid w:val="20E98CB5"/>
    <w:rsid w:val="20EA6F0C"/>
    <w:rsid w:val="20EAD66D"/>
    <w:rsid w:val="20EC5D80"/>
    <w:rsid w:val="20ECB5BC"/>
    <w:rsid w:val="20ECBD36"/>
    <w:rsid w:val="20ED5D79"/>
    <w:rsid w:val="20ED66E8"/>
    <w:rsid w:val="20ED7DF7"/>
    <w:rsid w:val="20EF071C"/>
    <w:rsid w:val="20EFC69F"/>
    <w:rsid w:val="20F02B77"/>
    <w:rsid w:val="20F08789"/>
    <w:rsid w:val="20F0CF29"/>
    <w:rsid w:val="20F0D599"/>
    <w:rsid w:val="20F11ACA"/>
    <w:rsid w:val="20F1CD4D"/>
    <w:rsid w:val="20F20DE7"/>
    <w:rsid w:val="20F357E5"/>
    <w:rsid w:val="20F4761A"/>
    <w:rsid w:val="20F4C2C3"/>
    <w:rsid w:val="20F4C2ED"/>
    <w:rsid w:val="20F53E5B"/>
    <w:rsid w:val="20F5BC16"/>
    <w:rsid w:val="20F5FC88"/>
    <w:rsid w:val="20F60BC6"/>
    <w:rsid w:val="20F676C0"/>
    <w:rsid w:val="20F67703"/>
    <w:rsid w:val="20F76940"/>
    <w:rsid w:val="20F77221"/>
    <w:rsid w:val="20F89A16"/>
    <w:rsid w:val="20F91749"/>
    <w:rsid w:val="20F9B0C1"/>
    <w:rsid w:val="20FA5E63"/>
    <w:rsid w:val="20FAA6D9"/>
    <w:rsid w:val="20FAE32F"/>
    <w:rsid w:val="20FBA2AF"/>
    <w:rsid w:val="20FBAA41"/>
    <w:rsid w:val="20FBCFBA"/>
    <w:rsid w:val="20FDA964"/>
    <w:rsid w:val="20FDC651"/>
    <w:rsid w:val="20FDCE14"/>
    <w:rsid w:val="20FDD265"/>
    <w:rsid w:val="20FDF4BC"/>
    <w:rsid w:val="20FE0B46"/>
    <w:rsid w:val="20FE2D69"/>
    <w:rsid w:val="20FE601A"/>
    <w:rsid w:val="20FEFC97"/>
    <w:rsid w:val="21003BD5"/>
    <w:rsid w:val="2100A5CE"/>
    <w:rsid w:val="21010783"/>
    <w:rsid w:val="2101186A"/>
    <w:rsid w:val="2102AA3D"/>
    <w:rsid w:val="2103D4BC"/>
    <w:rsid w:val="2104AF82"/>
    <w:rsid w:val="2104F07B"/>
    <w:rsid w:val="2105577E"/>
    <w:rsid w:val="2106066D"/>
    <w:rsid w:val="21062CB8"/>
    <w:rsid w:val="21092D9E"/>
    <w:rsid w:val="21099430"/>
    <w:rsid w:val="210A6880"/>
    <w:rsid w:val="210AACEC"/>
    <w:rsid w:val="210AD482"/>
    <w:rsid w:val="210AEAD1"/>
    <w:rsid w:val="210AFB7C"/>
    <w:rsid w:val="210B4BA3"/>
    <w:rsid w:val="210B8D37"/>
    <w:rsid w:val="210C752D"/>
    <w:rsid w:val="210D1F2B"/>
    <w:rsid w:val="210EFF34"/>
    <w:rsid w:val="210F6232"/>
    <w:rsid w:val="21108FEC"/>
    <w:rsid w:val="2110BC83"/>
    <w:rsid w:val="2111BA50"/>
    <w:rsid w:val="211293D4"/>
    <w:rsid w:val="21130325"/>
    <w:rsid w:val="2113BBE7"/>
    <w:rsid w:val="2115704F"/>
    <w:rsid w:val="2116C403"/>
    <w:rsid w:val="2116EABB"/>
    <w:rsid w:val="2117224C"/>
    <w:rsid w:val="21180AF1"/>
    <w:rsid w:val="21188F0F"/>
    <w:rsid w:val="21189E92"/>
    <w:rsid w:val="2118A117"/>
    <w:rsid w:val="2118D017"/>
    <w:rsid w:val="2119130F"/>
    <w:rsid w:val="21192063"/>
    <w:rsid w:val="21197896"/>
    <w:rsid w:val="211A40C7"/>
    <w:rsid w:val="211A4135"/>
    <w:rsid w:val="211A50F1"/>
    <w:rsid w:val="211B2932"/>
    <w:rsid w:val="211BD901"/>
    <w:rsid w:val="211C79A5"/>
    <w:rsid w:val="211C9BB2"/>
    <w:rsid w:val="211C9DE7"/>
    <w:rsid w:val="211D2E7C"/>
    <w:rsid w:val="211D5D2C"/>
    <w:rsid w:val="211E6DAB"/>
    <w:rsid w:val="211EA672"/>
    <w:rsid w:val="211EC6D6"/>
    <w:rsid w:val="211F3F19"/>
    <w:rsid w:val="211FC26B"/>
    <w:rsid w:val="211FE3DB"/>
    <w:rsid w:val="2120443A"/>
    <w:rsid w:val="21215043"/>
    <w:rsid w:val="2122CC17"/>
    <w:rsid w:val="2122E6C0"/>
    <w:rsid w:val="2123F26C"/>
    <w:rsid w:val="21243AC2"/>
    <w:rsid w:val="212656D1"/>
    <w:rsid w:val="2126CA5D"/>
    <w:rsid w:val="2126EEAB"/>
    <w:rsid w:val="21279C78"/>
    <w:rsid w:val="2128528B"/>
    <w:rsid w:val="2128905A"/>
    <w:rsid w:val="212959C3"/>
    <w:rsid w:val="212A08F7"/>
    <w:rsid w:val="212A5E1A"/>
    <w:rsid w:val="212A807D"/>
    <w:rsid w:val="212AE1AD"/>
    <w:rsid w:val="212B7E0C"/>
    <w:rsid w:val="212C1FFB"/>
    <w:rsid w:val="212CC998"/>
    <w:rsid w:val="212D0475"/>
    <w:rsid w:val="212E2EE2"/>
    <w:rsid w:val="21305769"/>
    <w:rsid w:val="21310C50"/>
    <w:rsid w:val="2131326C"/>
    <w:rsid w:val="2131B460"/>
    <w:rsid w:val="21325707"/>
    <w:rsid w:val="2133841E"/>
    <w:rsid w:val="213403F2"/>
    <w:rsid w:val="213459E6"/>
    <w:rsid w:val="2134793A"/>
    <w:rsid w:val="213486FB"/>
    <w:rsid w:val="21357E9F"/>
    <w:rsid w:val="213586E9"/>
    <w:rsid w:val="21358DEB"/>
    <w:rsid w:val="2136058A"/>
    <w:rsid w:val="2136252C"/>
    <w:rsid w:val="213642F3"/>
    <w:rsid w:val="2136C4D5"/>
    <w:rsid w:val="21371C68"/>
    <w:rsid w:val="21374F4B"/>
    <w:rsid w:val="2137E36A"/>
    <w:rsid w:val="21385454"/>
    <w:rsid w:val="21396F66"/>
    <w:rsid w:val="213AA31C"/>
    <w:rsid w:val="213ABEDD"/>
    <w:rsid w:val="213B49F2"/>
    <w:rsid w:val="213C11B8"/>
    <w:rsid w:val="213C352D"/>
    <w:rsid w:val="213D50B9"/>
    <w:rsid w:val="213DB1C8"/>
    <w:rsid w:val="213E6C7E"/>
    <w:rsid w:val="213EDE80"/>
    <w:rsid w:val="21419E8B"/>
    <w:rsid w:val="21425A55"/>
    <w:rsid w:val="2142795E"/>
    <w:rsid w:val="21429E85"/>
    <w:rsid w:val="2142D65E"/>
    <w:rsid w:val="214337C1"/>
    <w:rsid w:val="214398F8"/>
    <w:rsid w:val="21439BE9"/>
    <w:rsid w:val="2143FF82"/>
    <w:rsid w:val="2144FC4C"/>
    <w:rsid w:val="21464A5C"/>
    <w:rsid w:val="21469CA2"/>
    <w:rsid w:val="214780A7"/>
    <w:rsid w:val="2147955D"/>
    <w:rsid w:val="21481F33"/>
    <w:rsid w:val="2149389F"/>
    <w:rsid w:val="214A8356"/>
    <w:rsid w:val="214A8E20"/>
    <w:rsid w:val="214A9FA8"/>
    <w:rsid w:val="214B61AD"/>
    <w:rsid w:val="214C25FE"/>
    <w:rsid w:val="214DCC45"/>
    <w:rsid w:val="214DD79B"/>
    <w:rsid w:val="214DD8B0"/>
    <w:rsid w:val="214E72DC"/>
    <w:rsid w:val="214EA0C6"/>
    <w:rsid w:val="214EF5F3"/>
    <w:rsid w:val="214F69C3"/>
    <w:rsid w:val="214F75A1"/>
    <w:rsid w:val="214FCCCF"/>
    <w:rsid w:val="214FFE62"/>
    <w:rsid w:val="2150EDFD"/>
    <w:rsid w:val="2151406D"/>
    <w:rsid w:val="21516590"/>
    <w:rsid w:val="2151D038"/>
    <w:rsid w:val="2155713C"/>
    <w:rsid w:val="2155EC56"/>
    <w:rsid w:val="215624FB"/>
    <w:rsid w:val="21562757"/>
    <w:rsid w:val="2156444F"/>
    <w:rsid w:val="215658EF"/>
    <w:rsid w:val="21569297"/>
    <w:rsid w:val="2156FFB5"/>
    <w:rsid w:val="21576808"/>
    <w:rsid w:val="2158692E"/>
    <w:rsid w:val="2158B363"/>
    <w:rsid w:val="2159A844"/>
    <w:rsid w:val="215A3250"/>
    <w:rsid w:val="215AC165"/>
    <w:rsid w:val="215B021F"/>
    <w:rsid w:val="215B905A"/>
    <w:rsid w:val="215E0ED1"/>
    <w:rsid w:val="215E2EE0"/>
    <w:rsid w:val="215E487A"/>
    <w:rsid w:val="215E6762"/>
    <w:rsid w:val="215EBA48"/>
    <w:rsid w:val="215EE679"/>
    <w:rsid w:val="21601EA8"/>
    <w:rsid w:val="2160C1B4"/>
    <w:rsid w:val="2161A354"/>
    <w:rsid w:val="21622BA1"/>
    <w:rsid w:val="2162EFCB"/>
    <w:rsid w:val="2164285D"/>
    <w:rsid w:val="21642F41"/>
    <w:rsid w:val="21646359"/>
    <w:rsid w:val="2164B2AD"/>
    <w:rsid w:val="2164BF87"/>
    <w:rsid w:val="2165B90D"/>
    <w:rsid w:val="21662918"/>
    <w:rsid w:val="2166642E"/>
    <w:rsid w:val="21666623"/>
    <w:rsid w:val="2166791F"/>
    <w:rsid w:val="2166D7DD"/>
    <w:rsid w:val="2166F107"/>
    <w:rsid w:val="2166FC82"/>
    <w:rsid w:val="2167F0A2"/>
    <w:rsid w:val="21681A84"/>
    <w:rsid w:val="216846F1"/>
    <w:rsid w:val="21687039"/>
    <w:rsid w:val="2168C59A"/>
    <w:rsid w:val="2168E080"/>
    <w:rsid w:val="2169BAAF"/>
    <w:rsid w:val="216A3A8C"/>
    <w:rsid w:val="216B235C"/>
    <w:rsid w:val="216B6477"/>
    <w:rsid w:val="216BCF2C"/>
    <w:rsid w:val="216BD7BA"/>
    <w:rsid w:val="216C6EBB"/>
    <w:rsid w:val="216ED5E9"/>
    <w:rsid w:val="217020CE"/>
    <w:rsid w:val="2171B624"/>
    <w:rsid w:val="2171E1B6"/>
    <w:rsid w:val="21735E97"/>
    <w:rsid w:val="21749EDA"/>
    <w:rsid w:val="2174C9C0"/>
    <w:rsid w:val="2175D11E"/>
    <w:rsid w:val="2175DC20"/>
    <w:rsid w:val="21762025"/>
    <w:rsid w:val="2178974E"/>
    <w:rsid w:val="2178A550"/>
    <w:rsid w:val="217AE97C"/>
    <w:rsid w:val="217C266E"/>
    <w:rsid w:val="217D13CE"/>
    <w:rsid w:val="217D524D"/>
    <w:rsid w:val="217EB3A9"/>
    <w:rsid w:val="217EC767"/>
    <w:rsid w:val="21803330"/>
    <w:rsid w:val="21804C9E"/>
    <w:rsid w:val="2180715A"/>
    <w:rsid w:val="218109A9"/>
    <w:rsid w:val="218174B2"/>
    <w:rsid w:val="21825B0A"/>
    <w:rsid w:val="2182DF77"/>
    <w:rsid w:val="2182E754"/>
    <w:rsid w:val="21830812"/>
    <w:rsid w:val="21836528"/>
    <w:rsid w:val="218374A9"/>
    <w:rsid w:val="2183C49F"/>
    <w:rsid w:val="2183C805"/>
    <w:rsid w:val="21843DE4"/>
    <w:rsid w:val="2184422B"/>
    <w:rsid w:val="21852973"/>
    <w:rsid w:val="21854062"/>
    <w:rsid w:val="21856AE2"/>
    <w:rsid w:val="21859E5B"/>
    <w:rsid w:val="2185A35A"/>
    <w:rsid w:val="21876D1B"/>
    <w:rsid w:val="21880909"/>
    <w:rsid w:val="2188C4E8"/>
    <w:rsid w:val="2188CD29"/>
    <w:rsid w:val="21898D18"/>
    <w:rsid w:val="2189E9F8"/>
    <w:rsid w:val="218A15FB"/>
    <w:rsid w:val="218A2279"/>
    <w:rsid w:val="218A6D25"/>
    <w:rsid w:val="218AD4FF"/>
    <w:rsid w:val="218B88FD"/>
    <w:rsid w:val="218B971A"/>
    <w:rsid w:val="218BA327"/>
    <w:rsid w:val="218BCE16"/>
    <w:rsid w:val="218C4CE8"/>
    <w:rsid w:val="218CB4E3"/>
    <w:rsid w:val="218CE6C0"/>
    <w:rsid w:val="218D2038"/>
    <w:rsid w:val="218DC05E"/>
    <w:rsid w:val="218DD899"/>
    <w:rsid w:val="218DF000"/>
    <w:rsid w:val="218EB408"/>
    <w:rsid w:val="218F33CD"/>
    <w:rsid w:val="218F81E5"/>
    <w:rsid w:val="2190F95F"/>
    <w:rsid w:val="219152CC"/>
    <w:rsid w:val="2191CE18"/>
    <w:rsid w:val="2191E06C"/>
    <w:rsid w:val="2191F5C8"/>
    <w:rsid w:val="21923BD3"/>
    <w:rsid w:val="21954650"/>
    <w:rsid w:val="2195AABF"/>
    <w:rsid w:val="2195F8FE"/>
    <w:rsid w:val="21962A00"/>
    <w:rsid w:val="219647E2"/>
    <w:rsid w:val="2197CD2B"/>
    <w:rsid w:val="21981CDC"/>
    <w:rsid w:val="21992979"/>
    <w:rsid w:val="2199B57C"/>
    <w:rsid w:val="219AF8D7"/>
    <w:rsid w:val="219B96E8"/>
    <w:rsid w:val="219BC1D4"/>
    <w:rsid w:val="219C2383"/>
    <w:rsid w:val="219C2C6F"/>
    <w:rsid w:val="219CC806"/>
    <w:rsid w:val="219CF2B1"/>
    <w:rsid w:val="219D18B7"/>
    <w:rsid w:val="219D9629"/>
    <w:rsid w:val="219DF090"/>
    <w:rsid w:val="219E6592"/>
    <w:rsid w:val="219EE730"/>
    <w:rsid w:val="21A1A9ED"/>
    <w:rsid w:val="21A247F6"/>
    <w:rsid w:val="21A39BD0"/>
    <w:rsid w:val="21A47A37"/>
    <w:rsid w:val="21A4D009"/>
    <w:rsid w:val="21A64878"/>
    <w:rsid w:val="21A67EDA"/>
    <w:rsid w:val="21A6ADCE"/>
    <w:rsid w:val="21A6F896"/>
    <w:rsid w:val="21A7780A"/>
    <w:rsid w:val="21A91D50"/>
    <w:rsid w:val="21AA7D90"/>
    <w:rsid w:val="21AB3956"/>
    <w:rsid w:val="21AB5D17"/>
    <w:rsid w:val="21AD9260"/>
    <w:rsid w:val="21ADE67C"/>
    <w:rsid w:val="21AEBCEC"/>
    <w:rsid w:val="21AFE92E"/>
    <w:rsid w:val="21B28799"/>
    <w:rsid w:val="21B2AEC5"/>
    <w:rsid w:val="21B3CB08"/>
    <w:rsid w:val="21B52D58"/>
    <w:rsid w:val="21B6CDD6"/>
    <w:rsid w:val="21B83B3C"/>
    <w:rsid w:val="21B89D6F"/>
    <w:rsid w:val="21B8B65C"/>
    <w:rsid w:val="21B9DF4A"/>
    <w:rsid w:val="21B9ED3D"/>
    <w:rsid w:val="21BA326D"/>
    <w:rsid w:val="21BAA996"/>
    <w:rsid w:val="21BAB50F"/>
    <w:rsid w:val="21BB2B23"/>
    <w:rsid w:val="21BB6AC0"/>
    <w:rsid w:val="21BBA75B"/>
    <w:rsid w:val="21BBB190"/>
    <w:rsid w:val="21BCEEAE"/>
    <w:rsid w:val="21BE834B"/>
    <w:rsid w:val="21BF48D3"/>
    <w:rsid w:val="21C170C1"/>
    <w:rsid w:val="21C233D4"/>
    <w:rsid w:val="21C2F01C"/>
    <w:rsid w:val="21C43512"/>
    <w:rsid w:val="21C455C7"/>
    <w:rsid w:val="21C551FC"/>
    <w:rsid w:val="21C5F620"/>
    <w:rsid w:val="21C5FBD9"/>
    <w:rsid w:val="21C61229"/>
    <w:rsid w:val="21C8B420"/>
    <w:rsid w:val="21C92413"/>
    <w:rsid w:val="21CA097C"/>
    <w:rsid w:val="21CA6F15"/>
    <w:rsid w:val="21CC04C8"/>
    <w:rsid w:val="21CC0D24"/>
    <w:rsid w:val="21CC59B2"/>
    <w:rsid w:val="21CC615E"/>
    <w:rsid w:val="21CE6B3D"/>
    <w:rsid w:val="21CEAF1F"/>
    <w:rsid w:val="21CF7C12"/>
    <w:rsid w:val="21CFD57E"/>
    <w:rsid w:val="21CFFA44"/>
    <w:rsid w:val="21D031FD"/>
    <w:rsid w:val="21D06F76"/>
    <w:rsid w:val="21D1E303"/>
    <w:rsid w:val="21D242D1"/>
    <w:rsid w:val="21D2C266"/>
    <w:rsid w:val="21D3AA14"/>
    <w:rsid w:val="21D4871B"/>
    <w:rsid w:val="21D5CFD7"/>
    <w:rsid w:val="21D5EF39"/>
    <w:rsid w:val="21D6AEA8"/>
    <w:rsid w:val="21D7CEF5"/>
    <w:rsid w:val="21D7E338"/>
    <w:rsid w:val="21D88B21"/>
    <w:rsid w:val="21D9079C"/>
    <w:rsid w:val="21D9DA92"/>
    <w:rsid w:val="21DA39D9"/>
    <w:rsid w:val="21DA48CF"/>
    <w:rsid w:val="21DA8C1D"/>
    <w:rsid w:val="21DBA4A0"/>
    <w:rsid w:val="21DBE330"/>
    <w:rsid w:val="21DCA417"/>
    <w:rsid w:val="21DDD437"/>
    <w:rsid w:val="21DE7A59"/>
    <w:rsid w:val="21DFD98D"/>
    <w:rsid w:val="21DFECFE"/>
    <w:rsid w:val="21E045C0"/>
    <w:rsid w:val="21E0526B"/>
    <w:rsid w:val="21E0621B"/>
    <w:rsid w:val="21E07862"/>
    <w:rsid w:val="21E12EDC"/>
    <w:rsid w:val="21E25817"/>
    <w:rsid w:val="21E2F436"/>
    <w:rsid w:val="21E37F24"/>
    <w:rsid w:val="21E49747"/>
    <w:rsid w:val="21E54AEF"/>
    <w:rsid w:val="21E62AFE"/>
    <w:rsid w:val="21E717E3"/>
    <w:rsid w:val="21E799AE"/>
    <w:rsid w:val="21E8F2C3"/>
    <w:rsid w:val="21E95585"/>
    <w:rsid w:val="21E9E2FC"/>
    <w:rsid w:val="21EA04F4"/>
    <w:rsid w:val="21EA7428"/>
    <w:rsid w:val="21EBEF6B"/>
    <w:rsid w:val="21EDC793"/>
    <w:rsid w:val="21EDC7EC"/>
    <w:rsid w:val="21EE2156"/>
    <w:rsid w:val="21EFCD47"/>
    <w:rsid w:val="21F00693"/>
    <w:rsid w:val="21F03B0D"/>
    <w:rsid w:val="21F071CD"/>
    <w:rsid w:val="21F0B60C"/>
    <w:rsid w:val="21F11E39"/>
    <w:rsid w:val="21F16C1A"/>
    <w:rsid w:val="21F1D990"/>
    <w:rsid w:val="21F1E715"/>
    <w:rsid w:val="21F2661C"/>
    <w:rsid w:val="21F2C4B7"/>
    <w:rsid w:val="21F2F874"/>
    <w:rsid w:val="21F36A4B"/>
    <w:rsid w:val="21F7ACD5"/>
    <w:rsid w:val="21F96EF5"/>
    <w:rsid w:val="21FA7C19"/>
    <w:rsid w:val="21FD27D8"/>
    <w:rsid w:val="22011384"/>
    <w:rsid w:val="22012599"/>
    <w:rsid w:val="22018B00"/>
    <w:rsid w:val="22018E2A"/>
    <w:rsid w:val="2201C610"/>
    <w:rsid w:val="2201D317"/>
    <w:rsid w:val="2201E5B2"/>
    <w:rsid w:val="2202647B"/>
    <w:rsid w:val="2202D8B1"/>
    <w:rsid w:val="2203E3B7"/>
    <w:rsid w:val="220618F5"/>
    <w:rsid w:val="2206C6E8"/>
    <w:rsid w:val="22072116"/>
    <w:rsid w:val="2207485F"/>
    <w:rsid w:val="22079C80"/>
    <w:rsid w:val="22089059"/>
    <w:rsid w:val="2208C7FC"/>
    <w:rsid w:val="2209300D"/>
    <w:rsid w:val="22095F90"/>
    <w:rsid w:val="220AC4D7"/>
    <w:rsid w:val="220ACE58"/>
    <w:rsid w:val="220ADA5B"/>
    <w:rsid w:val="220D4CF1"/>
    <w:rsid w:val="220D7386"/>
    <w:rsid w:val="220D86EF"/>
    <w:rsid w:val="220E22CF"/>
    <w:rsid w:val="220E8AC3"/>
    <w:rsid w:val="220F80A5"/>
    <w:rsid w:val="220F96AF"/>
    <w:rsid w:val="220F9ED8"/>
    <w:rsid w:val="220FB262"/>
    <w:rsid w:val="2211EBDC"/>
    <w:rsid w:val="221224DA"/>
    <w:rsid w:val="22129893"/>
    <w:rsid w:val="2212B0FD"/>
    <w:rsid w:val="2213490F"/>
    <w:rsid w:val="22135D27"/>
    <w:rsid w:val="22142D07"/>
    <w:rsid w:val="22145FF3"/>
    <w:rsid w:val="22146213"/>
    <w:rsid w:val="22147922"/>
    <w:rsid w:val="2214BE4C"/>
    <w:rsid w:val="2214DE2C"/>
    <w:rsid w:val="2215D871"/>
    <w:rsid w:val="22165262"/>
    <w:rsid w:val="221661E0"/>
    <w:rsid w:val="2216A6C9"/>
    <w:rsid w:val="2217AE98"/>
    <w:rsid w:val="22183BD8"/>
    <w:rsid w:val="2218A39B"/>
    <w:rsid w:val="2218D37B"/>
    <w:rsid w:val="22198165"/>
    <w:rsid w:val="2219EC69"/>
    <w:rsid w:val="221A5339"/>
    <w:rsid w:val="221A73B0"/>
    <w:rsid w:val="221B8C50"/>
    <w:rsid w:val="221C482B"/>
    <w:rsid w:val="221D3CC2"/>
    <w:rsid w:val="221D6E9D"/>
    <w:rsid w:val="221DCCB7"/>
    <w:rsid w:val="221DCF95"/>
    <w:rsid w:val="221DD78B"/>
    <w:rsid w:val="221EEA4A"/>
    <w:rsid w:val="221F06CE"/>
    <w:rsid w:val="221F0BC0"/>
    <w:rsid w:val="22202465"/>
    <w:rsid w:val="222103B6"/>
    <w:rsid w:val="2221076B"/>
    <w:rsid w:val="2221E31C"/>
    <w:rsid w:val="2221F39F"/>
    <w:rsid w:val="22222C46"/>
    <w:rsid w:val="2224BEEB"/>
    <w:rsid w:val="22271B29"/>
    <w:rsid w:val="22271CD4"/>
    <w:rsid w:val="22276A69"/>
    <w:rsid w:val="2227DFD0"/>
    <w:rsid w:val="2228F59C"/>
    <w:rsid w:val="222925E9"/>
    <w:rsid w:val="22292A14"/>
    <w:rsid w:val="2229CEFB"/>
    <w:rsid w:val="2229F7E2"/>
    <w:rsid w:val="222B947B"/>
    <w:rsid w:val="222BEEE7"/>
    <w:rsid w:val="222C2562"/>
    <w:rsid w:val="222D6EA4"/>
    <w:rsid w:val="222DD3B3"/>
    <w:rsid w:val="222ED869"/>
    <w:rsid w:val="222F46A7"/>
    <w:rsid w:val="222F606C"/>
    <w:rsid w:val="222F8E9F"/>
    <w:rsid w:val="222F9996"/>
    <w:rsid w:val="222FBF12"/>
    <w:rsid w:val="2230ABC7"/>
    <w:rsid w:val="223112FC"/>
    <w:rsid w:val="22312508"/>
    <w:rsid w:val="22315A11"/>
    <w:rsid w:val="2231DE56"/>
    <w:rsid w:val="2232DCA0"/>
    <w:rsid w:val="223309B9"/>
    <w:rsid w:val="22331A34"/>
    <w:rsid w:val="2233B17A"/>
    <w:rsid w:val="22341326"/>
    <w:rsid w:val="223462DB"/>
    <w:rsid w:val="22347186"/>
    <w:rsid w:val="2234E55D"/>
    <w:rsid w:val="22357B74"/>
    <w:rsid w:val="223798DD"/>
    <w:rsid w:val="223832DC"/>
    <w:rsid w:val="22386AC1"/>
    <w:rsid w:val="223A4139"/>
    <w:rsid w:val="223A5F77"/>
    <w:rsid w:val="223BA256"/>
    <w:rsid w:val="223BC3F5"/>
    <w:rsid w:val="223C25B7"/>
    <w:rsid w:val="223E319F"/>
    <w:rsid w:val="223E33CB"/>
    <w:rsid w:val="223F714A"/>
    <w:rsid w:val="223FB72C"/>
    <w:rsid w:val="223FE74A"/>
    <w:rsid w:val="2240885A"/>
    <w:rsid w:val="2240E699"/>
    <w:rsid w:val="22415EE7"/>
    <w:rsid w:val="2241AA48"/>
    <w:rsid w:val="22420F65"/>
    <w:rsid w:val="22423B53"/>
    <w:rsid w:val="2242F213"/>
    <w:rsid w:val="2243095E"/>
    <w:rsid w:val="22432121"/>
    <w:rsid w:val="2243B410"/>
    <w:rsid w:val="22440F1F"/>
    <w:rsid w:val="2244C66A"/>
    <w:rsid w:val="22450090"/>
    <w:rsid w:val="2245426F"/>
    <w:rsid w:val="2245B07B"/>
    <w:rsid w:val="22466D49"/>
    <w:rsid w:val="22468F81"/>
    <w:rsid w:val="22477A06"/>
    <w:rsid w:val="2247D4A7"/>
    <w:rsid w:val="22489E2D"/>
    <w:rsid w:val="2248C478"/>
    <w:rsid w:val="2248E2F9"/>
    <w:rsid w:val="2249CD1D"/>
    <w:rsid w:val="2249D4A6"/>
    <w:rsid w:val="2249E3FB"/>
    <w:rsid w:val="2249E865"/>
    <w:rsid w:val="2249FD0F"/>
    <w:rsid w:val="224B2E76"/>
    <w:rsid w:val="224BCED6"/>
    <w:rsid w:val="224C862A"/>
    <w:rsid w:val="224D299E"/>
    <w:rsid w:val="224DA8B5"/>
    <w:rsid w:val="224E3EA8"/>
    <w:rsid w:val="224E63E5"/>
    <w:rsid w:val="224EE9E4"/>
    <w:rsid w:val="224F381C"/>
    <w:rsid w:val="2250487E"/>
    <w:rsid w:val="22506572"/>
    <w:rsid w:val="22510966"/>
    <w:rsid w:val="2252E0C1"/>
    <w:rsid w:val="2252E2A9"/>
    <w:rsid w:val="225479BE"/>
    <w:rsid w:val="22550D32"/>
    <w:rsid w:val="2255D6AE"/>
    <w:rsid w:val="22568F8C"/>
    <w:rsid w:val="225695B9"/>
    <w:rsid w:val="2257636C"/>
    <w:rsid w:val="225764A5"/>
    <w:rsid w:val="22576CD0"/>
    <w:rsid w:val="22579A8C"/>
    <w:rsid w:val="2257B96D"/>
    <w:rsid w:val="22590DCB"/>
    <w:rsid w:val="225A1848"/>
    <w:rsid w:val="225B73F3"/>
    <w:rsid w:val="225B9BEC"/>
    <w:rsid w:val="225C663B"/>
    <w:rsid w:val="225C6736"/>
    <w:rsid w:val="225C8B15"/>
    <w:rsid w:val="225C8FAF"/>
    <w:rsid w:val="225CE33A"/>
    <w:rsid w:val="225CF5F8"/>
    <w:rsid w:val="225DCE98"/>
    <w:rsid w:val="225E7C99"/>
    <w:rsid w:val="225E7D74"/>
    <w:rsid w:val="225F2F37"/>
    <w:rsid w:val="225F69BC"/>
    <w:rsid w:val="225FD3C7"/>
    <w:rsid w:val="2260470E"/>
    <w:rsid w:val="22613489"/>
    <w:rsid w:val="22615A8E"/>
    <w:rsid w:val="2262BEF0"/>
    <w:rsid w:val="2262D269"/>
    <w:rsid w:val="22632060"/>
    <w:rsid w:val="22633C6E"/>
    <w:rsid w:val="22647AB6"/>
    <w:rsid w:val="2264BDFB"/>
    <w:rsid w:val="2265C946"/>
    <w:rsid w:val="226607C3"/>
    <w:rsid w:val="22663AD6"/>
    <w:rsid w:val="226692B5"/>
    <w:rsid w:val="2266AADB"/>
    <w:rsid w:val="22689639"/>
    <w:rsid w:val="2268B4E6"/>
    <w:rsid w:val="2269373A"/>
    <w:rsid w:val="226A76E1"/>
    <w:rsid w:val="226AEA84"/>
    <w:rsid w:val="226AFA8C"/>
    <w:rsid w:val="226B2153"/>
    <w:rsid w:val="226B4C69"/>
    <w:rsid w:val="226B637F"/>
    <w:rsid w:val="226BCEBB"/>
    <w:rsid w:val="226D0F37"/>
    <w:rsid w:val="226D80E9"/>
    <w:rsid w:val="226EA9F7"/>
    <w:rsid w:val="22701536"/>
    <w:rsid w:val="2271B611"/>
    <w:rsid w:val="22722D76"/>
    <w:rsid w:val="2275273A"/>
    <w:rsid w:val="22760C7C"/>
    <w:rsid w:val="2276ECDB"/>
    <w:rsid w:val="227761D6"/>
    <w:rsid w:val="22779BA9"/>
    <w:rsid w:val="2277B0F3"/>
    <w:rsid w:val="2277CEE3"/>
    <w:rsid w:val="22789659"/>
    <w:rsid w:val="2279126F"/>
    <w:rsid w:val="22792234"/>
    <w:rsid w:val="22792A04"/>
    <w:rsid w:val="22794DDB"/>
    <w:rsid w:val="22797523"/>
    <w:rsid w:val="2279C09D"/>
    <w:rsid w:val="227B8F5D"/>
    <w:rsid w:val="227C51DF"/>
    <w:rsid w:val="227DAC78"/>
    <w:rsid w:val="227E2B2F"/>
    <w:rsid w:val="227E82B1"/>
    <w:rsid w:val="227F627F"/>
    <w:rsid w:val="227F7992"/>
    <w:rsid w:val="227FAB9B"/>
    <w:rsid w:val="227FBB65"/>
    <w:rsid w:val="22805B06"/>
    <w:rsid w:val="2280A845"/>
    <w:rsid w:val="228136E4"/>
    <w:rsid w:val="2281E2D9"/>
    <w:rsid w:val="2281EA72"/>
    <w:rsid w:val="2282ED5F"/>
    <w:rsid w:val="22844371"/>
    <w:rsid w:val="2284E5C3"/>
    <w:rsid w:val="2285CADF"/>
    <w:rsid w:val="2285F240"/>
    <w:rsid w:val="22866F4F"/>
    <w:rsid w:val="228971AC"/>
    <w:rsid w:val="228A0042"/>
    <w:rsid w:val="228A45D1"/>
    <w:rsid w:val="228A6A4C"/>
    <w:rsid w:val="228B4934"/>
    <w:rsid w:val="228C70A4"/>
    <w:rsid w:val="228C8855"/>
    <w:rsid w:val="228CB621"/>
    <w:rsid w:val="228D324A"/>
    <w:rsid w:val="228DD7CD"/>
    <w:rsid w:val="228F0D49"/>
    <w:rsid w:val="228F9F2C"/>
    <w:rsid w:val="2291B49E"/>
    <w:rsid w:val="229250CA"/>
    <w:rsid w:val="2293BE15"/>
    <w:rsid w:val="2294839D"/>
    <w:rsid w:val="229570DE"/>
    <w:rsid w:val="2295A5F1"/>
    <w:rsid w:val="22961DE9"/>
    <w:rsid w:val="2296B474"/>
    <w:rsid w:val="229753CC"/>
    <w:rsid w:val="22979480"/>
    <w:rsid w:val="22989A41"/>
    <w:rsid w:val="2299C19F"/>
    <w:rsid w:val="229A7B86"/>
    <w:rsid w:val="229AB6FE"/>
    <w:rsid w:val="229CB74C"/>
    <w:rsid w:val="229E33F2"/>
    <w:rsid w:val="229E5191"/>
    <w:rsid w:val="229E9554"/>
    <w:rsid w:val="22A041A5"/>
    <w:rsid w:val="22A0BF46"/>
    <w:rsid w:val="22A1071A"/>
    <w:rsid w:val="22A10998"/>
    <w:rsid w:val="22A113DB"/>
    <w:rsid w:val="22A13616"/>
    <w:rsid w:val="22A1574E"/>
    <w:rsid w:val="22A3B384"/>
    <w:rsid w:val="22A45A66"/>
    <w:rsid w:val="22A47A91"/>
    <w:rsid w:val="22A4A02C"/>
    <w:rsid w:val="22A4A7F6"/>
    <w:rsid w:val="22A4DA63"/>
    <w:rsid w:val="22A55474"/>
    <w:rsid w:val="22A55E66"/>
    <w:rsid w:val="22A5DB82"/>
    <w:rsid w:val="22A658A5"/>
    <w:rsid w:val="22A7BDB5"/>
    <w:rsid w:val="22A83D91"/>
    <w:rsid w:val="22A94D1C"/>
    <w:rsid w:val="22ABAE61"/>
    <w:rsid w:val="22ABB70B"/>
    <w:rsid w:val="22ABC311"/>
    <w:rsid w:val="22AC3C4D"/>
    <w:rsid w:val="22ADD9B3"/>
    <w:rsid w:val="22AE61FB"/>
    <w:rsid w:val="22B0F98A"/>
    <w:rsid w:val="22B1598D"/>
    <w:rsid w:val="22B1D9FA"/>
    <w:rsid w:val="22B1FB66"/>
    <w:rsid w:val="22B2202F"/>
    <w:rsid w:val="22B2821B"/>
    <w:rsid w:val="22B2B97C"/>
    <w:rsid w:val="22B2CA98"/>
    <w:rsid w:val="22B2E56B"/>
    <w:rsid w:val="22B351BF"/>
    <w:rsid w:val="22B4F9DB"/>
    <w:rsid w:val="22B5029C"/>
    <w:rsid w:val="22B51F89"/>
    <w:rsid w:val="22B533B4"/>
    <w:rsid w:val="22B56767"/>
    <w:rsid w:val="22B632D4"/>
    <w:rsid w:val="22B632DC"/>
    <w:rsid w:val="22B72918"/>
    <w:rsid w:val="22B77CE1"/>
    <w:rsid w:val="22B7A962"/>
    <w:rsid w:val="22B7CDB7"/>
    <w:rsid w:val="22B7FB1A"/>
    <w:rsid w:val="22B83E4F"/>
    <w:rsid w:val="22B95C40"/>
    <w:rsid w:val="22BA54D8"/>
    <w:rsid w:val="22BA57AC"/>
    <w:rsid w:val="22BC5583"/>
    <w:rsid w:val="22BC65D2"/>
    <w:rsid w:val="22BC77E8"/>
    <w:rsid w:val="22BC84E3"/>
    <w:rsid w:val="22BCA915"/>
    <w:rsid w:val="22BCC681"/>
    <w:rsid w:val="22BD5100"/>
    <w:rsid w:val="22BD67D9"/>
    <w:rsid w:val="22BDCE9E"/>
    <w:rsid w:val="22BDE5CF"/>
    <w:rsid w:val="22BE5857"/>
    <w:rsid w:val="22BFFFFB"/>
    <w:rsid w:val="22C12AA0"/>
    <w:rsid w:val="22C1C161"/>
    <w:rsid w:val="22C24A89"/>
    <w:rsid w:val="22C29A41"/>
    <w:rsid w:val="22C3D2B1"/>
    <w:rsid w:val="22C41F4F"/>
    <w:rsid w:val="22C4D2F6"/>
    <w:rsid w:val="22C54E91"/>
    <w:rsid w:val="22C5C963"/>
    <w:rsid w:val="22C68CDC"/>
    <w:rsid w:val="22C6EEF7"/>
    <w:rsid w:val="22C74CA2"/>
    <w:rsid w:val="22C80D55"/>
    <w:rsid w:val="22C80E50"/>
    <w:rsid w:val="22C8DC78"/>
    <w:rsid w:val="22C90FA4"/>
    <w:rsid w:val="22C987AB"/>
    <w:rsid w:val="22CA9992"/>
    <w:rsid w:val="22CAEE2C"/>
    <w:rsid w:val="22CC51BC"/>
    <w:rsid w:val="22CD0CE6"/>
    <w:rsid w:val="22CE8C96"/>
    <w:rsid w:val="22CF791C"/>
    <w:rsid w:val="22D082C7"/>
    <w:rsid w:val="22D0F985"/>
    <w:rsid w:val="22D10F9B"/>
    <w:rsid w:val="22D1BDF3"/>
    <w:rsid w:val="22D1CEBD"/>
    <w:rsid w:val="22D21051"/>
    <w:rsid w:val="22D25348"/>
    <w:rsid w:val="22D343EC"/>
    <w:rsid w:val="22D42071"/>
    <w:rsid w:val="22D442FC"/>
    <w:rsid w:val="22D44883"/>
    <w:rsid w:val="22D4A700"/>
    <w:rsid w:val="22D522ED"/>
    <w:rsid w:val="22D56312"/>
    <w:rsid w:val="22D57242"/>
    <w:rsid w:val="22D587D9"/>
    <w:rsid w:val="22D61DAE"/>
    <w:rsid w:val="22D6328B"/>
    <w:rsid w:val="22D6B375"/>
    <w:rsid w:val="22D87810"/>
    <w:rsid w:val="22D889BA"/>
    <w:rsid w:val="22D9ADAC"/>
    <w:rsid w:val="22D9E244"/>
    <w:rsid w:val="22DAD732"/>
    <w:rsid w:val="22DADB88"/>
    <w:rsid w:val="22DB5CAE"/>
    <w:rsid w:val="22DBE955"/>
    <w:rsid w:val="22DBEE31"/>
    <w:rsid w:val="22DD0629"/>
    <w:rsid w:val="22DE011D"/>
    <w:rsid w:val="22DE8C1E"/>
    <w:rsid w:val="22DF63CE"/>
    <w:rsid w:val="22E09C6F"/>
    <w:rsid w:val="22E0AC70"/>
    <w:rsid w:val="22E24B22"/>
    <w:rsid w:val="22E2BCD2"/>
    <w:rsid w:val="22E2D766"/>
    <w:rsid w:val="22E2F664"/>
    <w:rsid w:val="22E339CE"/>
    <w:rsid w:val="22E33B75"/>
    <w:rsid w:val="22E45C4E"/>
    <w:rsid w:val="22E4C775"/>
    <w:rsid w:val="22E4FE28"/>
    <w:rsid w:val="22E5B459"/>
    <w:rsid w:val="22E5C85D"/>
    <w:rsid w:val="22E6923E"/>
    <w:rsid w:val="22E70639"/>
    <w:rsid w:val="22E73157"/>
    <w:rsid w:val="22E73BF7"/>
    <w:rsid w:val="22E7480C"/>
    <w:rsid w:val="22E748B7"/>
    <w:rsid w:val="22E7C688"/>
    <w:rsid w:val="22E7F466"/>
    <w:rsid w:val="22E856DF"/>
    <w:rsid w:val="22E8A2FC"/>
    <w:rsid w:val="22E99CBF"/>
    <w:rsid w:val="22E9B61E"/>
    <w:rsid w:val="22EA4939"/>
    <w:rsid w:val="22EA4CE4"/>
    <w:rsid w:val="22EB7CAB"/>
    <w:rsid w:val="22EBC6C6"/>
    <w:rsid w:val="22ED0F85"/>
    <w:rsid w:val="22ED9E4B"/>
    <w:rsid w:val="22EDF275"/>
    <w:rsid w:val="22EDFA8A"/>
    <w:rsid w:val="22EE2995"/>
    <w:rsid w:val="22EE5531"/>
    <w:rsid w:val="22EF5C18"/>
    <w:rsid w:val="22F01BE5"/>
    <w:rsid w:val="22F05C22"/>
    <w:rsid w:val="22F0F859"/>
    <w:rsid w:val="22F18CC1"/>
    <w:rsid w:val="22F1E268"/>
    <w:rsid w:val="22F39BDA"/>
    <w:rsid w:val="22F3FC3B"/>
    <w:rsid w:val="22F4A6C6"/>
    <w:rsid w:val="22F583FB"/>
    <w:rsid w:val="22F59C5E"/>
    <w:rsid w:val="22F5A907"/>
    <w:rsid w:val="22F5BFE9"/>
    <w:rsid w:val="22F5E77E"/>
    <w:rsid w:val="22F637BA"/>
    <w:rsid w:val="22F65AB9"/>
    <w:rsid w:val="22F67208"/>
    <w:rsid w:val="22F6A78F"/>
    <w:rsid w:val="22F6D813"/>
    <w:rsid w:val="22F73C11"/>
    <w:rsid w:val="22F7DD7C"/>
    <w:rsid w:val="22F8073F"/>
    <w:rsid w:val="22F83862"/>
    <w:rsid w:val="22F8AF7C"/>
    <w:rsid w:val="22F8B6DF"/>
    <w:rsid w:val="22F8E5DE"/>
    <w:rsid w:val="22F92CE4"/>
    <w:rsid w:val="22F97B28"/>
    <w:rsid w:val="22F9C8EE"/>
    <w:rsid w:val="22FA3E9E"/>
    <w:rsid w:val="22FB3D17"/>
    <w:rsid w:val="22FBC136"/>
    <w:rsid w:val="22FDD71B"/>
    <w:rsid w:val="22FEE413"/>
    <w:rsid w:val="22FF2AD1"/>
    <w:rsid w:val="22FF8A6A"/>
    <w:rsid w:val="22FFBCB8"/>
    <w:rsid w:val="23000E0E"/>
    <w:rsid w:val="230112BC"/>
    <w:rsid w:val="2301B26E"/>
    <w:rsid w:val="2302D930"/>
    <w:rsid w:val="2302F7A4"/>
    <w:rsid w:val="2303418C"/>
    <w:rsid w:val="2303BC39"/>
    <w:rsid w:val="2304ADE2"/>
    <w:rsid w:val="2304B065"/>
    <w:rsid w:val="23052E6E"/>
    <w:rsid w:val="23059152"/>
    <w:rsid w:val="230605BD"/>
    <w:rsid w:val="23067275"/>
    <w:rsid w:val="2307E095"/>
    <w:rsid w:val="2308D0CC"/>
    <w:rsid w:val="230A0B2E"/>
    <w:rsid w:val="230A5851"/>
    <w:rsid w:val="230AAE73"/>
    <w:rsid w:val="230B9306"/>
    <w:rsid w:val="230C33D9"/>
    <w:rsid w:val="230C36AB"/>
    <w:rsid w:val="230C3BD3"/>
    <w:rsid w:val="230C7FF7"/>
    <w:rsid w:val="230CEAC6"/>
    <w:rsid w:val="230D5789"/>
    <w:rsid w:val="230F509B"/>
    <w:rsid w:val="230FF23C"/>
    <w:rsid w:val="23111B9B"/>
    <w:rsid w:val="23114C29"/>
    <w:rsid w:val="2311550A"/>
    <w:rsid w:val="231176DA"/>
    <w:rsid w:val="2311808B"/>
    <w:rsid w:val="23126ADC"/>
    <w:rsid w:val="23129AAC"/>
    <w:rsid w:val="2312AFD6"/>
    <w:rsid w:val="23137E82"/>
    <w:rsid w:val="23137ECA"/>
    <w:rsid w:val="2313CDF9"/>
    <w:rsid w:val="23151DAF"/>
    <w:rsid w:val="2318529C"/>
    <w:rsid w:val="231942D1"/>
    <w:rsid w:val="23194BDC"/>
    <w:rsid w:val="2319C1FB"/>
    <w:rsid w:val="2319CB69"/>
    <w:rsid w:val="231A5E8E"/>
    <w:rsid w:val="231B93F2"/>
    <w:rsid w:val="231BA1A0"/>
    <w:rsid w:val="231C1886"/>
    <w:rsid w:val="231CA590"/>
    <w:rsid w:val="231CA87B"/>
    <w:rsid w:val="231CB52C"/>
    <w:rsid w:val="231D2B23"/>
    <w:rsid w:val="231D5496"/>
    <w:rsid w:val="231DEE98"/>
    <w:rsid w:val="231EA40A"/>
    <w:rsid w:val="231F3589"/>
    <w:rsid w:val="231FDA6E"/>
    <w:rsid w:val="2320F560"/>
    <w:rsid w:val="2321319B"/>
    <w:rsid w:val="232174F5"/>
    <w:rsid w:val="2321AF08"/>
    <w:rsid w:val="23227190"/>
    <w:rsid w:val="2323D1DA"/>
    <w:rsid w:val="2324AB83"/>
    <w:rsid w:val="232504D8"/>
    <w:rsid w:val="2325964D"/>
    <w:rsid w:val="2325E27F"/>
    <w:rsid w:val="23264AC8"/>
    <w:rsid w:val="2326DD6A"/>
    <w:rsid w:val="23276327"/>
    <w:rsid w:val="2327F9A6"/>
    <w:rsid w:val="23284B7F"/>
    <w:rsid w:val="232940B7"/>
    <w:rsid w:val="2329630B"/>
    <w:rsid w:val="23296B43"/>
    <w:rsid w:val="2329AD98"/>
    <w:rsid w:val="232A3730"/>
    <w:rsid w:val="232B2AC2"/>
    <w:rsid w:val="232BD287"/>
    <w:rsid w:val="232BD2C7"/>
    <w:rsid w:val="232E1F63"/>
    <w:rsid w:val="232E2099"/>
    <w:rsid w:val="232E3E5E"/>
    <w:rsid w:val="232EA042"/>
    <w:rsid w:val="232EC370"/>
    <w:rsid w:val="2331DD0B"/>
    <w:rsid w:val="23320144"/>
    <w:rsid w:val="2332B4D6"/>
    <w:rsid w:val="23332A8B"/>
    <w:rsid w:val="233341F6"/>
    <w:rsid w:val="2333E780"/>
    <w:rsid w:val="23340913"/>
    <w:rsid w:val="23345DDB"/>
    <w:rsid w:val="2335DD06"/>
    <w:rsid w:val="2335E452"/>
    <w:rsid w:val="2335E756"/>
    <w:rsid w:val="2336C0F5"/>
    <w:rsid w:val="2337637E"/>
    <w:rsid w:val="2337C4C0"/>
    <w:rsid w:val="23380FB4"/>
    <w:rsid w:val="23390FCD"/>
    <w:rsid w:val="2339EA98"/>
    <w:rsid w:val="233A885A"/>
    <w:rsid w:val="233AD157"/>
    <w:rsid w:val="233AD61F"/>
    <w:rsid w:val="233B448B"/>
    <w:rsid w:val="233BC5BC"/>
    <w:rsid w:val="233C1952"/>
    <w:rsid w:val="233C6364"/>
    <w:rsid w:val="233D99F7"/>
    <w:rsid w:val="233F7A76"/>
    <w:rsid w:val="234097C3"/>
    <w:rsid w:val="234332A1"/>
    <w:rsid w:val="23434BDD"/>
    <w:rsid w:val="234714AB"/>
    <w:rsid w:val="2348C6A1"/>
    <w:rsid w:val="23490EE1"/>
    <w:rsid w:val="23496672"/>
    <w:rsid w:val="2349CAB2"/>
    <w:rsid w:val="2349CC7E"/>
    <w:rsid w:val="234A00A2"/>
    <w:rsid w:val="234A2E60"/>
    <w:rsid w:val="234B541B"/>
    <w:rsid w:val="234B997C"/>
    <w:rsid w:val="234D5ED4"/>
    <w:rsid w:val="234E436A"/>
    <w:rsid w:val="234EBCE5"/>
    <w:rsid w:val="234F08D4"/>
    <w:rsid w:val="234FFF10"/>
    <w:rsid w:val="235058F9"/>
    <w:rsid w:val="2350C956"/>
    <w:rsid w:val="2352056B"/>
    <w:rsid w:val="23526D69"/>
    <w:rsid w:val="23539E6E"/>
    <w:rsid w:val="23548259"/>
    <w:rsid w:val="2354C9B3"/>
    <w:rsid w:val="2355F741"/>
    <w:rsid w:val="23565E14"/>
    <w:rsid w:val="2356AC53"/>
    <w:rsid w:val="235809F9"/>
    <w:rsid w:val="235835EB"/>
    <w:rsid w:val="23583606"/>
    <w:rsid w:val="2358C057"/>
    <w:rsid w:val="2358CFEC"/>
    <w:rsid w:val="23598C16"/>
    <w:rsid w:val="235B1FCC"/>
    <w:rsid w:val="235B34BA"/>
    <w:rsid w:val="235BE909"/>
    <w:rsid w:val="235CB4CC"/>
    <w:rsid w:val="235CB6CC"/>
    <w:rsid w:val="235D3212"/>
    <w:rsid w:val="235D91CF"/>
    <w:rsid w:val="235D938B"/>
    <w:rsid w:val="235EB08D"/>
    <w:rsid w:val="235EC3BF"/>
    <w:rsid w:val="235F22C2"/>
    <w:rsid w:val="235FB50D"/>
    <w:rsid w:val="23600271"/>
    <w:rsid w:val="236037CB"/>
    <w:rsid w:val="2360AD49"/>
    <w:rsid w:val="2361425C"/>
    <w:rsid w:val="23615FE4"/>
    <w:rsid w:val="23620E4B"/>
    <w:rsid w:val="2362B0F8"/>
    <w:rsid w:val="2362B2E1"/>
    <w:rsid w:val="23637156"/>
    <w:rsid w:val="23643929"/>
    <w:rsid w:val="236454E0"/>
    <w:rsid w:val="236561E3"/>
    <w:rsid w:val="2366849D"/>
    <w:rsid w:val="2366CB32"/>
    <w:rsid w:val="236730C3"/>
    <w:rsid w:val="2367B6D1"/>
    <w:rsid w:val="2368F7A3"/>
    <w:rsid w:val="2369FC89"/>
    <w:rsid w:val="236A9DD4"/>
    <w:rsid w:val="236C8C38"/>
    <w:rsid w:val="236C93CC"/>
    <w:rsid w:val="236D3F25"/>
    <w:rsid w:val="236D5417"/>
    <w:rsid w:val="236DBEB3"/>
    <w:rsid w:val="236E3B27"/>
    <w:rsid w:val="236E9D3F"/>
    <w:rsid w:val="236EC2B4"/>
    <w:rsid w:val="2370759C"/>
    <w:rsid w:val="23707977"/>
    <w:rsid w:val="23707C9B"/>
    <w:rsid w:val="23718261"/>
    <w:rsid w:val="2371CAFB"/>
    <w:rsid w:val="23723AF5"/>
    <w:rsid w:val="23729287"/>
    <w:rsid w:val="2373ABBD"/>
    <w:rsid w:val="2373AE4A"/>
    <w:rsid w:val="2374BE74"/>
    <w:rsid w:val="237520C6"/>
    <w:rsid w:val="2377D4D1"/>
    <w:rsid w:val="2377DFE1"/>
    <w:rsid w:val="2377FE06"/>
    <w:rsid w:val="237A4BB0"/>
    <w:rsid w:val="237C5669"/>
    <w:rsid w:val="237C7FAD"/>
    <w:rsid w:val="237D237B"/>
    <w:rsid w:val="237D560E"/>
    <w:rsid w:val="237E2D34"/>
    <w:rsid w:val="237E3818"/>
    <w:rsid w:val="237E3BE9"/>
    <w:rsid w:val="237EEA21"/>
    <w:rsid w:val="237F113A"/>
    <w:rsid w:val="237F7D08"/>
    <w:rsid w:val="2380E728"/>
    <w:rsid w:val="2380EFB3"/>
    <w:rsid w:val="23818F86"/>
    <w:rsid w:val="2381E74A"/>
    <w:rsid w:val="2381EAEF"/>
    <w:rsid w:val="23831170"/>
    <w:rsid w:val="23831C33"/>
    <w:rsid w:val="238361A2"/>
    <w:rsid w:val="23836472"/>
    <w:rsid w:val="23836716"/>
    <w:rsid w:val="23840AC5"/>
    <w:rsid w:val="23844AC8"/>
    <w:rsid w:val="23847599"/>
    <w:rsid w:val="2384E7B0"/>
    <w:rsid w:val="238526D5"/>
    <w:rsid w:val="2385EDE0"/>
    <w:rsid w:val="23862555"/>
    <w:rsid w:val="23865350"/>
    <w:rsid w:val="238892D1"/>
    <w:rsid w:val="238913DA"/>
    <w:rsid w:val="238951A9"/>
    <w:rsid w:val="23895318"/>
    <w:rsid w:val="238958DA"/>
    <w:rsid w:val="238A65BF"/>
    <w:rsid w:val="238AD829"/>
    <w:rsid w:val="238BF747"/>
    <w:rsid w:val="238D37AD"/>
    <w:rsid w:val="238E021C"/>
    <w:rsid w:val="238E75DD"/>
    <w:rsid w:val="238EC0D7"/>
    <w:rsid w:val="238F5822"/>
    <w:rsid w:val="2390664B"/>
    <w:rsid w:val="23909690"/>
    <w:rsid w:val="239096FE"/>
    <w:rsid w:val="23919FF5"/>
    <w:rsid w:val="2391AA88"/>
    <w:rsid w:val="239254F2"/>
    <w:rsid w:val="23936425"/>
    <w:rsid w:val="2393922F"/>
    <w:rsid w:val="23943910"/>
    <w:rsid w:val="23946FF3"/>
    <w:rsid w:val="23959F8F"/>
    <w:rsid w:val="2396489D"/>
    <w:rsid w:val="2396BDBD"/>
    <w:rsid w:val="23971CCB"/>
    <w:rsid w:val="23973DF7"/>
    <w:rsid w:val="239764C5"/>
    <w:rsid w:val="2399726A"/>
    <w:rsid w:val="2399A9E3"/>
    <w:rsid w:val="239A5CD9"/>
    <w:rsid w:val="239B0997"/>
    <w:rsid w:val="239B7BB8"/>
    <w:rsid w:val="239B8A86"/>
    <w:rsid w:val="239C9E18"/>
    <w:rsid w:val="239CB561"/>
    <w:rsid w:val="239CD465"/>
    <w:rsid w:val="239D01EA"/>
    <w:rsid w:val="239E41B6"/>
    <w:rsid w:val="239E5BA9"/>
    <w:rsid w:val="239E7040"/>
    <w:rsid w:val="239F6A7F"/>
    <w:rsid w:val="239F7D2C"/>
    <w:rsid w:val="239F94A1"/>
    <w:rsid w:val="23A059AD"/>
    <w:rsid w:val="23A088C7"/>
    <w:rsid w:val="23A11F5F"/>
    <w:rsid w:val="23A13F77"/>
    <w:rsid w:val="23A27D6F"/>
    <w:rsid w:val="23A36B4F"/>
    <w:rsid w:val="23A4B44D"/>
    <w:rsid w:val="23A512D8"/>
    <w:rsid w:val="23A59C66"/>
    <w:rsid w:val="23A68EF4"/>
    <w:rsid w:val="23A779EB"/>
    <w:rsid w:val="23A7B278"/>
    <w:rsid w:val="23A8253D"/>
    <w:rsid w:val="23A8593A"/>
    <w:rsid w:val="23A92632"/>
    <w:rsid w:val="23A9CB0C"/>
    <w:rsid w:val="23AA344D"/>
    <w:rsid w:val="23AB55FD"/>
    <w:rsid w:val="23AC75D9"/>
    <w:rsid w:val="23ACB3F6"/>
    <w:rsid w:val="23ACE070"/>
    <w:rsid w:val="23AD0B1F"/>
    <w:rsid w:val="23AD967F"/>
    <w:rsid w:val="23AF2CF5"/>
    <w:rsid w:val="23AF3826"/>
    <w:rsid w:val="23AFBD1C"/>
    <w:rsid w:val="23B1197C"/>
    <w:rsid w:val="23B178FC"/>
    <w:rsid w:val="23B1A6CC"/>
    <w:rsid w:val="23B3733B"/>
    <w:rsid w:val="23B39294"/>
    <w:rsid w:val="23B3BB5F"/>
    <w:rsid w:val="23B4145C"/>
    <w:rsid w:val="23B5C6C0"/>
    <w:rsid w:val="23B6AEBB"/>
    <w:rsid w:val="23B6D4F2"/>
    <w:rsid w:val="23B77116"/>
    <w:rsid w:val="23B7FB8C"/>
    <w:rsid w:val="23B82952"/>
    <w:rsid w:val="23B94DF9"/>
    <w:rsid w:val="23B9E396"/>
    <w:rsid w:val="23BAA81A"/>
    <w:rsid w:val="23BCAC64"/>
    <w:rsid w:val="23BD1D59"/>
    <w:rsid w:val="23BD6B42"/>
    <w:rsid w:val="23BDFBBD"/>
    <w:rsid w:val="23BE33EF"/>
    <w:rsid w:val="23BE94C5"/>
    <w:rsid w:val="23BEE356"/>
    <w:rsid w:val="23BFA154"/>
    <w:rsid w:val="23BFB6B0"/>
    <w:rsid w:val="23C03D97"/>
    <w:rsid w:val="23C056BA"/>
    <w:rsid w:val="23C24B14"/>
    <w:rsid w:val="23C29381"/>
    <w:rsid w:val="23C31176"/>
    <w:rsid w:val="23C32D11"/>
    <w:rsid w:val="23C3448A"/>
    <w:rsid w:val="23C38061"/>
    <w:rsid w:val="23C39FBD"/>
    <w:rsid w:val="23C3D2C0"/>
    <w:rsid w:val="23C424E3"/>
    <w:rsid w:val="23C771A3"/>
    <w:rsid w:val="23C8D4A5"/>
    <w:rsid w:val="23C92AAC"/>
    <w:rsid w:val="23C9DFDB"/>
    <w:rsid w:val="23C9FE67"/>
    <w:rsid w:val="23CA04FA"/>
    <w:rsid w:val="23CA39C8"/>
    <w:rsid w:val="23CA5292"/>
    <w:rsid w:val="23CA9147"/>
    <w:rsid w:val="23CAC776"/>
    <w:rsid w:val="23CAD6BC"/>
    <w:rsid w:val="23CAE9C7"/>
    <w:rsid w:val="23CB021B"/>
    <w:rsid w:val="23CC86B9"/>
    <w:rsid w:val="23CD454E"/>
    <w:rsid w:val="23CD97C7"/>
    <w:rsid w:val="23CDB19A"/>
    <w:rsid w:val="23CF3122"/>
    <w:rsid w:val="23CF4142"/>
    <w:rsid w:val="23CF4B99"/>
    <w:rsid w:val="23CF7CB2"/>
    <w:rsid w:val="23D004CF"/>
    <w:rsid w:val="23D0F8D8"/>
    <w:rsid w:val="23D2388E"/>
    <w:rsid w:val="23D272CD"/>
    <w:rsid w:val="23D2F8DC"/>
    <w:rsid w:val="23D322D4"/>
    <w:rsid w:val="23D3FE67"/>
    <w:rsid w:val="23D48BB5"/>
    <w:rsid w:val="23D5B58F"/>
    <w:rsid w:val="23D66E72"/>
    <w:rsid w:val="23D6A1B3"/>
    <w:rsid w:val="23D6DB0D"/>
    <w:rsid w:val="23D77B8A"/>
    <w:rsid w:val="23D7A2F8"/>
    <w:rsid w:val="23D8DA8D"/>
    <w:rsid w:val="23D9C8BD"/>
    <w:rsid w:val="23D9D2AA"/>
    <w:rsid w:val="23DA109C"/>
    <w:rsid w:val="23DA5638"/>
    <w:rsid w:val="23DB50FB"/>
    <w:rsid w:val="23DB9912"/>
    <w:rsid w:val="23DCB1D7"/>
    <w:rsid w:val="23DD6B28"/>
    <w:rsid w:val="23DD7C37"/>
    <w:rsid w:val="23DE5722"/>
    <w:rsid w:val="23DE8A1E"/>
    <w:rsid w:val="23DF28DA"/>
    <w:rsid w:val="23E00D05"/>
    <w:rsid w:val="23E079C9"/>
    <w:rsid w:val="23E10476"/>
    <w:rsid w:val="23E266FA"/>
    <w:rsid w:val="23E4BA3E"/>
    <w:rsid w:val="23E4D08F"/>
    <w:rsid w:val="23E549ED"/>
    <w:rsid w:val="23E5AB28"/>
    <w:rsid w:val="23E5FF8E"/>
    <w:rsid w:val="23E61310"/>
    <w:rsid w:val="23E62564"/>
    <w:rsid w:val="23E64736"/>
    <w:rsid w:val="23E73ED7"/>
    <w:rsid w:val="23E7826C"/>
    <w:rsid w:val="23E7953F"/>
    <w:rsid w:val="23E7A0AD"/>
    <w:rsid w:val="23E83552"/>
    <w:rsid w:val="23E85F61"/>
    <w:rsid w:val="23E98FFD"/>
    <w:rsid w:val="23E9D9B0"/>
    <w:rsid w:val="23EB32A0"/>
    <w:rsid w:val="23EB6379"/>
    <w:rsid w:val="23ED346F"/>
    <w:rsid w:val="23ED5815"/>
    <w:rsid w:val="23EF0A01"/>
    <w:rsid w:val="23EF1E3A"/>
    <w:rsid w:val="23EF36B2"/>
    <w:rsid w:val="23F063B1"/>
    <w:rsid w:val="23F10DEA"/>
    <w:rsid w:val="23F1B320"/>
    <w:rsid w:val="23F1D151"/>
    <w:rsid w:val="23F25789"/>
    <w:rsid w:val="23F26599"/>
    <w:rsid w:val="23F274F2"/>
    <w:rsid w:val="23F4B7F3"/>
    <w:rsid w:val="23F4F3E3"/>
    <w:rsid w:val="23F4F965"/>
    <w:rsid w:val="23F605A8"/>
    <w:rsid w:val="23F62C36"/>
    <w:rsid w:val="23F6A722"/>
    <w:rsid w:val="23F6C339"/>
    <w:rsid w:val="23F8723E"/>
    <w:rsid w:val="23F928DC"/>
    <w:rsid w:val="23F92E52"/>
    <w:rsid w:val="23F93570"/>
    <w:rsid w:val="23F97011"/>
    <w:rsid w:val="23F9945D"/>
    <w:rsid w:val="23FA19A2"/>
    <w:rsid w:val="23FACA8A"/>
    <w:rsid w:val="23FCBA10"/>
    <w:rsid w:val="23FCDC62"/>
    <w:rsid w:val="23FEE683"/>
    <w:rsid w:val="23FFA2F6"/>
    <w:rsid w:val="24007BAE"/>
    <w:rsid w:val="24018E96"/>
    <w:rsid w:val="2402FCD9"/>
    <w:rsid w:val="24044311"/>
    <w:rsid w:val="240458B5"/>
    <w:rsid w:val="24066F8A"/>
    <w:rsid w:val="24069E1A"/>
    <w:rsid w:val="2406FDBA"/>
    <w:rsid w:val="240803CA"/>
    <w:rsid w:val="2408CB83"/>
    <w:rsid w:val="2408E092"/>
    <w:rsid w:val="24093489"/>
    <w:rsid w:val="2409515F"/>
    <w:rsid w:val="24095EAF"/>
    <w:rsid w:val="240B590C"/>
    <w:rsid w:val="240BCD7E"/>
    <w:rsid w:val="240BE4A6"/>
    <w:rsid w:val="240C493A"/>
    <w:rsid w:val="240C4996"/>
    <w:rsid w:val="240C5EFC"/>
    <w:rsid w:val="240D0C82"/>
    <w:rsid w:val="240D5592"/>
    <w:rsid w:val="240E05CB"/>
    <w:rsid w:val="240E25B4"/>
    <w:rsid w:val="240E558E"/>
    <w:rsid w:val="240E6F83"/>
    <w:rsid w:val="240F93A5"/>
    <w:rsid w:val="240FBF00"/>
    <w:rsid w:val="241067AF"/>
    <w:rsid w:val="241331FA"/>
    <w:rsid w:val="24135C45"/>
    <w:rsid w:val="24139BC5"/>
    <w:rsid w:val="2413C452"/>
    <w:rsid w:val="24147EA8"/>
    <w:rsid w:val="24147FA3"/>
    <w:rsid w:val="24168738"/>
    <w:rsid w:val="2417500B"/>
    <w:rsid w:val="241758EF"/>
    <w:rsid w:val="2418447D"/>
    <w:rsid w:val="2418CC30"/>
    <w:rsid w:val="24192090"/>
    <w:rsid w:val="241988CB"/>
    <w:rsid w:val="241A140D"/>
    <w:rsid w:val="241A3671"/>
    <w:rsid w:val="241A7218"/>
    <w:rsid w:val="241A983C"/>
    <w:rsid w:val="241AA824"/>
    <w:rsid w:val="241AFB67"/>
    <w:rsid w:val="241BC806"/>
    <w:rsid w:val="241BCDFB"/>
    <w:rsid w:val="241CCF70"/>
    <w:rsid w:val="241CEFFC"/>
    <w:rsid w:val="241DAFDF"/>
    <w:rsid w:val="241F7FFF"/>
    <w:rsid w:val="242052AE"/>
    <w:rsid w:val="2420AE8A"/>
    <w:rsid w:val="2422255A"/>
    <w:rsid w:val="24228763"/>
    <w:rsid w:val="242306F5"/>
    <w:rsid w:val="24232649"/>
    <w:rsid w:val="242342B8"/>
    <w:rsid w:val="24240B6B"/>
    <w:rsid w:val="242504AF"/>
    <w:rsid w:val="2425220B"/>
    <w:rsid w:val="242651F5"/>
    <w:rsid w:val="2427927A"/>
    <w:rsid w:val="24287F8D"/>
    <w:rsid w:val="242992FA"/>
    <w:rsid w:val="2429ADC1"/>
    <w:rsid w:val="242A2C46"/>
    <w:rsid w:val="242B61B1"/>
    <w:rsid w:val="242CB3AD"/>
    <w:rsid w:val="242E3E14"/>
    <w:rsid w:val="242EDE6C"/>
    <w:rsid w:val="242F7FCE"/>
    <w:rsid w:val="2430D584"/>
    <w:rsid w:val="243187C8"/>
    <w:rsid w:val="2431A94F"/>
    <w:rsid w:val="2431BCDB"/>
    <w:rsid w:val="2431E893"/>
    <w:rsid w:val="2431ED29"/>
    <w:rsid w:val="24331DC8"/>
    <w:rsid w:val="24335662"/>
    <w:rsid w:val="2434879F"/>
    <w:rsid w:val="2434E096"/>
    <w:rsid w:val="2435E024"/>
    <w:rsid w:val="24360161"/>
    <w:rsid w:val="2436A0BC"/>
    <w:rsid w:val="2438105D"/>
    <w:rsid w:val="2438D16B"/>
    <w:rsid w:val="2438D9FA"/>
    <w:rsid w:val="24392833"/>
    <w:rsid w:val="2439B42A"/>
    <w:rsid w:val="2439E5D7"/>
    <w:rsid w:val="243B0684"/>
    <w:rsid w:val="243BC222"/>
    <w:rsid w:val="243C2297"/>
    <w:rsid w:val="243F1F1E"/>
    <w:rsid w:val="243FA55F"/>
    <w:rsid w:val="24401880"/>
    <w:rsid w:val="244146EE"/>
    <w:rsid w:val="2441941D"/>
    <w:rsid w:val="244215A4"/>
    <w:rsid w:val="24425198"/>
    <w:rsid w:val="24432CA5"/>
    <w:rsid w:val="2443571E"/>
    <w:rsid w:val="244431F2"/>
    <w:rsid w:val="2444518E"/>
    <w:rsid w:val="2446CB31"/>
    <w:rsid w:val="24474039"/>
    <w:rsid w:val="24476665"/>
    <w:rsid w:val="2447DB70"/>
    <w:rsid w:val="24486750"/>
    <w:rsid w:val="244A3E42"/>
    <w:rsid w:val="244A47CB"/>
    <w:rsid w:val="244AA36B"/>
    <w:rsid w:val="244B6659"/>
    <w:rsid w:val="244C12F9"/>
    <w:rsid w:val="244C6C66"/>
    <w:rsid w:val="244D06A0"/>
    <w:rsid w:val="244DEF36"/>
    <w:rsid w:val="244E288E"/>
    <w:rsid w:val="24503214"/>
    <w:rsid w:val="2450D009"/>
    <w:rsid w:val="24512E4F"/>
    <w:rsid w:val="2451E189"/>
    <w:rsid w:val="24522B5F"/>
    <w:rsid w:val="2452A2E6"/>
    <w:rsid w:val="2452F4DF"/>
    <w:rsid w:val="2452F5EB"/>
    <w:rsid w:val="2453556D"/>
    <w:rsid w:val="2453DDF6"/>
    <w:rsid w:val="24563375"/>
    <w:rsid w:val="24566D36"/>
    <w:rsid w:val="24579E55"/>
    <w:rsid w:val="2457FF02"/>
    <w:rsid w:val="2458A4E3"/>
    <w:rsid w:val="2459D5AA"/>
    <w:rsid w:val="2459D5DE"/>
    <w:rsid w:val="245A097C"/>
    <w:rsid w:val="245AB224"/>
    <w:rsid w:val="245B8595"/>
    <w:rsid w:val="245D4B81"/>
    <w:rsid w:val="245E286C"/>
    <w:rsid w:val="245E64C5"/>
    <w:rsid w:val="245F7845"/>
    <w:rsid w:val="245FC0E8"/>
    <w:rsid w:val="24616865"/>
    <w:rsid w:val="24617F32"/>
    <w:rsid w:val="2461974F"/>
    <w:rsid w:val="24634940"/>
    <w:rsid w:val="2463E4AC"/>
    <w:rsid w:val="2463EB0A"/>
    <w:rsid w:val="2464AC24"/>
    <w:rsid w:val="2464D5F2"/>
    <w:rsid w:val="24655FCE"/>
    <w:rsid w:val="246576CA"/>
    <w:rsid w:val="2465A5A6"/>
    <w:rsid w:val="2465E47D"/>
    <w:rsid w:val="246641FC"/>
    <w:rsid w:val="24673EDF"/>
    <w:rsid w:val="24673F38"/>
    <w:rsid w:val="246948CD"/>
    <w:rsid w:val="246990C4"/>
    <w:rsid w:val="2469D970"/>
    <w:rsid w:val="246A48BC"/>
    <w:rsid w:val="246A753B"/>
    <w:rsid w:val="246C315D"/>
    <w:rsid w:val="246CF2DC"/>
    <w:rsid w:val="246D7C2B"/>
    <w:rsid w:val="246E393E"/>
    <w:rsid w:val="246EF4B3"/>
    <w:rsid w:val="246F38DA"/>
    <w:rsid w:val="246FBB79"/>
    <w:rsid w:val="247003B7"/>
    <w:rsid w:val="24701368"/>
    <w:rsid w:val="2470535F"/>
    <w:rsid w:val="24708B93"/>
    <w:rsid w:val="2470E4F5"/>
    <w:rsid w:val="24713522"/>
    <w:rsid w:val="24715611"/>
    <w:rsid w:val="24715FFC"/>
    <w:rsid w:val="247302EF"/>
    <w:rsid w:val="2473A90C"/>
    <w:rsid w:val="24741893"/>
    <w:rsid w:val="24744C27"/>
    <w:rsid w:val="247477C9"/>
    <w:rsid w:val="2474D1F4"/>
    <w:rsid w:val="2475D7E3"/>
    <w:rsid w:val="2476A17C"/>
    <w:rsid w:val="2476B155"/>
    <w:rsid w:val="2476DF09"/>
    <w:rsid w:val="24770566"/>
    <w:rsid w:val="24772153"/>
    <w:rsid w:val="2478E366"/>
    <w:rsid w:val="247B06D5"/>
    <w:rsid w:val="247BB0C0"/>
    <w:rsid w:val="247BFC1D"/>
    <w:rsid w:val="247D01C8"/>
    <w:rsid w:val="247EDD30"/>
    <w:rsid w:val="247FB503"/>
    <w:rsid w:val="24801433"/>
    <w:rsid w:val="24801A9D"/>
    <w:rsid w:val="248078E1"/>
    <w:rsid w:val="2480C91C"/>
    <w:rsid w:val="2480E001"/>
    <w:rsid w:val="24818C73"/>
    <w:rsid w:val="2481F2B2"/>
    <w:rsid w:val="24835EEE"/>
    <w:rsid w:val="24837FCE"/>
    <w:rsid w:val="2483E622"/>
    <w:rsid w:val="2483FAE8"/>
    <w:rsid w:val="24846ADF"/>
    <w:rsid w:val="24847F12"/>
    <w:rsid w:val="2484965F"/>
    <w:rsid w:val="248559BA"/>
    <w:rsid w:val="24863F17"/>
    <w:rsid w:val="2486784B"/>
    <w:rsid w:val="248701FC"/>
    <w:rsid w:val="2487FF89"/>
    <w:rsid w:val="2488428F"/>
    <w:rsid w:val="2489BC1C"/>
    <w:rsid w:val="2489EADF"/>
    <w:rsid w:val="248A42D1"/>
    <w:rsid w:val="248A8671"/>
    <w:rsid w:val="248A9E78"/>
    <w:rsid w:val="248AD3B9"/>
    <w:rsid w:val="248AF632"/>
    <w:rsid w:val="248B2C02"/>
    <w:rsid w:val="248CEDCA"/>
    <w:rsid w:val="248D2BCD"/>
    <w:rsid w:val="248E4343"/>
    <w:rsid w:val="248FB664"/>
    <w:rsid w:val="2490ABD5"/>
    <w:rsid w:val="249167DE"/>
    <w:rsid w:val="249216DC"/>
    <w:rsid w:val="2492EF4D"/>
    <w:rsid w:val="249393DB"/>
    <w:rsid w:val="24940053"/>
    <w:rsid w:val="2494504A"/>
    <w:rsid w:val="24949981"/>
    <w:rsid w:val="24952E16"/>
    <w:rsid w:val="24964258"/>
    <w:rsid w:val="2496F5CE"/>
    <w:rsid w:val="249727D9"/>
    <w:rsid w:val="2497503A"/>
    <w:rsid w:val="2497B93A"/>
    <w:rsid w:val="2497DED1"/>
    <w:rsid w:val="2499AE2C"/>
    <w:rsid w:val="249A8520"/>
    <w:rsid w:val="249A88BE"/>
    <w:rsid w:val="249B3A3A"/>
    <w:rsid w:val="249B73BA"/>
    <w:rsid w:val="249B7436"/>
    <w:rsid w:val="249CB564"/>
    <w:rsid w:val="249CBF1E"/>
    <w:rsid w:val="249CC393"/>
    <w:rsid w:val="249DA606"/>
    <w:rsid w:val="249E6235"/>
    <w:rsid w:val="249F2898"/>
    <w:rsid w:val="249F85AF"/>
    <w:rsid w:val="249FD8D8"/>
    <w:rsid w:val="249FE701"/>
    <w:rsid w:val="24A0C68B"/>
    <w:rsid w:val="24A19791"/>
    <w:rsid w:val="24A1AC1A"/>
    <w:rsid w:val="24A35F9F"/>
    <w:rsid w:val="24A36457"/>
    <w:rsid w:val="24A3BA6E"/>
    <w:rsid w:val="24A3BB80"/>
    <w:rsid w:val="24A3D802"/>
    <w:rsid w:val="24A470D4"/>
    <w:rsid w:val="24A51D59"/>
    <w:rsid w:val="24A5FF72"/>
    <w:rsid w:val="24A63EBB"/>
    <w:rsid w:val="24A6BAAD"/>
    <w:rsid w:val="24A707B1"/>
    <w:rsid w:val="24A7195F"/>
    <w:rsid w:val="24A76738"/>
    <w:rsid w:val="24A82BED"/>
    <w:rsid w:val="24AB054A"/>
    <w:rsid w:val="24AB3784"/>
    <w:rsid w:val="24AB3D85"/>
    <w:rsid w:val="24AB7F47"/>
    <w:rsid w:val="24ADE68C"/>
    <w:rsid w:val="24B07509"/>
    <w:rsid w:val="24B152A9"/>
    <w:rsid w:val="24B15C49"/>
    <w:rsid w:val="24B350FD"/>
    <w:rsid w:val="24B42A91"/>
    <w:rsid w:val="24B46CD3"/>
    <w:rsid w:val="24B47502"/>
    <w:rsid w:val="24B58E07"/>
    <w:rsid w:val="24B5A119"/>
    <w:rsid w:val="24B60E47"/>
    <w:rsid w:val="24B62520"/>
    <w:rsid w:val="24B68C28"/>
    <w:rsid w:val="24B7776D"/>
    <w:rsid w:val="24B7E8E7"/>
    <w:rsid w:val="24B7EEC5"/>
    <w:rsid w:val="24B88845"/>
    <w:rsid w:val="24B892C3"/>
    <w:rsid w:val="24B8946F"/>
    <w:rsid w:val="24B8D899"/>
    <w:rsid w:val="24B9795B"/>
    <w:rsid w:val="24B9F6CA"/>
    <w:rsid w:val="24BA5E00"/>
    <w:rsid w:val="24BA956D"/>
    <w:rsid w:val="24BA971F"/>
    <w:rsid w:val="24BB1449"/>
    <w:rsid w:val="24BBA818"/>
    <w:rsid w:val="24BC75C1"/>
    <w:rsid w:val="24BCA60A"/>
    <w:rsid w:val="24BCB97D"/>
    <w:rsid w:val="24BD06F8"/>
    <w:rsid w:val="24BD6C36"/>
    <w:rsid w:val="24BDF55C"/>
    <w:rsid w:val="24BE31F9"/>
    <w:rsid w:val="24BE4F73"/>
    <w:rsid w:val="24BEE16D"/>
    <w:rsid w:val="24BF1F25"/>
    <w:rsid w:val="24BF3803"/>
    <w:rsid w:val="24C06264"/>
    <w:rsid w:val="24C07F25"/>
    <w:rsid w:val="24C08310"/>
    <w:rsid w:val="24C0AD97"/>
    <w:rsid w:val="24C21653"/>
    <w:rsid w:val="24C22228"/>
    <w:rsid w:val="24C29356"/>
    <w:rsid w:val="24C33552"/>
    <w:rsid w:val="24C3B1BA"/>
    <w:rsid w:val="24C4C3A7"/>
    <w:rsid w:val="24C4F120"/>
    <w:rsid w:val="24C51683"/>
    <w:rsid w:val="24C5CB0E"/>
    <w:rsid w:val="24C6D78D"/>
    <w:rsid w:val="24C6E835"/>
    <w:rsid w:val="24C77BF2"/>
    <w:rsid w:val="24C78452"/>
    <w:rsid w:val="24C7ACFA"/>
    <w:rsid w:val="24C80420"/>
    <w:rsid w:val="24C8A589"/>
    <w:rsid w:val="24C8FBBF"/>
    <w:rsid w:val="24C97446"/>
    <w:rsid w:val="24C99B39"/>
    <w:rsid w:val="24C9D52F"/>
    <w:rsid w:val="24CA716C"/>
    <w:rsid w:val="24CACD3A"/>
    <w:rsid w:val="24CAE4A1"/>
    <w:rsid w:val="24CBB0D4"/>
    <w:rsid w:val="24CD6F7B"/>
    <w:rsid w:val="24CD9BD8"/>
    <w:rsid w:val="24CDA384"/>
    <w:rsid w:val="24CDD458"/>
    <w:rsid w:val="24CDDB1C"/>
    <w:rsid w:val="24CE6B9C"/>
    <w:rsid w:val="24CEA655"/>
    <w:rsid w:val="24CF4636"/>
    <w:rsid w:val="24CF7B51"/>
    <w:rsid w:val="24CFE9FB"/>
    <w:rsid w:val="24D15A30"/>
    <w:rsid w:val="24D2437B"/>
    <w:rsid w:val="24D2439C"/>
    <w:rsid w:val="24D2DB4C"/>
    <w:rsid w:val="24D3800E"/>
    <w:rsid w:val="24D3DBAC"/>
    <w:rsid w:val="24D3EA6E"/>
    <w:rsid w:val="24D43E94"/>
    <w:rsid w:val="24D47E9E"/>
    <w:rsid w:val="24D4C637"/>
    <w:rsid w:val="24D568F2"/>
    <w:rsid w:val="24D5809F"/>
    <w:rsid w:val="24D7229B"/>
    <w:rsid w:val="24D8D9A6"/>
    <w:rsid w:val="24D93ABE"/>
    <w:rsid w:val="24DA20D4"/>
    <w:rsid w:val="24DA5888"/>
    <w:rsid w:val="24DAEFD8"/>
    <w:rsid w:val="24DAF39B"/>
    <w:rsid w:val="24DC9F36"/>
    <w:rsid w:val="24DCB3CB"/>
    <w:rsid w:val="24DD07C7"/>
    <w:rsid w:val="24DD3678"/>
    <w:rsid w:val="24DED50E"/>
    <w:rsid w:val="24DF9671"/>
    <w:rsid w:val="24DFA8A5"/>
    <w:rsid w:val="24DFFD8D"/>
    <w:rsid w:val="24E25CCC"/>
    <w:rsid w:val="24E2819E"/>
    <w:rsid w:val="24E33501"/>
    <w:rsid w:val="24E39AA5"/>
    <w:rsid w:val="24E40108"/>
    <w:rsid w:val="24E482CF"/>
    <w:rsid w:val="24E50A7B"/>
    <w:rsid w:val="24E7B131"/>
    <w:rsid w:val="24E82425"/>
    <w:rsid w:val="24E8FDCF"/>
    <w:rsid w:val="24EAD2AB"/>
    <w:rsid w:val="24EAD531"/>
    <w:rsid w:val="24EAE6E3"/>
    <w:rsid w:val="24EB949D"/>
    <w:rsid w:val="24EC1C0E"/>
    <w:rsid w:val="24EC2B9F"/>
    <w:rsid w:val="24ED00C3"/>
    <w:rsid w:val="24EE0DF6"/>
    <w:rsid w:val="24EEB330"/>
    <w:rsid w:val="24EF66F6"/>
    <w:rsid w:val="24EF7358"/>
    <w:rsid w:val="24F0477B"/>
    <w:rsid w:val="24F05675"/>
    <w:rsid w:val="24F0AE16"/>
    <w:rsid w:val="24F10D94"/>
    <w:rsid w:val="24F1CF30"/>
    <w:rsid w:val="24F31465"/>
    <w:rsid w:val="24F3DEFD"/>
    <w:rsid w:val="24F3E0CD"/>
    <w:rsid w:val="24F4B89B"/>
    <w:rsid w:val="24F4BDB2"/>
    <w:rsid w:val="24F52B03"/>
    <w:rsid w:val="24F58C10"/>
    <w:rsid w:val="24F6216D"/>
    <w:rsid w:val="24F6D2D9"/>
    <w:rsid w:val="24F71C06"/>
    <w:rsid w:val="24F7FA0B"/>
    <w:rsid w:val="24F80363"/>
    <w:rsid w:val="24F85F53"/>
    <w:rsid w:val="24F9A293"/>
    <w:rsid w:val="24FB57CD"/>
    <w:rsid w:val="24FC1BAD"/>
    <w:rsid w:val="24FC723D"/>
    <w:rsid w:val="24FDC1D7"/>
    <w:rsid w:val="24FDCE64"/>
    <w:rsid w:val="24FE5717"/>
    <w:rsid w:val="24FE8CD6"/>
    <w:rsid w:val="24FEF960"/>
    <w:rsid w:val="24FF35FA"/>
    <w:rsid w:val="24FF3D8D"/>
    <w:rsid w:val="24FF53E2"/>
    <w:rsid w:val="24FF97A4"/>
    <w:rsid w:val="24FFB830"/>
    <w:rsid w:val="24FFE344"/>
    <w:rsid w:val="25003F2B"/>
    <w:rsid w:val="2500D5D7"/>
    <w:rsid w:val="25014692"/>
    <w:rsid w:val="250183B3"/>
    <w:rsid w:val="2501D2F8"/>
    <w:rsid w:val="250212C5"/>
    <w:rsid w:val="25032DFB"/>
    <w:rsid w:val="25040726"/>
    <w:rsid w:val="25044C02"/>
    <w:rsid w:val="2505E18F"/>
    <w:rsid w:val="25061EC1"/>
    <w:rsid w:val="25063AD5"/>
    <w:rsid w:val="2506DED3"/>
    <w:rsid w:val="2507F2C4"/>
    <w:rsid w:val="25081BDC"/>
    <w:rsid w:val="2509333D"/>
    <w:rsid w:val="2509A5CC"/>
    <w:rsid w:val="250A665F"/>
    <w:rsid w:val="250A9FC8"/>
    <w:rsid w:val="250ABABE"/>
    <w:rsid w:val="250B29D9"/>
    <w:rsid w:val="250BAE05"/>
    <w:rsid w:val="250D4FA8"/>
    <w:rsid w:val="250D8AB9"/>
    <w:rsid w:val="250DEBBE"/>
    <w:rsid w:val="250E23BD"/>
    <w:rsid w:val="250E4F6A"/>
    <w:rsid w:val="250F3E2F"/>
    <w:rsid w:val="250F548E"/>
    <w:rsid w:val="251052E8"/>
    <w:rsid w:val="25110BA3"/>
    <w:rsid w:val="2511179D"/>
    <w:rsid w:val="25119CF0"/>
    <w:rsid w:val="25129FE1"/>
    <w:rsid w:val="2514F200"/>
    <w:rsid w:val="25152271"/>
    <w:rsid w:val="2515F646"/>
    <w:rsid w:val="25161ED2"/>
    <w:rsid w:val="2516A0F8"/>
    <w:rsid w:val="2516F30C"/>
    <w:rsid w:val="25175534"/>
    <w:rsid w:val="25175897"/>
    <w:rsid w:val="2518830A"/>
    <w:rsid w:val="2518B17C"/>
    <w:rsid w:val="2519C569"/>
    <w:rsid w:val="251A05E8"/>
    <w:rsid w:val="251AF674"/>
    <w:rsid w:val="251C0295"/>
    <w:rsid w:val="251C3BB0"/>
    <w:rsid w:val="251C830E"/>
    <w:rsid w:val="251C89AA"/>
    <w:rsid w:val="251D04A5"/>
    <w:rsid w:val="251DBA4F"/>
    <w:rsid w:val="251E20CC"/>
    <w:rsid w:val="251E236A"/>
    <w:rsid w:val="251E2517"/>
    <w:rsid w:val="251E3A7A"/>
    <w:rsid w:val="251F5BF7"/>
    <w:rsid w:val="2520B298"/>
    <w:rsid w:val="25218919"/>
    <w:rsid w:val="25233D3F"/>
    <w:rsid w:val="252340D4"/>
    <w:rsid w:val="25234CB8"/>
    <w:rsid w:val="25239BAC"/>
    <w:rsid w:val="2523AEF6"/>
    <w:rsid w:val="25245ABF"/>
    <w:rsid w:val="25251BB3"/>
    <w:rsid w:val="25252FD6"/>
    <w:rsid w:val="2526499D"/>
    <w:rsid w:val="2527D4CE"/>
    <w:rsid w:val="25283638"/>
    <w:rsid w:val="252996FF"/>
    <w:rsid w:val="252B16C8"/>
    <w:rsid w:val="252B398A"/>
    <w:rsid w:val="252B4422"/>
    <w:rsid w:val="252B9A0F"/>
    <w:rsid w:val="252BEE20"/>
    <w:rsid w:val="252C8EC6"/>
    <w:rsid w:val="252D0B0B"/>
    <w:rsid w:val="252DFC30"/>
    <w:rsid w:val="252E5752"/>
    <w:rsid w:val="252E8534"/>
    <w:rsid w:val="252EBC31"/>
    <w:rsid w:val="252F5A34"/>
    <w:rsid w:val="252F7DD9"/>
    <w:rsid w:val="2530F31C"/>
    <w:rsid w:val="253106BF"/>
    <w:rsid w:val="25328A8A"/>
    <w:rsid w:val="2532EE68"/>
    <w:rsid w:val="25338BA2"/>
    <w:rsid w:val="2534C69E"/>
    <w:rsid w:val="253521BC"/>
    <w:rsid w:val="2535DB36"/>
    <w:rsid w:val="25364028"/>
    <w:rsid w:val="25370BB4"/>
    <w:rsid w:val="253746BA"/>
    <w:rsid w:val="2537A81B"/>
    <w:rsid w:val="253806D0"/>
    <w:rsid w:val="2538B755"/>
    <w:rsid w:val="2539CF41"/>
    <w:rsid w:val="253A3F1C"/>
    <w:rsid w:val="253A5CB6"/>
    <w:rsid w:val="253B2185"/>
    <w:rsid w:val="253B4B63"/>
    <w:rsid w:val="253B68C3"/>
    <w:rsid w:val="253B8982"/>
    <w:rsid w:val="253C107A"/>
    <w:rsid w:val="253C3269"/>
    <w:rsid w:val="253CBC22"/>
    <w:rsid w:val="253D5232"/>
    <w:rsid w:val="253D9F6C"/>
    <w:rsid w:val="253DFA58"/>
    <w:rsid w:val="253F061E"/>
    <w:rsid w:val="254084D4"/>
    <w:rsid w:val="25415B9A"/>
    <w:rsid w:val="2541B0ED"/>
    <w:rsid w:val="2541B51C"/>
    <w:rsid w:val="254290B4"/>
    <w:rsid w:val="254304E2"/>
    <w:rsid w:val="25434915"/>
    <w:rsid w:val="25434A48"/>
    <w:rsid w:val="25435106"/>
    <w:rsid w:val="25447A72"/>
    <w:rsid w:val="2545B00A"/>
    <w:rsid w:val="25473F41"/>
    <w:rsid w:val="25489BAC"/>
    <w:rsid w:val="254A69F4"/>
    <w:rsid w:val="254A878B"/>
    <w:rsid w:val="254A8ED7"/>
    <w:rsid w:val="254B1441"/>
    <w:rsid w:val="254C62A1"/>
    <w:rsid w:val="254C843E"/>
    <w:rsid w:val="254CB4B8"/>
    <w:rsid w:val="254CFA77"/>
    <w:rsid w:val="254D0927"/>
    <w:rsid w:val="254D17DC"/>
    <w:rsid w:val="254E043F"/>
    <w:rsid w:val="254E9C7F"/>
    <w:rsid w:val="254ED7F0"/>
    <w:rsid w:val="254F03B4"/>
    <w:rsid w:val="254F49A2"/>
    <w:rsid w:val="2550B48C"/>
    <w:rsid w:val="2550E9B7"/>
    <w:rsid w:val="25520B0E"/>
    <w:rsid w:val="255424AE"/>
    <w:rsid w:val="255480AF"/>
    <w:rsid w:val="25554DB5"/>
    <w:rsid w:val="25559510"/>
    <w:rsid w:val="2555F221"/>
    <w:rsid w:val="25569AFD"/>
    <w:rsid w:val="2556D6AB"/>
    <w:rsid w:val="2557413A"/>
    <w:rsid w:val="255840B6"/>
    <w:rsid w:val="2558A7FC"/>
    <w:rsid w:val="2558D182"/>
    <w:rsid w:val="2558F4B3"/>
    <w:rsid w:val="255AE6B4"/>
    <w:rsid w:val="255AFB41"/>
    <w:rsid w:val="255B03C6"/>
    <w:rsid w:val="255B041B"/>
    <w:rsid w:val="255C6AED"/>
    <w:rsid w:val="255CD733"/>
    <w:rsid w:val="255CD8AC"/>
    <w:rsid w:val="255D039A"/>
    <w:rsid w:val="255E7A62"/>
    <w:rsid w:val="255E9AB8"/>
    <w:rsid w:val="255E9CEC"/>
    <w:rsid w:val="25615D97"/>
    <w:rsid w:val="2561A65A"/>
    <w:rsid w:val="2561B8CD"/>
    <w:rsid w:val="256547FF"/>
    <w:rsid w:val="2565A88A"/>
    <w:rsid w:val="256611BD"/>
    <w:rsid w:val="256662F7"/>
    <w:rsid w:val="2567142B"/>
    <w:rsid w:val="25671991"/>
    <w:rsid w:val="25671ADD"/>
    <w:rsid w:val="256722AE"/>
    <w:rsid w:val="2567F6F6"/>
    <w:rsid w:val="2567FDF2"/>
    <w:rsid w:val="256833B2"/>
    <w:rsid w:val="2568E3CD"/>
    <w:rsid w:val="2569B800"/>
    <w:rsid w:val="2569E4F5"/>
    <w:rsid w:val="256A6EE9"/>
    <w:rsid w:val="256A8DA5"/>
    <w:rsid w:val="256A9C53"/>
    <w:rsid w:val="256B0086"/>
    <w:rsid w:val="256B3B0A"/>
    <w:rsid w:val="256C8D5A"/>
    <w:rsid w:val="256CB7B0"/>
    <w:rsid w:val="256D6378"/>
    <w:rsid w:val="256E6E72"/>
    <w:rsid w:val="256EAAE6"/>
    <w:rsid w:val="256F918E"/>
    <w:rsid w:val="256FB285"/>
    <w:rsid w:val="2570224C"/>
    <w:rsid w:val="25706A7F"/>
    <w:rsid w:val="25707789"/>
    <w:rsid w:val="25722CF8"/>
    <w:rsid w:val="25723B3A"/>
    <w:rsid w:val="2572878D"/>
    <w:rsid w:val="25729296"/>
    <w:rsid w:val="2572DB47"/>
    <w:rsid w:val="2572E6F0"/>
    <w:rsid w:val="25737F1F"/>
    <w:rsid w:val="25776438"/>
    <w:rsid w:val="257841CF"/>
    <w:rsid w:val="25786DBB"/>
    <w:rsid w:val="2579E36D"/>
    <w:rsid w:val="257AE83D"/>
    <w:rsid w:val="257B72D7"/>
    <w:rsid w:val="257B7F58"/>
    <w:rsid w:val="257D0ACB"/>
    <w:rsid w:val="257D3EF6"/>
    <w:rsid w:val="257D937A"/>
    <w:rsid w:val="257EC2B7"/>
    <w:rsid w:val="257F3DC7"/>
    <w:rsid w:val="257F4574"/>
    <w:rsid w:val="257FF22A"/>
    <w:rsid w:val="2580485B"/>
    <w:rsid w:val="258049FC"/>
    <w:rsid w:val="2580D584"/>
    <w:rsid w:val="25815A5B"/>
    <w:rsid w:val="2581895C"/>
    <w:rsid w:val="2581E907"/>
    <w:rsid w:val="2581F36C"/>
    <w:rsid w:val="2582360B"/>
    <w:rsid w:val="2582740C"/>
    <w:rsid w:val="2582CA95"/>
    <w:rsid w:val="2583AFCB"/>
    <w:rsid w:val="2583B8EB"/>
    <w:rsid w:val="25851617"/>
    <w:rsid w:val="25853751"/>
    <w:rsid w:val="2585DDED"/>
    <w:rsid w:val="2585F893"/>
    <w:rsid w:val="2586CBEE"/>
    <w:rsid w:val="2586DAED"/>
    <w:rsid w:val="2588BBF3"/>
    <w:rsid w:val="2588F2DE"/>
    <w:rsid w:val="2589D0BF"/>
    <w:rsid w:val="2589FEBE"/>
    <w:rsid w:val="258A8368"/>
    <w:rsid w:val="258C0C12"/>
    <w:rsid w:val="258C2A98"/>
    <w:rsid w:val="258CB141"/>
    <w:rsid w:val="258DDDCA"/>
    <w:rsid w:val="258E3D82"/>
    <w:rsid w:val="258E6AE6"/>
    <w:rsid w:val="258F2146"/>
    <w:rsid w:val="258FA801"/>
    <w:rsid w:val="2590C578"/>
    <w:rsid w:val="259245F6"/>
    <w:rsid w:val="2594B395"/>
    <w:rsid w:val="2594CD2E"/>
    <w:rsid w:val="2595099B"/>
    <w:rsid w:val="25969E42"/>
    <w:rsid w:val="2596C3DE"/>
    <w:rsid w:val="2596C6A4"/>
    <w:rsid w:val="2598695B"/>
    <w:rsid w:val="25989636"/>
    <w:rsid w:val="2599536A"/>
    <w:rsid w:val="259A0D81"/>
    <w:rsid w:val="259AFD14"/>
    <w:rsid w:val="259B159E"/>
    <w:rsid w:val="259B3C27"/>
    <w:rsid w:val="259B40F2"/>
    <w:rsid w:val="259BA63C"/>
    <w:rsid w:val="259BAB17"/>
    <w:rsid w:val="259BCABF"/>
    <w:rsid w:val="259C06F7"/>
    <w:rsid w:val="259C4B07"/>
    <w:rsid w:val="259D3ACF"/>
    <w:rsid w:val="259D3AFF"/>
    <w:rsid w:val="259DA894"/>
    <w:rsid w:val="259DAEEA"/>
    <w:rsid w:val="259F17F4"/>
    <w:rsid w:val="259FC449"/>
    <w:rsid w:val="259FE5DD"/>
    <w:rsid w:val="25A05C59"/>
    <w:rsid w:val="25A06855"/>
    <w:rsid w:val="25A20897"/>
    <w:rsid w:val="25A28809"/>
    <w:rsid w:val="25A2A506"/>
    <w:rsid w:val="25A35AA0"/>
    <w:rsid w:val="25A38119"/>
    <w:rsid w:val="25A39FA9"/>
    <w:rsid w:val="25A4C0FB"/>
    <w:rsid w:val="25A4C686"/>
    <w:rsid w:val="25A52E17"/>
    <w:rsid w:val="25A61AC7"/>
    <w:rsid w:val="25A7C78C"/>
    <w:rsid w:val="25A7DA8F"/>
    <w:rsid w:val="25A81138"/>
    <w:rsid w:val="25A842FE"/>
    <w:rsid w:val="25A8A75B"/>
    <w:rsid w:val="25A8B4C4"/>
    <w:rsid w:val="25A8EA82"/>
    <w:rsid w:val="25A9DCAF"/>
    <w:rsid w:val="25AB08D3"/>
    <w:rsid w:val="25AB4205"/>
    <w:rsid w:val="25AC2C2C"/>
    <w:rsid w:val="25AC9BB3"/>
    <w:rsid w:val="25AE13AB"/>
    <w:rsid w:val="25AE7362"/>
    <w:rsid w:val="25B03616"/>
    <w:rsid w:val="25B1822F"/>
    <w:rsid w:val="25B1C4E7"/>
    <w:rsid w:val="25B1E976"/>
    <w:rsid w:val="25B2553B"/>
    <w:rsid w:val="25B368D7"/>
    <w:rsid w:val="25B4EBE6"/>
    <w:rsid w:val="25B58329"/>
    <w:rsid w:val="25B5BB1D"/>
    <w:rsid w:val="25B5C0F8"/>
    <w:rsid w:val="25B66D27"/>
    <w:rsid w:val="25B795FE"/>
    <w:rsid w:val="25B80303"/>
    <w:rsid w:val="25B8A51B"/>
    <w:rsid w:val="25B8AA23"/>
    <w:rsid w:val="25B960E9"/>
    <w:rsid w:val="25BA3EB5"/>
    <w:rsid w:val="25BAD1FA"/>
    <w:rsid w:val="25BB7827"/>
    <w:rsid w:val="25BB7A85"/>
    <w:rsid w:val="25BB808D"/>
    <w:rsid w:val="25BC5F45"/>
    <w:rsid w:val="25BD6887"/>
    <w:rsid w:val="25BD7C77"/>
    <w:rsid w:val="25BE1F56"/>
    <w:rsid w:val="25BE78ED"/>
    <w:rsid w:val="25BE8593"/>
    <w:rsid w:val="25BFD5E5"/>
    <w:rsid w:val="25BFD925"/>
    <w:rsid w:val="25BFFA7F"/>
    <w:rsid w:val="25C00A87"/>
    <w:rsid w:val="25C18E31"/>
    <w:rsid w:val="25C21242"/>
    <w:rsid w:val="25C27A2E"/>
    <w:rsid w:val="25C2B792"/>
    <w:rsid w:val="25C30FF6"/>
    <w:rsid w:val="25C3CC30"/>
    <w:rsid w:val="25C4258D"/>
    <w:rsid w:val="25C43ACE"/>
    <w:rsid w:val="25C45BB3"/>
    <w:rsid w:val="25C53BC7"/>
    <w:rsid w:val="25C5D72D"/>
    <w:rsid w:val="25C655E4"/>
    <w:rsid w:val="25C6E80A"/>
    <w:rsid w:val="25C8893F"/>
    <w:rsid w:val="25C8C7EF"/>
    <w:rsid w:val="25C95521"/>
    <w:rsid w:val="25C9E826"/>
    <w:rsid w:val="25CA1E41"/>
    <w:rsid w:val="25CA628F"/>
    <w:rsid w:val="25CABE47"/>
    <w:rsid w:val="25CB03A1"/>
    <w:rsid w:val="25CB7447"/>
    <w:rsid w:val="25CC9FB0"/>
    <w:rsid w:val="25CCAF67"/>
    <w:rsid w:val="25CDE207"/>
    <w:rsid w:val="25CE4550"/>
    <w:rsid w:val="25CF02B0"/>
    <w:rsid w:val="25CF695A"/>
    <w:rsid w:val="25CF8C10"/>
    <w:rsid w:val="25CF948C"/>
    <w:rsid w:val="25D008E0"/>
    <w:rsid w:val="25D0A055"/>
    <w:rsid w:val="25D0A36A"/>
    <w:rsid w:val="25D0B78F"/>
    <w:rsid w:val="25D244BA"/>
    <w:rsid w:val="25D25CD8"/>
    <w:rsid w:val="25D25D38"/>
    <w:rsid w:val="25D289B6"/>
    <w:rsid w:val="25D307AB"/>
    <w:rsid w:val="25D33037"/>
    <w:rsid w:val="25D34B7B"/>
    <w:rsid w:val="25D3E31A"/>
    <w:rsid w:val="25D40A15"/>
    <w:rsid w:val="25D51CFE"/>
    <w:rsid w:val="25D56A2F"/>
    <w:rsid w:val="25D5DE85"/>
    <w:rsid w:val="25D6053A"/>
    <w:rsid w:val="25D662F6"/>
    <w:rsid w:val="25D680C7"/>
    <w:rsid w:val="25D6A7F8"/>
    <w:rsid w:val="25D7054A"/>
    <w:rsid w:val="25D752B3"/>
    <w:rsid w:val="25D7BA59"/>
    <w:rsid w:val="25D906C2"/>
    <w:rsid w:val="25D9155B"/>
    <w:rsid w:val="25DA30E9"/>
    <w:rsid w:val="25DA54DA"/>
    <w:rsid w:val="25DC703C"/>
    <w:rsid w:val="25DCCD30"/>
    <w:rsid w:val="25DDAE63"/>
    <w:rsid w:val="25DDB449"/>
    <w:rsid w:val="25DE4821"/>
    <w:rsid w:val="25E24DDF"/>
    <w:rsid w:val="25E4D80A"/>
    <w:rsid w:val="25E5851F"/>
    <w:rsid w:val="25E680FB"/>
    <w:rsid w:val="25E6E903"/>
    <w:rsid w:val="25E6FB20"/>
    <w:rsid w:val="25E73989"/>
    <w:rsid w:val="25E755AD"/>
    <w:rsid w:val="25E7A5E9"/>
    <w:rsid w:val="25E7C87D"/>
    <w:rsid w:val="25E89272"/>
    <w:rsid w:val="25EBA332"/>
    <w:rsid w:val="25EC1F60"/>
    <w:rsid w:val="25ED1041"/>
    <w:rsid w:val="25ED2B13"/>
    <w:rsid w:val="25ED6719"/>
    <w:rsid w:val="25EE5106"/>
    <w:rsid w:val="25EEB1D7"/>
    <w:rsid w:val="25EF27A3"/>
    <w:rsid w:val="25EFBE70"/>
    <w:rsid w:val="25F115F0"/>
    <w:rsid w:val="25F14A44"/>
    <w:rsid w:val="25F1CA08"/>
    <w:rsid w:val="25F1DCD1"/>
    <w:rsid w:val="25F1EE7C"/>
    <w:rsid w:val="25F34B98"/>
    <w:rsid w:val="25F34C07"/>
    <w:rsid w:val="25F41C14"/>
    <w:rsid w:val="25F51CAB"/>
    <w:rsid w:val="25F58B64"/>
    <w:rsid w:val="25F6B0C0"/>
    <w:rsid w:val="25F6C2B7"/>
    <w:rsid w:val="25F76847"/>
    <w:rsid w:val="25F7D743"/>
    <w:rsid w:val="25F7D77C"/>
    <w:rsid w:val="25F81789"/>
    <w:rsid w:val="25F97158"/>
    <w:rsid w:val="25FABA8E"/>
    <w:rsid w:val="25FD178A"/>
    <w:rsid w:val="25FD6408"/>
    <w:rsid w:val="25FDA2D5"/>
    <w:rsid w:val="25FDA9BD"/>
    <w:rsid w:val="25FE222B"/>
    <w:rsid w:val="25FF488C"/>
    <w:rsid w:val="25FF9C2E"/>
    <w:rsid w:val="25FFB148"/>
    <w:rsid w:val="26009138"/>
    <w:rsid w:val="26029913"/>
    <w:rsid w:val="2602C88B"/>
    <w:rsid w:val="2602D98A"/>
    <w:rsid w:val="2603AE8A"/>
    <w:rsid w:val="26042F08"/>
    <w:rsid w:val="260438F0"/>
    <w:rsid w:val="2604B8FE"/>
    <w:rsid w:val="2604F577"/>
    <w:rsid w:val="26055620"/>
    <w:rsid w:val="2605701A"/>
    <w:rsid w:val="26068498"/>
    <w:rsid w:val="26068DFA"/>
    <w:rsid w:val="26072D23"/>
    <w:rsid w:val="26074672"/>
    <w:rsid w:val="2608FC94"/>
    <w:rsid w:val="26096D91"/>
    <w:rsid w:val="2609A8BC"/>
    <w:rsid w:val="260B5CE7"/>
    <w:rsid w:val="260B8866"/>
    <w:rsid w:val="260DD32F"/>
    <w:rsid w:val="260DE9A0"/>
    <w:rsid w:val="260EEA04"/>
    <w:rsid w:val="2610DADB"/>
    <w:rsid w:val="2611AA84"/>
    <w:rsid w:val="26134794"/>
    <w:rsid w:val="26145ADB"/>
    <w:rsid w:val="26147AEA"/>
    <w:rsid w:val="2614E9D1"/>
    <w:rsid w:val="2614EA5B"/>
    <w:rsid w:val="261560CD"/>
    <w:rsid w:val="26163F18"/>
    <w:rsid w:val="2616DED9"/>
    <w:rsid w:val="2617283A"/>
    <w:rsid w:val="2617F89A"/>
    <w:rsid w:val="26186A5F"/>
    <w:rsid w:val="2618ACF3"/>
    <w:rsid w:val="2619003B"/>
    <w:rsid w:val="26191EFF"/>
    <w:rsid w:val="26192BD2"/>
    <w:rsid w:val="26193745"/>
    <w:rsid w:val="261A5DA0"/>
    <w:rsid w:val="261B4390"/>
    <w:rsid w:val="261B72F0"/>
    <w:rsid w:val="261CF10C"/>
    <w:rsid w:val="261CFBD0"/>
    <w:rsid w:val="261D7796"/>
    <w:rsid w:val="261DC800"/>
    <w:rsid w:val="261E712D"/>
    <w:rsid w:val="261EDCFF"/>
    <w:rsid w:val="2620171E"/>
    <w:rsid w:val="2620A4DE"/>
    <w:rsid w:val="2620C2CF"/>
    <w:rsid w:val="262146AB"/>
    <w:rsid w:val="2622711D"/>
    <w:rsid w:val="2622F2AF"/>
    <w:rsid w:val="2624FA85"/>
    <w:rsid w:val="26253108"/>
    <w:rsid w:val="262570BE"/>
    <w:rsid w:val="2625A04A"/>
    <w:rsid w:val="262631A3"/>
    <w:rsid w:val="26269FD3"/>
    <w:rsid w:val="26271C51"/>
    <w:rsid w:val="262810A2"/>
    <w:rsid w:val="2628167B"/>
    <w:rsid w:val="2628705E"/>
    <w:rsid w:val="262916A8"/>
    <w:rsid w:val="2629540C"/>
    <w:rsid w:val="2629ADC8"/>
    <w:rsid w:val="2629C4CD"/>
    <w:rsid w:val="262A6E65"/>
    <w:rsid w:val="262BA551"/>
    <w:rsid w:val="262C4409"/>
    <w:rsid w:val="262DC75E"/>
    <w:rsid w:val="262DFAB8"/>
    <w:rsid w:val="262E32C1"/>
    <w:rsid w:val="2630CF39"/>
    <w:rsid w:val="2631FF3F"/>
    <w:rsid w:val="263244B8"/>
    <w:rsid w:val="2632FE9C"/>
    <w:rsid w:val="26332A20"/>
    <w:rsid w:val="26359791"/>
    <w:rsid w:val="2635B90F"/>
    <w:rsid w:val="2635E0B0"/>
    <w:rsid w:val="26361283"/>
    <w:rsid w:val="26370772"/>
    <w:rsid w:val="263712EE"/>
    <w:rsid w:val="2637D767"/>
    <w:rsid w:val="2638209C"/>
    <w:rsid w:val="2638B85C"/>
    <w:rsid w:val="263B30CC"/>
    <w:rsid w:val="263B5E5B"/>
    <w:rsid w:val="263C3FFC"/>
    <w:rsid w:val="263D4FC2"/>
    <w:rsid w:val="263EFB4B"/>
    <w:rsid w:val="26408171"/>
    <w:rsid w:val="2640868F"/>
    <w:rsid w:val="2640CE6C"/>
    <w:rsid w:val="2642AB5B"/>
    <w:rsid w:val="2644218F"/>
    <w:rsid w:val="26452EAC"/>
    <w:rsid w:val="2645C2EB"/>
    <w:rsid w:val="26467413"/>
    <w:rsid w:val="2646DA30"/>
    <w:rsid w:val="2646F460"/>
    <w:rsid w:val="2647161C"/>
    <w:rsid w:val="26471E82"/>
    <w:rsid w:val="2647C643"/>
    <w:rsid w:val="2648AF53"/>
    <w:rsid w:val="26498C0C"/>
    <w:rsid w:val="264A0E43"/>
    <w:rsid w:val="264A4A66"/>
    <w:rsid w:val="264AF366"/>
    <w:rsid w:val="264B1D91"/>
    <w:rsid w:val="264C4D4D"/>
    <w:rsid w:val="264C6655"/>
    <w:rsid w:val="264C9813"/>
    <w:rsid w:val="264CAA99"/>
    <w:rsid w:val="264CD9E0"/>
    <w:rsid w:val="264D140B"/>
    <w:rsid w:val="264D3F56"/>
    <w:rsid w:val="264D687E"/>
    <w:rsid w:val="264F67E4"/>
    <w:rsid w:val="264FC69B"/>
    <w:rsid w:val="264FD30E"/>
    <w:rsid w:val="26506BE8"/>
    <w:rsid w:val="2650A237"/>
    <w:rsid w:val="2651CBC7"/>
    <w:rsid w:val="2651F924"/>
    <w:rsid w:val="26521DA9"/>
    <w:rsid w:val="26523EB7"/>
    <w:rsid w:val="265314BA"/>
    <w:rsid w:val="2653951B"/>
    <w:rsid w:val="2653BDC1"/>
    <w:rsid w:val="2653DB02"/>
    <w:rsid w:val="26542318"/>
    <w:rsid w:val="265423CA"/>
    <w:rsid w:val="26561AB4"/>
    <w:rsid w:val="2659AF4B"/>
    <w:rsid w:val="265A6410"/>
    <w:rsid w:val="265B18BE"/>
    <w:rsid w:val="265B31DB"/>
    <w:rsid w:val="265C8EDE"/>
    <w:rsid w:val="265CC9B9"/>
    <w:rsid w:val="265CF1A4"/>
    <w:rsid w:val="265D0408"/>
    <w:rsid w:val="265EB1A3"/>
    <w:rsid w:val="265EBD03"/>
    <w:rsid w:val="26603906"/>
    <w:rsid w:val="2660482B"/>
    <w:rsid w:val="2660EE07"/>
    <w:rsid w:val="2661752F"/>
    <w:rsid w:val="2662271B"/>
    <w:rsid w:val="26623674"/>
    <w:rsid w:val="2662CB84"/>
    <w:rsid w:val="2662D460"/>
    <w:rsid w:val="2662FE90"/>
    <w:rsid w:val="26638FD0"/>
    <w:rsid w:val="266456F1"/>
    <w:rsid w:val="2664B310"/>
    <w:rsid w:val="26654006"/>
    <w:rsid w:val="2665B10C"/>
    <w:rsid w:val="26672CAA"/>
    <w:rsid w:val="2667B0F4"/>
    <w:rsid w:val="2667F0CF"/>
    <w:rsid w:val="2667F8E7"/>
    <w:rsid w:val="266BA483"/>
    <w:rsid w:val="266BBEC9"/>
    <w:rsid w:val="266C697D"/>
    <w:rsid w:val="266C87C0"/>
    <w:rsid w:val="266D1ED9"/>
    <w:rsid w:val="266D5E1D"/>
    <w:rsid w:val="266DA5B7"/>
    <w:rsid w:val="266E80DA"/>
    <w:rsid w:val="266F3FC4"/>
    <w:rsid w:val="266F5F97"/>
    <w:rsid w:val="266FC3B1"/>
    <w:rsid w:val="2670B292"/>
    <w:rsid w:val="26716404"/>
    <w:rsid w:val="267224C6"/>
    <w:rsid w:val="26743D71"/>
    <w:rsid w:val="26745FFD"/>
    <w:rsid w:val="2674DAC8"/>
    <w:rsid w:val="267719CC"/>
    <w:rsid w:val="26774FE3"/>
    <w:rsid w:val="26776044"/>
    <w:rsid w:val="2677CF50"/>
    <w:rsid w:val="26781FF2"/>
    <w:rsid w:val="26788628"/>
    <w:rsid w:val="267B5443"/>
    <w:rsid w:val="267B75F4"/>
    <w:rsid w:val="267CD2F4"/>
    <w:rsid w:val="267D9CEB"/>
    <w:rsid w:val="267E6CDA"/>
    <w:rsid w:val="267EB124"/>
    <w:rsid w:val="267EE666"/>
    <w:rsid w:val="267FB4C9"/>
    <w:rsid w:val="267FB8E1"/>
    <w:rsid w:val="267FCEA0"/>
    <w:rsid w:val="267FE5A6"/>
    <w:rsid w:val="268099AC"/>
    <w:rsid w:val="268100B9"/>
    <w:rsid w:val="26817DFC"/>
    <w:rsid w:val="26818DED"/>
    <w:rsid w:val="26821B2A"/>
    <w:rsid w:val="2682DA5B"/>
    <w:rsid w:val="2683AB09"/>
    <w:rsid w:val="2683FF5A"/>
    <w:rsid w:val="2684500A"/>
    <w:rsid w:val="26847E8C"/>
    <w:rsid w:val="26848EEE"/>
    <w:rsid w:val="26849808"/>
    <w:rsid w:val="2684C349"/>
    <w:rsid w:val="268537CE"/>
    <w:rsid w:val="268669A8"/>
    <w:rsid w:val="2686E936"/>
    <w:rsid w:val="26879AF0"/>
    <w:rsid w:val="26892048"/>
    <w:rsid w:val="26893715"/>
    <w:rsid w:val="268959C5"/>
    <w:rsid w:val="268C4DBA"/>
    <w:rsid w:val="268D32EC"/>
    <w:rsid w:val="268DD7A3"/>
    <w:rsid w:val="268F2EDE"/>
    <w:rsid w:val="268FE823"/>
    <w:rsid w:val="269054E7"/>
    <w:rsid w:val="2691374E"/>
    <w:rsid w:val="2691D370"/>
    <w:rsid w:val="26928372"/>
    <w:rsid w:val="26986A01"/>
    <w:rsid w:val="2698C31F"/>
    <w:rsid w:val="2698C8BA"/>
    <w:rsid w:val="269A4029"/>
    <w:rsid w:val="269A4D31"/>
    <w:rsid w:val="269C1BF3"/>
    <w:rsid w:val="269C2EDF"/>
    <w:rsid w:val="269C9821"/>
    <w:rsid w:val="269CA638"/>
    <w:rsid w:val="269CC932"/>
    <w:rsid w:val="269E64B5"/>
    <w:rsid w:val="269ED6D3"/>
    <w:rsid w:val="269F5ABA"/>
    <w:rsid w:val="269FD825"/>
    <w:rsid w:val="26A0577D"/>
    <w:rsid w:val="26A0A57E"/>
    <w:rsid w:val="26A13FEE"/>
    <w:rsid w:val="26A1B1F0"/>
    <w:rsid w:val="26A2B9EF"/>
    <w:rsid w:val="26A33C17"/>
    <w:rsid w:val="26A46233"/>
    <w:rsid w:val="26A59A1F"/>
    <w:rsid w:val="26A69BBD"/>
    <w:rsid w:val="26A8154F"/>
    <w:rsid w:val="26A8456C"/>
    <w:rsid w:val="26A87ADB"/>
    <w:rsid w:val="26A93256"/>
    <w:rsid w:val="26A9492B"/>
    <w:rsid w:val="26A9C682"/>
    <w:rsid w:val="26AA904D"/>
    <w:rsid w:val="26AA93A1"/>
    <w:rsid w:val="26AC4D78"/>
    <w:rsid w:val="26AC5E3D"/>
    <w:rsid w:val="26ACC37A"/>
    <w:rsid w:val="26AE7E1D"/>
    <w:rsid w:val="26AE94A6"/>
    <w:rsid w:val="26AFB56F"/>
    <w:rsid w:val="26B017DF"/>
    <w:rsid w:val="26B0B68D"/>
    <w:rsid w:val="26B2ABA2"/>
    <w:rsid w:val="26B2C6CE"/>
    <w:rsid w:val="26B30C3E"/>
    <w:rsid w:val="26B324CE"/>
    <w:rsid w:val="26B33A70"/>
    <w:rsid w:val="26B3A03F"/>
    <w:rsid w:val="26B46BC5"/>
    <w:rsid w:val="26B504FC"/>
    <w:rsid w:val="26B5583E"/>
    <w:rsid w:val="26B65F24"/>
    <w:rsid w:val="26B6D1F8"/>
    <w:rsid w:val="26B72DE2"/>
    <w:rsid w:val="26B7937D"/>
    <w:rsid w:val="26B82D55"/>
    <w:rsid w:val="26B85F9A"/>
    <w:rsid w:val="26B89A8C"/>
    <w:rsid w:val="26B9DE87"/>
    <w:rsid w:val="26BA0ADB"/>
    <w:rsid w:val="26BB3507"/>
    <w:rsid w:val="26BC2D0E"/>
    <w:rsid w:val="26BC4501"/>
    <w:rsid w:val="26BCAC6D"/>
    <w:rsid w:val="26BD1969"/>
    <w:rsid w:val="26BF1D39"/>
    <w:rsid w:val="26BFAA97"/>
    <w:rsid w:val="26C059E3"/>
    <w:rsid w:val="26C0ABBA"/>
    <w:rsid w:val="26C1573C"/>
    <w:rsid w:val="26C20E4B"/>
    <w:rsid w:val="26C2415F"/>
    <w:rsid w:val="26C3DA6A"/>
    <w:rsid w:val="26C3F62C"/>
    <w:rsid w:val="26C444D9"/>
    <w:rsid w:val="26C450AD"/>
    <w:rsid w:val="26C46086"/>
    <w:rsid w:val="26C46A8C"/>
    <w:rsid w:val="26C4F305"/>
    <w:rsid w:val="26C5A034"/>
    <w:rsid w:val="26C8500D"/>
    <w:rsid w:val="26C88E62"/>
    <w:rsid w:val="26C92134"/>
    <w:rsid w:val="26C9ECC5"/>
    <w:rsid w:val="26CA05BE"/>
    <w:rsid w:val="26CA420C"/>
    <w:rsid w:val="26CA801F"/>
    <w:rsid w:val="26CB34CC"/>
    <w:rsid w:val="26CB7B93"/>
    <w:rsid w:val="26CBE5E8"/>
    <w:rsid w:val="26CD2CF0"/>
    <w:rsid w:val="26CD342A"/>
    <w:rsid w:val="26CEEB4B"/>
    <w:rsid w:val="26CF928B"/>
    <w:rsid w:val="26CF9AD7"/>
    <w:rsid w:val="26D0126F"/>
    <w:rsid w:val="26D121A8"/>
    <w:rsid w:val="26D1742C"/>
    <w:rsid w:val="26D17FFB"/>
    <w:rsid w:val="26D1D06A"/>
    <w:rsid w:val="26D216ED"/>
    <w:rsid w:val="26D24827"/>
    <w:rsid w:val="26D26C40"/>
    <w:rsid w:val="26D2DEB1"/>
    <w:rsid w:val="26D51ED7"/>
    <w:rsid w:val="26D67918"/>
    <w:rsid w:val="26D6833D"/>
    <w:rsid w:val="26D69B92"/>
    <w:rsid w:val="26D817F4"/>
    <w:rsid w:val="26D82AAB"/>
    <w:rsid w:val="26D86CF8"/>
    <w:rsid w:val="26DAE841"/>
    <w:rsid w:val="26DB9BD5"/>
    <w:rsid w:val="26DBFACF"/>
    <w:rsid w:val="26DCB341"/>
    <w:rsid w:val="26DDFD02"/>
    <w:rsid w:val="26DF7C78"/>
    <w:rsid w:val="26DFDB47"/>
    <w:rsid w:val="26E01E99"/>
    <w:rsid w:val="26E1719A"/>
    <w:rsid w:val="26E19ADA"/>
    <w:rsid w:val="26E1C941"/>
    <w:rsid w:val="26E21C20"/>
    <w:rsid w:val="26E23451"/>
    <w:rsid w:val="26E35E85"/>
    <w:rsid w:val="26E3B97C"/>
    <w:rsid w:val="26E43E40"/>
    <w:rsid w:val="26E453ED"/>
    <w:rsid w:val="26E4BEE6"/>
    <w:rsid w:val="26E4E220"/>
    <w:rsid w:val="26E51265"/>
    <w:rsid w:val="26E54E14"/>
    <w:rsid w:val="26E5A52B"/>
    <w:rsid w:val="26E66634"/>
    <w:rsid w:val="26E711BF"/>
    <w:rsid w:val="26E7240B"/>
    <w:rsid w:val="26E74EDE"/>
    <w:rsid w:val="26E78736"/>
    <w:rsid w:val="26E9595E"/>
    <w:rsid w:val="26E9C218"/>
    <w:rsid w:val="26EBFB7A"/>
    <w:rsid w:val="26EC00BA"/>
    <w:rsid w:val="26EC3CFB"/>
    <w:rsid w:val="26ED4673"/>
    <w:rsid w:val="26ED7DBE"/>
    <w:rsid w:val="26EDA5E0"/>
    <w:rsid w:val="26EE8201"/>
    <w:rsid w:val="26EF114C"/>
    <w:rsid w:val="26F0A0AF"/>
    <w:rsid w:val="26F18E0F"/>
    <w:rsid w:val="26F28930"/>
    <w:rsid w:val="26F30891"/>
    <w:rsid w:val="26F33218"/>
    <w:rsid w:val="26F50FBE"/>
    <w:rsid w:val="26F71641"/>
    <w:rsid w:val="26F73858"/>
    <w:rsid w:val="26F7D02B"/>
    <w:rsid w:val="26F7F1FB"/>
    <w:rsid w:val="26F83E00"/>
    <w:rsid w:val="26F88AAC"/>
    <w:rsid w:val="26F8F359"/>
    <w:rsid w:val="26F8F764"/>
    <w:rsid w:val="26F97D50"/>
    <w:rsid w:val="26FAA474"/>
    <w:rsid w:val="26FB5464"/>
    <w:rsid w:val="26FB59BF"/>
    <w:rsid w:val="26FBC40C"/>
    <w:rsid w:val="26FC8BFD"/>
    <w:rsid w:val="26FD51FD"/>
    <w:rsid w:val="26FD54A3"/>
    <w:rsid w:val="26FD63E4"/>
    <w:rsid w:val="26FE61A6"/>
    <w:rsid w:val="26FFC0CB"/>
    <w:rsid w:val="2700B678"/>
    <w:rsid w:val="27017CBE"/>
    <w:rsid w:val="270205D6"/>
    <w:rsid w:val="270263D8"/>
    <w:rsid w:val="27028949"/>
    <w:rsid w:val="27035DAB"/>
    <w:rsid w:val="2704016A"/>
    <w:rsid w:val="270428AE"/>
    <w:rsid w:val="27043571"/>
    <w:rsid w:val="2704E67B"/>
    <w:rsid w:val="2704EF46"/>
    <w:rsid w:val="270618F5"/>
    <w:rsid w:val="2706E3AA"/>
    <w:rsid w:val="27089AB5"/>
    <w:rsid w:val="2708AB2C"/>
    <w:rsid w:val="270B32D5"/>
    <w:rsid w:val="270D306B"/>
    <w:rsid w:val="270D65D9"/>
    <w:rsid w:val="270EFA55"/>
    <w:rsid w:val="270F0370"/>
    <w:rsid w:val="270F4EA9"/>
    <w:rsid w:val="2711261F"/>
    <w:rsid w:val="27117741"/>
    <w:rsid w:val="2711B7AC"/>
    <w:rsid w:val="27123482"/>
    <w:rsid w:val="27137FB7"/>
    <w:rsid w:val="2714E5DE"/>
    <w:rsid w:val="27150EB0"/>
    <w:rsid w:val="27160641"/>
    <w:rsid w:val="27161554"/>
    <w:rsid w:val="2716434E"/>
    <w:rsid w:val="2716BF10"/>
    <w:rsid w:val="2716C6B3"/>
    <w:rsid w:val="27189A2F"/>
    <w:rsid w:val="2719130E"/>
    <w:rsid w:val="27193A23"/>
    <w:rsid w:val="2719964E"/>
    <w:rsid w:val="271A00D4"/>
    <w:rsid w:val="271A964D"/>
    <w:rsid w:val="271AADFD"/>
    <w:rsid w:val="271AD5E6"/>
    <w:rsid w:val="271B4D42"/>
    <w:rsid w:val="271C1C45"/>
    <w:rsid w:val="271CEBF0"/>
    <w:rsid w:val="271EB8A6"/>
    <w:rsid w:val="271EC968"/>
    <w:rsid w:val="271F543D"/>
    <w:rsid w:val="272048E1"/>
    <w:rsid w:val="2720581C"/>
    <w:rsid w:val="27207AD2"/>
    <w:rsid w:val="272118ED"/>
    <w:rsid w:val="27216AD4"/>
    <w:rsid w:val="2721EB28"/>
    <w:rsid w:val="27228199"/>
    <w:rsid w:val="272334A0"/>
    <w:rsid w:val="272351C1"/>
    <w:rsid w:val="272362F4"/>
    <w:rsid w:val="27237A8E"/>
    <w:rsid w:val="27245F09"/>
    <w:rsid w:val="27249AB6"/>
    <w:rsid w:val="27250F2C"/>
    <w:rsid w:val="27254091"/>
    <w:rsid w:val="27258847"/>
    <w:rsid w:val="2725A0D0"/>
    <w:rsid w:val="2725BF3E"/>
    <w:rsid w:val="2725C3EF"/>
    <w:rsid w:val="27267E43"/>
    <w:rsid w:val="272730D3"/>
    <w:rsid w:val="272753AA"/>
    <w:rsid w:val="2727D727"/>
    <w:rsid w:val="27280473"/>
    <w:rsid w:val="27282A0F"/>
    <w:rsid w:val="2728E2E2"/>
    <w:rsid w:val="2729E69F"/>
    <w:rsid w:val="272A079B"/>
    <w:rsid w:val="272AD7D4"/>
    <w:rsid w:val="272B141C"/>
    <w:rsid w:val="272B2E2C"/>
    <w:rsid w:val="272C0716"/>
    <w:rsid w:val="272C97FE"/>
    <w:rsid w:val="272D7978"/>
    <w:rsid w:val="272DB5B4"/>
    <w:rsid w:val="272DC4AD"/>
    <w:rsid w:val="272E92C3"/>
    <w:rsid w:val="272ED52B"/>
    <w:rsid w:val="272F00F5"/>
    <w:rsid w:val="272F53B5"/>
    <w:rsid w:val="2730A867"/>
    <w:rsid w:val="2731AB33"/>
    <w:rsid w:val="2731BAAB"/>
    <w:rsid w:val="2731CD9C"/>
    <w:rsid w:val="2731EA64"/>
    <w:rsid w:val="2732328D"/>
    <w:rsid w:val="273286D0"/>
    <w:rsid w:val="27333ABA"/>
    <w:rsid w:val="27360A47"/>
    <w:rsid w:val="27362D77"/>
    <w:rsid w:val="2737A1F9"/>
    <w:rsid w:val="273981EA"/>
    <w:rsid w:val="2739B03A"/>
    <w:rsid w:val="2739DC02"/>
    <w:rsid w:val="273D015B"/>
    <w:rsid w:val="273E07BF"/>
    <w:rsid w:val="273E5B7E"/>
    <w:rsid w:val="273E935C"/>
    <w:rsid w:val="273EA02E"/>
    <w:rsid w:val="273EE1B1"/>
    <w:rsid w:val="27402397"/>
    <w:rsid w:val="2740A846"/>
    <w:rsid w:val="274109AF"/>
    <w:rsid w:val="2741F4BB"/>
    <w:rsid w:val="274205DA"/>
    <w:rsid w:val="27424583"/>
    <w:rsid w:val="2742CEC6"/>
    <w:rsid w:val="27439B80"/>
    <w:rsid w:val="2743CB30"/>
    <w:rsid w:val="2743D0C7"/>
    <w:rsid w:val="274486C7"/>
    <w:rsid w:val="27449AED"/>
    <w:rsid w:val="2745649D"/>
    <w:rsid w:val="27464D5B"/>
    <w:rsid w:val="27465178"/>
    <w:rsid w:val="2746A2DE"/>
    <w:rsid w:val="2746D639"/>
    <w:rsid w:val="27475B81"/>
    <w:rsid w:val="27478C8F"/>
    <w:rsid w:val="2749371B"/>
    <w:rsid w:val="274956C4"/>
    <w:rsid w:val="27497A95"/>
    <w:rsid w:val="274A977F"/>
    <w:rsid w:val="274AC224"/>
    <w:rsid w:val="274B28B1"/>
    <w:rsid w:val="274C83A4"/>
    <w:rsid w:val="274C9EF9"/>
    <w:rsid w:val="274E4C64"/>
    <w:rsid w:val="274E5FB9"/>
    <w:rsid w:val="27504436"/>
    <w:rsid w:val="27507A76"/>
    <w:rsid w:val="27518618"/>
    <w:rsid w:val="2751A474"/>
    <w:rsid w:val="275284AF"/>
    <w:rsid w:val="2753C441"/>
    <w:rsid w:val="275487BF"/>
    <w:rsid w:val="27563C8B"/>
    <w:rsid w:val="27566A5B"/>
    <w:rsid w:val="275716FB"/>
    <w:rsid w:val="275A0F5A"/>
    <w:rsid w:val="275A7FF5"/>
    <w:rsid w:val="275AFCD6"/>
    <w:rsid w:val="275B5951"/>
    <w:rsid w:val="275CEB05"/>
    <w:rsid w:val="2760B1AE"/>
    <w:rsid w:val="2761D94C"/>
    <w:rsid w:val="27621C93"/>
    <w:rsid w:val="2762A6B1"/>
    <w:rsid w:val="2765E8C2"/>
    <w:rsid w:val="27660B1C"/>
    <w:rsid w:val="27664DCE"/>
    <w:rsid w:val="2766A93C"/>
    <w:rsid w:val="2767EBC6"/>
    <w:rsid w:val="2767F954"/>
    <w:rsid w:val="27683C80"/>
    <w:rsid w:val="2768C764"/>
    <w:rsid w:val="27694496"/>
    <w:rsid w:val="276957C8"/>
    <w:rsid w:val="27697384"/>
    <w:rsid w:val="27698006"/>
    <w:rsid w:val="2769C2BD"/>
    <w:rsid w:val="276A0920"/>
    <w:rsid w:val="276A24E4"/>
    <w:rsid w:val="276A74F5"/>
    <w:rsid w:val="276BF94E"/>
    <w:rsid w:val="276D4400"/>
    <w:rsid w:val="276E33C3"/>
    <w:rsid w:val="276F0391"/>
    <w:rsid w:val="276F10F0"/>
    <w:rsid w:val="276F4A8C"/>
    <w:rsid w:val="27703068"/>
    <w:rsid w:val="277043A7"/>
    <w:rsid w:val="2770595A"/>
    <w:rsid w:val="2770E655"/>
    <w:rsid w:val="2773045B"/>
    <w:rsid w:val="27742E8B"/>
    <w:rsid w:val="277743AF"/>
    <w:rsid w:val="27774C06"/>
    <w:rsid w:val="27782F06"/>
    <w:rsid w:val="27797860"/>
    <w:rsid w:val="277B8FEB"/>
    <w:rsid w:val="277CDCA0"/>
    <w:rsid w:val="277CE4A9"/>
    <w:rsid w:val="277D570F"/>
    <w:rsid w:val="277D5996"/>
    <w:rsid w:val="277D7824"/>
    <w:rsid w:val="277DA39B"/>
    <w:rsid w:val="277F531E"/>
    <w:rsid w:val="277F5C6F"/>
    <w:rsid w:val="278037AF"/>
    <w:rsid w:val="27813FF3"/>
    <w:rsid w:val="278169B0"/>
    <w:rsid w:val="2781B67E"/>
    <w:rsid w:val="2782355C"/>
    <w:rsid w:val="27839CFC"/>
    <w:rsid w:val="2783D6BC"/>
    <w:rsid w:val="2785BBD3"/>
    <w:rsid w:val="2786E765"/>
    <w:rsid w:val="278707D9"/>
    <w:rsid w:val="2787EECC"/>
    <w:rsid w:val="27890736"/>
    <w:rsid w:val="2789569D"/>
    <w:rsid w:val="278A9E3A"/>
    <w:rsid w:val="278B17A1"/>
    <w:rsid w:val="278CBA2C"/>
    <w:rsid w:val="278D0D8A"/>
    <w:rsid w:val="278F2AC9"/>
    <w:rsid w:val="278F7AA6"/>
    <w:rsid w:val="278FAC60"/>
    <w:rsid w:val="279006F0"/>
    <w:rsid w:val="27907118"/>
    <w:rsid w:val="2792ED28"/>
    <w:rsid w:val="2793CC00"/>
    <w:rsid w:val="2793F193"/>
    <w:rsid w:val="2794141F"/>
    <w:rsid w:val="279442DB"/>
    <w:rsid w:val="27945048"/>
    <w:rsid w:val="27957646"/>
    <w:rsid w:val="2795DA26"/>
    <w:rsid w:val="2796CFF1"/>
    <w:rsid w:val="27974040"/>
    <w:rsid w:val="27980B86"/>
    <w:rsid w:val="27985246"/>
    <w:rsid w:val="279870F6"/>
    <w:rsid w:val="2798D2E6"/>
    <w:rsid w:val="2798D63A"/>
    <w:rsid w:val="2799296E"/>
    <w:rsid w:val="279A4717"/>
    <w:rsid w:val="279A5BAD"/>
    <w:rsid w:val="279A844B"/>
    <w:rsid w:val="279B6C6B"/>
    <w:rsid w:val="279B7D3F"/>
    <w:rsid w:val="279B9CF4"/>
    <w:rsid w:val="279BECE1"/>
    <w:rsid w:val="279C29A5"/>
    <w:rsid w:val="279C3DF8"/>
    <w:rsid w:val="279D081D"/>
    <w:rsid w:val="279D3273"/>
    <w:rsid w:val="279D588D"/>
    <w:rsid w:val="279D88F5"/>
    <w:rsid w:val="279D9EAA"/>
    <w:rsid w:val="279E11B1"/>
    <w:rsid w:val="27A0B5F3"/>
    <w:rsid w:val="27A1BA39"/>
    <w:rsid w:val="27A24937"/>
    <w:rsid w:val="27A32DD1"/>
    <w:rsid w:val="27A3637D"/>
    <w:rsid w:val="27A39F76"/>
    <w:rsid w:val="27A3FE62"/>
    <w:rsid w:val="27A49BA6"/>
    <w:rsid w:val="27A59B71"/>
    <w:rsid w:val="27A74C53"/>
    <w:rsid w:val="27A76660"/>
    <w:rsid w:val="27A848E4"/>
    <w:rsid w:val="27A9FFD7"/>
    <w:rsid w:val="27AA2078"/>
    <w:rsid w:val="27AB89F4"/>
    <w:rsid w:val="27ABB59E"/>
    <w:rsid w:val="27AC808D"/>
    <w:rsid w:val="27ADF058"/>
    <w:rsid w:val="27ADF1A9"/>
    <w:rsid w:val="27AEE947"/>
    <w:rsid w:val="27B02908"/>
    <w:rsid w:val="27B12777"/>
    <w:rsid w:val="27B175E0"/>
    <w:rsid w:val="27B1897B"/>
    <w:rsid w:val="27B1D7DD"/>
    <w:rsid w:val="27B1E69F"/>
    <w:rsid w:val="27B28EA4"/>
    <w:rsid w:val="27B2DE71"/>
    <w:rsid w:val="27B3584F"/>
    <w:rsid w:val="27B52245"/>
    <w:rsid w:val="27B55539"/>
    <w:rsid w:val="27B583B2"/>
    <w:rsid w:val="27B66871"/>
    <w:rsid w:val="27B6850C"/>
    <w:rsid w:val="27B71B38"/>
    <w:rsid w:val="27B81053"/>
    <w:rsid w:val="27B89CF4"/>
    <w:rsid w:val="27B962C8"/>
    <w:rsid w:val="27B971C4"/>
    <w:rsid w:val="27BA0A70"/>
    <w:rsid w:val="27BB33FE"/>
    <w:rsid w:val="27BC091A"/>
    <w:rsid w:val="27BD16C9"/>
    <w:rsid w:val="27BD94BB"/>
    <w:rsid w:val="27BDB616"/>
    <w:rsid w:val="27BE89DE"/>
    <w:rsid w:val="27BF1D85"/>
    <w:rsid w:val="27BF2EDF"/>
    <w:rsid w:val="27BF43B2"/>
    <w:rsid w:val="27C02991"/>
    <w:rsid w:val="27C0AB1E"/>
    <w:rsid w:val="27C0D404"/>
    <w:rsid w:val="27C1DD66"/>
    <w:rsid w:val="27C45F4B"/>
    <w:rsid w:val="27C4FCC0"/>
    <w:rsid w:val="27C50E40"/>
    <w:rsid w:val="27C513B0"/>
    <w:rsid w:val="27C57453"/>
    <w:rsid w:val="27C64657"/>
    <w:rsid w:val="27C65FDA"/>
    <w:rsid w:val="27C69F41"/>
    <w:rsid w:val="27C6DB9B"/>
    <w:rsid w:val="27C755FD"/>
    <w:rsid w:val="27C7B877"/>
    <w:rsid w:val="27C7C5C6"/>
    <w:rsid w:val="27C87166"/>
    <w:rsid w:val="27C8C028"/>
    <w:rsid w:val="27C993E1"/>
    <w:rsid w:val="27CBD776"/>
    <w:rsid w:val="27CBFF42"/>
    <w:rsid w:val="27CC8DAC"/>
    <w:rsid w:val="27CCD147"/>
    <w:rsid w:val="27CD683C"/>
    <w:rsid w:val="27CE18C9"/>
    <w:rsid w:val="27CE22E4"/>
    <w:rsid w:val="27CE977E"/>
    <w:rsid w:val="27CFEA12"/>
    <w:rsid w:val="27D08114"/>
    <w:rsid w:val="27D0D190"/>
    <w:rsid w:val="27D198B0"/>
    <w:rsid w:val="27D1E040"/>
    <w:rsid w:val="27D20D03"/>
    <w:rsid w:val="27D2526B"/>
    <w:rsid w:val="27D2DAFC"/>
    <w:rsid w:val="27D30F4F"/>
    <w:rsid w:val="27D39B17"/>
    <w:rsid w:val="27D3C437"/>
    <w:rsid w:val="27D547C2"/>
    <w:rsid w:val="27D644FC"/>
    <w:rsid w:val="27D6614C"/>
    <w:rsid w:val="27D8C601"/>
    <w:rsid w:val="27DA01D0"/>
    <w:rsid w:val="27DA7654"/>
    <w:rsid w:val="27DADE7E"/>
    <w:rsid w:val="27DAF906"/>
    <w:rsid w:val="27DC50D5"/>
    <w:rsid w:val="27DCC3B7"/>
    <w:rsid w:val="27DFD471"/>
    <w:rsid w:val="27E1A0C1"/>
    <w:rsid w:val="27E25791"/>
    <w:rsid w:val="27E35B30"/>
    <w:rsid w:val="27E3D33C"/>
    <w:rsid w:val="27E3E2AD"/>
    <w:rsid w:val="27E526FA"/>
    <w:rsid w:val="27E5FE21"/>
    <w:rsid w:val="27E67C11"/>
    <w:rsid w:val="27E7185F"/>
    <w:rsid w:val="27E7B1B3"/>
    <w:rsid w:val="27E841C1"/>
    <w:rsid w:val="27E84A48"/>
    <w:rsid w:val="27E87E0E"/>
    <w:rsid w:val="27E8EC79"/>
    <w:rsid w:val="27E95520"/>
    <w:rsid w:val="27E9F7A0"/>
    <w:rsid w:val="27EA9D27"/>
    <w:rsid w:val="27EB922C"/>
    <w:rsid w:val="27EC90D6"/>
    <w:rsid w:val="27ECF356"/>
    <w:rsid w:val="27ECFFBA"/>
    <w:rsid w:val="27ED1127"/>
    <w:rsid w:val="27EDC466"/>
    <w:rsid w:val="27EE99D3"/>
    <w:rsid w:val="27EF0B62"/>
    <w:rsid w:val="27EF34E8"/>
    <w:rsid w:val="27EF8E22"/>
    <w:rsid w:val="27F0A471"/>
    <w:rsid w:val="27F14B52"/>
    <w:rsid w:val="27F18918"/>
    <w:rsid w:val="27F18CDD"/>
    <w:rsid w:val="27F27203"/>
    <w:rsid w:val="27F303DF"/>
    <w:rsid w:val="27F33001"/>
    <w:rsid w:val="27F42891"/>
    <w:rsid w:val="27F55763"/>
    <w:rsid w:val="27F588ED"/>
    <w:rsid w:val="27F5AD39"/>
    <w:rsid w:val="27F5E83F"/>
    <w:rsid w:val="27F82528"/>
    <w:rsid w:val="27F89BA5"/>
    <w:rsid w:val="27F96C5B"/>
    <w:rsid w:val="27FB22BB"/>
    <w:rsid w:val="27FBCBF2"/>
    <w:rsid w:val="27FC5618"/>
    <w:rsid w:val="27FC91E2"/>
    <w:rsid w:val="27FCC795"/>
    <w:rsid w:val="27FD142D"/>
    <w:rsid w:val="27FD70A5"/>
    <w:rsid w:val="27FD80DC"/>
    <w:rsid w:val="27FE2B3E"/>
    <w:rsid w:val="27FE2E3C"/>
    <w:rsid w:val="27FF0FB8"/>
    <w:rsid w:val="27FFB42F"/>
    <w:rsid w:val="2800FA03"/>
    <w:rsid w:val="28012BC1"/>
    <w:rsid w:val="2801719A"/>
    <w:rsid w:val="2801E976"/>
    <w:rsid w:val="28024021"/>
    <w:rsid w:val="280306AD"/>
    <w:rsid w:val="28032EC0"/>
    <w:rsid w:val="2803C130"/>
    <w:rsid w:val="2803CFD9"/>
    <w:rsid w:val="28044375"/>
    <w:rsid w:val="28062D5D"/>
    <w:rsid w:val="2806CBDF"/>
    <w:rsid w:val="2806EB42"/>
    <w:rsid w:val="2807F06B"/>
    <w:rsid w:val="280886AD"/>
    <w:rsid w:val="2808B852"/>
    <w:rsid w:val="2808BEE6"/>
    <w:rsid w:val="2809F9B2"/>
    <w:rsid w:val="280A1368"/>
    <w:rsid w:val="280A2FC5"/>
    <w:rsid w:val="280A6017"/>
    <w:rsid w:val="280AB16C"/>
    <w:rsid w:val="280AB89B"/>
    <w:rsid w:val="280BCCAB"/>
    <w:rsid w:val="280C7671"/>
    <w:rsid w:val="280CDB16"/>
    <w:rsid w:val="280E2CE4"/>
    <w:rsid w:val="280EF4E5"/>
    <w:rsid w:val="280FB112"/>
    <w:rsid w:val="28106F9C"/>
    <w:rsid w:val="2811B865"/>
    <w:rsid w:val="281280C8"/>
    <w:rsid w:val="281294CA"/>
    <w:rsid w:val="281303C9"/>
    <w:rsid w:val="281371C2"/>
    <w:rsid w:val="28142D3C"/>
    <w:rsid w:val="2814F3CA"/>
    <w:rsid w:val="2815BF73"/>
    <w:rsid w:val="28164380"/>
    <w:rsid w:val="28165794"/>
    <w:rsid w:val="2816890B"/>
    <w:rsid w:val="2817D571"/>
    <w:rsid w:val="2818EB90"/>
    <w:rsid w:val="28194E4D"/>
    <w:rsid w:val="281A3591"/>
    <w:rsid w:val="281A67DC"/>
    <w:rsid w:val="281A6EC7"/>
    <w:rsid w:val="281ADE7A"/>
    <w:rsid w:val="281B6A26"/>
    <w:rsid w:val="281C4CCB"/>
    <w:rsid w:val="281C5CC3"/>
    <w:rsid w:val="281C919F"/>
    <w:rsid w:val="281D1FC6"/>
    <w:rsid w:val="281E4F9D"/>
    <w:rsid w:val="281FEBEC"/>
    <w:rsid w:val="28207C61"/>
    <w:rsid w:val="28218966"/>
    <w:rsid w:val="28221F3C"/>
    <w:rsid w:val="282273BE"/>
    <w:rsid w:val="2822CC15"/>
    <w:rsid w:val="28239023"/>
    <w:rsid w:val="28247940"/>
    <w:rsid w:val="28248ED5"/>
    <w:rsid w:val="2824E840"/>
    <w:rsid w:val="2825968A"/>
    <w:rsid w:val="2826FCA0"/>
    <w:rsid w:val="2828A46E"/>
    <w:rsid w:val="28295BE7"/>
    <w:rsid w:val="282B29D0"/>
    <w:rsid w:val="282C039A"/>
    <w:rsid w:val="282C29B2"/>
    <w:rsid w:val="282E3006"/>
    <w:rsid w:val="282E5FF5"/>
    <w:rsid w:val="28329DEB"/>
    <w:rsid w:val="2832D12F"/>
    <w:rsid w:val="2832EFF4"/>
    <w:rsid w:val="28333112"/>
    <w:rsid w:val="2833974B"/>
    <w:rsid w:val="2833E879"/>
    <w:rsid w:val="2834BBA3"/>
    <w:rsid w:val="28353AA8"/>
    <w:rsid w:val="28360AED"/>
    <w:rsid w:val="2836A1C8"/>
    <w:rsid w:val="2836CB18"/>
    <w:rsid w:val="28378340"/>
    <w:rsid w:val="28383C32"/>
    <w:rsid w:val="2838C7B8"/>
    <w:rsid w:val="283AB529"/>
    <w:rsid w:val="283ABE38"/>
    <w:rsid w:val="283B4758"/>
    <w:rsid w:val="283BFE02"/>
    <w:rsid w:val="283C1575"/>
    <w:rsid w:val="283D61C2"/>
    <w:rsid w:val="283ED7E2"/>
    <w:rsid w:val="28416F92"/>
    <w:rsid w:val="2841C925"/>
    <w:rsid w:val="2841EABE"/>
    <w:rsid w:val="284210BE"/>
    <w:rsid w:val="28421F1C"/>
    <w:rsid w:val="2842AA29"/>
    <w:rsid w:val="28432902"/>
    <w:rsid w:val="28434DA4"/>
    <w:rsid w:val="2843638A"/>
    <w:rsid w:val="2843E71C"/>
    <w:rsid w:val="28441F88"/>
    <w:rsid w:val="284529F5"/>
    <w:rsid w:val="2845F4DA"/>
    <w:rsid w:val="28469E12"/>
    <w:rsid w:val="28473F8A"/>
    <w:rsid w:val="2847FBA7"/>
    <w:rsid w:val="28487B94"/>
    <w:rsid w:val="2849ACEE"/>
    <w:rsid w:val="2849E613"/>
    <w:rsid w:val="284A7EF7"/>
    <w:rsid w:val="284B2BB8"/>
    <w:rsid w:val="284C7258"/>
    <w:rsid w:val="284CD686"/>
    <w:rsid w:val="284D59A8"/>
    <w:rsid w:val="284D6200"/>
    <w:rsid w:val="284DF98C"/>
    <w:rsid w:val="284E1F62"/>
    <w:rsid w:val="2850961D"/>
    <w:rsid w:val="28509B21"/>
    <w:rsid w:val="2850A1B5"/>
    <w:rsid w:val="28516B47"/>
    <w:rsid w:val="28525815"/>
    <w:rsid w:val="2852F3C9"/>
    <w:rsid w:val="28538632"/>
    <w:rsid w:val="2855DE8D"/>
    <w:rsid w:val="28579347"/>
    <w:rsid w:val="2857C3B4"/>
    <w:rsid w:val="2857E4EC"/>
    <w:rsid w:val="2857FB81"/>
    <w:rsid w:val="2858F9C0"/>
    <w:rsid w:val="285915B5"/>
    <w:rsid w:val="285B440B"/>
    <w:rsid w:val="285B46E4"/>
    <w:rsid w:val="285B4CE5"/>
    <w:rsid w:val="285CD97A"/>
    <w:rsid w:val="285CE306"/>
    <w:rsid w:val="285D4C89"/>
    <w:rsid w:val="285D798E"/>
    <w:rsid w:val="285E1648"/>
    <w:rsid w:val="285E2287"/>
    <w:rsid w:val="285E65D1"/>
    <w:rsid w:val="285EAA24"/>
    <w:rsid w:val="285EB9DE"/>
    <w:rsid w:val="285FEB0A"/>
    <w:rsid w:val="28603FCE"/>
    <w:rsid w:val="286129CC"/>
    <w:rsid w:val="2862970C"/>
    <w:rsid w:val="286323A0"/>
    <w:rsid w:val="2863391C"/>
    <w:rsid w:val="28647C7C"/>
    <w:rsid w:val="2864D19A"/>
    <w:rsid w:val="28662137"/>
    <w:rsid w:val="28667983"/>
    <w:rsid w:val="28684FDE"/>
    <w:rsid w:val="2868B457"/>
    <w:rsid w:val="2869399F"/>
    <w:rsid w:val="2869EAF7"/>
    <w:rsid w:val="2869EB48"/>
    <w:rsid w:val="286A1213"/>
    <w:rsid w:val="286A512A"/>
    <w:rsid w:val="286A8A1B"/>
    <w:rsid w:val="286AA200"/>
    <w:rsid w:val="286D8A33"/>
    <w:rsid w:val="286DA904"/>
    <w:rsid w:val="286E06EC"/>
    <w:rsid w:val="286E84A2"/>
    <w:rsid w:val="286F6C34"/>
    <w:rsid w:val="28708772"/>
    <w:rsid w:val="2871EB2D"/>
    <w:rsid w:val="2873427F"/>
    <w:rsid w:val="2874F3C8"/>
    <w:rsid w:val="28757987"/>
    <w:rsid w:val="28758CAF"/>
    <w:rsid w:val="2875DAF3"/>
    <w:rsid w:val="2876175A"/>
    <w:rsid w:val="287645DD"/>
    <w:rsid w:val="287789EB"/>
    <w:rsid w:val="2877E3EB"/>
    <w:rsid w:val="28789B4E"/>
    <w:rsid w:val="28792D0C"/>
    <w:rsid w:val="28793719"/>
    <w:rsid w:val="2879BDA2"/>
    <w:rsid w:val="2879BEB0"/>
    <w:rsid w:val="287A9C80"/>
    <w:rsid w:val="287C8677"/>
    <w:rsid w:val="287CA318"/>
    <w:rsid w:val="287CC50E"/>
    <w:rsid w:val="287D1D27"/>
    <w:rsid w:val="287F908B"/>
    <w:rsid w:val="28803AB8"/>
    <w:rsid w:val="28811094"/>
    <w:rsid w:val="28812BA3"/>
    <w:rsid w:val="288178B2"/>
    <w:rsid w:val="2881A1AC"/>
    <w:rsid w:val="2883953D"/>
    <w:rsid w:val="28839FDB"/>
    <w:rsid w:val="28843DFD"/>
    <w:rsid w:val="28854781"/>
    <w:rsid w:val="28856683"/>
    <w:rsid w:val="28868F0C"/>
    <w:rsid w:val="28871E60"/>
    <w:rsid w:val="28881941"/>
    <w:rsid w:val="28884C86"/>
    <w:rsid w:val="288A28BE"/>
    <w:rsid w:val="288AEAA3"/>
    <w:rsid w:val="288B3A9D"/>
    <w:rsid w:val="288CE9DD"/>
    <w:rsid w:val="288D4430"/>
    <w:rsid w:val="288ECC09"/>
    <w:rsid w:val="288EF944"/>
    <w:rsid w:val="288F2C9D"/>
    <w:rsid w:val="28906D8C"/>
    <w:rsid w:val="2890F17B"/>
    <w:rsid w:val="2891A528"/>
    <w:rsid w:val="2892FBDC"/>
    <w:rsid w:val="289354A5"/>
    <w:rsid w:val="2893EA2B"/>
    <w:rsid w:val="28948972"/>
    <w:rsid w:val="289658B5"/>
    <w:rsid w:val="2897727A"/>
    <w:rsid w:val="28979B7A"/>
    <w:rsid w:val="2897E4AF"/>
    <w:rsid w:val="2898215F"/>
    <w:rsid w:val="289861DA"/>
    <w:rsid w:val="2898CA02"/>
    <w:rsid w:val="28999A4F"/>
    <w:rsid w:val="2899EE52"/>
    <w:rsid w:val="289A327D"/>
    <w:rsid w:val="289A67BA"/>
    <w:rsid w:val="289ACCCB"/>
    <w:rsid w:val="289B9D86"/>
    <w:rsid w:val="289C06C3"/>
    <w:rsid w:val="289C5E74"/>
    <w:rsid w:val="289CD3B0"/>
    <w:rsid w:val="289D8E8E"/>
    <w:rsid w:val="289DAFC0"/>
    <w:rsid w:val="289DE46C"/>
    <w:rsid w:val="289E0C7F"/>
    <w:rsid w:val="289E1F7D"/>
    <w:rsid w:val="289E8EE0"/>
    <w:rsid w:val="289EDF0A"/>
    <w:rsid w:val="289F490D"/>
    <w:rsid w:val="289F749A"/>
    <w:rsid w:val="289FC174"/>
    <w:rsid w:val="289FE77E"/>
    <w:rsid w:val="28A019EE"/>
    <w:rsid w:val="28A18E00"/>
    <w:rsid w:val="28A1C483"/>
    <w:rsid w:val="28A2F597"/>
    <w:rsid w:val="28A2FA5D"/>
    <w:rsid w:val="28A33A65"/>
    <w:rsid w:val="28A61913"/>
    <w:rsid w:val="28A64BEA"/>
    <w:rsid w:val="28A71CCE"/>
    <w:rsid w:val="28A79EF6"/>
    <w:rsid w:val="28A7A321"/>
    <w:rsid w:val="28A81D0E"/>
    <w:rsid w:val="28A8CB44"/>
    <w:rsid w:val="28A983DA"/>
    <w:rsid w:val="28AAA14E"/>
    <w:rsid w:val="28AB5FA0"/>
    <w:rsid w:val="28ABBD86"/>
    <w:rsid w:val="28AC5602"/>
    <w:rsid w:val="28AD5908"/>
    <w:rsid w:val="28AE586F"/>
    <w:rsid w:val="28AF6A33"/>
    <w:rsid w:val="28AFBE63"/>
    <w:rsid w:val="28AFEBE6"/>
    <w:rsid w:val="28B06657"/>
    <w:rsid w:val="28B1B4EB"/>
    <w:rsid w:val="28B1F9EC"/>
    <w:rsid w:val="28B2BC55"/>
    <w:rsid w:val="28B38116"/>
    <w:rsid w:val="28B44BD2"/>
    <w:rsid w:val="28B49E6F"/>
    <w:rsid w:val="28B5E544"/>
    <w:rsid w:val="28B5F6F4"/>
    <w:rsid w:val="28B6F568"/>
    <w:rsid w:val="28B89C24"/>
    <w:rsid w:val="28BACEFD"/>
    <w:rsid w:val="28BB46AC"/>
    <w:rsid w:val="28BC58B0"/>
    <w:rsid w:val="28BC9677"/>
    <w:rsid w:val="28BCAC09"/>
    <w:rsid w:val="28BCC57D"/>
    <w:rsid w:val="28BE56A2"/>
    <w:rsid w:val="28BE6E94"/>
    <w:rsid w:val="28BEAD5B"/>
    <w:rsid w:val="28BF2D81"/>
    <w:rsid w:val="28BFBC4A"/>
    <w:rsid w:val="28BFF2E5"/>
    <w:rsid w:val="28C0AEA2"/>
    <w:rsid w:val="28C12EA0"/>
    <w:rsid w:val="28C3BE17"/>
    <w:rsid w:val="28C408CC"/>
    <w:rsid w:val="28C549F4"/>
    <w:rsid w:val="28C54D1F"/>
    <w:rsid w:val="28C6F2D0"/>
    <w:rsid w:val="28C768DE"/>
    <w:rsid w:val="28C8378B"/>
    <w:rsid w:val="28C849E2"/>
    <w:rsid w:val="28C86D87"/>
    <w:rsid w:val="28C8C047"/>
    <w:rsid w:val="28C8F909"/>
    <w:rsid w:val="28C9031B"/>
    <w:rsid w:val="28C95535"/>
    <w:rsid w:val="28C9E13B"/>
    <w:rsid w:val="28CA149B"/>
    <w:rsid w:val="28CA211C"/>
    <w:rsid w:val="28CA3637"/>
    <w:rsid w:val="28CA76D9"/>
    <w:rsid w:val="28CBA65A"/>
    <w:rsid w:val="28CD8DD8"/>
    <w:rsid w:val="28CDCD5C"/>
    <w:rsid w:val="28CE3C0F"/>
    <w:rsid w:val="28CEA33D"/>
    <w:rsid w:val="28CF53BA"/>
    <w:rsid w:val="28CFD7D2"/>
    <w:rsid w:val="28D0324E"/>
    <w:rsid w:val="28D06F97"/>
    <w:rsid w:val="28D0C628"/>
    <w:rsid w:val="28D1DA9B"/>
    <w:rsid w:val="28D2D8E5"/>
    <w:rsid w:val="28D34161"/>
    <w:rsid w:val="28D3765A"/>
    <w:rsid w:val="28D3D273"/>
    <w:rsid w:val="28D43BE0"/>
    <w:rsid w:val="28D4A731"/>
    <w:rsid w:val="28D601E6"/>
    <w:rsid w:val="28D7060A"/>
    <w:rsid w:val="28D72F5C"/>
    <w:rsid w:val="28D7FF91"/>
    <w:rsid w:val="28D80ED2"/>
    <w:rsid w:val="28D842B5"/>
    <w:rsid w:val="28D8C5F5"/>
    <w:rsid w:val="28D941C2"/>
    <w:rsid w:val="28DAC409"/>
    <w:rsid w:val="28DB0B36"/>
    <w:rsid w:val="28DB11F1"/>
    <w:rsid w:val="28DB7D75"/>
    <w:rsid w:val="28DB8986"/>
    <w:rsid w:val="28DBA6FC"/>
    <w:rsid w:val="28DC2311"/>
    <w:rsid w:val="28DD3AA8"/>
    <w:rsid w:val="28DDC96E"/>
    <w:rsid w:val="28DE55BF"/>
    <w:rsid w:val="28DE5EF0"/>
    <w:rsid w:val="28E05195"/>
    <w:rsid w:val="28E107F6"/>
    <w:rsid w:val="28E1398B"/>
    <w:rsid w:val="28E1E58C"/>
    <w:rsid w:val="28E20D2E"/>
    <w:rsid w:val="28E23791"/>
    <w:rsid w:val="28E2BAAE"/>
    <w:rsid w:val="28E2DA7A"/>
    <w:rsid w:val="28E3C09E"/>
    <w:rsid w:val="28E4D5A3"/>
    <w:rsid w:val="28E502B2"/>
    <w:rsid w:val="28E54560"/>
    <w:rsid w:val="28E54D84"/>
    <w:rsid w:val="28E5F51B"/>
    <w:rsid w:val="28E60EBF"/>
    <w:rsid w:val="28E6CF3D"/>
    <w:rsid w:val="28E7BF7C"/>
    <w:rsid w:val="28E7FD6E"/>
    <w:rsid w:val="28E7FEBA"/>
    <w:rsid w:val="28E8D1D4"/>
    <w:rsid w:val="28E941B3"/>
    <w:rsid w:val="28E9CA6B"/>
    <w:rsid w:val="28EA5D10"/>
    <w:rsid w:val="28EAA45F"/>
    <w:rsid w:val="28EABAA8"/>
    <w:rsid w:val="28EAD33E"/>
    <w:rsid w:val="28EAD743"/>
    <w:rsid w:val="28EB26A3"/>
    <w:rsid w:val="28EB94C9"/>
    <w:rsid w:val="28EDBA04"/>
    <w:rsid w:val="28EDD7F4"/>
    <w:rsid w:val="28EE302F"/>
    <w:rsid w:val="28EE42A1"/>
    <w:rsid w:val="28EEDE6B"/>
    <w:rsid w:val="28EF2652"/>
    <w:rsid w:val="28F03EA4"/>
    <w:rsid w:val="28F0B835"/>
    <w:rsid w:val="28F16C45"/>
    <w:rsid w:val="28F1A73E"/>
    <w:rsid w:val="28F26712"/>
    <w:rsid w:val="28F295DD"/>
    <w:rsid w:val="28F39C7D"/>
    <w:rsid w:val="28F39EEB"/>
    <w:rsid w:val="28F3F1AC"/>
    <w:rsid w:val="28F3F284"/>
    <w:rsid w:val="28F5DE8E"/>
    <w:rsid w:val="28F5DEB1"/>
    <w:rsid w:val="28F7535E"/>
    <w:rsid w:val="28F78E87"/>
    <w:rsid w:val="28F79646"/>
    <w:rsid w:val="28F8FCB6"/>
    <w:rsid w:val="28F917BA"/>
    <w:rsid w:val="28F9610B"/>
    <w:rsid w:val="28F9B7D3"/>
    <w:rsid w:val="28F9BB72"/>
    <w:rsid w:val="28F9EFCA"/>
    <w:rsid w:val="28FB5D1F"/>
    <w:rsid w:val="28FBDEDD"/>
    <w:rsid w:val="28FCAE99"/>
    <w:rsid w:val="28FD6B75"/>
    <w:rsid w:val="28FE1B1F"/>
    <w:rsid w:val="28FE3179"/>
    <w:rsid w:val="28FEFC9D"/>
    <w:rsid w:val="2900A523"/>
    <w:rsid w:val="2900C090"/>
    <w:rsid w:val="290165F3"/>
    <w:rsid w:val="2901BA31"/>
    <w:rsid w:val="2902FFEE"/>
    <w:rsid w:val="29036DBE"/>
    <w:rsid w:val="2903A64C"/>
    <w:rsid w:val="2903D4AA"/>
    <w:rsid w:val="290418B5"/>
    <w:rsid w:val="29046C24"/>
    <w:rsid w:val="2904E15E"/>
    <w:rsid w:val="2905338B"/>
    <w:rsid w:val="29054551"/>
    <w:rsid w:val="29057B18"/>
    <w:rsid w:val="290591C1"/>
    <w:rsid w:val="2905DB79"/>
    <w:rsid w:val="29075EC2"/>
    <w:rsid w:val="2907A708"/>
    <w:rsid w:val="290A2BDC"/>
    <w:rsid w:val="290A8D59"/>
    <w:rsid w:val="290A9622"/>
    <w:rsid w:val="290AA5DE"/>
    <w:rsid w:val="290B54E8"/>
    <w:rsid w:val="290BD35F"/>
    <w:rsid w:val="290C2A4F"/>
    <w:rsid w:val="290C7027"/>
    <w:rsid w:val="290C8F7F"/>
    <w:rsid w:val="290D0B1A"/>
    <w:rsid w:val="290DA32B"/>
    <w:rsid w:val="290E3D0F"/>
    <w:rsid w:val="291063B2"/>
    <w:rsid w:val="2910FFB8"/>
    <w:rsid w:val="291455E3"/>
    <w:rsid w:val="29156DB5"/>
    <w:rsid w:val="2916094B"/>
    <w:rsid w:val="291673B2"/>
    <w:rsid w:val="29175937"/>
    <w:rsid w:val="2917F106"/>
    <w:rsid w:val="29184B22"/>
    <w:rsid w:val="291854B9"/>
    <w:rsid w:val="2918E1D5"/>
    <w:rsid w:val="291C5BCC"/>
    <w:rsid w:val="291C9BAB"/>
    <w:rsid w:val="291CBE6F"/>
    <w:rsid w:val="291D2646"/>
    <w:rsid w:val="291F3576"/>
    <w:rsid w:val="291F9842"/>
    <w:rsid w:val="29207D8C"/>
    <w:rsid w:val="292118C8"/>
    <w:rsid w:val="29211E53"/>
    <w:rsid w:val="29218A10"/>
    <w:rsid w:val="29220E31"/>
    <w:rsid w:val="292290E2"/>
    <w:rsid w:val="2922D628"/>
    <w:rsid w:val="2922F5D8"/>
    <w:rsid w:val="2923C7AC"/>
    <w:rsid w:val="2923E12A"/>
    <w:rsid w:val="29241064"/>
    <w:rsid w:val="29241F52"/>
    <w:rsid w:val="292470D2"/>
    <w:rsid w:val="2925D47F"/>
    <w:rsid w:val="29260E11"/>
    <w:rsid w:val="29262C57"/>
    <w:rsid w:val="29269B43"/>
    <w:rsid w:val="292751BF"/>
    <w:rsid w:val="29280B33"/>
    <w:rsid w:val="29281D9A"/>
    <w:rsid w:val="292ABAF2"/>
    <w:rsid w:val="292BEEA6"/>
    <w:rsid w:val="292BF9EA"/>
    <w:rsid w:val="292BFE79"/>
    <w:rsid w:val="292D275B"/>
    <w:rsid w:val="292DC7C8"/>
    <w:rsid w:val="292DD773"/>
    <w:rsid w:val="292E26D5"/>
    <w:rsid w:val="292E2706"/>
    <w:rsid w:val="292F3C8A"/>
    <w:rsid w:val="292F4C0F"/>
    <w:rsid w:val="29300BB1"/>
    <w:rsid w:val="293020A9"/>
    <w:rsid w:val="2930518C"/>
    <w:rsid w:val="2933FD15"/>
    <w:rsid w:val="2935BD7D"/>
    <w:rsid w:val="29363AFF"/>
    <w:rsid w:val="293680E1"/>
    <w:rsid w:val="2936C8B4"/>
    <w:rsid w:val="293740F5"/>
    <w:rsid w:val="29377447"/>
    <w:rsid w:val="29398250"/>
    <w:rsid w:val="293AA30D"/>
    <w:rsid w:val="293AC55D"/>
    <w:rsid w:val="293AD2E7"/>
    <w:rsid w:val="293AF986"/>
    <w:rsid w:val="293B46BA"/>
    <w:rsid w:val="293B7B03"/>
    <w:rsid w:val="293C4533"/>
    <w:rsid w:val="293C81BA"/>
    <w:rsid w:val="293D04B2"/>
    <w:rsid w:val="293D0716"/>
    <w:rsid w:val="293D566B"/>
    <w:rsid w:val="293E0B6A"/>
    <w:rsid w:val="293E30F6"/>
    <w:rsid w:val="293EAE18"/>
    <w:rsid w:val="293F0B3A"/>
    <w:rsid w:val="293F3B3B"/>
    <w:rsid w:val="293F8EE5"/>
    <w:rsid w:val="293F9273"/>
    <w:rsid w:val="29403F02"/>
    <w:rsid w:val="29408523"/>
    <w:rsid w:val="2940FF41"/>
    <w:rsid w:val="294272F8"/>
    <w:rsid w:val="29451DFA"/>
    <w:rsid w:val="29453E9C"/>
    <w:rsid w:val="294588B2"/>
    <w:rsid w:val="29463FE3"/>
    <w:rsid w:val="2946A42E"/>
    <w:rsid w:val="29477153"/>
    <w:rsid w:val="2947AA92"/>
    <w:rsid w:val="2947D49D"/>
    <w:rsid w:val="2947EF12"/>
    <w:rsid w:val="29491615"/>
    <w:rsid w:val="294956A8"/>
    <w:rsid w:val="2949DD49"/>
    <w:rsid w:val="294A244C"/>
    <w:rsid w:val="294ABAE2"/>
    <w:rsid w:val="294BDB16"/>
    <w:rsid w:val="294C2CDA"/>
    <w:rsid w:val="294C313C"/>
    <w:rsid w:val="294CDA77"/>
    <w:rsid w:val="294CEB96"/>
    <w:rsid w:val="294D575C"/>
    <w:rsid w:val="294E8D5B"/>
    <w:rsid w:val="294EAC3E"/>
    <w:rsid w:val="294F4417"/>
    <w:rsid w:val="2951A044"/>
    <w:rsid w:val="29521F2A"/>
    <w:rsid w:val="29523CA7"/>
    <w:rsid w:val="29529A03"/>
    <w:rsid w:val="2953876D"/>
    <w:rsid w:val="29538B8E"/>
    <w:rsid w:val="29542016"/>
    <w:rsid w:val="29547EE6"/>
    <w:rsid w:val="2954C2FC"/>
    <w:rsid w:val="29552670"/>
    <w:rsid w:val="29573527"/>
    <w:rsid w:val="29576763"/>
    <w:rsid w:val="29593615"/>
    <w:rsid w:val="2959D560"/>
    <w:rsid w:val="2959F211"/>
    <w:rsid w:val="2959FD64"/>
    <w:rsid w:val="295A5402"/>
    <w:rsid w:val="295B5753"/>
    <w:rsid w:val="295C530A"/>
    <w:rsid w:val="295D56DD"/>
    <w:rsid w:val="295E09A7"/>
    <w:rsid w:val="295FC348"/>
    <w:rsid w:val="29611FF1"/>
    <w:rsid w:val="2961C582"/>
    <w:rsid w:val="29621BA8"/>
    <w:rsid w:val="296286CA"/>
    <w:rsid w:val="2962CEE2"/>
    <w:rsid w:val="29630BD0"/>
    <w:rsid w:val="296353E3"/>
    <w:rsid w:val="2963DEC6"/>
    <w:rsid w:val="2963ED21"/>
    <w:rsid w:val="2963F595"/>
    <w:rsid w:val="29648753"/>
    <w:rsid w:val="2964BAB7"/>
    <w:rsid w:val="29652340"/>
    <w:rsid w:val="2965FEB5"/>
    <w:rsid w:val="2966910A"/>
    <w:rsid w:val="29676E48"/>
    <w:rsid w:val="2967898B"/>
    <w:rsid w:val="2967AE87"/>
    <w:rsid w:val="29682FB5"/>
    <w:rsid w:val="2968F3B9"/>
    <w:rsid w:val="296A958F"/>
    <w:rsid w:val="296B27FE"/>
    <w:rsid w:val="296BCC92"/>
    <w:rsid w:val="296C0F45"/>
    <w:rsid w:val="296C2C20"/>
    <w:rsid w:val="296CAE46"/>
    <w:rsid w:val="296E0FAA"/>
    <w:rsid w:val="296E4F69"/>
    <w:rsid w:val="296E93C1"/>
    <w:rsid w:val="296F1C1B"/>
    <w:rsid w:val="296F5A29"/>
    <w:rsid w:val="297000D0"/>
    <w:rsid w:val="29711512"/>
    <w:rsid w:val="29714E9D"/>
    <w:rsid w:val="2973F853"/>
    <w:rsid w:val="29757C54"/>
    <w:rsid w:val="297713EF"/>
    <w:rsid w:val="29775662"/>
    <w:rsid w:val="29784B2A"/>
    <w:rsid w:val="297852B6"/>
    <w:rsid w:val="297890C5"/>
    <w:rsid w:val="2978DF3A"/>
    <w:rsid w:val="29797027"/>
    <w:rsid w:val="297A1239"/>
    <w:rsid w:val="297B6BD5"/>
    <w:rsid w:val="297B9CCC"/>
    <w:rsid w:val="297C8062"/>
    <w:rsid w:val="297EB660"/>
    <w:rsid w:val="297F2184"/>
    <w:rsid w:val="298068E0"/>
    <w:rsid w:val="298073A9"/>
    <w:rsid w:val="2980B80D"/>
    <w:rsid w:val="2981A9DA"/>
    <w:rsid w:val="298226A1"/>
    <w:rsid w:val="29822EA5"/>
    <w:rsid w:val="29832F31"/>
    <w:rsid w:val="29849101"/>
    <w:rsid w:val="29857FCA"/>
    <w:rsid w:val="2985DB8D"/>
    <w:rsid w:val="2986D6A5"/>
    <w:rsid w:val="29871BB3"/>
    <w:rsid w:val="29873782"/>
    <w:rsid w:val="2987D03D"/>
    <w:rsid w:val="29893F2B"/>
    <w:rsid w:val="298961F3"/>
    <w:rsid w:val="2989EA01"/>
    <w:rsid w:val="298A7CEE"/>
    <w:rsid w:val="298B34D1"/>
    <w:rsid w:val="298B8D6B"/>
    <w:rsid w:val="298C9078"/>
    <w:rsid w:val="298CACB7"/>
    <w:rsid w:val="298CC591"/>
    <w:rsid w:val="298CD111"/>
    <w:rsid w:val="298D7B63"/>
    <w:rsid w:val="298D8358"/>
    <w:rsid w:val="298D9D70"/>
    <w:rsid w:val="298DE05F"/>
    <w:rsid w:val="298E770D"/>
    <w:rsid w:val="298FE54D"/>
    <w:rsid w:val="2990AD66"/>
    <w:rsid w:val="2990F959"/>
    <w:rsid w:val="2991AE8B"/>
    <w:rsid w:val="2992A3FA"/>
    <w:rsid w:val="2992C904"/>
    <w:rsid w:val="29935B87"/>
    <w:rsid w:val="299373EB"/>
    <w:rsid w:val="299398AD"/>
    <w:rsid w:val="2994AB9B"/>
    <w:rsid w:val="299553AC"/>
    <w:rsid w:val="29960BA4"/>
    <w:rsid w:val="2996DFD0"/>
    <w:rsid w:val="299949F3"/>
    <w:rsid w:val="299A8D9A"/>
    <w:rsid w:val="299ABB61"/>
    <w:rsid w:val="299BC5BF"/>
    <w:rsid w:val="299BC5D1"/>
    <w:rsid w:val="299C7FF2"/>
    <w:rsid w:val="299D115F"/>
    <w:rsid w:val="299DEDD9"/>
    <w:rsid w:val="299ECEA2"/>
    <w:rsid w:val="29A01C6F"/>
    <w:rsid w:val="29A0AD2F"/>
    <w:rsid w:val="29A0CB19"/>
    <w:rsid w:val="29A0F0E1"/>
    <w:rsid w:val="29A11EBE"/>
    <w:rsid w:val="29A13E36"/>
    <w:rsid w:val="29A1878A"/>
    <w:rsid w:val="29A1E10B"/>
    <w:rsid w:val="29A210C9"/>
    <w:rsid w:val="29A27C65"/>
    <w:rsid w:val="29A2BC2C"/>
    <w:rsid w:val="29A3B8D1"/>
    <w:rsid w:val="29A41930"/>
    <w:rsid w:val="29A4E9F5"/>
    <w:rsid w:val="29A4F78C"/>
    <w:rsid w:val="29A59055"/>
    <w:rsid w:val="29A6D78E"/>
    <w:rsid w:val="29A7EEDF"/>
    <w:rsid w:val="29A97150"/>
    <w:rsid w:val="29A9CAC2"/>
    <w:rsid w:val="29AB21A3"/>
    <w:rsid w:val="29ACEF48"/>
    <w:rsid w:val="29AD6FFA"/>
    <w:rsid w:val="29AD86F0"/>
    <w:rsid w:val="29AD9672"/>
    <w:rsid w:val="29AE44BC"/>
    <w:rsid w:val="29AEE417"/>
    <w:rsid w:val="29AEEA89"/>
    <w:rsid w:val="29AEEC68"/>
    <w:rsid w:val="29AF16C9"/>
    <w:rsid w:val="29B005E8"/>
    <w:rsid w:val="29B01974"/>
    <w:rsid w:val="29B050EB"/>
    <w:rsid w:val="29B0DF5C"/>
    <w:rsid w:val="29B3DBEC"/>
    <w:rsid w:val="29B43744"/>
    <w:rsid w:val="29B44759"/>
    <w:rsid w:val="29B45F70"/>
    <w:rsid w:val="29B586CD"/>
    <w:rsid w:val="29B6404A"/>
    <w:rsid w:val="29B643C7"/>
    <w:rsid w:val="29B7DC0F"/>
    <w:rsid w:val="29BA7737"/>
    <w:rsid w:val="29BABAFB"/>
    <w:rsid w:val="29BB7C15"/>
    <w:rsid w:val="29BB965E"/>
    <w:rsid w:val="29BB9E8F"/>
    <w:rsid w:val="29BBF687"/>
    <w:rsid w:val="29BE6461"/>
    <w:rsid w:val="29BF0EF0"/>
    <w:rsid w:val="29BFF0C0"/>
    <w:rsid w:val="29C0EF00"/>
    <w:rsid w:val="29C1CFF4"/>
    <w:rsid w:val="29C22FBD"/>
    <w:rsid w:val="29C36391"/>
    <w:rsid w:val="29C40484"/>
    <w:rsid w:val="29C51F80"/>
    <w:rsid w:val="29C64BD9"/>
    <w:rsid w:val="29C6A6E3"/>
    <w:rsid w:val="29C71D1E"/>
    <w:rsid w:val="29C83921"/>
    <w:rsid w:val="29C8E1A5"/>
    <w:rsid w:val="29C945A9"/>
    <w:rsid w:val="29C9E600"/>
    <w:rsid w:val="29CA5CD6"/>
    <w:rsid w:val="29CB6217"/>
    <w:rsid w:val="29CB9026"/>
    <w:rsid w:val="29CBCB35"/>
    <w:rsid w:val="29CD0B0D"/>
    <w:rsid w:val="29CD81E9"/>
    <w:rsid w:val="29CDC871"/>
    <w:rsid w:val="29CDD21C"/>
    <w:rsid w:val="29CE8B2F"/>
    <w:rsid w:val="29CECD25"/>
    <w:rsid w:val="29CF487F"/>
    <w:rsid w:val="29CF849A"/>
    <w:rsid w:val="29D0B7E5"/>
    <w:rsid w:val="29D0F487"/>
    <w:rsid w:val="29D107DA"/>
    <w:rsid w:val="29D16EC8"/>
    <w:rsid w:val="29D20854"/>
    <w:rsid w:val="29D36167"/>
    <w:rsid w:val="29D3AA13"/>
    <w:rsid w:val="29D3AFAB"/>
    <w:rsid w:val="29D4F028"/>
    <w:rsid w:val="29D5BB6F"/>
    <w:rsid w:val="29D5F655"/>
    <w:rsid w:val="29D613CE"/>
    <w:rsid w:val="29D73157"/>
    <w:rsid w:val="29D7A19A"/>
    <w:rsid w:val="29D7C020"/>
    <w:rsid w:val="29D7D9D3"/>
    <w:rsid w:val="29D8EFF0"/>
    <w:rsid w:val="29DA3FFF"/>
    <w:rsid w:val="29DAB34B"/>
    <w:rsid w:val="29DB0FAF"/>
    <w:rsid w:val="29DB256B"/>
    <w:rsid w:val="29DB2FA1"/>
    <w:rsid w:val="29DCE350"/>
    <w:rsid w:val="29DE25A6"/>
    <w:rsid w:val="29DE795A"/>
    <w:rsid w:val="29DF2DED"/>
    <w:rsid w:val="29DF624F"/>
    <w:rsid w:val="29DF669E"/>
    <w:rsid w:val="29E10F7E"/>
    <w:rsid w:val="29E26D71"/>
    <w:rsid w:val="29E340A1"/>
    <w:rsid w:val="29E3CB22"/>
    <w:rsid w:val="29E40FDF"/>
    <w:rsid w:val="29E4448F"/>
    <w:rsid w:val="29E45AE7"/>
    <w:rsid w:val="29E4CD7B"/>
    <w:rsid w:val="29E50E03"/>
    <w:rsid w:val="29E6C9E7"/>
    <w:rsid w:val="29E88D25"/>
    <w:rsid w:val="29EAAA4B"/>
    <w:rsid w:val="29EB363D"/>
    <w:rsid w:val="29ED0E1A"/>
    <w:rsid w:val="29ED7A9F"/>
    <w:rsid w:val="29ED82A8"/>
    <w:rsid w:val="29ED9229"/>
    <w:rsid w:val="29EDBF71"/>
    <w:rsid w:val="29EDE7CE"/>
    <w:rsid w:val="29EE9AF2"/>
    <w:rsid w:val="29EEF97D"/>
    <w:rsid w:val="29EFB8F4"/>
    <w:rsid w:val="29F030BC"/>
    <w:rsid w:val="29F034BD"/>
    <w:rsid w:val="29F1565D"/>
    <w:rsid w:val="29F20FBC"/>
    <w:rsid w:val="29F22B01"/>
    <w:rsid w:val="29F343E0"/>
    <w:rsid w:val="29F3CA37"/>
    <w:rsid w:val="29F6DB69"/>
    <w:rsid w:val="29F75133"/>
    <w:rsid w:val="29F75D55"/>
    <w:rsid w:val="29F7A3A7"/>
    <w:rsid w:val="29F92F42"/>
    <w:rsid w:val="29FAE5E7"/>
    <w:rsid w:val="29FB035F"/>
    <w:rsid w:val="29FB4401"/>
    <w:rsid w:val="29FB5445"/>
    <w:rsid w:val="29FC9C99"/>
    <w:rsid w:val="29FD64BA"/>
    <w:rsid w:val="29FDBB75"/>
    <w:rsid w:val="29FE656F"/>
    <w:rsid w:val="29FE7DE2"/>
    <w:rsid w:val="29FF81B5"/>
    <w:rsid w:val="29FF81CB"/>
    <w:rsid w:val="29FFDC72"/>
    <w:rsid w:val="2A007AF3"/>
    <w:rsid w:val="2A012633"/>
    <w:rsid w:val="2A014952"/>
    <w:rsid w:val="2A01DA08"/>
    <w:rsid w:val="2A027266"/>
    <w:rsid w:val="2A02A67B"/>
    <w:rsid w:val="2A031A38"/>
    <w:rsid w:val="2A03A947"/>
    <w:rsid w:val="2A03C47E"/>
    <w:rsid w:val="2A03CB52"/>
    <w:rsid w:val="2A04427E"/>
    <w:rsid w:val="2A0493C8"/>
    <w:rsid w:val="2A05AF22"/>
    <w:rsid w:val="2A061E8D"/>
    <w:rsid w:val="2A067465"/>
    <w:rsid w:val="2A073309"/>
    <w:rsid w:val="2A073AE7"/>
    <w:rsid w:val="2A076C46"/>
    <w:rsid w:val="2A083C33"/>
    <w:rsid w:val="2A08A9AB"/>
    <w:rsid w:val="2A090411"/>
    <w:rsid w:val="2A093699"/>
    <w:rsid w:val="2A0A50E1"/>
    <w:rsid w:val="2A0B3741"/>
    <w:rsid w:val="2A0C587B"/>
    <w:rsid w:val="2A0DC276"/>
    <w:rsid w:val="2A0DDB9B"/>
    <w:rsid w:val="2A0E13EA"/>
    <w:rsid w:val="2A0E7610"/>
    <w:rsid w:val="2A0E968B"/>
    <w:rsid w:val="2A0EA495"/>
    <w:rsid w:val="2A0EAE5C"/>
    <w:rsid w:val="2A0FBB35"/>
    <w:rsid w:val="2A111A78"/>
    <w:rsid w:val="2A12137C"/>
    <w:rsid w:val="2A128493"/>
    <w:rsid w:val="2A13262B"/>
    <w:rsid w:val="2A155521"/>
    <w:rsid w:val="2A15D8B3"/>
    <w:rsid w:val="2A161CBF"/>
    <w:rsid w:val="2A167758"/>
    <w:rsid w:val="2A177657"/>
    <w:rsid w:val="2A17ED66"/>
    <w:rsid w:val="2A18CFBF"/>
    <w:rsid w:val="2A18D1CB"/>
    <w:rsid w:val="2A18D9CD"/>
    <w:rsid w:val="2A19B177"/>
    <w:rsid w:val="2A19D4E5"/>
    <w:rsid w:val="2A1BD5F5"/>
    <w:rsid w:val="2A1BF5A7"/>
    <w:rsid w:val="2A1C24D2"/>
    <w:rsid w:val="2A1D2262"/>
    <w:rsid w:val="2A1D5DAA"/>
    <w:rsid w:val="2A1E41F0"/>
    <w:rsid w:val="2A1E5608"/>
    <w:rsid w:val="2A1EB7A3"/>
    <w:rsid w:val="2A1EC396"/>
    <w:rsid w:val="2A1EE114"/>
    <w:rsid w:val="2A1F319A"/>
    <w:rsid w:val="2A1FE05F"/>
    <w:rsid w:val="2A22ADAF"/>
    <w:rsid w:val="2A23F7D9"/>
    <w:rsid w:val="2A243ED7"/>
    <w:rsid w:val="2A256380"/>
    <w:rsid w:val="2A2575A2"/>
    <w:rsid w:val="2A26E216"/>
    <w:rsid w:val="2A271995"/>
    <w:rsid w:val="2A275292"/>
    <w:rsid w:val="2A27CCA1"/>
    <w:rsid w:val="2A28BDB0"/>
    <w:rsid w:val="2A28C569"/>
    <w:rsid w:val="2A28F4CA"/>
    <w:rsid w:val="2A290ED0"/>
    <w:rsid w:val="2A291193"/>
    <w:rsid w:val="2A292990"/>
    <w:rsid w:val="2A2A7A7F"/>
    <w:rsid w:val="2A2AB147"/>
    <w:rsid w:val="2A2ACF92"/>
    <w:rsid w:val="2A2B2F1C"/>
    <w:rsid w:val="2A2B5786"/>
    <w:rsid w:val="2A2BF67D"/>
    <w:rsid w:val="2A2D1C2A"/>
    <w:rsid w:val="2A2DE0AE"/>
    <w:rsid w:val="2A2EF60F"/>
    <w:rsid w:val="2A2F05A3"/>
    <w:rsid w:val="2A2F1D23"/>
    <w:rsid w:val="2A2F8022"/>
    <w:rsid w:val="2A2FF87B"/>
    <w:rsid w:val="2A305EF7"/>
    <w:rsid w:val="2A328A7E"/>
    <w:rsid w:val="2A340EEF"/>
    <w:rsid w:val="2A3430E5"/>
    <w:rsid w:val="2A348E6F"/>
    <w:rsid w:val="2A358B3A"/>
    <w:rsid w:val="2A367AC2"/>
    <w:rsid w:val="2A36FB09"/>
    <w:rsid w:val="2A38382A"/>
    <w:rsid w:val="2A38484C"/>
    <w:rsid w:val="2A38DD9D"/>
    <w:rsid w:val="2A3955DD"/>
    <w:rsid w:val="2A39953E"/>
    <w:rsid w:val="2A39C26E"/>
    <w:rsid w:val="2A39CA74"/>
    <w:rsid w:val="2A39F7B6"/>
    <w:rsid w:val="2A3A1BA3"/>
    <w:rsid w:val="2A3AA676"/>
    <w:rsid w:val="2A3AD855"/>
    <w:rsid w:val="2A3B6D76"/>
    <w:rsid w:val="2A3DFA97"/>
    <w:rsid w:val="2A3E59EC"/>
    <w:rsid w:val="2A3E9B65"/>
    <w:rsid w:val="2A3FD6D3"/>
    <w:rsid w:val="2A3FDAED"/>
    <w:rsid w:val="2A402AF3"/>
    <w:rsid w:val="2A420F80"/>
    <w:rsid w:val="2A423A60"/>
    <w:rsid w:val="2A42D53A"/>
    <w:rsid w:val="2A431035"/>
    <w:rsid w:val="2A437149"/>
    <w:rsid w:val="2A446A5A"/>
    <w:rsid w:val="2A4527A8"/>
    <w:rsid w:val="2A45867B"/>
    <w:rsid w:val="2A46FA9A"/>
    <w:rsid w:val="2A4721A2"/>
    <w:rsid w:val="2A47E290"/>
    <w:rsid w:val="2A48D14A"/>
    <w:rsid w:val="2A48D1D5"/>
    <w:rsid w:val="2A48E2BA"/>
    <w:rsid w:val="2A498B3D"/>
    <w:rsid w:val="2A4B0970"/>
    <w:rsid w:val="2A4B0E7D"/>
    <w:rsid w:val="2A4C22A1"/>
    <w:rsid w:val="2A4C6D3A"/>
    <w:rsid w:val="2A4CF1A2"/>
    <w:rsid w:val="2A4F145E"/>
    <w:rsid w:val="2A4F1E2C"/>
    <w:rsid w:val="2A4F3E73"/>
    <w:rsid w:val="2A4F7B99"/>
    <w:rsid w:val="2A500820"/>
    <w:rsid w:val="2A507BC5"/>
    <w:rsid w:val="2A52324D"/>
    <w:rsid w:val="2A524A9B"/>
    <w:rsid w:val="2A528C2F"/>
    <w:rsid w:val="2A52A70F"/>
    <w:rsid w:val="2A531EEA"/>
    <w:rsid w:val="2A53E6B7"/>
    <w:rsid w:val="2A543209"/>
    <w:rsid w:val="2A546026"/>
    <w:rsid w:val="2A54DB55"/>
    <w:rsid w:val="2A55C9EF"/>
    <w:rsid w:val="2A570499"/>
    <w:rsid w:val="2A573313"/>
    <w:rsid w:val="2A586687"/>
    <w:rsid w:val="2A588F4B"/>
    <w:rsid w:val="2A5A3BBA"/>
    <w:rsid w:val="2A5AE276"/>
    <w:rsid w:val="2A5B9C26"/>
    <w:rsid w:val="2A5B9D29"/>
    <w:rsid w:val="2A5C5CE7"/>
    <w:rsid w:val="2A5C6368"/>
    <w:rsid w:val="2A5C8359"/>
    <w:rsid w:val="2A5CD3D2"/>
    <w:rsid w:val="2A5D70CF"/>
    <w:rsid w:val="2A5E3A9F"/>
    <w:rsid w:val="2A5E4331"/>
    <w:rsid w:val="2A5EACC0"/>
    <w:rsid w:val="2A5F5445"/>
    <w:rsid w:val="2A60A59B"/>
    <w:rsid w:val="2A610B7D"/>
    <w:rsid w:val="2A615315"/>
    <w:rsid w:val="2A618761"/>
    <w:rsid w:val="2A61A63F"/>
    <w:rsid w:val="2A623A3B"/>
    <w:rsid w:val="2A629C6F"/>
    <w:rsid w:val="2A642074"/>
    <w:rsid w:val="2A6497FF"/>
    <w:rsid w:val="2A64EE16"/>
    <w:rsid w:val="2A668D14"/>
    <w:rsid w:val="2A671D40"/>
    <w:rsid w:val="2A681789"/>
    <w:rsid w:val="2A684A50"/>
    <w:rsid w:val="2A684BB6"/>
    <w:rsid w:val="2A68A59E"/>
    <w:rsid w:val="2A68D78E"/>
    <w:rsid w:val="2A698AFB"/>
    <w:rsid w:val="2A6AE9F4"/>
    <w:rsid w:val="2A6C05B2"/>
    <w:rsid w:val="2A6C18C0"/>
    <w:rsid w:val="2A6C4A42"/>
    <w:rsid w:val="2A6CCC9E"/>
    <w:rsid w:val="2A6CDB61"/>
    <w:rsid w:val="2A6D8968"/>
    <w:rsid w:val="2A6DB01C"/>
    <w:rsid w:val="2A6E0084"/>
    <w:rsid w:val="2A6EA1D6"/>
    <w:rsid w:val="2A6EAE9C"/>
    <w:rsid w:val="2A6EE948"/>
    <w:rsid w:val="2A6F917D"/>
    <w:rsid w:val="2A70B96D"/>
    <w:rsid w:val="2A71784D"/>
    <w:rsid w:val="2A72770D"/>
    <w:rsid w:val="2A7297F6"/>
    <w:rsid w:val="2A754D32"/>
    <w:rsid w:val="2A755B4D"/>
    <w:rsid w:val="2A75B527"/>
    <w:rsid w:val="2A75D3DA"/>
    <w:rsid w:val="2A76B35E"/>
    <w:rsid w:val="2A76FBDC"/>
    <w:rsid w:val="2A77316D"/>
    <w:rsid w:val="2A779ABA"/>
    <w:rsid w:val="2A77C968"/>
    <w:rsid w:val="2A77CFB2"/>
    <w:rsid w:val="2A7805A4"/>
    <w:rsid w:val="2A78A622"/>
    <w:rsid w:val="2A79DD90"/>
    <w:rsid w:val="2A7AFEDC"/>
    <w:rsid w:val="2A7BC626"/>
    <w:rsid w:val="2A7BF1D3"/>
    <w:rsid w:val="2A7BFE57"/>
    <w:rsid w:val="2A7C6A15"/>
    <w:rsid w:val="2A7C6DC5"/>
    <w:rsid w:val="2A7D3F63"/>
    <w:rsid w:val="2A7D4900"/>
    <w:rsid w:val="2A7E1221"/>
    <w:rsid w:val="2A7F4426"/>
    <w:rsid w:val="2A7F610E"/>
    <w:rsid w:val="2A803D0B"/>
    <w:rsid w:val="2A817532"/>
    <w:rsid w:val="2A81B779"/>
    <w:rsid w:val="2A82CEDA"/>
    <w:rsid w:val="2A83025C"/>
    <w:rsid w:val="2A841234"/>
    <w:rsid w:val="2A84A1D7"/>
    <w:rsid w:val="2A85D665"/>
    <w:rsid w:val="2A867B4D"/>
    <w:rsid w:val="2A86A50E"/>
    <w:rsid w:val="2A86D105"/>
    <w:rsid w:val="2A877B3E"/>
    <w:rsid w:val="2A880EB2"/>
    <w:rsid w:val="2A889FAC"/>
    <w:rsid w:val="2A88A1D3"/>
    <w:rsid w:val="2A88F3E5"/>
    <w:rsid w:val="2A890ADD"/>
    <w:rsid w:val="2A897DF3"/>
    <w:rsid w:val="2A8B0A36"/>
    <w:rsid w:val="2A8B5545"/>
    <w:rsid w:val="2A8C0935"/>
    <w:rsid w:val="2A8DB40B"/>
    <w:rsid w:val="2A8FEF02"/>
    <w:rsid w:val="2A906722"/>
    <w:rsid w:val="2A918050"/>
    <w:rsid w:val="2A922FEE"/>
    <w:rsid w:val="2A92F5A5"/>
    <w:rsid w:val="2A931976"/>
    <w:rsid w:val="2A932CB8"/>
    <w:rsid w:val="2A93BE43"/>
    <w:rsid w:val="2A93FAD2"/>
    <w:rsid w:val="2A940F68"/>
    <w:rsid w:val="2A941926"/>
    <w:rsid w:val="2A95907C"/>
    <w:rsid w:val="2A959780"/>
    <w:rsid w:val="2A962F4E"/>
    <w:rsid w:val="2A96A306"/>
    <w:rsid w:val="2A96B94A"/>
    <w:rsid w:val="2A9742F3"/>
    <w:rsid w:val="2A98F7DB"/>
    <w:rsid w:val="2A99A54A"/>
    <w:rsid w:val="2A99B996"/>
    <w:rsid w:val="2A9AB37F"/>
    <w:rsid w:val="2A9B8414"/>
    <w:rsid w:val="2A9C4A86"/>
    <w:rsid w:val="2A9C7584"/>
    <w:rsid w:val="2A9CFDEE"/>
    <w:rsid w:val="2A9D2255"/>
    <w:rsid w:val="2A9DAEFB"/>
    <w:rsid w:val="2A9EA674"/>
    <w:rsid w:val="2A9EAE19"/>
    <w:rsid w:val="2A9EB4CD"/>
    <w:rsid w:val="2A9F8DA0"/>
    <w:rsid w:val="2A9FCB62"/>
    <w:rsid w:val="2AA05A95"/>
    <w:rsid w:val="2AA10ABC"/>
    <w:rsid w:val="2AA17C26"/>
    <w:rsid w:val="2AA185F6"/>
    <w:rsid w:val="2AA1F53A"/>
    <w:rsid w:val="2AA363A4"/>
    <w:rsid w:val="2AA5027D"/>
    <w:rsid w:val="2AA53493"/>
    <w:rsid w:val="2AA5B693"/>
    <w:rsid w:val="2AA60070"/>
    <w:rsid w:val="2AA609B6"/>
    <w:rsid w:val="2AA60B14"/>
    <w:rsid w:val="2AA69CD2"/>
    <w:rsid w:val="2AA6F4D8"/>
    <w:rsid w:val="2AA707C3"/>
    <w:rsid w:val="2AA71F27"/>
    <w:rsid w:val="2AA72549"/>
    <w:rsid w:val="2AA75030"/>
    <w:rsid w:val="2AA76FD7"/>
    <w:rsid w:val="2AA772A4"/>
    <w:rsid w:val="2AA91479"/>
    <w:rsid w:val="2AAAC7B9"/>
    <w:rsid w:val="2AAC1044"/>
    <w:rsid w:val="2AAC1713"/>
    <w:rsid w:val="2AAD5A6C"/>
    <w:rsid w:val="2AAE4D93"/>
    <w:rsid w:val="2AAE8192"/>
    <w:rsid w:val="2AAFAADC"/>
    <w:rsid w:val="2AB268DB"/>
    <w:rsid w:val="2AB3B36F"/>
    <w:rsid w:val="2AB44E03"/>
    <w:rsid w:val="2AB4A3C4"/>
    <w:rsid w:val="2AB4ED0C"/>
    <w:rsid w:val="2AB61DDF"/>
    <w:rsid w:val="2AB66723"/>
    <w:rsid w:val="2AB78F23"/>
    <w:rsid w:val="2AB7B2BC"/>
    <w:rsid w:val="2AB819F7"/>
    <w:rsid w:val="2AB9B35F"/>
    <w:rsid w:val="2ABA018A"/>
    <w:rsid w:val="2ABA32E2"/>
    <w:rsid w:val="2ABAB2FC"/>
    <w:rsid w:val="2ABB68A3"/>
    <w:rsid w:val="2ABBDE92"/>
    <w:rsid w:val="2ABC3A8C"/>
    <w:rsid w:val="2ABE478C"/>
    <w:rsid w:val="2ABEA184"/>
    <w:rsid w:val="2ABF4678"/>
    <w:rsid w:val="2ABFFCD0"/>
    <w:rsid w:val="2AC0AF7F"/>
    <w:rsid w:val="2AC0E4AF"/>
    <w:rsid w:val="2AC1CCB3"/>
    <w:rsid w:val="2AC1F266"/>
    <w:rsid w:val="2AC21B38"/>
    <w:rsid w:val="2AC23EFC"/>
    <w:rsid w:val="2AC3EDFB"/>
    <w:rsid w:val="2AC4B93F"/>
    <w:rsid w:val="2AC56F3F"/>
    <w:rsid w:val="2AC5E4D6"/>
    <w:rsid w:val="2AC5F847"/>
    <w:rsid w:val="2AC67940"/>
    <w:rsid w:val="2AC6CBF1"/>
    <w:rsid w:val="2AC8CC80"/>
    <w:rsid w:val="2AC8D358"/>
    <w:rsid w:val="2ACBF4FA"/>
    <w:rsid w:val="2ACC3840"/>
    <w:rsid w:val="2ACE393D"/>
    <w:rsid w:val="2ACE6ADD"/>
    <w:rsid w:val="2ACE9F84"/>
    <w:rsid w:val="2ACEA4D0"/>
    <w:rsid w:val="2ACEF056"/>
    <w:rsid w:val="2ACF7F55"/>
    <w:rsid w:val="2AD004C0"/>
    <w:rsid w:val="2AD01201"/>
    <w:rsid w:val="2AD17E62"/>
    <w:rsid w:val="2AD26014"/>
    <w:rsid w:val="2AD333F0"/>
    <w:rsid w:val="2AD4BD6B"/>
    <w:rsid w:val="2AD615B7"/>
    <w:rsid w:val="2AD7716B"/>
    <w:rsid w:val="2AD7CEE1"/>
    <w:rsid w:val="2AD81594"/>
    <w:rsid w:val="2AD923BE"/>
    <w:rsid w:val="2ADA9A49"/>
    <w:rsid w:val="2ADB4409"/>
    <w:rsid w:val="2ADB5548"/>
    <w:rsid w:val="2ADBED03"/>
    <w:rsid w:val="2ADC5590"/>
    <w:rsid w:val="2ADCDDC9"/>
    <w:rsid w:val="2ADCEB08"/>
    <w:rsid w:val="2ADD2451"/>
    <w:rsid w:val="2ADE8D9A"/>
    <w:rsid w:val="2ADEB267"/>
    <w:rsid w:val="2ADF6333"/>
    <w:rsid w:val="2ADF991D"/>
    <w:rsid w:val="2AE0D1D7"/>
    <w:rsid w:val="2AE1A8D0"/>
    <w:rsid w:val="2AE25308"/>
    <w:rsid w:val="2AE2C516"/>
    <w:rsid w:val="2AE34F78"/>
    <w:rsid w:val="2AE3E276"/>
    <w:rsid w:val="2AE45787"/>
    <w:rsid w:val="2AE45C86"/>
    <w:rsid w:val="2AE46157"/>
    <w:rsid w:val="2AE4680B"/>
    <w:rsid w:val="2AE5A6D1"/>
    <w:rsid w:val="2AE5B1B1"/>
    <w:rsid w:val="2AE5DAF6"/>
    <w:rsid w:val="2AE6749F"/>
    <w:rsid w:val="2AE74CD6"/>
    <w:rsid w:val="2AE7B75A"/>
    <w:rsid w:val="2AE81872"/>
    <w:rsid w:val="2AE8411B"/>
    <w:rsid w:val="2AE8FDAF"/>
    <w:rsid w:val="2AE935BE"/>
    <w:rsid w:val="2AEA7C19"/>
    <w:rsid w:val="2AEAEE91"/>
    <w:rsid w:val="2AEB4C2A"/>
    <w:rsid w:val="2AEBC822"/>
    <w:rsid w:val="2AECD277"/>
    <w:rsid w:val="2AED1DE6"/>
    <w:rsid w:val="2AED1F88"/>
    <w:rsid w:val="2AEDC436"/>
    <w:rsid w:val="2AEDE3CC"/>
    <w:rsid w:val="2AEE3126"/>
    <w:rsid w:val="2AEE5998"/>
    <w:rsid w:val="2AEEF979"/>
    <w:rsid w:val="2AEF4F9F"/>
    <w:rsid w:val="2AEFC73A"/>
    <w:rsid w:val="2AF100AB"/>
    <w:rsid w:val="2AF17FFA"/>
    <w:rsid w:val="2AF1CDAA"/>
    <w:rsid w:val="2AF2FE1B"/>
    <w:rsid w:val="2AF35A86"/>
    <w:rsid w:val="2AF37B0A"/>
    <w:rsid w:val="2AF49B3E"/>
    <w:rsid w:val="2AF4CA4D"/>
    <w:rsid w:val="2AF567B9"/>
    <w:rsid w:val="2AF5A5C1"/>
    <w:rsid w:val="2AF78A5D"/>
    <w:rsid w:val="2AF80E54"/>
    <w:rsid w:val="2AF8BC0B"/>
    <w:rsid w:val="2AF8E6F9"/>
    <w:rsid w:val="2AF8EA9A"/>
    <w:rsid w:val="2AFB6281"/>
    <w:rsid w:val="2AFB6F75"/>
    <w:rsid w:val="2AFB8CEF"/>
    <w:rsid w:val="2AFBCF63"/>
    <w:rsid w:val="2AFBFF54"/>
    <w:rsid w:val="2AFED3CA"/>
    <w:rsid w:val="2AFEE5BD"/>
    <w:rsid w:val="2AFF1BF8"/>
    <w:rsid w:val="2B00B647"/>
    <w:rsid w:val="2B00BBAD"/>
    <w:rsid w:val="2B014E43"/>
    <w:rsid w:val="2B01B599"/>
    <w:rsid w:val="2B027611"/>
    <w:rsid w:val="2B066872"/>
    <w:rsid w:val="2B07F0D1"/>
    <w:rsid w:val="2B08278B"/>
    <w:rsid w:val="2B08B0E7"/>
    <w:rsid w:val="2B08C54F"/>
    <w:rsid w:val="2B099E93"/>
    <w:rsid w:val="2B09B94A"/>
    <w:rsid w:val="2B09D1DB"/>
    <w:rsid w:val="2B0ACE32"/>
    <w:rsid w:val="2B0B2C59"/>
    <w:rsid w:val="2B0B459E"/>
    <w:rsid w:val="2B0CB699"/>
    <w:rsid w:val="2B0D4567"/>
    <w:rsid w:val="2B106592"/>
    <w:rsid w:val="2B10855A"/>
    <w:rsid w:val="2B109FC7"/>
    <w:rsid w:val="2B10EE75"/>
    <w:rsid w:val="2B11B4CD"/>
    <w:rsid w:val="2B12BF6F"/>
    <w:rsid w:val="2B12CC25"/>
    <w:rsid w:val="2B1327B2"/>
    <w:rsid w:val="2B147B6E"/>
    <w:rsid w:val="2B14D529"/>
    <w:rsid w:val="2B162AA9"/>
    <w:rsid w:val="2B1676D6"/>
    <w:rsid w:val="2B16ECA1"/>
    <w:rsid w:val="2B170EED"/>
    <w:rsid w:val="2B184D9E"/>
    <w:rsid w:val="2B1859C1"/>
    <w:rsid w:val="2B185B79"/>
    <w:rsid w:val="2B186720"/>
    <w:rsid w:val="2B18F9BC"/>
    <w:rsid w:val="2B19BE57"/>
    <w:rsid w:val="2B19DCE2"/>
    <w:rsid w:val="2B1A37D9"/>
    <w:rsid w:val="2B1AA806"/>
    <w:rsid w:val="2B1ADBED"/>
    <w:rsid w:val="2B1B0059"/>
    <w:rsid w:val="2B1B4EB1"/>
    <w:rsid w:val="2B1B7C43"/>
    <w:rsid w:val="2B1CF304"/>
    <w:rsid w:val="2B1CFAA1"/>
    <w:rsid w:val="2B1E353B"/>
    <w:rsid w:val="2B1E5F27"/>
    <w:rsid w:val="2B1EDD2F"/>
    <w:rsid w:val="2B1EEE5C"/>
    <w:rsid w:val="2B1F4402"/>
    <w:rsid w:val="2B1F6DE4"/>
    <w:rsid w:val="2B200540"/>
    <w:rsid w:val="2B201C76"/>
    <w:rsid w:val="2B205CF6"/>
    <w:rsid w:val="2B2081A6"/>
    <w:rsid w:val="2B20E81B"/>
    <w:rsid w:val="2B20F84D"/>
    <w:rsid w:val="2B21FF21"/>
    <w:rsid w:val="2B21FF6C"/>
    <w:rsid w:val="2B223F09"/>
    <w:rsid w:val="2B2240C9"/>
    <w:rsid w:val="2B2490DD"/>
    <w:rsid w:val="2B260CD7"/>
    <w:rsid w:val="2B2622CF"/>
    <w:rsid w:val="2B26E511"/>
    <w:rsid w:val="2B27CC13"/>
    <w:rsid w:val="2B28E365"/>
    <w:rsid w:val="2B28E6EB"/>
    <w:rsid w:val="2B293CC4"/>
    <w:rsid w:val="2B29C725"/>
    <w:rsid w:val="2B2A28BD"/>
    <w:rsid w:val="2B2A72E5"/>
    <w:rsid w:val="2B2A759D"/>
    <w:rsid w:val="2B2AF6C3"/>
    <w:rsid w:val="2B2BE14D"/>
    <w:rsid w:val="2B2EA72E"/>
    <w:rsid w:val="2B2FCC23"/>
    <w:rsid w:val="2B2FDB37"/>
    <w:rsid w:val="2B306E6C"/>
    <w:rsid w:val="2B3147DD"/>
    <w:rsid w:val="2B32764C"/>
    <w:rsid w:val="2B3298D4"/>
    <w:rsid w:val="2B333F6E"/>
    <w:rsid w:val="2B340E85"/>
    <w:rsid w:val="2B342D03"/>
    <w:rsid w:val="2B3455BC"/>
    <w:rsid w:val="2B3482D8"/>
    <w:rsid w:val="2B34F7BE"/>
    <w:rsid w:val="2B34FDF7"/>
    <w:rsid w:val="2B35FAB6"/>
    <w:rsid w:val="2B35FD2A"/>
    <w:rsid w:val="2B36A6A5"/>
    <w:rsid w:val="2B36B255"/>
    <w:rsid w:val="2B389A46"/>
    <w:rsid w:val="2B3919AA"/>
    <w:rsid w:val="2B397FDB"/>
    <w:rsid w:val="2B3A0514"/>
    <w:rsid w:val="2B3A5128"/>
    <w:rsid w:val="2B3C1D03"/>
    <w:rsid w:val="2B3C4953"/>
    <w:rsid w:val="2B3C532E"/>
    <w:rsid w:val="2B3DC85B"/>
    <w:rsid w:val="2B3E814E"/>
    <w:rsid w:val="2B3E87BF"/>
    <w:rsid w:val="2B3EF7F7"/>
    <w:rsid w:val="2B3F76C3"/>
    <w:rsid w:val="2B3FA440"/>
    <w:rsid w:val="2B3FD784"/>
    <w:rsid w:val="2B406BBA"/>
    <w:rsid w:val="2B40BFAA"/>
    <w:rsid w:val="2B41748A"/>
    <w:rsid w:val="2B4384B8"/>
    <w:rsid w:val="2B43AE19"/>
    <w:rsid w:val="2B43DCFD"/>
    <w:rsid w:val="2B43EBA3"/>
    <w:rsid w:val="2B4480EE"/>
    <w:rsid w:val="2B44C140"/>
    <w:rsid w:val="2B44E758"/>
    <w:rsid w:val="2B44EDEA"/>
    <w:rsid w:val="2B4706BD"/>
    <w:rsid w:val="2B471CD3"/>
    <w:rsid w:val="2B47565F"/>
    <w:rsid w:val="2B47865F"/>
    <w:rsid w:val="2B489693"/>
    <w:rsid w:val="2B48D5E3"/>
    <w:rsid w:val="2B4B4FBE"/>
    <w:rsid w:val="2B4C6FD9"/>
    <w:rsid w:val="2B4D0DA3"/>
    <w:rsid w:val="2B4D13E2"/>
    <w:rsid w:val="2B4D2658"/>
    <w:rsid w:val="2B4DC900"/>
    <w:rsid w:val="2B4E450E"/>
    <w:rsid w:val="2B4F2B77"/>
    <w:rsid w:val="2B4F98FB"/>
    <w:rsid w:val="2B4FD3A7"/>
    <w:rsid w:val="2B4FF533"/>
    <w:rsid w:val="2B51CF88"/>
    <w:rsid w:val="2B521E66"/>
    <w:rsid w:val="2B5225EF"/>
    <w:rsid w:val="2B523648"/>
    <w:rsid w:val="2B523B29"/>
    <w:rsid w:val="2B5301CC"/>
    <w:rsid w:val="2B533202"/>
    <w:rsid w:val="2B536135"/>
    <w:rsid w:val="2B53D95E"/>
    <w:rsid w:val="2B5494DA"/>
    <w:rsid w:val="2B550614"/>
    <w:rsid w:val="2B5579F7"/>
    <w:rsid w:val="2B5642A5"/>
    <w:rsid w:val="2B581C9C"/>
    <w:rsid w:val="2B58BD73"/>
    <w:rsid w:val="2B5B640A"/>
    <w:rsid w:val="2B5BBB4A"/>
    <w:rsid w:val="2B5C3519"/>
    <w:rsid w:val="2B5D8370"/>
    <w:rsid w:val="2B5D8A79"/>
    <w:rsid w:val="2B5DA9CF"/>
    <w:rsid w:val="2B5E6EA3"/>
    <w:rsid w:val="2B5FE353"/>
    <w:rsid w:val="2B6018FE"/>
    <w:rsid w:val="2B604A57"/>
    <w:rsid w:val="2B60519B"/>
    <w:rsid w:val="2B615D56"/>
    <w:rsid w:val="2B618522"/>
    <w:rsid w:val="2B620BB7"/>
    <w:rsid w:val="2B62782C"/>
    <w:rsid w:val="2B62C594"/>
    <w:rsid w:val="2B63DB01"/>
    <w:rsid w:val="2B643C98"/>
    <w:rsid w:val="2B658739"/>
    <w:rsid w:val="2B6636A7"/>
    <w:rsid w:val="2B6672F8"/>
    <w:rsid w:val="2B67128E"/>
    <w:rsid w:val="2B676B5C"/>
    <w:rsid w:val="2B6773D6"/>
    <w:rsid w:val="2B6782EA"/>
    <w:rsid w:val="2B693EDD"/>
    <w:rsid w:val="2B694D1E"/>
    <w:rsid w:val="2B69CDE6"/>
    <w:rsid w:val="2B69ED4A"/>
    <w:rsid w:val="2B6A38FC"/>
    <w:rsid w:val="2B6A737E"/>
    <w:rsid w:val="2B6ACB8A"/>
    <w:rsid w:val="2B6CFF41"/>
    <w:rsid w:val="2B6DF2C0"/>
    <w:rsid w:val="2B6E8037"/>
    <w:rsid w:val="2B6EACA2"/>
    <w:rsid w:val="2B6F17B7"/>
    <w:rsid w:val="2B6FA511"/>
    <w:rsid w:val="2B70421E"/>
    <w:rsid w:val="2B71D88C"/>
    <w:rsid w:val="2B72E690"/>
    <w:rsid w:val="2B74AE86"/>
    <w:rsid w:val="2B7544E2"/>
    <w:rsid w:val="2B75CDB0"/>
    <w:rsid w:val="2B75F7A0"/>
    <w:rsid w:val="2B7694BE"/>
    <w:rsid w:val="2B7965E4"/>
    <w:rsid w:val="2B7ABD64"/>
    <w:rsid w:val="2B7BE606"/>
    <w:rsid w:val="2B7C977F"/>
    <w:rsid w:val="2B7D4D07"/>
    <w:rsid w:val="2B7D566F"/>
    <w:rsid w:val="2B7EBC44"/>
    <w:rsid w:val="2B7F2DC6"/>
    <w:rsid w:val="2B804D9E"/>
    <w:rsid w:val="2B80AECD"/>
    <w:rsid w:val="2B818238"/>
    <w:rsid w:val="2B81D3C6"/>
    <w:rsid w:val="2B8218A1"/>
    <w:rsid w:val="2B8257B3"/>
    <w:rsid w:val="2B83B1C2"/>
    <w:rsid w:val="2B83B370"/>
    <w:rsid w:val="2B83C21A"/>
    <w:rsid w:val="2B845681"/>
    <w:rsid w:val="2B8482B8"/>
    <w:rsid w:val="2B84DBE1"/>
    <w:rsid w:val="2B8537E3"/>
    <w:rsid w:val="2B8577E7"/>
    <w:rsid w:val="2B860158"/>
    <w:rsid w:val="2B87C4A8"/>
    <w:rsid w:val="2B889E29"/>
    <w:rsid w:val="2B897072"/>
    <w:rsid w:val="2B8A2FE6"/>
    <w:rsid w:val="2B8AA042"/>
    <w:rsid w:val="2B8B2D9A"/>
    <w:rsid w:val="2B8C8CB4"/>
    <w:rsid w:val="2B8CFB06"/>
    <w:rsid w:val="2B8D08FE"/>
    <w:rsid w:val="2B8D0BAC"/>
    <w:rsid w:val="2B8D9421"/>
    <w:rsid w:val="2B8D9535"/>
    <w:rsid w:val="2B8DFA87"/>
    <w:rsid w:val="2B8E6417"/>
    <w:rsid w:val="2B8EAABC"/>
    <w:rsid w:val="2B8F05B2"/>
    <w:rsid w:val="2B8F2535"/>
    <w:rsid w:val="2B90C39B"/>
    <w:rsid w:val="2B91723A"/>
    <w:rsid w:val="2B918049"/>
    <w:rsid w:val="2B918415"/>
    <w:rsid w:val="2B9198E4"/>
    <w:rsid w:val="2B9312C1"/>
    <w:rsid w:val="2B93D5FE"/>
    <w:rsid w:val="2B940A30"/>
    <w:rsid w:val="2B945BFB"/>
    <w:rsid w:val="2B94B50F"/>
    <w:rsid w:val="2B94B63F"/>
    <w:rsid w:val="2B96F956"/>
    <w:rsid w:val="2B978C64"/>
    <w:rsid w:val="2B9941A1"/>
    <w:rsid w:val="2B9992A2"/>
    <w:rsid w:val="2B9C0E64"/>
    <w:rsid w:val="2B9C923E"/>
    <w:rsid w:val="2B9CD98A"/>
    <w:rsid w:val="2B9CDFDA"/>
    <w:rsid w:val="2B9D0C16"/>
    <w:rsid w:val="2B9D0D3E"/>
    <w:rsid w:val="2B9D644A"/>
    <w:rsid w:val="2B9D6536"/>
    <w:rsid w:val="2B9D744F"/>
    <w:rsid w:val="2B9DD1E7"/>
    <w:rsid w:val="2B9EC2E6"/>
    <w:rsid w:val="2B9EEE5D"/>
    <w:rsid w:val="2B9F317A"/>
    <w:rsid w:val="2B9FB740"/>
    <w:rsid w:val="2B9FFA3B"/>
    <w:rsid w:val="2BA06038"/>
    <w:rsid w:val="2BA0947B"/>
    <w:rsid w:val="2BA1F34C"/>
    <w:rsid w:val="2BA1F6F8"/>
    <w:rsid w:val="2BA2B324"/>
    <w:rsid w:val="2BA3EAE8"/>
    <w:rsid w:val="2BA46361"/>
    <w:rsid w:val="2BA4CCAC"/>
    <w:rsid w:val="2BA5207E"/>
    <w:rsid w:val="2BA5291C"/>
    <w:rsid w:val="2BA585A1"/>
    <w:rsid w:val="2BA79A31"/>
    <w:rsid w:val="2BA79A72"/>
    <w:rsid w:val="2BA7DB95"/>
    <w:rsid w:val="2BA97285"/>
    <w:rsid w:val="2BA9C07D"/>
    <w:rsid w:val="2BA9C4D6"/>
    <w:rsid w:val="2BA9FE7B"/>
    <w:rsid w:val="2BAAFFAE"/>
    <w:rsid w:val="2BAB09A5"/>
    <w:rsid w:val="2BAB2DAF"/>
    <w:rsid w:val="2BABBB66"/>
    <w:rsid w:val="2BAC266C"/>
    <w:rsid w:val="2BAC3349"/>
    <w:rsid w:val="2BAC6D19"/>
    <w:rsid w:val="2BACDA12"/>
    <w:rsid w:val="2BADAF67"/>
    <w:rsid w:val="2BAE342E"/>
    <w:rsid w:val="2BAE4EC0"/>
    <w:rsid w:val="2BAFA20B"/>
    <w:rsid w:val="2BAFD329"/>
    <w:rsid w:val="2BAFE7C9"/>
    <w:rsid w:val="2BB019B3"/>
    <w:rsid w:val="2BB078C7"/>
    <w:rsid w:val="2BB0C332"/>
    <w:rsid w:val="2BB11666"/>
    <w:rsid w:val="2BB147AD"/>
    <w:rsid w:val="2BB14C4E"/>
    <w:rsid w:val="2BB23CF5"/>
    <w:rsid w:val="2BB262F8"/>
    <w:rsid w:val="2BB2A6DE"/>
    <w:rsid w:val="2BB36297"/>
    <w:rsid w:val="2BB39C98"/>
    <w:rsid w:val="2BB3BDCD"/>
    <w:rsid w:val="2BB40BCE"/>
    <w:rsid w:val="2BB45DC3"/>
    <w:rsid w:val="2BB4ADDB"/>
    <w:rsid w:val="2BB51773"/>
    <w:rsid w:val="2BB649ED"/>
    <w:rsid w:val="2BB6E389"/>
    <w:rsid w:val="2BB73E74"/>
    <w:rsid w:val="2BB7C4EF"/>
    <w:rsid w:val="2BB8AF27"/>
    <w:rsid w:val="2BB9471A"/>
    <w:rsid w:val="2BB9A168"/>
    <w:rsid w:val="2BB9CEAB"/>
    <w:rsid w:val="2BB9D0DD"/>
    <w:rsid w:val="2BBB458B"/>
    <w:rsid w:val="2BBBE461"/>
    <w:rsid w:val="2BBC11E9"/>
    <w:rsid w:val="2BBC24D4"/>
    <w:rsid w:val="2BBC5E7D"/>
    <w:rsid w:val="2BBC77BE"/>
    <w:rsid w:val="2BBD3266"/>
    <w:rsid w:val="2BBE30D9"/>
    <w:rsid w:val="2BC02DED"/>
    <w:rsid w:val="2BC04EE2"/>
    <w:rsid w:val="2BC098E9"/>
    <w:rsid w:val="2BC0FCDC"/>
    <w:rsid w:val="2BC0FE67"/>
    <w:rsid w:val="2BC1B13D"/>
    <w:rsid w:val="2BC2175C"/>
    <w:rsid w:val="2BC2944D"/>
    <w:rsid w:val="2BC2BE65"/>
    <w:rsid w:val="2BC35B04"/>
    <w:rsid w:val="2BC3B674"/>
    <w:rsid w:val="2BC3C825"/>
    <w:rsid w:val="2BC3FCA0"/>
    <w:rsid w:val="2BC40A4C"/>
    <w:rsid w:val="2BC53495"/>
    <w:rsid w:val="2BC5D2A5"/>
    <w:rsid w:val="2BC64895"/>
    <w:rsid w:val="2BC70591"/>
    <w:rsid w:val="2BC76094"/>
    <w:rsid w:val="2BC7E46C"/>
    <w:rsid w:val="2BC9387F"/>
    <w:rsid w:val="2BCA40A1"/>
    <w:rsid w:val="2BCBA826"/>
    <w:rsid w:val="2BCE8AC7"/>
    <w:rsid w:val="2BCEBAF1"/>
    <w:rsid w:val="2BCEF146"/>
    <w:rsid w:val="2BD27E0A"/>
    <w:rsid w:val="2BD320B6"/>
    <w:rsid w:val="2BD36F46"/>
    <w:rsid w:val="2BD4C377"/>
    <w:rsid w:val="2BD5AAC8"/>
    <w:rsid w:val="2BD6C8D3"/>
    <w:rsid w:val="2BD766F4"/>
    <w:rsid w:val="2BD7C876"/>
    <w:rsid w:val="2BD7E6E3"/>
    <w:rsid w:val="2BD86314"/>
    <w:rsid w:val="2BD89A1C"/>
    <w:rsid w:val="2BD95098"/>
    <w:rsid w:val="2BD9838F"/>
    <w:rsid w:val="2BDA971F"/>
    <w:rsid w:val="2BDB1671"/>
    <w:rsid w:val="2BDCF87C"/>
    <w:rsid w:val="2BDD159D"/>
    <w:rsid w:val="2BDE3D4B"/>
    <w:rsid w:val="2BDE971C"/>
    <w:rsid w:val="2BDEE526"/>
    <w:rsid w:val="2BDF08F4"/>
    <w:rsid w:val="2BDF5F45"/>
    <w:rsid w:val="2BDF708C"/>
    <w:rsid w:val="2BDFA572"/>
    <w:rsid w:val="2BDFF48A"/>
    <w:rsid w:val="2BE07227"/>
    <w:rsid w:val="2BE103F3"/>
    <w:rsid w:val="2BE22B7E"/>
    <w:rsid w:val="2BE286ED"/>
    <w:rsid w:val="2BE3354D"/>
    <w:rsid w:val="2BE3835A"/>
    <w:rsid w:val="2BE47C7E"/>
    <w:rsid w:val="2BE4C060"/>
    <w:rsid w:val="2BE57415"/>
    <w:rsid w:val="2BE61D27"/>
    <w:rsid w:val="2BE69D07"/>
    <w:rsid w:val="2BE80FA2"/>
    <w:rsid w:val="2BE8E91D"/>
    <w:rsid w:val="2BE9E665"/>
    <w:rsid w:val="2BEA281D"/>
    <w:rsid w:val="2BEB21D8"/>
    <w:rsid w:val="2BEB483F"/>
    <w:rsid w:val="2BEBA1CE"/>
    <w:rsid w:val="2BEC07F3"/>
    <w:rsid w:val="2BEC4E06"/>
    <w:rsid w:val="2BECA3EA"/>
    <w:rsid w:val="2BECBB06"/>
    <w:rsid w:val="2BED0A4F"/>
    <w:rsid w:val="2BEDAA03"/>
    <w:rsid w:val="2BEE0592"/>
    <w:rsid w:val="2BEE3279"/>
    <w:rsid w:val="2BEF7013"/>
    <w:rsid w:val="2BF23B5A"/>
    <w:rsid w:val="2BF2657C"/>
    <w:rsid w:val="2BF2B9BB"/>
    <w:rsid w:val="2BF2DD20"/>
    <w:rsid w:val="2BF467CB"/>
    <w:rsid w:val="2BF4DBE6"/>
    <w:rsid w:val="2BF5A16F"/>
    <w:rsid w:val="2BF615EC"/>
    <w:rsid w:val="2BF65537"/>
    <w:rsid w:val="2BF6B5AB"/>
    <w:rsid w:val="2BF7A6A7"/>
    <w:rsid w:val="2BF7B11D"/>
    <w:rsid w:val="2BF7D07C"/>
    <w:rsid w:val="2BF86EBE"/>
    <w:rsid w:val="2BFABCC6"/>
    <w:rsid w:val="2BFB1124"/>
    <w:rsid w:val="2BFCCE8A"/>
    <w:rsid w:val="2BFCEBAC"/>
    <w:rsid w:val="2BFD05DD"/>
    <w:rsid w:val="2BFD1D8A"/>
    <w:rsid w:val="2BFD5235"/>
    <w:rsid w:val="2BFDBC0F"/>
    <w:rsid w:val="2BFEE85E"/>
    <w:rsid w:val="2BFF126D"/>
    <w:rsid w:val="2BFF3F1A"/>
    <w:rsid w:val="2BFFF5CA"/>
    <w:rsid w:val="2C01307B"/>
    <w:rsid w:val="2C019378"/>
    <w:rsid w:val="2C01EAA2"/>
    <w:rsid w:val="2C0208C2"/>
    <w:rsid w:val="2C022ED5"/>
    <w:rsid w:val="2C02839F"/>
    <w:rsid w:val="2C02DD16"/>
    <w:rsid w:val="2C02E63F"/>
    <w:rsid w:val="2C03B0D2"/>
    <w:rsid w:val="2C04923E"/>
    <w:rsid w:val="2C05A3D1"/>
    <w:rsid w:val="2C05CB8F"/>
    <w:rsid w:val="2C062797"/>
    <w:rsid w:val="2C064EF1"/>
    <w:rsid w:val="2C06B14B"/>
    <w:rsid w:val="2C06F3D7"/>
    <w:rsid w:val="2C0705B1"/>
    <w:rsid w:val="2C07D83C"/>
    <w:rsid w:val="2C082D9C"/>
    <w:rsid w:val="2C084F5C"/>
    <w:rsid w:val="2C0881EC"/>
    <w:rsid w:val="2C08ED36"/>
    <w:rsid w:val="2C09CFE3"/>
    <w:rsid w:val="2C0A0D03"/>
    <w:rsid w:val="2C0A4A6C"/>
    <w:rsid w:val="2C0A6350"/>
    <w:rsid w:val="2C0A7968"/>
    <w:rsid w:val="2C0AB7F3"/>
    <w:rsid w:val="2C0B0852"/>
    <w:rsid w:val="2C0BB517"/>
    <w:rsid w:val="2C0BD94A"/>
    <w:rsid w:val="2C0C69BF"/>
    <w:rsid w:val="2C0D2C94"/>
    <w:rsid w:val="2C0DBC00"/>
    <w:rsid w:val="2C0E3183"/>
    <w:rsid w:val="2C0EAD65"/>
    <w:rsid w:val="2C0FEBAF"/>
    <w:rsid w:val="2C12BA1F"/>
    <w:rsid w:val="2C12C4D6"/>
    <w:rsid w:val="2C132893"/>
    <w:rsid w:val="2C135B0C"/>
    <w:rsid w:val="2C13C3D3"/>
    <w:rsid w:val="2C13FD9F"/>
    <w:rsid w:val="2C143B48"/>
    <w:rsid w:val="2C147980"/>
    <w:rsid w:val="2C1769CF"/>
    <w:rsid w:val="2C1971FE"/>
    <w:rsid w:val="2C1993A4"/>
    <w:rsid w:val="2C199B3B"/>
    <w:rsid w:val="2C1A3619"/>
    <w:rsid w:val="2C1A4EFD"/>
    <w:rsid w:val="2C1A4FB3"/>
    <w:rsid w:val="2C1C21C6"/>
    <w:rsid w:val="2C1CEE63"/>
    <w:rsid w:val="2C1D4582"/>
    <w:rsid w:val="2C1DB8D2"/>
    <w:rsid w:val="2C1E072A"/>
    <w:rsid w:val="2C1E18EB"/>
    <w:rsid w:val="2C1ECD25"/>
    <w:rsid w:val="2C1FA4CB"/>
    <w:rsid w:val="2C1FB6C9"/>
    <w:rsid w:val="2C1FD3AB"/>
    <w:rsid w:val="2C20F9DF"/>
    <w:rsid w:val="2C214F4F"/>
    <w:rsid w:val="2C218011"/>
    <w:rsid w:val="2C23135A"/>
    <w:rsid w:val="2C2364D7"/>
    <w:rsid w:val="2C23BC20"/>
    <w:rsid w:val="2C249074"/>
    <w:rsid w:val="2C2535BB"/>
    <w:rsid w:val="2C26286B"/>
    <w:rsid w:val="2C265B0A"/>
    <w:rsid w:val="2C26F350"/>
    <w:rsid w:val="2C281F7A"/>
    <w:rsid w:val="2C28CD24"/>
    <w:rsid w:val="2C29ED8D"/>
    <w:rsid w:val="2C2A4488"/>
    <w:rsid w:val="2C2A8D3D"/>
    <w:rsid w:val="2C2B3D1A"/>
    <w:rsid w:val="2C2BE544"/>
    <w:rsid w:val="2C2C8435"/>
    <w:rsid w:val="2C2CCE78"/>
    <w:rsid w:val="2C2D5AE6"/>
    <w:rsid w:val="2C2DBD76"/>
    <w:rsid w:val="2C2E5001"/>
    <w:rsid w:val="2C2FBBC6"/>
    <w:rsid w:val="2C302439"/>
    <w:rsid w:val="2C305E16"/>
    <w:rsid w:val="2C316B75"/>
    <w:rsid w:val="2C316FCB"/>
    <w:rsid w:val="2C341FB5"/>
    <w:rsid w:val="2C34ADA7"/>
    <w:rsid w:val="2C363B16"/>
    <w:rsid w:val="2C37C52B"/>
    <w:rsid w:val="2C387D58"/>
    <w:rsid w:val="2C389FA9"/>
    <w:rsid w:val="2C38E40B"/>
    <w:rsid w:val="2C38EE43"/>
    <w:rsid w:val="2C3976B3"/>
    <w:rsid w:val="2C3A820F"/>
    <w:rsid w:val="2C3B66DB"/>
    <w:rsid w:val="2C3CE179"/>
    <w:rsid w:val="2C3D8E27"/>
    <w:rsid w:val="2C3DAB14"/>
    <w:rsid w:val="2C3F2AEB"/>
    <w:rsid w:val="2C3FDF46"/>
    <w:rsid w:val="2C401203"/>
    <w:rsid w:val="2C411111"/>
    <w:rsid w:val="2C421F36"/>
    <w:rsid w:val="2C42AD71"/>
    <w:rsid w:val="2C4311D5"/>
    <w:rsid w:val="2C4338D1"/>
    <w:rsid w:val="2C43ABE3"/>
    <w:rsid w:val="2C43C83C"/>
    <w:rsid w:val="2C44D9AE"/>
    <w:rsid w:val="2C450B86"/>
    <w:rsid w:val="2C46E20A"/>
    <w:rsid w:val="2C479916"/>
    <w:rsid w:val="2C47CB96"/>
    <w:rsid w:val="2C483F10"/>
    <w:rsid w:val="2C496397"/>
    <w:rsid w:val="2C49F054"/>
    <w:rsid w:val="2C4A17F4"/>
    <w:rsid w:val="2C4A8556"/>
    <w:rsid w:val="2C4B74E0"/>
    <w:rsid w:val="2C4B7BDE"/>
    <w:rsid w:val="2C4BE597"/>
    <w:rsid w:val="2C4C8E27"/>
    <w:rsid w:val="2C4C9C78"/>
    <w:rsid w:val="2C4CB755"/>
    <w:rsid w:val="2C4D5F04"/>
    <w:rsid w:val="2C4DEE4B"/>
    <w:rsid w:val="2C4F2881"/>
    <w:rsid w:val="2C4F6F8A"/>
    <w:rsid w:val="2C4FE183"/>
    <w:rsid w:val="2C4FEB25"/>
    <w:rsid w:val="2C500E2A"/>
    <w:rsid w:val="2C50219D"/>
    <w:rsid w:val="2C508235"/>
    <w:rsid w:val="2C50D86B"/>
    <w:rsid w:val="2C5282CE"/>
    <w:rsid w:val="2C5353A6"/>
    <w:rsid w:val="2C53821A"/>
    <w:rsid w:val="2C546E23"/>
    <w:rsid w:val="2C5496F8"/>
    <w:rsid w:val="2C54D553"/>
    <w:rsid w:val="2C559910"/>
    <w:rsid w:val="2C55A80A"/>
    <w:rsid w:val="2C55C209"/>
    <w:rsid w:val="2C56FC76"/>
    <w:rsid w:val="2C58ABA7"/>
    <w:rsid w:val="2C58E4A1"/>
    <w:rsid w:val="2C59385C"/>
    <w:rsid w:val="2C5A1858"/>
    <w:rsid w:val="2C5A6C64"/>
    <w:rsid w:val="2C5A7ADE"/>
    <w:rsid w:val="2C5AFA60"/>
    <w:rsid w:val="2C5B177B"/>
    <w:rsid w:val="2C5B6353"/>
    <w:rsid w:val="2C5B9678"/>
    <w:rsid w:val="2C5BAAEE"/>
    <w:rsid w:val="2C5CC407"/>
    <w:rsid w:val="2C5CC40B"/>
    <w:rsid w:val="2C5CF36E"/>
    <w:rsid w:val="2C607C91"/>
    <w:rsid w:val="2C60B4E6"/>
    <w:rsid w:val="2C610DE0"/>
    <w:rsid w:val="2C61335E"/>
    <w:rsid w:val="2C614E6D"/>
    <w:rsid w:val="2C61D154"/>
    <w:rsid w:val="2C624B22"/>
    <w:rsid w:val="2C62D216"/>
    <w:rsid w:val="2C630F52"/>
    <w:rsid w:val="2C63C08C"/>
    <w:rsid w:val="2C645A8C"/>
    <w:rsid w:val="2C64699B"/>
    <w:rsid w:val="2C6566C1"/>
    <w:rsid w:val="2C658104"/>
    <w:rsid w:val="2C65E115"/>
    <w:rsid w:val="2C66CA4F"/>
    <w:rsid w:val="2C6714A7"/>
    <w:rsid w:val="2C6715D6"/>
    <w:rsid w:val="2C67254D"/>
    <w:rsid w:val="2C6895DF"/>
    <w:rsid w:val="2C6907D8"/>
    <w:rsid w:val="2C692515"/>
    <w:rsid w:val="2C6A7511"/>
    <w:rsid w:val="2C6AFCBA"/>
    <w:rsid w:val="2C6B331E"/>
    <w:rsid w:val="2C6CF582"/>
    <w:rsid w:val="2C6D0FBB"/>
    <w:rsid w:val="2C6D4020"/>
    <w:rsid w:val="2C6D60D7"/>
    <w:rsid w:val="2C6E56BD"/>
    <w:rsid w:val="2C6ECC28"/>
    <w:rsid w:val="2C7127C0"/>
    <w:rsid w:val="2C7148B9"/>
    <w:rsid w:val="2C71BDF7"/>
    <w:rsid w:val="2C71FEE0"/>
    <w:rsid w:val="2C7286AB"/>
    <w:rsid w:val="2C7294FD"/>
    <w:rsid w:val="2C736A33"/>
    <w:rsid w:val="2C73B932"/>
    <w:rsid w:val="2C74ABEF"/>
    <w:rsid w:val="2C74E65A"/>
    <w:rsid w:val="2C750CE8"/>
    <w:rsid w:val="2C75206E"/>
    <w:rsid w:val="2C759B9B"/>
    <w:rsid w:val="2C766523"/>
    <w:rsid w:val="2C77EBD6"/>
    <w:rsid w:val="2C786BA1"/>
    <w:rsid w:val="2C78CD93"/>
    <w:rsid w:val="2C79B263"/>
    <w:rsid w:val="2C79CBAF"/>
    <w:rsid w:val="2C7A5878"/>
    <w:rsid w:val="2C7B391B"/>
    <w:rsid w:val="2C7B3A5F"/>
    <w:rsid w:val="2C7B861F"/>
    <w:rsid w:val="2C7BE0E3"/>
    <w:rsid w:val="2C7C1BCB"/>
    <w:rsid w:val="2C7CB4B0"/>
    <w:rsid w:val="2C7CB66A"/>
    <w:rsid w:val="2C7CD87A"/>
    <w:rsid w:val="2C7D1801"/>
    <w:rsid w:val="2C7D5E53"/>
    <w:rsid w:val="2C7E2BB8"/>
    <w:rsid w:val="2C7E49FF"/>
    <w:rsid w:val="2C7EF387"/>
    <w:rsid w:val="2C7EFAEC"/>
    <w:rsid w:val="2C7F1558"/>
    <w:rsid w:val="2C7FC0AA"/>
    <w:rsid w:val="2C7FD3DF"/>
    <w:rsid w:val="2C80A9E8"/>
    <w:rsid w:val="2C8175EF"/>
    <w:rsid w:val="2C818DAB"/>
    <w:rsid w:val="2C820974"/>
    <w:rsid w:val="2C823892"/>
    <w:rsid w:val="2C825BA4"/>
    <w:rsid w:val="2C827CB5"/>
    <w:rsid w:val="2C829225"/>
    <w:rsid w:val="2C837593"/>
    <w:rsid w:val="2C83F091"/>
    <w:rsid w:val="2C83F0E6"/>
    <w:rsid w:val="2C84D704"/>
    <w:rsid w:val="2C850B6A"/>
    <w:rsid w:val="2C854CDA"/>
    <w:rsid w:val="2C8650DE"/>
    <w:rsid w:val="2C876464"/>
    <w:rsid w:val="2C87797D"/>
    <w:rsid w:val="2C87822B"/>
    <w:rsid w:val="2C887375"/>
    <w:rsid w:val="2C896039"/>
    <w:rsid w:val="2C8A60F5"/>
    <w:rsid w:val="2C8A773C"/>
    <w:rsid w:val="2C8A9F79"/>
    <w:rsid w:val="2C8BB131"/>
    <w:rsid w:val="2C8CAF4A"/>
    <w:rsid w:val="2C8CCF8F"/>
    <w:rsid w:val="2C8DA507"/>
    <w:rsid w:val="2C8DF834"/>
    <w:rsid w:val="2C8EF35F"/>
    <w:rsid w:val="2C8FE95A"/>
    <w:rsid w:val="2C9072FA"/>
    <w:rsid w:val="2C9198A4"/>
    <w:rsid w:val="2C9258D6"/>
    <w:rsid w:val="2C930B73"/>
    <w:rsid w:val="2C93FFCF"/>
    <w:rsid w:val="2C940503"/>
    <w:rsid w:val="2C9476CF"/>
    <w:rsid w:val="2C9501F7"/>
    <w:rsid w:val="2C954B2D"/>
    <w:rsid w:val="2C95A26E"/>
    <w:rsid w:val="2C95CEB1"/>
    <w:rsid w:val="2C96311F"/>
    <w:rsid w:val="2C965DB6"/>
    <w:rsid w:val="2C98837C"/>
    <w:rsid w:val="2C990B67"/>
    <w:rsid w:val="2C993B2C"/>
    <w:rsid w:val="2C9A660D"/>
    <w:rsid w:val="2C9A9B8C"/>
    <w:rsid w:val="2C9B1CCC"/>
    <w:rsid w:val="2C9CBDEB"/>
    <w:rsid w:val="2C9CE551"/>
    <w:rsid w:val="2C9E075D"/>
    <w:rsid w:val="2C9F954D"/>
    <w:rsid w:val="2CA09033"/>
    <w:rsid w:val="2CA0C903"/>
    <w:rsid w:val="2CA30480"/>
    <w:rsid w:val="2CA38AC3"/>
    <w:rsid w:val="2CA3CF74"/>
    <w:rsid w:val="2CA3DB33"/>
    <w:rsid w:val="2CA54701"/>
    <w:rsid w:val="2CA54BCA"/>
    <w:rsid w:val="2CA5DFC2"/>
    <w:rsid w:val="2CA5FA43"/>
    <w:rsid w:val="2CA63831"/>
    <w:rsid w:val="2CA65BF7"/>
    <w:rsid w:val="2CA6D682"/>
    <w:rsid w:val="2CA80837"/>
    <w:rsid w:val="2CA80B0C"/>
    <w:rsid w:val="2CAAC1BE"/>
    <w:rsid w:val="2CAB293C"/>
    <w:rsid w:val="2CAB67F9"/>
    <w:rsid w:val="2CAB77A8"/>
    <w:rsid w:val="2CAB96CD"/>
    <w:rsid w:val="2CAC0754"/>
    <w:rsid w:val="2CAC44B8"/>
    <w:rsid w:val="2CAC9E21"/>
    <w:rsid w:val="2CACD430"/>
    <w:rsid w:val="2CAE0327"/>
    <w:rsid w:val="2CAF0411"/>
    <w:rsid w:val="2CB020E1"/>
    <w:rsid w:val="2CB06C87"/>
    <w:rsid w:val="2CB0C592"/>
    <w:rsid w:val="2CB10318"/>
    <w:rsid w:val="2CB1ECF9"/>
    <w:rsid w:val="2CB23F34"/>
    <w:rsid w:val="2CB2DA3C"/>
    <w:rsid w:val="2CB39EC0"/>
    <w:rsid w:val="2CB4B035"/>
    <w:rsid w:val="2CB4CF92"/>
    <w:rsid w:val="2CB56BB4"/>
    <w:rsid w:val="2CB5C457"/>
    <w:rsid w:val="2CB5FAD1"/>
    <w:rsid w:val="2CB63EA0"/>
    <w:rsid w:val="2CB6AC79"/>
    <w:rsid w:val="2CB82285"/>
    <w:rsid w:val="2CB88BDE"/>
    <w:rsid w:val="2CB89F62"/>
    <w:rsid w:val="2CB90A94"/>
    <w:rsid w:val="2CB92C45"/>
    <w:rsid w:val="2CB93674"/>
    <w:rsid w:val="2CB9EFBB"/>
    <w:rsid w:val="2CB9FB12"/>
    <w:rsid w:val="2CBA0B38"/>
    <w:rsid w:val="2CBA143A"/>
    <w:rsid w:val="2CBA8653"/>
    <w:rsid w:val="2CBA92C7"/>
    <w:rsid w:val="2CBAE3D2"/>
    <w:rsid w:val="2CBDCFCD"/>
    <w:rsid w:val="2CBE3501"/>
    <w:rsid w:val="2CBE712D"/>
    <w:rsid w:val="2CBEAFAC"/>
    <w:rsid w:val="2CBEE54E"/>
    <w:rsid w:val="2CBF33FD"/>
    <w:rsid w:val="2CBF7B21"/>
    <w:rsid w:val="2CC01496"/>
    <w:rsid w:val="2CC0B21E"/>
    <w:rsid w:val="2CC210E8"/>
    <w:rsid w:val="2CC27700"/>
    <w:rsid w:val="2CC475AD"/>
    <w:rsid w:val="2CC49367"/>
    <w:rsid w:val="2CC49CD6"/>
    <w:rsid w:val="2CC4BC75"/>
    <w:rsid w:val="2CC53FB5"/>
    <w:rsid w:val="2CC6198C"/>
    <w:rsid w:val="2CC6C5BE"/>
    <w:rsid w:val="2CC6CEA2"/>
    <w:rsid w:val="2CC7592C"/>
    <w:rsid w:val="2CC8E6C9"/>
    <w:rsid w:val="2CC98AC9"/>
    <w:rsid w:val="2CCB6D0A"/>
    <w:rsid w:val="2CCC34F4"/>
    <w:rsid w:val="2CCC7017"/>
    <w:rsid w:val="2CCC7520"/>
    <w:rsid w:val="2CCCD79B"/>
    <w:rsid w:val="2CCD3846"/>
    <w:rsid w:val="2CCDBF27"/>
    <w:rsid w:val="2CCDC782"/>
    <w:rsid w:val="2CCE64A1"/>
    <w:rsid w:val="2CCE91B6"/>
    <w:rsid w:val="2CCEA94E"/>
    <w:rsid w:val="2CCEBB58"/>
    <w:rsid w:val="2CCF2510"/>
    <w:rsid w:val="2CCFE559"/>
    <w:rsid w:val="2CD05CF1"/>
    <w:rsid w:val="2CD0EAB5"/>
    <w:rsid w:val="2CD14511"/>
    <w:rsid w:val="2CD18724"/>
    <w:rsid w:val="2CD26A99"/>
    <w:rsid w:val="2CD3ADDB"/>
    <w:rsid w:val="2CD40268"/>
    <w:rsid w:val="2CD41D47"/>
    <w:rsid w:val="2CD48CC8"/>
    <w:rsid w:val="2CD510E6"/>
    <w:rsid w:val="2CD526FF"/>
    <w:rsid w:val="2CD5CF1B"/>
    <w:rsid w:val="2CD6AB14"/>
    <w:rsid w:val="2CD70C58"/>
    <w:rsid w:val="2CD7BD85"/>
    <w:rsid w:val="2CD86317"/>
    <w:rsid w:val="2CDA42A9"/>
    <w:rsid w:val="2CDAA356"/>
    <w:rsid w:val="2CDAE5F7"/>
    <w:rsid w:val="2CDB0A91"/>
    <w:rsid w:val="2CDB5640"/>
    <w:rsid w:val="2CDC3E72"/>
    <w:rsid w:val="2CDD57D2"/>
    <w:rsid w:val="2CDD75A8"/>
    <w:rsid w:val="2CDE2CA7"/>
    <w:rsid w:val="2CDEE2C9"/>
    <w:rsid w:val="2CDF0535"/>
    <w:rsid w:val="2CDF1975"/>
    <w:rsid w:val="2CDF507A"/>
    <w:rsid w:val="2CE069DF"/>
    <w:rsid w:val="2CE06EA3"/>
    <w:rsid w:val="2CE11F30"/>
    <w:rsid w:val="2CE1737D"/>
    <w:rsid w:val="2CE1E309"/>
    <w:rsid w:val="2CE23802"/>
    <w:rsid w:val="2CE300B2"/>
    <w:rsid w:val="2CE37E22"/>
    <w:rsid w:val="2CE493E4"/>
    <w:rsid w:val="2CE5A68F"/>
    <w:rsid w:val="2CE5ADBA"/>
    <w:rsid w:val="2CE61DD8"/>
    <w:rsid w:val="2CE625E6"/>
    <w:rsid w:val="2CE68C40"/>
    <w:rsid w:val="2CE6E1CA"/>
    <w:rsid w:val="2CE72F7E"/>
    <w:rsid w:val="2CE7469F"/>
    <w:rsid w:val="2CE76C29"/>
    <w:rsid w:val="2CE82E5B"/>
    <w:rsid w:val="2CEA58D8"/>
    <w:rsid w:val="2CEB3812"/>
    <w:rsid w:val="2CEB3B87"/>
    <w:rsid w:val="2CEBE69A"/>
    <w:rsid w:val="2CEBEE6C"/>
    <w:rsid w:val="2CEC1208"/>
    <w:rsid w:val="2CEC3373"/>
    <w:rsid w:val="2CEDB0DF"/>
    <w:rsid w:val="2CEEDC72"/>
    <w:rsid w:val="2CEF5348"/>
    <w:rsid w:val="2CEF6D4A"/>
    <w:rsid w:val="2CF08E8D"/>
    <w:rsid w:val="2CF0BEE7"/>
    <w:rsid w:val="2CF1DA76"/>
    <w:rsid w:val="2CF24ADE"/>
    <w:rsid w:val="2CF32F3C"/>
    <w:rsid w:val="2CF3A3E6"/>
    <w:rsid w:val="2CF53C60"/>
    <w:rsid w:val="2CF5FCEE"/>
    <w:rsid w:val="2CF63C3F"/>
    <w:rsid w:val="2CF6B1D6"/>
    <w:rsid w:val="2CF6CAC8"/>
    <w:rsid w:val="2CF6D38C"/>
    <w:rsid w:val="2CFA94E8"/>
    <w:rsid w:val="2CFADABB"/>
    <w:rsid w:val="2CFB1E0F"/>
    <w:rsid w:val="2CFB9C0B"/>
    <w:rsid w:val="2CFBF270"/>
    <w:rsid w:val="2CFCBF54"/>
    <w:rsid w:val="2CFCDF60"/>
    <w:rsid w:val="2CFD036B"/>
    <w:rsid w:val="2CFD8C7A"/>
    <w:rsid w:val="2CFE1BED"/>
    <w:rsid w:val="2CFE7790"/>
    <w:rsid w:val="2CFF8530"/>
    <w:rsid w:val="2CFF9940"/>
    <w:rsid w:val="2D007483"/>
    <w:rsid w:val="2D0106E5"/>
    <w:rsid w:val="2D018F8B"/>
    <w:rsid w:val="2D01D118"/>
    <w:rsid w:val="2D0352EF"/>
    <w:rsid w:val="2D03C14D"/>
    <w:rsid w:val="2D03EE09"/>
    <w:rsid w:val="2D04A02F"/>
    <w:rsid w:val="2D04CE24"/>
    <w:rsid w:val="2D056E65"/>
    <w:rsid w:val="2D07945C"/>
    <w:rsid w:val="2D081272"/>
    <w:rsid w:val="2D08CBCA"/>
    <w:rsid w:val="2D093050"/>
    <w:rsid w:val="2D099D66"/>
    <w:rsid w:val="2D09CD13"/>
    <w:rsid w:val="2D0A4323"/>
    <w:rsid w:val="2D0AB69B"/>
    <w:rsid w:val="2D0B55AC"/>
    <w:rsid w:val="2D0B8B28"/>
    <w:rsid w:val="2D0CA89F"/>
    <w:rsid w:val="2D1036F8"/>
    <w:rsid w:val="2D104F8C"/>
    <w:rsid w:val="2D10BCF6"/>
    <w:rsid w:val="2D11876C"/>
    <w:rsid w:val="2D11FDFF"/>
    <w:rsid w:val="2D122938"/>
    <w:rsid w:val="2D1286F5"/>
    <w:rsid w:val="2D1384C0"/>
    <w:rsid w:val="2D145EFD"/>
    <w:rsid w:val="2D14FCAA"/>
    <w:rsid w:val="2D1528E6"/>
    <w:rsid w:val="2D15DE3D"/>
    <w:rsid w:val="2D15EB64"/>
    <w:rsid w:val="2D166692"/>
    <w:rsid w:val="2D16EC24"/>
    <w:rsid w:val="2D181073"/>
    <w:rsid w:val="2D188F1A"/>
    <w:rsid w:val="2D191A13"/>
    <w:rsid w:val="2D191D68"/>
    <w:rsid w:val="2D1995F7"/>
    <w:rsid w:val="2D19B03D"/>
    <w:rsid w:val="2D1AB0C6"/>
    <w:rsid w:val="2D1BCAB2"/>
    <w:rsid w:val="2D1BE148"/>
    <w:rsid w:val="2D1CB98F"/>
    <w:rsid w:val="2D1E80A5"/>
    <w:rsid w:val="2D1F816D"/>
    <w:rsid w:val="2D1FCEE2"/>
    <w:rsid w:val="2D2092CE"/>
    <w:rsid w:val="2D210745"/>
    <w:rsid w:val="2D21C1A3"/>
    <w:rsid w:val="2D2265A6"/>
    <w:rsid w:val="2D226F61"/>
    <w:rsid w:val="2D227765"/>
    <w:rsid w:val="2D22793D"/>
    <w:rsid w:val="2D2296BF"/>
    <w:rsid w:val="2D232D1E"/>
    <w:rsid w:val="2D24066F"/>
    <w:rsid w:val="2D241C61"/>
    <w:rsid w:val="2D24B0F6"/>
    <w:rsid w:val="2D24C607"/>
    <w:rsid w:val="2D24FCBE"/>
    <w:rsid w:val="2D250F0A"/>
    <w:rsid w:val="2D253E82"/>
    <w:rsid w:val="2D282C3A"/>
    <w:rsid w:val="2D2A09D2"/>
    <w:rsid w:val="2D2A318F"/>
    <w:rsid w:val="2D2A67F0"/>
    <w:rsid w:val="2D2A7300"/>
    <w:rsid w:val="2D2D46C3"/>
    <w:rsid w:val="2D2D6BF7"/>
    <w:rsid w:val="2D2E00BE"/>
    <w:rsid w:val="2D2EB121"/>
    <w:rsid w:val="2D2F0A51"/>
    <w:rsid w:val="2D2FF7CC"/>
    <w:rsid w:val="2D307EEC"/>
    <w:rsid w:val="2D30B6D0"/>
    <w:rsid w:val="2D30F327"/>
    <w:rsid w:val="2D32AA99"/>
    <w:rsid w:val="2D344DE2"/>
    <w:rsid w:val="2D350F33"/>
    <w:rsid w:val="2D3586DF"/>
    <w:rsid w:val="2D35CB62"/>
    <w:rsid w:val="2D364598"/>
    <w:rsid w:val="2D37585E"/>
    <w:rsid w:val="2D37AC25"/>
    <w:rsid w:val="2D37CEB6"/>
    <w:rsid w:val="2D380919"/>
    <w:rsid w:val="2D3938D0"/>
    <w:rsid w:val="2D39D762"/>
    <w:rsid w:val="2D3ABE43"/>
    <w:rsid w:val="2D3AF613"/>
    <w:rsid w:val="2D3B3334"/>
    <w:rsid w:val="2D3B80C0"/>
    <w:rsid w:val="2D3BFD68"/>
    <w:rsid w:val="2D3D83DD"/>
    <w:rsid w:val="2D3F0F5B"/>
    <w:rsid w:val="2D40DE0C"/>
    <w:rsid w:val="2D40E1AF"/>
    <w:rsid w:val="2D414A92"/>
    <w:rsid w:val="2D41593A"/>
    <w:rsid w:val="2D41C15B"/>
    <w:rsid w:val="2D41F871"/>
    <w:rsid w:val="2D4235A7"/>
    <w:rsid w:val="2D424D21"/>
    <w:rsid w:val="2D4278F3"/>
    <w:rsid w:val="2D434A26"/>
    <w:rsid w:val="2D441C8B"/>
    <w:rsid w:val="2D445B2C"/>
    <w:rsid w:val="2D4484FF"/>
    <w:rsid w:val="2D452278"/>
    <w:rsid w:val="2D45D51E"/>
    <w:rsid w:val="2D45EC0E"/>
    <w:rsid w:val="2D47482C"/>
    <w:rsid w:val="2D4766AA"/>
    <w:rsid w:val="2D479B23"/>
    <w:rsid w:val="2D47D763"/>
    <w:rsid w:val="2D481DB7"/>
    <w:rsid w:val="2D49C56C"/>
    <w:rsid w:val="2D4A642D"/>
    <w:rsid w:val="2D4AA5E6"/>
    <w:rsid w:val="2D4B381F"/>
    <w:rsid w:val="2D4B69D3"/>
    <w:rsid w:val="2D4BA3FF"/>
    <w:rsid w:val="2D4C1A1E"/>
    <w:rsid w:val="2D4D0865"/>
    <w:rsid w:val="2D4D84F5"/>
    <w:rsid w:val="2D4DC246"/>
    <w:rsid w:val="2D4E2321"/>
    <w:rsid w:val="2D4FE329"/>
    <w:rsid w:val="2D4FF09B"/>
    <w:rsid w:val="2D503EB0"/>
    <w:rsid w:val="2D50579A"/>
    <w:rsid w:val="2D5059BB"/>
    <w:rsid w:val="2D507774"/>
    <w:rsid w:val="2D5161C2"/>
    <w:rsid w:val="2D5188C2"/>
    <w:rsid w:val="2D51B0B0"/>
    <w:rsid w:val="2D528A97"/>
    <w:rsid w:val="2D52E680"/>
    <w:rsid w:val="2D53DF0B"/>
    <w:rsid w:val="2D544B95"/>
    <w:rsid w:val="2D546CBE"/>
    <w:rsid w:val="2D54CCB5"/>
    <w:rsid w:val="2D54CEA3"/>
    <w:rsid w:val="2D55461D"/>
    <w:rsid w:val="2D555AF4"/>
    <w:rsid w:val="2D556E06"/>
    <w:rsid w:val="2D558F75"/>
    <w:rsid w:val="2D55995F"/>
    <w:rsid w:val="2D5698BC"/>
    <w:rsid w:val="2D57A981"/>
    <w:rsid w:val="2D583CFD"/>
    <w:rsid w:val="2D58F50A"/>
    <w:rsid w:val="2D58F673"/>
    <w:rsid w:val="2D5946FE"/>
    <w:rsid w:val="2D59AC71"/>
    <w:rsid w:val="2D59CD29"/>
    <w:rsid w:val="2D59CD43"/>
    <w:rsid w:val="2D5A33DF"/>
    <w:rsid w:val="2D5B6DC9"/>
    <w:rsid w:val="2D5B748E"/>
    <w:rsid w:val="2D5BD7AD"/>
    <w:rsid w:val="2D5BE0D3"/>
    <w:rsid w:val="2D5C0EE9"/>
    <w:rsid w:val="2D5C562B"/>
    <w:rsid w:val="2D5C59A3"/>
    <w:rsid w:val="2D5D65AD"/>
    <w:rsid w:val="2D5E1A4C"/>
    <w:rsid w:val="2D5E637E"/>
    <w:rsid w:val="2D5FA1AD"/>
    <w:rsid w:val="2D6027BD"/>
    <w:rsid w:val="2D607E2D"/>
    <w:rsid w:val="2D60A3C4"/>
    <w:rsid w:val="2D6126DE"/>
    <w:rsid w:val="2D618A60"/>
    <w:rsid w:val="2D62927C"/>
    <w:rsid w:val="2D62A74A"/>
    <w:rsid w:val="2D63ABC7"/>
    <w:rsid w:val="2D63B630"/>
    <w:rsid w:val="2D641B9E"/>
    <w:rsid w:val="2D656B01"/>
    <w:rsid w:val="2D660392"/>
    <w:rsid w:val="2D66248A"/>
    <w:rsid w:val="2D66E534"/>
    <w:rsid w:val="2D6754EB"/>
    <w:rsid w:val="2D682F9B"/>
    <w:rsid w:val="2D689A56"/>
    <w:rsid w:val="2D6A8D4B"/>
    <w:rsid w:val="2D6B6DFC"/>
    <w:rsid w:val="2D6BEDD4"/>
    <w:rsid w:val="2D6E20D4"/>
    <w:rsid w:val="2D6F0A43"/>
    <w:rsid w:val="2D6F575A"/>
    <w:rsid w:val="2D707B25"/>
    <w:rsid w:val="2D7153EA"/>
    <w:rsid w:val="2D7365AD"/>
    <w:rsid w:val="2D745375"/>
    <w:rsid w:val="2D7700F1"/>
    <w:rsid w:val="2D773A16"/>
    <w:rsid w:val="2D776399"/>
    <w:rsid w:val="2D7763C7"/>
    <w:rsid w:val="2D77AE0E"/>
    <w:rsid w:val="2D783F6C"/>
    <w:rsid w:val="2D78C49F"/>
    <w:rsid w:val="2D7A4229"/>
    <w:rsid w:val="2D7A4928"/>
    <w:rsid w:val="2D7A7395"/>
    <w:rsid w:val="2D7B3B40"/>
    <w:rsid w:val="2D7B834E"/>
    <w:rsid w:val="2D7C3ABB"/>
    <w:rsid w:val="2D7CE014"/>
    <w:rsid w:val="2D7D98FF"/>
    <w:rsid w:val="2D7DD912"/>
    <w:rsid w:val="2D7E7679"/>
    <w:rsid w:val="2D7E8868"/>
    <w:rsid w:val="2D806CEF"/>
    <w:rsid w:val="2D80F2E2"/>
    <w:rsid w:val="2D81CDF7"/>
    <w:rsid w:val="2D81D671"/>
    <w:rsid w:val="2D81E610"/>
    <w:rsid w:val="2D84A2A4"/>
    <w:rsid w:val="2D85BCE7"/>
    <w:rsid w:val="2D86FA06"/>
    <w:rsid w:val="2D872C2F"/>
    <w:rsid w:val="2D8B64A0"/>
    <w:rsid w:val="2D8B9B82"/>
    <w:rsid w:val="2D8C7B24"/>
    <w:rsid w:val="2D8D8D2E"/>
    <w:rsid w:val="2D8DFB23"/>
    <w:rsid w:val="2D8F9462"/>
    <w:rsid w:val="2D8FF89B"/>
    <w:rsid w:val="2D91B31B"/>
    <w:rsid w:val="2D925C4A"/>
    <w:rsid w:val="2D92773B"/>
    <w:rsid w:val="2D92BB8B"/>
    <w:rsid w:val="2D92E7BF"/>
    <w:rsid w:val="2D935D61"/>
    <w:rsid w:val="2D945FCE"/>
    <w:rsid w:val="2D94600C"/>
    <w:rsid w:val="2D948060"/>
    <w:rsid w:val="2D95A1E2"/>
    <w:rsid w:val="2D962528"/>
    <w:rsid w:val="2D963AE5"/>
    <w:rsid w:val="2D96496B"/>
    <w:rsid w:val="2D974FC2"/>
    <w:rsid w:val="2D9760DE"/>
    <w:rsid w:val="2D985F8B"/>
    <w:rsid w:val="2D985FE1"/>
    <w:rsid w:val="2D986A1F"/>
    <w:rsid w:val="2D98D6AD"/>
    <w:rsid w:val="2D995FDD"/>
    <w:rsid w:val="2D996BEE"/>
    <w:rsid w:val="2D999A78"/>
    <w:rsid w:val="2D99AD60"/>
    <w:rsid w:val="2D9AB409"/>
    <w:rsid w:val="2D9D5754"/>
    <w:rsid w:val="2D9DEF9E"/>
    <w:rsid w:val="2D9F01B2"/>
    <w:rsid w:val="2D9F3AAC"/>
    <w:rsid w:val="2D9F7CE1"/>
    <w:rsid w:val="2DA043B9"/>
    <w:rsid w:val="2DA15D3D"/>
    <w:rsid w:val="2DA1F9CD"/>
    <w:rsid w:val="2DA21536"/>
    <w:rsid w:val="2DA2A3A3"/>
    <w:rsid w:val="2DA2C364"/>
    <w:rsid w:val="2DA460A6"/>
    <w:rsid w:val="2DA4792D"/>
    <w:rsid w:val="2DA4F05B"/>
    <w:rsid w:val="2DA4F53E"/>
    <w:rsid w:val="2DA50DC2"/>
    <w:rsid w:val="2DA56D06"/>
    <w:rsid w:val="2DA5F570"/>
    <w:rsid w:val="2DA63DCF"/>
    <w:rsid w:val="2DA76B7D"/>
    <w:rsid w:val="2DA8639F"/>
    <w:rsid w:val="2DA8AFF7"/>
    <w:rsid w:val="2DA912E7"/>
    <w:rsid w:val="2DAB0FB6"/>
    <w:rsid w:val="2DACCAEF"/>
    <w:rsid w:val="2DADB114"/>
    <w:rsid w:val="2DADC555"/>
    <w:rsid w:val="2DADD9C5"/>
    <w:rsid w:val="2DAE288B"/>
    <w:rsid w:val="2DAE87DE"/>
    <w:rsid w:val="2DAE8A68"/>
    <w:rsid w:val="2DAFFEC1"/>
    <w:rsid w:val="2DB04BFA"/>
    <w:rsid w:val="2DB0C40E"/>
    <w:rsid w:val="2DB0D80D"/>
    <w:rsid w:val="2DB0FB48"/>
    <w:rsid w:val="2DB1676C"/>
    <w:rsid w:val="2DB25B69"/>
    <w:rsid w:val="2DB46D04"/>
    <w:rsid w:val="2DB49B8A"/>
    <w:rsid w:val="2DB4CA24"/>
    <w:rsid w:val="2DB5B95F"/>
    <w:rsid w:val="2DB648A7"/>
    <w:rsid w:val="2DB7BD6D"/>
    <w:rsid w:val="2DB7D5EF"/>
    <w:rsid w:val="2DB85A00"/>
    <w:rsid w:val="2DB8EBB2"/>
    <w:rsid w:val="2DB8F426"/>
    <w:rsid w:val="2DB98CBC"/>
    <w:rsid w:val="2DB9E284"/>
    <w:rsid w:val="2DBA07DA"/>
    <w:rsid w:val="2DBAFF62"/>
    <w:rsid w:val="2DBDD74F"/>
    <w:rsid w:val="2DBEC094"/>
    <w:rsid w:val="2DBEDF68"/>
    <w:rsid w:val="2DBEEA86"/>
    <w:rsid w:val="2DBEEF98"/>
    <w:rsid w:val="2DBF2C2F"/>
    <w:rsid w:val="2DBF3BAA"/>
    <w:rsid w:val="2DBFB0F3"/>
    <w:rsid w:val="2DBFCE30"/>
    <w:rsid w:val="2DBFDE2E"/>
    <w:rsid w:val="2DC00E10"/>
    <w:rsid w:val="2DC068D6"/>
    <w:rsid w:val="2DC0C9EE"/>
    <w:rsid w:val="2DC41175"/>
    <w:rsid w:val="2DC4127B"/>
    <w:rsid w:val="2DC46FFE"/>
    <w:rsid w:val="2DC4B336"/>
    <w:rsid w:val="2DC595EA"/>
    <w:rsid w:val="2DC5C2E1"/>
    <w:rsid w:val="2DC5CA86"/>
    <w:rsid w:val="2DC650E5"/>
    <w:rsid w:val="2DC76BFC"/>
    <w:rsid w:val="2DC96B24"/>
    <w:rsid w:val="2DC9A8FF"/>
    <w:rsid w:val="2DCA40AB"/>
    <w:rsid w:val="2DCAD81E"/>
    <w:rsid w:val="2DCB0BE3"/>
    <w:rsid w:val="2DCB2656"/>
    <w:rsid w:val="2DCB5708"/>
    <w:rsid w:val="2DCBC9DB"/>
    <w:rsid w:val="2DCD1DE4"/>
    <w:rsid w:val="2DCD2913"/>
    <w:rsid w:val="2DCDA3EB"/>
    <w:rsid w:val="2DCE83DD"/>
    <w:rsid w:val="2DCECE8D"/>
    <w:rsid w:val="2DCF93A5"/>
    <w:rsid w:val="2DD1AD13"/>
    <w:rsid w:val="2DD239CC"/>
    <w:rsid w:val="2DD27461"/>
    <w:rsid w:val="2DD2D7A9"/>
    <w:rsid w:val="2DD4F1D3"/>
    <w:rsid w:val="2DD64736"/>
    <w:rsid w:val="2DD657D7"/>
    <w:rsid w:val="2DD674B2"/>
    <w:rsid w:val="2DD6EBD9"/>
    <w:rsid w:val="2DD82661"/>
    <w:rsid w:val="2DD9B8AA"/>
    <w:rsid w:val="2DDAA406"/>
    <w:rsid w:val="2DDAB757"/>
    <w:rsid w:val="2DDBCC4F"/>
    <w:rsid w:val="2DDE3521"/>
    <w:rsid w:val="2DDEF2D1"/>
    <w:rsid w:val="2DDF2FD4"/>
    <w:rsid w:val="2DDF7CEB"/>
    <w:rsid w:val="2DE1C588"/>
    <w:rsid w:val="2DE554CD"/>
    <w:rsid w:val="2DE5CF08"/>
    <w:rsid w:val="2DE78D43"/>
    <w:rsid w:val="2DE79978"/>
    <w:rsid w:val="2DE7B257"/>
    <w:rsid w:val="2DE8904E"/>
    <w:rsid w:val="2DE8C260"/>
    <w:rsid w:val="2DE8D973"/>
    <w:rsid w:val="2DE9FF10"/>
    <w:rsid w:val="2DEA1792"/>
    <w:rsid w:val="2DEA40B8"/>
    <w:rsid w:val="2DEC02F8"/>
    <w:rsid w:val="2DEDED26"/>
    <w:rsid w:val="2DEE6F4A"/>
    <w:rsid w:val="2DEEF420"/>
    <w:rsid w:val="2DEF48D5"/>
    <w:rsid w:val="2DF046B6"/>
    <w:rsid w:val="2DF05025"/>
    <w:rsid w:val="2DF05758"/>
    <w:rsid w:val="2DF09979"/>
    <w:rsid w:val="2DF09F41"/>
    <w:rsid w:val="2DF0BC32"/>
    <w:rsid w:val="2DF21B98"/>
    <w:rsid w:val="2DF2748B"/>
    <w:rsid w:val="2DF2A699"/>
    <w:rsid w:val="2DF2E5A6"/>
    <w:rsid w:val="2DF3805B"/>
    <w:rsid w:val="2DF4D75A"/>
    <w:rsid w:val="2DF5082F"/>
    <w:rsid w:val="2DF68801"/>
    <w:rsid w:val="2DF6A68D"/>
    <w:rsid w:val="2DF6F45F"/>
    <w:rsid w:val="2DF72D36"/>
    <w:rsid w:val="2DF7641E"/>
    <w:rsid w:val="2DF7CDE2"/>
    <w:rsid w:val="2DF8E21E"/>
    <w:rsid w:val="2DF92670"/>
    <w:rsid w:val="2DF9617D"/>
    <w:rsid w:val="2DFB0EC7"/>
    <w:rsid w:val="2DFC1B03"/>
    <w:rsid w:val="2DFCBB8F"/>
    <w:rsid w:val="2DFDCD47"/>
    <w:rsid w:val="2DFEF2EF"/>
    <w:rsid w:val="2DFF01AF"/>
    <w:rsid w:val="2E02883D"/>
    <w:rsid w:val="2E028EE7"/>
    <w:rsid w:val="2E0291F8"/>
    <w:rsid w:val="2E04AB33"/>
    <w:rsid w:val="2E05611D"/>
    <w:rsid w:val="2E06851E"/>
    <w:rsid w:val="2E0688CE"/>
    <w:rsid w:val="2E069C28"/>
    <w:rsid w:val="2E06C14F"/>
    <w:rsid w:val="2E07B409"/>
    <w:rsid w:val="2E07CDAC"/>
    <w:rsid w:val="2E07E2B5"/>
    <w:rsid w:val="2E094B6D"/>
    <w:rsid w:val="2E0A9FE8"/>
    <w:rsid w:val="2E0B2D33"/>
    <w:rsid w:val="2E0B8207"/>
    <w:rsid w:val="2E0B9463"/>
    <w:rsid w:val="2E0BB09F"/>
    <w:rsid w:val="2E0BB83D"/>
    <w:rsid w:val="2E0BE51E"/>
    <w:rsid w:val="2E0C0BD4"/>
    <w:rsid w:val="2E0C411B"/>
    <w:rsid w:val="2E0CEDBC"/>
    <w:rsid w:val="2E0D9561"/>
    <w:rsid w:val="2E0DA4C0"/>
    <w:rsid w:val="2E0E38CF"/>
    <w:rsid w:val="2E0E4D8C"/>
    <w:rsid w:val="2E0E8D45"/>
    <w:rsid w:val="2E0F7FB0"/>
    <w:rsid w:val="2E10949A"/>
    <w:rsid w:val="2E1103D5"/>
    <w:rsid w:val="2E112494"/>
    <w:rsid w:val="2E112623"/>
    <w:rsid w:val="2E129E9C"/>
    <w:rsid w:val="2E12E9C9"/>
    <w:rsid w:val="2E145A1E"/>
    <w:rsid w:val="2E148E20"/>
    <w:rsid w:val="2E14D744"/>
    <w:rsid w:val="2E152DA2"/>
    <w:rsid w:val="2E155DCA"/>
    <w:rsid w:val="2E156F04"/>
    <w:rsid w:val="2E15BC80"/>
    <w:rsid w:val="2E16158B"/>
    <w:rsid w:val="2E167E8E"/>
    <w:rsid w:val="2E16DADB"/>
    <w:rsid w:val="2E1724E8"/>
    <w:rsid w:val="2E176DCD"/>
    <w:rsid w:val="2E17AEBC"/>
    <w:rsid w:val="2E17F68B"/>
    <w:rsid w:val="2E185D7A"/>
    <w:rsid w:val="2E1957D7"/>
    <w:rsid w:val="2E1A5D75"/>
    <w:rsid w:val="2E1A7929"/>
    <w:rsid w:val="2E1C65F9"/>
    <w:rsid w:val="2E1DA077"/>
    <w:rsid w:val="2E1DDD2D"/>
    <w:rsid w:val="2E1E2C05"/>
    <w:rsid w:val="2E1F2D29"/>
    <w:rsid w:val="2E1F8CE9"/>
    <w:rsid w:val="2E1FDD58"/>
    <w:rsid w:val="2E20451F"/>
    <w:rsid w:val="2E208E77"/>
    <w:rsid w:val="2E20D9C3"/>
    <w:rsid w:val="2E2108FB"/>
    <w:rsid w:val="2E217EB9"/>
    <w:rsid w:val="2E2190B3"/>
    <w:rsid w:val="2E22EA07"/>
    <w:rsid w:val="2E2363BB"/>
    <w:rsid w:val="2E236A34"/>
    <w:rsid w:val="2E238EC7"/>
    <w:rsid w:val="2E23A938"/>
    <w:rsid w:val="2E23AC9A"/>
    <w:rsid w:val="2E24542C"/>
    <w:rsid w:val="2E248832"/>
    <w:rsid w:val="2E26DD34"/>
    <w:rsid w:val="2E27E0C7"/>
    <w:rsid w:val="2E292DD7"/>
    <w:rsid w:val="2E29FA42"/>
    <w:rsid w:val="2E2A6D32"/>
    <w:rsid w:val="2E2C3D20"/>
    <w:rsid w:val="2E2CC225"/>
    <w:rsid w:val="2E2D1BB9"/>
    <w:rsid w:val="2E2D752F"/>
    <w:rsid w:val="2E2E50A1"/>
    <w:rsid w:val="2E2E7208"/>
    <w:rsid w:val="2E2E9E2D"/>
    <w:rsid w:val="2E2F13E7"/>
    <w:rsid w:val="2E3066C4"/>
    <w:rsid w:val="2E329805"/>
    <w:rsid w:val="2E337AB3"/>
    <w:rsid w:val="2E34B3E0"/>
    <w:rsid w:val="2E34F173"/>
    <w:rsid w:val="2E351084"/>
    <w:rsid w:val="2E356580"/>
    <w:rsid w:val="2E358364"/>
    <w:rsid w:val="2E35F172"/>
    <w:rsid w:val="2E362150"/>
    <w:rsid w:val="2E365538"/>
    <w:rsid w:val="2E3713FD"/>
    <w:rsid w:val="2E37CF81"/>
    <w:rsid w:val="2E37F3F7"/>
    <w:rsid w:val="2E382AD0"/>
    <w:rsid w:val="2E393FAB"/>
    <w:rsid w:val="2E39EF79"/>
    <w:rsid w:val="2E3AB172"/>
    <w:rsid w:val="2E3AC113"/>
    <w:rsid w:val="2E3B1668"/>
    <w:rsid w:val="2E3CE0DB"/>
    <w:rsid w:val="2E3E30D1"/>
    <w:rsid w:val="2E3EDE4E"/>
    <w:rsid w:val="2E3EFB12"/>
    <w:rsid w:val="2E3F9FFE"/>
    <w:rsid w:val="2E40F70C"/>
    <w:rsid w:val="2E416063"/>
    <w:rsid w:val="2E417B86"/>
    <w:rsid w:val="2E426DC0"/>
    <w:rsid w:val="2E437C72"/>
    <w:rsid w:val="2E43C41F"/>
    <w:rsid w:val="2E43EE71"/>
    <w:rsid w:val="2E446B60"/>
    <w:rsid w:val="2E44D356"/>
    <w:rsid w:val="2E450B98"/>
    <w:rsid w:val="2E456567"/>
    <w:rsid w:val="2E456937"/>
    <w:rsid w:val="2E45B44B"/>
    <w:rsid w:val="2E46528B"/>
    <w:rsid w:val="2E46C016"/>
    <w:rsid w:val="2E4778DA"/>
    <w:rsid w:val="2E47C65A"/>
    <w:rsid w:val="2E47CD9E"/>
    <w:rsid w:val="2E4835BD"/>
    <w:rsid w:val="2E48B42E"/>
    <w:rsid w:val="2E48F5CB"/>
    <w:rsid w:val="2E4CC26D"/>
    <w:rsid w:val="2E4D1BF7"/>
    <w:rsid w:val="2E4DD52F"/>
    <w:rsid w:val="2E4E55D8"/>
    <w:rsid w:val="2E4ED61E"/>
    <w:rsid w:val="2E500721"/>
    <w:rsid w:val="2E500A51"/>
    <w:rsid w:val="2E5115C6"/>
    <w:rsid w:val="2E513F81"/>
    <w:rsid w:val="2E51F498"/>
    <w:rsid w:val="2E5308EC"/>
    <w:rsid w:val="2E5398F9"/>
    <w:rsid w:val="2E53F15F"/>
    <w:rsid w:val="2E54424D"/>
    <w:rsid w:val="2E5567DE"/>
    <w:rsid w:val="2E566CFF"/>
    <w:rsid w:val="2E5749EC"/>
    <w:rsid w:val="2E5791DB"/>
    <w:rsid w:val="2E581A3A"/>
    <w:rsid w:val="2E585467"/>
    <w:rsid w:val="2E58A2EE"/>
    <w:rsid w:val="2E590082"/>
    <w:rsid w:val="2E5954FC"/>
    <w:rsid w:val="2E595FC0"/>
    <w:rsid w:val="2E59A413"/>
    <w:rsid w:val="2E5A2D51"/>
    <w:rsid w:val="2E5A88CC"/>
    <w:rsid w:val="2E5B045E"/>
    <w:rsid w:val="2E5B3666"/>
    <w:rsid w:val="2E5BE2E4"/>
    <w:rsid w:val="2E5C0519"/>
    <w:rsid w:val="2E5C52D9"/>
    <w:rsid w:val="2E5CAC2B"/>
    <w:rsid w:val="2E5D281D"/>
    <w:rsid w:val="2E5D2ECD"/>
    <w:rsid w:val="2E5ECB85"/>
    <w:rsid w:val="2E5F1C0C"/>
    <w:rsid w:val="2E5F9D90"/>
    <w:rsid w:val="2E6015DE"/>
    <w:rsid w:val="2E604349"/>
    <w:rsid w:val="2E60A18A"/>
    <w:rsid w:val="2E615AD6"/>
    <w:rsid w:val="2E617E5D"/>
    <w:rsid w:val="2E622E2F"/>
    <w:rsid w:val="2E628B0D"/>
    <w:rsid w:val="2E633492"/>
    <w:rsid w:val="2E6387F9"/>
    <w:rsid w:val="2E6424FF"/>
    <w:rsid w:val="2E647BC3"/>
    <w:rsid w:val="2E64A4BF"/>
    <w:rsid w:val="2E654E7E"/>
    <w:rsid w:val="2E65A6C1"/>
    <w:rsid w:val="2E68AA08"/>
    <w:rsid w:val="2E68BF2B"/>
    <w:rsid w:val="2E6945FE"/>
    <w:rsid w:val="2E6B63E0"/>
    <w:rsid w:val="2E6BE020"/>
    <w:rsid w:val="2E6CC85B"/>
    <w:rsid w:val="2E6D2B0A"/>
    <w:rsid w:val="2E6EB33F"/>
    <w:rsid w:val="2E6EC370"/>
    <w:rsid w:val="2E6F1394"/>
    <w:rsid w:val="2E6F8929"/>
    <w:rsid w:val="2E6FC065"/>
    <w:rsid w:val="2E710372"/>
    <w:rsid w:val="2E71F8AC"/>
    <w:rsid w:val="2E7223BB"/>
    <w:rsid w:val="2E727E18"/>
    <w:rsid w:val="2E72EADB"/>
    <w:rsid w:val="2E740AEC"/>
    <w:rsid w:val="2E742EDB"/>
    <w:rsid w:val="2E748B51"/>
    <w:rsid w:val="2E753216"/>
    <w:rsid w:val="2E75BBC6"/>
    <w:rsid w:val="2E762CC6"/>
    <w:rsid w:val="2E77BED4"/>
    <w:rsid w:val="2E780F4B"/>
    <w:rsid w:val="2E788C7B"/>
    <w:rsid w:val="2E78CECD"/>
    <w:rsid w:val="2E7A6ECD"/>
    <w:rsid w:val="2E7A7148"/>
    <w:rsid w:val="2E7AC5A1"/>
    <w:rsid w:val="2E7B0188"/>
    <w:rsid w:val="2E7B32F8"/>
    <w:rsid w:val="2E7C1B82"/>
    <w:rsid w:val="2E7E77F2"/>
    <w:rsid w:val="2E7F0E88"/>
    <w:rsid w:val="2E7F13C7"/>
    <w:rsid w:val="2E7F5E06"/>
    <w:rsid w:val="2E7FD2EB"/>
    <w:rsid w:val="2E80F219"/>
    <w:rsid w:val="2E8115AD"/>
    <w:rsid w:val="2E820492"/>
    <w:rsid w:val="2E83DCF0"/>
    <w:rsid w:val="2E847808"/>
    <w:rsid w:val="2E847E1E"/>
    <w:rsid w:val="2E852262"/>
    <w:rsid w:val="2E852AB9"/>
    <w:rsid w:val="2E854F6B"/>
    <w:rsid w:val="2E856414"/>
    <w:rsid w:val="2E8688DD"/>
    <w:rsid w:val="2E8749FC"/>
    <w:rsid w:val="2E87A9BA"/>
    <w:rsid w:val="2E882CA9"/>
    <w:rsid w:val="2E883CB2"/>
    <w:rsid w:val="2E885685"/>
    <w:rsid w:val="2E88EDD1"/>
    <w:rsid w:val="2E89DEB1"/>
    <w:rsid w:val="2E8A6A86"/>
    <w:rsid w:val="2E8DE742"/>
    <w:rsid w:val="2E8DED63"/>
    <w:rsid w:val="2E8DFA9B"/>
    <w:rsid w:val="2E8E4048"/>
    <w:rsid w:val="2E8E75FE"/>
    <w:rsid w:val="2E8F562C"/>
    <w:rsid w:val="2E8F798B"/>
    <w:rsid w:val="2E8FA988"/>
    <w:rsid w:val="2E8FBF59"/>
    <w:rsid w:val="2E911980"/>
    <w:rsid w:val="2E930093"/>
    <w:rsid w:val="2E936391"/>
    <w:rsid w:val="2E9461B4"/>
    <w:rsid w:val="2E94E8C9"/>
    <w:rsid w:val="2E953D7B"/>
    <w:rsid w:val="2E95E155"/>
    <w:rsid w:val="2E960206"/>
    <w:rsid w:val="2E964308"/>
    <w:rsid w:val="2E96E6A9"/>
    <w:rsid w:val="2E97EECB"/>
    <w:rsid w:val="2E982209"/>
    <w:rsid w:val="2E9831F5"/>
    <w:rsid w:val="2E98BB01"/>
    <w:rsid w:val="2E999599"/>
    <w:rsid w:val="2E9A4B83"/>
    <w:rsid w:val="2E9A6A7A"/>
    <w:rsid w:val="2E9A9FE6"/>
    <w:rsid w:val="2E9AAE9A"/>
    <w:rsid w:val="2E9AC034"/>
    <w:rsid w:val="2E9BCB82"/>
    <w:rsid w:val="2E9BF264"/>
    <w:rsid w:val="2E9C0074"/>
    <w:rsid w:val="2E9C5891"/>
    <w:rsid w:val="2E9CABEA"/>
    <w:rsid w:val="2E9E7D7A"/>
    <w:rsid w:val="2E9EC98C"/>
    <w:rsid w:val="2EA10F15"/>
    <w:rsid w:val="2EA1260A"/>
    <w:rsid w:val="2EA18B13"/>
    <w:rsid w:val="2EA323FA"/>
    <w:rsid w:val="2EA41F63"/>
    <w:rsid w:val="2EA470E7"/>
    <w:rsid w:val="2EA4BABA"/>
    <w:rsid w:val="2EA55EDF"/>
    <w:rsid w:val="2EA5A902"/>
    <w:rsid w:val="2EA5C20E"/>
    <w:rsid w:val="2EA5F9F4"/>
    <w:rsid w:val="2EA650F7"/>
    <w:rsid w:val="2EA69288"/>
    <w:rsid w:val="2EA69AB7"/>
    <w:rsid w:val="2EA70A30"/>
    <w:rsid w:val="2EA7862F"/>
    <w:rsid w:val="2EA7F325"/>
    <w:rsid w:val="2EA8A3C6"/>
    <w:rsid w:val="2EA92D4B"/>
    <w:rsid w:val="2EAA5B2F"/>
    <w:rsid w:val="2EAB1983"/>
    <w:rsid w:val="2EABE7C6"/>
    <w:rsid w:val="2EAC9C34"/>
    <w:rsid w:val="2EAD25D4"/>
    <w:rsid w:val="2EAD2791"/>
    <w:rsid w:val="2EAD2BE3"/>
    <w:rsid w:val="2EAD367C"/>
    <w:rsid w:val="2EAD43A6"/>
    <w:rsid w:val="2EAE51FD"/>
    <w:rsid w:val="2EAED03B"/>
    <w:rsid w:val="2EAFB75A"/>
    <w:rsid w:val="2EB1B411"/>
    <w:rsid w:val="2EB2A65A"/>
    <w:rsid w:val="2EB30CEF"/>
    <w:rsid w:val="2EB464DF"/>
    <w:rsid w:val="2EB4D3E7"/>
    <w:rsid w:val="2EB4E24F"/>
    <w:rsid w:val="2EB4EDC9"/>
    <w:rsid w:val="2EB51C3D"/>
    <w:rsid w:val="2EB56AED"/>
    <w:rsid w:val="2EB5C984"/>
    <w:rsid w:val="2EB5E336"/>
    <w:rsid w:val="2EB70D61"/>
    <w:rsid w:val="2EB7657E"/>
    <w:rsid w:val="2EB78440"/>
    <w:rsid w:val="2EB785D2"/>
    <w:rsid w:val="2EB78682"/>
    <w:rsid w:val="2EB7F89B"/>
    <w:rsid w:val="2EB8B9E2"/>
    <w:rsid w:val="2EB9E959"/>
    <w:rsid w:val="2EBA8924"/>
    <w:rsid w:val="2EBA8C89"/>
    <w:rsid w:val="2EBAA96C"/>
    <w:rsid w:val="2EBB9760"/>
    <w:rsid w:val="2EBBDA94"/>
    <w:rsid w:val="2EBC113A"/>
    <w:rsid w:val="2EBC632F"/>
    <w:rsid w:val="2EBC9F32"/>
    <w:rsid w:val="2EBD2326"/>
    <w:rsid w:val="2EBE6310"/>
    <w:rsid w:val="2EBFE895"/>
    <w:rsid w:val="2EC138DB"/>
    <w:rsid w:val="2EC1AE46"/>
    <w:rsid w:val="2EC1D514"/>
    <w:rsid w:val="2EC26CC3"/>
    <w:rsid w:val="2EC3223A"/>
    <w:rsid w:val="2EC3F5C3"/>
    <w:rsid w:val="2EC45E3D"/>
    <w:rsid w:val="2EC525C6"/>
    <w:rsid w:val="2EC52BCE"/>
    <w:rsid w:val="2EC56AAC"/>
    <w:rsid w:val="2EC62C0A"/>
    <w:rsid w:val="2EC7E448"/>
    <w:rsid w:val="2EC83C05"/>
    <w:rsid w:val="2EC8780C"/>
    <w:rsid w:val="2EC884F5"/>
    <w:rsid w:val="2EC9BC08"/>
    <w:rsid w:val="2ECA6277"/>
    <w:rsid w:val="2ECB1343"/>
    <w:rsid w:val="2ECB36A9"/>
    <w:rsid w:val="2ECB7D7C"/>
    <w:rsid w:val="2ECC01E6"/>
    <w:rsid w:val="2ECD9E81"/>
    <w:rsid w:val="2ECDCCA5"/>
    <w:rsid w:val="2ECE38F7"/>
    <w:rsid w:val="2ECE4937"/>
    <w:rsid w:val="2ECEC211"/>
    <w:rsid w:val="2ED066FA"/>
    <w:rsid w:val="2ED102EB"/>
    <w:rsid w:val="2ED122C9"/>
    <w:rsid w:val="2ED1B043"/>
    <w:rsid w:val="2ED28AC1"/>
    <w:rsid w:val="2ED33569"/>
    <w:rsid w:val="2ED43F89"/>
    <w:rsid w:val="2ED5D5D2"/>
    <w:rsid w:val="2ED5E250"/>
    <w:rsid w:val="2ED72180"/>
    <w:rsid w:val="2ED72F7C"/>
    <w:rsid w:val="2ED7320E"/>
    <w:rsid w:val="2ED73A4F"/>
    <w:rsid w:val="2ED75BA1"/>
    <w:rsid w:val="2ED79495"/>
    <w:rsid w:val="2ED8F4F5"/>
    <w:rsid w:val="2ED9940E"/>
    <w:rsid w:val="2EDA4CCC"/>
    <w:rsid w:val="2EDB146E"/>
    <w:rsid w:val="2EDC2434"/>
    <w:rsid w:val="2EDC37F7"/>
    <w:rsid w:val="2EDCE296"/>
    <w:rsid w:val="2EDD5863"/>
    <w:rsid w:val="2EDD8FC0"/>
    <w:rsid w:val="2EDDE6EC"/>
    <w:rsid w:val="2EDE128C"/>
    <w:rsid w:val="2EDE7ACC"/>
    <w:rsid w:val="2EDEE007"/>
    <w:rsid w:val="2EDF1983"/>
    <w:rsid w:val="2EDF93AA"/>
    <w:rsid w:val="2EE0FB77"/>
    <w:rsid w:val="2EE129D6"/>
    <w:rsid w:val="2EE149DE"/>
    <w:rsid w:val="2EE3370B"/>
    <w:rsid w:val="2EE388E1"/>
    <w:rsid w:val="2EE4DCF4"/>
    <w:rsid w:val="2EE5D175"/>
    <w:rsid w:val="2EE5DAC5"/>
    <w:rsid w:val="2EE626CD"/>
    <w:rsid w:val="2EE75A4A"/>
    <w:rsid w:val="2EE7BA75"/>
    <w:rsid w:val="2EE81145"/>
    <w:rsid w:val="2EE8609A"/>
    <w:rsid w:val="2EE88A16"/>
    <w:rsid w:val="2EE9AE27"/>
    <w:rsid w:val="2EEA1CBC"/>
    <w:rsid w:val="2EEA211A"/>
    <w:rsid w:val="2EEA9BCC"/>
    <w:rsid w:val="2EEAE481"/>
    <w:rsid w:val="2EEB7A0A"/>
    <w:rsid w:val="2EEBB6FF"/>
    <w:rsid w:val="2EEC16DC"/>
    <w:rsid w:val="2EEC6DE9"/>
    <w:rsid w:val="2EECC415"/>
    <w:rsid w:val="2EEDC07C"/>
    <w:rsid w:val="2EEDFFE2"/>
    <w:rsid w:val="2EEE5561"/>
    <w:rsid w:val="2EEEE1CF"/>
    <w:rsid w:val="2EEF0927"/>
    <w:rsid w:val="2EEF77FF"/>
    <w:rsid w:val="2EF04146"/>
    <w:rsid w:val="2EF08D76"/>
    <w:rsid w:val="2EF0F59F"/>
    <w:rsid w:val="2EF150AB"/>
    <w:rsid w:val="2EF1FC4D"/>
    <w:rsid w:val="2EF34F7E"/>
    <w:rsid w:val="2EF4B9B9"/>
    <w:rsid w:val="2EF699E3"/>
    <w:rsid w:val="2EF6CFA2"/>
    <w:rsid w:val="2EF74327"/>
    <w:rsid w:val="2EF7710C"/>
    <w:rsid w:val="2EF7A0B0"/>
    <w:rsid w:val="2EF84ED4"/>
    <w:rsid w:val="2EF86BCE"/>
    <w:rsid w:val="2EF8F55F"/>
    <w:rsid w:val="2EF90B1E"/>
    <w:rsid w:val="2EF96A42"/>
    <w:rsid w:val="2EF98264"/>
    <w:rsid w:val="2EFA5700"/>
    <w:rsid w:val="2EFADFEC"/>
    <w:rsid w:val="2EFB0D91"/>
    <w:rsid w:val="2EFCBE76"/>
    <w:rsid w:val="2EFCDDEA"/>
    <w:rsid w:val="2EFDA2B9"/>
    <w:rsid w:val="2EFE98A9"/>
    <w:rsid w:val="2EFEB5A0"/>
    <w:rsid w:val="2F000531"/>
    <w:rsid w:val="2F0043E9"/>
    <w:rsid w:val="2F014B3D"/>
    <w:rsid w:val="2F03B292"/>
    <w:rsid w:val="2F03B4D5"/>
    <w:rsid w:val="2F0423E7"/>
    <w:rsid w:val="2F049496"/>
    <w:rsid w:val="2F049B08"/>
    <w:rsid w:val="2F04B000"/>
    <w:rsid w:val="2F04B840"/>
    <w:rsid w:val="2F062713"/>
    <w:rsid w:val="2F064369"/>
    <w:rsid w:val="2F0769D7"/>
    <w:rsid w:val="2F079002"/>
    <w:rsid w:val="2F08E9E0"/>
    <w:rsid w:val="2F097AC5"/>
    <w:rsid w:val="2F0A72FD"/>
    <w:rsid w:val="2F0AC27E"/>
    <w:rsid w:val="2F0C3AE3"/>
    <w:rsid w:val="2F0CA883"/>
    <w:rsid w:val="2F0CE24E"/>
    <w:rsid w:val="2F0D7F2C"/>
    <w:rsid w:val="2F0E0105"/>
    <w:rsid w:val="2F0E61AC"/>
    <w:rsid w:val="2F105CEB"/>
    <w:rsid w:val="2F1074E8"/>
    <w:rsid w:val="2F1237AB"/>
    <w:rsid w:val="2F130EC1"/>
    <w:rsid w:val="2F132FB0"/>
    <w:rsid w:val="2F13C78B"/>
    <w:rsid w:val="2F145B5D"/>
    <w:rsid w:val="2F14D61F"/>
    <w:rsid w:val="2F15E5A9"/>
    <w:rsid w:val="2F16FD30"/>
    <w:rsid w:val="2F1787FA"/>
    <w:rsid w:val="2F17F9F6"/>
    <w:rsid w:val="2F18600D"/>
    <w:rsid w:val="2F186D57"/>
    <w:rsid w:val="2F18C24B"/>
    <w:rsid w:val="2F1B5B3A"/>
    <w:rsid w:val="2F1C7122"/>
    <w:rsid w:val="2F1CDF36"/>
    <w:rsid w:val="2F1EE5C9"/>
    <w:rsid w:val="2F1FDE5D"/>
    <w:rsid w:val="2F201814"/>
    <w:rsid w:val="2F20691D"/>
    <w:rsid w:val="2F20B543"/>
    <w:rsid w:val="2F21C14E"/>
    <w:rsid w:val="2F23E683"/>
    <w:rsid w:val="2F248DC5"/>
    <w:rsid w:val="2F24F950"/>
    <w:rsid w:val="2F259FB5"/>
    <w:rsid w:val="2F261150"/>
    <w:rsid w:val="2F263B2B"/>
    <w:rsid w:val="2F264609"/>
    <w:rsid w:val="2F269417"/>
    <w:rsid w:val="2F275696"/>
    <w:rsid w:val="2F27D74D"/>
    <w:rsid w:val="2F28BB51"/>
    <w:rsid w:val="2F297B92"/>
    <w:rsid w:val="2F29D487"/>
    <w:rsid w:val="2F2A1055"/>
    <w:rsid w:val="2F2ADB83"/>
    <w:rsid w:val="2F2BA8C5"/>
    <w:rsid w:val="2F2D9A8A"/>
    <w:rsid w:val="2F2DD316"/>
    <w:rsid w:val="2F2E2BB3"/>
    <w:rsid w:val="2F2EC99F"/>
    <w:rsid w:val="2F2F1369"/>
    <w:rsid w:val="2F2FA40C"/>
    <w:rsid w:val="2F2FC199"/>
    <w:rsid w:val="2F30296A"/>
    <w:rsid w:val="2F3040A6"/>
    <w:rsid w:val="2F306958"/>
    <w:rsid w:val="2F3074E2"/>
    <w:rsid w:val="2F30FE93"/>
    <w:rsid w:val="2F333889"/>
    <w:rsid w:val="2F335AA9"/>
    <w:rsid w:val="2F34FFA0"/>
    <w:rsid w:val="2F354AD1"/>
    <w:rsid w:val="2F374347"/>
    <w:rsid w:val="2F37B2AB"/>
    <w:rsid w:val="2F384FB5"/>
    <w:rsid w:val="2F385AEA"/>
    <w:rsid w:val="2F395AD7"/>
    <w:rsid w:val="2F39EA2B"/>
    <w:rsid w:val="2F3AA946"/>
    <w:rsid w:val="2F3B72AE"/>
    <w:rsid w:val="2F3B9D80"/>
    <w:rsid w:val="2F3C1970"/>
    <w:rsid w:val="2F3C2B7D"/>
    <w:rsid w:val="2F3C7D80"/>
    <w:rsid w:val="2F3CAB95"/>
    <w:rsid w:val="2F3D4BC2"/>
    <w:rsid w:val="2F3F117F"/>
    <w:rsid w:val="2F3F9385"/>
    <w:rsid w:val="2F40B8BB"/>
    <w:rsid w:val="2F4122C0"/>
    <w:rsid w:val="2F416C50"/>
    <w:rsid w:val="2F435677"/>
    <w:rsid w:val="2F4371CF"/>
    <w:rsid w:val="2F439971"/>
    <w:rsid w:val="2F447127"/>
    <w:rsid w:val="2F468A9C"/>
    <w:rsid w:val="2F473E4B"/>
    <w:rsid w:val="2F475446"/>
    <w:rsid w:val="2F489F08"/>
    <w:rsid w:val="2F492068"/>
    <w:rsid w:val="2F49A7B3"/>
    <w:rsid w:val="2F49EC7D"/>
    <w:rsid w:val="2F4AA52B"/>
    <w:rsid w:val="2F4CDF1D"/>
    <w:rsid w:val="2F4D73E9"/>
    <w:rsid w:val="2F4F55DA"/>
    <w:rsid w:val="2F4FB438"/>
    <w:rsid w:val="2F4FB960"/>
    <w:rsid w:val="2F500A7B"/>
    <w:rsid w:val="2F5277EA"/>
    <w:rsid w:val="2F52B4D9"/>
    <w:rsid w:val="2F543F51"/>
    <w:rsid w:val="2F547071"/>
    <w:rsid w:val="2F54AAE2"/>
    <w:rsid w:val="2F54D022"/>
    <w:rsid w:val="2F559C12"/>
    <w:rsid w:val="2F55AAC2"/>
    <w:rsid w:val="2F55C96B"/>
    <w:rsid w:val="2F562EDD"/>
    <w:rsid w:val="2F57A1A9"/>
    <w:rsid w:val="2F58F1CB"/>
    <w:rsid w:val="2F59A154"/>
    <w:rsid w:val="2F59AF97"/>
    <w:rsid w:val="2F5AF299"/>
    <w:rsid w:val="2F5B75C4"/>
    <w:rsid w:val="2F5B8905"/>
    <w:rsid w:val="2F5BA020"/>
    <w:rsid w:val="2F5C4878"/>
    <w:rsid w:val="2F5CAC8E"/>
    <w:rsid w:val="2F5DAA42"/>
    <w:rsid w:val="2F5DC56E"/>
    <w:rsid w:val="2F5E3BFB"/>
    <w:rsid w:val="2F5F5804"/>
    <w:rsid w:val="2F6091F7"/>
    <w:rsid w:val="2F60DDFC"/>
    <w:rsid w:val="2F60F2B6"/>
    <w:rsid w:val="2F61C76E"/>
    <w:rsid w:val="2F61CE08"/>
    <w:rsid w:val="2F61F876"/>
    <w:rsid w:val="2F622BD2"/>
    <w:rsid w:val="2F6284FD"/>
    <w:rsid w:val="2F636A0E"/>
    <w:rsid w:val="2F63BC96"/>
    <w:rsid w:val="2F64A554"/>
    <w:rsid w:val="2F6556DC"/>
    <w:rsid w:val="2F656B25"/>
    <w:rsid w:val="2F656B56"/>
    <w:rsid w:val="2F6596CA"/>
    <w:rsid w:val="2F669F9C"/>
    <w:rsid w:val="2F66E0ED"/>
    <w:rsid w:val="2F67408F"/>
    <w:rsid w:val="2F674B83"/>
    <w:rsid w:val="2F68A2DB"/>
    <w:rsid w:val="2F68A3FB"/>
    <w:rsid w:val="2F692938"/>
    <w:rsid w:val="2F6A53CB"/>
    <w:rsid w:val="2F6A5A6A"/>
    <w:rsid w:val="2F6C2F1B"/>
    <w:rsid w:val="2F6C6F9E"/>
    <w:rsid w:val="2F6F2330"/>
    <w:rsid w:val="2F6F9F91"/>
    <w:rsid w:val="2F7024EA"/>
    <w:rsid w:val="2F706891"/>
    <w:rsid w:val="2F708AD5"/>
    <w:rsid w:val="2F70B7BB"/>
    <w:rsid w:val="2F70C110"/>
    <w:rsid w:val="2F718DED"/>
    <w:rsid w:val="2F720A82"/>
    <w:rsid w:val="2F7332FB"/>
    <w:rsid w:val="2F73FC32"/>
    <w:rsid w:val="2F742729"/>
    <w:rsid w:val="2F75C8A6"/>
    <w:rsid w:val="2F767A39"/>
    <w:rsid w:val="2F76A88B"/>
    <w:rsid w:val="2F76FC3A"/>
    <w:rsid w:val="2F772BC4"/>
    <w:rsid w:val="2F777CA8"/>
    <w:rsid w:val="2F7841E0"/>
    <w:rsid w:val="2F789D22"/>
    <w:rsid w:val="2F7931C9"/>
    <w:rsid w:val="2F79B85E"/>
    <w:rsid w:val="2F79BEC0"/>
    <w:rsid w:val="2F7A9281"/>
    <w:rsid w:val="2F7C5B6B"/>
    <w:rsid w:val="2F7C6DF9"/>
    <w:rsid w:val="2F7CB306"/>
    <w:rsid w:val="2F7D11D2"/>
    <w:rsid w:val="2F7D8F76"/>
    <w:rsid w:val="2F7D95AC"/>
    <w:rsid w:val="2F7F56CB"/>
    <w:rsid w:val="2F7F75A4"/>
    <w:rsid w:val="2F808C8F"/>
    <w:rsid w:val="2F808DB6"/>
    <w:rsid w:val="2F80915F"/>
    <w:rsid w:val="2F80A61D"/>
    <w:rsid w:val="2F80EDAA"/>
    <w:rsid w:val="2F812191"/>
    <w:rsid w:val="2F82B190"/>
    <w:rsid w:val="2F82E1D5"/>
    <w:rsid w:val="2F8315A2"/>
    <w:rsid w:val="2F842DF4"/>
    <w:rsid w:val="2F84C530"/>
    <w:rsid w:val="2F865E7B"/>
    <w:rsid w:val="2F86AA61"/>
    <w:rsid w:val="2F877C64"/>
    <w:rsid w:val="2F88E082"/>
    <w:rsid w:val="2F8922E2"/>
    <w:rsid w:val="2F8A3805"/>
    <w:rsid w:val="2F8A7D17"/>
    <w:rsid w:val="2F8AE87F"/>
    <w:rsid w:val="2F8AFC4E"/>
    <w:rsid w:val="2F8BBF3A"/>
    <w:rsid w:val="2F8BF573"/>
    <w:rsid w:val="2F8C0AD2"/>
    <w:rsid w:val="2F8CAAB3"/>
    <w:rsid w:val="2F8D00E0"/>
    <w:rsid w:val="2F8D1FF3"/>
    <w:rsid w:val="2F8E7381"/>
    <w:rsid w:val="2F8F40E0"/>
    <w:rsid w:val="2F8F7375"/>
    <w:rsid w:val="2F90B2AC"/>
    <w:rsid w:val="2F90E74E"/>
    <w:rsid w:val="2F9190F2"/>
    <w:rsid w:val="2F91AED7"/>
    <w:rsid w:val="2F91CC1E"/>
    <w:rsid w:val="2F91E8DB"/>
    <w:rsid w:val="2F924288"/>
    <w:rsid w:val="2F93BCF5"/>
    <w:rsid w:val="2F94F24A"/>
    <w:rsid w:val="2F955B3A"/>
    <w:rsid w:val="2F959835"/>
    <w:rsid w:val="2F95BB8D"/>
    <w:rsid w:val="2F964EEF"/>
    <w:rsid w:val="2F96F564"/>
    <w:rsid w:val="2F97341F"/>
    <w:rsid w:val="2F9757FF"/>
    <w:rsid w:val="2F977490"/>
    <w:rsid w:val="2F981E1B"/>
    <w:rsid w:val="2F9955F9"/>
    <w:rsid w:val="2F9B862D"/>
    <w:rsid w:val="2F9B8807"/>
    <w:rsid w:val="2F9B8EC4"/>
    <w:rsid w:val="2F9C1F7C"/>
    <w:rsid w:val="2F9CBE18"/>
    <w:rsid w:val="2F9D433C"/>
    <w:rsid w:val="2F9EA386"/>
    <w:rsid w:val="2F9FDF4D"/>
    <w:rsid w:val="2FA167D3"/>
    <w:rsid w:val="2FA1CE13"/>
    <w:rsid w:val="2FA30251"/>
    <w:rsid w:val="2FA32240"/>
    <w:rsid w:val="2FA3BCDD"/>
    <w:rsid w:val="2FA4EA62"/>
    <w:rsid w:val="2FA61C77"/>
    <w:rsid w:val="2FA6CD8B"/>
    <w:rsid w:val="2FA78EBA"/>
    <w:rsid w:val="2FA791E4"/>
    <w:rsid w:val="2FA7CCFE"/>
    <w:rsid w:val="2FA83E24"/>
    <w:rsid w:val="2FA8923F"/>
    <w:rsid w:val="2FA8B564"/>
    <w:rsid w:val="2FA9D97C"/>
    <w:rsid w:val="2FAA2B54"/>
    <w:rsid w:val="2FAA42CD"/>
    <w:rsid w:val="2FAA6A8D"/>
    <w:rsid w:val="2FAAACDE"/>
    <w:rsid w:val="2FACC68E"/>
    <w:rsid w:val="2FACE92B"/>
    <w:rsid w:val="2FAD2EEC"/>
    <w:rsid w:val="2FADD230"/>
    <w:rsid w:val="2FAE866B"/>
    <w:rsid w:val="2FAF047A"/>
    <w:rsid w:val="2FB0F18C"/>
    <w:rsid w:val="2FB25C78"/>
    <w:rsid w:val="2FB2680C"/>
    <w:rsid w:val="2FB2B873"/>
    <w:rsid w:val="2FB348B0"/>
    <w:rsid w:val="2FB4C441"/>
    <w:rsid w:val="2FB4D31C"/>
    <w:rsid w:val="2FB4DCB5"/>
    <w:rsid w:val="2FB53FBC"/>
    <w:rsid w:val="2FB685DF"/>
    <w:rsid w:val="2FB72985"/>
    <w:rsid w:val="2FB739B4"/>
    <w:rsid w:val="2FB7F48E"/>
    <w:rsid w:val="2FB8D2ED"/>
    <w:rsid w:val="2FB9249C"/>
    <w:rsid w:val="2FBA3E62"/>
    <w:rsid w:val="2FBACF72"/>
    <w:rsid w:val="2FBCC157"/>
    <w:rsid w:val="2FBDDA45"/>
    <w:rsid w:val="2FBDF38A"/>
    <w:rsid w:val="2FBED167"/>
    <w:rsid w:val="2FBF1A5B"/>
    <w:rsid w:val="2FBFBB1E"/>
    <w:rsid w:val="2FBFEA34"/>
    <w:rsid w:val="2FC00DC8"/>
    <w:rsid w:val="2FC15F6C"/>
    <w:rsid w:val="2FC22A8F"/>
    <w:rsid w:val="2FC2DA2B"/>
    <w:rsid w:val="2FC462B3"/>
    <w:rsid w:val="2FC47821"/>
    <w:rsid w:val="2FC506C1"/>
    <w:rsid w:val="2FC508F7"/>
    <w:rsid w:val="2FC59B83"/>
    <w:rsid w:val="2FC643A3"/>
    <w:rsid w:val="2FC7B9AF"/>
    <w:rsid w:val="2FC8FFE9"/>
    <w:rsid w:val="2FC96A02"/>
    <w:rsid w:val="2FCA0B30"/>
    <w:rsid w:val="2FCA93F8"/>
    <w:rsid w:val="2FCB8572"/>
    <w:rsid w:val="2FCC1A21"/>
    <w:rsid w:val="2FCC25E6"/>
    <w:rsid w:val="2FCD4735"/>
    <w:rsid w:val="2FCD7591"/>
    <w:rsid w:val="2FCD87CB"/>
    <w:rsid w:val="2FCEFAA2"/>
    <w:rsid w:val="2FCFB670"/>
    <w:rsid w:val="2FCFF351"/>
    <w:rsid w:val="2FD27B85"/>
    <w:rsid w:val="2FD2AAFB"/>
    <w:rsid w:val="2FD2CE5C"/>
    <w:rsid w:val="2FD2DE16"/>
    <w:rsid w:val="2FD2EAC0"/>
    <w:rsid w:val="2FD3587E"/>
    <w:rsid w:val="2FD36EB2"/>
    <w:rsid w:val="2FD37437"/>
    <w:rsid w:val="2FD3992D"/>
    <w:rsid w:val="2FD3F035"/>
    <w:rsid w:val="2FD41875"/>
    <w:rsid w:val="2FD475D6"/>
    <w:rsid w:val="2FD4B06A"/>
    <w:rsid w:val="2FD4B814"/>
    <w:rsid w:val="2FD57ABF"/>
    <w:rsid w:val="2FD58D09"/>
    <w:rsid w:val="2FD5A49D"/>
    <w:rsid w:val="2FD5CE91"/>
    <w:rsid w:val="2FD687AC"/>
    <w:rsid w:val="2FD6F545"/>
    <w:rsid w:val="2FD7409F"/>
    <w:rsid w:val="2FD8C59E"/>
    <w:rsid w:val="2FDAE72E"/>
    <w:rsid w:val="2FDB19AA"/>
    <w:rsid w:val="2FDCD17B"/>
    <w:rsid w:val="2FDCDED2"/>
    <w:rsid w:val="2FDD196B"/>
    <w:rsid w:val="2FDD29DC"/>
    <w:rsid w:val="2FDDC5BF"/>
    <w:rsid w:val="2FDDD85B"/>
    <w:rsid w:val="2FDE7E38"/>
    <w:rsid w:val="2FDF70A1"/>
    <w:rsid w:val="2FDFB7C1"/>
    <w:rsid w:val="2FE08AAA"/>
    <w:rsid w:val="2FE18BAD"/>
    <w:rsid w:val="2FE2BD14"/>
    <w:rsid w:val="2FE2C3DB"/>
    <w:rsid w:val="2FE4243C"/>
    <w:rsid w:val="2FE43F4F"/>
    <w:rsid w:val="2FE4BA45"/>
    <w:rsid w:val="2FE4FB34"/>
    <w:rsid w:val="2FE5179B"/>
    <w:rsid w:val="2FE7068D"/>
    <w:rsid w:val="2FE7510E"/>
    <w:rsid w:val="2FEAC8D1"/>
    <w:rsid w:val="2FEADD60"/>
    <w:rsid w:val="2FEB02BE"/>
    <w:rsid w:val="2FEC082F"/>
    <w:rsid w:val="2FEC625C"/>
    <w:rsid w:val="2FED198E"/>
    <w:rsid w:val="2FED6D8C"/>
    <w:rsid w:val="2FEECCCE"/>
    <w:rsid w:val="2FEEF361"/>
    <w:rsid w:val="2FF0D514"/>
    <w:rsid w:val="2FF233AC"/>
    <w:rsid w:val="2FF3741D"/>
    <w:rsid w:val="2FF40EFB"/>
    <w:rsid w:val="2FF50FBF"/>
    <w:rsid w:val="2FF5BC56"/>
    <w:rsid w:val="2FF5C9B5"/>
    <w:rsid w:val="2FF6B8E8"/>
    <w:rsid w:val="2FF71AEA"/>
    <w:rsid w:val="2FF80BD8"/>
    <w:rsid w:val="2FF8AAE7"/>
    <w:rsid w:val="2FF8DFE9"/>
    <w:rsid w:val="2FF91118"/>
    <w:rsid w:val="2FF98E9C"/>
    <w:rsid w:val="2FF9B27B"/>
    <w:rsid w:val="2FFA48E7"/>
    <w:rsid w:val="2FFB8356"/>
    <w:rsid w:val="2FFC3F9A"/>
    <w:rsid w:val="2FFF0497"/>
    <w:rsid w:val="2FFFDC66"/>
    <w:rsid w:val="3000136C"/>
    <w:rsid w:val="30010191"/>
    <w:rsid w:val="30011DD8"/>
    <w:rsid w:val="30014A8A"/>
    <w:rsid w:val="3001585B"/>
    <w:rsid w:val="30026F85"/>
    <w:rsid w:val="3002C399"/>
    <w:rsid w:val="3004F301"/>
    <w:rsid w:val="300550F1"/>
    <w:rsid w:val="3005AAB5"/>
    <w:rsid w:val="3005D8C9"/>
    <w:rsid w:val="30061BAE"/>
    <w:rsid w:val="300661BB"/>
    <w:rsid w:val="30075C2A"/>
    <w:rsid w:val="300805C7"/>
    <w:rsid w:val="30086758"/>
    <w:rsid w:val="3008CE74"/>
    <w:rsid w:val="300976B0"/>
    <w:rsid w:val="3009925D"/>
    <w:rsid w:val="300A0A38"/>
    <w:rsid w:val="300A365B"/>
    <w:rsid w:val="300AEC96"/>
    <w:rsid w:val="300BF386"/>
    <w:rsid w:val="300C3CD3"/>
    <w:rsid w:val="300D3CB9"/>
    <w:rsid w:val="300DE187"/>
    <w:rsid w:val="300E9736"/>
    <w:rsid w:val="300EFA8B"/>
    <w:rsid w:val="300F35EA"/>
    <w:rsid w:val="300F7660"/>
    <w:rsid w:val="300F83A6"/>
    <w:rsid w:val="300FBEA7"/>
    <w:rsid w:val="300FE058"/>
    <w:rsid w:val="30106CCA"/>
    <w:rsid w:val="301073E3"/>
    <w:rsid w:val="30109AA5"/>
    <w:rsid w:val="3010F7C2"/>
    <w:rsid w:val="30124345"/>
    <w:rsid w:val="30131430"/>
    <w:rsid w:val="30137CFF"/>
    <w:rsid w:val="30139D26"/>
    <w:rsid w:val="3013B6A7"/>
    <w:rsid w:val="30145AA4"/>
    <w:rsid w:val="30146B40"/>
    <w:rsid w:val="3014B5E8"/>
    <w:rsid w:val="30150BC4"/>
    <w:rsid w:val="30151FEE"/>
    <w:rsid w:val="3015CA58"/>
    <w:rsid w:val="30162E0D"/>
    <w:rsid w:val="30165749"/>
    <w:rsid w:val="3018582A"/>
    <w:rsid w:val="3018E1F3"/>
    <w:rsid w:val="3018F490"/>
    <w:rsid w:val="30190AC1"/>
    <w:rsid w:val="301969FA"/>
    <w:rsid w:val="301B02A6"/>
    <w:rsid w:val="301B8D8E"/>
    <w:rsid w:val="301BBA5E"/>
    <w:rsid w:val="301BF649"/>
    <w:rsid w:val="301C92EE"/>
    <w:rsid w:val="301CE636"/>
    <w:rsid w:val="301D143E"/>
    <w:rsid w:val="301E0B1D"/>
    <w:rsid w:val="301E2CCB"/>
    <w:rsid w:val="301E89B6"/>
    <w:rsid w:val="301ED281"/>
    <w:rsid w:val="301F0BAE"/>
    <w:rsid w:val="301F11EB"/>
    <w:rsid w:val="301F77BE"/>
    <w:rsid w:val="301FC69A"/>
    <w:rsid w:val="301FE2FA"/>
    <w:rsid w:val="302005AF"/>
    <w:rsid w:val="302042F1"/>
    <w:rsid w:val="30207086"/>
    <w:rsid w:val="302303B0"/>
    <w:rsid w:val="30235DC3"/>
    <w:rsid w:val="30247ED0"/>
    <w:rsid w:val="30265C95"/>
    <w:rsid w:val="30266D13"/>
    <w:rsid w:val="3027B43D"/>
    <w:rsid w:val="3027CCE5"/>
    <w:rsid w:val="3027E49F"/>
    <w:rsid w:val="3028C961"/>
    <w:rsid w:val="3028D539"/>
    <w:rsid w:val="302942BA"/>
    <w:rsid w:val="302AC804"/>
    <w:rsid w:val="302B50DF"/>
    <w:rsid w:val="302BC86D"/>
    <w:rsid w:val="302BD1EB"/>
    <w:rsid w:val="302DA006"/>
    <w:rsid w:val="302E7C1C"/>
    <w:rsid w:val="302E8218"/>
    <w:rsid w:val="303082DC"/>
    <w:rsid w:val="3031558F"/>
    <w:rsid w:val="30319C70"/>
    <w:rsid w:val="30320742"/>
    <w:rsid w:val="3032C568"/>
    <w:rsid w:val="3032E329"/>
    <w:rsid w:val="3034BED6"/>
    <w:rsid w:val="30352F61"/>
    <w:rsid w:val="30358B18"/>
    <w:rsid w:val="3035DADE"/>
    <w:rsid w:val="3036D2BF"/>
    <w:rsid w:val="303767A7"/>
    <w:rsid w:val="3037B1E3"/>
    <w:rsid w:val="3038338D"/>
    <w:rsid w:val="3038872D"/>
    <w:rsid w:val="30390B0F"/>
    <w:rsid w:val="3039D9C4"/>
    <w:rsid w:val="303AED12"/>
    <w:rsid w:val="303B10B4"/>
    <w:rsid w:val="303BF868"/>
    <w:rsid w:val="303C4C91"/>
    <w:rsid w:val="303D53E4"/>
    <w:rsid w:val="303D89ED"/>
    <w:rsid w:val="303E5BF8"/>
    <w:rsid w:val="30407ABF"/>
    <w:rsid w:val="3040C248"/>
    <w:rsid w:val="3040D296"/>
    <w:rsid w:val="304118AE"/>
    <w:rsid w:val="30416149"/>
    <w:rsid w:val="3041DECE"/>
    <w:rsid w:val="30420C84"/>
    <w:rsid w:val="3042998D"/>
    <w:rsid w:val="3042E2EB"/>
    <w:rsid w:val="3043123A"/>
    <w:rsid w:val="304368AD"/>
    <w:rsid w:val="3043A660"/>
    <w:rsid w:val="30446FC1"/>
    <w:rsid w:val="30447914"/>
    <w:rsid w:val="30463B5A"/>
    <w:rsid w:val="30472849"/>
    <w:rsid w:val="3047975A"/>
    <w:rsid w:val="3048A588"/>
    <w:rsid w:val="3048B007"/>
    <w:rsid w:val="3048DB1A"/>
    <w:rsid w:val="3048EC0F"/>
    <w:rsid w:val="304AF666"/>
    <w:rsid w:val="304BD77B"/>
    <w:rsid w:val="304CA0D7"/>
    <w:rsid w:val="304D847E"/>
    <w:rsid w:val="304DC488"/>
    <w:rsid w:val="304E17C9"/>
    <w:rsid w:val="304E4267"/>
    <w:rsid w:val="304EF0D7"/>
    <w:rsid w:val="304F118A"/>
    <w:rsid w:val="304FDB98"/>
    <w:rsid w:val="30504A7B"/>
    <w:rsid w:val="3050BE2A"/>
    <w:rsid w:val="3051D26C"/>
    <w:rsid w:val="3051D650"/>
    <w:rsid w:val="30522382"/>
    <w:rsid w:val="30524286"/>
    <w:rsid w:val="30527398"/>
    <w:rsid w:val="305273A6"/>
    <w:rsid w:val="3052F2DE"/>
    <w:rsid w:val="3053450A"/>
    <w:rsid w:val="305356BC"/>
    <w:rsid w:val="3053EB14"/>
    <w:rsid w:val="3054E07F"/>
    <w:rsid w:val="3055971A"/>
    <w:rsid w:val="305650FA"/>
    <w:rsid w:val="3056C7F1"/>
    <w:rsid w:val="3057FD17"/>
    <w:rsid w:val="305896DE"/>
    <w:rsid w:val="3058A2E9"/>
    <w:rsid w:val="3058E300"/>
    <w:rsid w:val="3058EFEB"/>
    <w:rsid w:val="30595184"/>
    <w:rsid w:val="30597B0A"/>
    <w:rsid w:val="3059C137"/>
    <w:rsid w:val="305A2A7C"/>
    <w:rsid w:val="305E977B"/>
    <w:rsid w:val="305F0D12"/>
    <w:rsid w:val="305F3494"/>
    <w:rsid w:val="305F3DDA"/>
    <w:rsid w:val="305F4C1F"/>
    <w:rsid w:val="305FEADD"/>
    <w:rsid w:val="3060762F"/>
    <w:rsid w:val="3061EC11"/>
    <w:rsid w:val="30624BD0"/>
    <w:rsid w:val="3062A525"/>
    <w:rsid w:val="3062D05C"/>
    <w:rsid w:val="30631C3B"/>
    <w:rsid w:val="3063BF8E"/>
    <w:rsid w:val="3064162A"/>
    <w:rsid w:val="3064D7AD"/>
    <w:rsid w:val="30664083"/>
    <w:rsid w:val="30671D90"/>
    <w:rsid w:val="30688691"/>
    <w:rsid w:val="306891A0"/>
    <w:rsid w:val="3069F3EA"/>
    <w:rsid w:val="306A6D2A"/>
    <w:rsid w:val="306B7FAF"/>
    <w:rsid w:val="306BBA0F"/>
    <w:rsid w:val="306BBECD"/>
    <w:rsid w:val="306BC3AA"/>
    <w:rsid w:val="306CF11B"/>
    <w:rsid w:val="306EBA05"/>
    <w:rsid w:val="306F2EC6"/>
    <w:rsid w:val="306F8B1D"/>
    <w:rsid w:val="306FD822"/>
    <w:rsid w:val="307045B6"/>
    <w:rsid w:val="3070500D"/>
    <w:rsid w:val="30717256"/>
    <w:rsid w:val="30729EAA"/>
    <w:rsid w:val="307306B4"/>
    <w:rsid w:val="30735B8B"/>
    <w:rsid w:val="30742569"/>
    <w:rsid w:val="30744F9C"/>
    <w:rsid w:val="30753A81"/>
    <w:rsid w:val="3075505D"/>
    <w:rsid w:val="30756E34"/>
    <w:rsid w:val="30757CDC"/>
    <w:rsid w:val="30768198"/>
    <w:rsid w:val="3076D3C0"/>
    <w:rsid w:val="3076F00F"/>
    <w:rsid w:val="30787DA6"/>
    <w:rsid w:val="307937E3"/>
    <w:rsid w:val="307A01EA"/>
    <w:rsid w:val="307A463F"/>
    <w:rsid w:val="307A5E72"/>
    <w:rsid w:val="307A8275"/>
    <w:rsid w:val="307AB6DC"/>
    <w:rsid w:val="307BA889"/>
    <w:rsid w:val="307C3BA2"/>
    <w:rsid w:val="307CA0F6"/>
    <w:rsid w:val="307CC33A"/>
    <w:rsid w:val="307E2B77"/>
    <w:rsid w:val="307F2E00"/>
    <w:rsid w:val="307F67A3"/>
    <w:rsid w:val="30805A7E"/>
    <w:rsid w:val="30817346"/>
    <w:rsid w:val="30824F38"/>
    <w:rsid w:val="3082B3B3"/>
    <w:rsid w:val="3084284A"/>
    <w:rsid w:val="30848B84"/>
    <w:rsid w:val="30848C5A"/>
    <w:rsid w:val="308573BF"/>
    <w:rsid w:val="3086424E"/>
    <w:rsid w:val="3086E8AA"/>
    <w:rsid w:val="3086FE94"/>
    <w:rsid w:val="3087779E"/>
    <w:rsid w:val="308824AB"/>
    <w:rsid w:val="30889E1A"/>
    <w:rsid w:val="308B58EA"/>
    <w:rsid w:val="308C07C3"/>
    <w:rsid w:val="308C6C76"/>
    <w:rsid w:val="308C875D"/>
    <w:rsid w:val="308CC17E"/>
    <w:rsid w:val="308CDF27"/>
    <w:rsid w:val="308CF4FA"/>
    <w:rsid w:val="308DFF77"/>
    <w:rsid w:val="308E3611"/>
    <w:rsid w:val="308E71F7"/>
    <w:rsid w:val="308EA062"/>
    <w:rsid w:val="308F03A0"/>
    <w:rsid w:val="308F8DFE"/>
    <w:rsid w:val="308FDB27"/>
    <w:rsid w:val="30902F2E"/>
    <w:rsid w:val="309031E3"/>
    <w:rsid w:val="3090CD2F"/>
    <w:rsid w:val="3090F26B"/>
    <w:rsid w:val="309167FB"/>
    <w:rsid w:val="30931A65"/>
    <w:rsid w:val="30945576"/>
    <w:rsid w:val="30947B1E"/>
    <w:rsid w:val="3094A78E"/>
    <w:rsid w:val="3094F76B"/>
    <w:rsid w:val="3095D552"/>
    <w:rsid w:val="30964008"/>
    <w:rsid w:val="3096418C"/>
    <w:rsid w:val="3098816C"/>
    <w:rsid w:val="30989030"/>
    <w:rsid w:val="3098B562"/>
    <w:rsid w:val="3098CBD7"/>
    <w:rsid w:val="309955E6"/>
    <w:rsid w:val="3099DAC3"/>
    <w:rsid w:val="309A0E30"/>
    <w:rsid w:val="309A30B6"/>
    <w:rsid w:val="309A3F56"/>
    <w:rsid w:val="309B2938"/>
    <w:rsid w:val="309D7485"/>
    <w:rsid w:val="309DA7ED"/>
    <w:rsid w:val="309DB6D3"/>
    <w:rsid w:val="309EF113"/>
    <w:rsid w:val="30A08BE4"/>
    <w:rsid w:val="30A0F22E"/>
    <w:rsid w:val="30A1DE7C"/>
    <w:rsid w:val="30A39A16"/>
    <w:rsid w:val="30A41EDA"/>
    <w:rsid w:val="30A4A8B1"/>
    <w:rsid w:val="30A50BE5"/>
    <w:rsid w:val="30A54F23"/>
    <w:rsid w:val="30A5DE9C"/>
    <w:rsid w:val="30A69C87"/>
    <w:rsid w:val="30A6A46A"/>
    <w:rsid w:val="30A70595"/>
    <w:rsid w:val="30A90696"/>
    <w:rsid w:val="30A93614"/>
    <w:rsid w:val="30A95050"/>
    <w:rsid w:val="30A9A57C"/>
    <w:rsid w:val="30A9D555"/>
    <w:rsid w:val="30A9F0EB"/>
    <w:rsid w:val="30AA3420"/>
    <w:rsid w:val="30AA4865"/>
    <w:rsid w:val="30AB652A"/>
    <w:rsid w:val="30AC094A"/>
    <w:rsid w:val="30AC86EC"/>
    <w:rsid w:val="30ADA5E8"/>
    <w:rsid w:val="30B03F11"/>
    <w:rsid w:val="30B0A7F9"/>
    <w:rsid w:val="30B0D58C"/>
    <w:rsid w:val="30B20D7D"/>
    <w:rsid w:val="30B2EA56"/>
    <w:rsid w:val="30B3F65E"/>
    <w:rsid w:val="30B401B9"/>
    <w:rsid w:val="30B65D74"/>
    <w:rsid w:val="30B67AC6"/>
    <w:rsid w:val="30B6D6BE"/>
    <w:rsid w:val="30B6DB5C"/>
    <w:rsid w:val="30B6DFA6"/>
    <w:rsid w:val="30B7DD8E"/>
    <w:rsid w:val="30B8589C"/>
    <w:rsid w:val="30B91F17"/>
    <w:rsid w:val="30B94864"/>
    <w:rsid w:val="30BA1929"/>
    <w:rsid w:val="30BA62FB"/>
    <w:rsid w:val="30BACF72"/>
    <w:rsid w:val="30BBF069"/>
    <w:rsid w:val="30BBF1C4"/>
    <w:rsid w:val="30BCA7FF"/>
    <w:rsid w:val="30BE0149"/>
    <w:rsid w:val="30BECC3B"/>
    <w:rsid w:val="30BFA138"/>
    <w:rsid w:val="30BFB4A2"/>
    <w:rsid w:val="30BFB6E4"/>
    <w:rsid w:val="30BFD7A7"/>
    <w:rsid w:val="30C01199"/>
    <w:rsid w:val="30C05748"/>
    <w:rsid w:val="30C1924E"/>
    <w:rsid w:val="30C19A8C"/>
    <w:rsid w:val="30C1F81B"/>
    <w:rsid w:val="30C2442A"/>
    <w:rsid w:val="30C2BB99"/>
    <w:rsid w:val="30C451AF"/>
    <w:rsid w:val="30C4864E"/>
    <w:rsid w:val="30C542EA"/>
    <w:rsid w:val="30C5982A"/>
    <w:rsid w:val="30C816E6"/>
    <w:rsid w:val="30C86F07"/>
    <w:rsid w:val="30C8E961"/>
    <w:rsid w:val="30C998B6"/>
    <w:rsid w:val="30CA2CA5"/>
    <w:rsid w:val="30CA41D3"/>
    <w:rsid w:val="30CA67FB"/>
    <w:rsid w:val="30CA8196"/>
    <w:rsid w:val="30CA8F80"/>
    <w:rsid w:val="30CA92FA"/>
    <w:rsid w:val="30CA9FDE"/>
    <w:rsid w:val="30CAE6A1"/>
    <w:rsid w:val="30CB204D"/>
    <w:rsid w:val="30CBDBFA"/>
    <w:rsid w:val="30CBF3E4"/>
    <w:rsid w:val="30CC1AA4"/>
    <w:rsid w:val="30CD48B7"/>
    <w:rsid w:val="30CD8851"/>
    <w:rsid w:val="30CE9CDB"/>
    <w:rsid w:val="30CECDE2"/>
    <w:rsid w:val="30CF5968"/>
    <w:rsid w:val="30CF96A1"/>
    <w:rsid w:val="30CFD029"/>
    <w:rsid w:val="30D077E5"/>
    <w:rsid w:val="30D07DC6"/>
    <w:rsid w:val="30D11EFE"/>
    <w:rsid w:val="30D1FBFA"/>
    <w:rsid w:val="30D2474F"/>
    <w:rsid w:val="30D3062E"/>
    <w:rsid w:val="30D47EDF"/>
    <w:rsid w:val="30D4F994"/>
    <w:rsid w:val="30D53A9D"/>
    <w:rsid w:val="30D552E9"/>
    <w:rsid w:val="30D56F19"/>
    <w:rsid w:val="30D5CE8A"/>
    <w:rsid w:val="30D6D8D0"/>
    <w:rsid w:val="30D6F1FF"/>
    <w:rsid w:val="30D7FF87"/>
    <w:rsid w:val="30D8ACC5"/>
    <w:rsid w:val="30D9037C"/>
    <w:rsid w:val="30D9570F"/>
    <w:rsid w:val="30D96C32"/>
    <w:rsid w:val="30DA099C"/>
    <w:rsid w:val="30DA46B4"/>
    <w:rsid w:val="30DAA6B3"/>
    <w:rsid w:val="30DAFA15"/>
    <w:rsid w:val="30DB7F34"/>
    <w:rsid w:val="30DCDAC4"/>
    <w:rsid w:val="30DCEA57"/>
    <w:rsid w:val="30E00BBC"/>
    <w:rsid w:val="30E08360"/>
    <w:rsid w:val="30E10BBC"/>
    <w:rsid w:val="30E21A0F"/>
    <w:rsid w:val="30E26844"/>
    <w:rsid w:val="30E29948"/>
    <w:rsid w:val="30E30E7C"/>
    <w:rsid w:val="30E5EDA9"/>
    <w:rsid w:val="30E69E1D"/>
    <w:rsid w:val="30E73D38"/>
    <w:rsid w:val="30E74701"/>
    <w:rsid w:val="30E7DC97"/>
    <w:rsid w:val="30EA4AE9"/>
    <w:rsid w:val="30ECAF4A"/>
    <w:rsid w:val="30ECD920"/>
    <w:rsid w:val="30ED967D"/>
    <w:rsid w:val="30EFF846"/>
    <w:rsid w:val="30F0C240"/>
    <w:rsid w:val="30F14FDE"/>
    <w:rsid w:val="30F28B88"/>
    <w:rsid w:val="30F3C62D"/>
    <w:rsid w:val="30F44F21"/>
    <w:rsid w:val="30F530F5"/>
    <w:rsid w:val="30F5371B"/>
    <w:rsid w:val="30F5538A"/>
    <w:rsid w:val="30F74F49"/>
    <w:rsid w:val="30F77A2E"/>
    <w:rsid w:val="30F7BE7F"/>
    <w:rsid w:val="30F81DE4"/>
    <w:rsid w:val="30FA38F7"/>
    <w:rsid w:val="30FAA239"/>
    <w:rsid w:val="30FADBD1"/>
    <w:rsid w:val="30FBAA6E"/>
    <w:rsid w:val="30FD0EEB"/>
    <w:rsid w:val="30FD3B5F"/>
    <w:rsid w:val="30FD53A0"/>
    <w:rsid w:val="3100CDAF"/>
    <w:rsid w:val="31013DA7"/>
    <w:rsid w:val="31018351"/>
    <w:rsid w:val="31023C26"/>
    <w:rsid w:val="31031CA0"/>
    <w:rsid w:val="31044AA4"/>
    <w:rsid w:val="31049857"/>
    <w:rsid w:val="3104EABF"/>
    <w:rsid w:val="31053252"/>
    <w:rsid w:val="3105BDA6"/>
    <w:rsid w:val="3106B3E6"/>
    <w:rsid w:val="3107607D"/>
    <w:rsid w:val="31083EB3"/>
    <w:rsid w:val="3108C700"/>
    <w:rsid w:val="3109754B"/>
    <w:rsid w:val="3109BBEF"/>
    <w:rsid w:val="310C59AA"/>
    <w:rsid w:val="310CD8FE"/>
    <w:rsid w:val="310DE7F8"/>
    <w:rsid w:val="310DF6E0"/>
    <w:rsid w:val="311011DD"/>
    <w:rsid w:val="3110FA3E"/>
    <w:rsid w:val="311123D5"/>
    <w:rsid w:val="31114493"/>
    <w:rsid w:val="31116745"/>
    <w:rsid w:val="31143A62"/>
    <w:rsid w:val="311457FA"/>
    <w:rsid w:val="311483AE"/>
    <w:rsid w:val="31150F7F"/>
    <w:rsid w:val="3115E199"/>
    <w:rsid w:val="311681D7"/>
    <w:rsid w:val="31172A80"/>
    <w:rsid w:val="31177556"/>
    <w:rsid w:val="3117C068"/>
    <w:rsid w:val="3117DC82"/>
    <w:rsid w:val="3118B5C3"/>
    <w:rsid w:val="3119219D"/>
    <w:rsid w:val="3119B872"/>
    <w:rsid w:val="311A79FD"/>
    <w:rsid w:val="311ADD12"/>
    <w:rsid w:val="311B1813"/>
    <w:rsid w:val="311C57C9"/>
    <w:rsid w:val="311D14AB"/>
    <w:rsid w:val="311D2B79"/>
    <w:rsid w:val="311DE4A7"/>
    <w:rsid w:val="311FE60F"/>
    <w:rsid w:val="31205B84"/>
    <w:rsid w:val="312101DA"/>
    <w:rsid w:val="31210904"/>
    <w:rsid w:val="3121D12D"/>
    <w:rsid w:val="3122C26A"/>
    <w:rsid w:val="31230272"/>
    <w:rsid w:val="3123174F"/>
    <w:rsid w:val="31236EC5"/>
    <w:rsid w:val="312554D5"/>
    <w:rsid w:val="312597AA"/>
    <w:rsid w:val="31263E53"/>
    <w:rsid w:val="31269710"/>
    <w:rsid w:val="3126AB23"/>
    <w:rsid w:val="31270302"/>
    <w:rsid w:val="3127627F"/>
    <w:rsid w:val="3127940F"/>
    <w:rsid w:val="3127B2E6"/>
    <w:rsid w:val="3127C3D2"/>
    <w:rsid w:val="312867E0"/>
    <w:rsid w:val="312AA192"/>
    <w:rsid w:val="312AA2F3"/>
    <w:rsid w:val="312BD8E4"/>
    <w:rsid w:val="312BDF92"/>
    <w:rsid w:val="312D4616"/>
    <w:rsid w:val="312D8F55"/>
    <w:rsid w:val="312E62D8"/>
    <w:rsid w:val="312EEB6F"/>
    <w:rsid w:val="312FBF77"/>
    <w:rsid w:val="31312CAE"/>
    <w:rsid w:val="31317811"/>
    <w:rsid w:val="3131F57E"/>
    <w:rsid w:val="3132413E"/>
    <w:rsid w:val="313342E7"/>
    <w:rsid w:val="3133E054"/>
    <w:rsid w:val="3133F70E"/>
    <w:rsid w:val="31344C85"/>
    <w:rsid w:val="3134F3B8"/>
    <w:rsid w:val="31352923"/>
    <w:rsid w:val="313630C6"/>
    <w:rsid w:val="313694F9"/>
    <w:rsid w:val="3136EF85"/>
    <w:rsid w:val="31371EC9"/>
    <w:rsid w:val="3137A6A0"/>
    <w:rsid w:val="31390703"/>
    <w:rsid w:val="31394A1F"/>
    <w:rsid w:val="3139DF48"/>
    <w:rsid w:val="313AA923"/>
    <w:rsid w:val="313AC417"/>
    <w:rsid w:val="313AF968"/>
    <w:rsid w:val="313CB945"/>
    <w:rsid w:val="313CCD77"/>
    <w:rsid w:val="313D80C7"/>
    <w:rsid w:val="313DB255"/>
    <w:rsid w:val="313E04E0"/>
    <w:rsid w:val="313E1399"/>
    <w:rsid w:val="313FC166"/>
    <w:rsid w:val="313FC98D"/>
    <w:rsid w:val="3140EC2F"/>
    <w:rsid w:val="314105D9"/>
    <w:rsid w:val="3141C452"/>
    <w:rsid w:val="3141E7CE"/>
    <w:rsid w:val="31421597"/>
    <w:rsid w:val="314243FC"/>
    <w:rsid w:val="3143D284"/>
    <w:rsid w:val="31455C89"/>
    <w:rsid w:val="3145B688"/>
    <w:rsid w:val="31462182"/>
    <w:rsid w:val="31465AE8"/>
    <w:rsid w:val="31469E00"/>
    <w:rsid w:val="3147268E"/>
    <w:rsid w:val="3147E36F"/>
    <w:rsid w:val="3149410E"/>
    <w:rsid w:val="31499AFC"/>
    <w:rsid w:val="314A0166"/>
    <w:rsid w:val="314AA65E"/>
    <w:rsid w:val="314B7DDA"/>
    <w:rsid w:val="314C3C3F"/>
    <w:rsid w:val="314D5B9B"/>
    <w:rsid w:val="314D719C"/>
    <w:rsid w:val="314DFDFB"/>
    <w:rsid w:val="314E490E"/>
    <w:rsid w:val="31506FBF"/>
    <w:rsid w:val="3150C278"/>
    <w:rsid w:val="31512FA5"/>
    <w:rsid w:val="3152E24E"/>
    <w:rsid w:val="315317D6"/>
    <w:rsid w:val="31536173"/>
    <w:rsid w:val="3154B365"/>
    <w:rsid w:val="3154B580"/>
    <w:rsid w:val="3154E9B5"/>
    <w:rsid w:val="31572FA2"/>
    <w:rsid w:val="31573A8E"/>
    <w:rsid w:val="315762FD"/>
    <w:rsid w:val="3157D379"/>
    <w:rsid w:val="3158FCFA"/>
    <w:rsid w:val="31595812"/>
    <w:rsid w:val="315A1A5D"/>
    <w:rsid w:val="315A96A8"/>
    <w:rsid w:val="315AB7B5"/>
    <w:rsid w:val="315AD889"/>
    <w:rsid w:val="315D0C1E"/>
    <w:rsid w:val="3160687B"/>
    <w:rsid w:val="3160D9CA"/>
    <w:rsid w:val="31611D03"/>
    <w:rsid w:val="31616215"/>
    <w:rsid w:val="31633EDC"/>
    <w:rsid w:val="31645A4C"/>
    <w:rsid w:val="31645F6A"/>
    <w:rsid w:val="31649D71"/>
    <w:rsid w:val="3165C86A"/>
    <w:rsid w:val="3166794E"/>
    <w:rsid w:val="3166CAEA"/>
    <w:rsid w:val="31676A6F"/>
    <w:rsid w:val="3167C259"/>
    <w:rsid w:val="3168CC8A"/>
    <w:rsid w:val="3168D017"/>
    <w:rsid w:val="3169445F"/>
    <w:rsid w:val="31695C08"/>
    <w:rsid w:val="3169808F"/>
    <w:rsid w:val="3169876F"/>
    <w:rsid w:val="3169BC1D"/>
    <w:rsid w:val="3169DDD1"/>
    <w:rsid w:val="316A10D6"/>
    <w:rsid w:val="316ADA43"/>
    <w:rsid w:val="316B5D44"/>
    <w:rsid w:val="316B6F20"/>
    <w:rsid w:val="316BD582"/>
    <w:rsid w:val="316CA420"/>
    <w:rsid w:val="316DD605"/>
    <w:rsid w:val="316E1C04"/>
    <w:rsid w:val="316F5445"/>
    <w:rsid w:val="316FD9FF"/>
    <w:rsid w:val="316FF504"/>
    <w:rsid w:val="31701DC3"/>
    <w:rsid w:val="317055A4"/>
    <w:rsid w:val="31705FB6"/>
    <w:rsid w:val="3171C4E4"/>
    <w:rsid w:val="3172AC13"/>
    <w:rsid w:val="3172CEA1"/>
    <w:rsid w:val="3173F5C3"/>
    <w:rsid w:val="31746D20"/>
    <w:rsid w:val="31754321"/>
    <w:rsid w:val="31757A12"/>
    <w:rsid w:val="31761FA2"/>
    <w:rsid w:val="3176332F"/>
    <w:rsid w:val="31767869"/>
    <w:rsid w:val="31774C75"/>
    <w:rsid w:val="3177CFD5"/>
    <w:rsid w:val="3177FACF"/>
    <w:rsid w:val="31780606"/>
    <w:rsid w:val="31782933"/>
    <w:rsid w:val="31783FBD"/>
    <w:rsid w:val="31787B47"/>
    <w:rsid w:val="3178805E"/>
    <w:rsid w:val="3178AFB2"/>
    <w:rsid w:val="31791E95"/>
    <w:rsid w:val="31797C67"/>
    <w:rsid w:val="317A201B"/>
    <w:rsid w:val="317BC2ED"/>
    <w:rsid w:val="317BEEED"/>
    <w:rsid w:val="317C0594"/>
    <w:rsid w:val="317C3BF6"/>
    <w:rsid w:val="317CF7BD"/>
    <w:rsid w:val="317D29A7"/>
    <w:rsid w:val="317D43DB"/>
    <w:rsid w:val="317D58CD"/>
    <w:rsid w:val="317D7DDB"/>
    <w:rsid w:val="317E1CB1"/>
    <w:rsid w:val="317E2EEA"/>
    <w:rsid w:val="317E8FE5"/>
    <w:rsid w:val="317E9270"/>
    <w:rsid w:val="317F4C92"/>
    <w:rsid w:val="3180436C"/>
    <w:rsid w:val="3180D0E4"/>
    <w:rsid w:val="3186B4FD"/>
    <w:rsid w:val="31870209"/>
    <w:rsid w:val="3187336E"/>
    <w:rsid w:val="3188F423"/>
    <w:rsid w:val="31890252"/>
    <w:rsid w:val="318A6B52"/>
    <w:rsid w:val="318D119B"/>
    <w:rsid w:val="318EB908"/>
    <w:rsid w:val="318F1960"/>
    <w:rsid w:val="3190642F"/>
    <w:rsid w:val="3190D51C"/>
    <w:rsid w:val="319213E7"/>
    <w:rsid w:val="31934CBF"/>
    <w:rsid w:val="31937675"/>
    <w:rsid w:val="31944B0F"/>
    <w:rsid w:val="31962FBD"/>
    <w:rsid w:val="3197C83F"/>
    <w:rsid w:val="3199F3BE"/>
    <w:rsid w:val="3199F473"/>
    <w:rsid w:val="319A88B9"/>
    <w:rsid w:val="319B1D25"/>
    <w:rsid w:val="319B209E"/>
    <w:rsid w:val="319BCFE5"/>
    <w:rsid w:val="319BDC89"/>
    <w:rsid w:val="319BEA3E"/>
    <w:rsid w:val="319C09A8"/>
    <w:rsid w:val="319C474E"/>
    <w:rsid w:val="319CB9A1"/>
    <w:rsid w:val="319F3EB2"/>
    <w:rsid w:val="319F72B7"/>
    <w:rsid w:val="319F83F8"/>
    <w:rsid w:val="31A0655B"/>
    <w:rsid w:val="31A10B7E"/>
    <w:rsid w:val="31A12D87"/>
    <w:rsid w:val="31A169F8"/>
    <w:rsid w:val="31A19965"/>
    <w:rsid w:val="31A1EC9D"/>
    <w:rsid w:val="31A29F41"/>
    <w:rsid w:val="31A2F407"/>
    <w:rsid w:val="31A309A4"/>
    <w:rsid w:val="31A32BDD"/>
    <w:rsid w:val="31A4939A"/>
    <w:rsid w:val="31A4B293"/>
    <w:rsid w:val="31A4F203"/>
    <w:rsid w:val="31A52380"/>
    <w:rsid w:val="31A5B270"/>
    <w:rsid w:val="31A5FC85"/>
    <w:rsid w:val="31A68F22"/>
    <w:rsid w:val="31A7F1E9"/>
    <w:rsid w:val="31A83746"/>
    <w:rsid w:val="31A89E8F"/>
    <w:rsid w:val="31A8D699"/>
    <w:rsid w:val="31A928AE"/>
    <w:rsid w:val="31A94599"/>
    <w:rsid w:val="31A94A01"/>
    <w:rsid w:val="31A9F4F9"/>
    <w:rsid w:val="31AA917E"/>
    <w:rsid w:val="31AAC68D"/>
    <w:rsid w:val="31ABF787"/>
    <w:rsid w:val="31AC0996"/>
    <w:rsid w:val="31AC10B1"/>
    <w:rsid w:val="31AC2324"/>
    <w:rsid w:val="31AC413C"/>
    <w:rsid w:val="31AD75AD"/>
    <w:rsid w:val="31ADA4FB"/>
    <w:rsid w:val="31ADFF87"/>
    <w:rsid w:val="31AEAE71"/>
    <w:rsid w:val="31AEFF9A"/>
    <w:rsid w:val="31AF660B"/>
    <w:rsid w:val="31B09647"/>
    <w:rsid w:val="31B17160"/>
    <w:rsid w:val="31B27B41"/>
    <w:rsid w:val="31B2D7EF"/>
    <w:rsid w:val="31B33632"/>
    <w:rsid w:val="31B35AA3"/>
    <w:rsid w:val="31B36487"/>
    <w:rsid w:val="31B3B133"/>
    <w:rsid w:val="31B3DDC3"/>
    <w:rsid w:val="31B428DD"/>
    <w:rsid w:val="31B45423"/>
    <w:rsid w:val="31B501E3"/>
    <w:rsid w:val="31B50313"/>
    <w:rsid w:val="31B729D4"/>
    <w:rsid w:val="31B7B9B9"/>
    <w:rsid w:val="31B80C0B"/>
    <w:rsid w:val="31B88D4F"/>
    <w:rsid w:val="31B8D8CC"/>
    <w:rsid w:val="31B8E54A"/>
    <w:rsid w:val="31B923BC"/>
    <w:rsid w:val="31B9D936"/>
    <w:rsid w:val="31BB1871"/>
    <w:rsid w:val="31BB4905"/>
    <w:rsid w:val="31BE03D5"/>
    <w:rsid w:val="31BEB325"/>
    <w:rsid w:val="31C04E2D"/>
    <w:rsid w:val="31C1018C"/>
    <w:rsid w:val="31C31EAE"/>
    <w:rsid w:val="31C3546E"/>
    <w:rsid w:val="31C3D315"/>
    <w:rsid w:val="31C45983"/>
    <w:rsid w:val="31C4E51A"/>
    <w:rsid w:val="31C4FC46"/>
    <w:rsid w:val="31C52142"/>
    <w:rsid w:val="31C52B7B"/>
    <w:rsid w:val="31C68107"/>
    <w:rsid w:val="31C6A022"/>
    <w:rsid w:val="31C80195"/>
    <w:rsid w:val="31C8DF33"/>
    <w:rsid w:val="31C9F521"/>
    <w:rsid w:val="31CA1A72"/>
    <w:rsid w:val="31CC0D68"/>
    <w:rsid w:val="31CC27D5"/>
    <w:rsid w:val="31CCB5E5"/>
    <w:rsid w:val="31CD243C"/>
    <w:rsid w:val="31CD47D8"/>
    <w:rsid w:val="31CD8EC4"/>
    <w:rsid w:val="31CD9976"/>
    <w:rsid w:val="31CDA62A"/>
    <w:rsid w:val="31CE609D"/>
    <w:rsid w:val="31CF5535"/>
    <w:rsid w:val="31CF7369"/>
    <w:rsid w:val="31D0256B"/>
    <w:rsid w:val="31D17B15"/>
    <w:rsid w:val="31D19731"/>
    <w:rsid w:val="31D1C3BB"/>
    <w:rsid w:val="31D1EAE9"/>
    <w:rsid w:val="31D2B9E0"/>
    <w:rsid w:val="31D42E92"/>
    <w:rsid w:val="31D49F5C"/>
    <w:rsid w:val="31D52F47"/>
    <w:rsid w:val="31D65400"/>
    <w:rsid w:val="31D742A1"/>
    <w:rsid w:val="31D7A347"/>
    <w:rsid w:val="31D7E410"/>
    <w:rsid w:val="31D7F201"/>
    <w:rsid w:val="31D83C88"/>
    <w:rsid w:val="31D86AC6"/>
    <w:rsid w:val="31D893EA"/>
    <w:rsid w:val="31D9D496"/>
    <w:rsid w:val="31DA1F67"/>
    <w:rsid w:val="31DA66E6"/>
    <w:rsid w:val="31DAD509"/>
    <w:rsid w:val="31DB014A"/>
    <w:rsid w:val="31DB091C"/>
    <w:rsid w:val="31DB72CE"/>
    <w:rsid w:val="31DBB707"/>
    <w:rsid w:val="31DBEED9"/>
    <w:rsid w:val="31DBFE98"/>
    <w:rsid w:val="31DC57D0"/>
    <w:rsid w:val="31DC99F4"/>
    <w:rsid w:val="31DCAA81"/>
    <w:rsid w:val="31DD1DE0"/>
    <w:rsid w:val="31DDF0C8"/>
    <w:rsid w:val="31DFB996"/>
    <w:rsid w:val="31E02A5B"/>
    <w:rsid w:val="31E13169"/>
    <w:rsid w:val="31E179FB"/>
    <w:rsid w:val="31E27291"/>
    <w:rsid w:val="31E2DBDE"/>
    <w:rsid w:val="31E4097E"/>
    <w:rsid w:val="31E54BE9"/>
    <w:rsid w:val="31E6ED18"/>
    <w:rsid w:val="31E8BCDB"/>
    <w:rsid w:val="31E911CE"/>
    <w:rsid w:val="31E921DE"/>
    <w:rsid w:val="31E94245"/>
    <w:rsid w:val="31EA6D9E"/>
    <w:rsid w:val="31EC1B86"/>
    <w:rsid w:val="31EC89E5"/>
    <w:rsid w:val="31ED3482"/>
    <w:rsid w:val="31ED5C82"/>
    <w:rsid w:val="31ED9D42"/>
    <w:rsid w:val="31EDA3C1"/>
    <w:rsid w:val="31EF7D1A"/>
    <w:rsid w:val="31F0A3F1"/>
    <w:rsid w:val="31F132C1"/>
    <w:rsid w:val="31F1AAF4"/>
    <w:rsid w:val="31F20CC5"/>
    <w:rsid w:val="31F38165"/>
    <w:rsid w:val="31F3CAB7"/>
    <w:rsid w:val="31F3F85C"/>
    <w:rsid w:val="31F4AF6D"/>
    <w:rsid w:val="31F5A20F"/>
    <w:rsid w:val="31F5B805"/>
    <w:rsid w:val="31F645FA"/>
    <w:rsid w:val="31F661E1"/>
    <w:rsid w:val="31F68E23"/>
    <w:rsid w:val="31F72045"/>
    <w:rsid w:val="31F79609"/>
    <w:rsid w:val="31F8261C"/>
    <w:rsid w:val="31F85C64"/>
    <w:rsid w:val="31F884C9"/>
    <w:rsid w:val="31F8FB94"/>
    <w:rsid w:val="31FBC3A5"/>
    <w:rsid w:val="31FC5396"/>
    <w:rsid w:val="31FCEFF7"/>
    <w:rsid w:val="31FD6307"/>
    <w:rsid w:val="31FDADED"/>
    <w:rsid w:val="31FDC0C6"/>
    <w:rsid w:val="31FE058C"/>
    <w:rsid w:val="31FE5AB6"/>
    <w:rsid w:val="31FE93BD"/>
    <w:rsid w:val="31FF8770"/>
    <w:rsid w:val="320030A9"/>
    <w:rsid w:val="3200AD98"/>
    <w:rsid w:val="3201558B"/>
    <w:rsid w:val="320183EF"/>
    <w:rsid w:val="320255DD"/>
    <w:rsid w:val="32043F19"/>
    <w:rsid w:val="32047321"/>
    <w:rsid w:val="3204E521"/>
    <w:rsid w:val="32050D65"/>
    <w:rsid w:val="32056C45"/>
    <w:rsid w:val="3205C0B2"/>
    <w:rsid w:val="3205D716"/>
    <w:rsid w:val="3205D803"/>
    <w:rsid w:val="32061BBC"/>
    <w:rsid w:val="3207123F"/>
    <w:rsid w:val="32072EA0"/>
    <w:rsid w:val="32092E4D"/>
    <w:rsid w:val="3209825B"/>
    <w:rsid w:val="3209BE5B"/>
    <w:rsid w:val="3209D1DF"/>
    <w:rsid w:val="320A354E"/>
    <w:rsid w:val="320AE5EE"/>
    <w:rsid w:val="320B5FE2"/>
    <w:rsid w:val="320BAA0D"/>
    <w:rsid w:val="320BBCA2"/>
    <w:rsid w:val="320BF46D"/>
    <w:rsid w:val="320CDBE7"/>
    <w:rsid w:val="320E379E"/>
    <w:rsid w:val="320E5788"/>
    <w:rsid w:val="320E71C6"/>
    <w:rsid w:val="320E9A8F"/>
    <w:rsid w:val="320ED2D0"/>
    <w:rsid w:val="320EEC41"/>
    <w:rsid w:val="320F3676"/>
    <w:rsid w:val="320F370A"/>
    <w:rsid w:val="320F4174"/>
    <w:rsid w:val="320F454F"/>
    <w:rsid w:val="320FFF63"/>
    <w:rsid w:val="3210694F"/>
    <w:rsid w:val="3210DBE3"/>
    <w:rsid w:val="3211D275"/>
    <w:rsid w:val="3211EF63"/>
    <w:rsid w:val="321369FE"/>
    <w:rsid w:val="32139346"/>
    <w:rsid w:val="3213AFF6"/>
    <w:rsid w:val="3214D405"/>
    <w:rsid w:val="32175058"/>
    <w:rsid w:val="32175E48"/>
    <w:rsid w:val="3217E727"/>
    <w:rsid w:val="32191D14"/>
    <w:rsid w:val="3219C8BB"/>
    <w:rsid w:val="321C6A5B"/>
    <w:rsid w:val="321CA828"/>
    <w:rsid w:val="321D0DD7"/>
    <w:rsid w:val="321D47E5"/>
    <w:rsid w:val="321D8306"/>
    <w:rsid w:val="321DFD4E"/>
    <w:rsid w:val="321E22B2"/>
    <w:rsid w:val="321E8477"/>
    <w:rsid w:val="321FC35D"/>
    <w:rsid w:val="32209FC8"/>
    <w:rsid w:val="3221AF6D"/>
    <w:rsid w:val="322213BD"/>
    <w:rsid w:val="32224F94"/>
    <w:rsid w:val="3222C14A"/>
    <w:rsid w:val="32238072"/>
    <w:rsid w:val="32238325"/>
    <w:rsid w:val="3224FE61"/>
    <w:rsid w:val="32252B00"/>
    <w:rsid w:val="32257078"/>
    <w:rsid w:val="322614AF"/>
    <w:rsid w:val="3226524A"/>
    <w:rsid w:val="32265AE9"/>
    <w:rsid w:val="32265F97"/>
    <w:rsid w:val="3226A5F6"/>
    <w:rsid w:val="322715D5"/>
    <w:rsid w:val="3227EC85"/>
    <w:rsid w:val="32297F57"/>
    <w:rsid w:val="322A1415"/>
    <w:rsid w:val="322A2844"/>
    <w:rsid w:val="322C8511"/>
    <w:rsid w:val="322E3497"/>
    <w:rsid w:val="322EE174"/>
    <w:rsid w:val="322F6684"/>
    <w:rsid w:val="322F8830"/>
    <w:rsid w:val="322FDA31"/>
    <w:rsid w:val="32309B1A"/>
    <w:rsid w:val="323231EC"/>
    <w:rsid w:val="3233797C"/>
    <w:rsid w:val="3234003D"/>
    <w:rsid w:val="323402E3"/>
    <w:rsid w:val="3234C4EE"/>
    <w:rsid w:val="32351135"/>
    <w:rsid w:val="32357B0E"/>
    <w:rsid w:val="32363797"/>
    <w:rsid w:val="32364991"/>
    <w:rsid w:val="323755AE"/>
    <w:rsid w:val="3237946E"/>
    <w:rsid w:val="32385000"/>
    <w:rsid w:val="3238DB0C"/>
    <w:rsid w:val="3238EFC2"/>
    <w:rsid w:val="32392B13"/>
    <w:rsid w:val="3239E7EE"/>
    <w:rsid w:val="323A272F"/>
    <w:rsid w:val="323A343C"/>
    <w:rsid w:val="323AC1D4"/>
    <w:rsid w:val="323BC675"/>
    <w:rsid w:val="323BFB40"/>
    <w:rsid w:val="323C51A5"/>
    <w:rsid w:val="323CBC30"/>
    <w:rsid w:val="323E1E16"/>
    <w:rsid w:val="323E2020"/>
    <w:rsid w:val="323E455A"/>
    <w:rsid w:val="323E691E"/>
    <w:rsid w:val="323F0B26"/>
    <w:rsid w:val="32401132"/>
    <w:rsid w:val="324197E1"/>
    <w:rsid w:val="3241CEF9"/>
    <w:rsid w:val="3243579C"/>
    <w:rsid w:val="324366B7"/>
    <w:rsid w:val="3243C66E"/>
    <w:rsid w:val="3243EC8E"/>
    <w:rsid w:val="3243EFAB"/>
    <w:rsid w:val="3244891A"/>
    <w:rsid w:val="32454ADE"/>
    <w:rsid w:val="324557FB"/>
    <w:rsid w:val="32463C07"/>
    <w:rsid w:val="32464D36"/>
    <w:rsid w:val="3246A4F3"/>
    <w:rsid w:val="3247B489"/>
    <w:rsid w:val="3247D5C4"/>
    <w:rsid w:val="324A2EA8"/>
    <w:rsid w:val="324A5D2E"/>
    <w:rsid w:val="324B5982"/>
    <w:rsid w:val="324C4442"/>
    <w:rsid w:val="324C9056"/>
    <w:rsid w:val="324D295E"/>
    <w:rsid w:val="324D5E0A"/>
    <w:rsid w:val="324E0108"/>
    <w:rsid w:val="324FD99D"/>
    <w:rsid w:val="32506175"/>
    <w:rsid w:val="32515717"/>
    <w:rsid w:val="325176AB"/>
    <w:rsid w:val="32517E49"/>
    <w:rsid w:val="32540E12"/>
    <w:rsid w:val="32541BBE"/>
    <w:rsid w:val="3254E64D"/>
    <w:rsid w:val="32550681"/>
    <w:rsid w:val="32558D7B"/>
    <w:rsid w:val="3255C79B"/>
    <w:rsid w:val="325806EA"/>
    <w:rsid w:val="32588CE0"/>
    <w:rsid w:val="32589175"/>
    <w:rsid w:val="3258AA7F"/>
    <w:rsid w:val="32597C43"/>
    <w:rsid w:val="32599ACD"/>
    <w:rsid w:val="325ACE76"/>
    <w:rsid w:val="325CE893"/>
    <w:rsid w:val="325F615F"/>
    <w:rsid w:val="325F691C"/>
    <w:rsid w:val="32606350"/>
    <w:rsid w:val="3261224C"/>
    <w:rsid w:val="3261E4E9"/>
    <w:rsid w:val="3262797D"/>
    <w:rsid w:val="3262F7BA"/>
    <w:rsid w:val="3263D956"/>
    <w:rsid w:val="3263E066"/>
    <w:rsid w:val="32640ED2"/>
    <w:rsid w:val="3264182A"/>
    <w:rsid w:val="3264CEFB"/>
    <w:rsid w:val="32650596"/>
    <w:rsid w:val="326525F8"/>
    <w:rsid w:val="326582AE"/>
    <w:rsid w:val="32661616"/>
    <w:rsid w:val="3266BD8A"/>
    <w:rsid w:val="3266D910"/>
    <w:rsid w:val="3266DA58"/>
    <w:rsid w:val="3266F876"/>
    <w:rsid w:val="32675084"/>
    <w:rsid w:val="3267D4CC"/>
    <w:rsid w:val="32684682"/>
    <w:rsid w:val="32687B02"/>
    <w:rsid w:val="32691736"/>
    <w:rsid w:val="326934FE"/>
    <w:rsid w:val="3269D3A6"/>
    <w:rsid w:val="326A42BB"/>
    <w:rsid w:val="326AA5CD"/>
    <w:rsid w:val="326B8EC7"/>
    <w:rsid w:val="326BA035"/>
    <w:rsid w:val="326E0BB8"/>
    <w:rsid w:val="326EB0CE"/>
    <w:rsid w:val="326EB5B1"/>
    <w:rsid w:val="326EC965"/>
    <w:rsid w:val="326FE620"/>
    <w:rsid w:val="32704F40"/>
    <w:rsid w:val="3271EEAD"/>
    <w:rsid w:val="32724A44"/>
    <w:rsid w:val="32728008"/>
    <w:rsid w:val="32728620"/>
    <w:rsid w:val="327381B1"/>
    <w:rsid w:val="3274D90C"/>
    <w:rsid w:val="3275AFDB"/>
    <w:rsid w:val="3275D40B"/>
    <w:rsid w:val="32777E06"/>
    <w:rsid w:val="3277D2B6"/>
    <w:rsid w:val="32786506"/>
    <w:rsid w:val="327886DD"/>
    <w:rsid w:val="327908F0"/>
    <w:rsid w:val="3279DE5C"/>
    <w:rsid w:val="327AB33C"/>
    <w:rsid w:val="327AB89C"/>
    <w:rsid w:val="327AB98E"/>
    <w:rsid w:val="327B3034"/>
    <w:rsid w:val="327BE4FB"/>
    <w:rsid w:val="327C286A"/>
    <w:rsid w:val="327C62B5"/>
    <w:rsid w:val="327C695C"/>
    <w:rsid w:val="327D172A"/>
    <w:rsid w:val="327D4D9D"/>
    <w:rsid w:val="327DC680"/>
    <w:rsid w:val="327E3027"/>
    <w:rsid w:val="327EFF3F"/>
    <w:rsid w:val="327F9E5C"/>
    <w:rsid w:val="327FB58E"/>
    <w:rsid w:val="32802CA5"/>
    <w:rsid w:val="3280595F"/>
    <w:rsid w:val="3280C20F"/>
    <w:rsid w:val="32816ACD"/>
    <w:rsid w:val="32820019"/>
    <w:rsid w:val="3282BE11"/>
    <w:rsid w:val="3284F7E8"/>
    <w:rsid w:val="328525E9"/>
    <w:rsid w:val="32855047"/>
    <w:rsid w:val="3285B5D5"/>
    <w:rsid w:val="3285D4ED"/>
    <w:rsid w:val="3286D35C"/>
    <w:rsid w:val="3286E919"/>
    <w:rsid w:val="3286F69C"/>
    <w:rsid w:val="328957C6"/>
    <w:rsid w:val="328A1507"/>
    <w:rsid w:val="328A8DF3"/>
    <w:rsid w:val="328A9659"/>
    <w:rsid w:val="328AB396"/>
    <w:rsid w:val="328AD774"/>
    <w:rsid w:val="328B81E4"/>
    <w:rsid w:val="328BF111"/>
    <w:rsid w:val="328CD506"/>
    <w:rsid w:val="328DC4FA"/>
    <w:rsid w:val="328E9A1C"/>
    <w:rsid w:val="328E9B20"/>
    <w:rsid w:val="328EA9DC"/>
    <w:rsid w:val="328EE83C"/>
    <w:rsid w:val="328F02D2"/>
    <w:rsid w:val="328F6C74"/>
    <w:rsid w:val="32902AB2"/>
    <w:rsid w:val="3290FD04"/>
    <w:rsid w:val="329136B6"/>
    <w:rsid w:val="32930527"/>
    <w:rsid w:val="329329C7"/>
    <w:rsid w:val="32937F76"/>
    <w:rsid w:val="3293F7D2"/>
    <w:rsid w:val="32941354"/>
    <w:rsid w:val="3294B0F4"/>
    <w:rsid w:val="32952077"/>
    <w:rsid w:val="32953EFC"/>
    <w:rsid w:val="3295FB00"/>
    <w:rsid w:val="3296B10C"/>
    <w:rsid w:val="3296D853"/>
    <w:rsid w:val="329731EA"/>
    <w:rsid w:val="32985A4F"/>
    <w:rsid w:val="3298A174"/>
    <w:rsid w:val="3298BDE7"/>
    <w:rsid w:val="329A2201"/>
    <w:rsid w:val="329AC407"/>
    <w:rsid w:val="329B1E92"/>
    <w:rsid w:val="329B8854"/>
    <w:rsid w:val="329BF86E"/>
    <w:rsid w:val="329D556E"/>
    <w:rsid w:val="329DCF8F"/>
    <w:rsid w:val="329E5D09"/>
    <w:rsid w:val="329F0761"/>
    <w:rsid w:val="32A0C1D5"/>
    <w:rsid w:val="32A0CEA1"/>
    <w:rsid w:val="32A196F0"/>
    <w:rsid w:val="32A1C0EE"/>
    <w:rsid w:val="32A2B60C"/>
    <w:rsid w:val="32A2BA4E"/>
    <w:rsid w:val="32A41090"/>
    <w:rsid w:val="32A416D8"/>
    <w:rsid w:val="32A52CF7"/>
    <w:rsid w:val="32A56B19"/>
    <w:rsid w:val="32A64DC7"/>
    <w:rsid w:val="32A6609F"/>
    <w:rsid w:val="32A7C2C0"/>
    <w:rsid w:val="32A7F300"/>
    <w:rsid w:val="32A7FA96"/>
    <w:rsid w:val="32A89631"/>
    <w:rsid w:val="32A8D236"/>
    <w:rsid w:val="32A8D4CC"/>
    <w:rsid w:val="32AB5C5D"/>
    <w:rsid w:val="32ACC401"/>
    <w:rsid w:val="32ACDC46"/>
    <w:rsid w:val="32AE1D86"/>
    <w:rsid w:val="32AE578D"/>
    <w:rsid w:val="32AE69DB"/>
    <w:rsid w:val="32AF1DAB"/>
    <w:rsid w:val="32B02EE5"/>
    <w:rsid w:val="32B07D38"/>
    <w:rsid w:val="32B0F881"/>
    <w:rsid w:val="32B1162F"/>
    <w:rsid w:val="32B2BD44"/>
    <w:rsid w:val="32B2C031"/>
    <w:rsid w:val="32B2FF59"/>
    <w:rsid w:val="32B30C95"/>
    <w:rsid w:val="32B394A3"/>
    <w:rsid w:val="32B3CC25"/>
    <w:rsid w:val="32B5A11E"/>
    <w:rsid w:val="32B6ACC3"/>
    <w:rsid w:val="32B722C1"/>
    <w:rsid w:val="32B7E622"/>
    <w:rsid w:val="32B80627"/>
    <w:rsid w:val="32B91291"/>
    <w:rsid w:val="32BA9F0F"/>
    <w:rsid w:val="32BB52BA"/>
    <w:rsid w:val="32BB6C2E"/>
    <w:rsid w:val="32BBA1BD"/>
    <w:rsid w:val="32BBD70D"/>
    <w:rsid w:val="32BDB3A0"/>
    <w:rsid w:val="32BE10D8"/>
    <w:rsid w:val="32BE25C2"/>
    <w:rsid w:val="32C19076"/>
    <w:rsid w:val="32C25145"/>
    <w:rsid w:val="32C30FE4"/>
    <w:rsid w:val="32C33069"/>
    <w:rsid w:val="32C3AF17"/>
    <w:rsid w:val="32C3EE8F"/>
    <w:rsid w:val="32C57ADD"/>
    <w:rsid w:val="32C5E477"/>
    <w:rsid w:val="32C6367D"/>
    <w:rsid w:val="32C73FCC"/>
    <w:rsid w:val="32C775E3"/>
    <w:rsid w:val="32C78098"/>
    <w:rsid w:val="32C7C7C9"/>
    <w:rsid w:val="32C83BA5"/>
    <w:rsid w:val="32C88761"/>
    <w:rsid w:val="32C8AB7B"/>
    <w:rsid w:val="32C8D688"/>
    <w:rsid w:val="32CA0368"/>
    <w:rsid w:val="32CA62ED"/>
    <w:rsid w:val="32CB07F3"/>
    <w:rsid w:val="32CDE6FC"/>
    <w:rsid w:val="32CEE698"/>
    <w:rsid w:val="32CF1558"/>
    <w:rsid w:val="32CF1E7B"/>
    <w:rsid w:val="32D091C4"/>
    <w:rsid w:val="32D1C12C"/>
    <w:rsid w:val="32D217AA"/>
    <w:rsid w:val="32D28024"/>
    <w:rsid w:val="32D2CC34"/>
    <w:rsid w:val="32D4612A"/>
    <w:rsid w:val="32D53477"/>
    <w:rsid w:val="32D5E1C2"/>
    <w:rsid w:val="32D63BA1"/>
    <w:rsid w:val="32D69854"/>
    <w:rsid w:val="32D79616"/>
    <w:rsid w:val="32D87AC9"/>
    <w:rsid w:val="32D9B909"/>
    <w:rsid w:val="32DA32F0"/>
    <w:rsid w:val="32DAA10E"/>
    <w:rsid w:val="32DAFC52"/>
    <w:rsid w:val="32DE0276"/>
    <w:rsid w:val="32DE88EE"/>
    <w:rsid w:val="32DE9C7B"/>
    <w:rsid w:val="32DFF351"/>
    <w:rsid w:val="32E0E4D2"/>
    <w:rsid w:val="32E12DA3"/>
    <w:rsid w:val="32E30376"/>
    <w:rsid w:val="32E3E187"/>
    <w:rsid w:val="32E54A2C"/>
    <w:rsid w:val="32E57D70"/>
    <w:rsid w:val="32E59F5C"/>
    <w:rsid w:val="32E5C11E"/>
    <w:rsid w:val="32E6216B"/>
    <w:rsid w:val="32E66478"/>
    <w:rsid w:val="32E671A1"/>
    <w:rsid w:val="32E67432"/>
    <w:rsid w:val="32E68C12"/>
    <w:rsid w:val="32E7A94E"/>
    <w:rsid w:val="32E7AA01"/>
    <w:rsid w:val="32E7BD6E"/>
    <w:rsid w:val="32E7BE4E"/>
    <w:rsid w:val="32E7F2F3"/>
    <w:rsid w:val="32E7F393"/>
    <w:rsid w:val="32E8E339"/>
    <w:rsid w:val="32E9172A"/>
    <w:rsid w:val="32E92DD4"/>
    <w:rsid w:val="32E9C580"/>
    <w:rsid w:val="32E9C65A"/>
    <w:rsid w:val="32EA9739"/>
    <w:rsid w:val="32EBCAC0"/>
    <w:rsid w:val="32EBDAF9"/>
    <w:rsid w:val="32EC7A14"/>
    <w:rsid w:val="32ED25D4"/>
    <w:rsid w:val="32ED2715"/>
    <w:rsid w:val="32ED576B"/>
    <w:rsid w:val="32ED6942"/>
    <w:rsid w:val="32ED9505"/>
    <w:rsid w:val="32EE26A1"/>
    <w:rsid w:val="32EEAC63"/>
    <w:rsid w:val="32EEB059"/>
    <w:rsid w:val="32EEF137"/>
    <w:rsid w:val="32EF8793"/>
    <w:rsid w:val="32EFE63B"/>
    <w:rsid w:val="32F03C90"/>
    <w:rsid w:val="32F04C5F"/>
    <w:rsid w:val="32F1F6F1"/>
    <w:rsid w:val="32F211EE"/>
    <w:rsid w:val="32F25E97"/>
    <w:rsid w:val="32F27AE2"/>
    <w:rsid w:val="32F28332"/>
    <w:rsid w:val="32F2A0BA"/>
    <w:rsid w:val="32F2F2B2"/>
    <w:rsid w:val="32F319F5"/>
    <w:rsid w:val="32F42389"/>
    <w:rsid w:val="32F43DDE"/>
    <w:rsid w:val="32F44D71"/>
    <w:rsid w:val="32F48B89"/>
    <w:rsid w:val="32F53794"/>
    <w:rsid w:val="32F5D82C"/>
    <w:rsid w:val="32F5F720"/>
    <w:rsid w:val="32F6681A"/>
    <w:rsid w:val="32F7A782"/>
    <w:rsid w:val="32F810D3"/>
    <w:rsid w:val="32F87F24"/>
    <w:rsid w:val="32FAC844"/>
    <w:rsid w:val="32FC32DE"/>
    <w:rsid w:val="32FC347F"/>
    <w:rsid w:val="32FC4798"/>
    <w:rsid w:val="32FC52A3"/>
    <w:rsid w:val="32FC7F72"/>
    <w:rsid w:val="32FD26DA"/>
    <w:rsid w:val="32FD3F0F"/>
    <w:rsid w:val="32FD4739"/>
    <w:rsid w:val="32FE31E6"/>
    <w:rsid w:val="32FE56D3"/>
    <w:rsid w:val="32FE5F8E"/>
    <w:rsid w:val="32FE77B1"/>
    <w:rsid w:val="32FE988D"/>
    <w:rsid w:val="32FEA652"/>
    <w:rsid w:val="32FF0BD2"/>
    <w:rsid w:val="32FF7CAF"/>
    <w:rsid w:val="33015766"/>
    <w:rsid w:val="3301A627"/>
    <w:rsid w:val="33022AD7"/>
    <w:rsid w:val="330244D4"/>
    <w:rsid w:val="3302B829"/>
    <w:rsid w:val="330326C0"/>
    <w:rsid w:val="3303F53F"/>
    <w:rsid w:val="33040195"/>
    <w:rsid w:val="33043140"/>
    <w:rsid w:val="33062DC1"/>
    <w:rsid w:val="33065C2A"/>
    <w:rsid w:val="33066A2C"/>
    <w:rsid w:val="33069CB8"/>
    <w:rsid w:val="3306ACAA"/>
    <w:rsid w:val="3307222C"/>
    <w:rsid w:val="330767EC"/>
    <w:rsid w:val="3307790C"/>
    <w:rsid w:val="3307C03F"/>
    <w:rsid w:val="33081F1D"/>
    <w:rsid w:val="3308E1FF"/>
    <w:rsid w:val="330998EB"/>
    <w:rsid w:val="3309DC7F"/>
    <w:rsid w:val="330BE334"/>
    <w:rsid w:val="330C3968"/>
    <w:rsid w:val="330D1E00"/>
    <w:rsid w:val="330D5C10"/>
    <w:rsid w:val="330DE5F6"/>
    <w:rsid w:val="330E6C28"/>
    <w:rsid w:val="330E980F"/>
    <w:rsid w:val="330EE250"/>
    <w:rsid w:val="330EE86B"/>
    <w:rsid w:val="330FBC41"/>
    <w:rsid w:val="331006D8"/>
    <w:rsid w:val="33104B2A"/>
    <w:rsid w:val="33115D8E"/>
    <w:rsid w:val="331191C5"/>
    <w:rsid w:val="3311E449"/>
    <w:rsid w:val="33126ADD"/>
    <w:rsid w:val="33128F7B"/>
    <w:rsid w:val="33134F75"/>
    <w:rsid w:val="3314D846"/>
    <w:rsid w:val="3314FC34"/>
    <w:rsid w:val="33156F17"/>
    <w:rsid w:val="3315D061"/>
    <w:rsid w:val="3315D948"/>
    <w:rsid w:val="33162B76"/>
    <w:rsid w:val="3316BBC5"/>
    <w:rsid w:val="331760BE"/>
    <w:rsid w:val="3318AB4B"/>
    <w:rsid w:val="3318E132"/>
    <w:rsid w:val="331BCDFA"/>
    <w:rsid w:val="331C74BB"/>
    <w:rsid w:val="331D785E"/>
    <w:rsid w:val="331DFC6E"/>
    <w:rsid w:val="331E6E22"/>
    <w:rsid w:val="331E85D8"/>
    <w:rsid w:val="331E861B"/>
    <w:rsid w:val="331F69ED"/>
    <w:rsid w:val="331F6BB3"/>
    <w:rsid w:val="33210244"/>
    <w:rsid w:val="33212F42"/>
    <w:rsid w:val="33214612"/>
    <w:rsid w:val="332154E8"/>
    <w:rsid w:val="33224AC2"/>
    <w:rsid w:val="33233725"/>
    <w:rsid w:val="33235AFB"/>
    <w:rsid w:val="33237EE0"/>
    <w:rsid w:val="3323C42D"/>
    <w:rsid w:val="3324744B"/>
    <w:rsid w:val="33252658"/>
    <w:rsid w:val="3325B1F7"/>
    <w:rsid w:val="3325D0FA"/>
    <w:rsid w:val="33269838"/>
    <w:rsid w:val="33279A08"/>
    <w:rsid w:val="3327C31D"/>
    <w:rsid w:val="33285ED4"/>
    <w:rsid w:val="332B763D"/>
    <w:rsid w:val="332C1182"/>
    <w:rsid w:val="332D06B3"/>
    <w:rsid w:val="332E5F8D"/>
    <w:rsid w:val="332E6C89"/>
    <w:rsid w:val="332E700A"/>
    <w:rsid w:val="332FD54F"/>
    <w:rsid w:val="3330A7E9"/>
    <w:rsid w:val="333178DB"/>
    <w:rsid w:val="33327A4F"/>
    <w:rsid w:val="3333B86A"/>
    <w:rsid w:val="333459C8"/>
    <w:rsid w:val="333491D7"/>
    <w:rsid w:val="3334A28F"/>
    <w:rsid w:val="33354E01"/>
    <w:rsid w:val="333567BB"/>
    <w:rsid w:val="333628C5"/>
    <w:rsid w:val="33363CE5"/>
    <w:rsid w:val="3336ED22"/>
    <w:rsid w:val="333774E8"/>
    <w:rsid w:val="3337D58B"/>
    <w:rsid w:val="3338ABA0"/>
    <w:rsid w:val="333A6C95"/>
    <w:rsid w:val="333A9FBD"/>
    <w:rsid w:val="333AEF76"/>
    <w:rsid w:val="333B8CE4"/>
    <w:rsid w:val="333BEEA3"/>
    <w:rsid w:val="333EDA17"/>
    <w:rsid w:val="3340DDB6"/>
    <w:rsid w:val="3340F02A"/>
    <w:rsid w:val="33415796"/>
    <w:rsid w:val="3341C2FA"/>
    <w:rsid w:val="334285AD"/>
    <w:rsid w:val="33431BE4"/>
    <w:rsid w:val="33433F32"/>
    <w:rsid w:val="3343BC52"/>
    <w:rsid w:val="33446D42"/>
    <w:rsid w:val="33453403"/>
    <w:rsid w:val="3347E9AD"/>
    <w:rsid w:val="33484A75"/>
    <w:rsid w:val="33498BC7"/>
    <w:rsid w:val="3349C36E"/>
    <w:rsid w:val="3349F589"/>
    <w:rsid w:val="334B26B4"/>
    <w:rsid w:val="334BD10E"/>
    <w:rsid w:val="334BE5FF"/>
    <w:rsid w:val="334C2A24"/>
    <w:rsid w:val="334C6B25"/>
    <w:rsid w:val="334C7E11"/>
    <w:rsid w:val="334C8DB7"/>
    <w:rsid w:val="334D05F6"/>
    <w:rsid w:val="334D0E95"/>
    <w:rsid w:val="334E34EE"/>
    <w:rsid w:val="334F3C8B"/>
    <w:rsid w:val="334FBC93"/>
    <w:rsid w:val="33521CE8"/>
    <w:rsid w:val="3352B1CB"/>
    <w:rsid w:val="335354F3"/>
    <w:rsid w:val="33549497"/>
    <w:rsid w:val="33551B8E"/>
    <w:rsid w:val="33551CC7"/>
    <w:rsid w:val="335677BB"/>
    <w:rsid w:val="3356AD4D"/>
    <w:rsid w:val="335788CE"/>
    <w:rsid w:val="3357B717"/>
    <w:rsid w:val="3357D54F"/>
    <w:rsid w:val="33580FB4"/>
    <w:rsid w:val="33583148"/>
    <w:rsid w:val="3358681A"/>
    <w:rsid w:val="3358CD11"/>
    <w:rsid w:val="3358D0F9"/>
    <w:rsid w:val="33592104"/>
    <w:rsid w:val="3359262D"/>
    <w:rsid w:val="335930F2"/>
    <w:rsid w:val="335A0875"/>
    <w:rsid w:val="335A39CE"/>
    <w:rsid w:val="335A3B88"/>
    <w:rsid w:val="335AC618"/>
    <w:rsid w:val="335B0FD4"/>
    <w:rsid w:val="335B5A69"/>
    <w:rsid w:val="335D4D94"/>
    <w:rsid w:val="335D87C8"/>
    <w:rsid w:val="335E0A7B"/>
    <w:rsid w:val="335FA583"/>
    <w:rsid w:val="335FF2C0"/>
    <w:rsid w:val="3360246C"/>
    <w:rsid w:val="336124DA"/>
    <w:rsid w:val="336159AF"/>
    <w:rsid w:val="3361ECFD"/>
    <w:rsid w:val="336208AB"/>
    <w:rsid w:val="3362D2B6"/>
    <w:rsid w:val="3362F0C3"/>
    <w:rsid w:val="3363D8A4"/>
    <w:rsid w:val="33651551"/>
    <w:rsid w:val="336635FB"/>
    <w:rsid w:val="336668B3"/>
    <w:rsid w:val="336669CE"/>
    <w:rsid w:val="3366C031"/>
    <w:rsid w:val="3366C173"/>
    <w:rsid w:val="3366FAC1"/>
    <w:rsid w:val="33689236"/>
    <w:rsid w:val="3369A604"/>
    <w:rsid w:val="3369D956"/>
    <w:rsid w:val="336AD7C8"/>
    <w:rsid w:val="336B4308"/>
    <w:rsid w:val="336B55DE"/>
    <w:rsid w:val="336BD43C"/>
    <w:rsid w:val="336C022D"/>
    <w:rsid w:val="336C484A"/>
    <w:rsid w:val="336C8B15"/>
    <w:rsid w:val="336CD54A"/>
    <w:rsid w:val="336CECC4"/>
    <w:rsid w:val="336DA3B7"/>
    <w:rsid w:val="336DF827"/>
    <w:rsid w:val="336E0422"/>
    <w:rsid w:val="336E6030"/>
    <w:rsid w:val="336EC65D"/>
    <w:rsid w:val="336F74DD"/>
    <w:rsid w:val="3371041A"/>
    <w:rsid w:val="33710C02"/>
    <w:rsid w:val="337146B8"/>
    <w:rsid w:val="337193C5"/>
    <w:rsid w:val="337240CD"/>
    <w:rsid w:val="33729893"/>
    <w:rsid w:val="33736F89"/>
    <w:rsid w:val="3374662C"/>
    <w:rsid w:val="3374BFBD"/>
    <w:rsid w:val="33758A06"/>
    <w:rsid w:val="3375F03C"/>
    <w:rsid w:val="3375F7E2"/>
    <w:rsid w:val="3377218D"/>
    <w:rsid w:val="33779937"/>
    <w:rsid w:val="3377EBD6"/>
    <w:rsid w:val="337811BF"/>
    <w:rsid w:val="33783478"/>
    <w:rsid w:val="33785E13"/>
    <w:rsid w:val="3378FAC4"/>
    <w:rsid w:val="33790E9A"/>
    <w:rsid w:val="337AA5BB"/>
    <w:rsid w:val="337AF5AD"/>
    <w:rsid w:val="337CC1C0"/>
    <w:rsid w:val="337CD86E"/>
    <w:rsid w:val="337D2AE0"/>
    <w:rsid w:val="337DEC17"/>
    <w:rsid w:val="337F333E"/>
    <w:rsid w:val="337F64BF"/>
    <w:rsid w:val="337FCE20"/>
    <w:rsid w:val="337FD246"/>
    <w:rsid w:val="33802B41"/>
    <w:rsid w:val="33807C30"/>
    <w:rsid w:val="3382282A"/>
    <w:rsid w:val="33825019"/>
    <w:rsid w:val="33825096"/>
    <w:rsid w:val="338283F1"/>
    <w:rsid w:val="3383F333"/>
    <w:rsid w:val="33852BBC"/>
    <w:rsid w:val="3385A803"/>
    <w:rsid w:val="33864D16"/>
    <w:rsid w:val="338757A9"/>
    <w:rsid w:val="338824E8"/>
    <w:rsid w:val="33892A1E"/>
    <w:rsid w:val="3389C444"/>
    <w:rsid w:val="3389D0A3"/>
    <w:rsid w:val="338A8697"/>
    <w:rsid w:val="338A86E7"/>
    <w:rsid w:val="338BCB69"/>
    <w:rsid w:val="338BE93A"/>
    <w:rsid w:val="338CDE03"/>
    <w:rsid w:val="338CEEFE"/>
    <w:rsid w:val="338E38A0"/>
    <w:rsid w:val="338EAD58"/>
    <w:rsid w:val="338ED138"/>
    <w:rsid w:val="338EDEF7"/>
    <w:rsid w:val="338F3885"/>
    <w:rsid w:val="338F464E"/>
    <w:rsid w:val="338FA52C"/>
    <w:rsid w:val="338FD6D9"/>
    <w:rsid w:val="33908F77"/>
    <w:rsid w:val="3390A9DD"/>
    <w:rsid w:val="3390EBC1"/>
    <w:rsid w:val="33913EDC"/>
    <w:rsid w:val="3391C067"/>
    <w:rsid w:val="33934858"/>
    <w:rsid w:val="33941E86"/>
    <w:rsid w:val="33943E37"/>
    <w:rsid w:val="339498C2"/>
    <w:rsid w:val="3395E6CD"/>
    <w:rsid w:val="3396559D"/>
    <w:rsid w:val="3396A550"/>
    <w:rsid w:val="3396FAF4"/>
    <w:rsid w:val="33974C32"/>
    <w:rsid w:val="33975068"/>
    <w:rsid w:val="3397AAE8"/>
    <w:rsid w:val="3397E15D"/>
    <w:rsid w:val="33983CDB"/>
    <w:rsid w:val="3398F5A9"/>
    <w:rsid w:val="339975B8"/>
    <w:rsid w:val="3399780D"/>
    <w:rsid w:val="339A0B3D"/>
    <w:rsid w:val="339CFEC4"/>
    <w:rsid w:val="339DA327"/>
    <w:rsid w:val="339F2FC2"/>
    <w:rsid w:val="339FADEC"/>
    <w:rsid w:val="33A0C27F"/>
    <w:rsid w:val="33A26B66"/>
    <w:rsid w:val="33A39ECE"/>
    <w:rsid w:val="33A44475"/>
    <w:rsid w:val="33A494E8"/>
    <w:rsid w:val="33A4BFF2"/>
    <w:rsid w:val="33A4D521"/>
    <w:rsid w:val="33A5F2AF"/>
    <w:rsid w:val="33A5FDF9"/>
    <w:rsid w:val="33A6D9B3"/>
    <w:rsid w:val="33A73947"/>
    <w:rsid w:val="33A91DFB"/>
    <w:rsid w:val="33A9946D"/>
    <w:rsid w:val="33AA6834"/>
    <w:rsid w:val="33AAF51D"/>
    <w:rsid w:val="33AB1E62"/>
    <w:rsid w:val="33AB25BA"/>
    <w:rsid w:val="33AC7592"/>
    <w:rsid w:val="33ADAF23"/>
    <w:rsid w:val="33B098D3"/>
    <w:rsid w:val="33B12CA4"/>
    <w:rsid w:val="33B1D74D"/>
    <w:rsid w:val="33B253E1"/>
    <w:rsid w:val="33B320B9"/>
    <w:rsid w:val="33B34C4B"/>
    <w:rsid w:val="33B4B5BE"/>
    <w:rsid w:val="33B4D581"/>
    <w:rsid w:val="33B5A74A"/>
    <w:rsid w:val="33B6270D"/>
    <w:rsid w:val="33B73FC1"/>
    <w:rsid w:val="33B784CC"/>
    <w:rsid w:val="33B901E3"/>
    <w:rsid w:val="33BA3C72"/>
    <w:rsid w:val="33BA8988"/>
    <w:rsid w:val="33BAA501"/>
    <w:rsid w:val="33BC2482"/>
    <w:rsid w:val="33BD5523"/>
    <w:rsid w:val="33BEF48B"/>
    <w:rsid w:val="33BFEF20"/>
    <w:rsid w:val="33C01BCE"/>
    <w:rsid w:val="33C07F22"/>
    <w:rsid w:val="33C1B04A"/>
    <w:rsid w:val="33C356CA"/>
    <w:rsid w:val="33C369FB"/>
    <w:rsid w:val="33C487D0"/>
    <w:rsid w:val="33C48CA7"/>
    <w:rsid w:val="33C4B0CB"/>
    <w:rsid w:val="33C58BEC"/>
    <w:rsid w:val="33C6C1D5"/>
    <w:rsid w:val="33C7F310"/>
    <w:rsid w:val="33C897FC"/>
    <w:rsid w:val="33C8B160"/>
    <w:rsid w:val="33C91666"/>
    <w:rsid w:val="33C9CE02"/>
    <w:rsid w:val="33CA1198"/>
    <w:rsid w:val="33CB0B02"/>
    <w:rsid w:val="33CB16C1"/>
    <w:rsid w:val="33CB90B2"/>
    <w:rsid w:val="33CBD36E"/>
    <w:rsid w:val="33CBD866"/>
    <w:rsid w:val="33CCFBE8"/>
    <w:rsid w:val="33CD8E68"/>
    <w:rsid w:val="33CDFEA6"/>
    <w:rsid w:val="33CEAE9C"/>
    <w:rsid w:val="33CF200F"/>
    <w:rsid w:val="33CF386A"/>
    <w:rsid w:val="33CFAB85"/>
    <w:rsid w:val="33D056E6"/>
    <w:rsid w:val="33D0779A"/>
    <w:rsid w:val="33D07E88"/>
    <w:rsid w:val="33D0D815"/>
    <w:rsid w:val="33D0E97D"/>
    <w:rsid w:val="33D1D4B6"/>
    <w:rsid w:val="33D29448"/>
    <w:rsid w:val="33D3175A"/>
    <w:rsid w:val="33D3376A"/>
    <w:rsid w:val="33D3F584"/>
    <w:rsid w:val="33D5352C"/>
    <w:rsid w:val="33D54840"/>
    <w:rsid w:val="33D77A6D"/>
    <w:rsid w:val="33D7CF24"/>
    <w:rsid w:val="33D7F2A4"/>
    <w:rsid w:val="33D8CE3D"/>
    <w:rsid w:val="33D988F2"/>
    <w:rsid w:val="33D9D72E"/>
    <w:rsid w:val="33DA7606"/>
    <w:rsid w:val="33DAFC2B"/>
    <w:rsid w:val="33DB3E71"/>
    <w:rsid w:val="33DCCDBE"/>
    <w:rsid w:val="33DE3F9E"/>
    <w:rsid w:val="33DFADEC"/>
    <w:rsid w:val="33E0275C"/>
    <w:rsid w:val="33E1C977"/>
    <w:rsid w:val="33E2BA41"/>
    <w:rsid w:val="33E2F95E"/>
    <w:rsid w:val="33E3AE7D"/>
    <w:rsid w:val="33E411CD"/>
    <w:rsid w:val="33E487FF"/>
    <w:rsid w:val="33E554D9"/>
    <w:rsid w:val="33E5D098"/>
    <w:rsid w:val="33E648F0"/>
    <w:rsid w:val="33E6ECE5"/>
    <w:rsid w:val="33E704DB"/>
    <w:rsid w:val="33E797A0"/>
    <w:rsid w:val="33E7EC78"/>
    <w:rsid w:val="33E83786"/>
    <w:rsid w:val="33E92185"/>
    <w:rsid w:val="33E97457"/>
    <w:rsid w:val="33EAA0EC"/>
    <w:rsid w:val="33EB2164"/>
    <w:rsid w:val="33EB27A6"/>
    <w:rsid w:val="33EB696C"/>
    <w:rsid w:val="33EC70BC"/>
    <w:rsid w:val="33EDCE51"/>
    <w:rsid w:val="33EE42CB"/>
    <w:rsid w:val="33EE5A1D"/>
    <w:rsid w:val="33EEC802"/>
    <w:rsid w:val="33EF881A"/>
    <w:rsid w:val="33EFEE2C"/>
    <w:rsid w:val="33F03BB9"/>
    <w:rsid w:val="33F161C1"/>
    <w:rsid w:val="33F18045"/>
    <w:rsid w:val="33F21A05"/>
    <w:rsid w:val="33F24FD2"/>
    <w:rsid w:val="33F34C83"/>
    <w:rsid w:val="33F3CE1F"/>
    <w:rsid w:val="33F4009D"/>
    <w:rsid w:val="33F4D555"/>
    <w:rsid w:val="33F4F65B"/>
    <w:rsid w:val="33F5068F"/>
    <w:rsid w:val="33F5D372"/>
    <w:rsid w:val="33F649E8"/>
    <w:rsid w:val="33F7722B"/>
    <w:rsid w:val="33F8D679"/>
    <w:rsid w:val="33F90A51"/>
    <w:rsid w:val="33FA9D54"/>
    <w:rsid w:val="33FAA9B0"/>
    <w:rsid w:val="33FAC45A"/>
    <w:rsid w:val="33FB05FF"/>
    <w:rsid w:val="33FB993D"/>
    <w:rsid w:val="33FBADAB"/>
    <w:rsid w:val="33FBE06D"/>
    <w:rsid w:val="33FBEBFE"/>
    <w:rsid w:val="33FBF42D"/>
    <w:rsid w:val="33FD7D42"/>
    <w:rsid w:val="33FDDB0F"/>
    <w:rsid w:val="33FF5C12"/>
    <w:rsid w:val="33FF60F1"/>
    <w:rsid w:val="33FFE484"/>
    <w:rsid w:val="340034B0"/>
    <w:rsid w:val="3400BC21"/>
    <w:rsid w:val="34010AF4"/>
    <w:rsid w:val="34033DE3"/>
    <w:rsid w:val="34034902"/>
    <w:rsid w:val="34038010"/>
    <w:rsid w:val="3403F042"/>
    <w:rsid w:val="3404D900"/>
    <w:rsid w:val="34066675"/>
    <w:rsid w:val="3406A748"/>
    <w:rsid w:val="34075EAA"/>
    <w:rsid w:val="3407BB3C"/>
    <w:rsid w:val="34083084"/>
    <w:rsid w:val="34083958"/>
    <w:rsid w:val="34085D61"/>
    <w:rsid w:val="3408943B"/>
    <w:rsid w:val="34089452"/>
    <w:rsid w:val="3408C4D4"/>
    <w:rsid w:val="340A5A8C"/>
    <w:rsid w:val="340A9767"/>
    <w:rsid w:val="340AFC71"/>
    <w:rsid w:val="340BF3D6"/>
    <w:rsid w:val="340BF616"/>
    <w:rsid w:val="340CF3A2"/>
    <w:rsid w:val="340D2DCD"/>
    <w:rsid w:val="340DE47D"/>
    <w:rsid w:val="340F0917"/>
    <w:rsid w:val="340F5FA3"/>
    <w:rsid w:val="340F9FD7"/>
    <w:rsid w:val="340FD36C"/>
    <w:rsid w:val="3410572D"/>
    <w:rsid w:val="34120C93"/>
    <w:rsid w:val="34127103"/>
    <w:rsid w:val="3413E8D8"/>
    <w:rsid w:val="3414CB89"/>
    <w:rsid w:val="34153C2B"/>
    <w:rsid w:val="34156C67"/>
    <w:rsid w:val="34161D71"/>
    <w:rsid w:val="34165AB5"/>
    <w:rsid w:val="3416989A"/>
    <w:rsid w:val="341735BD"/>
    <w:rsid w:val="341862E4"/>
    <w:rsid w:val="341883C7"/>
    <w:rsid w:val="3418A865"/>
    <w:rsid w:val="3418E9BE"/>
    <w:rsid w:val="341912EA"/>
    <w:rsid w:val="341A8E22"/>
    <w:rsid w:val="341AA206"/>
    <w:rsid w:val="341BE812"/>
    <w:rsid w:val="341C2890"/>
    <w:rsid w:val="341C3166"/>
    <w:rsid w:val="341CE9C6"/>
    <w:rsid w:val="341DBA9E"/>
    <w:rsid w:val="341DBD64"/>
    <w:rsid w:val="341E2C2D"/>
    <w:rsid w:val="341F6EFB"/>
    <w:rsid w:val="3420A8FD"/>
    <w:rsid w:val="34216759"/>
    <w:rsid w:val="34218BE0"/>
    <w:rsid w:val="3421977B"/>
    <w:rsid w:val="34225D4E"/>
    <w:rsid w:val="3422E291"/>
    <w:rsid w:val="3423D699"/>
    <w:rsid w:val="3423DFFA"/>
    <w:rsid w:val="3423EC15"/>
    <w:rsid w:val="3424072E"/>
    <w:rsid w:val="34253E2F"/>
    <w:rsid w:val="3425847B"/>
    <w:rsid w:val="34259DF6"/>
    <w:rsid w:val="342759EB"/>
    <w:rsid w:val="34276052"/>
    <w:rsid w:val="342910F9"/>
    <w:rsid w:val="3429140D"/>
    <w:rsid w:val="3429DC3F"/>
    <w:rsid w:val="3429E3BC"/>
    <w:rsid w:val="342A0CE2"/>
    <w:rsid w:val="342A695D"/>
    <w:rsid w:val="342B99AB"/>
    <w:rsid w:val="342C605D"/>
    <w:rsid w:val="342D3B1E"/>
    <w:rsid w:val="342DBBE4"/>
    <w:rsid w:val="342DF630"/>
    <w:rsid w:val="342E6A18"/>
    <w:rsid w:val="342E946F"/>
    <w:rsid w:val="342EBEB2"/>
    <w:rsid w:val="342FD73B"/>
    <w:rsid w:val="34309B55"/>
    <w:rsid w:val="3430CD90"/>
    <w:rsid w:val="3431337C"/>
    <w:rsid w:val="34317589"/>
    <w:rsid w:val="343177E3"/>
    <w:rsid w:val="3431E404"/>
    <w:rsid w:val="3431E888"/>
    <w:rsid w:val="343292B0"/>
    <w:rsid w:val="3432F0DF"/>
    <w:rsid w:val="34339C21"/>
    <w:rsid w:val="3433DE1F"/>
    <w:rsid w:val="3433ED34"/>
    <w:rsid w:val="3434D943"/>
    <w:rsid w:val="3434F36D"/>
    <w:rsid w:val="34354206"/>
    <w:rsid w:val="34357FBE"/>
    <w:rsid w:val="34360344"/>
    <w:rsid w:val="34368CF5"/>
    <w:rsid w:val="3436CAAE"/>
    <w:rsid w:val="3437059F"/>
    <w:rsid w:val="343862FC"/>
    <w:rsid w:val="34386B61"/>
    <w:rsid w:val="3438A055"/>
    <w:rsid w:val="3438D593"/>
    <w:rsid w:val="3438DB1E"/>
    <w:rsid w:val="3439ECC4"/>
    <w:rsid w:val="343A020D"/>
    <w:rsid w:val="343BB63C"/>
    <w:rsid w:val="343CA842"/>
    <w:rsid w:val="343D43A4"/>
    <w:rsid w:val="343E846E"/>
    <w:rsid w:val="343F5DDC"/>
    <w:rsid w:val="344022C1"/>
    <w:rsid w:val="344113EF"/>
    <w:rsid w:val="34426A02"/>
    <w:rsid w:val="3443AB48"/>
    <w:rsid w:val="3444797B"/>
    <w:rsid w:val="34447B2A"/>
    <w:rsid w:val="344480F7"/>
    <w:rsid w:val="3445D298"/>
    <w:rsid w:val="34466746"/>
    <w:rsid w:val="34473D80"/>
    <w:rsid w:val="3447EDB1"/>
    <w:rsid w:val="34485E43"/>
    <w:rsid w:val="3448AC1A"/>
    <w:rsid w:val="3448D0DA"/>
    <w:rsid w:val="34499219"/>
    <w:rsid w:val="344A3FBC"/>
    <w:rsid w:val="344A7380"/>
    <w:rsid w:val="344C16E2"/>
    <w:rsid w:val="344D2981"/>
    <w:rsid w:val="344D5D93"/>
    <w:rsid w:val="344DACCD"/>
    <w:rsid w:val="344E1223"/>
    <w:rsid w:val="344E7CB2"/>
    <w:rsid w:val="344ECF0A"/>
    <w:rsid w:val="344EDC14"/>
    <w:rsid w:val="344EDCF6"/>
    <w:rsid w:val="344EEDFD"/>
    <w:rsid w:val="344FE7E9"/>
    <w:rsid w:val="3450570E"/>
    <w:rsid w:val="345184B4"/>
    <w:rsid w:val="3451E704"/>
    <w:rsid w:val="3451F5B2"/>
    <w:rsid w:val="3451FDF3"/>
    <w:rsid w:val="3452147A"/>
    <w:rsid w:val="34527D4B"/>
    <w:rsid w:val="3452CA86"/>
    <w:rsid w:val="34530C57"/>
    <w:rsid w:val="34563566"/>
    <w:rsid w:val="34565AB8"/>
    <w:rsid w:val="345686C5"/>
    <w:rsid w:val="34568C38"/>
    <w:rsid w:val="34569F78"/>
    <w:rsid w:val="34577A4E"/>
    <w:rsid w:val="34579EA9"/>
    <w:rsid w:val="3457EDC3"/>
    <w:rsid w:val="34583C60"/>
    <w:rsid w:val="34596C03"/>
    <w:rsid w:val="345B3584"/>
    <w:rsid w:val="345B69BC"/>
    <w:rsid w:val="345BAC05"/>
    <w:rsid w:val="345C0526"/>
    <w:rsid w:val="345D0039"/>
    <w:rsid w:val="345D911C"/>
    <w:rsid w:val="345E9C02"/>
    <w:rsid w:val="345F4E13"/>
    <w:rsid w:val="346048BD"/>
    <w:rsid w:val="34607C47"/>
    <w:rsid w:val="3460A960"/>
    <w:rsid w:val="3460FBAB"/>
    <w:rsid w:val="34619F50"/>
    <w:rsid w:val="34641D81"/>
    <w:rsid w:val="34646138"/>
    <w:rsid w:val="3464ACEF"/>
    <w:rsid w:val="34651527"/>
    <w:rsid w:val="3465379E"/>
    <w:rsid w:val="3465E3E7"/>
    <w:rsid w:val="3466E8D7"/>
    <w:rsid w:val="3467BDE7"/>
    <w:rsid w:val="3467F035"/>
    <w:rsid w:val="346AB71B"/>
    <w:rsid w:val="346AFBF1"/>
    <w:rsid w:val="346B0DC0"/>
    <w:rsid w:val="346B506E"/>
    <w:rsid w:val="346C948E"/>
    <w:rsid w:val="346CDFD3"/>
    <w:rsid w:val="346E595E"/>
    <w:rsid w:val="346E8048"/>
    <w:rsid w:val="346F48F6"/>
    <w:rsid w:val="347000F3"/>
    <w:rsid w:val="347068F9"/>
    <w:rsid w:val="34711B11"/>
    <w:rsid w:val="34726ADB"/>
    <w:rsid w:val="34739C53"/>
    <w:rsid w:val="3473CD6D"/>
    <w:rsid w:val="34741D38"/>
    <w:rsid w:val="3474D129"/>
    <w:rsid w:val="3476411F"/>
    <w:rsid w:val="3476753B"/>
    <w:rsid w:val="3476A735"/>
    <w:rsid w:val="3477027F"/>
    <w:rsid w:val="3477868B"/>
    <w:rsid w:val="34784BDD"/>
    <w:rsid w:val="3478D464"/>
    <w:rsid w:val="3478ED6E"/>
    <w:rsid w:val="3479A725"/>
    <w:rsid w:val="347A2852"/>
    <w:rsid w:val="347A4DCC"/>
    <w:rsid w:val="347A6870"/>
    <w:rsid w:val="347A7262"/>
    <w:rsid w:val="347AB5E0"/>
    <w:rsid w:val="347AE13C"/>
    <w:rsid w:val="347B9A08"/>
    <w:rsid w:val="347C7937"/>
    <w:rsid w:val="347CF6C7"/>
    <w:rsid w:val="347D85CC"/>
    <w:rsid w:val="347DCC69"/>
    <w:rsid w:val="347DF486"/>
    <w:rsid w:val="347DFBA1"/>
    <w:rsid w:val="347E5555"/>
    <w:rsid w:val="347E76C6"/>
    <w:rsid w:val="347E99AB"/>
    <w:rsid w:val="347F1477"/>
    <w:rsid w:val="347F6977"/>
    <w:rsid w:val="347FEC7E"/>
    <w:rsid w:val="347FFA4F"/>
    <w:rsid w:val="34803DDF"/>
    <w:rsid w:val="34809BEF"/>
    <w:rsid w:val="3480A1A9"/>
    <w:rsid w:val="3480DBD1"/>
    <w:rsid w:val="3481E0C5"/>
    <w:rsid w:val="3481FBB6"/>
    <w:rsid w:val="3482516B"/>
    <w:rsid w:val="3482F5CA"/>
    <w:rsid w:val="348514FA"/>
    <w:rsid w:val="34853D20"/>
    <w:rsid w:val="34862EEF"/>
    <w:rsid w:val="3486470E"/>
    <w:rsid w:val="3486E638"/>
    <w:rsid w:val="3486E901"/>
    <w:rsid w:val="348804BC"/>
    <w:rsid w:val="34899718"/>
    <w:rsid w:val="348AC235"/>
    <w:rsid w:val="348ADFEA"/>
    <w:rsid w:val="348C5F6C"/>
    <w:rsid w:val="348C712A"/>
    <w:rsid w:val="348CEF92"/>
    <w:rsid w:val="348D0BDC"/>
    <w:rsid w:val="348DBD16"/>
    <w:rsid w:val="348E15FD"/>
    <w:rsid w:val="348E7B07"/>
    <w:rsid w:val="348EA572"/>
    <w:rsid w:val="348EB597"/>
    <w:rsid w:val="348EF1C9"/>
    <w:rsid w:val="34908CFA"/>
    <w:rsid w:val="3491A8AB"/>
    <w:rsid w:val="349219AC"/>
    <w:rsid w:val="34933D52"/>
    <w:rsid w:val="34949B3C"/>
    <w:rsid w:val="3494F5B0"/>
    <w:rsid w:val="34951168"/>
    <w:rsid w:val="3496C203"/>
    <w:rsid w:val="34975EA0"/>
    <w:rsid w:val="34984200"/>
    <w:rsid w:val="3498667D"/>
    <w:rsid w:val="349914B9"/>
    <w:rsid w:val="34996A17"/>
    <w:rsid w:val="3499FA6C"/>
    <w:rsid w:val="349A4F0B"/>
    <w:rsid w:val="349C4346"/>
    <w:rsid w:val="349CCA78"/>
    <w:rsid w:val="349E988A"/>
    <w:rsid w:val="349F03F9"/>
    <w:rsid w:val="349F0E1A"/>
    <w:rsid w:val="349F1062"/>
    <w:rsid w:val="349F46E7"/>
    <w:rsid w:val="349F5963"/>
    <w:rsid w:val="349FC666"/>
    <w:rsid w:val="349FCE47"/>
    <w:rsid w:val="34A0F02C"/>
    <w:rsid w:val="34A11C63"/>
    <w:rsid w:val="34A12F63"/>
    <w:rsid w:val="34A131AF"/>
    <w:rsid w:val="34A13D40"/>
    <w:rsid w:val="34A15A41"/>
    <w:rsid w:val="34A1AD7B"/>
    <w:rsid w:val="34A33A5D"/>
    <w:rsid w:val="34A38361"/>
    <w:rsid w:val="34A424EE"/>
    <w:rsid w:val="34A52BBE"/>
    <w:rsid w:val="34A571BF"/>
    <w:rsid w:val="34A72BDF"/>
    <w:rsid w:val="34A7529A"/>
    <w:rsid w:val="34A7B969"/>
    <w:rsid w:val="34A7DFCE"/>
    <w:rsid w:val="34A88B96"/>
    <w:rsid w:val="34A9A754"/>
    <w:rsid w:val="34AA6668"/>
    <w:rsid w:val="34AD4A6B"/>
    <w:rsid w:val="34AD6952"/>
    <w:rsid w:val="34AD6C0A"/>
    <w:rsid w:val="34AD7255"/>
    <w:rsid w:val="34ADC08D"/>
    <w:rsid w:val="34AEEB87"/>
    <w:rsid w:val="34B17986"/>
    <w:rsid w:val="34B2213B"/>
    <w:rsid w:val="34B29B3B"/>
    <w:rsid w:val="34B34BFA"/>
    <w:rsid w:val="34B3655C"/>
    <w:rsid w:val="34B36C08"/>
    <w:rsid w:val="34B3D30D"/>
    <w:rsid w:val="34B44B1B"/>
    <w:rsid w:val="34B58C50"/>
    <w:rsid w:val="34B5A25A"/>
    <w:rsid w:val="34B5DBE9"/>
    <w:rsid w:val="34B7BC9C"/>
    <w:rsid w:val="34B7F194"/>
    <w:rsid w:val="34B82697"/>
    <w:rsid w:val="34B8C326"/>
    <w:rsid w:val="34B92DD4"/>
    <w:rsid w:val="34B9ACDB"/>
    <w:rsid w:val="34B9D3F3"/>
    <w:rsid w:val="34BB5E78"/>
    <w:rsid w:val="34BB772D"/>
    <w:rsid w:val="34BB92B1"/>
    <w:rsid w:val="34BB9598"/>
    <w:rsid w:val="34BCD1DA"/>
    <w:rsid w:val="34BDD7E6"/>
    <w:rsid w:val="34BF2C90"/>
    <w:rsid w:val="34BF332E"/>
    <w:rsid w:val="34BF40E2"/>
    <w:rsid w:val="34C207BF"/>
    <w:rsid w:val="34C32382"/>
    <w:rsid w:val="34C381B9"/>
    <w:rsid w:val="34C3B9C6"/>
    <w:rsid w:val="34C3CA29"/>
    <w:rsid w:val="34C3DEFA"/>
    <w:rsid w:val="34C48F4C"/>
    <w:rsid w:val="34C5A194"/>
    <w:rsid w:val="34C880E2"/>
    <w:rsid w:val="34C8FB01"/>
    <w:rsid w:val="34CA58B3"/>
    <w:rsid w:val="34CA83EA"/>
    <w:rsid w:val="34CB0CEE"/>
    <w:rsid w:val="34CB2316"/>
    <w:rsid w:val="34CB8033"/>
    <w:rsid w:val="34CC07FE"/>
    <w:rsid w:val="34CC2151"/>
    <w:rsid w:val="34CC8C03"/>
    <w:rsid w:val="34CC9A3A"/>
    <w:rsid w:val="34CD0089"/>
    <w:rsid w:val="34CD8E38"/>
    <w:rsid w:val="34CDD85E"/>
    <w:rsid w:val="34CDEE6D"/>
    <w:rsid w:val="34CDFA33"/>
    <w:rsid w:val="34CED047"/>
    <w:rsid w:val="34CF7D06"/>
    <w:rsid w:val="34CFFE07"/>
    <w:rsid w:val="34D106C0"/>
    <w:rsid w:val="34D135E6"/>
    <w:rsid w:val="34D243CB"/>
    <w:rsid w:val="34D2CBFA"/>
    <w:rsid w:val="34D32EE3"/>
    <w:rsid w:val="34D43C17"/>
    <w:rsid w:val="34D44072"/>
    <w:rsid w:val="34D4CB97"/>
    <w:rsid w:val="34D4F1DA"/>
    <w:rsid w:val="34D52C17"/>
    <w:rsid w:val="34D54A8F"/>
    <w:rsid w:val="34D57A93"/>
    <w:rsid w:val="34D5929F"/>
    <w:rsid w:val="34D5FD45"/>
    <w:rsid w:val="34D87604"/>
    <w:rsid w:val="34D9CADF"/>
    <w:rsid w:val="34DB551E"/>
    <w:rsid w:val="34DBE0DB"/>
    <w:rsid w:val="34DC3A19"/>
    <w:rsid w:val="34DC71FA"/>
    <w:rsid w:val="34DC7BF9"/>
    <w:rsid w:val="34DD331F"/>
    <w:rsid w:val="34DD34C5"/>
    <w:rsid w:val="34DD88C2"/>
    <w:rsid w:val="34DF92C8"/>
    <w:rsid w:val="34DFC843"/>
    <w:rsid w:val="34DFD57A"/>
    <w:rsid w:val="34E050C8"/>
    <w:rsid w:val="34E0979A"/>
    <w:rsid w:val="34E14799"/>
    <w:rsid w:val="34E1E925"/>
    <w:rsid w:val="34E1F882"/>
    <w:rsid w:val="34E32F7F"/>
    <w:rsid w:val="34E3CBBC"/>
    <w:rsid w:val="34E3D4D6"/>
    <w:rsid w:val="34E3F786"/>
    <w:rsid w:val="34E3F8C6"/>
    <w:rsid w:val="34E42734"/>
    <w:rsid w:val="34E45BD7"/>
    <w:rsid w:val="34E510C0"/>
    <w:rsid w:val="34E5166F"/>
    <w:rsid w:val="34E633ED"/>
    <w:rsid w:val="34E6B3D1"/>
    <w:rsid w:val="34E89263"/>
    <w:rsid w:val="34E8B8EB"/>
    <w:rsid w:val="34E8CDCE"/>
    <w:rsid w:val="34E8DDEE"/>
    <w:rsid w:val="34E8EE68"/>
    <w:rsid w:val="34EA3D8C"/>
    <w:rsid w:val="34EB0A12"/>
    <w:rsid w:val="34EB53E5"/>
    <w:rsid w:val="34EB9DF6"/>
    <w:rsid w:val="34EBD490"/>
    <w:rsid w:val="34EF2D58"/>
    <w:rsid w:val="34F08B4F"/>
    <w:rsid w:val="34F0C450"/>
    <w:rsid w:val="34F0D3D8"/>
    <w:rsid w:val="34F113A2"/>
    <w:rsid w:val="34F123F0"/>
    <w:rsid w:val="34F18E74"/>
    <w:rsid w:val="34F1CD0E"/>
    <w:rsid w:val="34F27A54"/>
    <w:rsid w:val="34F286AD"/>
    <w:rsid w:val="34F3D035"/>
    <w:rsid w:val="34F41FA0"/>
    <w:rsid w:val="34F48AA1"/>
    <w:rsid w:val="34F52627"/>
    <w:rsid w:val="34F540DE"/>
    <w:rsid w:val="34F6C4B5"/>
    <w:rsid w:val="34F73748"/>
    <w:rsid w:val="34F73BBC"/>
    <w:rsid w:val="34F77871"/>
    <w:rsid w:val="34F8ACAB"/>
    <w:rsid w:val="34F8D01E"/>
    <w:rsid w:val="34FDA8FA"/>
    <w:rsid w:val="34FDC9F3"/>
    <w:rsid w:val="34FDDA70"/>
    <w:rsid w:val="34FE659C"/>
    <w:rsid w:val="35005178"/>
    <w:rsid w:val="3500E0A8"/>
    <w:rsid w:val="35019D41"/>
    <w:rsid w:val="3502A74B"/>
    <w:rsid w:val="35031B1D"/>
    <w:rsid w:val="3503712B"/>
    <w:rsid w:val="35042081"/>
    <w:rsid w:val="3504579A"/>
    <w:rsid w:val="3504CACB"/>
    <w:rsid w:val="3504F28D"/>
    <w:rsid w:val="3505269B"/>
    <w:rsid w:val="3505616C"/>
    <w:rsid w:val="35066513"/>
    <w:rsid w:val="35069E89"/>
    <w:rsid w:val="35073F43"/>
    <w:rsid w:val="350746EA"/>
    <w:rsid w:val="3508FCAB"/>
    <w:rsid w:val="350A3240"/>
    <w:rsid w:val="350A8D2A"/>
    <w:rsid w:val="350B055F"/>
    <w:rsid w:val="350B34D8"/>
    <w:rsid w:val="350B640A"/>
    <w:rsid w:val="350BE344"/>
    <w:rsid w:val="350CBA3C"/>
    <w:rsid w:val="350DC10A"/>
    <w:rsid w:val="350E6054"/>
    <w:rsid w:val="350ECC35"/>
    <w:rsid w:val="350F55C3"/>
    <w:rsid w:val="35105CA6"/>
    <w:rsid w:val="3510CDDB"/>
    <w:rsid w:val="3511F5A3"/>
    <w:rsid w:val="35147DE1"/>
    <w:rsid w:val="35149115"/>
    <w:rsid w:val="3514C6C8"/>
    <w:rsid w:val="351537F6"/>
    <w:rsid w:val="35159847"/>
    <w:rsid w:val="351604DA"/>
    <w:rsid w:val="3516455C"/>
    <w:rsid w:val="3517612C"/>
    <w:rsid w:val="3517B3FA"/>
    <w:rsid w:val="351814CB"/>
    <w:rsid w:val="35182DBA"/>
    <w:rsid w:val="3518AA32"/>
    <w:rsid w:val="3519352A"/>
    <w:rsid w:val="35194EF6"/>
    <w:rsid w:val="3519691D"/>
    <w:rsid w:val="351B1550"/>
    <w:rsid w:val="351B3BCE"/>
    <w:rsid w:val="351B5B82"/>
    <w:rsid w:val="351C04BC"/>
    <w:rsid w:val="351C48EB"/>
    <w:rsid w:val="351C771F"/>
    <w:rsid w:val="351C95ED"/>
    <w:rsid w:val="351D0E6A"/>
    <w:rsid w:val="351E0DA8"/>
    <w:rsid w:val="351E6AA2"/>
    <w:rsid w:val="351ED4A7"/>
    <w:rsid w:val="351F5B37"/>
    <w:rsid w:val="351FC361"/>
    <w:rsid w:val="351FE1D8"/>
    <w:rsid w:val="352033A3"/>
    <w:rsid w:val="35205D3E"/>
    <w:rsid w:val="3521159E"/>
    <w:rsid w:val="35212B30"/>
    <w:rsid w:val="35223AF2"/>
    <w:rsid w:val="35233661"/>
    <w:rsid w:val="35239DFD"/>
    <w:rsid w:val="3523AD43"/>
    <w:rsid w:val="3523B22A"/>
    <w:rsid w:val="3523C836"/>
    <w:rsid w:val="3523DF08"/>
    <w:rsid w:val="3523E4F5"/>
    <w:rsid w:val="3524993A"/>
    <w:rsid w:val="35261E73"/>
    <w:rsid w:val="35275876"/>
    <w:rsid w:val="352A4202"/>
    <w:rsid w:val="352AD884"/>
    <w:rsid w:val="352AD8EC"/>
    <w:rsid w:val="352B3816"/>
    <w:rsid w:val="352BBFAF"/>
    <w:rsid w:val="352BF382"/>
    <w:rsid w:val="352C448B"/>
    <w:rsid w:val="352C7AA3"/>
    <w:rsid w:val="352DE3E6"/>
    <w:rsid w:val="352E24D5"/>
    <w:rsid w:val="352E4677"/>
    <w:rsid w:val="352E9135"/>
    <w:rsid w:val="352F555B"/>
    <w:rsid w:val="352F75C8"/>
    <w:rsid w:val="352F9C31"/>
    <w:rsid w:val="352FBFAD"/>
    <w:rsid w:val="35316176"/>
    <w:rsid w:val="35324894"/>
    <w:rsid w:val="35326C68"/>
    <w:rsid w:val="35346195"/>
    <w:rsid w:val="35346D52"/>
    <w:rsid w:val="3534702B"/>
    <w:rsid w:val="3534B7A0"/>
    <w:rsid w:val="3534E544"/>
    <w:rsid w:val="353509BC"/>
    <w:rsid w:val="3536DC1B"/>
    <w:rsid w:val="353796C0"/>
    <w:rsid w:val="3537A919"/>
    <w:rsid w:val="3537E074"/>
    <w:rsid w:val="3537F0F9"/>
    <w:rsid w:val="35387173"/>
    <w:rsid w:val="3538EE0F"/>
    <w:rsid w:val="353A0723"/>
    <w:rsid w:val="353A464E"/>
    <w:rsid w:val="353A8BCC"/>
    <w:rsid w:val="353AE23C"/>
    <w:rsid w:val="353B555C"/>
    <w:rsid w:val="353B5F47"/>
    <w:rsid w:val="353BE883"/>
    <w:rsid w:val="353D4F63"/>
    <w:rsid w:val="353DDE83"/>
    <w:rsid w:val="353E5D12"/>
    <w:rsid w:val="353ED44A"/>
    <w:rsid w:val="3540038A"/>
    <w:rsid w:val="35411D75"/>
    <w:rsid w:val="354278BD"/>
    <w:rsid w:val="3542AD48"/>
    <w:rsid w:val="3542B811"/>
    <w:rsid w:val="3542EE47"/>
    <w:rsid w:val="35436E8D"/>
    <w:rsid w:val="3544C916"/>
    <w:rsid w:val="3544E0F8"/>
    <w:rsid w:val="35450CFB"/>
    <w:rsid w:val="3545484C"/>
    <w:rsid w:val="35467268"/>
    <w:rsid w:val="35471AB0"/>
    <w:rsid w:val="354741FB"/>
    <w:rsid w:val="3547F68E"/>
    <w:rsid w:val="35480380"/>
    <w:rsid w:val="35481177"/>
    <w:rsid w:val="3548CAE9"/>
    <w:rsid w:val="3549372B"/>
    <w:rsid w:val="35495684"/>
    <w:rsid w:val="3549FECB"/>
    <w:rsid w:val="354A860C"/>
    <w:rsid w:val="354BA019"/>
    <w:rsid w:val="354BE48C"/>
    <w:rsid w:val="354CAA8A"/>
    <w:rsid w:val="354CE196"/>
    <w:rsid w:val="354D928D"/>
    <w:rsid w:val="354DFFC8"/>
    <w:rsid w:val="3550AAFC"/>
    <w:rsid w:val="35515C09"/>
    <w:rsid w:val="35526609"/>
    <w:rsid w:val="3552EC22"/>
    <w:rsid w:val="3553F508"/>
    <w:rsid w:val="3554C489"/>
    <w:rsid w:val="35551276"/>
    <w:rsid w:val="35554462"/>
    <w:rsid w:val="3555457D"/>
    <w:rsid w:val="3557A165"/>
    <w:rsid w:val="3557E6C2"/>
    <w:rsid w:val="355800C4"/>
    <w:rsid w:val="35584F86"/>
    <w:rsid w:val="3558982A"/>
    <w:rsid w:val="355A615C"/>
    <w:rsid w:val="355A90C9"/>
    <w:rsid w:val="355AEA76"/>
    <w:rsid w:val="355B16F5"/>
    <w:rsid w:val="355D5218"/>
    <w:rsid w:val="355EB1C2"/>
    <w:rsid w:val="355F00E1"/>
    <w:rsid w:val="35602F8A"/>
    <w:rsid w:val="3561BCA6"/>
    <w:rsid w:val="3561F184"/>
    <w:rsid w:val="3562119F"/>
    <w:rsid w:val="356391AD"/>
    <w:rsid w:val="3563F1D4"/>
    <w:rsid w:val="356415C4"/>
    <w:rsid w:val="35641E1B"/>
    <w:rsid w:val="3564416C"/>
    <w:rsid w:val="35653D5C"/>
    <w:rsid w:val="356827C2"/>
    <w:rsid w:val="35684CE2"/>
    <w:rsid w:val="35693D8C"/>
    <w:rsid w:val="356941D6"/>
    <w:rsid w:val="3569F054"/>
    <w:rsid w:val="356A7BFA"/>
    <w:rsid w:val="356AC55A"/>
    <w:rsid w:val="356BB9BC"/>
    <w:rsid w:val="356C0B8E"/>
    <w:rsid w:val="356C1586"/>
    <w:rsid w:val="356C234B"/>
    <w:rsid w:val="356C6DD2"/>
    <w:rsid w:val="356C79D8"/>
    <w:rsid w:val="356E1970"/>
    <w:rsid w:val="356E1C80"/>
    <w:rsid w:val="356F2B72"/>
    <w:rsid w:val="356FB252"/>
    <w:rsid w:val="357043B0"/>
    <w:rsid w:val="3570AF6F"/>
    <w:rsid w:val="35740336"/>
    <w:rsid w:val="3574092E"/>
    <w:rsid w:val="35742E27"/>
    <w:rsid w:val="3575FECE"/>
    <w:rsid w:val="35761F96"/>
    <w:rsid w:val="357758CB"/>
    <w:rsid w:val="3577800D"/>
    <w:rsid w:val="357799A3"/>
    <w:rsid w:val="3577ECDE"/>
    <w:rsid w:val="35795661"/>
    <w:rsid w:val="35799359"/>
    <w:rsid w:val="357AD075"/>
    <w:rsid w:val="357B8598"/>
    <w:rsid w:val="357C190B"/>
    <w:rsid w:val="357C4041"/>
    <w:rsid w:val="357CC5A0"/>
    <w:rsid w:val="357D8CD1"/>
    <w:rsid w:val="357E080E"/>
    <w:rsid w:val="357EFA34"/>
    <w:rsid w:val="357F0035"/>
    <w:rsid w:val="357F42C1"/>
    <w:rsid w:val="3580C37F"/>
    <w:rsid w:val="3581A0F9"/>
    <w:rsid w:val="35824967"/>
    <w:rsid w:val="35842576"/>
    <w:rsid w:val="35844807"/>
    <w:rsid w:val="35853E96"/>
    <w:rsid w:val="35855B5B"/>
    <w:rsid w:val="35858B56"/>
    <w:rsid w:val="3585C54B"/>
    <w:rsid w:val="3585C988"/>
    <w:rsid w:val="3585FD65"/>
    <w:rsid w:val="3586168C"/>
    <w:rsid w:val="3586CFC5"/>
    <w:rsid w:val="3588184A"/>
    <w:rsid w:val="358824D6"/>
    <w:rsid w:val="3588D250"/>
    <w:rsid w:val="3588DC68"/>
    <w:rsid w:val="3589CE97"/>
    <w:rsid w:val="358A89F3"/>
    <w:rsid w:val="358B3049"/>
    <w:rsid w:val="358B87AD"/>
    <w:rsid w:val="358BE1CF"/>
    <w:rsid w:val="358D4766"/>
    <w:rsid w:val="358DFF76"/>
    <w:rsid w:val="358E6CB6"/>
    <w:rsid w:val="358E9E62"/>
    <w:rsid w:val="358F1318"/>
    <w:rsid w:val="3590EEC6"/>
    <w:rsid w:val="3591236F"/>
    <w:rsid w:val="35913C37"/>
    <w:rsid w:val="3591444D"/>
    <w:rsid w:val="35939D0C"/>
    <w:rsid w:val="3593E3E8"/>
    <w:rsid w:val="359423EA"/>
    <w:rsid w:val="359425C6"/>
    <w:rsid w:val="35949DA6"/>
    <w:rsid w:val="3594B602"/>
    <w:rsid w:val="3595C53A"/>
    <w:rsid w:val="3595F362"/>
    <w:rsid w:val="35962F08"/>
    <w:rsid w:val="35963C8C"/>
    <w:rsid w:val="3596F697"/>
    <w:rsid w:val="35984C0D"/>
    <w:rsid w:val="3598A362"/>
    <w:rsid w:val="35993A00"/>
    <w:rsid w:val="359A03F9"/>
    <w:rsid w:val="359B8D63"/>
    <w:rsid w:val="359D1FA8"/>
    <w:rsid w:val="359D31BF"/>
    <w:rsid w:val="359D4E45"/>
    <w:rsid w:val="359DBAF6"/>
    <w:rsid w:val="359DE11F"/>
    <w:rsid w:val="359E536E"/>
    <w:rsid w:val="359EAEF5"/>
    <w:rsid w:val="359EC926"/>
    <w:rsid w:val="359EE1F2"/>
    <w:rsid w:val="35A021CC"/>
    <w:rsid w:val="35A0529A"/>
    <w:rsid w:val="35A0F1D5"/>
    <w:rsid w:val="35A1A7CC"/>
    <w:rsid w:val="35A2D392"/>
    <w:rsid w:val="35A39508"/>
    <w:rsid w:val="35A55AFF"/>
    <w:rsid w:val="35A583C9"/>
    <w:rsid w:val="35A59055"/>
    <w:rsid w:val="35A6427C"/>
    <w:rsid w:val="35A66287"/>
    <w:rsid w:val="35A67F0C"/>
    <w:rsid w:val="35A68D66"/>
    <w:rsid w:val="35A736E7"/>
    <w:rsid w:val="35A7C437"/>
    <w:rsid w:val="35A8A994"/>
    <w:rsid w:val="35A9704E"/>
    <w:rsid w:val="35A98FB2"/>
    <w:rsid w:val="35AA3E16"/>
    <w:rsid w:val="35AA6DDC"/>
    <w:rsid w:val="35AAAC7E"/>
    <w:rsid w:val="35AC13EB"/>
    <w:rsid w:val="35AC1904"/>
    <w:rsid w:val="35AC52D3"/>
    <w:rsid w:val="35ACDB8D"/>
    <w:rsid w:val="35AE9E8A"/>
    <w:rsid w:val="35AEC2E8"/>
    <w:rsid w:val="35B0A2D5"/>
    <w:rsid w:val="35B0E839"/>
    <w:rsid w:val="35B12E73"/>
    <w:rsid w:val="35B25A76"/>
    <w:rsid w:val="35B34BEE"/>
    <w:rsid w:val="35B43704"/>
    <w:rsid w:val="35B46D49"/>
    <w:rsid w:val="35B4E98E"/>
    <w:rsid w:val="35B5E60F"/>
    <w:rsid w:val="35B68D75"/>
    <w:rsid w:val="35B79639"/>
    <w:rsid w:val="35B7B987"/>
    <w:rsid w:val="35B7CD67"/>
    <w:rsid w:val="35B860C2"/>
    <w:rsid w:val="35B91831"/>
    <w:rsid w:val="35B9EA2B"/>
    <w:rsid w:val="35BA945C"/>
    <w:rsid w:val="35BB29E0"/>
    <w:rsid w:val="35BB4497"/>
    <w:rsid w:val="35BBC2FC"/>
    <w:rsid w:val="35BD6EBC"/>
    <w:rsid w:val="35BDC967"/>
    <w:rsid w:val="35C0335E"/>
    <w:rsid w:val="35C03AFA"/>
    <w:rsid w:val="35C11B2D"/>
    <w:rsid w:val="35C23855"/>
    <w:rsid w:val="35C4C2BA"/>
    <w:rsid w:val="35C5C97B"/>
    <w:rsid w:val="35C5CA48"/>
    <w:rsid w:val="35C6AD3A"/>
    <w:rsid w:val="35C7622A"/>
    <w:rsid w:val="35C7A39C"/>
    <w:rsid w:val="35C7ADDF"/>
    <w:rsid w:val="35C7C7D6"/>
    <w:rsid w:val="35C82899"/>
    <w:rsid w:val="35C9037F"/>
    <w:rsid w:val="35C9AA33"/>
    <w:rsid w:val="35C9C508"/>
    <w:rsid w:val="35C9D684"/>
    <w:rsid w:val="35CA635A"/>
    <w:rsid w:val="35CC072B"/>
    <w:rsid w:val="35CCEB27"/>
    <w:rsid w:val="35CDEBC4"/>
    <w:rsid w:val="35CE4D51"/>
    <w:rsid w:val="35CE6191"/>
    <w:rsid w:val="35CE9E51"/>
    <w:rsid w:val="35CF2EBF"/>
    <w:rsid w:val="35CF35F3"/>
    <w:rsid w:val="35CF477B"/>
    <w:rsid w:val="35CFBAE1"/>
    <w:rsid w:val="35CFD185"/>
    <w:rsid w:val="35D05AED"/>
    <w:rsid w:val="35D08E1C"/>
    <w:rsid w:val="35D13454"/>
    <w:rsid w:val="35D1E384"/>
    <w:rsid w:val="35D1F85E"/>
    <w:rsid w:val="35D248FD"/>
    <w:rsid w:val="35D254DF"/>
    <w:rsid w:val="35D259AE"/>
    <w:rsid w:val="35D2872C"/>
    <w:rsid w:val="35D28886"/>
    <w:rsid w:val="35D2DE07"/>
    <w:rsid w:val="35D4B83C"/>
    <w:rsid w:val="35D4C26D"/>
    <w:rsid w:val="35D5A528"/>
    <w:rsid w:val="35D5EF7F"/>
    <w:rsid w:val="35D661C0"/>
    <w:rsid w:val="35D7CDA9"/>
    <w:rsid w:val="35D7ED60"/>
    <w:rsid w:val="35D842E6"/>
    <w:rsid w:val="35D84DBB"/>
    <w:rsid w:val="35D866A0"/>
    <w:rsid w:val="35D88B0D"/>
    <w:rsid w:val="35D8EA8B"/>
    <w:rsid w:val="35D9DA24"/>
    <w:rsid w:val="35DAA3E9"/>
    <w:rsid w:val="35DAF960"/>
    <w:rsid w:val="35DC2904"/>
    <w:rsid w:val="35DCE469"/>
    <w:rsid w:val="35DD6BAA"/>
    <w:rsid w:val="35DD8702"/>
    <w:rsid w:val="35DDDA0D"/>
    <w:rsid w:val="35DDDFBE"/>
    <w:rsid w:val="35E0DC14"/>
    <w:rsid w:val="35E1520B"/>
    <w:rsid w:val="35E1E434"/>
    <w:rsid w:val="35E2646E"/>
    <w:rsid w:val="35E295E1"/>
    <w:rsid w:val="35E2B445"/>
    <w:rsid w:val="35E3FD6E"/>
    <w:rsid w:val="35E743BC"/>
    <w:rsid w:val="35E78209"/>
    <w:rsid w:val="35E7F5F1"/>
    <w:rsid w:val="35E7FFEA"/>
    <w:rsid w:val="35E806C5"/>
    <w:rsid w:val="35E97D3A"/>
    <w:rsid w:val="35EA6003"/>
    <w:rsid w:val="35EC0224"/>
    <w:rsid w:val="35ECA04F"/>
    <w:rsid w:val="35ECC735"/>
    <w:rsid w:val="35ECE3FC"/>
    <w:rsid w:val="35EE3E67"/>
    <w:rsid w:val="35EFF014"/>
    <w:rsid w:val="35F018A2"/>
    <w:rsid w:val="35F06910"/>
    <w:rsid w:val="35F069B6"/>
    <w:rsid w:val="35F19238"/>
    <w:rsid w:val="35F21EC4"/>
    <w:rsid w:val="35F2830D"/>
    <w:rsid w:val="35F2BA8B"/>
    <w:rsid w:val="35F2D687"/>
    <w:rsid w:val="35F35D83"/>
    <w:rsid w:val="35F36D4A"/>
    <w:rsid w:val="35F4B974"/>
    <w:rsid w:val="35F57B00"/>
    <w:rsid w:val="35F60100"/>
    <w:rsid w:val="35F61328"/>
    <w:rsid w:val="35F6224F"/>
    <w:rsid w:val="35F67FAE"/>
    <w:rsid w:val="35F68560"/>
    <w:rsid w:val="35F68838"/>
    <w:rsid w:val="35F6CA79"/>
    <w:rsid w:val="35F733E7"/>
    <w:rsid w:val="35F870B1"/>
    <w:rsid w:val="35F8C615"/>
    <w:rsid w:val="35FA57F7"/>
    <w:rsid w:val="35FB2831"/>
    <w:rsid w:val="35FD6AAB"/>
    <w:rsid w:val="35FE05CF"/>
    <w:rsid w:val="35FE1B4A"/>
    <w:rsid w:val="35FF2F28"/>
    <w:rsid w:val="35FF9670"/>
    <w:rsid w:val="35FFA7EB"/>
    <w:rsid w:val="35FFFE3E"/>
    <w:rsid w:val="36004ED9"/>
    <w:rsid w:val="3603A69B"/>
    <w:rsid w:val="36046DBD"/>
    <w:rsid w:val="36051EAA"/>
    <w:rsid w:val="3605A344"/>
    <w:rsid w:val="360727C2"/>
    <w:rsid w:val="36084993"/>
    <w:rsid w:val="360BE51A"/>
    <w:rsid w:val="360FEC22"/>
    <w:rsid w:val="3610CC24"/>
    <w:rsid w:val="3610D1B7"/>
    <w:rsid w:val="36113D34"/>
    <w:rsid w:val="36130E27"/>
    <w:rsid w:val="36131649"/>
    <w:rsid w:val="3613309F"/>
    <w:rsid w:val="36135466"/>
    <w:rsid w:val="36135CF2"/>
    <w:rsid w:val="36137518"/>
    <w:rsid w:val="36184819"/>
    <w:rsid w:val="36187020"/>
    <w:rsid w:val="36191ADB"/>
    <w:rsid w:val="361BE109"/>
    <w:rsid w:val="361CDF09"/>
    <w:rsid w:val="361D62A2"/>
    <w:rsid w:val="361D8C62"/>
    <w:rsid w:val="361DEB05"/>
    <w:rsid w:val="361E16A3"/>
    <w:rsid w:val="361EAEF5"/>
    <w:rsid w:val="361F517B"/>
    <w:rsid w:val="361F7645"/>
    <w:rsid w:val="361FA4C5"/>
    <w:rsid w:val="361FEED3"/>
    <w:rsid w:val="36201E2E"/>
    <w:rsid w:val="36219591"/>
    <w:rsid w:val="362272B1"/>
    <w:rsid w:val="36238A9D"/>
    <w:rsid w:val="3623A72F"/>
    <w:rsid w:val="3624895E"/>
    <w:rsid w:val="3624CF86"/>
    <w:rsid w:val="36255AD9"/>
    <w:rsid w:val="3626E2A4"/>
    <w:rsid w:val="36293753"/>
    <w:rsid w:val="36294FF5"/>
    <w:rsid w:val="36296F19"/>
    <w:rsid w:val="362A4E9B"/>
    <w:rsid w:val="362B51B2"/>
    <w:rsid w:val="362D3A26"/>
    <w:rsid w:val="362EB688"/>
    <w:rsid w:val="362EC26C"/>
    <w:rsid w:val="362F2EE3"/>
    <w:rsid w:val="362F7CB3"/>
    <w:rsid w:val="363093C8"/>
    <w:rsid w:val="36311195"/>
    <w:rsid w:val="36329DFC"/>
    <w:rsid w:val="3632B1F8"/>
    <w:rsid w:val="363376B2"/>
    <w:rsid w:val="3634ACF4"/>
    <w:rsid w:val="3634E7FB"/>
    <w:rsid w:val="36350445"/>
    <w:rsid w:val="3635A87E"/>
    <w:rsid w:val="363609EA"/>
    <w:rsid w:val="36375A76"/>
    <w:rsid w:val="36378169"/>
    <w:rsid w:val="3637E4E0"/>
    <w:rsid w:val="36385462"/>
    <w:rsid w:val="36385868"/>
    <w:rsid w:val="36387E7A"/>
    <w:rsid w:val="3638D276"/>
    <w:rsid w:val="36398DED"/>
    <w:rsid w:val="3639D501"/>
    <w:rsid w:val="3639EBC8"/>
    <w:rsid w:val="363A6C66"/>
    <w:rsid w:val="363A7755"/>
    <w:rsid w:val="363A80B6"/>
    <w:rsid w:val="363A95D3"/>
    <w:rsid w:val="363ADB92"/>
    <w:rsid w:val="363AE1DD"/>
    <w:rsid w:val="363C0337"/>
    <w:rsid w:val="363C3DAD"/>
    <w:rsid w:val="363C71CA"/>
    <w:rsid w:val="363D672D"/>
    <w:rsid w:val="363EF56C"/>
    <w:rsid w:val="36403951"/>
    <w:rsid w:val="3640BCAB"/>
    <w:rsid w:val="36411174"/>
    <w:rsid w:val="364231F7"/>
    <w:rsid w:val="36438A56"/>
    <w:rsid w:val="3644A16A"/>
    <w:rsid w:val="36454E8D"/>
    <w:rsid w:val="3645920A"/>
    <w:rsid w:val="364689EE"/>
    <w:rsid w:val="3647EC07"/>
    <w:rsid w:val="3648A8F3"/>
    <w:rsid w:val="3648D5EC"/>
    <w:rsid w:val="364914EC"/>
    <w:rsid w:val="364940B7"/>
    <w:rsid w:val="364A2459"/>
    <w:rsid w:val="364A6959"/>
    <w:rsid w:val="364CBFE6"/>
    <w:rsid w:val="364D5AB2"/>
    <w:rsid w:val="364DD7E8"/>
    <w:rsid w:val="364E9CB3"/>
    <w:rsid w:val="364FA33E"/>
    <w:rsid w:val="36523078"/>
    <w:rsid w:val="3652B401"/>
    <w:rsid w:val="3653E2C8"/>
    <w:rsid w:val="36546C46"/>
    <w:rsid w:val="3654C627"/>
    <w:rsid w:val="36560A9F"/>
    <w:rsid w:val="365666A6"/>
    <w:rsid w:val="3656A920"/>
    <w:rsid w:val="3656AF3A"/>
    <w:rsid w:val="3657C898"/>
    <w:rsid w:val="3657D812"/>
    <w:rsid w:val="3657EBFB"/>
    <w:rsid w:val="3658F876"/>
    <w:rsid w:val="3659ABD6"/>
    <w:rsid w:val="3659E741"/>
    <w:rsid w:val="365A8DC9"/>
    <w:rsid w:val="365B690C"/>
    <w:rsid w:val="365C289E"/>
    <w:rsid w:val="365D2142"/>
    <w:rsid w:val="365D40E8"/>
    <w:rsid w:val="366133C5"/>
    <w:rsid w:val="366139E7"/>
    <w:rsid w:val="3661C925"/>
    <w:rsid w:val="3662888B"/>
    <w:rsid w:val="3662A23C"/>
    <w:rsid w:val="366330B7"/>
    <w:rsid w:val="36633BF7"/>
    <w:rsid w:val="3663AF80"/>
    <w:rsid w:val="3663AFAA"/>
    <w:rsid w:val="36645DA2"/>
    <w:rsid w:val="3665346F"/>
    <w:rsid w:val="3665380E"/>
    <w:rsid w:val="36655F1A"/>
    <w:rsid w:val="3665A2A0"/>
    <w:rsid w:val="3665DCFA"/>
    <w:rsid w:val="3666A59D"/>
    <w:rsid w:val="3666DE66"/>
    <w:rsid w:val="36676A2F"/>
    <w:rsid w:val="3667D5AD"/>
    <w:rsid w:val="3667FD28"/>
    <w:rsid w:val="36684860"/>
    <w:rsid w:val="3668D975"/>
    <w:rsid w:val="36692845"/>
    <w:rsid w:val="366967F2"/>
    <w:rsid w:val="3669E8EB"/>
    <w:rsid w:val="366A7B54"/>
    <w:rsid w:val="366A8CE4"/>
    <w:rsid w:val="366B2531"/>
    <w:rsid w:val="366B9D7D"/>
    <w:rsid w:val="366BA255"/>
    <w:rsid w:val="366CEEBE"/>
    <w:rsid w:val="366DB33E"/>
    <w:rsid w:val="366DEBEB"/>
    <w:rsid w:val="366EEBF0"/>
    <w:rsid w:val="36701DE5"/>
    <w:rsid w:val="36708C72"/>
    <w:rsid w:val="3670D632"/>
    <w:rsid w:val="36717D20"/>
    <w:rsid w:val="36718F02"/>
    <w:rsid w:val="3671FE64"/>
    <w:rsid w:val="367290E7"/>
    <w:rsid w:val="3672F2EE"/>
    <w:rsid w:val="3675741F"/>
    <w:rsid w:val="36766083"/>
    <w:rsid w:val="36777E2B"/>
    <w:rsid w:val="3678AD96"/>
    <w:rsid w:val="3679DBAB"/>
    <w:rsid w:val="367A3326"/>
    <w:rsid w:val="367AECC3"/>
    <w:rsid w:val="367B0765"/>
    <w:rsid w:val="367B205E"/>
    <w:rsid w:val="367C45B4"/>
    <w:rsid w:val="367C776F"/>
    <w:rsid w:val="367F1399"/>
    <w:rsid w:val="367F7F60"/>
    <w:rsid w:val="368016AB"/>
    <w:rsid w:val="3680E0D3"/>
    <w:rsid w:val="3681845C"/>
    <w:rsid w:val="368369FB"/>
    <w:rsid w:val="3683CE61"/>
    <w:rsid w:val="368405D0"/>
    <w:rsid w:val="36840DE4"/>
    <w:rsid w:val="36843379"/>
    <w:rsid w:val="3684F222"/>
    <w:rsid w:val="3685C0C9"/>
    <w:rsid w:val="3686F0DE"/>
    <w:rsid w:val="368743E5"/>
    <w:rsid w:val="3687857D"/>
    <w:rsid w:val="368848F6"/>
    <w:rsid w:val="3688E0A6"/>
    <w:rsid w:val="36894448"/>
    <w:rsid w:val="368AFBE2"/>
    <w:rsid w:val="368BAA3A"/>
    <w:rsid w:val="368C9DC9"/>
    <w:rsid w:val="368CAE7C"/>
    <w:rsid w:val="368CF645"/>
    <w:rsid w:val="368D78A5"/>
    <w:rsid w:val="368DE13D"/>
    <w:rsid w:val="368EAA2F"/>
    <w:rsid w:val="368EE4D1"/>
    <w:rsid w:val="368FF38D"/>
    <w:rsid w:val="369074BF"/>
    <w:rsid w:val="36910750"/>
    <w:rsid w:val="36910849"/>
    <w:rsid w:val="36916011"/>
    <w:rsid w:val="369182F6"/>
    <w:rsid w:val="36920A5A"/>
    <w:rsid w:val="369265B8"/>
    <w:rsid w:val="36928128"/>
    <w:rsid w:val="369397F4"/>
    <w:rsid w:val="3694E5F9"/>
    <w:rsid w:val="36956D17"/>
    <w:rsid w:val="3695DFFA"/>
    <w:rsid w:val="369666D5"/>
    <w:rsid w:val="3697E9B1"/>
    <w:rsid w:val="3698486E"/>
    <w:rsid w:val="369919BC"/>
    <w:rsid w:val="369923FB"/>
    <w:rsid w:val="369985BF"/>
    <w:rsid w:val="3699A96A"/>
    <w:rsid w:val="3699BA59"/>
    <w:rsid w:val="369AAB75"/>
    <w:rsid w:val="369AEE93"/>
    <w:rsid w:val="369B06CD"/>
    <w:rsid w:val="369B6A6B"/>
    <w:rsid w:val="369C5ADC"/>
    <w:rsid w:val="369D7317"/>
    <w:rsid w:val="369FC089"/>
    <w:rsid w:val="36A014BA"/>
    <w:rsid w:val="36A0647A"/>
    <w:rsid w:val="36A08FC8"/>
    <w:rsid w:val="36A174A3"/>
    <w:rsid w:val="36A2AA51"/>
    <w:rsid w:val="36A363A1"/>
    <w:rsid w:val="36A45A5A"/>
    <w:rsid w:val="36A5889C"/>
    <w:rsid w:val="36A59014"/>
    <w:rsid w:val="36A5FBE9"/>
    <w:rsid w:val="36A612C1"/>
    <w:rsid w:val="36A69A5D"/>
    <w:rsid w:val="36A70DF4"/>
    <w:rsid w:val="36A71CEA"/>
    <w:rsid w:val="36A730D6"/>
    <w:rsid w:val="36A78596"/>
    <w:rsid w:val="36A7A3AB"/>
    <w:rsid w:val="36A814B7"/>
    <w:rsid w:val="36A81A92"/>
    <w:rsid w:val="36A83EE4"/>
    <w:rsid w:val="36AA6C1B"/>
    <w:rsid w:val="36ABBF78"/>
    <w:rsid w:val="36ABD611"/>
    <w:rsid w:val="36ABDA21"/>
    <w:rsid w:val="36AC3C79"/>
    <w:rsid w:val="36ACDC8A"/>
    <w:rsid w:val="36AD5FD4"/>
    <w:rsid w:val="36AE8AB2"/>
    <w:rsid w:val="36AEA27F"/>
    <w:rsid w:val="36AEBDEC"/>
    <w:rsid w:val="36AEC586"/>
    <w:rsid w:val="36AFF85C"/>
    <w:rsid w:val="36B14C98"/>
    <w:rsid w:val="36B265A1"/>
    <w:rsid w:val="36B2788A"/>
    <w:rsid w:val="36B28C8B"/>
    <w:rsid w:val="36B2A248"/>
    <w:rsid w:val="36B44AE4"/>
    <w:rsid w:val="36B4A4E5"/>
    <w:rsid w:val="36B53B83"/>
    <w:rsid w:val="36B68DAA"/>
    <w:rsid w:val="36B6BEB7"/>
    <w:rsid w:val="36B83246"/>
    <w:rsid w:val="36BA24B3"/>
    <w:rsid w:val="36BAFD47"/>
    <w:rsid w:val="36BB22B1"/>
    <w:rsid w:val="36BC2D97"/>
    <w:rsid w:val="36BCC271"/>
    <w:rsid w:val="36BD7715"/>
    <w:rsid w:val="36BE6E5F"/>
    <w:rsid w:val="36BF709A"/>
    <w:rsid w:val="36C046FD"/>
    <w:rsid w:val="36C0A898"/>
    <w:rsid w:val="36C0B845"/>
    <w:rsid w:val="36C0E742"/>
    <w:rsid w:val="36C17659"/>
    <w:rsid w:val="36C1E3DF"/>
    <w:rsid w:val="36C29CCF"/>
    <w:rsid w:val="36C29D6F"/>
    <w:rsid w:val="36C4EEC8"/>
    <w:rsid w:val="36C519F7"/>
    <w:rsid w:val="36C6119A"/>
    <w:rsid w:val="36C62209"/>
    <w:rsid w:val="36C6A4F3"/>
    <w:rsid w:val="36C6CE9C"/>
    <w:rsid w:val="36C76D63"/>
    <w:rsid w:val="36CA4081"/>
    <w:rsid w:val="36CB825F"/>
    <w:rsid w:val="36CCD813"/>
    <w:rsid w:val="36CDFD01"/>
    <w:rsid w:val="36CE3CC9"/>
    <w:rsid w:val="36CF0989"/>
    <w:rsid w:val="36D1BC1A"/>
    <w:rsid w:val="36D41973"/>
    <w:rsid w:val="36D4E9AC"/>
    <w:rsid w:val="36D52DA0"/>
    <w:rsid w:val="36D68CC1"/>
    <w:rsid w:val="36D7FCD3"/>
    <w:rsid w:val="36D87846"/>
    <w:rsid w:val="36D9FD69"/>
    <w:rsid w:val="36DA16EC"/>
    <w:rsid w:val="36DACA16"/>
    <w:rsid w:val="36DC3FFB"/>
    <w:rsid w:val="36DC69A6"/>
    <w:rsid w:val="36DCC728"/>
    <w:rsid w:val="36DCD949"/>
    <w:rsid w:val="36DDA6CD"/>
    <w:rsid w:val="36DDFFE7"/>
    <w:rsid w:val="36DE56C4"/>
    <w:rsid w:val="36DECADE"/>
    <w:rsid w:val="36DFBB81"/>
    <w:rsid w:val="36E040BD"/>
    <w:rsid w:val="36E15887"/>
    <w:rsid w:val="36E1A369"/>
    <w:rsid w:val="36E1F25A"/>
    <w:rsid w:val="36E28F25"/>
    <w:rsid w:val="36E2C7E4"/>
    <w:rsid w:val="36E3876A"/>
    <w:rsid w:val="36E49EAC"/>
    <w:rsid w:val="36E4B832"/>
    <w:rsid w:val="36E4CC90"/>
    <w:rsid w:val="36E56179"/>
    <w:rsid w:val="36E5BD14"/>
    <w:rsid w:val="36E5D4F9"/>
    <w:rsid w:val="36E631CC"/>
    <w:rsid w:val="36E66BA2"/>
    <w:rsid w:val="36E6B390"/>
    <w:rsid w:val="36E6D7F7"/>
    <w:rsid w:val="36E6DFDA"/>
    <w:rsid w:val="36E73BF4"/>
    <w:rsid w:val="36E79155"/>
    <w:rsid w:val="36E7C8DB"/>
    <w:rsid w:val="36E8A0EF"/>
    <w:rsid w:val="36E8B9CE"/>
    <w:rsid w:val="36E9FF3C"/>
    <w:rsid w:val="36EA5391"/>
    <w:rsid w:val="36EA7240"/>
    <w:rsid w:val="36EA96E7"/>
    <w:rsid w:val="36EAFB7B"/>
    <w:rsid w:val="36EB53CA"/>
    <w:rsid w:val="36EB5A96"/>
    <w:rsid w:val="36EC7B0F"/>
    <w:rsid w:val="36EC9696"/>
    <w:rsid w:val="36ECDC14"/>
    <w:rsid w:val="36ED2866"/>
    <w:rsid w:val="36EE17D0"/>
    <w:rsid w:val="36EEF0C6"/>
    <w:rsid w:val="36EF59D9"/>
    <w:rsid w:val="36EF9A10"/>
    <w:rsid w:val="36EF9F7E"/>
    <w:rsid w:val="36EFF17D"/>
    <w:rsid w:val="36F05283"/>
    <w:rsid w:val="36F09DF1"/>
    <w:rsid w:val="36F1B5F0"/>
    <w:rsid w:val="36F1F692"/>
    <w:rsid w:val="36F2215B"/>
    <w:rsid w:val="36F22A4A"/>
    <w:rsid w:val="36F22BEC"/>
    <w:rsid w:val="36F23206"/>
    <w:rsid w:val="36F280F0"/>
    <w:rsid w:val="36F2C1CC"/>
    <w:rsid w:val="36F3D7E6"/>
    <w:rsid w:val="36F3FC17"/>
    <w:rsid w:val="36F43B45"/>
    <w:rsid w:val="36F48793"/>
    <w:rsid w:val="36F522CA"/>
    <w:rsid w:val="36F66D8A"/>
    <w:rsid w:val="36F70989"/>
    <w:rsid w:val="36F84E2F"/>
    <w:rsid w:val="36F8C37E"/>
    <w:rsid w:val="36FADCA9"/>
    <w:rsid w:val="36FB25A0"/>
    <w:rsid w:val="36FC802C"/>
    <w:rsid w:val="36FCCA3D"/>
    <w:rsid w:val="36FCDC19"/>
    <w:rsid w:val="36FD21B8"/>
    <w:rsid w:val="36FD3C11"/>
    <w:rsid w:val="36FD7992"/>
    <w:rsid w:val="36FEF533"/>
    <w:rsid w:val="36FFEE7C"/>
    <w:rsid w:val="3700BDC4"/>
    <w:rsid w:val="37034525"/>
    <w:rsid w:val="37058E15"/>
    <w:rsid w:val="37064F61"/>
    <w:rsid w:val="37064F81"/>
    <w:rsid w:val="37069BF7"/>
    <w:rsid w:val="3706B0A6"/>
    <w:rsid w:val="3706C389"/>
    <w:rsid w:val="370713E5"/>
    <w:rsid w:val="37075772"/>
    <w:rsid w:val="370764C4"/>
    <w:rsid w:val="3707ADF0"/>
    <w:rsid w:val="370830AB"/>
    <w:rsid w:val="37091937"/>
    <w:rsid w:val="3709F7F3"/>
    <w:rsid w:val="370B2AD9"/>
    <w:rsid w:val="370B6D30"/>
    <w:rsid w:val="370BF861"/>
    <w:rsid w:val="370C054E"/>
    <w:rsid w:val="370C366F"/>
    <w:rsid w:val="370C59E5"/>
    <w:rsid w:val="370CBCA4"/>
    <w:rsid w:val="370D1576"/>
    <w:rsid w:val="370D26A0"/>
    <w:rsid w:val="370D2DF8"/>
    <w:rsid w:val="370D3862"/>
    <w:rsid w:val="370D3871"/>
    <w:rsid w:val="370EC342"/>
    <w:rsid w:val="370EC425"/>
    <w:rsid w:val="370F21C2"/>
    <w:rsid w:val="370FF423"/>
    <w:rsid w:val="37108AD1"/>
    <w:rsid w:val="371123BE"/>
    <w:rsid w:val="3712BF8D"/>
    <w:rsid w:val="3713FE80"/>
    <w:rsid w:val="3714AE7E"/>
    <w:rsid w:val="3714C85D"/>
    <w:rsid w:val="3715A729"/>
    <w:rsid w:val="3715CF17"/>
    <w:rsid w:val="3715E355"/>
    <w:rsid w:val="37169E11"/>
    <w:rsid w:val="3716B183"/>
    <w:rsid w:val="3717BD7C"/>
    <w:rsid w:val="371826AE"/>
    <w:rsid w:val="371828DE"/>
    <w:rsid w:val="37189EC7"/>
    <w:rsid w:val="3718A975"/>
    <w:rsid w:val="37194A01"/>
    <w:rsid w:val="3719B339"/>
    <w:rsid w:val="371A3A09"/>
    <w:rsid w:val="371A4A4F"/>
    <w:rsid w:val="371A547E"/>
    <w:rsid w:val="371A9BAB"/>
    <w:rsid w:val="371B84A0"/>
    <w:rsid w:val="371B9FC9"/>
    <w:rsid w:val="371BAED4"/>
    <w:rsid w:val="371BBEFA"/>
    <w:rsid w:val="371C47AB"/>
    <w:rsid w:val="371F30EA"/>
    <w:rsid w:val="371F4F46"/>
    <w:rsid w:val="371F9476"/>
    <w:rsid w:val="371FBC03"/>
    <w:rsid w:val="371FD04D"/>
    <w:rsid w:val="372070F0"/>
    <w:rsid w:val="3721C260"/>
    <w:rsid w:val="3721F492"/>
    <w:rsid w:val="37228739"/>
    <w:rsid w:val="3724A099"/>
    <w:rsid w:val="372593A1"/>
    <w:rsid w:val="37265D0E"/>
    <w:rsid w:val="37272360"/>
    <w:rsid w:val="3728438D"/>
    <w:rsid w:val="372896DB"/>
    <w:rsid w:val="372A9140"/>
    <w:rsid w:val="372D213F"/>
    <w:rsid w:val="372D39A3"/>
    <w:rsid w:val="372D9ECD"/>
    <w:rsid w:val="372E9AA0"/>
    <w:rsid w:val="372FC2AE"/>
    <w:rsid w:val="373080C0"/>
    <w:rsid w:val="373159CD"/>
    <w:rsid w:val="3731F455"/>
    <w:rsid w:val="373200C3"/>
    <w:rsid w:val="3732172E"/>
    <w:rsid w:val="373221DC"/>
    <w:rsid w:val="37344C70"/>
    <w:rsid w:val="373476AB"/>
    <w:rsid w:val="37348127"/>
    <w:rsid w:val="3734F606"/>
    <w:rsid w:val="3734F61E"/>
    <w:rsid w:val="37362454"/>
    <w:rsid w:val="37367FC0"/>
    <w:rsid w:val="37396231"/>
    <w:rsid w:val="373A71B1"/>
    <w:rsid w:val="373AAD6B"/>
    <w:rsid w:val="373BE873"/>
    <w:rsid w:val="373BEEF6"/>
    <w:rsid w:val="373E8EAF"/>
    <w:rsid w:val="373EDB44"/>
    <w:rsid w:val="373F002F"/>
    <w:rsid w:val="373F11F9"/>
    <w:rsid w:val="373F644E"/>
    <w:rsid w:val="373F77C3"/>
    <w:rsid w:val="373FA006"/>
    <w:rsid w:val="373FA868"/>
    <w:rsid w:val="374038F5"/>
    <w:rsid w:val="37408649"/>
    <w:rsid w:val="3742EE66"/>
    <w:rsid w:val="3742F39F"/>
    <w:rsid w:val="37431087"/>
    <w:rsid w:val="3743B091"/>
    <w:rsid w:val="374494BF"/>
    <w:rsid w:val="3746CA50"/>
    <w:rsid w:val="37473ADF"/>
    <w:rsid w:val="3749070E"/>
    <w:rsid w:val="37490D5F"/>
    <w:rsid w:val="37496061"/>
    <w:rsid w:val="3749D740"/>
    <w:rsid w:val="374A4D1F"/>
    <w:rsid w:val="374A601F"/>
    <w:rsid w:val="374ADC59"/>
    <w:rsid w:val="374BF6B8"/>
    <w:rsid w:val="374C75CA"/>
    <w:rsid w:val="374DCE0B"/>
    <w:rsid w:val="374E7C77"/>
    <w:rsid w:val="37517124"/>
    <w:rsid w:val="37517DD7"/>
    <w:rsid w:val="37531E53"/>
    <w:rsid w:val="375338E0"/>
    <w:rsid w:val="3753BA6A"/>
    <w:rsid w:val="3753EC3F"/>
    <w:rsid w:val="3753EDC2"/>
    <w:rsid w:val="3754339F"/>
    <w:rsid w:val="3755BEC6"/>
    <w:rsid w:val="375610CC"/>
    <w:rsid w:val="3756155B"/>
    <w:rsid w:val="3757A052"/>
    <w:rsid w:val="3757FA4A"/>
    <w:rsid w:val="375858A9"/>
    <w:rsid w:val="3759081B"/>
    <w:rsid w:val="37591B58"/>
    <w:rsid w:val="37594ECB"/>
    <w:rsid w:val="375B4BAD"/>
    <w:rsid w:val="375B54D4"/>
    <w:rsid w:val="375B8CEA"/>
    <w:rsid w:val="375C86E7"/>
    <w:rsid w:val="375CC121"/>
    <w:rsid w:val="375D933C"/>
    <w:rsid w:val="375D967A"/>
    <w:rsid w:val="375E2D76"/>
    <w:rsid w:val="375E6066"/>
    <w:rsid w:val="375F0FDC"/>
    <w:rsid w:val="375F61AE"/>
    <w:rsid w:val="375FF414"/>
    <w:rsid w:val="37600646"/>
    <w:rsid w:val="376017DF"/>
    <w:rsid w:val="37604741"/>
    <w:rsid w:val="3760BA72"/>
    <w:rsid w:val="37613B8C"/>
    <w:rsid w:val="37619B90"/>
    <w:rsid w:val="3761A47D"/>
    <w:rsid w:val="3761ED31"/>
    <w:rsid w:val="3762CAB0"/>
    <w:rsid w:val="37634F03"/>
    <w:rsid w:val="3764011F"/>
    <w:rsid w:val="3764A643"/>
    <w:rsid w:val="3764E84F"/>
    <w:rsid w:val="3766527A"/>
    <w:rsid w:val="37671120"/>
    <w:rsid w:val="37677487"/>
    <w:rsid w:val="37681DE8"/>
    <w:rsid w:val="37687690"/>
    <w:rsid w:val="37693BB6"/>
    <w:rsid w:val="376A1F48"/>
    <w:rsid w:val="376B02BA"/>
    <w:rsid w:val="376BF8BF"/>
    <w:rsid w:val="376C6C78"/>
    <w:rsid w:val="376E10EE"/>
    <w:rsid w:val="376E69A2"/>
    <w:rsid w:val="376EB6A5"/>
    <w:rsid w:val="376EC109"/>
    <w:rsid w:val="3770CC7E"/>
    <w:rsid w:val="37717B15"/>
    <w:rsid w:val="37725D7C"/>
    <w:rsid w:val="3772673A"/>
    <w:rsid w:val="37732594"/>
    <w:rsid w:val="37737DD0"/>
    <w:rsid w:val="3774BDBA"/>
    <w:rsid w:val="3775BDF6"/>
    <w:rsid w:val="3777A30D"/>
    <w:rsid w:val="3777FCB5"/>
    <w:rsid w:val="37785089"/>
    <w:rsid w:val="37786C4A"/>
    <w:rsid w:val="3778C08B"/>
    <w:rsid w:val="3778F709"/>
    <w:rsid w:val="3779557B"/>
    <w:rsid w:val="377A54EB"/>
    <w:rsid w:val="377AB0F8"/>
    <w:rsid w:val="377AFDB6"/>
    <w:rsid w:val="377B956D"/>
    <w:rsid w:val="377BF63D"/>
    <w:rsid w:val="377C4340"/>
    <w:rsid w:val="377CDE2A"/>
    <w:rsid w:val="377CFDFF"/>
    <w:rsid w:val="377DD1A8"/>
    <w:rsid w:val="377E7A52"/>
    <w:rsid w:val="377E8C64"/>
    <w:rsid w:val="377EABDC"/>
    <w:rsid w:val="377ED8E2"/>
    <w:rsid w:val="377EF25D"/>
    <w:rsid w:val="377F2BA4"/>
    <w:rsid w:val="37820A84"/>
    <w:rsid w:val="3782B615"/>
    <w:rsid w:val="3782C8FA"/>
    <w:rsid w:val="3783F477"/>
    <w:rsid w:val="37845C07"/>
    <w:rsid w:val="3784D200"/>
    <w:rsid w:val="37854679"/>
    <w:rsid w:val="3785B695"/>
    <w:rsid w:val="378618F0"/>
    <w:rsid w:val="37861F7A"/>
    <w:rsid w:val="37863154"/>
    <w:rsid w:val="37873745"/>
    <w:rsid w:val="37873AF7"/>
    <w:rsid w:val="37882E14"/>
    <w:rsid w:val="37886321"/>
    <w:rsid w:val="378871F9"/>
    <w:rsid w:val="3788C8B0"/>
    <w:rsid w:val="3789A8CF"/>
    <w:rsid w:val="3789B99E"/>
    <w:rsid w:val="378A1523"/>
    <w:rsid w:val="378A4AB4"/>
    <w:rsid w:val="378AF369"/>
    <w:rsid w:val="378DC92E"/>
    <w:rsid w:val="378E752A"/>
    <w:rsid w:val="378E8286"/>
    <w:rsid w:val="378E8D66"/>
    <w:rsid w:val="378F02D4"/>
    <w:rsid w:val="378F4EEB"/>
    <w:rsid w:val="378F5962"/>
    <w:rsid w:val="3790A760"/>
    <w:rsid w:val="3790DA3B"/>
    <w:rsid w:val="3791CA4D"/>
    <w:rsid w:val="3792083E"/>
    <w:rsid w:val="37925CB9"/>
    <w:rsid w:val="37928D0B"/>
    <w:rsid w:val="3792CE2F"/>
    <w:rsid w:val="3792FFEE"/>
    <w:rsid w:val="37943857"/>
    <w:rsid w:val="37943FA0"/>
    <w:rsid w:val="3794C752"/>
    <w:rsid w:val="37953A31"/>
    <w:rsid w:val="37964730"/>
    <w:rsid w:val="37969E10"/>
    <w:rsid w:val="3796F2AB"/>
    <w:rsid w:val="379721B8"/>
    <w:rsid w:val="379741D2"/>
    <w:rsid w:val="37979101"/>
    <w:rsid w:val="3797D077"/>
    <w:rsid w:val="37986871"/>
    <w:rsid w:val="379868BA"/>
    <w:rsid w:val="379A3ECE"/>
    <w:rsid w:val="379A6593"/>
    <w:rsid w:val="379ADE2B"/>
    <w:rsid w:val="379AE366"/>
    <w:rsid w:val="379BCC18"/>
    <w:rsid w:val="379BE084"/>
    <w:rsid w:val="379C297A"/>
    <w:rsid w:val="379C9D1E"/>
    <w:rsid w:val="379DD0B2"/>
    <w:rsid w:val="379E2B45"/>
    <w:rsid w:val="379E46DE"/>
    <w:rsid w:val="379E8A94"/>
    <w:rsid w:val="379ED930"/>
    <w:rsid w:val="379F254E"/>
    <w:rsid w:val="37A00703"/>
    <w:rsid w:val="37A0EDCD"/>
    <w:rsid w:val="37A1CBC6"/>
    <w:rsid w:val="37A30F7A"/>
    <w:rsid w:val="37A32491"/>
    <w:rsid w:val="37A34EE9"/>
    <w:rsid w:val="37A5AC7A"/>
    <w:rsid w:val="37A5C50D"/>
    <w:rsid w:val="37A6D9FD"/>
    <w:rsid w:val="37A6F377"/>
    <w:rsid w:val="37A7318B"/>
    <w:rsid w:val="37A7369C"/>
    <w:rsid w:val="37A73718"/>
    <w:rsid w:val="37A76569"/>
    <w:rsid w:val="37A83BF7"/>
    <w:rsid w:val="37A85032"/>
    <w:rsid w:val="37A893BE"/>
    <w:rsid w:val="37A8F39F"/>
    <w:rsid w:val="37AAB042"/>
    <w:rsid w:val="37AAF355"/>
    <w:rsid w:val="37AB1248"/>
    <w:rsid w:val="37AB5D52"/>
    <w:rsid w:val="37AC05B2"/>
    <w:rsid w:val="37AC12FD"/>
    <w:rsid w:val="37AC4B2F"/>
    <w:rsid w:val="37AE11F7"/>
    <w:rsid w:val="37AF643A"/>
    <w:rsid w:val="37AFD83D"/>
    <w:rsid w:val="37B01111"/>
    <w:rsid w:val="37B03E72"/>
    <w:rsid w:val="37B0FCF5"/>
    <w:rsid w:val="37B1197E"/>
    <w:rsid w:val="37B22DA5"/>
    <w:rsid w:val="37B2AC4D"/>
    <w:rsid w:val="37B3009F"/>
    <w:rsid w:val="37B427A1"/>
    <w:rsid w:val="37B484E0"/>
    <w:rsid w:val="37B58DA1"/>
    <w:rsid w:val="37B5D0C3"/>
    <w:rsid w:val="37B6253B"/>
    <w:rsid w:val="37B669BC"/>
    <w:rsid w:val="37B68798"/>
    <w:rsid w:val="37B69FDC"/>
    <w:rsid w:val="37B6FB40"/>
    <w:rsid w:val="37B71563"/>
    <w:rsid w:val="37B7ADB4"/>
    <w:rsid w:val="37B7B717"/>
    <w:rsid w:val="37B7BCAE"/>
    <w:rsid w:val="37B7D188"/>
    <w:rsid w:val="37B93ACC"/>
    <w:rsid w:val="37BA1EB0"/>
    <w:rsid w:val="37BA74D3"/>
    <w:rsid w:val="37BADA42"/>
    <w:rsid w:val="37BC389C"/>
    <w:rsid w:val="37BD5578"/>
    <w:rsid w:val="37BD5E3B"/>
    <w:rsid w:val="37BDDDF3"/>
    <w:rsid w:val="37BE6275"/>
    <w:rsid w:val="37BED830"/>
    <w:rsid w:val="37BEE5B1"/>
    <w:rsid w:val="37BF194B"/>
    <w:rsid w:val="37BF8109"/>
    <w:rsid w:val="37C05D6B"/>
    <w:rsid w:val="37C12595"/>
    <w:rsid w:val="37C13213"/>
    <w:rsid w:val="37C16451"/>
    <w:rsid w:val="37C1E39F"/>
    <w:rsid w:val="37C2E1D4"/>
    <w:rsid w:val="37C33D1E"/>
    <w:rsid w:val="37C4B0D9"/>
    <w:rsid w:val="37C53636"/>
    <w:rsid w:val="37C58717"/>
    <w:rsid w:val="37C61CCA"/>
    <w:rsid w:val="37C69853"/>
    <w:rsid w:val="37C7FA14"/>
    <w:rsid w:val="37C890A5"/>
    <w:rsid w:val="37C89E94"/>
    <w:rsid w:val="37C9220E"/>
    <w:rsid w:val="37C96614"/>
    <w:rsid w:val="37C98A54"/>
    <w:rsid w:val="37CA387B"/>
    <w:rsid w:val="37CAC278"/>
    <w:rsid w:val="37CCBC3B"/>
    <w:rsid w:val="37CD289E"/>
    <w:rsid w:val="37CD4BC5"/>
    <w:rsid w:val="37CD6F41"/>
    <w:rsid w:val="37CDE0CF"/>
    <w:rsid w:val="37CE3CF6"/>
    <w:rsid w:val="37CE4F58"/>
    <w:rsid w:val="37CFD92C"/>
    <w:rsid w:val="37D03DB4"/>
    <w:rsid w:val="37D06B9F"/>
    <w:rsid w:val="37D117ED"/>
    <w:rsid w:val="37D1D22A"/>
    <w:rsid w:val="37D3187A"/>
    <w:rsid w:val="37D34A2D"/>
    <w:rsid w:val="37D45775"/>
    <w:rsid w:val="37D5101D"/>
    <w:rsid w:val="37D52EA3"/>
    <w:rsid w:val="37D53016"/>
    <w:rsid w:val="37D61F16"/>
    <w:rsid w:val="37D6B375"/>
    <w:rsid w:val="37D73178"/>
    <w:rsid w:val="37D7D215"/>
    <w:rsid w:val="37DA91BA"/>
    <w:rsid w:val="37DB29C9"/>
    <w:rsid w:val="37DBE4C5"/>
    <w:rsid w:val="37DBEF4A"/>
    <w:rsid w:val="37DC8DED"/>
    <w:rsid w:val="37DCE95B"/>
    <w:rsid w:val="37DE81A6"/>
    <w:rsid w:val="37DEBC76"/>
    <w:rsid w:val="37DED54A"/>
    <w:rsid w:val="37DEF683"/>
    <w:rsid w:val="37DF35C2"/>
    <w:rsid w:val="37DF5E94"/>
    <w:rsid w:val="37DFC7B1"/>
    <w:rsid w:val="37E01AAF"/>
    <w:rsid w:val="37E0C710"/>
    <w:rsid w:val="37E13960"/>
    <w:rsid w:val="37E270B4"/>
    <w:rsid w:val="37E288FC"/>
    <w:rsid w:val="37E29143"/>
    <w:rsid w:val="37E33B83"/>
    <w:rsid w:val="37E37DF1"/>
    <w:rsid w:val="37E3D261"/>
    <w:rsid w:val="37E402EC"/>
    <w:rsid w:val="37E413BF"/>
    <w:rsid w:val="37E42C6C"/>
    <w:rsid w:val="37E597FE"/>
    <w:rsid w:val="37E6810B"/>
    <w:rsid w:val="37E6AB40"/>
    <w:rsid w:val="37E7A1AC"/>
    <w:rsid w:val="37E979D5"/>
    <w:rsid w:val="37EA276E"/>
    <w:rsid w:val="37EA3ACB"/>
    <w:rsid w:val="37EA84CB"/>
    <w:rsid w:val="37ECBAA3"/>
    <w:rsid w:val="37ED5126"/>
    <w:rsid w:val="37EDFC66"/>
    <w:rsid w:val="37EE6DF0"/>
    <w:rsid w:val="37EE982C"/>
    <w:rsid w:val="37EF0F6B"/>
    <w:rsid w:val="37EF13CD"/>
    <w:rsid w:val="37EF6237"/>
    <w:rsid w:val="37F0AA7B"/>
    <w:rsid w:val="37F13A76"/>
    <w:rsid w:val="37F3D4A8"/>
    <w:rsid w:val="37F4C3B9"/>
    <w:rsid w:val="37F4EE07"/>
    <w:rsid w:val="37F5D440"/>
    <w:rsid w:val="37F86B24"/>
    <w:rsid w:val="37F8EED0"/>
    <w:rsid w:val="37FAFECE"/>
    <w:rsid w:val="37FB3E55"/>
    <w:rsid w:val="37FB500B"/>
    <w:rsid w:val="37FBE7D4"/>
    <w:rsid w:val="37FC311E"/>
    <w:rsid w:val="37FCBF44"/>
    <w:rsid w:val="37FCDF80"/>
    <w:rsid w:val="37FD4067"/>
    <w:rsid w:val="37FD7A81"/>
    <w:rsid w:val="37FEBFA9"/>
    <w:rsid w:val="37FEC012"/>
    <w:rsid w:val="37FFDBA5"/>
    <w:rsid w:val="3800448A"/>
    <w:rsid w:val="3801193C"/>
    <w:rsid w:val="3802AC07"/>
    <w:rsid w:val="3802CA74"/>
    <w:rsid w:val="38031D10"/>
    <w:rsid w:val="38038BF6"/>
    <w:rsid w:val="38038CCF"/>
    <w:rsid w:val="3803CAB3"/>
    <w:rsid w:val="3803ED74"/>
    <w:rsid w:val="3804220C"/>
    <w:rsid w:val="38049452"/>
    <w:rsid w:val="38057CEA"/>
    <w:rsid w:val="38064749"/>
    <w:rsid w:val="380766F6"/>
    <w:rsid w:val="3807B16E"/>
    <w:rsid w:val="3807F716"/>
    <w:rsid w:val="38083EA2"/>
    <w:rsid w:val="380870AA"/>
    <w:rsid w:val="38093EB3"/>
    <w:rsid w:val="3809F6A1"/>
    <w:rsid w:val="380B1754"/>
    <w:rsid w:val="380B91A0"/>
    <w:rsid w:val="380CB673"/>
    <w:rsid w:val="380EE1EE"/>
    <w:rsid w:val="380EEEF6"/>
    <w:rsid w:val="380F1562"/>
    <w:rsid w:val="380FC3D7"/>
    <w:rsid w:val="380FD529"/>
    <w:rsid w:val="38104339"/>
    <w:rsid w:val="381107D5"/>
    <w:rsid w:val="3811B097"/>
    <w:rsid w:val="381225D6"/>
    <w:rsid w:val="3812B208"/>
    <w:rsid w:val="381301CF"/>
    <w:rsid w:val="38131910"/>
    <w:rsid w:val="3813F6B5"/>
    <w:rsid w:val="3814A5BB"/>
    <w:rsid w:val="3814B8C2"/>
    <w:rsid w:val="3815BB98"/>
    <w:rsid w:val="3816176B"/>
    <w:rsid w:val="3816DF2E"/>
    <w:rsid w:val="3818CADD"/>
    <w:rsid w:val="38190817"/>
    <w:rsid w:val="3819164D"/>
    <w:rsid w:val="38196AD4"/>
    <w:rsid w:val="381ABEC1"/>
    <w:rsid w:val="381B18DF"/>
    <w:rsid w:val="381B27D5"/>
    <w:rsid w:val="381C61F2"/>
    <w:rsid w:val="381CE31B"/>
    <w:rsid w:val="381D4BBA"/>
    <w:rsid w:val="382028D4"/>
    <w:rsid w:val="3820982C"/>
    <w:rsid w:val="38212FB0"/>
    <w:rsid w:val="38222A15"/>
    <w:rsid w:val="38239559"/>
    <w:rsid w:val="38241BE9"/>
    <w:rsid w:val="38257C77"/>
    <w:rsid w:val="382598B7"/>
    <w:rsid w:val="3825BCF1"/>
    <w:rsid w:val="3826B4DB"/>
    <w:rsid w:val="3826BCA9"/>
    <w:rsid w:val="3827750E"/>
    <w:rsid w:val="3827DC8C"/>
    <w:rsid w:val="3828C484"/>
    <w:rsid w:val="38291AA7"/>
    <w:rsid w:val="382929D9"/>
    <w:rsid w:val="38295E27"/>
    <w:rsid w:val="3829FAB2"/>
    <w:rsid w:val="382A1DBD"/>
    <w:rsid w:val="382A5C0B"/>
    <w:rsid w:val="382AAC41"/>
    <w:rsid w:val="382C93DF"/>
    <w:rsid w:val="382DAE35"/>
    <w:rsid w:val="382ED063"/>
    <w:rsid w:val="3830BEB7"/>
    <w:rsid w:val="3831310A"/>
    <w:rsid w:val="3831369D"/>
    <w:rsid w:val="3831C4BB"/>
    <w:rsid w:val="38326804"/>
    <w:rsid w:val="3832A7A4"/>
    <w:rsid w:val="3832B9D9"/>
    <w:rsid w:val="3832BE8F"/>
    <w:rsid w:val="38336C46"/>
    <w:rsid w:val="38338AC7"/>
    <w:rsid w:val="38357793"/>
    <w:rsid w:val="38365106"/>
    <w:rsid w:val="383724F7"/>
    <w:rsid w:val="38373239"/>
    <w:rsid w:val="383774B1"/>
    <w:rsid w:val="3837E85C"/>
    <w:rsid w:val="3838E750"/>
    <w:rsid w:val="3839032C"/>
    <w:rsid w:val="383925D3"/>
    <w:rsid w:val="3839D15C"/>
    <w:rsid w:val="383A1EE0"/>
    <w:rsid w:val="383A2DD7"/>
    <w:rsid w:val="383A7FB2"/>
    <w:rsid w:val="383B3A75"/>
    <w:rsid w:val="383CB514"/>
    <w:rsid w:val="383D1AC9"/>
    <w:rsid w:val="383D61EA"/>
    <w:rsid w:val="383E3CAA"/>
    <w:rsid w:val="383E41F1"/>
    <w:rsid w:val="383FA842"/>
    <w:rsid w:val="3840B47A"/>
    <w:rsid w:val="384153EF"/>
    <w:rsid w:val="3842E830"/>
    <w:rsid w:val="38434F7C"/>
    <w:rsid w:val="38457B57"/>
    <w:rsid w:val="3845B76D"/>
    <w:rsid w:val="3845ECFA"/>
    <w:rsid w:val="38467F8D"/>
    <w:rsid w:val="3846D451"/>
    <w:rsid w:val="3847CDC8"/>
    <w:rsid w:val="384923E6"/>
    <w:rsid w:val="38499F0E"/>
    <w:rsid w:val="384A8E8D"/>
    <w:rsid w:val="384B0169"/>
    <w:rsid w:val="384B3849"/>
    <w:rsid w:val="384B7B78"/>
    <w:rsid w:val="384C8975"/>
    <w:rsid w:val="384D3283"/>
    <w:rsid w:val="384D7506"/>
    <w:rsid w:val="384E6520"/>
    <w:rsid w:val="384F9EAF"/>
    <w:rsid w:val="38515BC8"/>
    <w:rsid w:val="3851A5B7"/>
    <w:rsid w:val="385222CB"/>
    <w:rsid w:val="385283CD"/>
    <w:rsid w:val="3852E5B7"/>
    <w:rsid w:val="38531498"/>
    <w:rsid w:val="385335E1"/>
    <w:rsid w:val="38562C07"/>
    <w:rsid w:val="38572A28"/>
    <w:rsid w:val="38575C6E"/>
    <w:rsid w:val="3858E891"/>
    <w:rsid w:val="38598FB1"/>
    <w:rsid w:val="3859A557"/>
    <w:rsid w:val="385AB575"/>
    <w:rsid w:val="385AC992"/>
    <w:rsid w:val="385B454F"/>
    <w:rsid w:val="385B493A"/>
    <w:rsid w:val="385C8A73"/>
    <w:rsid w:val="385CC149"/>
    <w:rsid w:val="385CEB16"/>
    <w:rsid w:val="385E7089"/>
    <w:rsid w:val="385ED2FA"/>
    <w:rsid w:val="385ED995"/>
    <w:rsid w:val="385F0CB2"/>
    <w:rsid w:val="385F4A61"/>
    <w:rsid w:val="385F99FF"/>
    <w:rsid w:val="385F9AAA"/>
    <w:rsid w:val="38601852"/>
    <w:rsid w:val="386024B3"/>
    <w:rsid w:val="386108C6"/>
    <w:rsid w:val="38612D2A"/>
    <w:rsid w:val="386164FF"/>
    <w:rsid w:val="3861AA73"/>
    <w:rsid w:val="3861E0FE"/>
    <w:rsid w:val="386203E1"/>
    <w:rsid w:val="386366D7"/>
    <w:rsid w:val="3864D3A0"/>
    <w:rsid w:val="3864E52F"/>
    <w:rsid w:val="38651468"/>
    <w:rsid w:val="3865664A"/>
    <w:rsid w:val="386758D4"/>
    <w:rsid w:val="3867A419"/>
    <w:rsid w:val="3867F5F6"/>
    <w:rsid w:val="38684E09"/>
    <w:rsid w:val="38685DC3"/>
    <w:rsid w:val="38688C5E"/>
    <w:rsid w:val="386984C0"/>
    <w:rsid w:val="386A60C0"/>
    <w:rsid w:val="386A781D"/>
    <w:rsid w:val="386A8425"/>
    <w:rsid w:val="386A9293"/>
    <w:rsid w:val="386AC102"/>
    <w:rsid w:val="386BE20C"/>
    <w:rsid w:val="386D5708"/>
    <w:rsid w:val="386E3953"/>
    <w:rsid w:val="386E4391"/>
    <w:rsid w:val="386E5026"/>
    <w:rsid w:val="386ED627"/>
    <w:rsid w:val="386F0DCB"/>
    <w:rsid w:val="386F19DC"/>
    <w:rsid w:val="3870CD4B"/>
    <w:rsid w:val="3871566A"/>
    <w:rsid w:val="38715B31"/>
    <w:rsid w:val="3871887D"/>
    <w:rsid w:val="3871B745"/>
    <w:rsid w:val="3871E5A1"/>
    <w:rsid w:val="3872E915"/>
    <w:rsid w:val="38733385"/>
    <w:rsid w:val="3873BD3E"/>
    <w:rsid w:val="3873E08D"/>
    <w:rsid w:val="3876B07D"/>
    <w:rsid w:val="3876BCCA"/>
    <w:rsid w:val="3878148C"/>
    <w:rsid w:val="38783EC9"/>
    <w:rsid w:val="3878D786"/>
    <w:rsid w:val="387937D7"/>
    <w:rsid w:val="38795194"/>
    <w:rsid w:val="3879DEE8"/>
    <w:rsid w:val="387C76EC"/>
    <w:rsid w:val="387CCAF4"/>
    <w:rsid w:val="387D0795"/>
    <w:rsid w:val="387D0CD4"/>
    <w:rsid w:val="387E578E"/>
    <w:rsid w:val="38802612"/>
    <w:rsid w:val="388032F4"/>
    <w:rsid w:val="38803C70"/>
    <w:rsid w:val="38818C5E"/>
    <w:rsid w:val="3881B244"/>
    <w:rsid w:val="3881EA7A"/>
    <w:rsid w:val="3882F57A"/>
    <w:rsid w:val="38831D5A"/>
    <w:rsid w:val="38835178"/>
    <w:rsid w:val="38839E73"/>
    <w:rsid w:val="3883D8E6"/>
    <w:rsid w:val="3884E5F1"/>
    <w:rsid w:val="3885369D"/>
    <w:rsid w:val="38871BE8"/>
    <w:rsid w:val="38873497"/>
    <w:rsid w:val="3887E086"/>
    <w:rsid w:val="3889B118"/>
    <w:rsid w:val="3889CA0F"/>
    <w:rsid w:val="388A04BE"/>
    <w:rsid w:val="388A2A05"/>
    <w:rsid w:val="388B0F83"/>
    <w:rsid w:val="388B1344"/>
    <w:rsid w:val="388BFA20"/>
    <w:rsid w:val="388C0BA7"/>
    <w:rsid w:val="388D43AD"/>
    <w:rsid w:val="388E2866"/>
    <w:rsid w:val="388EA487"/>
    <w:rsid w:val="388F0FA0"/>
    <w:rsid w:val="388F443A"/>
    <w:rsid w:val="388F6D34"/>
    <w:rsid w:val="388FDBE3"/>
    <w:rsid w:val="388FDC0E"/>
    <w:rsid w:val="389095C5"/>
    <w:rsid w:val="38911504"/>
    <w:rsid w:val="38919CF5"/>
    <w:rsid w:val="389245C2"/>
    <w:rsid w:val="38926356"/>
    <w:rsid w:val="38940555"/>
    <w:rsid w:val="38941AF5"/>
    <w:rsid w:val="38950B28"/>
    <w:rsid w:val="3895E3C5"/>
    <w:rsid w:val="3897FF87"/>
    <w:rsid w:val="3898A385"/>
    <w:rsid w:val="389956CA"/>
    <w:rsid w:val="3899CAAB"/>
    <w:rsid w:val="389A1B74"/>
    <w:rsid w:val="389BD3CC"/>
    <w:rsid w:val="389BE2CA"/>
    <w:rsid w:val="389C2F92"/>
    <w:rsid w:val="389CBA67"/>
    <w:rsid w:val="389DC7EF"/>
    <w:rsid w:val="389DDF94"/>
    <w:rsid w:val="389F0829"/>
    <w:rsid w:val="38A02AE6"/>
    <w:rsid w:val="38A09AAB"/>
    <w:rsid w:val="38A28DC0"/>
    <w:rsid w:val="38A2E4F0"/>
    <w:rsid w:val="38A34731"/>
    <w:rsid w:val="38A452A0"/>
    <w:rsid w:val="38A4CC6B"/>
    <w:rsid w:val="38A63545"/>
    <w:rsid w:val="38A66FB9"/>
    <w:rsid w:val="38A7031F"/>
    <w:rsid w:val="38A70AB4"/>
    <w:rsid w:val="38A720C3"/>
    <w:rsid w:val="38A82BFA"/>
    <w:rsid w:val="38A8D1BD"/>
    <w:rsid w:val="38A9632C"/>
    <w:rsid w:val="38AABB0A"/>
    <w:rsid w:val="38AAFD5B"/>
    <w:rsid w:val="38ABE2C4"/>
    <w:rsid w:val="38ABFCE2"/>
    <w:rsid w:val="38AC7000"/>
    <w:rsid w:val="38ACAB4D"/>
    <w:rsid w:val="38ADB7F0"/>
    <w:rsid w:val="38AEE6C7"/>
    <w:rsid w:val="38AF6AEF"/>
    <w:rsid w:val="38AF9458"/>
    <w:rsid w:val="38B0151B"/>
    <w:rsid w:val="38B12BF9"/>
    <w:rsid w:val="38B1547A"/>
    <w:rsid w:val="38B22DD2"/>
    <w:rsid w:val="38B33CA9"/>
    <w:rsid w:val="38B3A1F1"/>
    <w:rsid w:val="38B40FF5"/>
    <w:rsid w:val="38B50847"/>
    <w:rsid w:val="38B6CD57"/>
    <w:rsid w:val="38B6F560"/>
    <w:rsid w:val="38B79975"/>
    <w:rsid w:val="38B7AE4F"/>
    <w:rsid w:val="38B7F5B5"/>
    <w:rsid w:val="38B9C109"/>
    <w:rsid w:val="38BB75A2"/>
    <w:rsid w:val="38BBB4D9"/>
    <w:rsid w:val="38BC31CC"/>
    <w:rsid w:val="38BC9802"/>
    <w:rsid w:val="38BCC7CD"/>
    <w:rsid w:val="38BE329F"/>
    <w:rsid w:val="38C0A71A"/>
    <w:rsid w:val="38C19DDE"/>
    <w:rsid w:val="38C25396"/>
    <w:rsid w:val="38C2C3C9"/>
    <w:rsid w:val="38C33AC5"/>
    <w:rsid w:val="38C3C7EA"/>
    <w:rsid w:val="38C491AE"/>
    <w:rsid w:val="38C4B3B6"/>
    <w:rsid w:val="38C4EB68"/>
    <w:rsid w:val="38C514D4"/>
    <w:rsid w:val="38C5FC68"/>
    <w:rsid w:val="38C69207"/>
    <w:rsid w:val="38C6D69F"/>
    <w:rsid w:val="38C720D1"/>
    <w:rsid w:val="38C73F95"/>
    <w:rsid w:val="38C773AB"/>
    <w:rsid w:val="38C7C25A"/>
    <w:rsid w:val="38C95E5B"/>
    <w:rsid w:val="38C9D4E6"/>
    <w:rsid w:val="38CCFF41"/>
    <w:rsid w:val="38CD6C9A"/>
    <w:rsid w:val="38CD80C9"/>
    <w:rsid w:val="38CD813A"/>
    <w:rsid w:val="38CD9B17"/>
    <w:rsid w:val="38CE0A8E"/>
    <w:rsid w:val="38CE2598"/>
    <w:rsid w:val="38CF1718"/>
    <w:rsid w:val="38CFE3CF"/>
    <w:rsid w:val="38CFEC3C"/>
    <w:rsid w:val="38D042C7"/>
    <w:rsid w:val="38D0662E"/>
    <w:rsid w:val="38D13EC5"/>
    <w:rsid w:val="38D150F4"/>
    <w:rsid w:val="38D1B271"/>
    <w:rsid w:val="38D1BB21"/>
    <w:rsid w:val="38D1C345"/>
    <w:rsid w:val="38D322E8"/>
    <w:rsid w:val="38D4AEC8"/>
    <w:rsid w:val="38D55073"/>
    <w:rsid w:val="38D574E0"/>
    <w:rsid w:val="38D6FDC8"/>
    <w:rsid w:val="38D73009"/>
    <w:rsid w:val="38D7BA24"/>
    <w:rsid w:val="38D83307"/>
    <w:rsid w:val="38D99778"/>
    <w:rsid w:val="38DA5AAA"/>
    <w:rsid w:val="38DA7207"/>
    <w:rsid w:val="38DA9512"/>
    <w:rsid w:val="38DAAF92"/>
    <w:rsid w:val="38DAEEB3"/>
    <w:rsid w:val="38DB381D"/>
    <w:rsid w:val="38DB8CB4"/>
    <w:rsid w:val="38DB9897"/>
    <w:rsid w:val="38DC08D7"/>
    <w:rsid w:val="38DCC978"/>
    <w:rsid w:val="38DCF676"/>
    <w:rsid w:val="38DD52C7"/>
    <w:rsid w:val="38DD6467"/>
    <w:rsid w:val="38DD70E9"/>
    <w:rsid w:val="38DD96F6"/>
    <w:rsid w:val="38DE0203"/>
    <w:rsid w:val="38DE648B"/>
    <w:rsid w:val="38DE6835"/>
    <w:rsid w:val="38DE6C74"/>
    <w:rsid w:val="38DE7F5D"/>
    <w:rsid w:val="38DE88EB"/>
    <w:rsid w:val="38DF4B83"/>
    <w:rsid w:val="38DF8BA6"/>
    <w:rsid w:val="38E08EA7"/>
    <w:rsid w:val="38E0C27C"/>
    <w:rsid w:val="38E0F198"/>
    <w:rsid w:val="38E3937D"/>
    <w:rsid w:val="38E3F99D"/>
    <w:rsid w:val="38E4B062"/>
    <w:rsid w:val="38E4FB73"/>
    <w:rsid w:val="38E55DA8"/>
    <w:rsid w:val="38E6B022"/>
    <w:rsid w:val="38E83447"/>
    <w:rsid w:val="38E894B1"/>
    <w:rsid w:val="38E90E87"/>
    <w:rsid w:val="38EA0A56"/>
    <w:rsid w:val="38EAE230"/>
    <w:rsid w:val="38EC3624"/>
    <w:rsid w:val="38ECFE40"/>
    <w:rsid w:val="38EEE343"/>
    <w:rsid w:val="38EEED91"/>
    <w:rsid w:val="38F07237"/>
    <w:rsid w:val="38F081B6"/>
    <w:rsid w:val="38F10445"/>
    <w:rsid w:val="38F124AF"/>
    <w:rsid w:val="38F237CA"/>
    <w:rsid w:val="38F26331"/>
    <w:rsid w:val="38F2804E"/>
    <w:rsid w:val="38F35AAC"/>
    <w:rsid w:val="38F3BFC6"/>
    <w:rsid w:val="38F50F3E"/>
    <w:rsid w:val="38F59CA0"/>
    <w:rsid w:val="38F5C58E"/>
    <w:rsid w:val="38F62D78"/>
    <w:rsid w:val="38F70346"/>
    <w:rsid w:val="38F861F8"/>
    <w:rsid w:val="38F94239"/>
    <w:rsid w:val="38F9A313"/>
    <w:rsid w:val="38FA278B"/>
    <w:rsid w:val="38FA6252"/>
    <w:rsid w:val="38FA651C"/>
    <w:rsid w:val="38FAA7EF"/>
    <w:rsid w:val="38FB9E86"/>
    <w:rsid w:val="38FBAEF4"/>
    <w:rsid w:val="38FBF34B"/>
    <w:rsid w:val="38FCA0D6"/>
    <w:rsid w:val="38FD2838"/>
    <w:rsid w:val="38FD43DB"/>
    <w:rsid w:val="38FD51FA"/>
    <w:rsid w:val="38FD5F27"/>
    <w:rsid w:val="38FE5A5C"/>
    <w:rsid w:val="38FE5DA0"/>
    <w:rsid w:val="38FFEF11"/>
    <w:rsid w:val="3900F2BE"/>
    <w:rsid w:val="390128FE"/>
    <w:rsid w:val="39019574"/>
    <w:rsid w:val="39021202"/>
    <w:rsid w:val="3902758E"/>
    <w:rsid w:val="3902A764"/>
    <w:rsid w:val="39039BB4"/>
    <w:rsid w:val="3903CB48"/>
    <w:rsid w:val="3904B28C"/>
    <w:rsid w:val="3904E7F2"/>
    <w:rsid w:val="39051BC0"/>
    <w:rsid w:val="3906533C"/>
    <w:rsid w:val="390880D9"/>
    <w:rsid w:val="39094685"/>
    <w:rsid w:val="390952B1"/>
    <w:rsid w:val="390B6073"/>
    <w:rsid w:val="390D28FB"/>
    <w:rsid w:val="390D3CBA"/>
    <w:rsid w:val="390EA32E"/>
    <w:rsid w:val="390EA99C"/>
    <w:rsid w:val="390EE6D7"/>
    <w:rsid w:val="39108B4D"/>
    <w:rsid w:val="39113AD0"/>
    <w:rsid w:val="3912275F"/>
    <w:rsid w:val="3914469F"/>
    <w:rsid w:val="3914AA2A"/>
    <w:rsid w:val="39158F57"/>
    <w:rsid w:val="39162564"/>
    <w:rsid w:val="3916388D"/>
    <w:rsid w:val="3916C232"/>
    <w:rsid w:val="39183C2D"/>
    <w:rsid w:val="39199C2E"/>
    <w:rsid w:val="3919B5D6"/>
    <w:rsid w:val="3919C099"/>
    <w:rsid w:val="391A3C71"/>
    <w:rsid w:val="391A573C"/>
    <w:rsid w:val="391AF96E"/>
    <w:rsid w:val="391B7F71"/>
    <w:rsid w:val="391BF3FD"/>
    <w:rsid w:val="391DA50E"/>
    <w:rsid w:val="391E300B"/>
    <w:rsid w:val="391EA873"/>
    <w:rsid w:val="39216A86"/>
    <w:rsid w:val="39223D71"/>
    <w:rsid w:val="3922C440"/>
    <w:rsid w:val="3922CEE0"/>
    <w:rsid w:val="39231A63"/>
    <w:rsid w:val="39233826"/>
    <w:rsid w:val="39236870"/>
    <w:rsid w:val="39248A94"/>
    <w:rsid w:val="3924A29B"/>
    <w:rsid w:val="392504D7"/>
    <w:rsid w:val="39253F37"/>
    <w:rsid w:val="392585B8"/>
    <w:rsid w:val="3925D650"/>
    <w:rsid w:val="39272B68"/>
    <w:rsid w:val="39273A2D"/>
    <w:rsid w:val="392757D1"/>
    <w:rsid w:val="392815FE"/>
    <w:rsid w:val="39281E4F"/>
    <w:rsid w:val="3929D08C"/>
    <w:rsid w:val="392A0CC1"/>
    <w:rsid w:val="392A4B96"/>
    <w:rsid w:val="392A9B35"/>
    <w:rsid w:val="392BD0EF"/>
    <w:rsid w:val="392D02F3"/>
    <w:rsid w:val="392D6559"/>
    <w:rsid w:val="392EA2CD"/>
    <w:rsid w:val="392F04F8"/>
    <w:rsid w:val="393191B5"/>
    <w:rsid w:val="39329DF6"/>
    <w:rsid w:val="3933FF1C"/>
    <w:rsid w:val="39346B88"/>
    <w:rsid w:val="39351B29"/>
    <w:rsid w:val="393538F6"/>
    <w:rsid w:val="3935B716"/>
    <w:rsid w:val="39363499"/>
    <w:rsid w:val="3936566A"/>
    <w:rsid w:val="39366B6E"/>
    <w:rsid w:val="393673A8"/>
    <w:rsid w:val="393797E3"/>
    <w:rsid w:val="3937C4AA"/>
    <w:rsid w:val="3938A333"/>
    <w:rsid w:val="3938B05A"/>
    <w:rsid w:val="3938EA64"/>
    <w:rsid w:val="3939B7DB"/>
    <w:rsid w:val="3939EA0A"/>
    <w:rsid w:val="3939F86A"/>
    <w:rsid w:val="393A3CC7"/>
    <w:rsid w:val="393A8969"/>
    <w:rsid w:val="393B29FB"/>
    <w:rsid w:val="393C1E03"/>
    <w:rsid w:val="393C80AE"/>
    <w:rsid w:val="393CA702"/>
    <w:rsid w:val="393D6AC6"/>
    <w:rsid w:val="393D6C8B"/>
    <w:rsid w:val="393E0DA4"/>
    <w:rsid w:val="393E762F"/>
    <w:rsid w:val="393F7DA6"/>
    <w:rsid w:val="393FFB97"/>
    <w:rsid w:val="39406B9A"/>
    <w:rsid w:val="39408212"/>
    <w:rsid w:val="3940BE73"/>
    <w:rsid w:val="39410ADE"/>
    <w:rsid w:val="3942B4F9"/>
    <w:rsid w:val="39436808"/>
    <w:rsid w:val="394412BC"/>
    <w:rsid w:val="3944172D"/>
    <w:rsid w:val="39443FC8"/>
    <w:rsid w:val="39449190"/>
    <w:rsid w:val="3944A60A"/>
    <w:rsid w:val="394541E0"/>
    <w:rsid w:val="39455E1B"/>
    <w:rsid w:val="3945898D"/>
    <w:rsid w:val="39462608"/>
    <w:rsid w:val="39465F1E"/>
    <w:rsid w:val="39466E55"/>
    <w:rsid w:val="3946ACB6"/>
    <w:rsid w:val="3947B71A"/>
    <w:rsid w:val="3947CEEE"/>
    <w:rsid w:val="39499B8B"/>
    <w:rsid w:val="394A95E3"/>
    <w:rsid w:val="394BD42F"/>
    <w:rsid w:val="394CBBC8"/>
    <w:rsid w:val="394E6FFC"/>
    <w:rsid w:val="394F0BA7"/>
    <w:rsid w:val="39500AB3"/>
    <w:rsid w:val="3950D942"/>
    <w:rsid w:val="3950F3BE"/>
    <w:rsid w:val="39510760"/>
    <w:rsid w:val="39525203"/>
    <w:rsid w:val="3952B4EA"/>
    <w:rsid w:val="3952E08E"/>
    <w:rsid w:val="3953A5CB"/>
    <w:rsid w:val="3953D00A"/>
    <w:rsid w:val="3953EE25"/>
    <w:rsid w:val="3954A02A"/>
    <w:rsid w:val="3954A2C3"/>
    <w:rsid w:val="3954EC4C"/>
    <w:rsid w:val="3955851C"/>
    <w:rsid w:val="3955E297"/>
    <w:rsid w:val="3955F1F5"/>
    <w:rsid w:val="3956259C"/>
    <w:rsid w:val="3956397B"/>
    <w:rsid w:val="39567DE1"/>
    <w:rsid w:val="395866D7"/>
    <w:rsid w:val="3958B472"/>
    <w:rsid w:val="3958F6F2"/>
    <w:rsid w:val="395A2F96"/>
    <w:rsid w:val="395ACA58"/>
    <w:rsid w:val="395ADE09"/>
    <w:rsid w:val="395B5C37"/>
    <w:rsid w:val="395BB752"/>
    <w:rsid w:val="395BC2C8"/>
    <w:rsid w:val="395C93F9"/>
    <w:rsid w:val="395CA971"/>
    <w:rsid w:val="395D32E5"/>
    <w:rsid w:val="395DD668"/>
    <w:rsid w:val="395DE108"/>
    <w:rsid w:val="395E1334"/>
    <w:rsid w:val="395E310A"/>
    <w:rsid w:val="395E4068"/>
    <w:rsid w:val="395F2DF2"/>
    <w:rsid w:val="395FD4E6"/>
    <w:rsid w:val="395FE678"/>
    <w:rsid w:val="3961AA44"/>
    <w:rsid w:val="39624B22"/>
    <w:rsid w:val="3962C985"/>
    <w:rsid w:val="3963D103"/>
    <w:rsid w:val="39650999"/>
    <w:rsid w:val="39655BFB"/>
    <w:rsid w:val="39657449"/>
    <w:rsid w:val="39657CFA"/>
    <w:rsid w:val="3965AF2B"/>
    <w:rsid w:val="396639E9"/>
    <w:rsid w:val="39668BC1"/>
    <w:rsid w:val="3966B60C"/>
    <w:rsid w:val="3966F7DB"/>
    <w:rsid w:val="39678D9E"/>
    <w:rsid w:val="3967BEFF"/>
    <w:rsid w:val="3967F6C2"/>
    <w:rsid w:val="3968AF4C"/>
    <w:rsid w:val="396901FE"/>
    <w:rsid w:val="396903CD"/>
    <w:rsid w:val="396A5C16"/>
    <w:rsid w:val="396B6D35"/>
    <w:rsid w:val="396B8B77"/>
    <w:rsid w:val="396D8D16"/>
    <w:rsid w:val="396DE03C"/>
    <w:rsid w:val="396E31CE"/>
    <w:rsid w:val="396E91DF"/>
    <w:rsid w:val="396EB16E"/>
    <w:rsid w:val="396F2599"/>
    <w:rsid w:val="396F41F9"/>
    <w:rsid w:val="397008D6"/>
    <w:rsid w:val="39700B49"/>
    <w:rsid w:val="39702F4F"/>
    <w:rsid w:val="39705673"/>
    <w:rsid w:val="39714C34"/>
    <w:rsid w:val="39714EF9"/>
    <w:rsid w:val="397167D2"/>
    <w:rsid w:val="3972805F"/>
    <w:rsid w:val="3972E736"/>
    <w:rsid w:val="397355EB"/>
    <w:rsid w:val="397453B8"/>
    <w:rsid w:val="39747AF6"/>
    <w:rsid w:val="3974885F"/>
    <w:rsid w:val="39749AE0"/>
    <w:rsid w:val="3974A191"/>
    <w:rsid w:val="3974F6BC"/>
    <w:rsid w:val="39750438"/>
    <w:rsid w:val="3975684D"/>
    <w:rsid w:val="3975BF68"/>
    <w:rsid w:val="3975CAD0"/>
    <w:rsid w:val="39761D55"/>
    <w:rsid w:val="39764C3A"/>
    <w:rsid w:val="39769BAD"/>
    <w:rsid w:val="3977CF00"/>
    <w:rsid w:val="397A37B6"/>
    <w:rsid w:val="397C2B6D"/>
    <w:rsid w:val="397C395C"/>
    <w:rsid w:val="397D5AB7"/>
    <w:rsid w:val="397DE1DE"/>
    <w:rsid w:val="397E5980"/>
    <w:rsid w:val="397F5C0B"/>
    <w:rsid w:val="3980A122"/>
    <w:rsid w:val="39818A47"/>
    <w:rsid w:val="39818CFE"/>
    <w:rsid w:val="39819F53"/>
    <w:rsid w:val="39820A85"/>
    <w:rsid w:val="3982D56B"/>
    <w:rsid w:val="398362CE"/>
    <w:rsid w:val="3983DD3F"/>
    <w:rsid w:val="39841C27"/>
    <w:rsid w:val="39841D16"/>
    <w:rsid w:val="39849279"/>
    <w:rsid w:val="398496DE"/>
    <w:rsid w:val="3984A187"/>
    <w:rsid w:val="39851834"/>
    <w:rsid w:val="3985404A"/>
    <w:rsid w:val="39872E71"/>
    <w:rsid w:val="39874980"/>
    <w:rsid w:val="3987B416"/>
    <w:rsid w:val="3987BB1F"/>
    <w:rsid w:val="39890B68"/>
    <w:rsid w:val="398A2609"/>
    <w:rsid w:val="398A607F"/>
    <w:rsid w:val="398AAF9E"/>
    <w:rsid w:val="398B34F2"/>
    <w:rsid w:val="398BE097"/>
    <w:rsid w:val="398D83BB"/>
    <w:rsid w:val="398E03B7"/>
    <w:rsid w:val="398E153A"/>
    <w:rsid w:val="398E6005"/>
    <w:rsid w:val="39908CBB"/>
    <w:rsid w:val="3990C0ED"/>
    <w:rsid w:val="3991FCAD"/>
    <w:rsid w:val="3992FBBC"/>
    <w:rsid w:val="39933294"/>
    <w:rsid w:val="3993C257"/>
    <w:rsid w:val="39944BAF"/>
    <w:rsid w:val="3994DD71"/>
    <w:rsid w:val="3995C9F4"/>
    <w:rsid w:val="3995F1B5"/>
    <w:rsid w:val="39969F53"/>
    <w:rsid w:val="3997B59A"/>
    <w:rsid w:val="3997D252"/>
    <w:rsid w:val="3997E439"/>
    <w:rsid w:val="39984745"/>
    <w:rsid w:val="3998BFD7"/>
    <w:rsid w:val="399A91BD"/>
    <w:rsid w:val="399AA15F"/>
    <w:rsid w:val="399AA2D4"/>
    <w:rsid w:val="399BDB93"/>
    <w:rsid w:val="399C1CD3"/>
    <w:rsid w:val="399C363F"/>
    <w:rsid w:val="399CD048"/>
    <w:rsid w:val="399CD727"/>
    <w:rsid w:val="399D59D1"/>
    <w:rsid w:val="399DA351"/>
    <w:rsid w:val="399DC7F1"/>
    <w:rsid w:val="399FA29A"/>
    <w:rsid w:val="399FC33E"/>
    <w:rsid w:val="39A3D8B1"/>
    <w:rsid w:val="39A44D3B"/>
    <w:rsid w:val="39A551EE"/>
    <w:rsid w:val="39A59F61"/>
    <w:rsid w:val="39A6248C"/>
    <w:rsid w:val="39A68F65"/>
    <w:rsid w:val="39A6F3FB"/>
    <w:rsid w:val="39A72BC6"/>
    <w:rsid w:val="39A7923C"/>
    <w:rsid w:val="39A8836C"/>
    <w:rsid w:val="39A8E8E5"/>
    <w:rsid w:val="39AA390A"/>
    <w:rsid w:val="39AC8AB4"/>
    <w:rsid w:val="39AC991C"/>
    <w:rsid w:val="39AD1C98"/>
    <w:rsid w:val="39AF20B8"/>
    <w:rsid w:val="39AFCC74"/>
    <w:rsid w:val="39B0304D"/>
    <w:rsid w:val="39B08923"/>
    <w:rsid w:val="39B0922C"/>
    <w:rsid w:val="39B264F6"/>
    <w:rsid w:val="39B2A6B6"/>
    <w:rsid w:val="39B35A5C"/>
    <w:rsid w:val="39B36635"/>
    <w:rsid w:val="39B3F530"/>
    <w:rsid w:val="39B450DC"/>
    <w:rsid w:val="39B6840A"/>
    <w:rsid w:val="39B6B688"/>
    <w:rsid w:val="39B6D611"/>
    <w:rsid w:val="39B6FEFB"/>
    <w:rsid w:val="39B78795"/>
    <w:rsid w:val="39B7C72E"/>
    <w:rsid w:val="39B8F937"/>
    <w:rsid w:val="39B90D65"/>
    <w:rsid w:val="39B93DAF"/>
    <w:rsid w:val="39B945F9"/>
    <w:rsid w:val="39BA22E4"/>
    <w:rsid w:val="39BA3EF8"/>
    <w:rsid w:val="39BABD22"/>
    <w:rsid w:val="39BCC72E"/>
    <w:rsid w:val="39BD1280"/>
    <w:rsid w:val="39BD47FB"/>
    <w:rsid w:val="39BDBA01"/>
    <w:rsid w:val="39BDDF5C"/>
    <w:rsid w:val="39BF0409"/>
    <w:rsid w:val="39C04022"/>
    <w:rsid w:val="39C0761E"/>
    <w:rsid w:val="39C13725"/>
    <w:rsid w:val="39C23513"/>
    <w:rsid w:val="39C26A84"/>
    <w:rsid w:val="39C31CBF"/>
    <w:rsid w:val="39C3EF0C"/>
    <w:rsid w:val="39C484C5"/>
    <w:rsid w:val="39C48B8F"/>
    <w:rsid w:val="39C49E4C"/>
    <w:rsid w:val="39C4BAAB"/>
    <w:rsid w:val="39C57680"/>
    <w:rsid w:val="39C667FA"/>
    <w:rsid w:val="39C6A9C6"/>
    <w:rsid w:val="39C70C6C"/>
    <w:rsid w:val="39C778E5"/>
    <w:rsid w:val="39C89F0F"/>
    <w:rsid w:val="39C8E5E8"/>
    <w:rsid w:val="39C995E1"/>
    <w:rsid w:val="39C9E4D4"/>
    <w:rsid w:val="39CA0C5B"/>
    <w:rsid w:val="39CABD36"/>
    <w:rsid w:val="39CB2429"/>
    <w:rsid w:val="39CB2C65"/>
    <w:rsid w:val="39CBDCC6"/>
    <w:rsid w:val="39CC21DB"/>
    <w:rsid w:val="39CCFCA4"/>
    <w:rsid w:val="39CD0F86"/>
    <w:rsid w:val="39CDC92F"/>
    <w:rsid w:val="39CDE243"/>
    <w:rsid w:val="39CE4885"/>
    <w:rsid w:val="39CED370"/>
    <w:rsid w:val="39CEFA4E"/>
    <w:rsid w:val="39CF0455"/>
    <w:rsid w:val="39CF223E"/>
    <w:rsid w:val="39CFFE05"/>
    <w:rsid w:val="39D03E43"/>
    <w:rsid w:val="39D0415A"/>
    <w:rsid w:val="39D08C4C"/>
    <w:rsid w:val="39D09558"/>
    <w:rsid w:val="39D0A0C4"/>
    <w:rsid w:val="39D11B5F"/>
    <w:rsid w:val="39D1FC91"/>
    <w:rsid w:val="39D2486F"/>
    <w:rsid w:val="39D2526E"/>
    <w:rsid w:val="39D26BA8"/>
    <w:rsid w:val="39D30582"/>
    <w:rsid w:val="39D31494"/>
    <w:rsid w:val="39D34853"/>
    <w:rsid w:val="39D348B5"/>
    <w:rsid w:val="39D4362C"/>
    <w:rsid w:val="39D49557"/>
    <w:rsid w:val="39D4DCBB"/>
    <w:rsid w:val="39D79D99"/>
    <w:rsid w:val="39D7B723"/>
    <w:rsid w:val="39DAAD9D"/>
    <w:rsid w:val="39DBE4FE"/>
    <w:rsid w:val="39DE0C28"/>
    <w:rsid w:val="39DEEF47"/>
    <w:rsid w:val="39DFF495"/>
    <w:rsid w:val="39E035C7"/>
    <w:rsid w:val="39E0598A"/>
    <w:rsid w:val="39E115CC"/>
    <w:rsid w:val="39E1D446"/>
    <w:rsid w:val="39E20CDD"/>
    <w:rsid w:val="39E230BB"/>
    <w:rsid w:val="39E284AF"/>
    <w:rsid w:val="39E38A82"/>
    <w:rsid w:val="39E4C119"/>
    <w:rsid w:val="39E4CAEB"/>
    <w:rsid w:val="39E5395A"/>
    <w:rsid w:val="39E668AA"/>
    <w:rsid w:val="39E8AE45"/>
    <w:rsid w:val="39E9647E"/>
    <w:rsid w:val="39E9C93A"/>
    <w:rsid w:val="39EA7E47"/>
    <w:rsid w:val="39EAA753"/>
    <w:rsid w:val="39EAB9AA"/>
    <w:rsid w:val="39EAC127"/>
    <w:rsid w:val="39EAEDA9"/>
    <w:rsid w:val="39ED4C7B"/>
    <w:rsid w:val="39ED5029"/>
    <w:rsid w:val="39ED7799"/>
    <w:rsid w:val="39ED78FC"/>
    <w:rsid w:val="39EDACEA"/>
    <w:rsid w:val="39EE2332"/>
    <w:rsid w:val="39F003CC"/>
    <w:rsid w:val="39F11635"/>
    <w:rsid w:val="39F1D820"/>
    <w:rsid w:val="39F20A62"/>
    <w:rsid w:val="39F25FAA"/>
    <w:rsid w:val="39F42B5D"/>
    <w:rsid w:val="39F55609"/>
    <w:rsid w:val="39F5FE7B"/>
    <w:rsid w:val="39F6C359"/>
    <w:rsid w:val="39F73603"/>
    <w:rsid w:val="39F7C648"/>
    <w:rsid w:val="39F84752"/>
    <w:rsid w:val="39F90DD1"/>
    <w:rsid w:val="39F94716"/>
    <w:rsid w:val="39FAABDA"/>
    <w:rsid w:val="39FBCA27"/>
    <w:rsid w:val="39FD7539"/>
    <w:rsid w:val="39FDA74B"/>
    <w:rsid w:val="39FE451C"/>
    <w:rsid w:val="39FE692E"/>
    <w:rsid w:val="3A0035E5"/>
    <w:rsid w:val="3A009F2F"/>
    <w:rsid w:val="3A011D37"/>
    <w:rsid w:val="3A013646"/>
    <w:rsid w:val="3A019901"/>
    <w:rsid w:val="3A020684"/>
    <w:rsid w:val="3A02C08D"/>
    <w:rsid w:val="3A043E71"/>
    <w:rsid w:val="3A04AB42"/>
    <w:rsid w:val="3A04CF5E"/>
    <w:rsid w:val="3A05ECC0"/>
    <w:rsid w:val="3A065A75"/>
    <w:rsid w:val="3A06A5FF"/>
    <w:rsid w:val="3A072E77"/>
    <w:rsid w:val="3A073B49"/>
    <w:rsid w:val="3A079699"/>
    <w:rsid w:val="3A08704C"/>
    <w:rsid w:val="3A08D0F5"/>
    <w:rsid w:val="3A0DF100"/>
    <w:rsid w:val="3A0F0E56"/>
    <w:rsid w:val="3A0F5A22"/>
    <w:rsid w:val="3A0FD669"/>
    <w:rsid w:val="3A1045FA"/>
    <w:rsid w:val="3A115EB4"/>
    <w:rsid w:val="3A127B27"/>
    <w:rsid w:val="3A12C91F"/>
    <w:rsid w:val="3A12E59B"/>
    <w:rsid w:val="3A139F91"/>
    <w:rsid w:val="3A14544B"/>
    <w:rsid w:val="3A148168"/>
    <w:rsid w:val="3A14A9ED"/>
    <w:rsid w:val="3A15B628"/>
    <w:rsid w:val="3A167D96"/>
    <w:rsid w:val="3A18587A"/>
    <w:rsid w:val="3A1877F3"/>
    <w:rsid w:val="3A18A097"/>
    <w:rsid w:val="3A18FB25"/>
    <w:rsid w:val="3A18FF50"/>
    <w:rsid w:val="3A191911"/>
    <w:rsid w:val="3A196D3A"/>
    <w:rsid w:val="3A1972F8"/>
    <w:rsid w:val="3A19A640"/>
    <w:rsid w:val="3A19B17A"/>
    <w:rsid w:val="3A1AF6AF"/>
    <w:rsid w:val="3A1B3D86"/>
    <w:rsid w:val="3A1C4B98"/>
    <w:rsid w:val="3A1CF67C"/>
    <w:rsid w:val="3A1EB3B4"/>
    <w:rsid w:val="3A1F2357"/>
    <w:rsid w:val="3A1F468C"/>
    <w:rsid w:val="3A1F6AD5"/>
    <w:rsid w:val="3A1F8131"/>
    <w:rsid w:val="3A1FB5A3"/>
    <w:rsid w:val="3A209E7F"/>
    <w:rsid w:val="3A20A482"/>
    <w:rsid w:val="3A20DD49"/>
    <w:rsid w:val="3A21741B"/>
    <w:rsid w:val="3A21F1C5"/>
    <w:rsid w:val="3A2213C4"/>
    <w:rsid w:val="3A22ABA9"/>
    <w:rsid w:val="3A22B312"/>
    <w:rsid w:val="3A22D2E7"/>
    <w:rsid w:val="3A234956"/>
    <w:rsid w:val="3A23619C"/>
    <w:rsid w:val="3A23EFE2"/>
    <w:rsid w:val="3A244A87"/>
    <w:rsid w:val="3A248649"/>
    <w:rsid w:val="3A25611D"/>
    <w:rsid w:val="3A25BA64"/>
    <w:rsid w:val="3A25E243"/>
    <w:rsid w:val="3A2663F0"/>
    <w:rsid w:val="3A2765EB"/>
    <w:rsid w:val="3A285733"/>
    <w:rsid w:val="3A28DEFD"/>
    <w:rsid w:val="3A29EB8F"/>
    <w:rsid w:val="3A2B6A91"/>
    <w:rsid w:val="3A2B7660"/>
    <w:rsid w:val="3A2C3D3C"/>
    <w:rsid w:val="3A2D4DBE"/>
    <w:rsid w:val="3A2ECDDF"/>
    <w:rsid w:val="3A2EFF59"/>
    <w:rsid w:val="3A2F834D"/>
    <w:rsid w:val="3A2F8E76"/>
    <w:rsid w:val="3A30103F"/>
    <w:rsid w:val="3A303761"/>
    <w:rsid w:val="3A30DE22"/>
    <w:rsid w:val="3A31BEE8"/>
    <w:rsid w:val="3A31BEF4"/>
    <w:rsid w:val="3A31F8B0"/>
    <w:rsid w:val="3A32166B"/>
    <w:rsid w:val="3A323A33"/>
    <w:rsid w:val="3A32CF57"/>
    <w:rsid w:val="3A3352A5"/>
    <w:rsid w:val="3A338612"/>
    <w:rsid w:val="3A33A284"/>
    <w:rsid w:val="3A34081C"/>
    <w:rsid w:val="3A34752D"/>
    <w:rsid w:val="3A34D36C"/>
    <w:rsid w:val="3A367828"/>
    <w:rsid w:val="3A37177A"/>
    <w:rsid w:val="3A3758AF"/>
    <w:rsid w:val="3A37CE8C"/>
    <w:rsid w:val="3A38F4A5"/>
    <w:rsid w:val="3A390F96"/>
    <w:rsid w:val="3A39B059"/>
    <w:rsid w:val="3A3A40B1"/>
    <w:rsid w:val="3A3AAA30"/>
    <w:rsid w:val="3A3BB1C4"/>
    <w:rsid w:val="3A3BC42C"/>
    <w:rsid w:val="3A3BE1F2"/>
    <w:rsid w:val="3A3D4AE5"/>
    <w:rsid w:val="3A3E1359"/>
    <w:rsid w:val="3A3F6924"/>
    <w:rsid w:val="3A3FC1F3"/>
    <w:rsid w:val="3A411057"/>
    <w:rsid w:val="3A411462"/>
    <w:rsid w:val="3A411AA7"/>
    <w:rsid w:val="3A41314B"/>
    <w:rsid w:val="3A418DAF"/>
    <w:rsid w:val="3A420A42"/>
    <w:rsid w:val="3A435EBA"/>
    <w:rsid w:val="3A43927F"/>
    <w:rsid w:val="3A448717"/>
    <w:rsid w:val="3A4700E5"/>
    <w:rsid w:val="3A477DD0"/>
    <w:rsid w:val="3A49255A"/>
    <w:rsid w:val="3A496EE9"/>
    <w:rsid w:val="3A4A2B5D"/>
    <w:rsid w:val="3A4A7CF6"/>
    <w:rsid w:val="3A4ABA5C"/>
    <w:rsid w:val="3A4AFE13"/>
    <w:rsid w:val="3A4C0B78"/>
    <w:rsid w:val="3A4C3BF6"/>
    <w:rsid w:val="3A4D0C7B"/>
    <w:rsid w:val="3A4D7088"/>
    <w:rsid w:val="3A4DA24C"/>
    <w:rsid w:val="3A4DCB81"/>
    <w:rsid w:val="3A4DDD11"/>
    <w:rsid w:val="3A4F434E"/>
    <w:rsid w:val="3A4F5522"/>
    <w:rsid w:val="3A4FFFE6"/>
    <w:rsid w:val="3A50D335"/>
    <w:rsid w:val="3A5165CE"/>
    <w:rsid w:val="3A51999C"/>
    <w:rsid w:val="3A51D4F3"/>
    <w:rsid w:val="3A522069"/>
    <w:rsid w:val="3A5232E0"/>
    <w:rsid w:val="3A53A2F2"/>
    <w:rsid w:val="3A53A808"/>
    <w:rsid w:val="3A53E749"/>
    <w:rsid w:val="3A544CCF"/>
    <w:rsid w:val="3A548092"/>
    <w:rsid w:val="3A553571"/>
    <w:rsid w:val="3A55CA75"/>
    <w:rsid w:val="3A59395E"/>
    <w:rsid w:val="3A59C10F"/>
    <w:rsid w:val="3A5A3194"/>
    <w:rsid w:val="3A5C05BD"/>
    <w:rsid w:val="3A5C20F4"/>
    <w:rsid w:val="3A5CE980"/>
    <w:rsid w:val="3A5D4D42"/>
    <w:rsid w:val="3A5D809B"/>
    <w:rsid w:val="3A5DD293"/>
    <w:rsid w:val="3A5ECD18"/>
    <w:rsid w:val="3A5F920E"/>
    <w:rsid w:val="3A5FC603"/>
    <w:rsid w:val="3A5FD689"/>
    <w:rsid w:val="3A601323"/>
    <w:rsid w:val="3A60832D"/>
    <w:rsid w:val="3A60D85A"/>
    <w:rsid w:val="3A615BF0"/>
    <w:rsid w:val="3A6200F6"/>
    <w:rsid w:val="3A623CED"/>
    <w:rsid w:val="3A62E332"/>
    <w:rsid w:val="3A62FB61"/>
    <w:rsid w:val="3A647BED"/>
    <w:rsid w:val="3A658856"/>
    <w:rsid w:val="3A65D6B5"/>
    <w:rsid w:val="3A668376"/>
    <w:rsid w:val="3A66BD2F"/>
    <w:rsid w:val="3A66CB3A"/>
    <w:rsid w:val="3A66D921"/>
    <w:rsid w:val="3A676370"/>
    <w:rsid w:val="3A67A158"/>
    <w:rsid w:val="3A67D99C"/>
    <w:rsid w:val="3A68D917"/>
    <w:rsid w:val="3A690AD4"/>
    <w:rsid w:val="3A69CE41"/>
    <w:rsid w:val="3A69D447"/>
    <w:rsid w:val="3A6A9686"/>
    <w:rsid w:val="3A6C1614"/>
    <w:rsid w:val="3A6C2956"/>
    <w:rsid w:val="3A6E468D"/>
    <w:rsid w:val="3A6E7618"/>
    <w:rsid w:val="3A6E76C4"/>
    <w:rsid w:val="3A6F3F98"/>
    <w:rsid w:val="3A6FFEED"/>
    <w:rsid w:val="3A7073B2"/>
    <w:rsid w:val="3A71317B"/>
    <w:rsid w:val="3A715FB6"/>
    <w:rsid w:val="3A71B803"/>
    <w:rsid w:val="3A71DE36"/>
    <w:rsid w:val="3A723050"/>
    <w:rsid w:val="3A724BE2"/>
    <w:rsid w:val="3A7301B6"/>
    <w:rsid w:val="3A7329E0"/>
    <w:rsid w:val="3A735FCB"/>
    <w:rsid w:val="3A739E4E"/>
    <w:rsid w:val="3A73B028"/>
    <w:rsid w:val="3A73B8C0"/>
    <w:rsid w:val="3A7470FF"/>
    <w:rsid w:val="3A747E28"/>
    <w:rsid w:val="3A749669"/>
    <w:rsid w:val="3A7503D7"/>
    <w:rsid w:val="3A755789"/>
    <w:rsid w:val="3A76C09D"/>
    <w:rsid w:val="3A76D960"/>
    <w:rsid w:val="3A76E213"/>
    <w:rsid w:val="3A779968"/>
    <w:rsid w:val="3A77D444"/>
    <w:rsid w:val="3A78C4C4"/>
    <w:rsid w:val="3A790929"/>
    <w:rsid w:val="3A793FC1"/>
    <w:rsid w:val="3A7B79E2"/>
    <w:rsid w:val="3A7C4678"/>
    <w:rsid w:val="3A7D0613"/>
    <w:rsid w:val="3A7D3D5D"/>
    <w:rsid w:val="3A7DCCB6"/>
    <w:rsid w:val="3A7EA667"/>
    <w:rsid w:val="3A801F79"/>
    <w:rsid w:val="3A80AAE3"/>
    <w:rsid w:val="3A80FF52"/>
    <w:rsid w:val="3A81248C"/>
    <w:rsid w:val="3A81570B"/>
    <w:rsid w:val="3A82AFD0"/>
    <w:rsid w:val="3A8327C4"/>
    <w:rsid w:val="3A832D4E"/>
    <w:rsid w:val="3A838EB2"/>
    <w:rsid w:val="3A839C23"/>
    <w:rsid w:val="3A83BD38"/>
    <w:rsid w:val="3A84B6CB"/>
    <w:rsid w:val="3A84D2A3"/>
    <w:rsid w:val="3A854FC9"/>
    <w:rsid w:val="3A856328"/>
    <w:rsid w:val="3A86D328"/>
    <w:rsid w:val="3A871C3D"/>
    <w:rsid w:val="3A88D4E3"/>
    <w:rsid w:val="3A88E11F"/>
    <w:rsid w:val="3A88FA9A"/>
    <w:rsid w:val="3A89622A"/>
    <w:rsid w:val="3A8A4E2C"/>
    <w:rsid w:val="3A8A5258"/>
    <w:rsid w:val="3A8B190A"/>
    <w:rsid w:val="3A8C4902"/>
    <w:rsid w:val="3A8CCFEF"/>
    <w:rsid w:val="3A8DDD38"/>
    <w:rsid w:val="3A8DFCE8"/>
    <w:rsid w:val="3A8F7561"/>
    <w:rsid w:val="3A8FBD91"/>
    <w:rsid w:val="3A901ABD"/>
    <w:rsid w:val="3A9037CA"/>
    <w:rsid w:val="3A905C8C"/>
    <w:rsid w:val="3A906841"/>
    <w:rsid w:val="3A90B296"/>
    <w:rsid w:val="3A90E9ED"/>
    <w:rsid w:val="3A9207D1"/>
    <w:rsid w:val="3A925DB6"/>
    <w:rsid w:val="3A92FEDA"/>
    <w:rsid w:val="3A930E58"/>
    <w:rsid w:val="3A93F7D9"/>
    <w:rsid w:val="3A945228"/>
    <w:rsid w:val="3A94C0DD"/>
    <w:rsid w:val="3A954656"/>
    <w:rsid w:val="3A956A4D"/>
    <w:rsid w:val="3A95CCD9"/>
    <w:rsid w:val="3A977299"/>
    <w:rsid w:val="3A97D65C"/>
    <w:rsid w:val="3A980FCF"/>
    <w:rsid w:val="3A989535"/>
    <w:rsid w:val="3A98E30F"/>
    <w:rsid w:val="3A98F73A"/>
    <w:rsid w:val="3A9909D6"/>
    <w:rsid w:val="3A9936F9"/>
    <w:rsid w:val="3A9BDF81"/>
    <w:rsid w:val="3A9C2368"/>
    <w:rsid w:val="3A9CAF4B"/>
    <w:rsid w:val="3A9CB9FF"/>
    <w:rsid w:val="3A9CC62F"/>
    <w:rsid w:val="3A9CE0AD"/>
    <w:rsid w:val="3A9D6887"/>
    <w:rsid w:val="3A9E02DE"/>
    <w:rsid w:val="3A9EE6D0"/>
    <w:rsid w:val="3AA07307"/>
    <w:rsid w:val="3AA0A3C8"/>
    <w:rsid w:val="3AA1740B"/>
    <w:rsid w:val="3AA2B43A"/>
    <w:rsid w:val="3AA32C6F"/>
    <w:rsid w:val="3AA4330E"/>
    <w:rsid w:val="3AA80D5C"/>
    <w:rsid w:val="3AA82172"/>
    <w:rsid w:val="3AA87F99"/>
    <w:rsid w:val="3AA94EF0"/>
    <w:rsid w:val="3AA9C782"/>
    <w:rsid w:val="3AAA891F"/>
    <w:rsid w:val="3AABC856"/>
    <w:rsid w:val="3AAC5BAE"/>
    <w:rsid w:val="3AAC5E7C"/>
    <w:rsid w:val="3AAC6FF9"/>
    <w:rsid w:val="3AACB664"/>
    <w:rsid w:val="3AACD79A"/>
    <w:rsid w:val="3AAD3549"/>
    <w:rsid w:val="3AAD767E"/>
    <w:rsid w:val="3AADA0E8"/>
    <w:rsid w:val="3AADA9C2"/>
    <w:rsid w:val="3AADBF33"/>
    <w:rsid w:val="3AADDDF1"/>
    <w:rsid w:val="3AAE0570"/>
    <w:rsid w:val="3AAEE42E"/>
    <w:rsid w:val="3AAF44F7"/>
    <w:rsid w:val="3AB0289E"/>
    <w:rsid w:val="3AB029E0"/>
    <w:rsid w:val="3AB0BD1C"/>
    <w:rsid w:val="3AB0C0CB"/>
    <w:rsid w:val="3AB17017"/>
    <w:rsid w:val="3AB22CE7"/>
    <w:rsid w:val="3AB2810B"/>
    <w:rsid w:val="3AB45B2C"/>
    <w:rsid w:val="3AB54167"/>
    <w:rsid w:val="3AB61717"/>
    <w:rsid w:val="3AB6FD7A"/>
    <w:rsid w:val="3AB785EC"/>
    <w:rsid w:val="3AB939B9"/>
    <w:rsid w:val="3AB9542B"/>
    <w:rsid w:val="3AB99F37"/>
    <w:rsid w:val="3AB9D92F"/>
    <w:rsid w:val="3AB9DDAE"/>
    <w:rsid w:val="3ABA0EE4"/>
    <w:rsid w:val="3ABA528A"/>
    <w:rsid w:val="3ABA757E"/>
    <w:rsid w:val="3ABB0FBD"/>
    <w:rsid w:val="3ABB53AB"/>
    <w:rsid w:val="3ABC0456"/>
    <w:rsid w:val="3ABC5D2D"/>
    <w:rsid w:val="3ABC9B19"/>
    <w:rsid w:val="3ABD7A78"/>
    <w:rsid w:val="3ABEEB60"/>
    <w:rsid w:val="3ABFEB21"/>
    <w:rsid w:val="3AC0BA40"/>
    <w:rsid w:val="3AC11481"/>
    <w:rsid w:val="3AC14649"/>
    <w:rsid w:val="3AC14E8D"/>
    <w:rsid w:val="3AC18529"/>
    <w:rsid w:val="3AC19097"/>
    <w:rsid w:val="3AC196FE"/>
    <w:rsid w:val="3AC29E3A"/>
    <w:rsid w:val="3AC2CF17"/>
    <w:rsid w:val="3AC396B8"/>
    <w:rsid w:val="3AC438B4"/>
    <w:rsid w:val="3AC4DD77"/>
    <w:rsid w:val="3AC72F47"/>
    <w:rsid w:val="3AC73AC7"/>
    <w:rsid w:val="3AC75846"/>
    <w:rsid w:val="3AC77AE4"/>
    <w:rsid w:val="3AC78FA4"/>
    <w:rsid w:val="3AC7A8F2"/>
    <w:rsid w:val="3AC861B2"/>
    <w:rsid w:val="3AC92EB0"/>
    <w:rsid w:val="3AC98DD7"/>
    <w:rsid w:val="3AC99559"/>
    <w:rsid w:val="3ACAA8CD"/>
    <w:rsid w:val="3ACB138E"/>
    <w:rsid w:val="3ACC50A9"/>
    <w:rsid w:val="3ACD129E"/>
    <w:rsid w:val="3ACD307B"/>
    <w:rsid w:val="3AD04B45"/>
    <w:rsid w:val="3AD072CB"/>
    <w:rsid w:val="3AD09361"/>
    <w:rsid w:val="3AD1168A"/>
    <w:rsid w:val="3AD12E92"/>
    <w:rsid w:val="3AD17105"/>
    <w:rsid w:val="3AD1D050"/>
    <w:rsid w:val="3AD284EF"/>
    <w:rsid w:val="3AD2A734"/>
    <w:rsid w:val="3AD2EB6E"/>
    <w:rsid w:val="3AD30CA7"/>
    <w:rsid w:val="3AD399F9"/>
    <w:rsid w:val="3AD4CAD2"/>
    <w:rsid w:val="3AD53F09"/>
    <w:rsid w:val="3AD55FF1"/>
    <w:rsid w:val="3AD5CFA6"/>
    <w:rsid w:val="3AD5F6C0"/>
    <w:rsid w:val="3AD68AD4"/>
    <w:rsid w:val="3AD69139"/>
    <w:rsid w:val="3AD6A9E3"/>
    <w:rsid w:val="3AD7FDEA"/>
    <w:rsid w:val="3AD874C8"/>
    <w:rsid w:val="3AD8B70A"/>
    <w:rsid w:val="3AD95DD5"/>
    <w:rsid w:val="3AD987F8"/>
    <w:rsid w:val="3ADBF2B8"/>
    <w:rsid w:val="3ADC11A9"/>
    <w:rsid w:val="3ADC3392"/>
    <w:rsid w:val="3ADC48AA"/>
    <w:rsid w:val="3ADC5DB1"/>
    <w:rsid w:val="3ADD3505"/>
    <w:rsid w:val="3ADD6EA5"/>
    <w:rsid w:val="3ADDD5BB"/>
    <w:rsid w:val="3ADE198C"/>
    <w:rsid w:val="3ADFA64B"/>
    <w:rsid w:val="3AE04CBA"/>
    <w:rsid w:val="3AE06FC1"/>
    <w:rsid w:val="3AE08AAA"/>
    <w:rsid w:val="3AE0E613"/>
    <w:rsid w:val="3AE15FB5"/>
    <w:rsid w:val="3AE32C18"/>
    <w:rsid w:val="3AE46A90"/>
    <w:rsid w:val="3AE584E8"/>
    <w:rsid w:val="3AE59611"/>
    <w:rsid w:val="3AE5DC99"/>
    <w:rsid w:val="3AE75E65"/>
    <w:rsid w:val="3AE7E9E8"/>
    <w:rsid w:val="3AE83B39"/>
    <w:rsid w:val="3AE9703F"/>
    <w:rsid w:val="3AE99100"/>
    <w:rsid w:val="3AE9C547"/>
    <w:rsid w:val="3AEA9989"/>
    <w:rsid w:val="3AEBFBB5"/>
    <w:rsid w:val="3AED1482"/>
    <w:rsid w:val="3AED4404"/>
    <w:rsid w:val="3AED7DCB"/>
    <w:rsid w:val="3AEEEFD2"/>
    <w:rsid w:val="3AEF07E4"/>
    <w:rsid w:val="3AEF5EA6"/>
    <w:rsid w:val="3AEF8123"/>
    <w:rsid w:val="3AEF8237"/>
    <w:rsid w:val="3AF00519"/>
    <w:rsid w:val="3AF02C5A"/>
    <w:rsid w:val="3AF03C05"/>
    <w:rsid w:val="3AF1EBAB"/>
    <w:rsid w:val="3AF33751"/>
    <w:rsid w:val="3AF39FAD"/>
    <w:rsid w:val="3AF4A6FA"/>
    <w:rsid w:val="3AF6E082"/>
    <w:rsid w:val="3AF76F36"/>
    <w:rsid w:val="3AF920F3"/>
    <w:rsid w:val="3AF9DF1D"/>
    <w:rsid w:val="3AFA31DB"/>
    <w:rsid w:val="3AFA8463"/>
    <w:rsid w:val="3AFAAFC9"/>
    <w:rsid w:val="3AFB2464"/>
    <w:rsid w:val="3AFB99B8"/>
    <w:rsid w:val="3AFE45D2"/>
    <w:rsid w:val="3AFECD69"/>
    <w:rsid w:val="3AFF569E"/>
    <w:rsid w:val="3B01CAFB"/>
    <w:rsid w:val="3B01E570"/>
    <w:rsid w:val="3B01F802"/>
    <w:rsid w:val="3B029BFF"/>
    <w:rsid w:val="3B02FA49"/>
    <w:rsid w:val="3B03C20B"/>
    <w:rsid w:val="3B04C6B8"/>
    <w:rsid w:val="3B052D4D"/>
    <w:rsid w:val="3B0556AE"/>
    <w:rsid w:val="3B0581AA"/>
    <w:rsid w:val="3B06D82D"/>
    <w:rsid w:val="3B092129"/>
    <w:rsid w:val="3B0963BD"/>
    <w:rsid w:val="3B097162"/>
    <w:rsid w:val="3B09A038"/>
    <w:rsid w:val="3B0AF06E"/>
    <w:rsid w:val="3B0AFB74"/>
    <w:rsid w:val="3B0BC34A"/>
    <w:rsid w:val="3B0C8759"/>
    <w:rsid w:val="3B0C9321"/>
    <w:rsid w:val="3B0DAD30"/>
    <w:rsid w:val="3B0FC54E"/>
    <w:rsid w:val="3B10EEB3"/>
    <w:rsid w:val="3B117450"/>
    <w:rsid w:val="3B11A9AF"/>
    <w:rsid w:val="3B11E90B"/>
    <w:rsid w:val="3B14BBCB"/>
    <w:rsid w:val="3B1561A7"/>
    <w:rsid w:val="3B156E9C"/>
    <w:rsid w:val="3B159313"/>
    <w:rsid w:val="3B15B7DA"/>
    <w:rsid w:val="3B165554"/>
    <w:rsid w:val="3B16EF63"/>
    <w:rsid w:val="3B173142"/>
    <w:rsid w:val="3B17AE38"/>
    <w:rsid w:val="3B17C3F1"/>
    <w:rsid w:val="3B181250"/>
    <w:rsid w:val="3B184253"/>
    <w:rsid w:val="3B189ABF"/>
    <w:rsid w:val="3B1A2CFC"/>
    <w:rsid w:val="3B1A97AA"/>
    <w:rsid w:val="3B1B5ECB"/>
    <w:rsid w:val="3B1B7D3C"/>
    <w:rsid w:val="3B1C0E1C"/>
    <w:rsid w:val="3B1C8884"/>
    <w:rsid w:val="3B1EABDF"/>
    <w:rsid w:val="3B1ECD7F"/>
    <w:rsid w:val="3B1F5E09"/>
    <w:rsid w:val="3B1F6B22"/>
    <w:rsid w:val="3B1F869A"/>
    <w:rsid w:val="3B2085EE"/>
    <w:rsid w:val="3B21595E"/>
    <w:rsid w:val="3B221D3A"/>
    <w:rsid w:val="3B2226F3"/>
    <w:rsid w:val="3B225F5F"/>
    <w:rsid w:val="3B22C7B3"/>
    <w:rsid w:val="3B232730"/>
    <w:rsid w:val="3B23F675"/>
    <w:rsid w:val="3B24147D"/>
    <w:rsid w:val="3B261685"/>
    <w:rsid w:val="3B264C80"/>
    <w:rsid w:val="3B2685CD"/>
    <w:rsid w:val="3B26DCB9"/>
    <w:rsid w:val="3B26E875"/>
    <w:rsid w:val="3B2723BA"/>
    <w:rsid w:val="3B2729D6"/>
    <w:rsid w:val="3B27AF7E"/>
    <w:rsid w:val="3B2987F1"/>
    <w:rsid w:val="3B2A2845"/>
    <w:rsid w:val="3B2C86D0"/>
    <w:rsid w:val="3B2C9C67"/>
    <w:rsid w:val="3B2C9F75"/>
    <w:rsid w:val="3B2CFE90"/>
    <w:rsid w:val="3B2D7B6B"/>
    <w:rsid w:val="3B2DF654"/>
    <w:rsid w:val="3B2E8523"/>
    <w:rsid w:val="3B301AAE"/>
    <w:rsid w:val="3B305074"/>
    <w:rsid w:val="3B3265DA"/>
    <w:rsid w:val="3B32DC41"/>
    <w:rsid w:val="3B344DF5"/>
    <w:rsid w:val="3B34B9E2"/>
    <w:rsid w:val="3B34D10D"/>
    <w:rsid w:val="3B34EBD3"/>
    <w:rsid w:val="3B34EEF4"/>
    <w:rsid w:val="3B355EAA"/>
    <w:rsid w:val="3B356E22"/>
    <w:rsid w:val="3B35E530"/>
    <w:rsid w:val="3B3608A8"/>
    <w:rsid w:val="3B36454C"/>
    <w:rsid w:val="3B36C4C1"/>
    <w:rsid w:val="3B3803EC"/>
    <w:rsid w:val="3B382220"/>
    <w:rsid w:val="3B389816"/>
    <w:rsid w:val="3B396597"/>
    <w:rsid w:val="3B3A05A7"/>
    <w:rsid w:val="3B3BD96B"/>
    <w:rsid w:val="3B3C02B5"/>
    <w:rsid w:val="3B3C852F"/>
    <w:rsid w:val="3B3D5B44"/>
    <w:rsid w:val="3B3D98E8"/>
    <w:rsid w:val="3B3DCAF9"/>
    <w:rsid w:val="3B3E0A48"/>
    <w:rsid w:val="3B3EDC09"/>
    <w:rsid w:val="3B4010BC"/>
    <w:rsid w:val="3B407EA5"/>
    <w:rsid w:val="3B410699"/>
    <w:rsid w:val="3B4169ED"/>
    <w:rsid w:val="3B41FE8C"/>
    <w:rsid w:val="3B428C62"/>
    <w:rsid w:val="3B42C079"/>
    <w:rsid w:val="3B42D269"/>
    <w:rsid w:val="3B432D57"/>
    <w:rsid w:val="3B43AB80"/>
    <w:rsid w:val="3B452CBA"/>
    <w:rsid w:val="3B45A7A6"/>
    <w:rsid w:val="3B46A824"/>
    <w:rsid w:val="3B46E429"/>
    <w:rsid w:val="3B472CC9"/>
    <w:rsid w:val="3B472FEA"/>
    <w:rsid w:val="3B477E85"/>
    <w:rsid w:val="3B48452D"/>
    <w:rsid w:val="3B485831"/>
    <w:rsid w:val="3B48CC33"/>
    <w:rsid w:val="3B4A8A99"/>
    <w:rsid w:val="3B4CE437"/>
    <w:rsid w:val="3B4EB8D0"/>
    <w:rsid w:val="3B4F79D2"/>
    <w:rsid w:val="3B50A1E6"/>
    <w:rsid w:val="3B5233A3"/>
    <w:rsid w:val="3B527085"/>
    <w:rsid w:val="3B53762A"/>
    <w:rsid w:val="3B5392EB"/>
    <w:rsid w:val="3B554694"/>
    <w:rsid w:val="3B5602AA"/>
    <w:rsid w:val="3B561021"/>
    <w:rsid w:val="3B565D55"/>
    <w:rsid w:val="3B59C7C9"/>
    <w:rsid w:val="3B5AD9FC"/>
    <w:rsid w:val="3B5B4F2F"/>
    <w:rsid w:val="3B5B71A5"/>
    <w:rsid w:val="3B5B9AA6"/>
    <w:rsid w:val="3B5BE384"/>
    <w:rsid w:val="3B5BEE59"/>
    <w:rsid w:val="3B5C706B"/>
    <w:rsid w:val="3B5CAA74"/>
    <w:rsid w:val="3B5D4240"/>
    <w:rsid w:val="3B5DDBB5"/>
    <w:rsid w:val="3B5F0DC0"/>
    <w:rsid w:val="3B5FA2FE"/>
    <w:rsid w:val="3B5FB6CA"/>
    <w:rsid w:val="3B5FC66E"/>
    <w:rsid w:val="3B602D73"/>
    <w:rsid w:val="3B604DF1"/>
    <w:rsid w:val="3B611418"/>
    <w:rsid w:val="3B63403A"/>
    <w:rsid w:val="3B64B71A"/>
    <w:rsid w:val="3B64BB8B"/>
    <w:rsid w:val="3B64FD25"/>
    <w:rsid w:val="3B6562BF"/>
    <w:rsid w:val="3B658ABD"/>
    <w:rsid w:val="3B659ABA"/>
    <w:rsid w:val="3B6740F9"/>
    <w:rsid w:val="3B679145"/>
    <w:rsid w:val="3B6809E7"/>
    <w:rsid w:val="3B681455"/>
    <w:rsid w:val="3B682861"/>
    <w:rsid w:val="3B682D92"/>
    <w:rsid w:val="3B6869FA"/>
    <w:rsid w:val="3B6A0B6C"/>
    <w:rsid w:val="3B6D41E5"/>
    <w:rsid w:val="3B6DF2CC"/>
    <w:rsid w:val="3B6E3CA1"/>
    <w:rsid w:val="3B6E6C18"/>
    <w:rsid w:val="3B6E9DA2"/>
    <w:rsid w:val="3B6ED468"/>
    <w:rsid w:val="3B6F1C03"/>
    <w:rsid w:val="3B70F60D"/>
    <w:rsid w:val="3B71B22F"/>
    <w:rsid w:val="3B733FA7"/>
    <w:rsid w:val="3B751D05"/>
    <w:rsid w:val="3B752B49"/>
    <w:rsid w:val="3B7541C9"/>
    <w:rsid w:val="3B755611"/>
    <w:rsid w:val="3B75CD8E"/>
    <w:rsid w:val="3B75D88B"/>
    <w:rsid w:val="3B77985A"/>
    <w:rsid w:val="3B77F0C4"/>
    <w:rsid w:val="3B787E65"/>
    <w:rsid w:val="3B78BD46"/>
    <w:rsid w:val="3B7A5AAD"/>
    <w:rsid w:val="3B7ADA22"/>
    <w:rsid w:val="3B7B29D0"/>
    <w:rsid w:val="3B7B8F6A"/>
    <w:rsid w:val="3B7C1EFC"/>
    <w:rsid w:val="3B7C5FAD"/>
    <w:rsid w:val="3B7F5061"/>
    <w:rsid w:val="3B803662"/>
    <w:rsid w:val="3B813FD0"/>
    <w:rsid w:val="3B8235CD"/>
    <w:rsid w:val="3B82CA61"/>
    <w:rsid w:val="3B8328BD"/>
    <w:rsid w:val="3B834B27"/>
    <w:rsid w:val="3B83A97A"/>
    <w:rsid w:val="3B849C1C"/>
    <w:rsid w:val="3B853BA9"/>
    <w:rsid w:val="3B862548"/>
    <w:rsid w:val="3B868015"/>
    <w:rsid w:val="3B87C78F"/>
    <w:rsid w:val="3B886D0C"/>
    <w:rsid w:val="3B89B405"/>
    <w:rsid w:val="3B89E1B0"/>
    <w:rsid w:val="3B8AE2E2"/>
    <w:rsid w:val="3B8B7AEA"/>
    <w:rsid w:val="3B8C10E1"/>
    <w:rsid w:val="3B8F3A0F"/>
    <w:rsid w:val="3B8F922E"/>
    <w:rsid w:val="3B8FF56A"/>
    <w:rsid w:val="3B904BE6"/>
    <w:rsid w:val="3B9150A2"/>
    <w:rsid w:val="3B91A075"/>
    <w:rsid w:val="3B91D2E7"/>
    <w:rsid w:val="3B926D9B"/>
    <w:rsid w:val="3B9281D4"/>
    <w:rsid w:val="3B92B9B8"/>
    <w:rsid w:val="3B932440"/>
    <w:rsid w:val="3B93D6F9"/>
    <w:rsid w:val="3B952195"/>
    <w:rsid w:val="3B96273B"/>
    <w:rsid w:val="3B96F276"/>
    <w:rsid w:val="3B972EDA"/>
    <w:rsid w:val="3B9907D7"/>
    <w:rsid w:val="3B992954"/>
    <w:rsid w:val="3B99F6FA"/>
    <w:rsid w:val="3B99F7FD"/>
    <w:rsid w:val="3B9A75CA"/>
    <w:rsid w:val="3B9A8D03"/>
    <w:rsid w:val="3B9BAD20"/>
    <w:rsid w:val="3B9BD24A"/>
    <w:rsid w:val="3B9DE627"/>
    <w:rsid w:val="3B9E0729"/>
    <w:rsid w:val="3B9E76DE"/>
    <w:rsid w:val="3B9F446D"/>
    <w:rsid w:val="3BA12722"/>
    <w:rsid w:val="3BA1ADEC"/>
    <w:rsid w:val="3BA1BF02"/>
    <w:rsid w:val="3BA1C173"/>
    <w:rsid w:val="3BA346AF"/>
    <w:rsid w:val="3BA3D23D"/>
    <w:rsid w:val="3BA424F5"/>
    <w:rsid w:val="3BA4A074"/>
    <w:rsid w:val="3BA4E5B7"/>
    <w:rsid w:val="3BA51907"/>
    <w:rsid w:val="3BA60DBA"/>
    <w:rsid w:val="3BA63148"/>
    <w:rsid w:val="3BA6B7DE"/>
    <w:rsid w:val="3BA7391D"/>
    <w:rsid w:val="3BA809E0"/>
    <w:rsid w:val="3BA84072"/>
    <w:rsid w:val="3BA8B779"/>
    <w:rsid w:val="3BA9000A"/>
    <w:rsid w:val="3BA913B9"/>
    <w:rsid w:val="3BA9A4BB"/>
    <w:rsid w:val="3BAA2AC1"/>
    <w:rsid w:val="3BAAC1B0"/>
    <w:rsid w:val="3BAAE47B"/>
    <w:rsid w:val="3BAB67C1"/>
    <w:rsid w:val="3BAC2B0A"/>
    <w:rsid w:val="3BAC41EF"/>
    <w:rsid w:val="3BACD7A6"/>
    <w:rsid w:val="3BACDB4F"/>
    <w:rsid w:val="3BAE0C98"/>
    <w:rsid w:val="3BAF0C8D"/>
    <w:rsid w:val="3BAFEC96"/>
    <w:rsid w:val="3BB11A4E"/>
    <w:rsid w:val="3BB19509"/>
    <w:rsid w:val="3BB3F0F4"/>
    <w:rsid w:val="3BB40E38"/>
    <w:rsid w:val="3BB42A24"/>
    <w:rsid w:val="3BB42C62"/>
    <w:rsid w:val="3BB43628"/>
    <w:rsid w:val="3BB4CF22"/>
    <w:rsid w:val="3BB4E547"/>
    <w:rsid w:val="3BB54EF0"/>
    <w:rsid w:val="3BB56ADC"/>
    <w:rsid w:val="3BB5A9E3"/>
    <w:rsid w:val="3BB70C13"/>
    <w:rsid w:val="3BB78FE8"/>
    <w:rsid w:val="3BB7B864"/>
    <w:rsid w:val="3BB7CC5C"/>
    <w:rsid w:val="3BB84BAA"/>
    <w:rsid w:val="3BB896DF"/>
    <w:rsid w:val="3BB9098F"/>
    <w:rsid w:val="3BB99DEA"/>
    <w:rsid w:val="3BB9F0F5"/>
    <w:rsid w:val="3BBA4FBA"/>
    <w:rsid w:val="3BBAA728"/>
    <w:rsid w:val="3BBC98D2"/>
    <w:rsid w:val="3BBDF27B"/>
    <w:rsid w:val="3BBE7CF8"/>
    <w:rsid w:val="3BBF1FF5"/>
    <w:rsid w:val="3BBF6D7B"/>
    <w:rsid w:val="3BC0A4EA"/>
    <w:rsid w:val="3BC0C237"/>
    <w:rsid w:val="3BC1A580"/>
    <w:rsid w:val="3BC1DB67"/>
    <w:rsid w:val="3BC2F678"/>
    <w:rsid w:val="3BC32B0E"/>
    <w:rsid w:val="3BC3FD45"/>
    <w:rsid w:val="3BC404B9"/>
    <w:rsid w:val="3BC448E6"/>
    <w:rsid w:val="3BC4CEA3"/>
    <w:rsid w:val="3BC559A4"/>
    <w:rsid w:val="3BC6EF27"/>
    <w:rsid w:val="3BC70891"/>
    <w:rsid w:val="3BC72846"/>
    <w:rsid w:val="3BC732DE"/>
    <w:rsid w:val="3BC8171D"/>
    <w:rsid w:val="3BC90168"/>
    <w:rsid w:val="3BC9525A"/>
    <w:rsid w:val="3BC960A9"/>
    <w:rsid w:val="3BCA6F1A"/>
    <w:rsid w:val="3BCB77E5"/>
    <w:rsid w:val="3BCBF482"/>
    <w:rsid w:val="3BCC3A63"/>
    <w:rsid w:val="3BCD4F0C"/>
    <w:rsid w:val="3BCD6FFB"/>
    <w:rsid w:val="3BCDC927"/>
    <w:rsid w:val="3BCEFEB5"/>
    <w:rsid w:val="3BCF4ADF"/>
    <w:rsid w:val="3BD01C41"/>
    <w:rsid w:val="3BD06822"/>
    <w:rsid w:val="3BD0A1F9"/>
    <w:rsid w:val="3BD14656"/>
    <w:rsid w:val="3BD1B087"/>
    <w:rsid w:val="3BD1EA40"/>
    <w:rsid w:val="3BD3B510"/>
    <w:rsid w:val="3BD46FA0"/>
    <w:rsid w:val="3BD4AB3A"/>
    <w:rsid w:val="3BD4E091"/>
    <w:rsid w:val="3BD50867"/>
    <w:rsid w:val="3BD564C2"/>
    <w:rsid w:val="3BD5D9F8"/>
    <w:rsid w:val="3BD664F5"/>
    <w:rsid w:val="3BD67824"/>
    <w:rsid w:val="3BD6B862"/>
    <w:rsid w:val="3BD71BDB"/>
    <w:rsid w:val="3BD7B738"/>
    <w:rsid w:val="3BD7F0D8"/>
    <w:rsid w:val="3BD903DE"/>
    <w:rsid w:val="3BD9CA34"/>
    <w:rsid w:val="3BDA288D"/>
    <w:rsid w:val="3BDA6A85"/>
    <w:rsid w:val="3BDACCC5"/>
    <w:rsid w:val="3BDAFB94"/>
    <w:rsid w:val="3BDB4004"/>
    <w:rsid w:val="3BDBAD6F"/>
    <w:rsid w:val="3BDC47F6"/>
    <w:rsid w:val="3BDC8A9D"/>
    <w:rsid w:val="3BDD5AF4"/>
    <w:rsid w:val="3BDE4B25"/>
    <w:rsid w:val="3BDE55E2"/>
    <w:rsid w:val="3BE032F9"/>
    <w:rsid w:val="3BE09057"/>
    <w:rsid w:val="3BE124B1"/>
    <w:rsid w:val="3BE192A9"/>
    <w:rsid w:val="3BE1E39F"/>
    <w:rsid w:val="3BE24518"/>
    <w:rsid w:val="3BE24A11"/>
    <w:rsid w:val="3BE2F096"/>
    <w:rsid w:val="3BE2F5C1"/>
    <w:rsid w:val="3BE2FA8B"/>
    <w:rsid w:val="3BE41115"/>
    <w:rsid w:val="3BE68C30"/>
    <w:rsid w:val="3BE6CFF8"/>
    <w:rsid w:val="3BE885CA"/>
    <w:rsid w:val="3BE935ED"/>
    <w:rsid w:val="3BE98699"/>
    <w:rsid w:val="3BEA11C2"/>
    <w:rsid w:val="3BEBE2F8"/>
    <w:rsid w:val="3BEBFA0C"/>
    <w:rsid w:val="3BEE41C0"/>
    <w:rsid w:val="3BEF1987"/>
    <w:rsid w:val="3BEFB61B"/>
    <w:rsid w:val="3BEFD32E"/>
    <w:rsid w:val="3BF097DC"/>
    <w:rsid w:val="3BF13C4D"/>
    <w:rsid w:val="3BF1D8C4"/>
    <w:rsid w:val="3BF2C0E1"/>
    <w:rsid w:val="3BF5EBC8"/>
    <w:rsid w:val="3BF67141"/>
    <w:rsid w:val="3BF6839B"/>
    <w:rsid w:val="3BF70018"/>
    <w:rsid w:val="3BF7C222"/>
    <w:rsid w:val="3BF7C853"/>
    <w:rsid w:val="3BF7D427"/>
    <w:rsid w:val="3BF8094E"/>
    <w:rsid w:val="3BF811A6"/>
    <w:rsid w:val="3BF8D2AD"/>
    <w:rsid w:val="3BF8F71B"/>
    <w:rsid w:val="3BF967AF"/>
    <w:rsid w:val="3BF97268"/>
    <w:rsid w:val="3BF9727D"/>
    <w:rsid w:val="3BF9D259"/>
    <w:rsid w:val="3BF9ED64"/>
    <w:rsid w:val="3BFA0539"/>
    <w:rsid w:val="3BFA5996"/>
    <w:rsid w:val="3BFA783B"/>
    <w:rsid w:val="3BFA79E3"/>
    <w:rsid w:val="3BFABE00"/>
    <w:rsid w:val="3BFBB8E0"/>
    <w:rsid w:val="3BFBDAE4"/>
    <w:rsid w:val="3BFDCD5A"/>
    <w:rsid w:val="3BFE25D6"/>
    <w:rsid w:val="3BFE6165"/>
    <w:rsid w:val="3BFE9014"/>
    <w:rsid w:val="3BFF19ED"/>
    <w:rsid w:val="3BFF4AA7"/>
    <w:rsid w:val="3BFF761D"/>
    <w:rsid w:val="3BFF9018"/>
    <w:rsid w:val="3C0011CF"/>
    <w:rsid w:val="3C00F3E6"/>
    <w:rsid w:val="3C02066E"/>
    <w:rsid w:val="3C02B5FE"/>
    <w:rsid w:val="3C0434B9"/>
    <w:rsid w:val="3C0456E3"/>
    <w:rsid w:val="3C052534"/>
    <w:rsid w:val="3C055681"/>
    <w:rsid w:val="3C062A59"/>
    <w:rsid w:val="3C066898"/>
    <w:rsid w:val="3C069505"/>
    <w:rsid w:val="3C06AF06"/>
    <w:rsid w:val="3C06E3DE"/>
    <w:rsid w:val="3C0708E7"/>
    <w:rsid w:val="3C077762"/>
    <w:rsid w:val="3C07BD85"/>
    <w:rsid w:val="3C081EB0"/>
    <w:rsid w:val="3C0842FC"/>
    <w:rsid w:val="3C0896C1"/>
    <w:rsid w:val="3C09DA65"/>
    <w:rsid w:val="3C09EBBB"/>
    <w:rsid w:val="3C0A48AD"/>
    <w:rsid w:val="3C0B19F7"/>
    <w:rsid w:val="3C0B2506"/>
    <w:rsid w:val="3C0C9CFF"/>
    <w:rsid w:val="3C0D1860"/>
    <w:rsid w:val="3C0D5ACE"/>
    <w:rsid w:val="3C104A50"/>
    <w:rsid w:val="3C107006"/>
    <w:rsid w:val="3C1196E5"/>
    <w:rsid w:val="3C126329"/>
    <w:rsid w:val="3C12649C"/>
    <w:rsid w:val="3C128803"/>
    <w:rsid w:val="3C12E4F6"/>
    <w:rsid w:val="3C13753E"/>
    <w:rsid w:val="3C158DEB"/>
    <w:rsid w:val="3C1616A4"/>
    <w:rsid w:val="3C16958D"/>
    <w:rsid w:val="3C16CB80"/>
    <w:rsid w:val="3C173186"/>
    <w:rsid w:val="3C174338"/>
    <w:rsid w:val="3C18170D"/>
    <w:rsid w:val="3C185274"/>
    <w:rsid w:val="3C1AE612"/>
    <w:rsid w:val="3C1BC332"/>
    <w:rsid w:val="3C1BCB10"/>
    <w:rsid w:val="3C1BF23A"/>
    <w:rsid w:val="3C1C2D21"/>
    <w:rsid w:val="3C1CE73F"/>
    <w:rsid w:val="3C1D0112"/>
    <w:rsid w:val="3C1D6A7E"/>
    <w:rsid w:val="3C1D6B04"/>
    <w:rsid w:val="3C1E66E7"/>
    <w:rsid w:val="3C1E709F"/>
    <w:rsid w:val="3C1E7210"/>
    <w:rsid w:val="3C1E9C13"/>
    <w:rsid w:val="3C1ECB94"/>
    <w:rsid w:val="3C1F6B4D"/>
    <w:rsid w:val="3C2015BF"/>
    <w:rsid w:val="3C20950D"/>
    <w:rsid w:val="3C2169CA"/>
    <w:rsid w:val="3C222BEE"/>
    <w:rsid w:val="3C2230E4"/>
    <w:rsid w:val="3C224EE7"/>
    <w:rsid w:val="3C227DC4"/>
    <w:rsid w:val="3C22E6A0"/>
    <w:rsid w:val="3C2350F9"/>
    <w:rsid w:val="3C236F84"/>
    <w:rsid w:val="3C23BAFB"/>
    <w:rsid w:val="3C24219C"/>
    <w:rsid w:val="3C244C7D"/>
    <w:rsid w:val="3C246D40"/>
    <w:rsid w:val="3C249CB7"/>
    <w:rsid w:val="3C24F040"/>
    <w:rsid w:val="3C253DD9"/>
    <w:rsid w:val="3C25C59C"/>
    <w:rsid w:val="3C265F40"/>
    <w:rsid w:val="3C266CAA"/>
    <w:rsid w:val="3C2805F6"/>
    <w:rsid w:val="3C287ACF"/>
    <w:rsid w:val="3C291884"/>
    <w:rsid w:val="3C29219D"/>
    <w:rsid w:val="3C2950C4"/>
    <w:rsid w:val="3C29B3E4"/>
    <w:rsid w:val="3C2A124E"/>
    <w:rsid w:val="3C2A236E"/>
    <w:rsid w:val="3C2AA24D"/>
    <w:rsid w:val="3C2BB15E"/>
    <w:rsid w:val="3C2BD3E0"/>
    <w:rsid w:val="3C2BDBBE"/>
    <w:rsid w:val="3C2CA575"/>
    <w:rsid w:val="3C2D4B65"/>
    <w:rsid w:val="3C2D6B3E"/>
    <w:rsid w:val="3C2D9751"/>
    <w:rsid w:val="3C2E08F8"/>
    <w:rsid w:val="3C2F579C"/>
    <w:rsid w:val="3C303B62"/>
    <w:rsid w:val="3C305DD7"/>
    <w:rsid w:val="3C30DDCA"/>
    <w:rsid w:val="3C33F082"/>
    <w:rsid w:val="3C34870C"/>
    <w:rsid w:val="3C3494DE"/>
    <w:rsid w:val="3C34C8E1"/>
    <w:rsid w:val="3C353794"/>
    <w:rsid w:val="3C357666"/>
    <w:rsid w:val="3C357A33"/>
    <w:rsid w:val="3C35BA99"/>
    <w:rsid w:val="3C38461B"/>
    <w:rsid w:val="3C38DD1A"/>
    <w:rsid w:val="3C38F0EA"/>
    <w:rsid w:val="3C3927AC"/>
    <w:rsid w:val="3C39A0E1"/>
    <w:rsid w:val="3C3A9DFA"/>
    <w:rsid w:val="3C3B4ECF"/>
    <w:rsid w:val="3C3C37E2"/>
    <w:rsid w:val="3C3D2ED8"/>
    <w:rsid w:val="3C3ED847"/>
    <w:rsid w:val="3C40A00B"/>
    <w:rsid w:val="3C411192"/>
    <w:rsid w:val="3C413D41"/>
    <w:rsid w:val="3C418FC6"/>
    <w:rsid w:val="3C41AF73"/>
    <w:rsid w:val="3C42F13A"/>
    <w:rsid w:val="3C43F61C"/>
    <w:rsid w:val="3C440AAE"/>
    <w:rsid w:val="3C4415A9"/>
    <w:rsid w:val="3C4472F5"/>
    <w:rsid w:val="3C44CC1B"/>
    <w:rsid w:val="3C44EFA5"/>
    <w:rsid w:val="3C4546B7"/>
    <w:rsid w:val="3C457C4D"/>
    <w:rsid w:val="3C457CE7"/>
    <w:rsid w:val="3C465466"/>
    <w:rsid w:val="3C4686F3"/>
    <w:rsid w:val="3C46D912"/>
    <w:rsid w:val="3C471EC5"/>
    <w:rsid w:val="3C475973"/>
    <w:rsid w:val="3C48D597"/>
    <w:rsid w:val="3C48E2B8"/>
    <w:rsid w:val="3C49EBD0"/>
    <w:rsid w:val="3C4A7395"/>
    <w:rsid w:val="3C4A831C"/>
    <w:rsid w:val="3C4AB6D7"/>
    <w:rsid w:val="3C4BFB6E"/>
    <w:rsid w:val="3C4C30F0"/>
    <w:rsid w:val="3C4C7B95"/>
    <w:rsid w:val="3C4CD59B"/>
    <w:rsid w:val="3C4E35D8"/>
    <w:rsid w:val="3C4E6950"/>
    <w:rsid w:val="3C5026B6"/>
    <w:rsid w:val="3C5028ED"/>
    <w:rsid w:val="3C5043F9"/>
    <w:rsid w:val="3C505EC3"/>
    <w:rsid w:val="3C50839E"/>
    <w:rsid w:val="3C519D21"/>
    <w:rsid w:val="3C52683C"/>
    <w:rsid w:val="3C52D590"/>
    <w:rsid w:val="3C52FC97"/>
    <w:rsid w:val="3C538B9A"/>
    <w:rsid w:val="3C53DD53"/>
    <w:rsid w:val="3C54557F"/>
    <w:rsid w:val="3C54DC1F"/>
    <w:rsid w:val="3C55240A"/>
    <w:rsid w:val="3C552452"/>
    <w:rsid w:val="3C5674F8"/>
    <w:rsid w:val="3C56D9D8"/>
    <w:rsid w:val="3C56EFF8"/>
    <w:rsid w:val="3C576456"/>
    <w:rsid w:val="3C57ACB1"/>
    <w:rsid w:val="3C588DC4"/>
    <w:rsid w:val="3C590E2F"/>
    <w:rsid w:val="3C59522C"/>
    <w:rsid w:val="3C59A389"/>
    <w:rsid w:val="3C59F1BA"/>
    <w:rsid w:val="3C5A9CC2"/>
    <w:rsid w:val="3C5BACE8"/>
    <w:rsid w:val="3C5C3C5A"/>
    <w:rsid w:val="3C5E52E6"/>
    <w:rsid w:val="3C5EA50C"/>
    <w:rsid w:val="3C5F609F"/>
    <w:rsid w:val="3C5F9C68"/>
    <w:rsid w:val="3C5F9C93"/>
    <w:rsid w:val="3C5F9EC3"/>
    <w:rsid w:val="3C602F4E"/>
    <w:rsid w:val="3C609154"/>
    <w:rsid w:val="3C60E006"/>
    <w:rsid w:val="3C613A62"/>
    <w:rsid w:val="3C61A1D8"/>
    <w:rsid w:val="3C625986"/>
    <w:rsid w:val="3C62BA5E"/>
    <w:rsid w:val="3C642759"/>
    <w:rsid w:val="3C643709"/>
    <w:rsid w:val="3C644D9A"/>
    <w:rsid w:val="3C650861"/>
    <w:rsid w:val="3C6565B3"/>
    <w:rsid w:val="3C6606B2"/>
    <w:rsid w:val="3C67301A"/>
    <w:rsid w:val="3C67578F"/>
    <w:rsid w:val="3C6774D8"/>
    <w:rsid w:val="3C67C3A2"/>
    <w:rsid w:val="3C67FFCA"/>
    <w:rsid w:val="3C68C62F"/>
    <w:rsid w:val="3C6984D6"/>
    <w:rsid w:val="3C6A5F89"/>
    <w:rsid w:val="3C6A897A"/>
    <w:rsid w:val="3C6B3FCD"/>
    <w:rsid w:val="3C6BF174"/>
    <w:rsid w:val="3C6C0D90"/>
    <w:rsid w:val="3C6C1A21"/>
    <w:rsid w:val="3C6C701F"/>
    <w:rsid w:val="3C6C9CDF"/>
    <w:rsid w:val="3C6CF004"/>
    <w:rsid w:val="3C6DEA48"/>
    <w:rsid w:val="3C6E7548"/>
    <w:rsid w:val="3C6EAF0B"/>
    <w:rsid w:val="3C6EB767"/>
    <w:rsid w:val="3C6EE57C"/>
    <w:rsid w:val="3C6F3703"/>
    <w:rsid w:val="3C6F4171"/>
    <w:rsid w:val="3C717D4F"/>
    <w:rsid w:val="3C719040"/>
    <w:rsid w:val="3C7193E0"/>
    <w:rsid w:val="3C71A074"/>
    <w:rsid w:val="3C73D4C3"/>
    <w:rsid w:val="3C7655FF"/>
    <w:rsid w:val="3C767F6B"/>
    <w:rsid w:val="3C76D4D2"/>
    <w:rsid w:val="3C76DBDE"/>
    <w:rsid w:val="3C786476"/>
    <w:rsid w:val="3C79DE52"/>
    <w:rsid w:val="3C7C08C2"/>
    <w:rsid w:val="3C7C63C1"/>
    <w:rsid w:val="3C7CECC3"/>
    <w:rsid w:val="3C7D1A39"/>
    <w:rsid w:val="3C7DD1C7"/>
    <w:rsid w:val="3C7EC25A"/>
    <w:rsid w:val="3C7FBE1A"/>
    <w:rsid w:val="3C807C8E"/>
    <w:rsid w:val="3C80BD12"/>
    <w:rsid w:val="3C80DBF0"/>
    <w:rsid w:val="3C810C3C"/>
    <w:rsid w:val="3C810D66"/>
    <w:rsid w:val="3C81309D"/>
    <w:rsid w:val="3C81AC71"/>
    <w:rsid w:val="3C81CDC3"/>
    <w:rsid w:val="3C82253B"/>
    <w:rsid w:val="3C82D5A6"/>
    <w:rsid w:val="3C82EB25"/>
    <w:rsid w:val="3C8389FC"/>
    <w:rsid w:val="3C84C412"/>
    <w:rsid w:val="3C84E8F5"/>
    <w:rsid w:val="3C858CAF"/>
    <w:rsid w:val="3C85F476"/>
    <w:rsid w:val="3C85F71A"/>
    <w:rsid w:val="3C861D2D"/>
    <w:rsid w:val="3C8634F5"/>
    <w:rsid w:val="3C86959A"/>
    <w:rsid w:val="3C8846EB"/>
    <w:rsid w:val="3C88C022"/>
    <w:rsid w:val="3C894553"/>
    <w:rsid w:val="3C89B515"/>
    <w:rsid w:val="3C8C91E9"/>
    <w:rsid w:val="3C8D343B"/>
    <w:rsid w:val="3C8D9B9D"/>
    <w:rsid w:val="3C8D9FD4"/>
    <w:rsid w:val="3C8E1096"/>
    <w:rsid w:val="3C8ED7F0"/>
    <w:rsid w:val="3C8F43BA"/>
    <w:rsid w:val="3C8F9278"/>
    <w:rsid w:val="3C903BD9"/>
    <w:rsid w:val="3C90ED35"/>
    <w:rsid w:val="3C922752"/>
    <w:rsid w:val="3C929715"/>
    <w:rsid w:val="3C92C94B"/>
    <w:rsid w:val="3C93DA5F"/>
    <w:rsid w:val="3C9665E1"/>
    <w:rsid w:val="3C96D94C"/>
    <w:rsid w:val="3C976C40"/>
    <w:rsid w:val="3C978D99"/>
    <w:rsid w:val="3C97F6E8"/>
    <w:rsid w:val="3C9884F1"/>
    <w:rsid w:val="3C989F6A"/>
    <w:rsid w:val="3C994656"/>
    <w:rsid w:val="3C9AA3B8"/>
    <w:rsid w:val="3C9AD7C6"/>
    <w:rsid w:val="3C9C61D2"/>
    <w:rsid w:val="3C9CC03B"/>
    <w:rsid w:val="3C9DC694"/>
    <w:rsid w:val="3C9E3291"/>
    <w:rsid w:val="3C9E89C0"/>
    <w:rsid w:val="3C9EE2F6"/>
    <w:rsid w:val="3C9EE872"/>
    <w:rsid w:val="3C9F21AD"/>
    <w:rsid w:val="3C9FD601"/>
    <w:rsid w:val="3CA0E7D9"/>
    <w:rsid w:val="3CA1326E"/>
    <w:rsid w:val="3CA22C26"/>
    <w:rsid w:val="3CA26E16"/>
    <w:rsid w:val="3CA31802"/>
    <w:rsid w:val="3CA34A76"/>
    <w:rsid w:val="3CA3BD22"/>
    <w:rsid w:val="3CA3C83B"/>
    <w:rsid w:val="3CA3DC0D"/>
    <w:rsid w:val="3CA3FD2C"/>
    <w:rsid w:val="3CA4FC9F"/>
    <w:rsid w:val="3CA4FED5"/>
    <w:rsid w:val="3CA50545"/>
    <w:rsid w:val="3CA5946A"/>
    <w:rsid w:val="3CA5D58E"/>
    <w:rsid w:val="3CA6BB50"/>
    <w:rsid w:val="3CA712B0"/>
    <w:rsid w:val="3CA746F0"/>
    <w:rsid w:val="3CA7895D"/>
    <w:rsid w:val="3CA7F192"/>
    <w:rsid w:val="3CA8A00F"/>
    <w:rsid w:val="3CA9302F"/>
    <w:rsid w:val="3CA9560D"/>
    <w:rsid w:val="3CA995C6"/>
    <w:rsid w:val="3CA9F1AC"/>
    <w:rsid w:val="3CAA93A9"/>
    <w:rsid w:val="3CAC0299"/>
    <w:rsid w:val="3CACD50A"/>
    <w:rsid w:val="3CAEBC78"/>
    <w:rsid w:val="3CAFBF00"/>
    <w:rsid w:val="3CB1A293"/>
    <w:rsid w:val="3CB1C1E3"/>
    <w:rsid w:val="3CB20E90"/>
    <w:rsid w:val="3CB2E732"/>
    <w:rsid w:val="3CB31A22"/>
    <w:rsid w:val="3CB33469"/>
    <w:rsid w:val="3CB36798"/>
    <w:rsid w:val="3CB371F4"/>
    <w:rsid w:val="3CB43093"/>
    <w:rsid w:val="3CB48993"/>
    <w:rsid w:val="3CB4C971"/>
    <w:rsid w:val="3CB5146C"/>
    <w:rsid w:val="3CB5AE38"/>
    <w:rsid w:val="3CB800BC"/>
    <w:rsid w:val="3CB848DE"/>
    <w:rsid w:val="3CB9CCEC"/>
    <w:rsid w:val="3CBA675F"/>
    <w:rsid w:val="3CBAD34F"/>
    <w:rsid w:val="3CBB2538"/>
    <w:rsid w:val="3CBC5EA7"/>
    <w:rsid w:val="3CBD3388"/>
    <w:rsid w:val="3CBD3C1B"/>
    <w:rsid w:val="3CBD6496"/>
    <w:rsid w:val="3CBDB836"/>
    <w:rsid w:val="3CBEC240"/>
    <w:rsid w:val="3CBF705F"/>
    <w:rsid w:val="3CC0222D"/>
    <w:rsid w:val="3CC0AA71"/>
    <w:rsid w:val="3CC1183E"/>
    <w:rsid w:val="3CC1636F"/>
    <w:rsid w:val="3CC23FDA"/>
    <w:rsid w:val="3CC35CA8"/>
    <w:rsid w:val="3CC60C81"/>
    <w:rsid w:val="3CC62B0C"/>
    <w:rsid w:val="3CC6F04B"/>
    <w:rsid w:val="3CC7C6AE"/>
    <w:rsid w:val="3CC7EF7C"/>
    <w:rsid w:val="3CC82060"/>
    <w:rsid w:val="3CC83764"/>
    <w:rsid w:val="3CC94FD2"/>
    <w:rsid w:val="3CC9661F"/>
    <w:rsid w:val="3CC9A738"/>
    <w:rsid w:val="3CC9FF0D"/>
    <w:rsid w:val="3CCA63CB"/>
    <w:rsid w:val="3CCAFC09"/>
    <w:rsid w:val="3CCB1F40"/>
    <w:rsid w:val="3CCB43C2"/>
    <w:rsid w:val="3CCB93B7"/>
    <w:rsid w:val="3CCC3F33"/>
    <w:rsid w:val="3CCC9D32"/>
    <w:rsid w:val="3CCCAE86"/>
    <w:rsid w:val="3CCCB737"/>
    <w:rsid w:val="3CCDF22A"/>
    <w:rsid w:val="3CCE68E6"/>
    <w:rsid w:val="3CCF4700"/>
    <w:rsid w:val="3CCFEACD"/>
    <w:rsid w:val="3CD091A1"/>
    <w:rsid w:val="3CD16A72"/>
    <w:rsid w:val="3CD2CDAF"/>
    <w:rsid w:val="3CD2F215"/>
    <w:rsid w:val="3CD3D502"/>
    <w:rsid w:val="3CD41417"/>
    <w:rsid w:val="3CD42BD8"/>
    <w:rsid w:val="3CD450C3"/>
    <w:rsid w:val="3CD4E914"/>
    <w:rsid w:val="3CD629B7"/>
    <w:rsid w:val="3CD62E96"/>
    <w:rsid w:val="3CD64347"/>
    <w:rsid w:val="3CD67651"/>
    <w:rsid w:val="3CD6A9E6"/>
    <w:rsid w:val="3CD6B522"/>
    <w:rsid w:val="3CD70A47"/>
    <w:rsid w:val="3CD7674B"/>
    <w:rsid w:val="3CD7AC1E"/>
    <w:rsid w:val="3CD94DC2"/>
    <w:rsid w:val="3CDAF35A"/>
    <w:rsid w:val="3CDB405B"/>
    <w:rsid w:val="3CDBE5FC"/>
    <w:rsid w:val="3CDC6377"/>
    <w:rsid w:val="3CDCF889"/>
    <w:rsid w:val="3CDE90BE"/>
    <w:rsid w:val="3CDEEED8"/>
    <w:rsid w:val="3CDF27EE"/>
    <w:rsid w:val="3CDF3183"/>
    <w:rsid w:val="3CE06DF4"/>
    <w:rsid w:val="3CE0A820"/>
    <w:rsid w:val="3CE1A1D5"/>
    <w:rsid w:val="3CE256FA"/>
    <w:rsid w:val="3CE402B7"/>
    <w:rsid w:val="3CE44113"/>
    <w:rsid w:val="3CE52083"/>
    <w:rsid w:val="3CE5BEA5"/>
    <w:rsid w:val="3CE6E92C"/>
    <w:rsid w:val="3CE8C1D5"/>
    <w:rsid w:val="3CE90EFC"/>
    <w:rsid w:val="3CE97A55"/>
    <w:rsid w:val="3CEA20B7"/>
    <w:rsid w:val="3CEBDD6A"/>
    <w:rsid w:val="3CECD308"/>
    <w:rsid w:val="3CED582F"/>
    <w:rsid w:val="3CEE0ED9"/>
    <w:rsid w:val="3CEE7227"/>
    <w:rsid w:val="3CEF0AFF"/>
    <w:rsid w:val="3CEF570F"/>
    <w:rsid w:val="3CEFE411"/>
    <w:rsid w:val="3CF07A9A"/>
    <w:rsid w:val="3CF3477F"/>
    <w:rsid w:val="3CF3E7EB"/>
    <w:rsid w:val="3CF4F7B3"/>
    <w:rsid w:val="3CF57788"/>
    <w:rsid w:val="3CF61C9D"/>
    <w:rsid w:val="3CF65127"/>
    <w:rsid w:val="3CF693BD"/>
    <w:rsid w:val="3CF75937"/>
    <w:rsid w:val="3CF77997"/>
    <w:rsid w:val="3CF79AE1"/>
    <w:rsid w:val="3CF79CE0"/>
    <w:rsid w:val="3CF88404"/>
    <w:rsid w:val="3CF88F23"/>
    <w:rsid w:val="3CF8B558"/>
    <w:rsid w:val="3CF99769"/>
    <w:rsid w:val="3CFC4440"/>
    <w:rsid w:val="3CFDCE31"/>
    <w:rsid w:val="3CFDF46C"/>
    <w:rsid w:val="3CFEBA63"/>
    <w:rsid w:val="3CFEDBC6"/>
    <w:rsid w:val="3CFEF669"/>
    <w:rsid w:val="3CFF2869"/>
    <w:rsid w:val="3CFF8EBE"/>
    <w:rsid w:val="3CFF94F7"/>
    <w:rsid w:val="3CFFD64F"/>
    <w:rsid w:val="3CFFF6E8"/>
    <w:rsid w:val="3D021887"/>
    <w:rsid w:val="3D03D280"/>
    <w:rsid w:val="3D045B6B"/>
    <w:rsid w:val="3D0686B3"/>
    <w:rsid w:val="3D06EC7D"/>
    <w:rsid w:val="3D078541"/>
    <w:rsid w:val="3D084322"/>
    <w:rsid w:val="3D08F3EC"/>
    <w:rsid w:val="3D0962FC"/>
    <w:rsid w:val="3D0A9E60"/>
    <w:rsid w:val="3D0B160A"/>
    <w:rsid w:val="3D0BA13A"/>
    <w:rsid w:val="3D0C32C9"/>
    <w:rsid w:val="3D0C3801"/>
    <w:rsid w:val="3D0CBBAF"/>
    <w:rsid w:val="3D0CD86C"/>
    <w:rsid w:val="3D0CF8D0"/>
    <w:rsid w:val="3D0D3BA5"/>
    <w:rsid w:val="3D0D8DE7"/>
    <w:rsid w:val="3D0DBA76"/>
    <w:rsid w:val="3D0FB47D"/>
    <w:rsid w:val="3D0FC0C6"/>
    <w:rsid w:val="3D10440F"/>
    <w:rsid w:val="3D10C0E8"/>
    <w:rsid w:val="3D1100D4"/>
    <w:rsid w:val="3D111C74"/>
    <w:rsid w:val="3D1164A8"/>
    <w:rsid w:val="3D11EE9D"/>
    <w:rsid w:val="3D12402B"/>
    <w:rsid w:val="3D127E20"/>
    <w:rsid w:val="3D127F7A"/>
    <w:rsid w:val="3D129683"/>
    <w:rsid w:val="3D12FCB8"/>
    <w:rsid w:val="3D133598"/>
    <w:rsid w:val="3D133F6F"/>
    <w:rsid w:val="3D13D5FE"/>
    <w:rsid w:val="3D1424E2"/>
    <w:rsid w:val="3D1445A6"/>
    <w:rsid w:val="3D146B14"/>
    <w:rsid w:val="3D149936"/>
    <w:rsid w:val="3D14EDC4"/>
    <w:rsid w:val="3D14EEB8"/>
    <w:rsid w:val="3D161D7D"/>
    <w:rsid w:val="3D169581"/>
    <w:rsid w:val="3D1717ED"/>
    <w:rsid w:val="3D173ED8"/>
    <w:rsid w:val="3D187F4A"/>
    <w:rsid w:val="3D18AA12"/>
    <w:rsid w:val="3D18CCB8"/>
    <w:rsid w:val="3D196869"/>
    <w:rsid w:val="3D1989B5"/>
    <w:rsid w:val="3D1A12AC"/>
    <w:rsid w:val="3D1A4588"/>
    <w:rsid w:val="3D1AC634"/>
    <w:rsid w:val="3D1B3080"/>
    <w:rsid w:val="3D1BF162"/>
    <w:rsid w:val="3D1C5EAB"/>
    <w:rsid w:val="3D1C7656"/>
    <w:rsid w:val="3D1C799E"/>
    <w:rsid w:val="3D1C9713"/>
    <w:rsid w:val="3D1CB5EF"/>
    <w:rsid w:val="3D1D51BC"/>
    <w:rsid w:val="3D1E5459"/>
    <w:rsid w:val="3D1E556B"/>
    <w:rsid w:val="3D20395E"/>
    <w:rsid w:val="3D20BB77"/>
    <w:rsid w:val="3D214434"/>
    <w:rsid w:val="3D216933"/>
    <w:rsid w:val="3D21BFBF"/>
    <w:rsid w:val="3D220380"/>
    <w:rsid w:val="3D22F7B5"/>
    <w:rsid w:val="3D232D0B"/>
    <w:rsid w:val="3D235023"/>
    <w:rsid w:val="3D248F98"/>
    <w:rsid w:val="3D26B6F8"/>
    <w:rsid w:val="3D28BBAA"/>
    <w:rsid w:val="3D295FBC"/>
    <w:rsid w:val="3D2985F4"/>
    <w:rsid w:val="3D2A4393"/>
    <w:rsid w:val="3D2B5670"/>
    <w:rsid w:val="3D2BCA9C"/>
    <w:rsid w:val="3D2C0746"/>
    <w:rsid w:val="3D2CB91C"/>
    <w:rsid w:val="3D2D675F"/>
    <w:rsid w:val="3D2D72B2"/>
    <w:rsid w:val="3D2D8C7F"/>
    <w:rsid w:val="3D2E38A3"/>
    <w:rsid w:val="3D2E4950"/>
    <w:rsid w:val="3D2EA7FD"/>
    <w:rsid w:val="3D2ED530"/>
    <w:rsid w:val="3D2EDA46"/>
    <w:rsid w:val="3D2F43F8"/>
    <w:rsid w:val="3D2F6F60"/>
    <w:rsid w:val="3D2F8654"/>
    <w:rsid w:val="3D309058"/>
    <w:rsid w:val="3D310902"/>
    <w:rsid w:val="3D31451E"/>
    <w:rsid w:val="3D321565"/>
    <w:rsid w:val="3D3277B7"/>
    <w:rsid w:val="3D33E7F7"/>
    <w:rsid w:val="3D355D2B"/>
    <w:rsid w:val="3D35A08B"/>
    <w:rsid w:val="3D36001E"/>
    <w:rsid w:val="3D360A92"/>
    <w:rsid w:val="3D3705D3"/>
    <w:rsid w:val="3D379BFF"/>
    <w:rsid w:val="3D379E4D"/>
    <w:rsid w:val="3D38CE32"/>
    <w:rsid w:val="3D3903C7"/>
    <w:rsid w:val="3D39B688"/>
    <w:rsid w:val="3D3A063D"/>
    <w:rsid w:val="3D3A22D1"/>
    <w:rsid w:val="3D3A4A13"/>
    <w:rsid w:val="3D3AFDFD"/>
    <w:rsid w:val="3D3B80ED"/>
    <w:rsid w:val="3D3D0C7F"/>
    <w:rsid w:val="3D3E9D90"/>
    <w:rsid w:val="3D3F31A7"/>
    <w:rsid w:val="3D3FF884"/>
    <w:rsid w:val="3D40A38C"/>
    <w:rsid w:val="3D40D634"/>
    <w:rsid w:val="3D410E12"/>
    <w:rsid w:val="3D413164"/>
    <w:rsid w:val="3D4155A6"/>
    <w:rsid w:val="3D4171B2"/>
    <w:rsid w:val="3D433F2C"/>
    <w:rsid w:val="3D441013"/>
    <w:rsid w:val="3D4496E9"/>
    <w:rsid w:val="3D44CBE4"/>
    <w:rsid w:val="3D451BAE"/>
    <w:rsid w:val="3D45921D"/>
    <w:rsid w:val="3D45BA95"/>
    <w:rsid w:val="3D45CE03"/>
    <w:rsid w:val="3D46529F"/>
    <w:rsid w:val="3D477602"/>
    <w:rsid w:val="3D479A53"/>
    <w:rsid w:val="3D482879"/>
    <w:rsid w:val="3D48535F"/>
    <w:rsid w:val="3D489A71"/>
    <w:rsid w:val="3D48C853"/>
    <w:rsid w:val="3D48F032"/>
    <w:rsid w:val="3D4916C6"/>
    <w:rsid w:val="3D498833"/>
    <w:rsid w:val="3D49E5C3"/>
    <w:rsid w:val="3D4A6B53"/>
    <w:rsid w:val="3D4A8B8B"/>
    <w:rsid w:val="3D4ADF6F"/>
    <w:rsid w:val="3D4AFD5E"/>
    <w:rsid w:val="3D4B48B8"/>
    <w:rsid w:val="3D4CAD52"/>
    <w:rsid w:val="3D4D9BA9"/>
    <w:rsid w:val="3D4E984B"/>
    <w:rsid w:val="3D4F4A08"/>
    <w:rsid w:val="3D4FB028"/>
    <w:rsid w:val="3D500193"/>
    <w:rsid w:val="3D504D9D"/>
    <w:rsid w:val="3D518471"/>
    <w:rsid w:val="3D5205DC"/>
    <w:rsid w:val="3D536578"/>
    <w:rsid w:val="3D53DA95"/>
    <w:rsid w:val="3D544884"/>
    <w:rsid w:val="3D545F03"/>
    <w:rsid w:val="3D567527"/>
    <w:rsid w:val="3D56894A"/>
    <w:rsid w:val="3D5713D1"/>
    <w:rsid w:val="3D58ABCC"/>
    <w:rsid w:val="3D590690"/>
    <w:rsid w:val="3D599038"/>
    <w:rsid w:val="3D5A69D7"/>
    <w:rsid w:val="3D5A954E"/>
    <w:rsid w:val="3D5BF9E8"/>
    <w:rsid w:val="3D5C7BF0"/>
    <w:rsid w:val="3D5CACC6"/>
    <w:rsid w:val="3D5CEB35"/>
    <w:rsid w:val="3D5E8BAF"/>
    <w:rsid w:val="3D5ED236"/>
    <w:rsid w:val="3D5F32E0"/>
    <w:rsid w:val="3D5F348F"/>
    <w:rsid w:val="3D60567D"/>
    <w:rsid w:val="3D60B2F7"/>
    <w:rsid w:val="3D617EBE"/>
    <w:rsid w:val="3D61F039"/>
    <w:rsid w:val="3D6421FD"/>
    <w:rsid w:val="3D6451CD"/>
    <w:rsid w:val="3D646226"/>
    <w:rsid w:val="3D64E652"/>
    <w:rsid w:val="3D6569A7"/>
    <w:rsid w:val="3D67BF0A"/>
    <w:rsid w:val="3D67DD8E"/>
    <w:rsid w:val="3D68C0E9"/>
    <w:rsid w:val="3D691D75"/>
    <w:rsid w:val="3D693E87"/>
    <w:rsid w:val="3D6A8EFD"/>
    <w:rsid w:val="3D6B21AD"/>
    <w:rsid w:val="3D6B275A"/>
    <w:rsid w:val="3D6B66EA"/>
    <w:rsid w:val="3D6B7173"/>
    <w:rsid w:val="3D6C17F7"/>
    <w:rsid w:val="3D6C6866"/>
    <w:rsid w:val="3D6CC347"/>
    <w:rsid w:val="3D6CCA18"/>
    <w:rsid w:val="3D6D51CA"/>
    <w:rsid w:val="3D6D51D4"/>
    <w:rsid w:val="3D6D9DA6"/>
    <w:rsid w:val="3D6DA694"/>
    <w:rsid w:val="3D6DB03B"/>
    <w:rsid w:val="3D6F52DD"/>
    <w:rsid w:val="3D6F5AE7"/>
    <w:rsid w:val="3D6F8ECB"/>
    <w:rsid w:val="3D7089EE"/>
    <w:rsid w:val="3D70C7BB"/>
    <w:rsid w:val="3D7111AE"/>
    <w:rsid w:val="3D718D54"/>
    <w:rsid w:val="3D71D7E2"/>
    <w:rsid w:val="3D732AA3"/>
    <w:rsid w:val="3D73485A"/>
    <w:rsid w:val="3D747A08"/>
    <w:rsid w:val="3D7690D6"/>
    <w:rsid w:val="3D76E089"/>
    <w:rsid w:val="3D7713BB"/>
    <w:rsid w:val="3D772D1D"/>
    <w:rsid w:val="3D773530"/>
    <w:rsid w:val="3D792F53"/>
    <w:rsid w:val="3D7A0710"/>
    <w:rsid w:val="3D7A9BCC"/>
    <w:rsid w:val="3D7ADC13"/>
    <w:rsid w:val="3D7B8B3D"/>
    <w:rsid w:val="3D7E35BC"/>
    <w:rsid w:val="3D7E83D4"/>
    <w:rsid w:val="3D7ED1E2"/>
    <w:rsid w:val="3D7EEA1A"/>
    <w:rsid w:val="3D7FAAA8"/>
    <w:rsid w:val="3D7FAB89"/>
    <w:rsid w:val="3D8048E7"/>
    <w:rsid w:val="3D81D056"/>
    <w:rsid w:val="3D820AF8"/>
    <w:rsid w:val="3D822C7A"/>
    <w:rsid w:val="3D82D248"/>
    <w:rsid w:val="3D82E8C3"/>
    <w:rsid w:val="3D843DA3"/>
    <w:rsid w:val="3D84C682"/>
    <w:rsid w:val="3D84D50C"/>
    <w:rsid w:val="3D8554E7"/>
    <w:rsid w:val="3D859B7F"/>
    <w:rsid w:val="3D85A60B"/>
    <w:rsid w:val="3D85AD53"/>
    <w:rsid w:val="3D864799"/>
    <w:rsid w:val="3D877B85"/>
    <w:rsid w:val="3D884FAC"/>
    <w:rsid w:val="3D88F428"/>
    <w:rsid w:val="3D899602"/>
    <w:rsid w:val="3D8A4757"/>
    <w:rsid w:val="3D8C4261"/>
    <w:rsid w:val="3D8C4B4F"/>
    <w:rsid w:val="3D8C57FF"/>
    <w:rsid w:val="3D8D77E2"/>
    <w:rsid w:val="3D8E9CDA"/>
    <w:rsid w:val="3D8FAE0D"/>
    <w:rsid w:val="3D8FC526"/>
    <w:rsid w:val="3D9039C7"/>
    <w:rsid w:val="3D9102EB"/>
    <w:rsid w:val="3D911A0C"/>
    <w:rsid w:val="3D918188"/>
    <w:rsid w:val="3D919939"/>
    <w:rsid w:val="3D91E3A9"/>
    <w:rsid w:val="3D921ED2"/>
    <w:rsid w:val="3D930502"/>
    <w:rsid w:val="3D93FE40"/>
    <w:rsid w:val="3D941745"/>
    <w:rsid w:val="3D953986"/>
    <w:rsid w:val="3D95485D"/>
    <w:rsid w:val="3D958076"/>
    <w:rsid w:val="3D96A144"/>
    <w:rsid w:val="3D97C961"/>
    <w:rsid w:val="3D97CB2E"/>
    <w:rsid w:val="3D98E1F4"/>
    <w:rsid w:val="3D98F24E"/>
    <w:rsid w:val="3D996918"/>
    <w:rsid w:val="3D9A2387"/>
    <w:rsid w:val="3D9A8D42"/>
    <w:rsid w:val="3D9A91F4"/>
    <w:rsid w:val="3D9AB449"/>
    <w:rsid w:val="3D9B21EE"/>
    <w:rsid w:val="3D9C3023"/>
    <w:rsid w:val="3D9C3972"/>
    <w:rsid w:val="3D9CC0B0"/>
    <w:rsid w:val="3D9DBEAA"/>
    <w:rsid w:val="3D9E2AD8"/>
    <w:rsid w:val="3D9E4801"/>
    <w:rsid w:val="3D9E5B57"/>
    <w:rsid w:val="3D9F1537"/>
    <w:rsid w:val="3D9F3498"/>
    <w:rsid w:val="3DA094C1"/>
    <w:rsid w:val="3DA1D509"/>
    <w:rsid w:val="3DA22CD9"/>
    <w:rsid w:val="3DA317C4"/>
    <w:rsid w:val="3DA36237"/>
    <w:rsid w:val="3DA3B3EA"/>
    <w:rsid w:val="3DA47AE9"/>
    <w:rsid w:val="3DA48789"/>
    <w:rsid w:val="3DA49CDB"/>
    <w:rsid w:val="3DA5E04D"/>
    <w:rsid w:val="3DA81FB9"/>
    <w:rsid w:val="3DA91CD2"/>
    <w:rsid w:val="3DA96947"/>
    <w:rsid w:val="3DAAA36E"/>
    <w:rsid w:val="3DAC5C84"/>
    <w:rsid w:val="3DACA1D0"/>
    <w:rsid w:val="3DACD705"/>
    <w:rsid w:val="3DAEFBF2"/>
    <w:rsid w:val="3DAF7506"/>
    <w:rsid w:val="3DB03564"/>
    <w:rsid w:val="3DB19EA3"/>
    <w:rsid w:val="3DB1ED4C"/>
    <w:rsid w:val="3DB2345B"/>
    <w:rsid w:val="3DB238DC"/>
    <w:rsid w:val="3DB28195"/>
    <w:rsid w:val="3DB338F6"/>
    <w:rsid w:val="3DB386CD"/>
    <w:rsid w:val="3DB3F0AF"/>
    <w:rsid w:val="3DB43C14"/>
    <w:rsid w:val="3DB4C478"/>
    <w:rsid w:val="3DB50D02"/>
    <w:rsid w:val="3DB59378"/>
    <w:rsid w:val="3DB59934"/>
    <w:rsid w:val="3DB5FC4D"/>
    <w:rsid w:val="3DB698F2"/>
    <w:rsid w:val="3DB766D5"/>
    <w:rsid w:val="3DB832AC"/>
    <w:rsid w:val="3DB87486"/>
    <w:rsid w:val="3DB8B5A4"/>
    <w:rsid w:val="3DB8C3A4"/>
    <w:rsid w:val="3DB97547"/>
    <w:rsid w:val="3DBAFA1F"/>
    <w:rsid w:val="3DBB3FFB"/>
    <w:rsid w:val="3DBB943F"/>
    <w:rsid w:val="3DBBB8E6"/>
    <w:rsid w:val="3DBC02F4"/>
    <w:rsid w:val="3DBC1224"/>
    <w:rsid w:val="3DBE5FBE"/>
    <w:rsid w:val="3DBEE46D"/>
    <w:rsid w:val="3DBF6BD5"/>
    <w:rsid w:val="3DBF6C40"/>
    <w:rsid w:val="3DBFA04A"/>
    <w:rsid w:val="3DBFBA79"/>
    <w:rsid w:val="3DC15636"/>
    <w:rsid w:val="3DC3456A"/>
    <w:rsid w:val="3DC4DB69"/>
    <w:rsid w:val="3DC55765"/>
    <w:rsid w:val="3DC65F32"/>
    <w:rsid w:val="3DC6FFE1"/>
    <w:rsid w:val="3DC72A37"/>
    <w:rsid w:val="3DC74F35"/>
    <w:rsid w:val="3DC7A153"/>
    <w:rsid w:val="3DC7E743"/>
    <w:rsid w:val="3DC802B5"/>
    <w:rsid w:val="3DC8878D"/>
    <w:rsid w:val="3DC94A4B"/>
    <w:rsid w:val="3DC990D0"/>
    <w:rsid w:val="3DCA0662"/>
    <w:rsid w:val="3DCA5BD0"/>
    <w:rsid w:val="3DCAB04F"/>
    <w:rsid w:val="3DCAF287"/>
    <w:rsid w:val="3DCB1A22"/>
    <w:rsid w:val="3DCB34AF"/>
    <w:rsid w:val="3DCB7CAF"/>
    <w:rsid w:val="3DCBBFCE"/>
    <w:rsid w:val="3DCC1D35"/>
    <w:rsid w:val="3DCC4F68"/>
    <w:rsid w:val="3DCCF95A"/>
    <w:rsid w:val="3DCD3CA4"/>
    <w:rsid w:val="3DCD43EF"/>
    <w:rsid w:val="3DCDEE0A"/>
    <w:rsid w:val="3DCE0753"/>
    <w:rsid w:val="3DCE1898"/>
    <w:rsid w:val="3DCEC7FC"/>
    <w:rsid w:val="3DCEE236"/>
    <w:rsid w:val="3DD07A69"/>
    <w:rsid w:val="3DD08E04"/>
    <w:rsid w:val="3DD0C51E"/>
    <w:rsid w:val="3DD2384F"/>
    <w:rsid w:val="3DD25818"/>
    <w:rsid w:val="3DD2B680"/>
    <w:rsid w:val="3DD2DB7C"/>
    <w:rsid w:val="3DD3234D"/>
    <w:rsid w:val="3DD36747"/>
    <w:rsid w:val="3DD37FC9"/>
    <w:rsid w:val="3DD6BCC5"/>
    <w:rsid w:val="3DD6EEC7"/>
    <w:rsid w:val="3DD79544"/>
    <w:rsid w:val="3DD8EA61"/>
    <w:rsid w:val="3DD92D89"/>
    <w:rsid w:val="3DDA1D7C"/>
    <w:rsid w:val="3DDA285F"/>
    <w:rsid w:val="3DDA4905"/>
    <w:rsid w:val="3DDA4EAC"/>
    <w:rsid w:val="3DDEF7A3"/>
    <w:rsid w:val="3DDF71D7"/>
    <w:rsid w:val="3DDFC75F"/>
    <w:rsid w:val="3DDFD867"/>
    <w:rsid w:val="3DE08B3D"/>
    <w:rsid w:val="3DE0B599"/>
    <w:rsid w:val="3DE1A5AF"/>
    <w:rsid w:val="3DE340A5"/>
    <w:rsid w:val="3DE36294"/>
    <w:rsid w:val="3DE41094"/>
    <w:rsid w:val="3DE41A72"/>
    <w:rsid w:val="3DE4D8EA"/>
    <w:rsid w:val="3DE54892"/>
    <w:rsid w:val="3DE85644"/>
    <w:rsid w:val="3DE941C6"/>
    <w:rsid w:val="3DEA9C97"/>
    <w:rsid w:val="3DEB10F2"/>
    <w:rsid w:val="3DEB4C6B"/>
    <w:rsid w:val="3DEB8D91"/>
    <w:rsid w:val="3DEBFFC1"/>
    <w:rsid w:val="3DECD3F1"/>
    <w:rsid w:val="3DEDBED2"/>
    <w:rsid w:val="3DEE2DCD"/>
    <w:rsid w:val="3DEE4214"/>
    <w:rsid w:val="3DEE4F9B"/>
    <w:rsid w:val="3DEE8194"/>
    <w:rsid w:val="3DEE8F86"/>
    <w:rsid w:val="3DEFF488"/>
    <w:rsid w:val="3DF05C98"/>
    <w:rsid w:val="3DF0693D"/>
    <w:rsid w:val="3DF0A694"/>
    <w:rsid w:val="3DF0AC80"/>
    <w:rsid w:val="3DF13503"/>
    <w:rsid w:val="3DF21E47"/>
    <w:rsid w:val="3DF23695"/>
    <w:rsid w:val="3DF25F51"/>
    <w:rsid w:val="3DF26C29"/>
    <w:rsid w:val="3DF292BB"/>
    <w:rsid w:val="3DF2BAAC"/>
    <w:rsid w:val="3DF308E9"/>
    <w:rsid w:val="3DF3890C"/>
    <w:rsid w:val="3DF5AA93"/>
    <w:rsid w:val="3DF71A50"/>
    <w:rsid w:val="3DF722E1"/>
    <w:rsid w:val="3DF79BB9"/>
    <w:rsid w:val="3DF7D049"/>
    <w:rsid w:val="3DF8C2A0"/>
    <w:rsid w:val="3DF8E116"/>
    <w:rsid w:val="3DF8E1F7"/>
    <w:rsid w:val="3DF9559F"/>
    <w:rsid w:val="3DF9A68D"/>
    <w:rsid w:val="3DF9EAC8"/>
    <w:rsid w:val="3DFA8105"/>
    <w:rsid w:val="3DFAA040"/>
    <w:rsid w:val="3DFB8547"/>
    <w:rsid w:val="3DFC5A62"/>
    <w:rsid w:val="3DFC66BA"/>
    <w:rsid w:val="3DFF8A88"/>
    <w:rsid w:val="3E0021EE"/>
    <w:rsid w:val="3E0057A7"/>
    <w:rsid w:val="3E006FAF"/>
    <w:rsid w:val="3E018756"/>
    <w:rsid w:val="3E0277E2"/>
    <w:rsid w:val="3E02A742"/>
    <w:rsid w:val="3E02F2E6"/>
    <w:rsid w:val="3E0359CE"/>
    <w:rsid w:val="3E03943C"/>
    <w:rsid w:val="3E049B29"/>
    <w:rsid w:val="3E0571C9"/>
    <w:rsid w:val="3E0697DA"/>
    <w:rsid w:val="3E06B3DA"/>
    <w:rsid w:val="3E06BDE7"/>
    <w:rsid w:val="3E083DAE"/>
    <w:rsid w:val="3E086C62"/>
    <w:rsid w:val="3E08740F"/>
    <w:rsid w:val="3E08EBD5"/>
    <w:rsid w:val="3E091CC0"/>
    <w:rsid w:val="3E0B07D3"/>
    <w:rsid w:val="3E0B2FFE"/>
    <w:rsid w:val="3E0B541A"/>
    <w:rsid w:val="3E0B7201"/>
    <w:rsid w:val="3E0BC283"/>
    <w:rsid w:val="3E0BD4A9"/>
    <w:rsid w:val="3E0CE1DD"/>
    <w:rsid w:val="3E0CF0E4"/>
    <w:rsid w:val="3E0CFB75"/>
    <w:rsid w:val="3E0F0317"/>
    <w:rsid w:val="3E0F3B59"/>
    <w:rsid w:val="3E0FD688"/>
    <w:rsid w:val="3E1003DE"/>
    <w:rsid w:val="3E1015D7"/>
    <w:rsid w:val="3E106F89"/>
    <w:rsid w:val="3E10869C"/>
    <w:rsid w:val="3E11CEFD"/>
    <w:rsid w:val="3E11F439"/>
    <w:rsid w:val="3E1268FF"/>
    <w:rsid w:val="3E144802"/>
    <w:rsid w:val="3E145EE9"/>
    <w:rsid w:val="3E14E08D"/>
    <w:rsid w:val="3E16250A"/>
    <w:rsid w:val="3E16441B"/>
    <w:rsid w:val="3E16BF8E"/>
    <w:rsid w:val="3E1783DF"/>
    <w:rsid w:val="3E1799DF"/>
    <w:rsid w:val="3E1805B1"/>
    <w:rsid w:val="3E18A2CE"/>
    <w:rsid w:val="3E1956D0"/>
    <w:rsid w:val="3E19AFF6"/>
    <w:rsid w:val="3E19CAF4"/>
    <w:rsid w:val="3E19E074"/>
    <w:rsid w:val="3E1B30E3"/>
    <w:rsid w:val="3E1C2076"/>
    <w:rsid w:val="3E1C3FB8"/>
    <w:rsid w:val="3E1C5C2D"/>
    <w:rsid w:val="3E1C68AA"/>
    <w:rsid w:val="3E1C924B"/>
    <w:rsid w:val="3E1D5CCE"/>
    <w:rsid w:val="3E1DAB14"/>
    <w:rsid w:val="3E1DCFBF"/>
    <w:rsid w:val="3E1E2880"/>
    <w:rsid w:val="3E202604"/>
    <w:rsid w:val="3E20BBB6"/>
    <w:rsid w:val="3E211A36"/>
    <w:rsid w:val="3E2240B6"/>
    <w:rsid w:val="3E226401"/>
    <w:rsid w:val="3E233C13"/>
    <w:rsid w:val="3E23AE45"/>
    <w:rsid w:val="3E23F9AB"/>
    <w:rsid w:val="3E248568"/>
    <w:rsid w:val="3E2497BC"/>
    <w:rsid w:val="3E259044"/>
    <w:rsid w:val="3E25C584"/>
    <w:rsid w:val="3E26C678"/>
    <w:rsid w:val="3E280F41"/>
    <w:rsid w:val="3E28CD01"/>
    <w:rsid w:val="3E299C4C"/>
    <w:rsid w:val="3E2AF9F3"/>
    <w:rsid w:val="3E2C225C"/>
    <w:rsid w:val="3E2C2595"/>
    <w:rsid w:val="3E2C3D1B"/>
    <w:rsid w:val="3E2C5735"/>
    <w:rsid w:val="3E2C7D9B"/>
    <w:rsid w:val="3E2E28BD"/>
    <w:rsid w:val="3E2FA0A8"/>
    <w:rsid w:val="3E3160E4"/>
    <w:rsid w:val="3E323261"/>
    <w:rsid w:val="3E32750E"/>
    <w:rsid w:val="3E32B2D3"/>
    <w:rsid w:val="3E336812"/>
    <w:rsid w:val="3E344FEA"/>
    <w:rsid w:val="3E346970"/>
    <w:rsid w:val="3E34DA94"/>
    <w:rsid w:val="3E360079"/>
    <w:rsid w:val="3E374FAD"/>
    <w:rsid w:val="3E385159"/>
    <w:rsid w:val="3E385AA6"/>
    <w:rsid w:val="3E39BDA2"/>
    <w:rsid w:val="3E3A8681"/>
    <w:rsid w:val="3E3AB4F5"/>
    <w:rsid w:val="3E3C14CF"/>
    <w:rsid w:val="3E3C2A00"/>
    <w:rsid w:val="3E3D3DA4"/>
    <w:rsid w:val="3E3E804E"/>
    <w:rsid w:val="3E3FAB3E"/>
    <w:rsid w:val="3E3FCAF9"/>
    <w:rsid w:val="3E40A669"/>
    <w:rsid w:val="3E42EA4E"/>
    <w:rsid w:val="3E450C76"/>
    <w:rsid w:val="3E458F0D"/>
    <w:rsid w:val="3E46B934"/>
    <w:rsid w:val="3E4727D4"/>
    <w:rsid w:val="3E48A8B6"/>
    <w:rsid w:val="3E490C98"/>
    <w:rsid w:val="3E495FE2"/>
    <w:rsid w:val="3E49E386"/>
    <w:rsid w:val="3E4A2B3F"/>
    <w:rsid w:val="3E4B39A6"/>
    <w:rsid w:val="3E4B7090"/>
    <w:rsid w:val="3E4C1B7E"/>
    <w:rsid w:val="3E4C5DD0"/>
    <w:rsid w:val="3E4CE46E"/>
    <w:rsid w:val="3E4D176F"/>
    <w:rsid w:val="3E4E84A3"/>
    <w:rsid w:val="3E4EF6E4"/>
    <w:rsid w:val="3E4F3C11"/>
    <w:rsid w:val="3E4FBCF7"/>
    <w:rsid w:val="3E4FE32C"/>
    <w:rsid w:val="3E500661"/>
    <w:rsid w:val="3E500699"/>
    <w:rsid w:val="3E5061E1"/>
    <w:rsid w:val="3E50F6F2"/>
    <w:rsid w:val="3E518149"/>
    <w:rsid w:val="3E527B35"/>
    <w:rsid w:val="3E528E8A"/>
    <w:rsid w:val="3E5337A3"/>
    <w:rsid w:val="3E533FFC"/>
    <w:rsid w:val="3E537B39"/>
    <w:rsid w:val="3E53EA25"/>
    <w:rsid w:val="3E53FC82"/>
    <w:rsid w:val="3E54F525"/>
    <w:rsid w:val="3E559E26"/>
    <w:rsid w:val="3E55E19B"/>
    <w:rsid w:val="3E55E522"/>
    <w:rsid w:val="3E5607AB"/>
    <w:rsid w:val="3E575076"/>
    <w:rsid w:val="3E575B79"/>
    <w:rsid w:val="3E579752"/>
    <w:rsid w:val="3E5936E4"/>
    <w:rsid w:val="3E5A4D49"/>
    <w:rsid w:val="3E5ABC05"/>
    <w:rsid w:val="3E5B375E"/>
    <w:rsid w:val="3E5BA858"/>
    <w:rsid w:val="3E5BE04D"/>
    <w:rsid w:val="3E5C2A9E"/>
    <w:rsid w:val="3E5CDB60"/>
    <w:rsid w:val="3E5E77B2"/>
    <w:rsid w:val="3E5EEB46"/>
    <w:rsid w:val="3E60687F"/>
    <w:rsid w:val="3E61175E"/>
    <w:rsid w:val="3E62C0C4"/>
    <w:rsid w:val="3E62CE25"/>
    <w:rsid w:val="3E62FFCD"/>
    <w:rsid w:val="3E642B79"/>
    <w:rsid w:val="3E663AC1"/>
    <w:rsid w:val="3E66CE1C"/>
    <w:rsid w:val="3E6700C7"/>
    <w:rsid w:val="3E6741D5"/>
    <w:rsid w:val="3E681979"/>
    <w:rsid w:val="3E68E7FD"/>
    <w:rsid w:val="3E690C79"/>
    <w:rsid w:val="3E6A2A19"/>
    <w:rsid w:val="3E6A7F53"/>
    <w:rsid w:val="3E6ACE34"/>
    <w:rsid w:val="3E6D2B1B"/>
    <w:rsid w:val="3E6E6654"/>
    <w:rsid w:val="3E6EE155"/>
    <w:rsid w:val="3E6EED5B"/>
    <w:rsid w:val="3E6FFA76"/>
    <w:rsid w:val="3E70D407"/>
    <w:rsid w:val="3E710068"/>
    <w:rsid w:val="3E712B72"/>
    <w:rsid w:val="3E71D76B"/>
    <w:rsid w:val="3E724D83"/>
    <w:rsid w:val="3E727B24"/>
    <w:rsid w:val="3E731031"/>
    <w:rsid w:val="3E731A19"/>
    <w:rsid w:val="3E7535BD"/>
    <w:rsid w:val="3E76298A"/>
    <w:rsid w:val="3E773124"/>
    <w:rsid w:val="3E775EB5"/>
    <w:rsid w:val="3E779615"/>
    <w:rsid w:val="3E779823"/>
    <w:rsid w:val="3E785E6A"/>
    <w:rsid w:val="3E78675B"/>
    <w:rsid w:val="3E78DE56"/>
    <w:rsid w:val="3E7906C7"/>
    <w:rsid w:val="3E7A8875"/>
    <w:rsid w:val="3E7B012F"/>
    <w:rsid w:val="3E7CAA78"/>
    <w:rsid w:val="3E7D8440"/>
    <w:rsid w:val="3E7E4594"/>
    <w:rsid w:val="3E7E787B"/>
    <w:rsid w:val="3E7F88FB"/>
    <w:rsid w:val="3E7F91C3"/>
    <w:rsid w:val="3E7FAED8"/>
    <w:rsid w:val="3E7FB279"/>
    <w:rsid w:val="3E7FBDD9"/>
    <w:rsid w:val="3E8000C0"/>
    <w:rsid w:val="3E807EB8"/>
    <w:rsid w:val="3E80C90E"/>
    <w:rsid w:val="3E80E567"/>
    <w:rsid w:val="3E816B0F"/>
    <w:rsid w:val="3E81A45A"/>
    <w:rsid w:val="3E824AD8"/>
    <w:rsid w:val="3E82B04E"/>
    <w:rsid w:val="3E83ED6C"/>
    <w:rsid w:val="3E83FA46"/>
    <w:rsid w:val="3E84885B"/>
    <w:rsid w:val="3E84995D"/>
    <w:rsid w:val="3E84D131"/>
    <w:rsid w:val="3E8544D5"/>
    <w:rsid w:val="3E879D5D"/>
    <w:rsid w:val="3E87E28B"/>
    <w:rsid w:val="3E88849D"/>
    <w:rsid w:val="3E88CE24"/>
    <w:rsid w:val="3E8ACF7A"/>
    <w:rsid w:val="3E8ADCD2"/>
    <w:rsid w:val="3E8B5CFB"/>
    <w:rsid w:val="3E8B6D8F"/>
    <w:rsid w:val="3E8BC84B"/>
    <w:rsid w:val="3E8BCDB7"/>
    <w:rsid w:val="3E8DE0BE"/>
    <w:rsid w:val="3E8E2C9D"/>
    <w:rsid w:val="3E8ED50F"/>
    <w:rsid w:val="3E8EF94A"/>
    <w:rsid w:val="3E8F0FBF"/>
    <w:rsid w:val="3E8F4F85"/>
    <w:rsid w:val="3E8FAA8F"/>
    <w:rsid w:val="3E8FD603"/>
    <w:rsid w:val="3E900527"/>
    <w:rsid w:val="3E90C3D7"/>
    <w:rsid w:val="3E921BE3"/>
    <w:rsid w:val="3E926ADE"/>
    <w:rsid w:val="3E928DD3"/>
    <w:rsid w:val="3E931D46"/>
    <w:rsid w:val="3E93A625"/>
    <w:rsid w:val="3E962C61"/>
    <w:rsid w:val="3E97B4EC"/>
    <w:rsid w:val="3E97EED1"/>
    <w:rsid w:val="3E980CC9"/>
    <w:rsid w:val="3E983C54"/>
    <w:rsid w:val="3E989B89"/>
    <w:rsid w:val="3E98A9DF"/>
    <w:rsid w:val="3E996E0C"/>
    <w:rsid w:val="3E999852"/>
    <w:rsid w:val="3E99E8DE"/>
    <w:rsid w:val="3E9ABC22"/>
    <w:rsid w:val="3E9BCE49"/>
    <w:rsid w:val="3E9C3369"/>
    <w:rsid w:val="3E9C4738"/>
    <w:rsid w:val="3E9C5B14"/>
    <w:rsid w:val="3E9D1CB1"/>
    <w:rsid w:val="3E9D2957"/>
    <w:rsid w:val="3E9DB8C0"/>
    <w:rsid w:val="3E9DC307"/>
    <w:rsid w:val="3E9DC638"/>
    <w:rsid w:val="3E9E5237"/>
    <w:rsid w:val="3E9EBD00"/>
    <w:rsid w:val="3E9EF8A7"/>
    <w:rsid w:val="3E9F7D2A"/>
    <w:rsid w:val="3E9F834A"/>
    <w:rsid w:val="3E9F9EB5"/>
    <w:rsid w:val="3EA05294"/>
    <w:rsid w:val="3EA0FB73"/>
    <w:rsid w:val="3EA10841"/>
    <w:rsid w:val="3EA11662"/>
    <w:rsid w:val="3EA14C70"/>
    <w:rsid w:val="3EA2C395"/>
    <w:rsid w:val="3EA2D175"/>
    <w:rsid w:val="3EA35066"/>
    <w:rsid w:val="3EA37BC9"/>
    <w:rsid w:val="3EA39874"/>
    <w:rsid w:val="3EA51D62"/>
    <w:rsid w:val="3EA53DE7"/>
    <w:rsid w:val="3EA61336"/>
    <w:rsid w:val="3EA6B8F3"/>
    <w:rsid w:val="3EA794C5"/>
    <w:rsid w:val="3EA917D1"/>
    <w:rsid w:val="3EAA248B"/>
    <w:rsid w:val="3EAA7D7D"/>
    <w:rsid w:val="3EAB662F"/>
    <w:rsid w:val="3EABFE8C"/>
    <w:rsid w:val="3EAD9225"/>
    <w:rsid w:val="3EADB0A3"/>
    <w:rsid w:val="3EAEE016"/>
    <w:rsid w:val="3EB086E8"/>
    <w:rsid w:val="3EB16CD8"/>
    <w:rsid w:val="3EB23556"/>
    <w:rsid w:val="3EB299AF"/>
    <w:rsid w:val="3EB2C332"/>
    <w:rsid w:val="3EB3FFD8"/>
    <w:rsid w:val="3EB45C37"/>
    <w:rsid w:val="3EB49EF3"/>
    <w:rsid w:val="3EB61EFF"/>
    <w:rsid w:val="3EB62418"/>
    <w:rsid w:val="3EB64874"/>
    <w:rsid w:val="3EB6D7C9"/>
    <w:rsid w:val="3EB73CCC"/>
    <w:rsid w:val="3EB7A980"/>
    <w:rsid w:val="3EB82BC9"/>
    <w:rsid w:val="3EB83086"/>
    <w:rsid w:val="3EB8B4D9"/>
    <w:rsid w:val="3EB8C5DF"/>
    <w:rsid w:val="3EB917D9"/>
    <w:rsid w:val="3EB99994"/>
    <w:rsid w:val="3EB9FDCD"/>
    <w:rsid w:val="3EBC3893"/>
    <w:rsid w:val="3EBC4D16"/>
    <w:rsid w:val="3EBC5061"/>
    <w:rsid w:val="3EBD403F"/>
    <w:rsid w:val="3EBD58EC"/>
    <w:rsid w:val="3EBDC5E7"/>
    <w:rsid w:val="3EBE32AC"/>
    <w:rsid w:val="3EBEC790"/>
    <w:rsid w:val="3EC04B2D"/>
    <w:rsid w:val="3EC06971"/>
    <w:rsid w:val="3EC080D7"/>
    <w:rsid w:val="3EC16770"/>
    <w:rsid w:val="3EC1A175"/>
    <w:rsid w:val="3EC1A3C4"/>
    <w:rsid w:val="3EC1CCEC"/>
    <w:rsid w:val="3EC1E654"/>
    <w:rsid w:val="3EC2958A"/>
    <w:rsid w:val="3EC39513"/>
    <w:rsid w:val="3EC45DB1"/>
    <w:rsid w:val="3EC76089"/>
    <w:rsid w:val="3EC788C7"/>
    <w:rsid w:val="3EC7A988"/>
    <w:rsid w:val="3EC832ED"/>
    <w:rsid w:val="3EC847AC"/>
    <w:rsid w:val="3EC870AB"/>
    <w:rsid w:val="3EC9B4ED"/>
    <w:rsid w:val="3ECA0904"/>
    <w:rsid w:val="3ECA418F"/>
    <w:rsid w:val="3ECAC1E0"/>
    <w:rsid w:val="3ECB1AA1"/>
    <w:rsid w:val="3ECB4BD7"/>
    <w:rsid w:val="3ECC7189"/>
    <w:rsid w:val="3ECD231C"/>
    <w:rsid w:val="3ECF2F07"/>
    <w:rsid w:val="3ECF92BD"/>
    <w:rsid w:val="3ECFC115"/>
    <w:rsid w:val="3ECFE440"/>
    <w:rsid w:val="3ECFEBF9"/>
    <w:rsid w:val="3ED0E6F5"/>
    <w:rsid w:val="3ED10004"/>
    <w:rsid w:val="3ED1014A"/>
    <w:rsid w:val="3ED22CFA"/>
    <w:rsid w:val="3ED291A8"/>
    <w:rsid w:val="3ED44098"/>
    <w:rsid w:val="3ED44F68"/>
    <w:rsid w:val="3ED4E771"/>
    <w:rsid w:val="3ED57E42"/>
    <w:rsid w:val="3ED586E9"/>
    <w:rsid w:val="3ED63FF4"/>
    <w:rsid w:val="3ED6CBC1"/>
    <w:rsid w:val="3ED71B12"/>
    <w:rsid w:val="3ED73CAB"/>
    <w:rsid w:val="3ED75224"/>
    <w:rsid w:val="3ED797C5"/>
    <w:rsid w:val="3ED80AA2"/>
    <w:rsid w:val="3ED84030"/>
    <w:rsid w:val="3ED94EAE"/>
    <w:rsid w:val="3ED9EB9E"/>
    <w:rsid w:val="3EDA4CA1"/>
    <w:rsid w:val="3EDB116A"/>
    <w:rsid w:val="3EDC2651"/>
    <w:rsid w:val="3EDC4405"/>
    <w:rsid w:val="3EDC7C06"/>
    <w:rsid w:val="3EDCFB61"/>
    <w:rsid w:val="3EDD7507"/>
    <w:rsid w:val="3EDE19F1"/>
    <w:rsid w:val="3EDE511C"/>
    <w:rsid w:val="3EDE9899"/>
    <w:rsid w:val="3EDF9B1C"/>
    <w:rsid w:val="3EE05543"/>
    <w:rsid w:val="3EE05784"/>
    <w:rsid w:val="3EE0BA68"/>
    <w:rsid w:val="3EE0DD1C"/>
    <w:rsid w:val="3EE0E5F2"/>
    <w:rsid w:val="3EE1457D"/>
    <w:rsid w:val="3EE1E0FE"/>
    <w:rsid w:val="3EE2CCB8"/>
    <w:rsid w:val="3EE3665B"/>
    <w:rsid w:val="3EE38081"/>
    <w:rsid w:val="3EE45CCE"/>
    <w:rsid w:val="3EE51356"/>
    <w:rsid w:val="3EE5642A"/>
    <w:rsid w:val="3EE76E35"/>
    <w:rsid w:val="3EE7FA7B"/>
    <w:rsid w:val="3EE8992A"/>
    <w:rsid w:val="3EE9D6FC"/>
    <w:rsid w:val="3EEB04B0"/>
    <w:rsid w:val="3EEB5024"/>
    <w:rsid w:val="3EEC7477"/>
    <w:rsid w:val="3EECBCBF"/>
    <w:rsid w:val="3EECED76"/>
    <w:rsid w:val="3EECFB2B"/>
    <w:rsid w:val="3EED91CA"/>
    <w:rsid w:val="3EEDB477"/>
    <w:rsid w:val="3EEE07B8"/>
    <w:rsid w:val="3EEE17CE"/>
    <w:rsid w:val="3EEEAE07"/>
    <w:rsid w:val="3EEF0BBE"/>
    <w:rsid w:val="3EEF52F5"/>
    <w:rsid w:val="3EF186FD"/>
    <w:rsid w:val="3EF19F5F"/>
    <w:rsid w:val="3EF1AC0A"/>
    <w:rsid w:val="3EF246B6"/>
    <w:rsid w:val="3EF31477"/>
    <w:rsid w:val="3EF39969"/>
    <w:rsid w:val="3EF3D923"/>
    <w:rsid w:val="3EF456FE"/>
    <w:rsid w:val="3EF5BC69"/>
    <w:rsid w:val="3EF6565B"/>
    <w:rsid w:val="3EF6BF08"/>
    <w:rsid w:val="3EF6F5DF"/>
    <w:rsid w:val="3EF71E98"/>
    <w:rsid w:val="3EF89158"/>
    <w:rsid w:val="3EFA26AE"/>
    <w:rsid w:val="3EFA497B"/>
    <w:rsid w:val="3EFB86CA"/>
    <w:rsid w:val="3EFC3C26"/>
    <w:rsid w:val="3EFC51F9"/>
    <w:rsid w:val="3EFC8689"/>
    <w:rsid w:val="3EFC9F05"/>
    <w:rsid w:val="3EFCFF39"/>
    <w:rsid w:val="3EFD0BDA"/>
    <w:rsid w:val="3EFD9E58"/>
    <w:rsid w:val="3EFDD064"/>
    <w:rsid w:val="3EFE59D5"/>
    <w:rsid w:val="3EFEC892"/>
    <w:rsid w:val="3EFEC908"/>
    <w:rsid w:val="3EFEE55C"/>
    <w:rsid w:val="3EFF1CC1"/>
    <w:rsid w:val="3EFF5E3C"/>
    <w:rsid w:val="3F00089B"/>
    <w:rsid w:val="3F00AF8B"/>
    <w:rsid w:val="3F00D4F4"/>
    <w:rsid w:val="3F01EBE7"/>
    <w:rsid w:val="3F02239B"/>
    <w:rsid w:val="3F02FB3B"/>
    <w:rsid w:val="3F0337BB"/>
    <w:rsid w:val="3F041362"/>
    <w:rsid w:val="3F0564CB"/>
    <w:rsid w:val="3F058951"/>
    <w:rsid w:val="3F05B8C7"/>
    <w:rsid w:val="3F05EC2F"/>
    <w:rsid w:val="3F06113B"/>
    <w:rsid w:val="3F06F7BB"/>
    <w:rsid w:val="3F071705"/>
    <w:rsid w:val="3F0766A7"/>
    <w:rsid w:val="3F082C79"/>
    <w:rsid w:val="3F0860B2"/>
    <w:rsid w:val="3F091C11"/>
    <w:rsid w:val="3F095D71"/>
    <w:rsid w:val="3F09AEE4"/>
    <w:rsid w:val="3F09F71F"/>
    <w:rsid w:val="3F0A0A15"/>
    <w:rsid w:val="3F0A89A8"/>
    <w:rsid w:val="3F0A9DC4"/>
    <w:rsid w:val="3F0B9AC6"/>
    <w:rsid w:val="3F0C05AF"/>
    <w:rsid w:val="3F0C48FA"/>
    <w:rsid w:val="3F0C9FD6"/>
    <w:rsid w:val="3F0D1C42"/>
    <w:rsid w:val="3F0DD4B4"/>
    <w:rsid w:val="3F0E3143"/>
    <w:rsid w:val="3F0E631A"/>
    <w:rsid w:val="3F0EDC33"/>
    <w:rsid w:val="3F0F5576"/>
    <w:rsid w:val="3F0F58F8"/>
    <w:rsid w:val="3F10616E"/>
    <w:rsid w:val="3F1135E0"/>
    <w:rsid w:val="3F116D4A"/>
    <w:rsid w:val="3F117AFD"/>
    <w:rsid w:val="3F11E3AA"/>
    <w:rsid w:val="3F129292"/>
    <w:rsid w:val="3F12C606"/>
    <w:rsid w:val="3F137098"/>
    <w:rsid w:val="3F144644"/>
    <w:rsid w:val="3F153C5C"/>
    <w:rsid w:val="3F15F2A9"/>
    <w:rsid w:val="3F160B8F"/>
    <w:rsid w:val="3F16AEB3"/>
    <w:rsid w:val="3F17CA4F"/>
    <w:rsid w:val="3F17D28C"/>
    <w:rsid w:val="3F184ED9"/>
    <w:rsid w:val="3F1898FF"/>
    <w:rsid w:val="3F18EA29"/>
    <w:rsid w:val="3F1A1061"/>
    <w:rsid w:val="3F1A791F"/>
    <w:rsid w:val="3F1AF6AC"/>
    <w:rsid w:val="3F1BA214"/>
    <w:rsid w:val="3F1DFDB0"/>
    <w:rsid w:val="3F1E399D"/>
    <w:rsid w:val="3F1F3328"/>
    <w:rsid w:val="3F1F4F29"/>
    <w:rsid w:val="3F2008DF"/>
    <w:rsid w:val="3F202715"/>
    <w:rsid w:val="3F20B18D"/>
    <w:rsid w:val="3F227F55"/>
    <w:rsid w:val="3F22C1DC"/>
    <w:rsid w:val="3F233B20"/>
    <w:rsid w:val="3F23AE07"/>
    <w:rsid w:val="3F2428BE"/>
    <w:rsid w:val="3F245ECB"/>
    <w:rsid w:val="3F255EA3"/>
    <w:rsid w:val="3F256718"/>
    <w:rsid w:val="3F2592CE"/>
    <w:rsid w:val="3F2625B8"/>
    <w:rsid w:val="3F278B8D"/>
    <w:rsid w:val="3F288052"/>
    <w:rsid w:val="3F29BA4E"/>
    <w:rsid w:val="3F29EEC5"/>
    <w:rsid w:val="3F2A41EE"/>
    <w:rsid w:val="3F2A9D00"/>
    <w:rsid w:val="3F2B8827"/>
    <w:rsid w:val="3F2CBFAD"/>
    <w:rsid w:val="3F2CD35D"/>
    <w:rsid w:val="3F2CDD9F"/>
    <w:rsid w:val="3F2D6F97"/>
    <w:rsid w:val="3F2E81F0"/>
    <w:rsid w:val="3F2E850A"/>
    <w:rsid w:val="3F2EA39A"/>
    <w:rsid w:val="3F2EC377"/>
    <w:rsid w:val="3F2F6121"/>
    <w:rsid w:val="3F310EEF"/>
    <w:rsid w:val="3F314713"/>
    <w:rsid w:val="3F31914E"/>
    <w:rsid w:val="3F3344A0"/>
    <w:rsid w:val="3F345E14"/>
    <w:rsid w:val="3F346C2E"/>
    <w:rsid w:val="3F34949B"/>
    <w:rsid w:val="3F34DFD4"/>
    <w:rsid w:val="3F356845"/>
    <w:rsid w:val="3F35B89C"/>
    <w:rsid w:val="3F363AD1"/>
    <w:rsid w:val="3F368EE1"/>
    <w:rsid w:val="3F37888F"/>
    <w:rsid w:val="3F37C5D8"/>
    <w:rsid w:val="3F382136"/>
    <w:rsid w:val="3F38D2A0"/>
    <w:rsid w:val="3F3A7615"/>
    <w:rsid w:val="3F3AC371"/>
    <w:rsid w:val="3F3B5CA2"/>
    <w:rsid w:val="3F3B78A8"/>
    <w:rsid w:val="3F3BFF7A"/>
    <w:rsid w:val="3F3C96C2"/>
    <w:rsid w:val="3F3E7441"/>
    <w:rsid w:val="3F3FE4DA"/>
    <w:rsid w:val="3F40A3EB"/>
    <w:rsid w:val="3F40B4F4"/>
    <w:rsid w:val="3F414BCB"/>
    <w:rsid w:val="3F4151A6"/>
    <w:rsid w:val="3F415E40"/>
    <w:rsid w:val="3F41B331"/>
    <w:rsid w:val="3F41BEEE"/>
    <w:rsid w:val="3F41FABB"/>
    <w:rsid w:val="3F43C77E"/>
    <w:rsid w:val="3F44A0D0"/>
    <w:rsid w:val="3F456C4F"/>
    <w:rsid w:val="3F45B89C"/>
    <w:rsid w:val="3F46ACA2"/>
    <w:rsid w:val="3F471E07"/>
    <w:rsid w:val="3F47F276"/>
    <w:rsid w:val="3F49329E"/>
    <w:rsid w:val="3F4A359A"/>
    <w:rsid w:val="3F4A540C"/>
    <w:rsid w:val="3F4ADDCD"/>
    <w:rsid w:val="3F4AE100"/>
    <w:rsid w:val="3F4AE191"/>
    <w:rsid w:val="3F4B3019"/>
    <w:rsid w:val="3F4B4038"/>
    <w:rsid w:val="3F4B7CDE"/>
    <w:rsid w:val="3F4C3A49"/>
    <w:rsid w:val="3F4CD1AB"/>
    <w:rsid w:val="3F4D6BE6"/>
    <w:rsid w:val="3F4E0A15"/>
    <w:rsid w:val="3F4EAEFD"/>
    <w:rsid w:val="3F4EF8A7"/>
    <w:rsid w:val="3F503622"/>
    <w:rsid w:val="3F506891"/>
    <w:rsid w:val="3F5093F4"/>
    <w:rsid w:val="3F50CFCC"/>
    <w:rsid w:val="3F5324CC"/>
    <w:rsid w:val="3F54EE6F"/>
    <w:rsid w:val="3F563DF8"/>
    <w:rsid w:val="3F5791C8"/>
    <w:rsid w:val="3F581008"/>
    <w:rsid w:val="3F59B7B5"/>
    <w:rsid w:val="3F5ABF4F"/>
    <w:rsid w:val="3F5C1857"/>
    <w:rsid w:val="3F5C194B"/>
    <w:rsid w:val="3F5C38DC"/>
    <w:rsid w:val="3F5CEA2F"/>
    <w:rsid w:val="3F5D329C"/>
    <w:rsid w:val="3F5D3707"/>
    <w:rsid w:val="3F5D4667"/>
    <w:rsid w:val="3F5E33FE"/>
    <w:rsid w:val="3F5EDBD0"/>
    <w:rsid w:val="3F604737"/>
    <w:rsid w:val="3F60ABCA"/>
    <w:rsid w:val="3F60AD61"/>
    <w:rsid w:val="3F618F75"/>
    <w:rsid w:val="3F61A729"/>
    <w:rsid w:val="3F6231C3"/>
    <w:rsid w:val="3F63341E"/>
    <w:rsid w:val="3F63A8BA"/>
    <w:rsid w:val="3F63D3A3"/>
    <w:rsid w:val="3F644819"/>
    <w:rsid w:val="3F651131"/>
    <w:rsid w:val="3F651A3C"/>
    <w:rsid w:val="3F65F291"/>
    <w:rsid w:val="3F6633CD"/>
    <w:rsid w:val="3F671CEE"/>
    <w:rsid w:val="3F67D83C"/>
    <w:rsid w:val="3F699ECE"/>
    <w:rsid w:val="3F6BA624"/>
    <w:rsid w:val="3F6C1971"/>
    <w:rsid w:val="3F6CC394"/>
    <w:rsid w:val="3F6CFF16"/>
    <w:rsid w:val="3F6D471D"/>
    <w:rsid w:val="3F6E1270"/>
    <w:rsid w:val="3F6E1DDC"/>
    <w:rsid w:val="3F6F1454"/>
    <w:rsid w:val="3F6F4C5D"/>
    <w:rsid w:val="3F70793E"/>
    <w:rsid w:val="3F717CA8"/>
    <w:rsid w:val="3F71A288"/>
    <w:rsid w:val="3F71BD36"/>
    <w:rsid w:val="3F7241A7"/>
    <w:rsid w:val="3F727584"/>
    <w:rsid w:val="3F7303AD"/>
    <w:rsid w:val="3F741FF2"/>
    <w:rsid w:val="3F7434E9"/>
    <w:rsid w:val="3F74705E"/>
    <w:rsid w:val="3F750454"/>
    <w:rsid w:val="3F750DDE"/>
    <w:rsid w:val="3F750E13"/>
    <w:rsid w:val="3F7529AC"/>
    <w:rsid w:val="3F75A297"/>
    <w:rsid w:val="3F763FB4"/>
    <w:rsid w:val="3F76609D"/>
    <w:rsid w:val="3F784A78"/>
    <w:rsid w:val="3F784E0E"/>
    <w:rsid w:val="3F7874D4"/>
    <w:rsid w:val="3F789A5B"/>
    <w:rsid w:val="3F79D5DA"/>
    <w:rsid w:val="3F7A784F"/>
    <w:rsid w:val="3F7C3C57"/>
    <w:rsid w:val="3F7CB03E"/>
    <w:rsid w:val="3F7CB392"/>
    <w:rsid w:val="3F7CBF7A"/>
    <w:rsid w:val="3F7D1842"/>
    <w:rsid w:val="3F7DF5F5"/>
    <w:rsid w:val="3F7F2D85"/>
    <w:rsid w:val="3F805951"/>
    <w:rsid w:val="3F80A348"/>
    <w:rsid w:val="3F8433E1"/>
    <w:rsid w:val="3F858017"/>
    <w:rsid w:val="3F85A2C8"/>
    <w:rsid w:val="3F85BC90"/>
    <w:rsid w:val="3F86CF64"/>
    <w:rsid w:val="3F879117"/>
    <w:rsid w:val="3F87BBC8"/>
    <w:rsid w:val="3F87F6AC"/>
    <w:rsid w:val="3F88861A"/>
    <w:rsid w:val="3F89D29C"/>
    <w:rsid w:val="3F8A42CF"/>
    <w:rsid w:val="3F8B5023"/>
    <w:rsid w:val="3F8C7CE1"/>
    <w:rsid w:val="3F8CAFC4"/>
    <w:rsid w:val="3F8D5AD8"/>
    <w:rsid w:val="3F8F9974"/>
    <w:rsid w:val="3F8FBCB1"/>
    <w:rsid w:val="3F910438"/>
    <w:rsid w:val="3F92AE47"/>
    <w:rsid w:val="3F92BEE8"/>
    <w:rsid w:val="3F939453"/>
    <w:rsid w:val="3F94EC90"/>
    <w:rsid w:val="3F9624FC"/>
    <w:rsid w:val="3F987CB5"/>
    <w:rsid w:val="3F98CED0"/>
    <w:rsid w:val="3F98D0B5"/>
    <w:rsid w:val="3F996407"/>
    <w:rsid w:val="3F997D23"/>
    <w:rsid w:val="3F9B85C1"/>
    <w:rsid w:val="3F9CA295"/>
    <w:rsid w:val="3F9E000A"/>
    <w:rsid w:val="3F9F60B4"/>
    <w:rsid w:val="3F9FA5C0"/>
    <w:rsid w:val="3FA02264"/>
    <w:rsid w:val="3FA14CFA"/>
    <w:rsid w:val="3FA1BF4B"/>
    <w:rsid w:val="3FA1D8ED"/>
    <w:rsid w:val="3FA20DD9"/>
    <w:rsid w:val="3FA2173B"/>
    <w:rsid w:val="3FA21A3D"/>
    <w:rsid w:val="3FA24BCA"/>
    <w:rsid w:val="3FA27B89"/>
    <w:rsid w:val="3FA2A15E"/>
    <w:rsid w:val="3FA3CAD8"/>
    <w:rsid w:val="3FA466A1"/>
    <w:rsid w:val="3FA49406"/>
    <w:rsid w:val="3FA4F31A"/>
    <w:rsid w:val="3FA82541"/>
    <w:rsid w:val="3FA888B4"/>
    <w:rsid w:val="3FA99A76"/>
    <w:rsid w:val="3FA9FAD4"/>
    <w:rsid w:val="3FAA7650"/>
    <w:rsid w:val="3FAAD096"/>
    <w:rsid w:val="3FAADA2C"/>
    <w:rsid w:val="3FAB0C14"/>
    <w:rsid w:val="3FAB24B8"/>
    <w:rsid w:val="3FAB5716"/>
    <w:rsid w:val="3FAC6536"/>
    <w:rsid w:val="3FAC6F08"/>
    <w:rsid w:val="3FAC8D5D"/>
    <w:rsid w:val="3FACEA0D"/>
    <w:rsid w:val="3FACEEAC"/>
    <w:rsid w:val="3FAD23ED"/>
    <w:rsid w:val="3FAD2C9C"/>
    <w:rsid w:val="3FADBE24"/>
    <w:rsid w:val="3FAE4F8C"/>
    <w:rsid w:val="3FAF072D"/>
    <w:rsid w:val="3FB0A707"/>
    <w:rsid w:val="3FB0B296"/>
    <w:rsid w:val="3FB2704A"/>
    <w:rsid w:val="3FB2D2F3"/>
    <w:rsid w:val="3FB4603F"/>
    <w:rsid w:val="3FB50114"/>
    <w:rsid w:val="3FB5E8C9"/>
    <w:rsid w:val="3FB6A79E"/>
    <w:rsid w:val="3FB71B93"/>
    <w:rsid w:val="3FB71F35"/>
    <w:rsid w:val="3FB7BD49"/>
    <w:rsid w:val="3FB924DE"/>
    <w:rsid w:val="3FB9AA11"/>
    <w:rsid w:val="3FBA741B"/>
    <w:rsid w:val="3FBA77ED"/>
    <w:rsid w:val="3FBB52A4"/>
    <w:rsid w:val="3FBC1DB8"/>
    <w:rsid w:val="3FBD869F"/>
    <w:rsid w:val="3FBDBCFF"/>
    <w:rsid w:val="3FBE2515"/>
    <w:rsid w:val="3FBEE3DA"/>
    <w:rsid w:val="3FC02611"/>
    <w:rsid w:val="3FC0D02F"/>
    <w:rsid w:val="3FC141DD"/>
    <w:rsid w:val="3FC14AA7"/>
    <w:rsid w:val="3FC1E0A0"/>
    <w:rsid w:val="3FC30C4A"/>
    <w:rsid w:val="3FC31927"/>
    <w:rsid w:val="3FC3A3B4"/>
    <w:rsid w:val="3FC3B28C"/>
    <w:rsid w:val="3FC685FE"/>
    <w:rsid w:val="3FC6D790"/>
    <w:rsid w:val="3FC717D0"/>
    <w:rsid w:val="3FC71DB6"/>
    <w:rsid w:val="3FC8B7DC"/>
    <w:rsid w:val="3FC8E3CB"/>
    <w:rsid w:val="3FC8EB0D"/>
    <w:rsid w:val="3FCABB07"/>
    <w:rsid w:val="3FCBAF81"/>
    <w:rsid w:val="3FCBC2CD"/>
    <w:rsid w:val="3FCBD502"/>
    <w:rsid w:val="3FCBFBD7"/>
    <w:rsid w:val="3FCC19A0"/>
    <w:rsid w:val="3FCC2031"/>
    <w:rsid w:val="3FCC28D7"/>
    <w:rsid w:val="3FCCA38A"/>
    <w:rsid w:val="3FCD3A65"/>
    <w:rsid w:val="3FCD3CCF"/>
    <w:rsid w:val="3FCD8C54"/>
    <w:rsid w:val="3FCDE4D8"/>
    <w:rsid w:val="3FCE7D88"/>
    <w:rsid w:val="3FCF849D"/>
    <w:rsid w:val="3FCF8C3B"/>
    <w:rsid w:val="3FD09BCB"/>
    <w:rsid w:val="3FD299D1"/>
    <w:rsid w:val="3FD2FE67"/>
    <w:rsid w:val="3FD36A20"/>
    <w:rsid w:val="3FD38E7B"/>
    <w:rsid w:val="3FD3C220"/>
    <w:rsid w:val="3FD4EBD2"/>
    <w:rsid w:val="3FD553AE"/>
    <w:rsid w:val="3FD5C5C3"/>
    <w:rsid w:val="3FD61AF2"/>
    <w:rsid w:val="3FD64085"/>
    <w:rsid w:val="3FD68D4A"/>
    <w:rsid w:val="3FD6A702"/>
    <w:rsid w:val="3FD84EFC"/>
    <w:rsid w:val="3FD899EC"/>
    <w:rsid w:val="3FD90D1A"/>
    <w:rsid w:val="3FD92B50"/>
    <w:rsid w:val="3FDB29D6"/>
    <w:rsid w:val="3FDE2DCD"/>
    <w:rsid w:val="3FDEEF60"/>
    <w:rsid w:val="3FDF7FE4"/>
    <w:rsid w:val="3FDFC4CF"/>
    <w:rsid w:val="3FE02D39"/>
    <w:rsid w:val="3FE0599E"/>
    <w:rsid w:val="3FE132A6"/>
    <w:rsid w:val="3FE28944"/>
    <w:rsid w:val="3FE3255C"/>
    <w:rsid w:val="3FE3C8DD"/>
    <w:rsid w:val="3FE4911E"/>
    <w:rsid w:val="3FE4D9AB"/>
    <w:rsid w:val="3FE6C002"/>
    <w:rsid w:val="3FE6DA07"/>
    <w:rsid w:val="3FE6E52D"/>
    <w:rsid w:val="3FE7141C"/>
    <w:rsid w:val="3FE7F5B0"/>
    <w:rsid w:val="3FE8D4D7"/>
    <w:rsid w:val="3FE947C1"/>
    <w:rsid w:val="3FE95AF6"/>
    <w:rsid w:val="3FE962A5"/>
    <w:rsid w:val="3FE9A4FA"/>
    <w:rsid w:val="3FE9A6CB"/>
    <w:rsid w:val="3FEA1BA7"/>
    <w:rsid w:val="3FEA48C6"/>
    <w:rsid w:val="3FEAA90D"/>
    <w:rsid w:val="3FEC03A5"/>
    <w:rsid w:val="3FEC8E61"/>
    <w:rsid w:val="3FEDD175"/>
    <w:rsid w:val="3FEDDF03"/>
    <w:rsid w:val="3FEF3819"/>
    <w:rsid w:val="3FEF96F2"/>
    <w:rsid w:val="3FEFC9A0"/>
    <w:rsid w:val="3FEFED73"/>
    <w:rsid w:val="3FF01D6F"/>
    <w:rsid w:val="3FF080C5"/>
    <w:rsid w:val="3FF0C448"/>
    <w:rsid w:val="3FF0E819"/>
    <w:rsid w:val="3FF12098"/>
    <w:rsid w:val="3FF1A5D7"/>
    <w:rsid w:val="3FF1D784"/>
    <w:rsid w:val="3FF1DA3C"/>
    <w:rsid w:val="3FF1F688"/>
    <w:rsid w:val="3FF22226"/>
    <w:rsid w:val="3FF23E99"/>
    <w:rsid w:val="3FF2A7DD"/>
    <w:rsid w:val="3FF2D79A"/>
    <w:rsid w:val="3FF41A9C"/>
    <w:rsid w:val="3FF427DF"/>
    <w:rsid w:val="3FF4BC08"/>
    <w:rsid w:val="3FF5931A"/>
    <w:rsid w:val="3FF6640D"/>
    <w:rsid w:val="3FF6AE1C"/>
    <w:rsid w:val="3FF6B266"/>
    <w:rsid w:val="3FF6F55D"/>
    <w:rsid w:val="3FF72177"/>
    <w:rsid w:val="3FF73713"/>
    <w:rsid w:val="3FF849E1"/>
    <w:rsid w:val="3FF92BB7"/>
    <w:rsid w:val="3FF9350A"/>
    <w:rsid w:val="3FFB0931"/>
    <w:rsid w:val="3FFB18AB"/>
    <w:rsid w:val="3FFB21F6"/>
    <w:rsid w:val="3FFC1A62"/>
    <w:rsid w:val="3FFC1CA8"/>
    <w:rsid w:val="3FFD33AD"/>
    <w:rsid w:val="3FFDE76F"/>
    <w:rsid w:val="3FFE614E"/>
    <w:rsid w:val="3FFF16A9"/>
    <w:rsid w:val="3FFF35A4"/>
    <w:rsid w:val="3FFFB8B5"/>
    <w:rsid w:val="4000F137"/>
    <w:rsid w:val="400108C5"/>
    <w:rsid w:val="40018D60"/>
    <w:rsid w:val="40019D7C"/>
    <w:rsid w:val="4002ED2C"/>
    <w:rsid w:val="40038F6C"/>
    <w:rsid w:val="4003F7DC"/>
    <w:rsid w:val="400430B6"/>
    <w:rsid w:val="4004A2C8"/>
    <w:rsid w:val="40053B0D"/>
    <w:rsid w:val="4005A458"/>
    <w:rsid w:val="4006BC83"/>
    <w:rsid w:val="40086608"/>
    <w:rsid w:val="4008E11C"/>
    <w:rsid w:val="400A8798"/>
    <w:rsid w:val="400B6138"/>
    <w:rsid w:val="400E0804"/>
    <w:rsid w:val="400E56D5"/>
    <w:rsid w:val="400E5917"/>
    <w:rsid w:val="400E8070"/>
    <w:rsid w:val="4010C41A"/>
    <w:rsid w:val="40115DBB"/>
    <w:rsid w:val="4011D07D"/>
    <w:rsid w:val="401270A4"/>
    <w:rsid w:val="401332BB"/>
    <w:rsid w:val="40134476"/>
    <w:rsid w:val="40139B72"/>
    <w:rsid w:val="4013AB65"/>
    <w:rsid w:val="4014B4D5"/>
    <w:rsid w:val="4014F03D"/>
    <w:rsid w:val="40154DBA"/>
    <w:rsid w:val="401669C7"/>
    <w:rsid w:val="4016C8DF"/>
    <w:rsid w:val="4016C9FD"/>
    <w:rsid w:val="4017610C"/>
    <w:rsid w:val="40176C93"/>
    <w:rsid w:val="4019D7D3"/>
    <w:rsid w:val="4019E8FB"/>
    <w:rsid w:val="401A48DC"/>
    <w:rsid w:val="401A4B08"/>
    <w:rsid w:val="401A9338"/>
    <w:rsid w:val="401B33E5"/>
    <w:rsid w:val="401B36D5"/>
    <w:rsid w:val="401BDC95"/>
    <w:rsid w:val="401CF009"/>
    <w:rsid w:val="401DA38F"/>
    <w:rsid w:val="401DC69F"/>
    <w:rsid w:val="401E53D9"/>
    <w:rsid w:val="401F1E97"/>
    <w:rsid w:val="4023040D"/>
    <w:rsid w:val="402334E3"/>
    <w:rsid w:val="4023508A"/>
    <w:rsid w:val="4023ECEB"/>
    <w:rsid w:val="4024A6AF"/>
    <w:rsid w:val="402555F8"/>
    <w:rsid w:val="4025DEF8"/>
    <w:rsid w:val="4025E75A"/>
    <w:rsid w:val="4026263F"/>
    <w:rsid w:val="40266430"/>
    <w:rsid w:val="4026A4D4"/>
    <w:rsid w:val="4026D6E1"/>
    <w:rsid w:val="4026E703"/>
    <w:rsid w:val="402708C9"/>
    <w:rsid w:val="40273429"/>
    <w:rsid w:val="402789F7"/>
    <w:rsid w:val="4027DC1B"/>
    <w:rsid w:val="40280355"/>
    <w:rsid w:val="4028203E"/>
    <w:rsid w:val="4029250C"/>
    <w:rsid w:val="40294615"/>
    <w:rsid w:val="402958F3"/>
    <w:rsid w:val="402A1515"/>
    <w:rsid w:val="402A4624"/>
    <w:rsid w:val="402A6913"/>
    <w:rsid w:val="402C52CA"/>
    <w:rsid w:val="402C9581"/>
    <w:rsid w:val="402D9380"/>
    <w:rsid w:val="402DDA5F"/>
    <w:rsid w:val="402E8D40"/>
    <w:rsid w:val="402EE860"/>
    <w:rsid w:val="402F3D15"/>
    <w:rsid w:val="403091CC"/>
    <w:rsid w:val="4031393E"/>
    <w:rsid w:val="403241F9"/>
    <w:rsid w:val="4032D4BE"/>
    <w:rsid w:val="403358DA"/>
    <w:rsid w:val="40343D46"/>
    <w:rsid w:val="40357894"/>
    <w:rsid w:val="40362F40"/>
    <w:rsid w:val="40370630"/>
    <w:rsid w:val="40376810"/>
    <w:rsid w:val="4037D075"/>
    <w:rsid w:val="40382E70"/>
    <w:rsid w:val="40389714"/>
    <w:rsid w:val="4038A4EF"/>
    <w:rsid w:val="403985E0"/>
    <w:rsid w:val="403A4896"/>
    <w:rsid w:val="403A4D20"/>
    <w:rsid w:val="403AB596"/>
    <w:rsid w:val="403AC9EF"/>
    <w:rsid w:val="403B6B7C"/>
    <w:rsid w:val="403B8638"/>
    <w:rsid w:val="403CDC42"/>
    <w:rsid w:val="403E82AD"/>
    <w:rsid w:val="403EC290"/>
    <w:rsid w:val="403EE186"/>
    <w:rsid w:val="403EE42A"/>
    <w:rsid w:val="403F7200"/>
    <w:rsid w:val="403FBA9D"/>
    <w:rsid w:val="404019D5"/>
    <w:rsid w:val="40404E6F"/>
    <w:rsid w:val="4040AD1D"/>
    <w:rsid w:val="4040B6F7"/>
    <w:rsid w:val="4040DCA4"/>
    <w:rsid w:val="40412AB5"/>
    <w:rsid w:val="4041B915"/>
    <w:rsid w:val="404249F5"/>
    <w:rsid w:val="404309A2"/>
    <w:rsid w:val="40439D9D"/>
    <w:rsid w:val="404490B9"/>
    <w:rsid w:val="40449126"/>
    <w:rsid w:val="40451E72"/>
    <w:rsid w:val="4045A5CA"/>
    <w:rsid w:val="4045DC88"/>
    <w:rsid w:val="4045F652"/>
    <w:rsid w:val="40480082"/>
    <w:rsid w:val="40495698"/>
    <w:rsid w:val="4049FE74"/>
    <w:rsid w:val="404AD09A"/>
    <w:rsid w:val="404AEEBF"/>
    <w:rsid w:val="404BA932"/>
    <w:rsid w:val="404C41C2"/>
    <w:rsid w:val="404C5CF1"/>
    <w:rsid w:val="404D6CE7"/>
    <w:rsid w:val="404F482F"/>
    <w:rsid w:val="404F58EF"/>
    <w:rsid w:val="404FC00E"/>
    <w:rsid w:val="4050D21C"/>
    <w:rsid w:val="40537593"/>
    <w:rsid w:val="4053A644"/>
    <w:rsid w:val="4053BAE4"/>
    <w:rsid w:val="4053E2DF"/>
    <w:rsid w:val="4054025D"/>
    <w:rsid w:val="4054469D"/>
    <w:rsid w:val="40546331"/>
    <w:rsid w:val="40548BBA"/>
    <w:rsid w:val="4054EA0D"/>
    <w:rsid w:val="40570FFC"/>
    <w:rsid w:val="405724F8"/>
    <w:rsid w:val="4057628A"/>
    <w:rsid w:val="40577F82"/>
    <w:rsid w:val="4058F2F4"/>
    <w:rsid w:val="40596988"/>
    <w:rsid w:val="405A139E"/>
    <w:rsid w:val="405AC8EA"/>
    <w:rsid w:val="405B7C95"/>
    <w:rsid w:val="405BACD9"/>
    <w:rsid w:val="405C530A"/>
    <w:rsid w:val="405C850B"/>
    <w:rsid w:val="405C87F8"/>
    <w:rsid w:val="405D1F73"/>
    <w:rsid w:val="405D2C75"/>
    <w:rsid w:val="405D404F"/>
    <w:rsid w:val="405D5776"/>
    <w:rsid w:val="405F7463"/>
    <w:rsid w:val="40605FD3"/>
    <w:rsid w:val="4060E6D3"/>
    <w:rsid w:val="40627ADC"/>
    <w:rsid w:val="406355C0"/>
    <w:rsid w:val="40638437"/>
    <w:rsid w:val="4063B3CC"/>
    <w:rsid w:val="406481FE"/>
    <w:rsid w:val="40666ADB"/>
    <w:rsid w:val="4066A0C5"/>
    <w:rsid w:val="4066F07F"/>
    <w:rsid w:val="4067B5BA"/>
    <w:rsid w:val="40684461"/>
    <w:rsid w:val="40685FF2"/>
    <w:rsid w:val="40688809"/>
    <w:rsid w:val="406894C4"/>
    <w:rsid w:val="4069431B"/>
    <w:rsid w:val="40696447"/>
    <w:rsid w:val="4069947A"/>
    <w:rsid w:val="406AF415"/>
    <w:rsid w:val="406BBE01"/>
    <w:rsid w:val="406C089D"/>
    <w:rsid w:val="406C6209"/>
    <w:rsid w:val="406C622B"/>
    <w:rsid w:val="406C6A48"/>
    <w:rsid w:val="406D4525"/>
    <w:rsid w:val="406ED032"/>
    <w:rsid w:val="406F8006"/>
    <w:rsid w:val="406FD6BB"/>
    <w:rsid w:val="40711F0D"/>
    <w:rsid w:val="4071854D"/>
    <w:rsid w:val="4072B04B"/>
    <w:rsid w:val="4072BC78"/>
    <w:rsid w:val="4072E5EB"/>
    <w:rsid w:val="4072FB05"/>
    <w:rsid w:val="4073802B"/>
    <w:rsid w:val="407382CC"/>
    <w:rsid w:val="407393CA"/>
    <w:rsid w:val="4073A3C8"/>
    <w:rsid w:val="4073FC88"/>
    <w:rsid w:val="4074393A"/>
    <w:rsid w:val="407464F9"/>
    <w:rsid w:val="407472BC"/>
    <w:rsid w:val="40751E32"/>
    <w:rsid w:val="407678E4"/>
    <w:rsid w:val="4077296B"/>
    <w:rsid w:val="40778989"/>
    <w:rsid w:val="4077DAB9"/>
    <w:rsid w:val="40784F40"/>
    <w:rsid w:val="40785F33"/>
    <w:rsid w:val="407917AA"/>
    <w:rsid w:val="407A3450"/>
    <w:rsid w:val="407A7D7A"/>
    <w:rsid w:val="407BC8BB"/>
    <w:rsid w:val="407DC8D4"/>
    <w:rsid w:val="407E9870"/>
    <w:rsid w:val="407EAD8B"/>
    <w:rsid w:val="407FE279"/>
    <w:rsid w:val="408064EE"/>
    <w:rsid w:val="4080CA86"/>
    <w:rsid w:val="40810B7B"/>
    <w:rsid w:val="4081891D"/>
    <w:rsid w:val="4081B96F"/>
    <w:rsid w:val="408250EF"/>
    <w:rsid w:val="4082CB6D"/>
    <w:rsid w:val="4082D598"/>
    <w:rsid w:val="4083A211"/>
    <w:rsid w:val="4084406B"/>
    <w:rsid w:val="40851068"/>
    <w:rsid w:val="408590B1"/>
    <w:rsid w:val="4085E196"/>
    <w:rsid w:val="4085FF27"/>
    <w:rsid w:val="4086379B"/>
    <w:rsid w:val="408655D4"/>
    <w:rsid w:val="40875CAE"/>
    <w:rsid w:val="4087D456"/>
    <w:rsid w:val="4089BBF7"/>
    <w:rsid w:val="4089F8FF"/>
    <w:rsid w:val="408AFD65"/>
    <w:rsid w:val="408BF075"/>
    <w:rsid w:val="408D4EBC"/>
    <w:rsid w:val="408D5B9C"/>
    <w:rsid w:val="408E267A"/>
    <w:rsid w:val="408E36A8"/>
    <w:rsid w:val="408EA329"/>
    <w:rsid w:val="408EF400"/>
    <w:rsid w:val="408F441B"/>
    <w:rsid w:val="408FD967"/>
    <w:rsid w:val="40907C51"/>
    <w:rsid w:val="40916D29"/>
    <w:rsid w:val="40917BF7"/>
    <w:rsid w:val="4091863E"/>
    <w:rsid w:val="4091C8F4"/>
    <w:rsid w:val="4091F272"/>
    <w:rsid w:val="40928FCC"/>
    <w:rsid w:val="4092990B"/>
    <w:rsid w:val="40940667"/>
    <w:rsid w:val="40947BAB"/>
    <w:rsid w:val="4095383A"/>
    <w:rsid w:val="40973BFC"/>
    <w:rsid w:val="40979922"/>
    <w:rsid w:val="4097BDD0"/>
    <w:rsid w:val="40987C79"/>
    <w:rsid w:val="40989209"/>
    <w:rsid w:val="4098B6D0"/>
    <w:rsid w:val="409913B6"/>
    <w:rsid w:val="409937AC"/>
    <w:rsid w:val="4099A121"/>
    <w:rsid w:val="409A01AB"/>
    <w:rsid w:val="409A5645"/>
    <w:rsid w:val="409A62FA"/>
    <w:rsid w:val="409AA2D8"/>
    <w:rsid w:val="409B5ACA"/>
    <w:rsid w:val="409B724B"/>
    <w:rsid w:val="409DB937"/>
    <w:rsid w:val="409DF3F6"/>
    <w:rsid w:val="409E03A9"/>
    <w:rsid w:val="409EE1C7"/>
    <w:rsid w:val="40A01B80"/>
    <w:rsid w:val="40A03A66"/>
    <w:rsid w:val="40A0CB6F"/>
    <w:rsid w:val="40A164B2"/>
    <w:rsid w:val="40A17192"/>
    <w:rsid w:val="40A1D797"/>
    <w:rsid w:val="40A1DCF8"/>
    <w:rsid w:val="40A2C047"/>
    <w:rsid w:val="40A4F80F"/>
    <w:rsid w:val="40A5100D"/>
    <w:rsid w:val="40A54E1B"/>
    <w:rsid w:val="40A55C3D"/>
    <w:rsid w:val="40A601D6"/>
    <w:rsid w:val="40A629EC"/>
    <w:rsid w:val="40A63B4B"/>
    <w:rsid w:val="40A6988E"/>
    <w:rsid w:val="40A6E5E9"/>
    <w:rsid w:val="40A73BF0"/>
    <w:rsid w:val="40A7B870"/>
    <w:rsid w:val="40A9979F"/>
    <w:rsid w:val="40AA67D9"/>
    <w:rsid w:val="40AA7CBB"/>
    <w:rsid w:val="40AAB093"/>
    <w:rsid w:val="40ABC471"/>
    <w:rsid w:val="40ABEEB5"/>
    <w:rsid w:val="40ABF7D8"/>
    <w:rsid w:val="40AC34CB"/>
    <w:rsid w:val="40AD6750"/>
    <w:rsid w:val="40ADB97A"/>
    <w:rsid w:val="40ADC6E0"/>
    <w:rsid w:val="40AE304E"/>
    <w:rsid w:val="40AE8CA3"/>
    <w:rsid w:val="40AE9D2A"/>
    <w:rsid w:val="40AEBD6D"/>
    <w:rsid w:val="40AF01A9"/>
    <w:rsid w:val="40AF04B3"/>
    <w:rsid w:val="40AF192F"/>
    <w:rsid w:val="40AF49DC"/>
    <w:rsid w:val="40B09E51"/>
    <w:rsid w:val="40B0AEC9"/>
    <w:rsid w:val="40B123B3"/>
    <w:rsid w:val="40B14A12"/>
    <w:rsid w:val="40B1509F"/>
    <w:rsid w:val="40B189F0"/>
    <w:rsid w:val="40B30FAD"/>
    <w:rsid w:val="40B4382D"/>
    <w:rsid w:val="40B53D99"/>
    <w:rsid w:val="40B53E91"/>
    <w:rsid w:val="40B5AEB7"/>
    <w:rsid w:val="40B5E52F"/>
    <w:rsid w:val="40B69E8D"/>
    <w:rsid w:val="40B6A54C"/>
    <w:rsid w:val="40B74794"/>
    <w:rsid w:val="40B784FB"/>
    <w:rsid w:val="40B84165"/>
    <w:rsid w:val="40B85C29"/>
    <w:rsid w:val="40B8937D"/>
    <w:rsid w:val="40BAA5D9"/>
    <w:rsid w:val="40BADE56"/>
    <w:rsid w:val="40BB0BEA"/>
    <w:rsid w:val="40BB212B"/>
    <w:rsid w:val="40BC31A5"/>
    <w:rsid w:val="40BC8AAD"/>
    <w:rsid w:val="40BCC43D"/>
    <w:rsid w:val="40BDD44A"/>
    <w:rsid w:val="40BE8569"/>
    <w:rsid w:val="40BFA22F"/>
    <w:rsid w:val="40BFCDC2"/>
    <w:rsid w:val="40C006B7"/>
    <w:rsid w:val="40C02BAD"/>
    <w:rsid w:val="40C12D26"/>
    <w:rsid w:val="40C2E230"/>
    <w:rsid w:val="40C2E847"/>
    <w:rsid w:val="40C3E3B7"/>
    <w:rsid w:val="40C41787"/>
    <w:rsid w:val="40C4204A"/>
    <w:rsid w:val="40C43079"/>
    <w:rsid w:val="40C4C184"/>
    <w:rsid w:val="40C5221C"/>
    <w:rsid w:val="40C5C3BA"/>
    <w:rsid w:val="40C60D06"/>
    <w:rsid w:val="40C6295C"/>
    <w:rsid w:val="40C65B4F"/>
    <w:rsid w:val="40C73A01"/>
    <w:rsid w:val="40C7447E"/>
    <w:rsid w:val="40C7B585"/>
    <w:rsid w:val="40C7CEA0"/>
    <w:rsid w:val="40CA7681"/>
    <w:rsid w:val="40CA98E0"/>
    <w:rsid w:val="40CAFBE3"/>
    <w:rsid w:val="40CC2FC0"/>
    <w:rsid w:val="40CCFC10"/>
    <w:rsid w:val="40CE3954"/>
    <w:rsid w:val="40CFD1E5"/>
    <w:rsid w:val="40D0DD50"/>
    <w:rsid w:val="40D0F29A"/>
    <w:rsid w:val="40D167BC"/>
    <w:rsid w:val="40D242F6"/>
    <w:rsid w:val="40D3D4EE"/>
    <w:rsid w:val="40D44905"/>
    <w:rsid w:val="40D48232"/>
    <w:rsid w:val="40D48CB9"/>
    <w:rsid w:val="40D49927"/>
    <w:rsid w:val="40D4F903"/>
    <w:rsid w:val="40D6045D"/>
    <w:rsid w:val="40D6609E"/>
    <w:rsid w:val="40D6B4A7"/>
    <w:rsid w:val="40D74DAC"/>
    <w:rsid w:val="40D774CA"/>
    <w:rsid w:val="40D7F6DF"/>
    <w:rsid w:val="40D81FF4"/>
    <w:rsid w:val="40D82FD2"/>
    <w:rsid w:val="40D9009E"/>
    <w:rsid w:val="40D92683"/>
    <w:rsid w:val="40D92F6D"/>
    <w:rsid w:val="40D97AE3"/>
    <w:rsid w:val="40D98CCE"/>
    <w:rsid w:val="40D9A96E"/>
    <w:rsid w:val="40DB685B"/>
    <w:rsid w:val="40DC7979"/>
    <w:rsid w:val="40DCBEC3"/>
    <w:rsid w:val="40DE30AF"/>
    <w:rsid w:val="40DE8704"/>
    <w:rsid w:val="40DED70D"/>
    <w:rsid w:val="40E00F74"/>
    <w:rsid w:val="40E06DA0"/>
    <w:rsid w:val="40E0B8A8"/>
    <w:rsid w:val="40E22784"/>
    <w:rsid w:val="40E43BB3"/>
    <w:rsid w:val="40E523C2"/>
    <w:rsid w:val="40E5D4B7"/>
    <w:rsid w:val="40E60DD4"/>
    <w:rsid w:val="40E718B7"/>
    <w:rsid w:val="40E73BFF"/>
    <w:rsid w:val="40E9BCE5"/>
    <w:rsid w:val="40EA33B8"/>
    <w:rsid w:val="40EA5E6A"/>
    <w:rsid w:val="40EA7D97"/>
    <w:rsid w:val="40EB828F"/>
    <w:rsid w:val="40EC63C7"/>
    <w:rsid w:val="40EC65EA"/>
    <w:rsid w:val="40EC66A3"/>
    <w:rsid w:val="40EC978E"/>
    <w:rsid w:val="40ECA14E"/>
    <w:rsid w:val="40ECC0C7"/>
    <w:rsid w:val="40ECDDD6"/>
    <w:rsid w:val="40ECE7CD"/>
    <w:rsid w:val="40ED1B9F"/>
    <w:rsid w:val="40ED99DD"/>
    <w:rsid w:val="40EE86D5"/>
    <w:rsid w:val="40EEA198"/>
    <w:rsid w:val="40EF9CEA"/>
    <w:rsid w:val="40EFCDE3"/>
    <w:rsid w:val="40EFD427"/>
    <w:rsid w:val="40F03FCD"/>
    <w:rsid w:val="40F0C39B"/>
    <w:rsid w:val="40F0F51D"/>
    <w:rsid w:val="40F1B2F8"/>
    <w:rsid w:val="40F26948"/>
    <w:rsid w:val="40F2790B"/>
    <w:rsid w:val="40F2B769"/>
    <w:rsid w:val="40F35119"/>
    <w:rsid w:val="40F371E7"/>
    <w:rsid w:val="40F43447"/>
    <w:rsid w:val="40F4F488"/>
    <w:rsid w:val="40F59606"/>
    <w:rsid w:val="40F6185E"/>
    <w:rsid w:val="40F69541"/>
    <w:rsid w:val="40F76C17"/>
    <w:rsid w:val="40F794E3"/>
    <w:rsid w:val="40F79C64"/>
    <w:rsid w:val="40F92FF5"/>
    <w:rsid w:val="40F9473A"/>
    <w:rsid w:val="40F9E354"/>
    <w:rsid w:val="40FA6C2A"/>
    <w:rsid w:val="40FB89F1"/>
    <w:rsid w:val="40FDAB41"/>
    <w:rsid w:val="40FE0962"/>
    <w:rsid w:val="40FE317F"/>
    <w:rsid w:val="40FEC2EA"/>
    <w:rsid w:val="410035C5"/>
    <w:rsid w:val="4101C91A"/>
    <w:rsid w:val="4101CEFC"/>
    <w:rsid w:val="4102060B"/>
    <w:rsid w:val="410299B9"/>
    <w:rsid w:val="41030AD6"/>
    <w:rsid w:val="41031C27"/>
    <w:rsid w:val="41039A10"/>
    <w:rsid w:val="41039F7C"/>
    <w:rsid w:val="410443FD"/>
    <w:rsid w:val="410462D6"/>
    <w:rsid w:val="41050201"/>
    <w:rsid w:val="41050C15"/>
    <w:rsid w:val="41051906"/>
    <w:rsid w:val="410565FC"/>
    <w:rsid w:val="4105EE27"/>
    <w:rsid w:val="4105F12E"/>
    <w:rsid w:val="4106B4EA"/>
    <w:rsid w:val="41080E0F"/>
    <w:rsid w:val="410864E3"/>
    <w:rsid w:val="410AA0B6"/>
    <w:rsid w:val="410B64F5"/>
    <w:rsid w:val="410BA7CD"/>
    <w:rsid w:val="410BF330"/>
    <w:rsid w:val="410C561D"/>
    <w:rsid w:val="410C68A1"/>
    <w:rsid w:val="410CD849"/>
    <w:rsid w:val="410E8F1C"/>
    <w:rsid w:val="410FF537"/>
    <w:rsid w:val="41108C3B"/>
    <w:rsid w:val="4110A3EB"/>
    <w:rsid w:val="41126952"/>
    <w:rsid w:val="41139E12"/>
    <w:rsid w:val="4113B6B8"/>
    <w:rsid w:val="41149F91"/>
    <w:rsid w:val="4114D3E4"/>
    <w:rsid w:val="4116402E"/>
    <w:rsid w:val="411687C1"/>
    <w:rsid w:val="4116A57A"/>
    <w:rsid w:val="4116D587"/>
    <w:rsid w:val="4117CCA8"/>
    <w:rsid w:val="41182971"/>
    <w:rsid w:val="4118E052"/>
    <w:rsid w:val="41197151"/>
    <w:rsid w:val="4119A997"/>
    <w:rsid w:val="4119B2C2"/>
    <w:rsid w:val="4119E52A"/>
    <w:rsid w:val="4119F909"/>
    <w:rsid w:val="411A3136"/>
    <w:rsid w:val="411A862D"/>
    <w:rsid w:val="411AE396"/>
    <w:rsid w:val="411B05B0"/>
    <w:rsid w:val="411B7A4D"/>
    <w:rsid w:val="411B85B1"/>
    <w:rsid w:val="411C7B3E"/>
    <w:rsid w:val="411DDD83"/>
    <w:rsid w:val="411DE5C7"/>
    <w:rsid w:val="411E73CF"/>
    <w:rsid w:val="411F7769"/>
    <w:rsid w:val="412012BC"/>
    <w:rsid w:val="4120952E"/>
    <w:rsid w:val="4120E015"/>
    <w:rsid w:val="412134F9"/>
    <w:rsid w:val="412159C7"/>
    <w:rsid w:val="41218FE6"/>
    <w:rsid w:val="4122FA5E"/>
    <w:rsid w:val="41231144"/>
    <w:rsid w:val="41231D1C"/>
    <w:rsid w:val="41247752"/>
    <w:rsid w:val="41247A4A"/>
    <w:rsid w:val="412481C0"/>
    <w:rsid w:val="4124EADE"/>
    <w:rsid w:val="41251A1A"/>
    <w:rsid w:val="4125B8A1"/>
    <w:rsid w:val="4125C07F"/>
    <w:rsid w:val="41265E3C"/>
    <w:rsid w:val="41272DC0"/>
    <w:rsid w:val="41274AE3"/>
    <w:rsid w:val="41289077"/>
    <w:rsid w:val="4128D7F4"/>
    <w:rsid w:val="4128E10C"/>
    <w:rsid w:val="4129A2EA"/>
    <w:rsid w:val="412A8662"/>
    <w:rsid w:val="412D0AF1"/>
    <w:rsid w:val="412E8288"/>
    <w:rsid w:val="412F7AB8"/>
    <w:rsid w:val="41305254"/>
    <w:rsid w:val="4130B8D5"/>
    <w:rsid w:val="4131EF83"/>
    <w:rsid w:val="41321200"/>
    <w:rsid w:val="41326309"/>
    <w:rsid w:val="4132B7B7"/>
    <w:rsid w:val="41333213"/>
    <w:rsid w:val="4133544E"/>
    <w:rsid w:val="41337B78"/>
    <w:rsid w:val="41341594"/>
    <w:rsid w:val="41349C7A"/>
    <w:rsid w:val="4134D535"/>
    <w:rsid w:val="41352667"/>
    <w:rsid w:val="413644A4"/>
    <w:rsid w:val="41365A6D"/>
    <w:rsid w:val="4136BC1E"/>
    <w:rsid w:val="4136D244"/>
    <w:rsid w:val="4136EB86"/>
    <w:rsid w:val="4136FCA1"/>
    <w:rsid w:val="41374334"/>
    <w:rsid w:val="41380D97"/>
    <w:rsid w:val="4138C27B"/>
    <w:rsid w:val="4139A303"/>
    <w:rsid w:val="413B66FF"/>
    <w:rsid w:val="413CAB72"/>
    <w:rsid w:val="413CB895"/>
    <w:rsid w:val="413D447F"/>
    <w:rsid w:val="413D522C"/>
    <w:rsid w:val="413DA590"/>
    <w:rsid w:val="413DE30C"/>
    <w:rsid w:val="413E19EB"/>
    <w:rsid w:val="413E8AE9"/>
    <w:rsid w:val="413F3F90"/>
    <w:rsid w:val="41401402"/>
    <w:rsid w:val="41403E6A"/>
    <w:rsid w:val="4141307C"/>
    <w:rsid w:val="41426E09"/>
    <w:rsid w:val="414301AB"/>
    <w:rsid w:val="41431EB4"/>
    <w:rsid w:val="4144BEBA"/>
    <w:rsid w:val="4144DC55"/>
    <w:rsid w:val="4145BEF7"/>
    <w:rsid w:val="414749D2"/>
    <w:rsid w:val="4147EF0F"/>
    <w:rsid w:val="41481574"/>
    <w:rsid w:val="41484474"/>
    <w:rsid w:val="41486819"/>
    <w:rsid w:val="41488DF9"/>
    <w:rsid w:val="41492C78"/>
    <w:rsid w:val="414936C4"/>
    <w:rsid w:val="414A25A4"/>
    <w:rsid w:val="414B343C"/>
    <w:rsid w:val="414B34D6"/>
    <w:rsid w:val="414C76C5"/>
    <w:rsid w:val="414C9AC7"/>
    <w:rsid w:val="414D1963"/>
    <w:rsid w:val="414D5755"/>
    <w:rsid w:val="414DE32D"/>
    <w:rsid w:val="414DFF29"/>
    <w:rsid w:val="414E13BA"/>
    <w:rsid w:val="414E68A3"/>
    <w:rsid w:val="414ED5EE"/>
    <w:rsid w:val="415023CF"/>
    <w:rsid w:val="41507D73"/>
    <w:rsid w:val="415092EB"/>
    <w:rsid w:val="4150D3FF"/>
    <w:rsid w:val="4150E116"/>
    <w:rsid w:val="41518D74"/>
    <w:rsid w:val="415321D3"/>
    <w:rsid w:val="41548D1D"/>
    <w:rsid w:val="41549FCF"/>
    <w:rsid w:val="4154A3EF"/>
    <w:rsid w:val="4155B178"/>
    <w:rsid w:val="41568A62"/>
    <w:rsid w:val="415815EC"/>
    <w:rsid w:val="415832FF"/>
    <w:rsid w:val="4159071C"/>
    <w:rsid w:val="4159843C"/>
    <w:rsid w:val="41599E58"/>
    <w:rsid w:val="4159AC07"/>
    <w:rsid w:val="4159F023"/>
    <w:rsid w:val="415A16E7"/>
    <w:rsid w:val="415AED75"/>
    <w:rsid w:val="415B7838"/>
    <w:rsid w:val="415BF43E"/>
    <w:rsid w:val="415D1952"/>
    <w:rsid w:val="415DA7AB"/>
    <w:rsid w:val="415DFEE8"/>
    <w:rsid w:val="415E3389"/>
    <w:rsid w:val="415E5ED4"/>
    <w:rsid w:val="415F23B7"/>
    <w:rsid w:val="416153E2"/>
    <w:rsid w:val="41619455"/>
    <w:rsid w:val="41621266"/>
    <w:rsid w:val="41626908"/>
    <w:rsid w:val="41629682"/>
    <w:rsid w:val="4162C034"/>
    <w:rsid w:val="41633A5C"/>
    <w:rsid w:val="41650DFE"/>
    <w:rsid w:val="41673A00"/>
    <w:rsid w:val="41683EE3"/>
    <w:rsid w:val="4168E907"/>
    <w:rsid w:val="416970C0"/>
    <w:rsid w:val="416990EF"/>
    <w:rsid w:val="416AA999"/>
    <w:rsid w:val="416AD585"/>
    <w:rsid w:val="416B0A1D"/>
    <w:rsid w:val="416B3204"/>
    <w:rsid w:val="416CAFC1"/>
    <w:rsid w:val="416D945D"/>
    <w:rsid w:val="416E3370"/>
    <w:rsid w:val="416EB14E"/>
    <w:rsid w:val="416F8D81"/>
    <w:rsid w:val="417018C0"/>
    <w:rsid w:val="41701D87"/>
    <w:rsid w:val="41703A5F"/>
    <w:rsid w:val="4170FBCC"/>
    <w:rsid w:val="417191E3"/>
    <w:rsid w:val="417201F3"/>
    <w:rsid w:val="4172950D"/>
    <w:rsid w:val="4172D704"/>
    <w:rsid w:val="4173C90F"/>
    <w:rsid w:val="4173EE3C"/>
    <w:rsid w:val="4174B7E4"/>
    <w:rsid w:val="41752416"/>
    <w:rsid w:val="41755C23"/>
    <w:rsid w:val="4177806A"/>
    <w:rsid w:val="4177C32B"/>
    <w:rsid w:val="41783731"/>
    <w:rsid w:val="41793554"/>
    <w:rsid w:val="41795863"/>
    <w:rsid w:val="41797A84"/>
    <w:rsid w:val="417C7928"/>
    <w:rsid w:val="417C9A2E"/>
    <w:rsid w:val="417CAAB7"/>
    <w:rsid w:val="417D7EC2"/>
    <w:rsid w:val="417DF2C0"/>
    <w:rsid w:val="417E00B4"/>
    <w:rsid w:val="417F08D8"/>
    <w:rsid w:val="417F89A2"/>
    <w:rsid w:val="417FED12"/>
    <w:rsid w:val="41804633"/>
    <w:rsid w:val="418091F9"/>
    <w:rsid w:val="418181D6"/>
    <w:rsid w:val="4181D543"/>
    <w:rsid w:val="4182B3E0"/>
    <w:rsid w:val="4182B58E"/>
    <w:rsid w:val="4183238B"/>
    <w:rsid w:val="41834538"/>
    <w:rsid w:val="41838835"/>
    <w:rsid w:val="4183C3DA"/>
    <w:rsid w:val="418582DC"/>
    <w:rsid w:val="418600FD"/>
    <w:rsid w:val="41864C3A"/>
    <w:rsid w:val="41871469"/>
    <w:rsid w:val="41875DB9"/>
    <w:rsid w:val="4187F569"/>
    <w:rsid w:val="4188B4A5"/>
    <w:rsid w:val="41899002"/>
    <w:rsid w:val="418B1872"/>
    <w:rsid w:val="418B34CB"/>
    <w:rsid w:val="418CA310"/>
    <w:rsid w:val="418D5B71"/>
    <w:rsid w:val="418DA793"/>
    <w:rsid w:val="418DAB86"/>
    <w:rsid w:val="418F2FFB"/>
    <w:rsid w:val="41900B0B"/>
    <w:rsid w:val="41902CA7"/>
    <w:rsid w:val="4190718E"/>
    <w:rsid w:val="4190B941"/>
    <w:rsid w:val="4190FFEE"/>
    <w:rsid w:val="4191D72E"/>
    <w:rsid w:val="4191EE6B"/>
    <w:rsid w:val="41931FE1"/>
    <w:rsid w:val="4193BCB9"/>
    <w:rsid w:val="4195DC0E"/>
    <w:rsid w:val="4197F8CA"/>
    <w:rsid w:val="41987D3F"/>
    <w:rsid w:val="4198B43B"/>
    <w:rsid w:val="41993CFE"/>
    <w:rsid w:val="4199C0B2"/>
    <w:rsid w:val="419A5A92"/>
    <w:rsid w:val="419C668C"/>
    <w:rsid w:val="419D911A"/>
    <w:rsid w:val="419F2F62"/>
    <w:rsid w:val="419F39D2"/>
    <w:rsid w:val="419FE112"/>
    <w:rsid w:val="41A0CF99"/>
    <w:rsid w:val="41A0D394"/>
    <w:rsid w:val="41A11B01"/>
    <w:rsid w:val="41A2D6B8"/>
    <w:rsid w:val="41A328C1"/>
    <w:rsid w:val="41A3C5BB"/>
    <w:rsid w:val="41A45E09"/>
    <w:rsid w:val="41A474C4"/>
    <w:rsid w:val="41A4D195"/>
    <w:rsid w:val="41A4E92A"/>
    <w:rsid w:val="41A55E05"/>
    <w:rsid w:val="41A5750F"/>
    <w:rsid w:val="41A580E3"/>
    <w:rsid w:val="41A5CF33"/>
    <w:rsid w:val="41A5D1E8"/>
    <w:rsid w:val="41A5E9DB"/>
    <w:rsid w:val="41A7125A"/>
    <w:rsid w:val="41A7AF72"/>
    <w:rsid w:val="41A7B0E1"/>
    <w:rsid w:val="41A7E22D"/>
    <w:rsid w:val="41A8A571"/>
    <w:rsid w:val="41AA0001"/>
    <w:rsid w:val="41AA03D4"/>
    <w:rsid w:val="41AA440D"/>
    <w:rsid w:val="41AA6F58"/>
    <w:rsid w:val="41ABE29F"/>
    <w:rsid w:val="41ACD5E0"/>
    <w:rsid w:val="41AEA16A"/>
    <w:rsid w:val="41AFFF0F"/>
    <w:rsid w:val="41B00BF4"/>
    <w:rsid w:val="41B0BA4D"/>
    <w:rsid w:val="41B19C8F"/>
    <w:rsid w:val="41B342CC"/>
    <w:rsid w:val="41B56E26"/>
    <w:rsid w:val="41B5A2F4"/>
    <w:rsid w:val="41B664AC"/>
    <w:rsid w:val="41B68FAB"/>
    <w:rsid w:val="41B74C00"/>
    <w:rsid w:val="41B7E5F3"/>
    <w:rsid w:val="41B87089"/>
    <w:rsid w:val="41B92C9E"/>
    <w:rsid w:val="41B9E113"/>
    <w:rsid w:val="41BB944E"/>
    <w:rsid w:val="41BBE4E1"/>
    <w:rsid w:val="41BC5BDC"/>
    <w:rsid w:val="41BC7569"/>
    <w:rsid w:val="41BD4DA5"/>
    <w:rsid w:val="41BDA028"/>
    <w:rsid w:val="41BDCFA5"/>
    <w:rsid w:val="41BEF6B7"/>
    <w:rsid w:val="41BF86C8"/>
    <w:rsid w:val="41BFF065"/>
    <w:rsid w:val="41C0232B"/>
    <w:rsid w:val="41C11FBA"/>
    <w:rsid w:val="41C12F94"/>
    <w:rsid w:val="41C22F0B"/>
    <w:rsid w:val="41C296C1"/>
    <w:rsid w:val="41C30795"/>
    <w:rsid w:val="41C33439"/>
    <w:rsid w:val="41C35487"/>
    <w:rsid w:val="41C3EA6F"/>
    <w:rsid w:val="41C46507"/>
    <w:rsid w:val="41C4C6C2"/>
    <w:rsid w:val="41C50208"/>
    <w:rsid w:val="41C563F2"/>
    <w:rsid w:val="41C656FB"/>
    <w:rsid w:val="41C6FD45"/>
    <w:rsid w:val="41C74935"/>
    <w:rsid w:val="41C776C5"/>
    <w:rsid w:val="41C8675B"/>
    <w:rsid w:val="41C9EE95"/>
    <w:rsid w:val="41CB1593"/>
    <w:rsid w:val="41CBCB51"/>
    <w:rsid w:val="41CC069F"/>
    <w:rsid w:val="41CC2801"/>
    <w:rsid w:val="41CCB16F"/>
    <w:rsid w:val="41CD32C8"/>
    <w:rsid w:val="41CD337B"/>
    <w:rsid w:val="41CD9949"/>
    <w:rsid w:val="41CE7AA2"/>
    <w:rsid w:val="41CE84ED"/>
    <w:rsid w:val="41CE8CAD"/>
    <w:rsid w:val="41CEBE48"/>
    <w:rsid w:val="41D08FA2"/>
    <w:rsid w:val="41D0DC23"/>
    <w:rsid w:val="41D1B067"/>
    <w:rsid w:val="41D2204F"/>
    <w:rsid w:val="41D2A5B1"/>
    <w:rsid w:val="41D2EEB0"/>
    <w:rsid w:val="41D34489"/>
    <w:rsid w:val="41D41400"/>
    <w:rsid w:val="41D43B25"/>
    <w:rsid w:val="41D49D88"/>
    <w:rsid w:val="41D4DDEF"/>
    <w:rsid w:val="41D5AA5D"/>
    <w:rsid w:val="41D641DD"/>
    <w:rsid w:val="41D6550B"/>
    <w:rsid w:val="41D80035"/>
    <w:rsid w:val="41D8A5F5"/>
    <w:rsid w:val="41DAFE1E"/>
    <w:rsid w:val="41DB16C4"/>
    <w:rsid w:val="41DD0BA9"/>
    <w:rsid w:val="41DF2B5A"/>
    <w:rsid w:val="41E032F1"/>
    <w:rsid w:val="41E1E3B2"/>
    <w:rsid w:val="41E218A8"/>
    <w:rsid w:val="41E25534"/>
    <w:rsid w:val="41E26F77"/>
    <w:rsid w:val="41E3A908"/>
    <w:rsid w:val="41E4D7CF"/>
    <w:rsid w:val="41E58460"/>
    <w:rsid w:val="41E58D32"/>
    <w:rsid w:val="41E5DA8B"/>
    <w:rsid w:val="41E62D70"/>
    <w:rsid w:val="41E6B91B"/>
    <w:rsid w:val="41E87B3A"/>
    <w:rsid w:val="41E8FA6E"/>
    <w:rsid w:val="41E9AEC2"/>
    <w:rsid w:val="41E9CFF4"/>
    <w:rsid w:val="41EA101A"/>
    <w:rsid w:val="41EA7BC4"/>
    <w:rsid w:val="41EA95D8"/>
    <w:rsid w:val="41EADF57"/>
    <w:rsid w:val="41EB3FE6"/>
    <w:rsid w:val="41EC04EE"/>
    <w:rsid w:val="41EC8FAB"/>
    <w:rsid w:val="41ECD2CB"/>
    <w:rsid w:val="41ED3B3B"/>
    <w:rsid w:val="41EEFACE"/>
    <w:rsid w:val="41EF3F20"/>
    <w:rsid w:val="41EF5165"/>
    <w:rsid w:val="41EF5F91"/>
    <w:rsid w:val="41EFCE8D"/>
    <w:rsid w:val="41EFE22B"/>
    <w:rsid w:val="41F0430B"/>
    <w:rsid w:val="41F123BB"/>
    <w:rsid w:val="41F18458"/>
    <w:rsid w:val="41F2003E"/>
    <w:rsid w:val="41F22156"/>
    <w:rsid w:val="41F43575"/>
    <w:rsid w:val="41F45479"/>
    <w:rsid w:val="41F49647"/>
    <w:rsid w:val="41F4B4D8"/>
    <w:rsid w:val="41F4EBFC"/>
    <w:rsid w:val="41F5177F"/>
    <w:rsid w:val="41F524E5"/>
    <w:rsid w:val="41F5CE3E"/>
    <w:rsid w:val="41F60EB2"/>
    <w:rsid w:val="41F63CF0"/>
    <w:rsid w:val="41F640E0"/>
    <w:rsid w:val="41F650B6"/>
    <w:rsid w:val="41F7FC97"/>
    <w:rsid w:val="41F7FE03"/>
    <w:rsid w:val="41F9693F"/>
    <w:rsid w:val="41F99FE1"/>
    <w:rsid w:val="41FA5672"/>
    <w:rsid w:val="41FAD51F"/>
    <w:rsid w:val="41FB29F1"/>
    <w:rsid w:val="41FB9EBF"/>
    <w:rsid w:val="41FBCA09"/>
    <w:rsid w:val="41FCCF75"/>
    <w:rsid w:val="41FCE2FB"/>
    <w:rsid w:val="41FDFF3C"/>
    <w:rsid w:val="41FE01D3"/>
    <w:rsid w:val="41FE2ABF"/>
    <w:rsid w:val="41FE9D85"/>
    <w:rsid w:val="41FEAB37"/>
    <w:rsid w:val="41FF1195"/>
    <w:rsid w:val="41FF380D"/>
    <w:rsid w:val="4200464E"/>
    <w:rsid w:val="4200B80C"/>
    <w:rsid w:val="4201A1F5"/>
    <w:rsid w:val="4202BE42"/>
    <w:rsid w:val="4202EB1B"/>
    <w:rsid w:val="42048B62"/>
    <w:rsid w:val="4205A3A0"/>
    <w:rsid w:val="4207BBEA"/>
    <w:rsid w:val="4207CD61"/>
    <w:rsid w:val="4207D0DF"/>
    <w:rsid w:val="42080661"/>
    <w:rsid w:val="420927DD"/>
    <w:rsid w:val="4209A96B"/>
    <w:rsid w:val="420A61AB"/>
    <w:rsid w:val="420A7D83"/>
    <w:rsid w:val="420C38A8"/>
    <w:rsid w:val="420D5EDC"/>
    <w:rsid w:val="420DE6EE"/>
    <w:rsid w:val="420E3A4A"/>
    <w:rsid w:val="420E5876"/>
    <w:rsid w:val="420E58D8"/>
    <w:rsid w:val="420E8420"/>
    <w:rsid w:val="420EFCF5"/>
    <w:rsid w:val="420F0CA7"/>
    <w:rsid w:val="420F511E"/>
    <w:rsid w:val="420FA463"/>
    <w:rsid w:val="42114076"/>
    <w:rsid w:val="4211FD1A"/>
    <w:rsid w:val="42128A4F"/>
    <w:rsid w:val="42129D20"/>
    <w:rsid w:val="4212AC5D"/>
    <w:rsid w:val="42134763"/>
    <w:rsid w:val="42137251"/>
    <w:rsid w:val="421407E8"/>
    <w:rsid w:val="42144A0E"/>
    <w:rsid w:val="421589E7"/>
    <w:rsid w:val="42159AB4"/>
    <w:rsid w:val="4215D27F"/>
    <w:rsid w:val="421659E4"/>
    <w:rsid w:val="42170B57"/>
    <w:rsid w:val="42175153"/>
    <w:rsid w:val="42177418"/>
    <w:rsid w:val="4217848B"/>
    <w:rsid w:val="421831AF"/>
    <w:rsid w:val="42186C3D"/>
    <w:rsid w:val="421A288C"/>
    <w:rsid w:val="421ABBA5"/>
    <w:rsid w:val="421B00E9"/>
    <w:rsid w:val="421B2A1E"/>
    <w:rsid w:val="421DF935"/>
    <w:rsid w:val="421F69C4"/>
    <w:rsid w:val="421FCBB3"/>
    <w:rsid w:val="42202A82"/>
    <w:rsid w:val="422180C3"/>
    <w:rsid w:val="4222C4C6"/>
    <w:rsid w:val="4222F190"/>
    <w:rsid w:val="4223085A"/>
    <w:rsid w:val="4223A72B"/>
    <w:rsid w:val="422533B0"/>
    <w:rsid w:val="42261C94"/>
    <w:rsid w:val="42262064"/>
    <w:rsid w:val="42268126"/>
    <w:rsid w:val="42272003"/>
    <w:rsid w:val="42276AC0"/>
    <w:rsid w:val="422839EC"/>
    <w:rsid w:val="4228B9FD"/>
    <w:rsid w:val="4228FEE6"/>
    <w:rsid w:val="422C5693"/>
    <w:rsid w:val="422D569F"/>
    <w:rsid w:val="422D5AB6"/>
    <w:rsid w:val="42314897"/>
    <w:rsid w:val="423232E9"/>
    <w:rsid w:val="42330DF3"/>
    <w:rsid w:val="423359DE"/>
    <w:rsid w:val="42338075"/>
    <w:rsid w:val="42339F92"/>
    <w:rsid w:val="4233E816"/>
    <w:rsid w:val="42342433"/>
    <w:rsid w:val="4234C4EE"/>
    <w:rsid w:val="42355532"/>
    <w:rsid w:val="4236179D"/>
    <w:rsid w:val="4236F357"/>
    <w:rsid w:val="4236FCCC"/>
    <w:rsid w:val="42393E8D"/>
    <w:rsid w:val="42394E28"/>
    <w:rsid w:val="42396C87"/>
    <w:rsid w:val="4239C3C5"/>
    <w:rsid w:val="4239C6BE"/>
    <w:rsid w:val="423AB2A0"/>
    <w:rsid w:val="423AB8F8"/>
    <w:rsid w:val="423B8840"/>
    <w:rsid w:val="423BF03E"/>
    <w:rsid w:val="423D0275"/>
    <w:rsid w:val="423E0B40"/>
    <w:rsid w:val="423F46A0"/>
    <w:rsid w:val="423F521A"/>
    <w:rsid w:val="4240A995"/>
    <w:rsid w:val="4241AAD5"/>
    <w:rsid w:val="42433243"/>
    <w:rsid w:val="4243A84C"/>
    <w:rsid w:val="424441E2"/>
    <w:rsid w:val="4245DD7A"/>
    <w:rsid w:val="42467CF5"/>
    <w:rsid w:val="42475B8A"/>
    <w:rsid w:val="42487374"/>
    <w:rsid w:val="42499C67"/>
    <w:rsid w:val="4249D3CD"/>
    <w:rsid w:val="424A98B8"/>
    <w:rsid w:val="424B49D9"/>
    <w:rsid w:val="424BF60A"/>
    <w:rsid w:val="424CDFA6"/>
    <w:rsid w:val="424D5F6C"/>
    <w:rsid w:val="424D6901"/>
    <w:rsid w:val="424E16CE"/>
    <w:rsid w:val="424EACF8"/>
    <w:rsid w:val="424EB33B"/>
    <w:rsid w:val="424EC368"/>
    <w:rsid w:val="424ED672"/>
    <w:rsid w:val="424F3F31"/>
    <w:rsid w:val="424F67D1"/>
    <w:rsid w:val="424F78EC"/>
    <w:rsid w:val="424FCF8F"/>
    <w:rsid w:val="42510448"/>
    <w:rsid w:val="4251B647"/>
    <w:rsid w:val="42529CF9"/>
    <w:rsid w:val="4252DF40"/>
    <w:rsid w:val="4252EFA4"/>
    <w:rsid w:val="425449A9"/>
    <w:rsid w:val="42547C24"/>
    <w:rsid w:val="4254A80F"/>
    <w:rsid w:val="4254B9FA"/>
    <w:rsid w:val="42550D8C"/>
    <w:rsid w:val="4257805A"/>
    <w:rsid w:val="425832A1"/>
    <w:rsid w:val="4259198D"/>
    <w:rsid w:val="42593971"/>
    <w:rsid w:val="42594EA3"/>
    <w:rsid w:val="4259D047"/>
    <w:rsid w:val="425B8C18"/>
    <w:rsid w:val="425CF86E"/>
    <w:rsid w:val="425E80F7"/>
    <w:rsid w:val="425F1151"/>
    <w:rsid w:val="425F3FC5"/>
    <w:rsid w:val="425FA7E6"/>
    <w:rsid w:val="426059B3"/>
    <w:rsid w:val="4260F648"/>
    <w:rsid w:val="42618B5A"/>
    <w:rsid w:val="42625C5C"/>
    <w:rsid w:val="4262EB7B"/>
    <w:rsid w:val="42637C89"/>
    <w:rsid w:val="4264D178"/>
    <w:rsid w:val="42667FB6"/>
    <w:rsid w:val="42677E6F"/>
    <w:rsid w:val="4267B1AA"/>
    <w:rsid w:val="42690533"/>
    <w:rsid w:val="426A2429"/>
    <w:rsid w:val="426BBCF4"/>
    <w:rsid w:val="426BC9E7"/>
    <w:rsid w:val="426D6BCA"/>
    <w:rsid w:val="426EDE16"/>
    <w:rsid w:val="426FDC8F"/>
    <w:rsid w:val="42701258"/>
    <w:rsid w:val="427050D4"/>
    <w:rsid w:val="4270F325"/>
    <w:rsid w:val="42710A3E"/>
    <w:rsid w:val="42713FA4"/>
    <w:rsid w:val="4272C5B7"/>
    <w:rsid w:val="42738387"/>
    <w:rsid w:val="4274BF22"/>
    <w:rsid w:val="4274C236"/>
    <w:rsid w:val="4275A621"/>
    <w:rsid w:val="42767A46"/>
    <w:rsid w:val="4276D1E2"/>
    <w:rsid w:val="42772AEB"/>
    <w:rsid w:val="42777851"/>
    <w:rsid w:val="4277CA77"/>
    <w:rsid w:val="427866FE"/>
    <w:rsid w:val="42787387"/>
    <w:rsid w:val="4279502C"/>
    <w:rsid w:val="4279571F"/>
    <w:rsid w:val="42796DC4"/>
    <w:rsid w:val="427A1D76"/>
    <w:rsid w:val="427A5A4A"/>
    <w:rsid w:val="427B7095"/>
    <w:rsid w:val="427C0CCA"/>
    <w:rsid w:val="427C52CA"/>
    <w:rsid w:val="427F1944"/>
    <w:rsid w:val="427F43CE"/>
    <w:rsid w:val="427F9DAC"/>
    <w:rsid w:val="42802842"/>
    <w:rsid w:val="42807445"/>
    <w:rsid w:val="42819510"/>
    <w:rsid w:val="4282AC57"/>
    <w:rsid w:val="4282F862"/>
    <w:rsid w:val="42834F0B"/>
    <w:rsid w:val="42838536"/>
    <w:rsid w:val="4283D159"/>
    <w:rsid w:val="428450CD"/>
    <w:rsid w:val="42851C6F"/>
    <w:rsid w:val="42853B93"/>
    <w:rsid w:val="42857E56"/>
    <w:rsid w:val="42869A59"/>
    <w:rsid w:val="42889BD9"/>
    <w:rsid w:val="428B04B6"/>
    <w:rsid w:val="428BBC23"/>
    <w:rsid w:val="428BC83E"/>
    <w:rsid w:val="428C2E84"/>
    <w:rsid w:val="428D3279"/>
    <w:rsid w:val="428DA4DB"/>
    <w:rsid w:val="428DDDF4"/>
    <w:rsid w:val="428DE4EF"/>
    <w:rsid w:val="428E61C5"/>
    <w:rsid w:val="428FD563"/>
    <w:rsid w:val="42905127"/>
    <w:rsid w:val="42908A8C"/>
    <w:rsid w:val="42912C4B"/>
    <w:rsid w:val="4291CD4E"/>
    <w:rsid w:val="4292A8CE"/>
    <w:rsid w:val="42948877"/>
    <w:rsid w:val="4294B0F2"/>
    <w:rsid w:val="42958DD6"/>
    <w:rsid w:val="429598FD"/>
    <w:rsid w:val="4295C634"/>
    <w:rsid w:val="4295F1E9"/>
    <w:rsid w:val="4296BB55"/>
    <w:rsid w:val="42973D50"/>
    <w:rsid w:val="42981BBA"/>
    <w:rsid w:val="4298719C"/>
    <w:rsid w:val="429A560D"/>
    <w:rsid w:val="429AAA55"/>
    <w:rsid w:val="429AAAFA"/>
    <w:rsid w:val="429ACB38"/>
    <w:rsid w:val="429AEDF3"/>
    <w:rsid w:val="429BA7C9"/>
    <w:rsid w:val="429C061A"/>
    <w:rsid w:val="429C70E8"/>
    <w:rsid w:val="429CDF61"/>
    <w:rsid w:val="429D6C77"/>
    <w:rsid w:val="42A0383E"/>
    <w:rsid w:val="42A1C948"/>
    <w:rsid w:val="42A248A5"/>
    <w:rsid w:val="42A2C7A3"/>
    <w:rsid w:val="42A552E8"/>
    <w:rsid w:val="42A7FFF9"/>
    <w:rsid w:val="42A82446"/>
    <w:rsid w:val="42A93981"/>
    <w:rsid w:val="42AB269E"/>
    <w:rsid w:val="42AC08C0"/>
    <w:rsid w:val="42AC705C"/>
    <w:rsid w:val="42AC89D8"/>
    <w:rsid w:val="42ACE2F6"/>
    <w:rsid w:val="42ACFC48"/>
    <w:rsid w:val="42AD2678"/>
    <w:rsid w:val="42ADED31"/>
    <w:rsid w:val="42AE5272"/>
    <w:rsid w:val="42AF0CE1"/>
    <w:rsid w:val="42B06732"/>
    <w:rsid w:val="42B1CC5A"/>
    <w:rsid w:val="42B1F1F8"/>
    <w:rsid w:val="42B3451A"/>
    <w:rsid w:val="42B4D6ED"/>
    <w:rsid w:val="42B62ABD"/>
    <w:rsid w:val="42B79CCC"/>
    <w:rsid w:val="42B7C022"/>
    <w:rsid w:val="42B7C855"/>
    <w:rsid w:val="42B7F7CA"/>
    <w:rsid w:val="42B93866"/>
    <w:rsid w:val="42BA4510"/>
    <w:rsid w:val="42BAD918"/>
    <w:rsid w:val="42BADB89"/>
    <w:rsid w:val="42BC067A"/>
    <w:rsid w:val="42BDB141"/>
    <w:rsid w:val="42BE03F3"/>
    <w:rsid w:val="42BE71C8"/>
    <w:rsid w:val="42BED4F6"/>
    <w:rsid w:val="42BF870E"/>
    <w:rsid w:val="42BFCF87"/>
    <w:rsid w:val="42C02E95"/>
    <w:rsid w:val="42C086DB"/>
    <w:rsid w:val="42C0C512"/>
    <w:rsid w:val="42C1B361"/>
    <w:rsid w:val="42C1D191"/>
    <w:rsid w:val="42C22E05"/>
    <w:rsid w:val="42C420A0"/>
    <w:rsid w:val="42C48A68"/>
    <w:rsid w:val="42C74D72"/>
    <w:rsid w:val="42C75021"/>
    <w:rsid w:val="42C7608A"/>
    <w:rsid w:val="42C7C0E2"/>
    <w:rsid w:val="42C8EE48"/>
    <w:rsid w:val="42C97952"/>
    <w:rsid w:val="42C999B4"/>
    <w:rsid w:val="42CA4C4E"/>
    <w:rsid w:val="42CA4C95"/>
    <w:rsid w:val="42CA9A73"/>
    <w:rsid w:val="42CBBA47"/>
    <w:rsid w:val="42CBD454"/>
    <w:rsid w:val="42CC15B2"/>
    <w:rsid w:val="42CC33B2"/>
    <w:rsid w:val="42CEAB42"/>
    <w:rsid w:val="42CED25C"/>
    <w:rsid w:val="42CEDF4F"/>
    <w:rsid w:val="42CF3E9E"/>
    <w:rsid w:val="42CF6AD8"/>
    <w:rsid w:val="42D11CA1"/>
    <w:rsid w:val="42D1F71C"/>
    <w:rsid w:val="42D25A2B"/>
    <w:rsid w:val="42D3029C"/>
    <w:rsid w:val="42D37290"/>
    <w:rsid w:val="42D433E4"/>
    <w:rsid w:val="42D47D5C"/>
    <w:rsid w:val="42D4D310"/>
    <w:rsid w:val="42D60CD5"/>
    <w:rsid w:val="42D771F0"/>
    <w:rsid w:val="42D99414"/>
    <w:rsid w:val="42DA3F58"/>
    <w:rsid w:val="42DB3123"/>
    <w:rsid w:val="42DB573C"/>
    <w:rsid w:val="42DBBD72"/>
    <w:rsid w:val="42DC942A"/>
    <w:rsid w:val="42DCFAB0"/>
    <w:rsid w:val="42DD4CEB"/>
    <w:rsid w:val="42DD531B"/>
    <w:rsid w:val="42DDCAE4"/>
    <w:rsid w:val="42DDF1AA"/>
    <w:rsid w:val="42DECDFA"/>
    <w:rsid w:val="42DEDD4B"/>
    <w:rsid w:val="42DF9DC0"/>
    <w:rsid w:val="42E07D01"/>
    <w:rsid w:val="42E2159D"/>
    <w:rsid w:val="42E2B476"/>
    <w:rsid w:val="42E3247F"/>
    <w:rsid w:val="42E39D20"/>
    <w:rsid w:val="42E41827"/>
    <w:rsid w:val="42E502E6"/>
    <w:rsid w:val="42E60BCD"/>
    <w:rsid w:val="42E6A90C"/>
    <w:rsid w:val="42E71824"/>
    <w:rsid w:val="42E785E7"/>
    <w:rsid w:val="42E7E96E"/>
    <w:rsid w:val="42E9063A"/>
    <w:rsid w:val="42E9CF8A"/>
    <w:rsid w:val="42EA60F1"/>
    <w:rsid w:val="42EAB5E1"/>
    <w:rsid w:val="42EAEA77"/>
    <w:rsid w:val="42EB1751"/>
    <w:rsid w:val="42EC530E"/>
    <w:rsid w:val="42ECA833"/>
    <w:rsid w:val="42EDBDB8"/>
    <w:rsid w:val="42EEE651"/>
    <w:rsid w:val="42EF9BBE"/>
    <w:rsid w:val="42EFA675"/>
    <w:rsid w:val="42F0C9D7"/>
    <w:rsid w:val="42F10DC2"/>
    <w:rsid w:val="42F1A7FF"/>
    <w:rsid w:val="42F2544C"/>
    <w:rsid w:val="42F2807D"/>
    <w:rsid w:val="42F30BC8"/>
    <w:rsid w:val="42F3A165"/>
    <w:rsid w:val="42F3DB5E"/>
    <w:rsid w:val="42F40E46"/>
    <w:rsid w:val="42F4BB92"/>
    <w:rsid w:val="42F54267"/>
    <w:rsid w:val="42F5598F"/>
    <w:rsid w:val="42F6461C"/>
    <w:rsid w:val="42F6A27E"/>
    <w:rsid w:val="42F6AF80"/>
    <w:rsid w:val="42F7B969"/>
    <w:rsid w:val="42F84FAD"/>
    <w:rsid w:val="42F9B23A"/>
    <w:rsid w:val="42FA20D0"/>
    <w:rsid w:val="42FB26FA"/>
    <w:rsid w:val="42FB95E9"/>
    <w:rsid w:val="42FC9BE6"/>
    <w:rsid w:val="42FDE1E6"/>
    <w:rsid w:val="42FF2D6B"/>
    <w:rsid w:val="430031B5"/>
    <w:rsid w:val="43004195"/>
    <w:rsid w:val="43009692"/>
    <w:rsid w:val="430233D6"/>
    <w:rsid w:val="43027A0D"/>
    <w:rsid w:val="4302BC2A"/>
    <w:rsid w:val="4302D781"/>
    <w:rsid w:val="4303C255"/>
    <w:rsid w:val="43041EA1"/>
    <w:rsid w:val="430446CB"/>
    <w:rsid w:val="4305267B"/>
    <w:rsid w:val="43057306"/>
    <w:rsid w:val="4305989D"/>
    <w:rsid w:val="4305DE03"/>
    <w:rsid w:val="43061E76"/>
    <w:rsid w:val="4306E5BD"/>
    <w:rsid w:val="4308D533"/>
    <w:rsid w:val="43090008"/>
    <w:rsid w:val="43098745"/>
    <w:rsid w:val="4309D429"/>
    <w:rsid w:val="430A455A"/>
    <w:rsid w:val="430AA1AD"/>
    <w:rsid w:val="430B78B4"/>
    <w:rsid w:val="430CCDB3"/>
    <w:rsid w:val="430FF18E"/>
    <w:rsid w:val="43100841"/>
    <w:rsid w:val="4310D059"/>
    <w:rsid w:val="43116DAA"/>
    <w:rsid w:val="43119ADE"/>
    <w:rsid w:val="43126237"/>
    <w:rsid w:val="43128CF9"/>
    <w:rsid w:val="431414C9"/>
    <w:rsid w:val="431443BE"/>
    <w:rsid w:val="4315209B"/>
    <w:rsid w:val="43153BEA"/>
    <w:rsid w:val="43158E15"/>
    <w:rsid w:val="4315F9AB"/>
    <w:rsid w:val="43169487"/>
    <w:rsid w:val="4316C2A1"/>
    <w:rsid w:val="4316DFF4"/>
    <w:rsid w:val="431936A7"/>
    <w:rsid w:val="431AE689"/>
    <w:rsid w:val="431B6871"/>
    <w:rsid w:val="431BBF2C"/>
    <w:rsid w:val="431CA46D"/>
    <w:rsid w:val="431F530E"/>
    <w:rsid w:val="431FD4A2"/>
    <w:rsid w:val="431FF2B0"/>
    <w:rsid w:val="4320C092"/>
    <w:rsid w:val="43231E7E"/>
    <w:rsid w:val="43242AAC"/>
    <w:rsid w:val="43256C37"/>
    <w:rsid w:val="4326AE05"/>
    <w:rsid w:val="43274B84"/>
    <w:rsid w:val="43275DD3"/>
    <w:rsid w:val="4327FBA0"/>
    <w:rsid w:val="4328A6A5"/>
    <w:rsid w:val="43296E44"/>
    <w:rsid w:val="4329827B"/>
    <w:rsid w:val="432AA2A0"/>
    <w:rsid w:val="432ACEED"/>
    <w:rsid w:val="432B5BE6"/>
    <w:rsid w:val="432BBFF9"/>
    <w:rsid w:val="432C37B5"/>
    <w:rsid w:val="432C6AA3"/>
    <w:rsid w:val="432D6734"/>
    <w:rsid w:val="432D899A"/>
    <w:rsid w:val="432EC756"/>
    <w:rsid w:val="432F8342"/>
    <w:rsid w:val="432FBF7C"/>
    <w:rsid w:val="432FF147"/>
    <w:rsid w:val="433020D2"/>
    <w:rsid w:val="43308B00"/>
    <w:rsid w:val="43315E76"/>
    <w:rsid w:val="4331BEC9"/>
    <w:rsid w:val="43328494"/>
    <w:rsid w:val="4332B924"/>
    <w:rsid w:val="4334178E"/>
    <w:rsid w:val="4334752A"/>
    <w:rsid w:val="4336F599"/>
    <w:rsid w:val="4337F2FD"/>
    <w:rsid w:val="43385610"/>
    <w:rsid w:val="43385F72"/>
    <w:rsid w:val="43394A80"/>
    <w:rsid w:val="43399BE8"/>
    <w:rsid w:val="433B06E8"/>
    <w:rsid w:val="433B301E"/>
    <w:rsid w:val="433E0758"/>
    <w:rsid w:val="433E487F"/>
    <w:rsid w:val="433F7701"/>
    <w:rsid w:val="433F7E82"/>
    <w:rsid w:val="433F87F8"/>
    <w:rsid w:val="434027F5"/>
    <w:rsid w:val="43404FF9"/>
    <w:rsid w:val="43407F9D"/>
    <w:rsid w:val="43413DFA"/>
    <w:rsid w:val="43416D50"/>
    <w:rsid w:val="4341894A"/>
    <w:rsid w:val="4341D293"/>
    <w:rsid w:val="4343EEB4"/>
    <w:rsid w:val="4344740E"/>
    <w:rsid w:val="4345A15A"/>
    <w:rsid w:val="4346090E"/>
    <w:rsid w:val="43462E11"/>
    <w:rsid w:val="434674E4"/>
    <w:rsid w:val="4346AB1E"/>
    <w:rsid w:val="4346E1F6"/>
    <w:rsid w:val="43476B66"/>
    <w:rsid w:val="4349543C"/>
    <w:rsid w:val="4349CDDD"/>
    <w:rsid w:val="4349F3DB"/>
    <w:rsid w:val="434AD521"/>
    <w:rsid w:val="434B0493"/>
    <w:rsid w:val="434BD544"/>
    <w:rsid w:val="434C0CCB"/>
    <w:rsid w:val="434C5399"/>
    <w:rsid w:val="434C9208"/>
    <w:rsid w:val="434C9652"/>
    <w:rsid w:val="434D68E6"/>
    <w:rsid w:val="434D93DC"/>
    <w:rsid w:val="434F2AC4"/>
    <w:rsid w:val="434F4D10"/>
    <w:rsid w:val="43506330"/>
    <w:rsid w:val="4352E1FE"/>
    <w:rsid w:val="4352E897"/>
    <w:rsid w:val="43537FCB"/>
    <w:rsid w:val="43539F49"/>
    <w:rsid w:val="4353FE72"/>
    <w:rsid w:val="4354592E"/>
    <w:rsid w:val="4354599D"/>
    <w:rsid w:val="435498E6"/>
    <w:rsid w:val="435499D1"/>
    <w:rsid w:val="4354A991"/>
    <w:rsid w:val="43552F0E"/>
    <w:rsid w:val="43555CD6"/>
    <w:rsid w:val="435603C4"/>
    <w:rsid w:val="43566492"/>
    <w:rsid w:val="435759F5"/>
    <w:rsid w:val="43576B69"/>
    <w:rsid w:val="4357B065"/>
    <w:rsid w:val="4357E6B3"/>
    <w:rsid w:val="43582460"/>
    <w:rsid w:val="43584E09"/>
    <w:rsid w:val="435A7E30"/>
    <w:rsid w:val="435A95C1"/>
    <w:rsid w:val="435B57EF"/>
    <w:rsid w:val="435C4317"/>
    <w:rsid w:val="435C48DF"/>
    <w:rsid w:val="435CBF51"/>
    <w:rsid w:val="435D1BD5"/>
    <w:rsid w:val="435D9685"/>
    <w:rsid w:val="435DC5C6"/>
    <w:rsid w:val="435E455B"/>
    <w:rsid w:val="435E824D"/>
    <w:rsid w:val="435F84EF"/>
    <w:rsid w:val="4360E556"/>
    <w:rsid w:val="43614DE2"/>
    <w:rsid w:val="4361A56E"/>
    <w:rsid w:val="4362AE06"/>
    <w:rsid w:val="4362F859"/>
    <w:rsid w:val="436313E0"/>
    <w:rsid w:val="4364E8DF"/>
    <w:rsid w:val="43669726"/>
    <w:rsid w:val="43673007"/>
    <w:rsid w:val="4368258A"/>
    <w:rsid w:val="4368310F"/>
    <w:rsid w:val="4368B498"/>
    <w:rsid w:val="4368D27B"/>
    <w:rsid w:val="43692E64"/>
    <w:rsid w:val="436931F9"/>
    <w:rsid w:val="4369DC9B"/>
    <w:rsid w:val="4369DE42"/>
    <w:rsid w:val="4369FC01"/>
    <w:rsid w:val="436AB996"/>
    <w:rsid w:val="436B579C"/>
    <w:rsid w:val="436B8F9B"/>
    <w:rsid w:val="436CB53B"/>
    <w:rsid w:val="436D21FF"/>
    <w:rsid w:val="436EF472"/>
    <w:rsid w:val="436F38DA"/>
    <w:rsid w:val="436FB3DD"/>
    <w:rsid w:val="4371C4D4"/>
    <w:rsid w:val="4371D2CC"/>
    <w:rsid w:val="4371EF78"/>
    <w:rsid w:val="43726C63"/>
    <w:rsid w:val="4372B142"/>
    <w:rsid w:val="4373F00D"/>
    <w:rsid w:val="43744E3E"/>
    <w:rsid w:val="4374C7E8"/>
    <w:rsid w:val="437555B8"/>
    <w:rsid w:val="4376DAC8"/>
    <w:rsid w:val="4377D50F"/>
    <w:rsid w:val="4377E2E7"/>
    <w:rsid w:val="4377EE54"/>
    <w:rsid w:val="43783727"/>
    <w:rsid w:val="43789C6E"/>
    <w:rsid w:val="43799BBA"/>
    <w:rsid w:val="4379C432"/>
    <w:rsid w:val="4379D431"/>
    <w:rsid w:val="437B9823"/>
    <w:rsid w:val="437CCE2D"/>
    <w:rsid w:val="437CFDC5"/>
    <w:rsid w:val="437D9AB0"/>
    <w:rsid w:val="437E1E51"/>
    <w:rsid w:val="437EB8E6"/>
    <w:rsid w:val="437EC7A9"/>
    <w:rsid w:val="437F2F50"/>
    <w:rsid w:val="437F4E0E"/>
    <w:rsid w:val="437FB4ED"/>
    <w:rsid w:val="437FCB89"/>
    <w:rsid w:val="4381164C"/>
    <w:rsid w:val="43813157"/>
    <w:rsid w:val="4381C22C"/>
    <w:rsid w:val="4381D508"/>
    <w:rsid w:val="43823C20"/>
    <w:rsid w:val="4382786E"/>
    <w:rsid w:val="438463D7"/>
    <w:rsid w:val="43846F99"/>
    <w:rsid w:val="4386C75F"/>
    <w:rsid w:val="438790EE"/>
    <w:rsid w:val="438792F4"/>
    <w:rsid w:val="43887DD5"/>
    <w:rsid w:val="4388F778"/>
    <w:rsid w:val="43892802"/>
    <w:rsid w:val="4389A211"/>
    <w:rsid w:val="438A1B11"/>
    <w:rsid w:val="438B6FD3"/>
    <w:rsid w:val="438C1823"/>
    <w:rsid w:val="438C65A4"/>
    <w:rsid w:val="438C8B87"/>
    <w:rsid w:val="438CD123"/>
    <w:rsid w:val="438E9269"/>
    <w:rsid w:val="438F4B0F"/>
    <w:rsid w:val="4390B860"/>
    <w:rsid w:val="4390E237"/>
    <w:rsid w:val="439121CA"/>
    <w:rsid w:val="43921B2B"/>
    <w:rsid w:val="439238DF"/>
    <w:rsid w:val="43924B67"/>
    <w:rsid w:val="4392B2FC"/>
    <w:rsid w:val="43935F4A"/>
    <w:rsid w:val="4393EF3E"/>
    <w:rsid w:val="4394019E"/>
    <w:rsid w:val="4394B4AF"/>
    <w:rsid w:val="43969B55"/>
    <w:rsid w:val="4396B97A"/>
    <w:rsid w:val="43972F7B"/>
    <w:rsid w:val="43978B68"/>
    <w:rsid w:val="43983C21"/>
    <w:rsid w:val="43987907"/>
    <w:rsid w:val="4398C7B1"/>
    <w:rsid w:val="4398FC20"/>
    <w:rsid w:val="43990452"/>
    <w:rsid w:val="4399BF69"/>
    <w:rsid w:val="439A7A89"/>
    <w:rsid w:val="439B4A5D"/>
    <w:rsid w:val="439B9A7C"/>
    <w:rsid w:val="439BCE5A"/>
    <w:rsid w:val="439C7B8A"/>
    <w:rsid w:val="439CBEAC"/>
    <w:rsid w:val="439F084F"/>
    <w:rsid w:val="439FBC9B"/>
    <w:rsid w:val="43A0E72E"/>
    <w:rsid w:val="43A22446"/>
    <w:rsid w:val="43A31A37"/>
    <w:rsid w:val="43A35704"/>
    <w:rsid w:val="43A3F222"/>
    <w:rsid w:val="43A4095B"/>
    <w:rsid w:val="43A40B88"/>
    <w:rsid w:val="43A43076"/>
    <w:rsid w:val="43A48F2F"/>
    <w:rsid w:val="43A4C67F"/>
    <w:rsid w:val="43A5A676"/>
    <w:rsid w:val="43A62877"/>
    <w:rsid w:val="43A6BDA2"/>
    <w:rsid w:val="43A6F74C"/>
    <w:rsid w:val="43A778B5"/>
    <w:rsid w:val="43A792C2"/>
    <w:rsid w:val="43A7A736"/>
    <w:rsid w:val="43A7BB9C"/>
    <w:rsid w:val="43A88706"/>
    <w:rsid w:val="43A8ABB3"/>
    <w:rsid w:val="43A8B993"/>
    <w:rsid w:val="43A8E00B"/>
    <w:rsid w:val="43A92E99"/>
    <w:rsid w:val="43A98C36"/>
    <w:rsid w:val="43A9A3DA"/>
    <w:rsid w:val="43A9D04C"/>
    <w:rsid w:val="43A9DB1D"/>
    <w:rsid w:val="43AA0FF3"/>
    <w:rsid w:val="43AA3543"/>
    <w:rsid w:val="43AB0F0F"/>
    <w:rsid w:val="43AD6888"/>
    <w:rsid w:val="43AE8BAD"/>
    <w:rsid w:val="43AF184E"/>
    <w:rsid w:val="43B09A35"/>
    <w:rsid w:val="43B138B7"/>
    <w:rsid w:val="43B3893D"/>
    <w:rsid w:val="43B45EB0"/>
    <w:rsid w:val="43B54040"/>
    <w:rsid w:val="43B5E9F5"/>
    <w:rsid w:val="43B6F66E"/>
    <w:rsid w:val="43B7424F"/>
    <w:rsid w:val="43B742F2"/>
    <w:rsid w:val="43B755CD"/>
    <w:rsid w:val="43B86484"/>
    <w:rsid w:val="43B87D80"/>
    <w:rsid w:val="43B8A0E3"/>
    <w:rsid w:val="43B90B60"/>
    <w:rsid w:val="43B90D29"/>
    <w:rsid w:val="43BABC79"/>
    <w:rsid w:val="43BAF410"/>
    <w:rsid w:val="43BBD360"/>
    <w:rsid w:val="43BBE3A9"/>
    <w:rsid w:val="43BC15DE"/>
    <w:rsid w:val="43BC501D"/>
    <w:rsid w:val="43BCD382"/>
    <w:rsid w:val="43BDF294"/>
    <w:rsid w:val="43BE6FF2"/>
    <w:rsid w:val="43C11D65"/>
    <w:rsid w:val="43C21E1B"/>
    <w:rsid w:val="43C24858"/>
    <w:rsid w:val="43C34D19"/>
    <w:rsid w:val="43C52D81"/>
    <w:rsid w:val="43C6D664"/>
    <w:rsid w:val="43C6D7F1"/>
    <w:rsid w:val="43C77B50"/>
    <w:rsid w:val="43C813D9"/>
    <w:rsid w:val="43C81603"/>
    <w:rsid w:val="43C81A74"/>
    <w:rsid w:val="43C84F2B"/>
    <w:rsid w:val="43C9B8F3"/>
    <w:rsid w:val="43CAC3B3"/>
    <w:rsid w:val="43CAE1D5"/>
    <w:rsid w:val="43CCDC17"/>
    <w:rsid w:val="43CD2124"/>
    <w:rsid w:val="43CD9386"/>
    <w:rsid w:val="43CDB150"/>
    <w:rsid w:val="43CDDC60"/>
    <w:rsid w:val="43CE947B"/>
    <w:rsid w:val="43CFADD1"/>
    <w:rsid w:val="43CFD344"/>
    <w:rsid w:val="43CFEAC5"/>
    <w:rsid w:val="43D01C34"/>
    <w:rsid w:val="43D0209D"/>
    <w:rsid w:val="43D08099"/>
    <w:rsid w:val="43D17ED1"/>
    <w:rsid w:val="43D210FC"/>
    <w:rsid w:val="43D2242E"/>
    <w:rsid w:val="43D32A25"/>
    <w:rsid w:val="43D3D61B"/>
    <w:rsid w:val="43D4AA7D"/>
    <w:rsid w:val="43D4B1A6"/>
    <w:rsid w:val="43D4B5B8"/>
    <w:rsid w:val="43D4CC3C"/>
    <w:rsid w:val="43D58EE0"/>
    <w:rsid w:val="43D70D13"/>
    <w:rsid w:val="43D71044"/>
    <w:rsid w:val="43D7DF31"/>
    <w:rsid w:val="43D82008"/>
    <w:rsid w:val="43D8DBD5"/>
    <w:rsid w:val="43D95D52"/>
    <w:rsid w:val="43D97F25"/>
    <w:rsid w:val="43D9A4B1"/>
    <w:rsid w:val="43DAFC9B"/>
    <w:rsid w:val="43DB180D"/>
    <w:rsid w:val="43DB4C0A"/>
    <w:rsid w:val="43DB4E04"/>
    <w:rsid w:val="43DBFF9B"/>
    <w:rsid w:val="43DC260E"/>
    <w:rsid w:val="43DC2B85"/>
    <w:rsid w:val="43DCD0F7"/>
    <w:rsid w:val="43DCFC25"/>
    <w:rsid w:val="43DEF430"/>
    <w:rsid w:val="43DF3ADC"/>
    <w:rsid w:val="43DF6CF3"/>
    <w:rsid w:val="43DFBF77"/>
    <w:rsid w:val="43E06B77"/>
    <w:rsid w:val="43E1A786"/>
    <w:rsid w:val="43E1C060"/>
    <w:rsid w:val="43E1EEF3"/>
    <w:rsid w:val="43E2CFD5"/>
    <w:rsid w:val="43E2D2B8"/>
    <w:rsid w:val="43E34208"/>
    <w:rsid w:val="43E3AB26"/>
    <w:rsid w:val="43E3F285"/>
    <w:rsid w:val="43E42A08"/>
    <w:rsid w:val="43E4E522"/>
    <w:rsid w:val="43E4E790"/>
    <w:rsid w:val="43E65F97"/>
    <w:rsid w:val="43E66CE5"/>
    <w:rsid w:val="43E72B73"/>
    <w:rsid w:val="43E79189"/>
    <w:rsid w:val="43E7B6A8"/>
    <w:rsid w:val="43E80DDF"/>
    <w:rsid w:val="43EB0648"/>
    <w:rsid w:val="43EB26AE"/>
    <w:rsid w:val="43EBBFB9"/>
    <w:rsid w:val="43EC6D75"/>
    <w:rsid w:val="43EC8108"/>
    <w:rsid w:val="43EE8673"/>
    <w:rsid w:val="43EE9CB5"/>
    <w:rsid w:val="43EF37E4"/>
    <w:rsid w:val="43EFB1BF"/>
    <w:rsid w:val="43F0DA20"/>
    <w:rsid w:val="43F1CDF8"/>
    <w:rsid w:val="43F21DAE"/>
    <w:rsid w:val="43F23E02"/>
    <w:rsid w:val="43F356F0"/>
    <w:rsid w:val="43F36D3A"/>
    <w:rsid w:val="43F534A0"/>
    <w:rsid w:val="43F5574F"/>
    <w:rsid w:val="43F67414"/>
    <w:rsid w:val="43F7E1BF"/>
    <w:rsid w:val="43F7FD81"/>
    <w:rsid w:val="43F802FC"/>
    <w:rsid w:val="43F84957"/>
    <w:rsid w:val="43F89831"/>
    <w:rsid w:val="43F93DAE"/>
    <w:rsid w:val="43FA41D6"/>
    <w:rsid w:val="43FA895E"/>
    <w:rsid w:val="43FAF255"/>
    <w:rsid w:val="43FB76D6"/>
    <w:rsid w:val="43FC1FE9"/>
    <w:rsid w:val="43FC316B"/>
    <w:rsid w:val="43FC6687"/>
    <w:rsid w:val="43FCF845"/>
    <w:rsid w:val="43FD7641"/>
    <w:rsid w:val="43FDAC49"/>
    <w:rsid w:val="43FDDBC1"/>
    <w:rsid w:val="43FEA3DF"/>
    <w:rsid w:val="43FFC256"/>
    <w:rsid w:val="43FFDF1B"/>
    <w:rsid w:val="44009374"/>
    <w:rsid w:val="44013C0F"/>
    <w:rsid w:val="440191C6"/>
    <w:rsid w:val="44023632"/>
    <w:rsid w:val="440327A3"/>
    <w:rsid w:val="44034B95"/>
    <w:rsid w:val="4404070B"/>
    <w:rsid w:val="44041362"/>
    <w:rsid w:val="4404339F"/>
    <w:rsid w:val="4404573B"/>
    <w:rsid w:val="4404D17E"/>
    <w:rsid w:val="44053A2F"/>
    <w:rsid w:val="4405A6B5"/>
    <w:rsid w:val="440643D7"/>
    <w:rsid w:val="440700E2"/>
    <w:rsid w:val="440733A5"/>
    <w:rsid w:val="440791E1"/>
    <w:rsid w:val="4407C9D4"/>
    <w:rsid w:val="4407F52B"/>
    <w:rsid w:val="4408D180"/>
    <w:rsid w:val="44099DFE"/>
    <w:rsid w:val="440A6789"/>
    <w:rsid w:val="440A88A7"/>
    <w:rsid w:val="440A9FC3"/>
    <w:rsid w:val="440AB86F"/>
    <w:rsid w:val="440B99C0"/>
    <w:rsid w:val="440BB4D1"/>
    <w:rsid w:val="440BE1E7"/>
    <w:rsid w:val="440C070D"/>
    <w:rsid w:val="440C74C9"/>
    <w:rsid w:val="440C8404"/>
    <w:rsid w:val="440CDC77"/>
    <w:rsid w:val="440DA7E0"/>
    <w:rsid w:val="440E5873"/>
    <w:rsid w:val="440ED9B8"/>
    <w:rsid w:val="440FECC3"/>
    <w:rsid w:val="4410A576"/>
    <w:rsid w:val="44113E0F"/>
    <w:rsid w:val="44114EA9"/>
    <w:rsid w:val="44129793"/>
    <w:rsid w:val="4412CA98"/>
    <w:rsid w:val="44132655"/>
    <w:rsid w:val="4413DAF7"/>
    <w:rsid w:val="44142C8D"/>
    <w:rsid w:val="44148066"/>
    <w:rsid w:val="44155378"/>
    <w:rsid w:val="4415C0CD"/>
    <w:rsid w:val="4415E553"/>
    <w:rsid w:val="44165699"/>
    <w:rsid w:val="4416A3B4"/>
    <w:rsid w:val="44179370"/>
    <w:rsid w:val="4417DEFC"/>
    <w:rsid w:val="4418267A"/>
    <w:rsid w:val="4418FFF1"/>
    <w:rsid w:val="4419D6E5"/>
    <w:rsid w:val="441B4C84"/>
    <w:rsid w:val="441B5E8F"/>
    <w:rsid w:val="441B6E0D"/>
    <w:rsid w:val="441CCB54"/>
    <w:rsid w:val="441D3E41"/>
    <w:rsid w:val="441FFCD8"/>
    <w:rsid w:val="44200C77"/>
    <w:rsid w:val="4421AE66"/>
    <w:rsid w:val="44239DE5"/>
    <w:rsid w:val="4425D739"/>
    <w:rsid w:val="4425F557"/>
    <w:rsid w:val="44260E7E"/>
    <w:rsid w:val="44261E8D"/>
    <w:rsid w:val="44273BD2"/>
    <w:rsid w:val="4427846B"/>
    <w:rsid w:val="442964BB"/>
    <w:rsid w:val="442978F6"/>
    <w:rsid w:val="442A1C36"/>
    <w:rsid w:val="442A5EF2"/>
    <w:rsid w:val="442B7365"/>
    <w:rsid w:val="442BF906"/>
    <w:rsid w:val="442CB3DB"/>
    <w:rsid w:val="442CD217"/>
    <w:rsid w:val="442CDB72"/>
    <w:rsid w:val="442D3681"/>
    <w:rsid w:val="442D8838"/>
    <w:rsid w:val="442EDD1C"/>
    <w:rsid w:val="442FA14D"/>
    <w:rsid w:val="44307912"/>
    <w:rsid w:val="4430DA34"/>
    <w:rsid w:val="443288F6"/>
    <w:rsid w:val="4433A96A"/>
    <w:rsid w:val="4433CCED"/>
    <w:rsid w:val="4433F5DA"/>
    <w:rsid w:val="4434914C"/>
    <w:rsid w:val="4434D961"/>
    <w:rsid w:val="4435C323"/>
    <w:rsid w:val="4435F170"/>
    <w:rsid w:val="443724D3"/>
    <w:rsid w:val="4438BE2A"/>
    <w:rsid w:val="443AE4C6"/>
    <w:rsid w:val="443B8CA9"/>
    <w:rsid w:val="443C969F"/>
    <w:rsid w:val="443CBBFE"/>
    <w:rsid w:val="443DAC22"/>
    <w:rsid w:val="443DD3AF"/>
    <w:rsid w:val="443DE221"/>
    <w:rsid w:val="443DEDCA"/>
    <w:rsid w:val="443E36CE"/>
    <w:rsid w:val="443EA3DF"/>
    <w:rsid w:val="443ECE87"/>
    <w:rsid w:val="443ED604"/>
    <w:rsid w:val="443F5886"/>
    <w:rsid w:val="44422E1B"/>
    <w:rsid w:val="4442F700"/>
    <w:rsid w:val="44430DCD"/>
    <w:rsid w:val="44434AC9"/>
    <w:rsid w:val="44445164"/>
    <w:rsid w:val="44449B51"/>
    <w:rsid w:val="4444B9F5"/>
    <w:rsid w:val="44463227"/>
    <w:rsid w:val="44464C22"/>
    <w:rsid w:val="44470921"/>
    <w:rsid w:val="44473834"/>
    <w:rsid w:val="4447907C"/>
    <w:rsid w:val="44485452"/>
    <w:rsid w:val="4448B1C3"/>
    <w:rsid w:val="444A3324"/>
    <w:rsid w:val="444AD600"/>
    <w:rsid w:val="444ADE27"/>
    <w:rsid w:val="444B03B1"/>
    <w:rsid w:val="444B55CC"/>
    <w:rsid w:val="444B63FB"/>
    <w:rsid w:val="444BC092"/>
    <w:rsid w:val="444BD5A5"/>
    <w:rsid w:val="444C2B42"/>
    <w:rsid w:val="444C4B22"/>
    <w:rsid w:val="444D1072"/>
    <w:rsid w:val="444D5F5F"/>
    <w:rsid w:val="444D82BC"/>
    <w:rsid w:val="444DDC23"/>
    <w:rsid w:val="444DE628"/>
    <w:rsid w:val="444FEF61"/>
    <w:rsid w:val="44501815"/>
    <w:rsid w:val="4451EA58"/>
    <w:rsid w:val="44530320"/>
    <w:rsid w:val="44531238"/>
    <w:rsid w:val="445398C0"/>
    <w:rsid w:val="4453AD51"/>
    <w:rsid w:val="4453F06E"/>
    <w:rsid w:val="4454A2D9"/>
    <w:rsid w:val="44556C57"/>
    <w:rsid w:val="44559F3A"/>
    <w:rsid w:val="4455B4AA"/>
    <w:rsid w:val="4455EC0F"/>
    <w:rsid w:val="44565AF8"/>
    <w:rsid w:val="44571484"/>
    <w:rsid w:val="44575A1E"/>
    <w:rsid w:val="4458A1BC"/>
    <w:rsid w:val="4458F20E"/>
    <w:rsid w:val="4459D04B"/>
    <w:rsid w:val="445A100E"/>
    <w:rsid w:val="445B3039"/>
    <w:rsid w:val="445CCC8B"/>
    <w:rsid w:val="445D27E1"/>
    <w:rsid w:val="445D2816"/>
    <w:rsid w:val="445DAB24"/>
    <w:rsid w:val="445E366C"/>
    <w:rsid w:val="445EDD92"/>
    <w:rsid w:val="445FCD3D"/>
    <w:rsid w:val="4461B1FB"/>
    <w:rsid w:val="446253C5"/>
    <w:rsid w:val="44627C8C"/>
    <w:rsid w:val="44629DA2"/>
    <w:rsid w:val="4462FCC5"/>
    <w:rsid w:val="44639B46"/>
    <w:rsid w:val="4463A9DF"/>
    <w:rsid w:val="4464433B"/>
    <w:rsid w:val="4464BA4D"/>
    <w:rsid w:val="4464BDC1"/>
    <w:rsid w:val="44653506"/>
    <w:rsid w:val="4465DBD9"/>
    <w:rsid w:val="446614FD"/>
    <w:rsid w:val="44662F00"/>
    <w:rsid w:val="4466DE84"/>
    <w:rsid w:val="4467F146"/>
    <w:rsid w:val="44680487"/>
    <w:rsid w:val="4468474A"/>
    <w:rsid w:val="4468EC73"/>
    <w:rsid w:val="4469DDCE"/>
    <w:rsid w:val="446A9ACA"/>
    <w:rsid w:val="446AADBC"/>
    <w:rsid w:val="446B20F4"/>
    <w:rsid w:val="446B71E2"/>
    <w:rsid w:val="446B7D78"/>
    <w:rsid w:val="446BD799"/>
    <w:rsid w:val="446C8DC0"/>
    <w:rsid w:val="446CB630"/>
    <w:rsid w:val="446D2A12"/>
    <w:rsid w:val="446E4C25"/>
    <w:rsid w:val="446E6C92"/>
    <w:rsid w:val="446F07A7"/>
    <w:rsid w:val="446F68C2"/>
    <w:rsid w:val="446FAC7E"/>
    <w:rsid w:val="44700912"/>
    <w:rsid w:val="4470265D"/>
    <w:rsid w:val="4470E2DF"/>
    <w:rsid w:val="4471BB38"/>
    <w:rsid w:val="4472A8B3"/>
    <w:rsid w:val="44732AD7"/>
    <w:rsid w:val="447332A1"/>
    <w:rsid w:val="4473F2E4"/>
    <w:rsid w:val="44743315"/>
    <w:rsid w:val="44754D72"/>
    <w:rsid w:val="4476186E"/>
    <w:rsid w:val="4477D116"/>
    <w:rsid w:val="44782F32"/>
    <w:rsid w:val="4478F8D1"/>
    <w:rsid w:val="4478FD09"/>
    <w:rsid w:val="4479F3EC"/>
    <w:rsid w:val="447A03DF"/>
    <w:rsid w:val="447B8BC8"/>
    <w:rsid w:val="447CFCC0"/>
    <w:rsid w:val="447D6419"/>
    <w:rsid w:val="447E0F1B"/>
    <w:rsid w:val="447E4A97"/>
    <w:rsid w:val="447FFD13"/>
    <w:rsid w:val="44801FDC"/>
    <w:rsid w:val="448066F3"/>
    <w:rsid w:val="44808ABC"/>
    <w:rsid w:val="4480B629"/>
    <w:rsid w:val="4480B7DA"/>
    <w:rsid w:val="44817D2D"/>
    <w:rsid w:val="4481D499"/>
    <w:rsid w:val="4481DE92"/>
    <w:rsid w:val="4481E0AC"/>
    <w:rsid w:val="44828F9B"/>
    <w:rsid w:val="4482F0BB"/>
    <w:rsid w:val="44835B1D"/>
    <w:rsid w:val="4484182F"/>
    <w:rsid w:val="4484F923"/>
    <w:rsid w:val="448532E8"/>
    <w:rsid w:val="4485E57B"/>
    <w:rsid w:val="4485FBF0"/>
    <w:rsid w:val="4485FCD3"/>
    <w:rsid w:val="44865A6C"/>
    <w:rsid w:val="4486897C"/>
    <w:rsid w:val="4486CB17"/>
    <w:rsid w:val="44879E4D"/>
    <w:rsid w:val="4487B6B9"/>
    <w:rsid w:val="44886C06"/>
    <w:rsid w:val="4488DA17"/>
    <w:rsid w:val="448ABA12"/>
    <w:rsid w:val="448D6C8A"/>
    <w:rsid w:val="448DD8F0"/>
    <w:rsid w:val="448E464C"/>
    <w:rsid w:val="4490C497"/>
    <w:rsid w:val="4491CCAD"/>
    <w:rsid w:val="4491DF1A"/>
    <w:rsid w:val="4491F1BF"/>
    <w:rsid w:val="44922D7F"/>
    <w:rsid w:val="44930750"/>
    <w:rsid w:val="44931CA1"/>
    <w:rsid w:val="4493A243"/>
    <w:rsid w:val="44949B8D"/>
    <w:rsid w:val="4494D534"/>
    <w:rsid w:val="449711BC"/>
    <w:rsid w:val="44990373"/>
    <w:rsid w:val="449B12FE"/>
    <w:rsid w:val="449B83A9"/>
    <w:rsid w:val="449CACDD"/>
    <w:rsid w:val="449D9859"/>
    <w:rsid w:val="449E1022"/>
    <w:rsid w:val="449E5F21"/>
    <w:rsid w:val="449F4F5B"/>
    <w:rsid w:val="449F5FA0"/>
    <w:rsid w:val="44A233A9"/>
    <w:rsid w:val="44A271E2"/>
    <w:rsid w:val="44A39AAF"/>
    <w:rsid w:val="44A4F93E"/>
    <w:rsid w:val="44A53BAF"/>
    <w:rsid w:val="44A5F851"/>
    <w:rsid w:val="44A61C92"/>
    <w:rsid w:val="44A62F84"/>
    <w:rsid w:val="44A6718F"/>
    <w:rsid w:val="44A69749"/>
    <w:rsid w:val="44A78941"/>
    <w:rsid w:val="44A7DACC"/>
    <w:rsid w:val="44A9EE5B"/>
    <w:rsid w:val="44AA3DD6"/>
    <w:rsid w:val="44AA6BC3"/>
    <w:rsid w:val="44AA7C5C"/>
    <w:rsid w:val="44AAB961"/>
    <w:rsid w:val="44AB183F"/>
    <w:rsid w:val="44AB1916"/>
    <w:rsid w:val="44AB482E"/>
    <w:rsid w:val="44AB6CFD"/>
    <w:rsid w:val="44AB8760"/>
    <w:rsid w:val="44ABD227"/>
    <w:rsid w:val="44AC1BE1"/>
    <w:rsid w:val="44AC60E5"/>
    <w:rsid w:val="44ACDCDA"/>
    <w:rsid w:val="44ADD74F"/>
    <w:rsid w:val="44AEAD5D"/>
    <w:rsid w:val="44AECED4"/>
    <w:rsid w:val="44AEF085"/>
    <w:rsid w:val="44AF471C"/>
    <w:rsid w:val="44B09F6B"/>
    <w:rsid w:val="44B0A688"/>
    <w:rsid w:val="44B0AD37"/>
    <w:rsid w:val="44B16617"/>
    <w:rsid w:val="44B166B3"/>
    <w:rsid w:val="44B1DDCC"/>
    <w:rsid w:val="44B222C8"/>
    <w:rsid w:val="44B22A7E"/>
    <w:rsid w:val="44B2ABD1"/>
    <w:rsid w:val="44B3DBD4"/>
    <w:rsid w:val="44B58B7F"/>
    <w:rsid w:val="44B5CCFD"/>
    <w:rsid w:val="44B5EEF2"/>
    <w:rsid w:val="44B6A5D3"/>
    <w:rsid w:val="44B6D65F"/>
    <w:rsid w:val="44B75D8C"/>
    <w:rsid w:val="44B762FC"/>
    <w:rsid w:val="44B78556"/>
    <w:rsid w:val="44B7D540"/>
    <w:rsid w:val="44B8162C"/>
    <w:rsid w:val="44B8C323"/>
    <w:rsid w:val="44B8F0B9"/>
    <w:rsid w:val="44B93F04"/>
    <w:rsid w:val="44BBB3DE"/>
    <w:rsid w:val="44BC12B7"/>
    <w:rsid w:val="44BE11F6"/>
    <w:rsid w:val="44BF7AAF"/>
    <w:rsid w:val="44C02651"/>
    <w:rsid w:val="44C0634F"/>
    <w:rsid w:val="44C10870"/>
    <w:rsid w:val="44C183CD"/>
    <w:rsid w:val="44C1886B"/>
    <w:rsid w:val="44C39001"/>
    <w:rsid w:val="44C39506"/>
    <w:rsid w:val="44C44470"/>
    <w:rsid w:val="44C5A55B"/>
    <w:rsid w:val="44C5D556"/>
    <w:rsid w:val="44C5E468"/>
    <w:rsid w:val="44C61720"/>
    <w:rsid w:val="44C64716"/>
    <w:rsid w:val="44C66B27"/>
    <w:rsid w:val="44C86418"/>
    <w:rsid w:val="44C87CA0"/>
    <w:rsid w:val="44C8C868"/>
    <w:rsid w:val="44CB065F"/>
    <w:rsid w:val="44CB13F7"/>
    <w:rsid w:val="44CB4399"/>
    <w:rsid w:val="44CB4AD2"/>
    <w:rsid w:val="44CB7964"/>
    <w:rsid w:val="44CBBB46"/>
    <w:rsid w:val="44CC7EB6"/>
    <w:rsid w:val="44CD57E7"/>
    <w:rsid w:val="44CDB0A0"/>
    <w:rsid w:val="44CEB3C3"/>
    <w:rsid w:val="44CF7E7D"/>
    <w:rsid w:val="44CF8BC3"/>
    <w:rsid w:val="44CF9462"/>
    <w:rsid w:val="44D052F1"/>
    <w:rsid w:val="44D24ED5"/>
    <w:rsid w:val="44D319B8"/>
    <w:rsid w:val="44D362F6"/>
    <w:rsid w:val="44D44EDC"/>
    <w:rsid w:val="44D47723"/>
    <w:rsid w:val="44D4AC09"/>
    <w:rsid w:val="44D578B9"/>
    <w:rsid w:val="44D5D4FE"/>
    <w:rsid w:val="44D92C92"/>
    <w:rsid w:val="44D94A2F"/>
    <w:rsid w:val="44D95710"/>
    <w:rsid w:val="44D9ECF1"/>
    <w:rsid w:val="44DA0EDA"/>
    <w:rsid w:val="44DB0CF3"/>
    <w:rsid w:val="44DC3036"/>
    <w:rsid w:val="44DC3AE5"/>
    <w:rsid w:val="44DED2F1"/>
    <w:rsid w:val="44DF7CB4"/>
    <w:rsid w:val="44DF82EF"/>
    <w:rsid w:val="44E04C24"/>
    <w:rsid w:val="44E17FF8"/>
    <w:rsid w:val="44E188CF"/>
    <w:rsid w:val="44E1CE23"/>
    <w:rsid w:val="44E239DD"/>
    <w:rsid w:val="44E26004"/>
    <w:rsid w:val="44E26076"/>
    <w:rsid w:val="44E54A46"/>
    <w:rsid w:val="44E62980"/>
    <w:rsid w:val="44E71752"/>
    <w:rsid w:val="44E76B01"/>
    <w:rsid w:val="44E779E5"/>
    <w:rsid w:val="44E977C1"/>
    <w:rsid w:val="44EA06B3"/>
    <w:rsid w:val="44EC65A6"/>
    <w:rsid w:val="44ECB86E"/>
    <w:rsid w:val="44ED80CC"/>
    <w:rsid w:val="44EE435C"/>
    <w:rsid w:val="44EEB62C"/>
    <w:rsid w:val="44EFE9DF"/>
    <w:rsid w:val="44F15087"/>
    <w:rsid w:val="44F47175"/>
    <w:rsid w:val="44F4C579"/>
    <w:rsid w:val="44F55D9E"/>
    <w:rsid w:val="44F566EF"/>
    <w:rsid w:val="44F5852C"/>
    <w:rsid w:val="44F63635"/>
    <w:rsid w:val="44F63D76"/>
    <w:rsid w:val="44F66F1C"/>
    <w:rsid w:val="44F6E2DE"/>
    <w:rsid w:val="44F6E329"/>
    <w:rsid w:val="44F77137"/>
    <w:rsid w:val="44F80494"/>
    <w:rsid w:val="44F908FD"/>
    <w:rsid w:val="44F94E63"/>
    <w:rsid w:val="44F9C154"/>
    <w:rsid w:val="44FA0DEA"/>
    <w:rsid w:val="44FA5F8D"/>
    <w:rsid w:val="44FD1009"/>
    <w:rsid w:val="44FDCC3A"/>
    <w:rsid w:val="44FE1611"/>
    <w:rsid w:val="44FE3D61"/>
    <w:rsid w:val="44FE459F"/>
    <w:rsid w:val="44FE82E2"/>
    <w:rsid w:val="44FEC40C"/>
    <w:rsid w:val="44FF9914"/>
    <w:rsid w:val="45001025"/>
    <w:rsid w:val="45010F98"/>
    <w:rsid w:val="450134A5"/>
    <w:rsid w:val="45029678"/>
    <w:rsid w:val="45036937"/>
    <w:rsid w:val="45036CD0"/>
    <w:rsid w:val="45044105"/>
    <w:rsid w:val="450450D5"/>
    <w:rsid w:val="45046540"/>
    <w:rsid w:val="4504FEC5"/>
    <w:rsid w:val="4505AE6D"/>
    <w:rsid w:val="45062DDB"/>
    <w:rsid w:val="45072790"/>
    <w:rsid w:val="450755F8"/>
    <w:rsid w:val="45076F41"/>
    <w:rsid w:val="45081290"/>
    <w:rsid w:val="4508E7E6"/>
    <w:rsid w:val="450916EF"/>
    <w:rsid w:val="45091B11"/>
    <w:rsid w:val="4509442F"/>
    <w:rsid w:val="450A7CA1"/>
    <w:rsid w:val="450ADE69"/>
    <w:rsid w:val="450CD75C"/>
    <w:rsid w:val="450CEC4B"/>
    <w:rsid w:val="450F094C"/>
    <w:rsid w:val="450FB211"/>
    <w:rsid w:val="4511C9F5"/>
    <w:rsid w:val="4512EC22"/>
    <w:rsid w:val="45143A68"/>
    <w:rsid w:val="45150976"/>
    <w:rsid w:val="4515A686"/>
    <w:rsid w:val="4515B431"/>
    <w:rsid w:val="45161334"/>
    <w:rsid w:val="45161810"/>
    <w:rsid w:val="4516399C"/>
    <w:rsid w:val="45168DDD"/>
    <w:rsid w:val="4516F719"/>
    <w:rsid w:val="4516FBA2"/>
    <w:rsid w:val="45172F40"/>
    <w:rsid w:val="4517BB11"/>
    <w:rsid w:val="45184DDE"/>
    <w:rsid w:val="45185CF7"/>
    <w:rsid w:val="45186F71"/>
    <w:rsid w:val="451A4517"/>
    <w:rsid w:val="451C5BCF"/>
    <w:rsid w:val="451C6A97"/>
    <w:rsid w:val="451C8605"/>
    <w:rsid w:val="451D3CAA"/>
    <w:rsid w:val="451E277A"/>
    <w:rsid w:val="451F46AF"/>
    <w:rsid w:val="4520510C"/>
    <w:rsid w:val="452053FC"/>
    <w:rsid w:val="45216CD4"/>
    <w:rsid w:val="45220290"/>
    <w:rsid w:val="45242A12"/>
    <w:rsid w:val="45249E05"/>
    <w:rsid w:val="4525ECDC"/>
    <w:rsid w:val="45267B18"/>
    <w:rsid w:val="45271CC3"/>
    <w:rsid w:val="45273766"/>
    <w:rsid w:val="452752B0"/>
    <w:rsid w:val="45277A0F"/>
    <w:rsid w:val="4527D3C4"/>
    <w:rsid w:val="452852B6"/>
    <w:rsid w:val="4528A122"/>
    <w:rsid w:val="452A8FF3"/>
    <w:rsid w:val="452C5AD1"/>
    <w:rsid w:val="452CDBD3"/>
    <w:rsid w:val="452E031F"/>
    <w:rsid w:val="452EA9F7"/>
    <w:rsid w:val="452F8615"/>
    <w:rsid w:val="45306E0F"/>
    <w:rsid w:val="45315599"/>
    <w:rsid w:val="4532FA14"/>
    <w:rsid w:val="4533AC12"/>
    <w:rsid w:val="4533CB3F"/>
    <w:rsid w:val="453448FE"/>
    <w:rsid w:val="4536BAF1"/>
    <w:rsid w:val="4537D6B6"/>
    <w:rsid w:val="45380C2B"/>
    <w:rsid w:val="45398D0E"/>
    <w:rsid w:val="4539B4A2"/>
    <w:rsid w:val="4539DD4F"/>
    <w:rsid w:val="4539F6ED"/>
    <w:rsid w:val="453A5F31"/>
    <w:rsid w:val="453B4823"/>
    <w:rsid w:val="453B78A8"/>
    <w:rsid w:val="453C7238"/>
    <w:rsid w:val="453CA82D"/>
    <w:rsid w:val="453D30E1"/>
    <w:rsid w:val="453D9DCA"/>
    <w:rsid w:val="453ECDB5"/>
    <w:rsid w:val="453F4D07"/>
    <w:rsid w:val="453F54A7"/>
    <w:rsid w:val="453F5615"/>
    <w:rsid w:val="45405DD2"/>
    <w:rsid w:val="4540E678"/>
    <w:rsid w:val="45411C61"/>
    <w:rsid w:val="454290A3"/>
    <w:rsid w:val="4543785F"/>
    <w:rsid w:val="4543C6F0"/>
    <w:rsid w:val="4544C86D"/>
    <w:rsid w:val="4544D4BE"/>
    <w:rsid w:val="4544F6F5"/>
    <w:rsid w:val="45475AC5"/>
    <w:rsid w:val="4547C039"/>
    <w:rsid w:val="4548289D"/>
    <w:rsid w:val="45493F12"/>
    <w:rsid w:val="45497C1D"/>
    <w:rsid w:val="4549E552"/>
    <w:rsid w:val="4549FD9F"/>
    <w:rsid w:val="454AE4EB"/>
    <w:rsid w:val="454B2087"/>
    <w:rsid w:val="454B32B8"/>
    <w:rsid w:val="454B75D8"/>
    <w:rsid w:val="454C39BC"/>
    <w:rsid w:val="454CF844"/>
    <w:rsid w:val="454D13B1"/>
    <w:rsid w:val="454D2993"/>
    <w:rsid w:val="454D67E9"/>
    <w:rsid w:val="454E7194"/>
    <w:rsid w:val="454EED8B"/>
    <w:rsid w:val="45506674"/>
    <w:rsid w:val="4550BD27"/>
    <w:rsid w:val="4550C830"/>
    <w:rsid w:val="4551708D"/>
    <w:rsid w:val="4551DB87"/>
    <w:rsid w:val="4551E40B"/>
    <w:rsid w:val="4551ED90"/>
    <w:rsid w:val="4553B304"/>
    <w:rsid w:val="45540471"/>
    <w:rsid w:val="455525C5"/>
    <w:rsid w:val="4555F8F8"/>
    <w:rsid w:val="45561ABC"/>
    <w:rsid w:val="45562AA1"/>
    <w:rsid w:val="45564F21"/>
    <w:rsid w:val="45565690"/>
    <w:rsid w:val="45567EE7"/>
    <w:rsid w:val="4556E5D5"/>
    <w:rsid w:val="45576D6F"/>
    <w:rsid w:val="45576E99"/>
    <w:rsid w:val="4557FA9A"/>
    <w:rsid w:val="45581B6A"/>
    <w:rsid w:val="4558FBF3"/>
    <w:rsid w:val="45594E86"/>
    <w:rsid w:val="4559C7DF"/>
    <w:rsid w:val="4559DFA2"/>
    <w:rsid w:val="455A55F1"/>
    <w:rsid w:val="455C27F5"/>
    <w:rsid w:val="455C4CFD"/>
    <w:rsid w:val="455CBA27"/>
    <w:rsid w:val="455DB999"/>
    <w:rsid w:val="455DDEE3"/>
    <w:rsid w:val="455DE897"/>
    <w:rsid w:val="455E86D9"/>
    <w:rsid w:val="455F1B81"/>
    <w:rsid w:val="455F9802"/>
    <w:rsid w:val="456041A4"/>
    <w:rsid w:val="45609A74"/>
    <w:rsid w:val="4560AC99"/>
    <w:rsid w:val="45612888"/>
    <w:rsid w:val="45616995"/>
    <w:rsid w:val="4561B2C7"/>
    <w:rsid w:val="4561BD5B"/>
    <w:rsid w:val="45624C0A"/>
    <w:rsid w:val="45626B79"/>
    <w:rsid w:val="45637AD8"/>
    <w:rsid w:val="4563ACAD"/>
    <w:rsid w:val="45641376"/>
    <w:rsid w:val="45645AC0"/>
    <w:rsid w:val="456499A4"/>
    <w:rsid w:val="456550F7"/>
    <w:rsid w:val="4565F862"/>
    <w:rsid w:val="45683DFF"/>
    <w:rsid w:val="45684292"/>
    <w:rsid w:val="45697E33"/>
    <w:rsid w:val="45698067"/>
    <w:rsid w:val="456AD091"/>
    <w:rsid w:val="456B1D84"/>
    <w:rsid w:val="456B56E5"/>
    <w:rsid w:val="456BA170"/>
    <w:rsid w:val="456BEDFE"/>
    <w:rsid w:val="456C25A1"/>
    <w:rsid w:val="456D85FC"/>
    <w:rsid w:val="456E9D01"/>
    <w:rsid w:val="456FB325"/>
    <w:rsid w:val="4570678A"/>
    <w:rsid w:val="4570DEEA"/>
    <w:rsid w:val="457151CB"/>
    <w:rsid w:val="45723F43"/>
    <w:rsid w:val="45725D40"/>
    <w:rsid w:val="4572D410"/>
    <w:rsid w:val="457329B2"/>
    <w:rsid w:val="457376EE"/>
    <w:rsid w:val="4573F51B"/>
    <w:rsid w:val="4575A0CD"/>
    <w:rsid w:val="4577B787"/>
    <w:rsid w:val="45786FAE"/>
    <w:rsid w:val="457A65B4"/>
    <w:rsid w:val="457B1C69"/>
    <w:rsid w:val="457D459D"/>
    <w:rsid w:val="457DBA76"/>
    <w:rsid w:val="457E6981"/>
    <w:rsid w:val="45819500"/>
    <w:rsid w:val="4582F366"/>
    <w:rsid w:val="458496B3"/>
    <w:rsid w:val="45857E75"/>
    <w:rsid w:val="458631FC"/>
    <w:rsid w:val="45864C8F"/>
    <w:rsid w:val="45875373"/>
    <w:rsid w:val="4587E5EF"/>
    <w:rsid w:val="4587EB62"/>
    <w:rsid w:val="4587FAC2"/>
    <w:rsid w:val="45882A6F"/>
    <w:rsid w:val="45889B36"/>
    <w:rsid w:val="45898C69"/>
    <w:rsid w:val="458A61B5"/>
    <w:rsid w:val="458B3F64"/>
    <w:rsid w:val="458BD9AC"/>
    <w:rsid w:val="458CEC2F"/>
    <w:rsid w:val="458D89A3"/>
    <w:rsid w:val="458DE021"/>
    <w:rsid w:val="458EC780"/>
    <w:rsid w:val="45900480"/>
    <w:rsid w:val="4590CCBC"/>
    <w:rsid w:val="459116CC"/>
    <w:rsid w:val="4591CD73"/>
    <w:rsid w:val="45922A08"/>
    <w:rsid w:val="4593FA89"/>
    <w:rsid w:val="459534C5"/>
    <w:rsid w:val="45963F2E"/>
    <w:rsid w:val="45964C89"/>
    <w:rsid w:val="4596A084"/>
    <w:rsid w:val="4597D5EC"/>
    <w:rsid w:val="45982659"/>
    <w:rsid w:val="459845CF"/>
    <w:rsid w:val="4598A16E"/>
    <w:rsid w:val="4599C423"/>
    <w:rsid w:val="4599D55C"/>
    <w:rsid w:val="459B9BD6"/>
    <w:rsid w:val="459CB169"/>
    <w:rsid w:val="459CD585"/>
    <w:rsid w:val="459D12B1"/>
    <w:rsid w:val="459FDD69"/>
    <w:rsid w:val="459FE44F"/>
    <w:rsid w:val="45A0FBB6"/>
    <w:rsid w:val="45A173C1"/>
    <w:rsid w:val="45A2F1CB"/>
    <w:rsid w:val="45A2FE57"/>
    <w:rsid w:val="45A33AA5"/>
    <w:rsid w:val="45A42666"/>
    <w:rsid w:val="45A4D54F"/>
    <w:rsid w:val="45A5E952"/>
    <w:rsid w:val="45A7FF6E"/>
    <w:rsid w:val="45A97910"/>
    <w:rsid w:val="45A9CD64"/>
    <w:rsid w:val="45AA569E"/>
    <w:rsid w:val="45AB90CC"/>
    <w:rsid w:val="45ACC1D4"/>
    <w:rsid w:val="45AD2208"/>
    <w:rsid w:val="45AD3D70"/>
    <w:rsid w:val="45AE1173"/>
    <w:rsid w:val="45AEB980"/>
    <w:rsid w:val="45AF3955"/>
    <w:rsid w:val="45B0B7DE"/>
    <w:rsid w:val="45B16669"/>
    <w:rsid w:val="45B1D490"/>
    <w:rsid w:val="45B20EA5"/>
    <w:rsid w:val="45B2BCB2"/>
    <w:rsid w:val="45B2EE8C"/>
    <w:rsid w:val="45B32CEC"/>
    <w:rsid w:val="45B49DD5"/>
    <w:rsid w:val="45B4CABE"/>
    <w:rsid w:val="45B5D6AA"/>
    <w:rsid w:val="45B5ECE0"/>
    <w:rsid w:val="45B675BB"/>
    <w:rsid w:val="45B67C59"/>
    <w:rsid w:val="45B6B0CC"/>
    <w:rsid w:val="45B6C181"/>
    <w:rsid w:val="45B70050"/>
    <w:rsid w:val="45B7F9AE"/>
    <w:rsid w:val="45B95ADF"/>
    <w:rsid w:val="45B98511"/>
    <w:rsid w:val="45B9BB7E"/>
    <w:rsid w:val="45B9D868"/>
    <w:rsid w:val="45BA42CA"/>
    <w:rsid w:val="45BA48EB"/>
    <w:rsid w:val="45BA5105"/>
    <w:rsid w:val="45BA56EB"/>
    <w:rsid w:val="45BA6037"/>
    <w:rsid w:val="45BA6F3E"/>
    <w:rsid w:val="45BA9539"/>
    <w:rsid w:val="45BAFCC9"/>
    <w:rsid w:val="45BB56E0"/>
    <w:rsid w:val="45BC701D"/>
    <w:rsid w:val="45BDB749"/>
    <w:rsid w:val="45BDC99F"/>
    <w:rsid w:val="45BED4B0"/>
    <w:rsid w:val="45C02D48"/>
    <w:rsid w:val="45C0457A"/>
    <w:rsid w:val="45C0ACEE"/>
    <w:rsid w:val="45C0FDB0"/>
    <w:rsid w:val="45C1AF36"/>
    <w:rsid w:val="45C26621"/>
    <w:rsid w:val="45C31511"/>
    <w:rsid w:val="45C32368"/>
    <w:rsid w:val="45C38837"/>
    <w:rsid w:val="45C3FA94"/>
    <w:rsid w:val="45C4769F"/>
    <w:rsid w:val="45C4DD33"/>
    <w:rsid w:val="45C64469"/>
    <w:rsid w:val="45C669DD"/>
    <w:rsid w:val="45C75F8F"/>
    <w:rsid w:val="45C7FF15"/>
    <w:rsid w:val="45CB266D"/>
    <w:rsid w:val="45CB46C2"/>
    <w:rsid w:val="45CB6544"/>
    <w:rsid w:val="45CBC3F0"/>
    <w:rsid w:val="45CCCD30"/>
    <w:rsid w:val="45CDE871"/>
    <w:rsid w:val="45CE0107"/>
    <w:rsid w:val="45CF527F"/>
    <w:rsid w:val="45D065C2"/>
    <w:rsid w:val="45D1E826"/>
    <w:rsid w:val="45D1F195"/>
    <w:rsid w:val="45D299E8"/>
    <w:rsid w:val="45D2C965"/>
    <w:rsid w:val="45D2FB26"/>
    <w:rsid w:val="45D33EB5"/>
    <w:rsid w:val="45D3CAA4"/>
    <w:rsid w:val="45D51137"/>
    <w:rsid w:val="45D7CEAB"/>
    <w:rsid w:val="45D7F7D1"/>
    <w:rsid w:val="45D86207"/>
    <w:rsid w:val="45D93A1B"/>
    <w:rsid w:val="45D991FF"/>
    <w:rsid w:val="45DABA03"/>
    <w:rsid w:val="45DB0536"/>
    <w:rsid w:val="45DB81BD"/>
    <w:rsid w:val="45DC52A3"/>
    <w:rsid w:val="45DC5517"/>
    <w:rsid w:val="45E21980"/>
    <w:rsid w:val="45E24454"/>
    <w:rsid w:val="45E33D73"/>
    <w:rsid w:val="45E38D97"/>
    <w:rsid w:val="45E3E1E5"/>
    <w:rsid w:val="45E4695D"/>
    <w:rsid w:val="45E5316D"/>
    <w:rsid w:val="45E602A5"/>
    <w:rsid w:val="45E63705"/>
    <w:rsid w:val="45E6766C"/>
    <w:rsid w:val="45E7973C"/>
    <w:rsid w:val="45E862A5"/>
    <w:rsid w:val="45E8C689"/>
    <w:rsid w:val="45E962E0"/>
    <w:rsid w:val="45E968C5"/>
    <w:rsid w:val="45EAC613"/>
    <w:rsid w:val="45EB19C2"/>
    <w:rsid w:val="45EB4733"/>
    <w:rsid w:val="45EC6302"/>
    <w:rsid w:val="45EC8FE4"/>
    <w:rsid w:val="45ECA851"/>
    <w:rsid w:val="45ECACE6"/>
    <w:rsid w:val="45ECBBCD"/>
    <w:rsid w:val="45ED67A1"/>
    <w:rsid w:val="45EDCEF1"/>
    <w:rsid w:val="45EE18ED"/>
    <w:rsid w:val="45EE1A90"/>
    <w:rsid w:val="45EE267B"/>
    <w:rsid w:val="45EE32AB"/>
    <w:rsid w:val="45F03192"/>
    <w:rsid w:val="45F05777"/>
    <w:rsid w:val="45F10850"/>
    <w:rsid w:val="45F29620"/>
    <w:rsid w:val="45F39F09"/>
    <w:rsid w:val="45F3E97D"/>
    <w:rsid w:val="45F46D55"/>
    <w:rsid w:val="45F51387"/>
    <w:rsid w:val="45F57CF7"/>
    <w:rsid w:val="45F57E73"/>
    <w:rsid w:val="45F648F9"/>
    <w:rsid w:val="45F69974"/>
    <w:rsid w:val="45F7DD11"/>
    <w:rsid w:val="45F7E23F"/>
    <w:rsid w:val="45F832B1"/>
    <w:rsid w:val="45F8D6F1"/>
    <w:rsid w:val="45F8FAFD"/>
    <w:rsid w:val="45F92F76"/>
    <w:rsid w:val="45FA1ED3"/>
    <w:rsid w:val="45FB36E6"/>
    <w:rsid w:val="45FC474D"/>
    <w:rsid w:val="45FDF31C"/>
    <w:rsid w:val="45FF99F1"/>
    <w:rsid w:val="46019FEF"/>
    <w:rsid w:val="4601D5D6"/>
    <w:rsid w:val="460223FB"/>
    <w:rsid w:val="4602CCC9"/>
    <w:rsid w:val="46032DC0"/>
    <w:rsid w:val="46059ACE"/>
    <w:rsid w:val="460604EB"/>
    <w:rsid w:val="4606BCD8"/>
    <w:rsid w:val="460760B0"/>
    <w:rsid w:val="46076E52"/>
    <w:rsid w:val="46093AD8"/>
    <w:rsid w:val="460A9431"/>
    <w:rsid w:val="460AE2F5"/>
    <w:rsid w:val="460B4A87"/>
    <w:rsid w:val="460C06AC"/>
    <w:rsid w:val="460C1AAD"/>
    <w:rsid w:val="460D048C"/>
    <w:rsid w:val="460D54E5"/>
    <w:rsid w:val="460E8955"/>
    <w:rsid w:val="460F02E2"/>
    <w:rsid w:val="461023C8"/>
    <w:rsid w:val="46108456"/>
    <w:rsid w:val="46124C8B"/>
    <w:rsid w:val="4612C7C3"/>
    <w:rsid w:val="4612ECC0"/>
    <w:rsid w:val="4612FBB1"/>
    <w:rsid w:val="46135E37"/>
    <w:rsid w:val="461376EC"/>
    <w:rsid w:val="4613CD85"/>
    <w:rsid w:val="46141716"/>
    <w:rsid w:val="4614C537"/>
    <w:rsid w:val="46150186"/>
    <w:rsid w:val="461591A2"/>
    <w:rsid w:val="46169474"/>
    <w:rsid w:val="4617EA04"/>
    <w:rsid w:val="4619640D"/>
    <w:rsid w:val="461AB88B"/>
    <w:rsid w:val="461B0D12"/>
    <w:rsid w:val="461B150D"/>
    <w:rsid w:val="461B6C69"/>
    <w:rsid w:val="461BEFDC"/>
    <w:rsid w:val="461CCD28"/>
    <w:rsid w:val="461D6C5F"/>
    <w:rsid w:val="461D9E7D"/>
    <w:rsid w:val="461EF9CE"/>
    <w:rsid w:val="461F321D"/>
    <w:rsid w:val="46206A18"/>
    <w:rsid w:val="4622A16E"/>
    <w:rsid w:val="462370B4"/>
    <w:rsid w:val="4623EE96"/>
    <w:rsid w:val="4623FECC"/>
    <w:rsid w:val="462570A8"/>
    <w:rsid w:val="46261116"/>
    <w:rsid w:val="4626E083"/>
    <w:rsid w:val="4627347F"/>
    <w:rsid w:val="4627C69F"/>
    <w:rsid w:val="46285E39"/>
    <w:rsid w:val="4628D8BC"/>
    <w:rsid w:val="462950AB"/>
    <w:rsid w:val="4629C135"/>
    <w:rsid w:val="462ABAFA"/>
    <w:rsid w:val="462AC1CA"/>
    <w:rsid w:val="462AD825"/>
    <w:rsid w:val="462B3154"/>
    <w:rsid w:val="462CD3EA"/>
    <w:rsid w:val="462E93C2"/>
    <w:rsid w:val="46309EEC"/>
    <w:rsid w:val="4630AE9C"/>
    <w:rsid w:val="4630FAD0"/>
    <w:rsid w:val="46312C7C"/>
    <w:rsid w:val="463135DE"/>
    <w:rsid w:val="46315767"/>
    <w:rsid w:val="463177EE"/>
    <w:rsid w:val="4631F0EA"/>
    <w:rsid w:val="463235C0"/>
    <w:rsid w:val="4633F0D2"/>
    <w:rsid w:val="46358E13"/>
    <w:rsid w:val="46360DAB"/>
    <w:rsid w:val="46370C6D"/>
    <w:rsid w:val="4639CF5B"/>
    <w:rsid w:val="463A6F0E"/>
    <w:rsid w:val="463B6665"/>
    <w:rsid w:val="463BBF75"/>
    <w:rsid w:val="463CD8C9"/>
    <w:rsid w:val="463DC558"/>
    <w:rsid w:val="463E05D4"/>
    <w:rsid w:val="463E72FD"/>
    <w:rsid w:val="463E9AAB"/>
    <w:rsid w:val="463EA9FC"/>
    <w:rsid w:val="463EC621"/>
    <w:rsid w:val="463EF4FA"/>
    <w:rsid w:val="4641148F"/>
    <w:rsid w:val="46414E26"/>
    <w:rsid w:val="46415FB7"/>
    <w:rsid w:val="4641B2FB"/>
    <w:rsid w:val="46426E94"/>
    <w:rsid w:val="4642AF8F"/>
    <w:rsid w:val="46439725"/>
    <w:rsid w:val="4643FF09"/>
    <w:rsid w:val="46445053"/>
    <w:rsid w:val="4644818F"/>
    <w:rsid w:val="4644A8D2"/>
    <w:rsid w:val="46451084"/>
    <w:rsid w:val="4645A196"/>
    <w:rsid w:val="4646CC27"/>
    <w:rsid w:val="4646EA07"/>
    <w:rsid w:val="464775B3"/>
    <w:rsid w:val="4647E2E6"/>
    <w:rsid w:val="4648FE8D"/>
    <w:rsid w:val="464977D5"/>
    <w:rsid w:val="4649DB43"/>
    <w:rsid w:val="464C1099"/>
    <w:rsid w:val="464D72BD"/>
    <w:rsid w:val="464E6718"/>
    <w:rsid w:val="464E6C0F"/>
    <w:rsid w:val="46501549"/>
    <w:rsid w:val="46515453"/>
    <w:rsid w:val="4651613C"/>
    <w:rsid w:val="46518749"/>
    <w:rsid w:val="465256C9"/>
    <w:rsid w:val="46528356"/>
    <w:rsid w:val="4653EE6E"/>
    <w:rsid w:val="4654282E"/>
    <w:rsid w:val="4654A8DF"/>
    <w:rsid w:val="4657B5BB"/>
    <w:rsid w:val="465859E1"/>
    <w:rsid w:val="46587000"/>
    <w:rsid w:val="4658D15A"/>
    <w:rsid w:val="46599C10"/>
    <w:rsid w:val="465A411D"/>
    <w:rsid w:val="465AA2CE"/>
    <w:rsid w:val="465DF30D"/>
    <w:rsid w:val="465EC87A"/>
    <w:rsid w:val="465F8CC4"/>
    <w:rsid w:val="4660538C"/>
    <w:rsid w:val="466213A2"/>
    <w:rsid w:val="46628E02"/>
    <w:rsid w:val="4662DFDA"/>
    <w:rsid w:val="46631875"/>
    <w:rsid w:val="4663222F"/>
    <w:rsid w:val="46644819"/>
    <w:rsid w:val="466483E0"/>
    <w:rsid w:val="4664D137"/>
    <w:rsid w:val="4665A07E"/>
    <w:rsid w:val="46676B6A"/>
    <w:rsid w:val="4668BD50"/>
    <w:rsid w:val="4668DD4F"/>
    <w:rsid w:val="4669DF5F"/>
    <w:rsid w:val="4669F65F"/>
    <w:rsid w:val="466B01E7"/>
    <w:rsid w:val="466C0B86"/>
    <w:rsid w:val="466C7493"/>
    <w:rsid w:val="466C9EBE"/>
    <w:rsid w:val="466DB0F8"/>
    <w:rsid w:val="466DBAD1"/>
    <w:rsid w:val="466DF460"/>
    <w:rsid w:val="466E5A17"/>
    <w:rsid w:val="46703293"/>
    <w:rsid w:val="46704F14"/>
    <w:rsid w:val="4670A656"/>
    <w:rsid w:val="4671693F"/>
    <w:rsid w:val="46722B91"/>
    <w:rsid w:val="467266DC"/>
    <w:rsid w:val="4672A2D2"/>
    <w:rsid w:val="4672C262"/>
    <w:rsid w:val="4672D949"/>
    <w:rsid w:val="4673D5C1"/>
    <w:rsid w:val="4673E10E"/>
    <w:rsid w:val="4674B19B"/>
    <w:rsid w:val="46751F0F"/>
    <w:rsid w:val="46763929"/>
    <w:rsid w:val="46770E81"/>
    <w:rsid w:val="4677374C"/>
    <w:rsid w:val="46775D7C"/>
    <w:rsid w:val="46783551"/>
    <w:rsid w:val="4678DBD7"/>
    <w:rsid w:val="4679B908"/>
    <w:rsid w:val="467B3169"/>
    <w:rsid w:val="467B770A"/>
    <w:rsid w:val="467D0160"/>
    <w:rsid w:val="467D24D4"/>
    <w:rsid w:val="467DB0AD"/>
    <w:rsid w:val="467E4D72"/>
    <w:rsid w:val="467EC2B5"/>
    <w:rsid w:val="467F6D63"/>
    <w:rsid w:val="467FD8B4"/>
    <w:rsid w:val="467FE6D2"/>
    <w:rsid w:val="46805365"/>
    <w:rsid w:val="46808033"/>
    <w:rsid w:val="4680A534"/>
    <w:rsid w:val="4681604F"/>
    <w:rsid w:val="4681BA82"/>
    <w:rsid w:val="46827CA9"/>
    <w:rsid w:val="46836B8C"/>
    <w:rsid w:val="468473CD"/>
    <w:rsid w:val="4684B899"/>
    <w:rsid w:val="4684E902"/>
    <w:rsid w:val="468521F1"/>
    <w:rsid w:val="46852A77"/>
    <w:rsid w:val="4686406B"/>
    <w:rsid w:val="46865373"/>
    <w:rsid w:val="4686BEC0"/>
    <w:rsid w:val="4686E3CA"/>
    <w:rsid w:val="4686E978"/>
    <w:rsid w:val="468736BE"/>
    <w:rsid w:val="468752A1"/>
    <w:rsid w:val="4688507A"/>
    <w:rsid w:val="4688907F"/>
    <w:rsid w:val="46889C98"/>
    <w:rsid w:val="4688C78E"/>
    <w:rsid w:val="46896419"/>
    <w:rsid w:val="4689641B"/>
    <w:rsid w:val="46897E91"/>
    <w:rsid w:val="46898496"/>
    <w:rsid w:val="468A1BE7"/>
    <w:rsid w:val="468A55A5"/>
    <w:rsid w:val="468AB0E9"/>
    <w:rsid w:val="468B7A61"/>
    <w:rsid w:val="468D56E5"/>
    <w:rsid w:val="468DCE92"/>
    <w:rsid w:val="468DEA62"/>
    <w:rsid w:val="468E3AB8"/>
    <w:rsid w:val="468F12B6"/>
    <w:rsid w:val="468F4B61"/>
    <w:rsid w:val="468F9ECD"/>
    <w:rsid w:val="468FE9E8"/>
    <w:rsid w:val="4690BE63"/>
    <w:rsid w:val="4690F171"/>
    <w:rsid w:val="46913077"/>
    <w:rsid w:val="46917F28"/>
    <w:rsid w:val="4691A17F"/>
    <w:rsid w:val="4691BCC9"/>
    <w:rsid w:val="46921BDF"/>
    <w:rsid w:val="469367BB"/>
    <w:rsid w:val="46941EB6"/>
    <w:rsid w:val="469496E8"/>
    <w:rsid w:val="46951C3A"/>
    <w:rsid w:val="4695F945"/>
    <w:rsid w:val="469641B5"/>
    <w:rsid w:val="46977E33"/>
    <w:rsid w:val="4697DC3F"/>
    <w:rsid w:val="469AD02B"/>
    <w:rsid w:val="469B991F"/>
    <w:rsid w:val="469CD80E"/>
    <w:rsid w:val="469DD191"/>
    <w:rsid w:val="469DE743"/>
    <w:rsid w:val="469F5FBD"/>
    <w:rsid w:val="469F9AE0"/>
    <w:rsid w:val="46A08A0A"/>
    <w:rsid w:val="46A08AD2"/>
    <w:rsid w:val="46A08EFC"/>
    <w:rsid w:val="46A14720"/>
    <w:rsid w:val="46A25F3B"/>
    <w:rsid w:val="46A2EA15"/>
    <w:rsid w:val="46A3E180"/>
    <w:rsid w:val="46A476A3"/>
    <w:rsid w:val="46A495D3"/>
    <w:rsid w:val="46A4A095"/>
    <w:rsid w:val="46A4A814"/>
    <w:rsid w:val="46A4B1C8"/>
    <w:rsid w:val="46A4FB49"/>
    <w:rsid w:val="46A59CA9"/>
    <w:rsid w:val="46A6CBDC"/>
    <w:rsid w:val="46A7045F"/>
    <w:rsid w:val="46A70BA3"/>
    <w:rsid w:val="46A7FD26"/>
    <w:rsid w:val="46A81AF0"/>
    <w:rsid w:val="46A8519D"/>
    <w:rsid w:val="46A9619D"/>
    <w:rsid w:val="46A9B7E9"/>
    <w:rsid w:val="46A9D1DE"/>
    <w:rsid w:val="46AA2D14"/>
    <w:rsid w:val="46AA465E"/>
    <w:rsid w:val="46AB1FFC"/>
    <w:rsid w:val="46ABB13A"/>
    <w:rsid w:val="46AC024C"/>
    <w:rsid w:val="46AC68EB"/>
    <w:rsid w:val="46ACA1D8"/>
    <w:rsid w:val="46ADEFA8"/>
    <w:rsid w:val="46AE0F79"/>
    <w:rsid w:val="46AE44AF"/>
    <w:rsid w:val="46B01361"/>
    <w:rsid w:val="46B0CDA3"/>
    <w:rsid w:val="46B3CE90"/>
    <w:rsid w:val="46B3FBA4"/>
    <w:rsid w:val="46B3FF91"/>
    <w:rsid w:val="46B47C6D"/>
    <w:rsid w:val="46B4AD66"/>
    <w:rsid w:val="46B4D22A"/>
    <w:rsid w:val="46B4D255"/>
    <w:rsid w:val="46B61269"/>
    <w:rsid w:val="46B61648"/>
    <w:rsid w:val="46B6B6E8"/>
    <w:rsid w:val="46B6E4BF"/>
    <w:rsid w:val="46B6F800"/>
    <w:rsid w:val="46B70EFF"/>
    <w:rsid w:val="46B7EE81"/>
    <w:rsid w:val="46B84791"/>
    <w:rsid w:val="46B8B626"/>
    <w:rsid w:val="46BAF74F"/>
    <w:rsid w:val="46BB5FD0"/>
    <w:rsid w:val="46BD90F7"/>
    <w:rsid w:val="46BD9C1F"/>
    <w:rsid w:val="46BEF7BE"/>
    <w:rsid w:val="46BF0417"/>
    <w:rsid w:val="46C0A501"/>
    <w:rsid w:val="46C0E85B"/>
    <w:rsid w:val="46C0EAD6"/>
    <w:rsid w:val="46C126C1"/>
    <w:rsid w:val="46C1D10A"/>
    <w:rsid w:val="46C21359"/>
    <w:rsid w:val="46C248A4"/>
    <w:rsid w:val="46C2EF5B"/>
    <w:rsid w:val="46C4D789"/>
    <w:rsid w:val="46C4EB27"/>
    <w:rsid w:val="46C55E0F"/>
    <w:rsid w:val="46C5E3F7"/>
    <w:rsid w:val="46C65A57"/>
    <w:rsid w:val="46C76614"/>
    <w:rsid w:val="46C7E6BC"/>
    <w:rsid w:val="46CA08E3"/>
    <w:rsid w:val="46CA3C08"/>
    <w:rsid w:val="46CA91AD"/>
    <w:rsid w:val="46CADC49"/>
    <w:rsid w:val="46CBD098"/>
    <w:rsid w:val="46CCA980"/>
    <w:rsid w:val="46CE19C1"/>
    <w:rsid w:val="46D151D8"/>
    <w:rsid w:val="46D19ACF"/>
    <w:rsid w:val="46D1A56C"/>
    <w:rsid w:val="46D1C9C6"/>
    <w:rsid w:val="46D202F4"/>
    <w:rsid w:val="46D214A3"/>
    <w:rsid w:val="46D218E1"/>
    <w:rsid w:val="46D251F0"/>
    <w:rsid w:val="46D2EE2B"/>
    <w:rsid w:val="46D3952F"/>
    <w:rsid w:val="46D5B817"/>
    <w:rsid w:val="46D60FE0"/>
    <w:rsid w:val="46D71720"/>
    <w:rsid w:val="46D879DD"/>
    <w:rsid w:val="46D8BFE4"/>
    <w:rsid w:val="46DABC3D"/>
    <w:rsid w:val="46DAF7E0"/>
    <w:rsid w:val="46DB28E2"/>
    <w:rsid w:val="46DBF40E"/>
    <w:rsid w:val="46DC278C"/>
    <w:rsid w:val="46DC6B84"/>
    <w:rsid w:val="46DCB2EA"/>
    <w:rsid w:val="46DCCC7D"/>
    <w:rsid w:val="46DD6A62"/>
    <w:rsid w:val="46DDCC7B"/>
    <w:rsid w:val="46DECF01"/>
    <w:rsid w:val="46E03259"/>
    <w:rsid w:val="46E1A0DA"/>
    <w:rsid w:val="46E1F54F"/>
    <w:rsid w:val="46E2C02D"/>
    <w:rsid w:val="46E3D2FB"/>
    <w:rsid w:val="46E3DF86"/>
    <w:rsid w:val="46E49709"/>
    <w:rsid w:val="46E49725"/>
    <w:rsid w:val="46E4A0C7"/>
    <w:rsid w:val="46E4AF37"/>
    <w:rsid w:val="46E5616E"/>
    <w:rsid w:val="46E5BCA1"/>
    <w:rsid w:val="46E5C478"/>
    <w:rsid w:val="46E6AD59"/>
    <w:rsid w:val="46E6E72A"/>
    <w:rsid w:val="46E6F1BD"/>
    <w:rsid w:val="46E7711C"/>
    <w:rsid w:val="46E7B67E"/>
    <w:rsid w:val="46E95EB6"/>
    <w:rsid w:val="46E9A723"/>
    <w:rsid w:val="46EB1C29"/>
    <w:rsid w:val="46EB508F"/>
    <w:rsid w:val="46ECFF01"/>
    <w:rsid w:val="46EDFB56"/>
    <w:rsid w:val="46EE11A0"/>
    <w:rsid w:val="46EE1B9C"/>
    <w:rsid w:val="46EEBE36"/>
    <w:rsid w:val="46F15635"/>
    <w:rsid w:val="46F1C04B"/>
    <w:rsid w:val="46F2C63F"/>
    <w:rsid w:val="46F38DA5"/>
    <w:rsid w:val="46F40454"/>
    <w:rsid w:val="46F40F22"/>
    <w:rsid w:val="46F46969"/>
    <w:rsid w:val="46F484AA"/>
    <w:rsid w:val="46F4AC0F"/>
    <w:rsid w:val="46F5E7AF"/>
    <w:rsid w:val="46F69BA6"/>
    <w:rsid w:val="46F6E4D8"/>
    <w:rsid w:val="46F6FA5B"/>
    <w:rsid w:val="46F750A7"/>
    <w:rsid w:val="46F7A772"/>
    <w:rsid w:val="46F84C05"/>
    <w:rsid w:val="46F88C42"/>
    <w:rsid w:val="46F94802"/>
    <w:rsid w:val="46FA93FD"/>
    <w:rsid w:val="46FB69F2"/>
    <w:rsid w:val="46FC2B1C"/>
    <w:rsid w:val="46FD3B29"/>
    <w:rsid w:val="46FD442A"/>
    <w:rsid w:val="46FE408D"/>
    <w:rsid w:val="46FE7C36"/>
    <w:rsid w:val="46FE8343"/>
    <w:rsid w:val="46FEA0A4"/>
    <w:rsid w:val="46FFC122"/>
    <w:rsid w:val="470004D9"/>
    <w:rsid w:val="4700142E"/>
    <w:rsid w:val="4700C3BF"/>
    <w:rsid w:val="47014CE1"/>
    <w:rsid w:val="47014F4D"/>
    <w:rsid w:val="4701829F"/>
    <w:rsid w:val="4701E3E5"/>
    <w:rsid w:val="4702D2C6"/>
    <w:rsid w:val="4703904C"/>
    <w:rsid w:val="47053376"/>
    <w:rsid w:val="470543CD"/>
    <w:rsid w:val="4705ABB2"/>
    <w:rsid w:val="47060031"/>
    <w:rsid w:val="470646C4"/>
    <w:rsid w:val="470653FD"/>
    <w:rsid w:val="4706AE66"/>
    <w:rsid w:val="4707083B"/>
    <w:rsid w:val="4707114F"/>
    <w:rsid w:val="4707922E"/>
    <w:rsid w:val="470794B4"/>
    <w:rsid w:val="4707D633"/>
    <w:rsid w:val="4707F1A6"/>
    <w:rsid w:val="4707F203"/>
    <w:rsid w:val="4707F448"/>
    <w:rsid w:val="470805C8"/>
    <w:rsid w:val="470A2678"/>
    <w:rsid w:val="470A2D64"/>
    <w:rsid w:val="470AC4AA"/>
    <w:rsid w:val="470AEB25"/>
    <w:rsid w:val="470B4DD4"/>
    <w:rsid w:val="470BC2BB"/>
    <w:rsid w:val="470C810C"/>
    <w:rsid w:val="470CD2CF"/>
    <w:rsid w:val="470CEC82"/>
    <w:rsid w:val="470D61FB"/>
    <w:rsid w:val="470E0519"/>
    <w:rsid w:val="470E9381"/>
    <w:rsid w:val="470ED759"/>
    <w:rsid w:val="470F59D1"/>
    <w:rsid w:val="470FCF2E"/>
    <w:rsid w:val="47104CF8"/>
    <w:rsid w:val="471100C9"/>
    <w:rsid w:val="47112D97"/>
    <w:rsid w:val="4712E5C4"/>
    <w:rsid w:val="4712F79E"/>
    <w:rsid w:val="47130671"/>
    <w:rsid w:val="47133522"/>
    <w:rsid w:val="4714DD25"/>
    <w:rsid w:val="4716C946"/>
    <w:rsid w:val="4716EA51"/>
    <w:rsid w:val="471738A0"/>
    <w:rsid w:val="47178258"/>
    <w:rsid w:val="4718B31D"/>
    <w:rsid w:val="4718B60F"/>
    <w:rsid w:val="471A4499"/>
    <w:rsid w:val="471CE711"/>
    <w:rsid w:val="471D2C7D"/>
    <w:rsid w:val="471DD1FA"/>
    <w:rsid w:val="471E7C30"/>
    <w:rsid w:val="471EBD47"/>
    <w:rsid w:val="47229E19"/>
    <w:rsid w:val="47246C77"/>
    <w:rsid w:val="4724FD49"/>
    <w:rsid w:val="47254221"/>
    <w:rsid w:val="4725EA69"/>
    <w:rsid w:val="472640F6"/>
    <w:rsid w:val="47271081"/>
    <w:rsid w:val="47271FAD"/>
    <w:rsid w:val="472796AB"/>
    <w:rsid w:val="47282465"/>
    <w:rsid w:val="4728474C"/>
    <w:rsid w:val="4728719C"/>
    <w:rsid w:val="472899F5"/>
    <w:rsid w:val="4728CFA4"/>
    <w:rsid w:val="47293916"/>
    <w:rsid w:val="47294E63"/>
    <w:rsid w:val="472A008D"/>
    <w:rsid w:val="472A2251"/>
    <w:rsid w:val="472A3640"/>
    <w:rsid w:val="472AC4D3"/>
    <w:rsid w:val="472B0D1B"/>
    <w:rsid w:val="472C9F8E"/>
    <w:rsid w:val="472CD50F"/>
    <w:rsid w:val="472D4EF9"/>
    <w:rsid w:val="472D6A28"/>
    <w:rsid w:val="472D9DB6"/>
    <w:rsid w:val="472DBAC0"/>
    <w:rsid w:val="472DEAFF"/>
    <w:rsid w:val="472DFF88"/>
    <w:rsid w:val="472E29C0"/>
    <w:rsid w:val="472E65F6"/>
    <w:rsid w:val="472F8AB1"/>
    <w:rsid w:val="472F9644"/>
    <w:rsid w:val="472FEAAD"/>
    <w:rsid w:val="472FF053"/>
    <w:rsid w:val="47302C58"/>
    <w:rsid w:val="47308FFB"/>
    <w:rsid w:val="47310141"/>
    <w:rsid w:val="473113C4"/>
    <w:rsid w:val="47324917"/>
    <w:rsid w:val="47351D54"/>
    <w:rsid w:val="47356F1B"/>
    <w:rsid w:val="47370EFF"/>
    <w:rsid w:val="47371234"/>
    <w:rsid w:val="47377FDD"/>
    <w:rsid w:val="4737B2B3"/>
    <w:rsid w:val="47386DDE"/>
    <w:rsid w:val="47390DC2"/>
    <w:rsid w:val="47399EB3"/>
    <w:rsid w:val="473A55FC"/>
    <w:rsid w:val="473BF056"/>
    <w:rsid w:val="473C3587"/>
    <w:rsid w:val="473D6300"/>
    <w:rsid w:val="473D6434"/>
    <w:rsid w:val="473DC0CD"/>
    <w:rsid w:val="473DE3EA"/>
    <w:rsid w:val="47401BB5"/>
    <w:rsid w:val="4740371F"/>
    <w:rsid w:val="47411625"/>
    <w:rsid w:val="4741B78C"/>
    <w:rsid w:val="474280C6"/>
    <w:rsid w:val="47436EA0"/>
    <w:rsid w:val="47438468"/>
    <w:rsid w:val="4743B3E5"/>
    <w:rsid w:val="4744C5F7"/>
    <w:rsid w:val="47458061"/>
    <w:rsid w:val="4746BAD0"/>
    <w:rsid w:val="4746BD02"/>
    <w:rsid w:val="4748A900"/>
    <w:rsid w:val="4748F5C6"/>
    <w:rsid w:val="47490B9F"/>
    <w:rsid w:val="474921D5"/>
    <w:rsid w:val="47493F89"/>
    <w:rsid w:val="474999A4"/>
    <w:rsid w:val="4749B596"/>
    <w:rsid w:val="4749F1B9"/>
    <w:rsid w:val="474A9EC6"/>
    <w:rsid w:val="474AAB44"/>
    <w:rsid w:val="474B4376"/>
    <w:rsid w:val="474BA5AC"/>
    <w:rsid w:val="474C92BA"/>
    <w:rsid w:val="474E33AE"/>
    <w:rsid w:val="474EBF7D"/>
    <w:rsid w:val="474F1763"/>
    <w:rsid w:val="474F4E9A"/>
    <w:rsid w:val="474F526C"/>
    <w:rsid w:val="474F57CC"/>
    <w:rsid w:val="474F693E"/>
    <w:rsid w:val="474F9915"/>
    <w:rsid w:val="4753BC05"/>
    <w:rsid w:val="4753E203"/>
    <w:rsid w:val="475565F1"/>
    <w:rsid w:val="4755840D"/>
    <w:rsid w:val="47576A19"/>
    <w:rsid w:val="4757AA3B"/>
    <w:rsid w:val="4757E79F"/>
    <w:rsid w:val="4758F10D"/>
    <w:rsid w:val="4758F1FA"/>
    <w:rsid w:val="4759498A"/>
    <w:rsid w:val="4759A246"/>
    <w:rsid w:val="475ADCF5"/>
    <w:rsid w:val="475AF445"/>
    <w:rsid w:val="475BCF4E"/>
    <w:rsid w:val="475D3F17"/>
    <w:rsid w:val="475D9B4C"/>
    <w:rsid w:val="475F4832"/>
    <w:rsid w:val="4760A3D4"/>
    <w:rsid w:val="4760FD61"/>
    <w:rsid w:val="476141EA"/>
    <w:rsid w:val="4761466D"/>
    <w:rsid w:val="4761E3EE"/>
    <w:rsid w:val="4762737B"/>
    <w:rsid w:val="4762DC3C"/>
    <w:rsid w:val="476308AA"/>
    <w:rsid w:val="47633752"/>
    <w:rsid w:val="476378B8"/>
    <w:rsid w:val="476450AD"/>
    <w:rsid w:val="476507D8"/>
    <w:rsid w:val="47654A6F"/>
    <w:rsid w:val="4766905E"/>
    <w:rsid w:val="4766B773"/>
    <w:rsid w:val="4766C659"/>
    <w:rsid w:val="4767CFCF"/>
    <w:rsid w:val="47692600"/>
    <w:rsid w:val="4769288C"/>
    <w:rsid w:val="476B1EB7"/>
    <w:rsid w:val="476B82B8"/>
    <w:rsid w:val="476B98DA"/>
    <w:rsid w:val="476CB563"/>
    <w:rsid w:val="476D919D"/>
    <w:rsid w:val="476DBF87"/>
    <w:rsid w:val="476EA5DF"/>
    <w:rsid w:val="476F0A16"/>
    <w:rsid w:val="47704034"/>
    <w:rsid w:val="47705218"/>
    <w:rsid w:val="4770732E"/>
    <w:rsid w:val="47710416"/>
    <w:rsid w:val="4771E3A8"/>
    <w:rsid w:val="47722AD0"/>
    <w:rsid w:val="47723858"/>
    <w:rsid w:val="4772BD2C"/>
    <w:rsid w:val="477300D0"/>
    <w:rsid w:val="4773865E"/>
    <w:rsid w:val="4773C224"/>
    <w:rsid w:val="47743B2C"/>
    <w:rsid w:val="47748D67"/>
    <w:rsid w:val="477518C7"/>
    <w:rsid w:val="477697A6"/>
    <w:rsid w:val="4776C8BB"/>
    <w:rsid w:val="4776CA57"/>
    <w:rsid w:val="477744CF"/>
    <w:rsid w:val="47778DCA"/>
    <w:rsid w:val="477841E2"/>
    <w:rsid w:val="47784F8E"/>
    <w:rsid w:val="477866F0"/>
    <w:rsid w:val="4778B4D9"/>
    <w:rsid w:val="4779C30F"/>
    <w:rsid w:val="477A53BF"/>
    <w:rsid w:val="477B13A1"/>
    <w:rsid w:val="477B8F9D"/>
    <w:rsid w:val="477BFAC9"/>
    <w:rsid w:val="477C3964"/>
    <w:rsid w:val="477E1600"/>
    <w:rsid w:val="477E3A9F"/>
    <w:rsid w:val="477EAA25"/>
    <w:rsid w:val="477F283C"/>
    <w:rsid w:val="4780CBD1"/>
    <w:rsid w:val="47812538"/>
    <w:rsid w:val="4781F8DD"/>
    <w:rsid w:val="4785AC35"/>
    <w:rsid w:val="4785D651"/>
    <w:rsid w:val="47865732"/>
    <w:rsid w:val="4786BB93"/>
    <w:rsid w:val="4786D4FD"/>
    <w:rsid w:val="47870D39"/>
    <w:rsid w:val="47873261"/>
    <w:rsid w:val="478786F9"/>
    <w:rsid w:val="4787C71F"/>
    <w:rsid w:val="4787C7F3"/>
    <w:rsid w:val="4787C9F9"/>
    <w:rsid w:val="47887896"/>
    <w:rsid w:val="4788BA63"/>
    <w:rsid w:val="47892508"/>
    <w:rsid w:val="47896421"/>
    <w:rsid w:val="478988B2"/>
    <w:rsid w:val="478A3DF6"/>
    <w:rsid w:val="478A4413"/>
    <w:rsid w:val="478AC2FC"/>
    <w:rsid w:val="478AC9B6"/>
    <w:rsid w:val="478C60AE"/>
    <w:rsid w:val="478C7E89"/>
    <w:rsid w:val="478CA370"/>
    <w:rsid w:val="478CD8BF"/>
    <w:rsid w:val="478D04AD"/>
    <w:rsid w:val="478D8084"/>
    <w:rsid w:val="478D923C"/>
    <w:rsid w:val="478DD7BA"/>
    <w:rsid w:val="478E08CF"/>
    <w:rsid w:val="478E40E2"/>
    <w:rsid w:val="478E686C"/>
    <w:rsid w:val="478E8B67"/>
    <w:rsid w:val="478E9A60"/>
    <w:rsid w:val="478E9E85"/>
    <w:rsid w:val="478FE4AC"/>
    <w:rsid w:val="47900FBC"/>
    <w:rsid w:val="47917C9D"/>
    <w:rsid w:val="4792DFC1"/>
    <w:rsid w:val="47931D8E"/>
    <w:rsid w:val="47933463"/>
    <w:rsid w:val="479361B7"/>
    <w:rsid w:val="4793C7C8"/>
    <w:rsid w:val="4794B065"/>
    <w:rsid w:val="4795058B"/>
    <w:rsid w:val="4795A06D"/>
    <w:rsid w:val="4795CB18"/>
    <w:rsid w:val="47963195"/>
    <w:rsid w:val="47963353"/>
    <w:rsid w:val="4796A9E1"/>
    <w:rsid w:val="479756BF"/>
    <w:rsid w:val="4798DF54"/>
    <w:rsid w:val="4799306E"/>
    <w:rsid w:val="47997E54"/>
    <w:rsid w:val="4799D44C"/>
    <w:rsid w:val="479A491E"/>
    <w:rsid w:val="479BC43A"/>
    <w:rsid w:val="479C4C75"/>
    <w:rsid w:val="479C9117"/>
    <w:rsid w:val="479CEDB9"/>
    <w:rsid w:val="479D4E5C"/>
    <w:rsid w:val="479DA25D"/>
    <w:rsid w:val="479DB70C"/>
    <w:rsid w:val="479E22F4"/>
    <w:rsid w:val="47A09EAE"/>
    <w:rsid w:val="47A0C369"/>
    <w:rsid w:val="47A0D27A"/>
    <w:rsid w:val="47A23449"/>
    <w:rsid w:val="47A3D9D2"/>
    <w:rsid w:val="47A40023"/>
    <w:rsid w:val="47A462AA"/>
    <w:rsid w:val="47A4E4D5"/>
    <w:rsid w:val="47A5E5D2"/>
    <w:rsid w:val="47A62838"/>
    <w:rsid w:val="47A63EDD"/>
    <w:rsid w:val="47A6504A"/>
    <w:rsid w:val="47A65BE0"/>
    <w:rsid w:val="47A66505"/>
    <w:rsid w:val="47A6A7BF"/>
    <w:rsid w:val="47A787F4"/>
    <w:rsid w:val="47A83A3E"/>
    <w:rsid w:val="47A885B0"/>
    <w:rsid w:val="47A90096"/>
    <w:rsid w:val="47A9A5C8"/>
    <w:rsid w:val="47A9DC10"/>
    <w:rsid w:val="47AA0036"/>
    <w:rsid w:val="47AA85C7"/>
    <w:rsid w:val="47AAA2F5"/>
    <w:rsid w:val="47AAF98C"/>
    <w:rsid w:val="47AB0138"/>
    <w:rsid w:val="47AB37CE"/>
    <w:rsid w:val="47AB9669"/>
    <w:rsid w:val="47AC05BE"/>
    <w:rsid w:val="47ACB422"/>
    <w:rsid w:val="47AD2ABA"/>
    <w:rsid w:val="47AD67B8"/>
    <w:rsid w:val="47AD6B05"/>
    <w:rsid w:val="47AD9904"/>
    <w:rsid w:val="47AE3734"/>
    <w:rsid w:val="47AF55D8"/>
    <w:rsid w:val="47B0030D"/>
    <w:rsid w:val="47B01707"/>
    <w:rsid w:val="47B02DAA"/>
    <w:rsid w:val="47B04F82"/>
    <w:rsid w:val="47B06E77"/>
    <w:rsid w:val="47B0BE2C"/>
    <w:rsid w:val="47B16B85"/>
    <w:rsid w:val="47B23F21"/>
    <w:rsid w:val="47B2C823"/>
    <w:rsid w:val="47B2FE63"/>
    <w:rsid w:val="47B33998"/>
    <w:rsid w:val="47B360B7"/>
    <w:rsid w:val="47B3B2DA"/>
    <w:rsid w:val="47B50473"/>
    <w:rsid w:val="47B55011"/>
    <w:rsid w:val="47B57717"/>
    <w:rsid w:val="47B58126"/>
    <w:rsid w:val="47B5D8E0"/>
    <w:rsid w:val="47B5EC15"/>
    <w:rsid w:val="47B5F57D"/>
    <w:rsid w:val="47B678F1"/>
    <w:rsid w:val="47B71527"/>
    <w:rsid w:val="47B82D3F"/>
    <w:rsid w:val="47B85932"/>
    <w:rsid w:val="47B8E1CE"/>
    <w:rsid w:val="47B97EC1"/>
    <w:rsid w:val="47BA5F8E"/>
    <w:rsid w:val="47BAA5EA"/>
    <w:rsid w:val="47BAAAAC"/>
    <w:rsid w:val="47BACCD4"/>
    <w:rsid w:val="47BBD1DE"/>
    <w:rsid w:val="47BC5B07"/>
    <w:rsid w:val="47BC85EA"/>
    <w:rsid w:val="47BD06FB"/>
    <w:rsid w:val="47BD2F4F"/>
    <w:rsid w:val="47BD9184"/>
    <w:rsid w:val="47BDB319"/>
    <w:rsid w:val="47BDE2B4"/>
    <w:rsid w:val="47BEF616"/>
    <w:rsid w:val="47BF3376"/>
    <w:rsid w:val="47BFAFD2"/>
    <w:rsid w:val="47BFCCE0"/>
    <w:rsid w:val="47BFD883"/>
    <w:rsid w:val="47C0D03D"/>
    <w:rsid w:val="47C16A35"/>
    <w:rsid w:val="47C29840"/>
    <w:rsid w:val="47C2A667"/>
    <w:rsid w:val="47C4682E"/>
    <w:rsid w:val="47C48126"/>
    <w:rsid w:val="47C54909"/>
    <w:rsid w:val="47C76794"/>
    <w:rsid w:val="47C87D05"/>
    <w:rsid w:val="47C8A056"/>
    <w:rsid w:val="47C94C38"/>
    <w:rsid w:val="47C9A836"/>
    <w:rsid w:val="47C9E7F3"/>
    <w:rsid w:val="47C9F3FA"/>
    <w:rsid w:val="47CBB65F"/>
    <w:rsid w:val="47CBD3AB"/>
    <w:rsid w:val="47CC87D9"/>
    <w:rsid w:val="47CCF556"/>
    <w:rsid w:val="47CD38B2"/>
    <w:rsid w:val="47CD5907"/>
    <w:rsid w:val="47CDA823"/>
    <w:rsid w:val="47CDCCFC"/>
    <w:rsid w:val="47CE9F1C"/>
    <w:rsid w:val="47CF0A32"/>
    <w:rsid w:val="47CFC7FC"/>
    <w:rsid w:val="47D03379"/>
    <w:rsid w:val="47D0D0CC"/>
    <w:rsid w:val="47D0E06A"/>
    <w:rsid w:val="47D11602"/>
    <w:rsid w:val="47D1C0F7"/>
    <w:rsid w:val="47D1EBC4"/>
    <w:rsid w:val="47D21979"/>
    <w:rsid w:val="47D35070"/>
    <w:rsid w:val="47D380D4"/>
    <w:rsid w:val="47D40B5A"/>
    <w:rsid w:val="47D46308"/>
    <w:rsid w:val="47D4BCC1"/>
    <w:rsid w:val="47D6A8E5"/>
    <w:rsid w:val="47D7455B"/>
    <w:rsid w:val="47D771C0"/>
    <w:rsid w:val="47D7F2EC"/>
    <w:rsid w:val="47D8771B"/>
    <w:rsid w:val="47DA3C22"/>
    <w:rsid w:val="47DC2B90"/>
    <w:rsid w:val="47DCC31E"/>
    <w:rsid w:val="47DCF905"/>
    <w:rsid w:val="47DCFD09"/>
    <w:rsid w:val="47DD33B5"/>
    <w:rsid w:val="47DDD7F3"/>
    <w:rsid w:val="47DE0F9C"/>
    <w:rsid w:val="47DE875F"/>
    <w:rsid w:val="47DEC3C2"/>
    <w:rsid w:val="47DFA168"/>
    <w:rsid w:val="47E04102"/>
    <w:rsid w:val="47E1CAE1"/>
    <w:rsid w:val="47E23B85"/>
    <w:rsid w:val="47E24C69"/>
    <w:rsid w:val="47E38DEF"/>
    <w:rsid w:val="47E42819"/>
    <w:rsid w:val="47E43F3D"/>
    <w:rsid w:val="47E46758"/>
    <w:rsid w:val="47E4B68B"/>
    <w:rsid w:val="47E64D46"/>
    <w:rsid w:val="47E6DD32"/>
    <w:rsid w:val="47E707D6"/>
    <w:rsid w:val="47E7F197"/>
    <w:rsid w:val="47E83E8E"/>
    <w:rsid w:val="47E850B1"/>
    <w:rsid w:val="47E880FC"/>
    <w:rsid w:val="47E8C797"/>
    <w:rsid w:val="47EA7DC6"/>
    <w:rsid w:val="47EAB61F"/>
    <w:rsid w:val="47EB5483"/>
    <w:rsid w:val="47EBA071"/>
    <w:rsid w:val="47EBFECD"/>
    <w:rsid w:val="47ECB51C"/>
    <w:rsid w:val="47ED0140"/>
    <w:rsid w:val="47EED971"/>
    <w:rsid w:val="47EEE0D5"/>
    <w:rsid w:val="47EFE166"/>
    <w:rsid w:val="47F0CA24"/>
    <w:rsid w:val="47F1AC53"/>
    <w:rsid w:val="47F22254"/>
    <w:rsid w:val="47F24305"/>
    <w:rsid w:val="47F24D70"/>
    <w:rsid w:val="47F28DCE"/>
    <w:rsid w:val="47F2D2B1"/>
    <w:rsid w:val="47F3DA3B"/>
    <w:rsid w:val="47F44BF9"/>
    <w:rsid w:val="47F5A4D9"/>
    <w:rsid w:val="47F5BAF2"/>
    <w:rsid w:val="47F67ED3"/>
    <w:rsid w:val="47F752EE"/>
    <w:rsid w:val="47F8176A"/>
    <w:rsid w:val="47F829D8"/>
    <w:rsid w:val="47F8AFF6"/>
    <w:rsid w:val="47F91E53"/>
    <w:rsid w:val="47F93F16"/>
    <w:rsid w:val="47F98CF0"/>
    <w:rsid w:val="47FA3790"/>
    <w:rsid w:val="47FAB48B"/>
    <w:rsid w:val="47FB9A1A"/>
    <w:rsid w:val="47FBA371"/>
    <w:rsid w:val="47FC76A7"/>
    <w:rsid w:val="47FCD2CF"/>
    <w:rsid w:val="47FD8973"/>
    <w:rsid w:val="47FD99F8"/>
    <w:rsid w:val="47FEAC21"/>
    <w:rsid w:val="47FF01EC"/>
    <w:rsid w:val="47FF72DA"/>
    <w:rsid w:val="48001FBE"/>
    <w:rsid w:val="48006FE6"/>
    <w:rsid w:val="48008AAE"/>
    <w:rsid w:val="48014BB2"/>
    <w:rsid w:val="4801C095"/>
    <w:rsid w:val="480260F5"/>
    <w:rsid w:val="480271AD"/>
    <w:rsid w:val="4802F871"/>
    <w:rsid w:val="48030859"/>
    <w:rsid w:val="48033997"/>
    <w:rsid w:val="48038E8C"/>
    <w:rsid w:val="4803B0C9"/>
    <w:rsid w:val="48055FED"/>
    <w:rsid w:val="48056B67"/>
    <w:rsid w:val="480599E0"/>
    <w:rsid w:val="4805C111"/>
    <w:rsid w:val="480677FD"/>
    <w:rsid w:val="4806A8D4"/>
    <w:rsid w:val="4806F082"/>
    <w:rsid w:val="48074114"/>
    <w:rsid w:val="480A7A1C"/>
    <w:rsid w:val="480A853D"/>
    <w:rsid w:val="480AB53D"/>
    <w:rsid w:val="480D0849"/>
    <w:rsid w:val="480EBB2A"/>
    <w:rsid w:val="480F1115"/>
    <w:rsid w:val="481045D6"/>
    <w:rsid w:val="48106D47"/>
    <w:rsid w:val="481086CB"/>
    <w:rsid w:val="481200A8"/>
    <w:rsid w:val="4812350E"/>
    <w:rsid w:val="48128A05"/>
    <w:rsid w:val="4813BDC5"/>
    <w:rsid w:val="4813EE76"/>
    <w:rsid w:val="4813F892"/>
    <w:rsid w:val="48145F02"/>
    <w:rsid w:val="481556D2"/>
    <w:rsid w:val="48168480"/>
    <w:rsid w:val="481713FC"/>
    <w:rsid w:val="48175DE1"/>
    <w:rsid w:val="481AFA0C"/>
    <w:rsid w:val="481B1362"/>
    <w:rsid w:val="481B7F3B"/>
    <w:rsid w:val="481B8FF7"/>
    <w:rsid w:val="481CC3D0"/>
    <w:rsid w:val="481CF588"/>
    <w:rsid w:val="481CF937"/>
    <w:rsid w:val="481D8FEC"/>
    <w:rsid w:val="4820ADB8"/>
    <w:rsid w:val="4821CF7E"/>
    <w:rsid w:val="4822A07B"/>
    <w:rsid w:val="48232F02"/>
    <w:rsid w:val="48240182"/>
    <w:rsid w:val="48250BBC"/>
    <w:rsid w:val="482547C0"/>
    <w:rsid w:val="4825A26B"/>
    <w:rsid w:val="482678EA"/>
    <w:rsid w:val="4826C2A6"/>
    <w:rsid w:val="4826D086"/>
    <w:rsid w:val="4826E17E"/>
    <w:rsid w:val="4827557B"/>
    <w:rsid w:val="4827CF1D"/>
    <w:rsid w:val="482AF279"/>
    <w:rsid w:val="482AFCC6"/>
    <w:rsid w:val="482C605C"/>
    <w:rsid w:val="482CD1F9"/>
    <w:rsid w:val="482CD84D"/>
    <w:rsid w:val="482D1ADD"/>
    <w:rsid w:val="482D206A"/>
    <w:rsid w:val="482DB14E"/>
    <w:rsid w:val="482DCB12"/>
    <w:rsid w:val="482F55D0"/>
    <w:rsid w:val="482F5F7E"/>
    <w:rsid w:val="482FBEB7"/>
    <w:rsid w:val="483026CD"/>
    <w:rsid w:val="4830C363"/>
    <w:rsid w:val="48312A22"/>
    <w:rsid w:val="48313B6A"/>
    <w:rsid w:val="48314C11"/>
    <w:rsid w:val="48318712"/>
    <w:rsid w:val="4831A886"/>
    <w:rsid w:val="48321A4C"/>
    <w:rsid w:val="48327E25"/>
    <w:rsid w:val="48338B67"/>
    <w:rsid w:val="4833F103"/>
    <w:rsid w:val="48349F4F"/>
    <w:rsid w:val="4835AA4A"/>
    <w:rsid w:val="48366F39"/>
    <w:rsid w:val="4836986B"/>
    <w:rsid w:val="4836A1BD"/>
    <w:rsid w:val="4836D7A7"/>
    <w:rsid w:val="4836FC3B"/>
    <w:rsid w:val="4838ABCB"/>
    <w:rsid w:val="4838B64F"/>
    <w:rsid w:val="4838B86D"/>
    <w:rsid w:val="48393627"/>
    <w:rsid w:val="48395C05"/>
    <w:rsid w:val="48395D73"/>
    <w:rsid w:val="4839B3BD"/>
    <w:rsid w:val="483A7B03"/>
    <w:rsid w:val="483DEFF9"/>
    <w:rsid w:val="483EF9EB"/>
    <w:rsid w:val="4840EA15"/>
    <w:rsid w:val="48410B14"/>
    <w:rsid w:val="4841AD66"/>
    <w:rsid w:val="48423CBF"/>
    <w:rsid w:val="4842E0D6"/>
    <w:rsid w:val="4845D239"/>
    <w:rsid w:val="4846EFC2"/>
    <w:rsid w:val="484727B4"/>
    <w:rsid w:val="48475BD8"/>
    <w:rsid w:val="4847CB30"/>
    <w:rsid w:val="4847D587"/>
    <w:rsid w:val="484857DA"/>
    <w:rsid w:val="48485F09"/>
    <w:rsid w:val="484921B2"/>
    <w:rsid w:val="484921F7"/>
    <w:rsid w:val="484B0F17"/>
    <w:rsid w:val="484B2A33"/>
    <w:rsid w:val="484BAF3A"/>
    <w:rsid w:val="484C7419"/>
    <w:rsid w:val="484C9C76"/>
    <w:rsid w:val="484CEF30"/>
    <w:rsid w:val="484CF819"/>
    <w:rsid w:val="484DB138"/>
    <w:rsid w:val="484DE8A8"/>
    <w:rsid w:val="484EB532"/>
    <w:rsid w:val="484EEE29"/>
    <w:rsid w:val="48506964"/>
    <w:rsid w:val="4850E786"/>
    <w:rsid w:val="4851096F"/>
    <w:rsid w:val="48518933"/>
    <w:rsid w:val="4851ABCB"/>
    <w:rsid w:val="4852CF67"/>
    <w:rsid w:val="485338E7"/>
    <w:rsid w:val="48542FBB"/>
    <w:rsid w:val="48544260"/>
    <w:rsid w:val="48548D36"/>
    <w:rsid w:val="48551906"/>
    <w:rsid w:val="48577CD5"/>
    <w:rsid w:val="48592956"/>
    <w:rsid w:val="485A8343"/>
    <w:rsid w:val="485A8D43"/>
    <w:rsid w:val="485AC916"/>
    <w:rsid w:val="485E1DE6"/>
    <w:rsid w:val="485E6434"/>
    <w:rsid w:val="485EC1EB"/>
    <w:rsid w:val="48600041"/>
    <w:rsid w:val="4860030C"/>
    <w:rsid w:val="48620351"/>
    <w:rsid w:val="486237E9"/>
    <w:rsid w:val="4862BB67"/>
    <w:rsid w:val="48638213"/>
    <w:rsid w:val="4863954C"/>
    <w:rsid w:val="4863C9D3"/>
    <w:rsid w:val="4863F52E"/>
    <w:rsid w:val="48642696"/>
    <w:rsid w:val="4865188C"/>
    <w:rsid w:val="48655F58"/>
    <w:rsid w:val="48678581"/>
    <w:rsid w:val="4867924D"/>
    <w:rsid w:val="4868041C"/>
    <w:rsid w:val="486A01E1"/>
    <w:rsid w:val="486A6BC8"/>
    <w:rsid w:val="486AF6F0"/>
    <w:rsid w:val="486C272E"/>
    <w:rsid w:val="486C9CBC"/>
    <w:rsid w:val="486D6F8F"/>
    <w:rsid w:val="487087B6"/>
    <w:rsid w:val="48716BB5"/>
    <w:rsid w:val="4871986D"/>
    <w:rsid w:val="4871CCFD"/>
    <w:rsid w:val="487213D8"/>
    <w:rsid w:val="4872B16E"/>
    <w:rsid w:val="4872B1EE"/>
    <w:rsid w:val="487458DE"/>
    <w:rsid w:val="487584C6"/>
    <w:rsid w:val="48758BB4"/>
    <w:rsid w:val="4875C9CD"/>
    <w:rsid w:val="487651C4"/>
    <w:rsid w:val="487898E7"/>
    <w:rsid w:val="4878CC99"/>
    <w:rsid w:val="48793307"/>
    <w:rsid w:val="48795358"/>
    <w:rsid w:val="487A4E9B"/>
    <w:rsid w:val="487AA628"/>
    <w:rsid w:val="487B8937"/>
    <w:rsid w:val="487B8A42"/>
    <w:rsid w:val="487C76CF"/>
    <w:rsid w:val="487D38FE"/>
    <w:rsid w:val="487DB922"/>
    <w:rsid w:val="487FD970"/>
    <w:rsid w:val="488046F1"/>
    <w:rsid w:val="48805647"/>
    <w:rsid w:val="488119EB"/>
    <w:rsid w:val="4881EE41"/>
    <w:rsid w:val="4882400D"/>
    <w:rsid w:val="48832B47"/>
    <w:rsid w:val="4883A038"/>
    <w:rsid w:val="4883AC04"/>
    <w:rsid w:val="48841033"/>
    <w:rsid w:val="4885D8C9"/>
    <w:rsid w:val="48861956"/>
    <w:rsid w:val="4886B8C6"/>
    <w:rsid w:val="4887761C"/>
    <w:rsid w:val="48889B9C"/>
    <w:rsid w:val="48891CC0"/>
    <w:rsid w:val="48893EDF"/>
    <w:rsid w:val="48896323"/>
    <w:rsid w:val="4889B874"/>
    <w:rsid w:val="488A136C"/>
    <w:rsid w:val="488A407E"/>
    <w:rsid w:val="488A6792"/>
    <w:rsid w:val="488AEB06"/>
    <w:rsid w:val="488AF939"/>
    <w:rsid w:val="488B677E"/>
    <w:rsid w:val="488BC231"/>
    <w:rsid w:val="488BD75F"/>
    <w:rsid w:val="488C1D01"/>
    <w:rsid w:val="488CCA1D"/>
    <w:rsid w:val="488D69CA"/>
    <w:rsid w:val="488D7A0E"/>
    <w:rsid w:val="488D7C5E"/>
    <w:rsid w:val="488D8047"/>
    <w:rsid w:val="488DB72D"/>
    <w:rsid w:val="488DE7EA"/>
    <w:rsid w:val="488DED7B"/>
    <w:rsid w:val="488DEE3B"/>
    <w:rsid w:val="488F31CB"/>
    <w:rsid w:val="488F65F5"/>
    <w:rsid w:val="488FBD23"/>
    <w:rsid w:val="48908FD4"/>
    <w:rsid w:val="48909B0B"/>
    <w:rsid w:val="48925624"/>
    <w:rsid w:val="4892D8B7"/>
    <w:rsid w:val="4893967E"/>
    <w:rsid w:val="489412FB"/>
    <w:rsid w:val="48942C19"/>
    <w:rsid w:val="4894558F"/>
    <w:rsid w:val="4894E5C3"/>
    <w:rsid w:val="489578F1"/>
    <w:rsid w:val="4895D1F0"/>
    <w:rsid w:val="4895E944"/>
    <w:rsid w:val="4895EDEE"/>
    <w:rsid w:val="4896A602"/>
    <w:rsid w:val="48974125"/>
    <w:rsid w:val="489745D0"/>
    <w:rsid w:val="4898231D"/>
    <w:rsid w:val="4898A738"/>
    <w:rsid w:val="4899B67E"/>
    <w:rsid w:val="4899FDC4"/>
    <w:rsid w:val="489A730C"/>
    <w:rsid w:val="489C5360"/>
    <w:rsid w:val="489C5F3A"/>
    <w:rsid w:val="489CEDF7"/>
    <w:rsid w:val="489DFB31"/>
    <w:rsid w:val="489E0490"/>
    <w:rsid w:val="489E3A88"/>
    <w:rsid w:val="489EFA6D"/>
    <w:rsid w:val="48A15289"/>
    <w:rsid w:val="48A165F6"/>
    <w:rsid w:val="48A188DC"/>
    <w:rsid w:val="48A25A79"/>
    <w:rsid w:val="48A2BFE1"/>
    <w:rsid w:val="48A33D51"/>
    <w:rsid w:val="48A3DEC4"/>
    <w:rsid w:val="48A3DFC3"/>
    <w:rsid w:val="48A41230"/>
    <w:rsid w:val="48A48C28"/>
    <w:rsid w:val="48A51489"/>
    <w:rsid w:val="48A55E72"/>
    <w:rsid w:val="48A5E506"/>
    <w:rsid w:val="48A61253"/>
    <w:rsid w:val="48A6E94C"/>
    <w:rsid w:val="48A70B8E"/>
    <w:rsid w:val="48A76EB1"/>
    <w:rsid w:val="48A79849"/>
    <w:rsid w:val="48A7BB06"/>
    <w:rsid w:val="48A7E943"/>
    <w:rsid w:val="48A94631"/>
    <w:rsid w:val="48A96FCE"/>
    <w:rsid w:val="48A9DFFC"/>
    <w:rsid w:val="48AA4C88"/>
    <w:rsid w:val="48AAC917"/>
    <w:rsid w:val="48AC56D5"/>
    <w:rsid w:val="48ACA60C"/>
    <w:rsid w:val="48AD28F7"/>
    <w:rsid w:val="48AD2DAF"/>
    <w:rsid w:val="48AE2A54"/>
    <w:rsid w:val="48AEE696"/>
    <w:rsid w:val="48AFC4C0"/>
    <w:rsid w:val="48AFE496"/>
    <w:rsid w:val="48B057A8"/>
    <w:rsid w:val="48B27C28"/>
    <w:rsid w:val="48B39709"/>
    <w:rsid w:val="48B3C880"/>
    <w:rsid w:val="48B3F0CD"/>
    <w:rsid w:val="48B659FC"/>
    <w:rsid w:val="48B88F47"/>
    <w:rsid w:val="48B929DB"/>
    <w:rsid w:val="48BA7253"/>
    <w:rsid w:val="48BAB7AB"/>
    <w:rsid w:val="48BB9788"/>
    <w:rsid w:val="48BD834A"/>
    <w:rsid w:val="48BDD55B"/>
    <w:rsid w:val="48BE405F"/>
    <w:rsid w:val="48BE85E2"/>
    <w:rsid w:val="48BEEF9E"/>
    <w:rsid w:val="48BF0EF5"/>
    <w:rsid w:val="48BF5241"/>
    <w:rsid w:val="48BFA884"/>
    <w:rsid w:val="48C07A14"/>
    <w:rsid w:val="48C0892C"/>
    <w:rsid w:val="48C0FE34"/>
    <w:rsid w:val="48C17DC0"/>
    <w:rsid w:val="48C19078"/>
    <w:rsid w:val="48C2763A"/>
    <w:rsid w:val="48C4A831"/>
    <w:rsid w:val="48C60E16"/>
    <w:rsid w:val="48C68060"/>
    <w:rsid w:val="48C70348"/>
    <w:rsid w:val="48C703F2"/>
    <w:rsid w:val="48C71CDB"/>
    <w:rsid w:val="48C750BF"/>
    <w:rsid w:val="48C7FB22"/>
    <w:rsid w:val="48C803BF"/>
    <w:rsid w:val="48C878D7"/>
    <w:rsid w:val="48C8D937"/>
    <w:rsid w:val="48C9953C"/>
    <w:rsid w:val="48C9B909"/>
    <w:rsid w:val="48C9C920"/>
    <w:rsid w:val="48C9CF69"/>
    <w:rsid w:val="48C9EFEE"/>
    <w:rsid w:val="48CA69C1"/>
    <w:rsid w:val="48CBE901"/>
    <w:rsid w:val="48CC415E"/>
    <w:rsid w:val="48CCA4D6"/>
    <w:rsid w:val="48CD18E8"/>
    <w:rsid w:val="48CD4A93"/>
    <w:rsid w:val="48CDAC6A"/>
    <w:rsid w:val="48CDDDB1"/>
    <w:rsid w:val="48CE1412"/>
    <w:rsid w:val="48CE7631"/>
    <w:rsid w:val="48CF815F"/>
    <w:rsid w:val="48D12E70"/>
    <w:rsid w:val="48D18655"/>
    <w:rsid w:val="48D1A551"/>
    <w:rsid w:val="48D3B782"/>
    <w:rsid w:val="48D40374"/>
    <w:rsid w:val="48D414E3"/>
    <w:rsid w:val="48D4C596"/>
    <w:rsid w:val="48D4FD35"/>
    <w:rsid w:val="48D51958"/>
    <w:rsid w:val="48D5FC7E"/>
    <w:rsid w:val="48D60D89"/>
    <w:rsid w:val="48D6C791"/>
    <w:rsid w:val="48D6EF33"/>
    <w:rsid w:val="48D738EA"/>
    <w:rsid w:val="48D79E8A"/>
    <w:rsid w:val="48D7D97E"/>
    <w:rsid w:val="48D9B5B7"/>
    <w:rsid w:val="48DA6B52"/>
    <w:rsid w:val="48DB9566"/>
    <w:rsid w:val="48DBC84D"/>
    <w:rsid w:val="48DDB3CE"/>
    <w:rsid w:val="48DE14AF"/>
    <w:rsid w:val="48DE3E32"/>
    <w:rsid w:val="48DECEA9"/>
    <w:rsid w:val="48DEDE2D"/>
    <w:rsid w:val="48DF5E65"/>
    <w:rsid w:val="48DFFD1D"/>
    <w:rsid w:val="48E14BFE"/>
    <w:rsid w:val="48E1A875"/>
    <w:rsid w:val="48E200E7"/>
    <w:rsid w:val="48E20B4A"/>
    <w:rsid w:val="48E24ABB"/>
    <w:rsid w:val="48E37D3B"/>
    <w:rsid w:val="48E3B5DF"/>
    <w:rsid w:val="48E3BD93"/>
    <w:rsid w:val="48E3C1B3"/>
    <w:rsid w:val="48E3C786"/>
    <w:rsid w:val="48E44ED3"/>
    <w:rsid w:val="48E4BFCC"/>
    <w:rsid w:val="48E4CCBB"/>
    <w:rsid w:val="48E50949"/>
    <w:rsid w:val="48E52D22"/>
    <w:rsid w:val="48E62A0F"/>
    <w:rsid w:val="48E63BA6"/>
    <w:rsid w:val="48E67D9E"/>
    <w:rsid w:val="48E70EC5"/>
    <w:rsid w:val="48E7DC8C"/>
    <w:rsid w:val="48E7F978"/>
    <w:rsid w:val="48E818BC"/>
    <w:rsid w:val="48E842FA"/>
    <w:rsid w:val="48E87C84"/>
    <w:rsid w:val="48EA6A1E"/>
    <w:rsid w:val="48EAF34C"/>
    <w:rsid w:val="48EB0F34"/>
    <w:rsid w:val="48EB87CF"/>
    <w:rsid w:val="48EC792C"/>
    <w:rsid w:val="48ECAA7C"/>
    <w:rsid w:val="48ED21FA"/>
    <w:rsid w:val="48EDC739"/>
    <w:rsid w:val="48EF0957"/>
    <w:rsid w:val="48EF62A3"/>
    <w:rsid w:val="48EF813C"/>
    <w:rsid w:val="48EF86B4"/>
    <w:rsid w:val="48F065F3"/>
    <w:rsid w:val="48F0B103"/>
    <w:rsid w:val="48F14DE3"/>
    <w:rsid w:val="48F1D54C"/>
    <w:rsid w:val="48F29864"/>
    <w:rsid w:val="48F2E30C"/>
    <w:rsid w:val="48F33C30"/>
    <w:rsid w:val="48F3E001"/>
    <w:rsid w:val="48F41237"/>
    <w:rsid w:val="48F4F343"/>
    <w:rsid w:val="48F5C534"/>
    <w:rsid w:val="48F5ECD9"/>
    <w:rsid w:val="48F690FB"/>
    <w:rsid w:val="48F6AD58"/>
    <w:rsid w:val="48F6BE81"/>
    <w:rsid w:val="48F7AC43"/>
    <w:rsid w:val="48F896E2"/>
    <w:rsid w:val="48F90B7C"/>
    <w:rsid w:val="48F971B9"/>
    <w:rsid w:val="48FAF285"/>
    <w:rsid w:val="48FB6AE9"/>
    <w:rsid w:val="48FC089E"/>
    <w:rsid w:val="48FC9A95"/>
    <w:rsid w:val="48FDD11B"/>
    <w:rsid w:val="48FE59C2"/>
    <w:rsid w:val="48FE9D6A"/>
    <w:rsid w:val="48FEE745"/>
    <w:rsid w:val="48FEEAA6"/>
    <w:rsid w:val="48FF2156"/>
    <w:rsid w:val="49003937"/>
    <w:rsid w:val="4900479D"/>
    <w:rsid w:val="49004C95"/>
    <w:rsid w:val="4900887F"/>
    <w:rsid w:val="49008CFE"/>
    <w:rsid w:val="4900C783"/>
    <w:rsid w:val="4900CCFD"/>
    <w:rsid w:val="4901205E"/>
    <w:rsid w:val="49012F46"/>
    <w:rsid w:val="4901DE4B"/>
    <w:rsid w:val="490226FA"/>
    <w:rsid w:val="49035ECF"/>
    <w:rsid w:val="49036572"/>
    <w:rsid w:val="49055D39"/>
    <w:rsid w:val="490645DF"/>
    <w:rsid w:val="49064AAE"/>
    <w:rsid w:val="49071983"/>
    <w:rsid w:val="49089583"/>
    <w:rsid w:val="4908D26F"/>
    <w:rsid w:val="49098C3C"/>
    <w:rsid w:val="490AE487"/>
    <w:rsid w:val="490B597F"/>
    <w:rsid w:val="490B6B48"/>
    <w:rsid w:val="490C1A64"/>
    <w:rsid w:val="490C9362"/>
    <w:rsid w:val="490C9B3F"/>
    <w:rsid w:val="490CBCC8"/>
    <w:rsid w:val="490D3CDB"/>
    <w:rsid w:val="490D810B"/>
    <w:rsid w:val="490D920A"/>
    <w:rsid w:val="490E797E"/>
    <w:rsid w:val="490F6FC3"/>
    <w:rsid w:val="490FA50E"/>
    <w:rsid w:val="49100377"/>
    <w:rsid w:val="49102535"/>
    <w:rsid w:val="49112857"/>
    <w:rsid w:val="4912A8E0"/>
    <w:rsid w:val="4912EB30"/>
    <w:rsid w:val="491339F4"/>
    <w:rsid w:val="491423E9"/>
    <w:rsid w:val="49142D3E"/>
    <w:rsid w:val="4914A291"/>
    <w:rsid w:val="4914D3AD"/>
    <w:rsid w:val="49173A89"/>
    <w:rsid w:val="4917F403"/>
    <w:rsid w:val="491822E1"/>
    <w:rsid w:val="491824A9"/>
    <w:rsid w:val="491851EB"/>
    <w:rsid w:val="49190971"/>
    <w:rsid w:val="4919FCB3"/>
    <w:rsid w:val="491A5B5F"/>
    <w:rsid w:val="491DC4AC"/>
    <w:rsid w:val="492016B0"/>
    <w:rsid w:val="49202BFC"/>
    <w:rsid w:val="49208C89"/>
    <w:rsid w:val="4921AA4A"/>
    <w:rsid w:val="49229B72"/>
    <w:rsid w:val="49239DFE"/>
    <w:rsid w:val="4923BAE4"/>
    <w:rsid w:val="49248BBC"/>
    <w:rsid w:val="4924BAC3"/>
    <w:rsid w:val="4924E474"/>
    <w:rsid w:val="4924EFB0"/>
    <w:rsid w:val="49256FB3"/>
    <w:rsid w:val="4926F36B"/>
    <w:rsid w:val="492719B9"/>
    <w:rsid w:val="492771C3"/>
    <w:rsid w:val="49287671"/>
    <w:rsid w:val="4928FEB3"/>
    <w:rsid w:val="492A9E33"/>
    <w:rsid w:val="492B1F94"/>
    <w:rsid w:val="492D7B78"/>
    <w:rsid w:val="492DA914"/>
    <w:rsid w:val="492DE365"/>
    <w:rsid w:val="492EAA5A"/>
    <w:rsid w:val="492ED31F"/>
    <w:rsid w:val="492F3166"/>
    <w:rsid w:val="492FE8F3"/>
    <w:rsid w:val="49301FD3"/>
    <w:rsid w:val="4930D5FA"/>
    <w:rsid w:val="493113FB"/>
    <w:rsid w:val="49327525"/>
    <w:rsid w:val="4932AE06"/>
    <w:rsid w:val="4934252F"/>
    <w:rsid w:val="4935D230"/>
    <w:rsid w:val="493653F9"/>
    <w:rsid w:val="4936DD87"/>
    <w:rsid w:val="49379F58"/>
    <w:rsid w:val="4938150F"/>
    <w:rsid w:val="49381540"/>
    <w:rsid w:val="49388130"/>
    <w:rsid w:val="4938A385"/>
    <w:rsid w:val="4939F865"/>
    <w:rsid w:val="493AB9F4"/>
    <w:rsid w:val="493BED28"/>
    <w:rsid w:val="493C632E"/>
    <w:rsid w:val="493C8F2C"/>
    <w:rsid w:val="493CA0FE"/>
    <w:rsid w:val="493D6DAD"/>
    <w:rsid w:val="493D77EF"/>
    <w:rsid w:val="493D9044"/>
    <w:rsid w:val="493DA9B8"/>
    <w:rsid w:val="493DB45C"/>
    <w:rsid w:val="493EE647"/>
    <w:rsid w:val="49410CC9"/>
    <w:rsid w:val="4941AA65"/>
    <w:rsid w:val="49424136"/>
    <w:rsid w:val="4943714D"/>
    <w:rsid w:val="494391C1"/>
    <w:rsid w:val="494490C7"/>
    <w:rsid w:val="49451F9D"/>
    <w:rsid w:val="49459F23"/>
    <w:rsid w:val="4945EF37"/>
    <w:rsid w:val="4947420B"/>
    <w:rsid w:val="49486375"/>
    <w:rsid w:val="4948A1AA"/>
    <w:rsid w:val="4948F267"/>
    <w:rsid w:val="494ADC5B"/>
    <w:rsid w:val="494C916A"/>
    <w:rsid w:val="494CBC65"/>
    <w:rsid w:val="494D111F"/>
    <w:rsid w:val="494D1877"/>
    <w:rsid w:val="494D2927"/>
    <w:rsid w:val="494FDE03"/>
    <w:rsid w:val="49505976"/>
    <w:rsid w:val="4950E834"/>
    <w:rsid w:val="49516C9E"/>
    <w:rsid w:val="49520092"/>
    <w:rsid w:val="4952334C"/>
    <w:rsid w:val="4952B4AC"/>
    <w:rsid w:val="4953917E"/>
    <w:rsid w:val="4954353D"/>
    <w:rsid w:val="49552ECD"/>
    <w:rsid w:val="4955C625"/>
    <w:rsid w:val="4955DC6A"/>
    <w:rsid w:val="49564035"/>
    <w:rsid w:val="495778CE"/>
    <w:rsid w:val="4957D408"/>
    <w:rsid w:val="495A3ED9"/>
    <w:rsid w:val="495B0CF2"/>
    <w:rsid w:val="495B14EC"/>
    <w:rsid w:val="495CA309"/>
    <w:rsid w:val="495CB741"/>
    <w:rsid w:val="495D855F"/>
    <w:rsid w:val="495E6EA9"/>
    <w:rsid w:val="49600ABF"/>
    <w:rsid w:val="49607975"/>
    <w:rsid w:val="4961D7B1"/>
    <w:rsid w:val="496206AF"/>
    <w:rsid w:val="49622F05"/>
    <w:rsid w:val="49629D1D"/>
    <w:rsid w:val="4963E8CA"/>
    <w:rsid w:val="4964276C"/>
    <w:rsid w:val="49657EFF"/>
    <w:rsid w:val="4965922D"/>
    <w:rsid w:val="4966240B"/>
    <w:rsid w:val="49663B9F"/>
    <w:rsid w:val="4966CD0D"/>
    <w:rsid w:val="49674CA8"/>
    <w:rsid w:val="4967E749"/>
    <w:rsid w:val="49681628"/>
    <w:rsid w:val="49699122"/>
    <w:rsid w:val="496999B2"/>
    <w:rsid w:val="4969BE15"/>
    <w:rsid w:val="496C3623"/>
    <w:rsid w:val="496C5B44"/>
    <w:rsid w:val="496E4D2D"/>
    <w:rsid w:val="496E881A"/>
    <w:rsid w:val="496F4C6E"/>
    <w:rsid w:val="4970049A"/>
    <w:rsid w:val="49701ED0"/>
    <w:rsid w:val="49704371"/>
    <w:rsid w:val="49717F8A"/>
    <w:rsid w:val="4971F377"/>
    <w:rsid w:val="4972E728"/>
    <w:rsid w:val="4972F594"/>
    <w:rsid w:val="497310DE"/>
    <w:rsid w:val="4973E907"/>
    <w:rsid w:val="4974ACB7"/>
    <w:rsid w:val="49760E21"/>
    <w:rsid w:val="49761E30"/>
    <w:rsid w:val="4978B38E"/>
    <w:rsid w:val="49795B11"/>
    <w:rsid w:val="49799B3B"/>
    <w:rsid w:val="497A1090"/>
    <w:rsid w:val="497B9238"/>
    <w:rsid w:val="497BE571"/>
    <w:rsid w:val="497BEF6F"/>
    <w:rsid w:val="497C6D7B"/>
    <w:rsid w:val="497DC018"/>
    <w:rsid w:val="497DDCAF"/>
    <w:rsid w:val="497E100E"/>
    <w:rsid w:val="497EC41E"/>
    <w:rsid w:val="497EDADA"/>
    <w:rsid w:val="497EED1D"/>
    <w:rsid w:val="497F389C"/>
    <w:rsid w:val="49805C20"/>
    <w:rsid w:val="4980E65F"/>
    <w:rsid w:val="4981404B"/>
    <w:rsid w:val="498194F4"/>
    <w:rsid w:val="49826DA9"/>
    <w:rsid w:val="4982D8B9"/>
    <w:rsid w:val="4982F514"/>
    <w:rsid w:val="49832493"/>
    <w:rsid w:val="498333A9"/>
    <w:rsid w:val="49835768"/>
    <w:rsid w:val="4983625D"/>
    <w:rsid w:val="49837350"/>
    <w:rsid w:val="49864E74"/>
    <w:rsid w:val="49890F73"/>
    <w:rsid w:val="4989EBD5"/>
    <w:rsid w:val="498A443D"/>
    <w:rsid w:val="498A5EF2"/>
    <w:rsid w:val="498B15CF"/>
    <w:rsid w:val="498B4E5C"/>
    <w:rsid w:val="498B6103"/>
    <w:rsid w:val="498B7DC7"/>
    <w:rsid w:val="498E9C21"/>
    <w:rsid w:val="498EAEB6"/>
    <w:rsid w:val="498EB1B0"/>
    <w:rsid w:val="498EE0DB"/>
    <w:rsid w:val="498F7D04"/>
    <w:rsid w:val="498F9B68"/>
    <w:rsid w:val="498FF201"/>
    <w:rsid w:val="4990B983"/>
    <w:rsid w:val="4990D023"/>
    <w:rsid w:val="4991055B"/>
    <w:rsid w:val="4991AECF"/>
    <w:rsid w:val="49924B28"/>
    <w:rsid w:val="499275D5"/>
    <w:rsid w:val="49937329"/>
    <w:rsid w:val="4993BD34"/>
    <w:rsid w:val="49942274"/>
    <w:rsid w:val="4994EAFC"/>
    <w:rsid w:val="4995ACA9"/>
    <w:rsid w:val="4995E0AC"/>
    <w:rsid w:val="499741FA"/>
    <w:rsid w:val="4997955B"/>
    <w:rsid w:val="4997C3C0"/>
    <w:rsid w:val="4997EA0B"/>
    <w:rsid w:val="4998093E"/>
    <w:rsid w:val="49986E9C"/>
    <w:rsid w:val="4998B1F8"/>
    <w:rsid w:val="49992328"/>
    <w:rsid w:val="49992839"/>
    <w:rsid w:val="49997DBD"/>
    <w:rsid w:val="499A3ED7"/>
    <w:rsid w:val="499A430C"/>
    <w:rsid w:val="499CA099"/>
    <w:rsid w:val="499CD687"/>
    <w:rsid w:val="499DCF8C"/>
    <w:rsid w:val="499F2E0C"/>
    <w:rsid w:val="49A020DA"/>
    <w:rsid w:val="49A0A794"/>
    <w:rsid w:val="49A0B74E"/>
    <w:rsid w:val="49A10D11"/>
    <w:rsid w:val="49A10EDD"/>
    <w:rsid w:val="49A153E2"/>
    <w:rsid w:val="49A15A86"/>
    <w:rsid w:val="49A1AE19"/>
    <w:rsid w:val="49A1F634"/>
    <w:rsid w:val="49A33FDF"/>
    <w:rsid w:val="49A38B8D"/>
    <w:rsid w:val="49A3D8FD"/>
    <w:rsid w:val="49A559D1"/>
    <w:rsid w:val="49A68496"/>
    <w:rsid w:val="49A6954E"/>
    <w:rsid w:val="49A6E355"/>
    <w:rsid w:val="49A7FE4B"/>
    <w:rsid w:val="49A80E78"/>
    <w:rsid w:val="49A90A63"/>
    <w:rsid w:val="49A9136D"/>
    <w:rsid w:val="49A9463E"/>
    <w:rsid w:val="49A98A32"/>
    <w:rsid w:val="49A9B784"/>
    <w:rsid w:val="49AA5E6B"/>
    <w:rsid w:val="49AAACAC"/>
    <w:rsid w:val="49AB5FC1"/>
    <w:rsid w:val="49ABACD4"/>
    <w:rsid w:val="49ABECBA"/>
    <w:rsid w:val="49AC4D73"/>
    <w:rsid w:val="49ACB992"/>
    <w:rsid w:val="49ACBFD1"/>
    <w:rsid w:val="49ADFB0A"/>
    <w:rsid w:val="49ADFD7D"/>
    <w:rsid w:val="49AF2FCF"/>
    <w:rsid w:val="49AF4014"/>
    <w:rsid w:val="49B0DF65"/>
    <w:rsid w:val="49B18842"/>
    <w:rsid w:val="49B19B5C"/>
    <w:rsid w:val="49B1C581"/>
    <w:rsid w:val="49B24EA3"/>
    <w:rsid w:val="49B3ADB7"/>
    <w:rsid w:val="49B432BC"/>
    <w:rsid w:val="49B44C28"/>
    <w:rsid w:val="49B4872B"/>
    <w:rsid w:val="49B48C4E"/>
    <w:rsid w:val="49B4D9F1"/>
    <w:rsid w:val="49B573CA"/>
    <w:rsid w:val="49B58B97"/>
    <w:rsid w:val="49B68A21"/>
    <w:rsid w:val="49B71A5C"/>
    <w:rsid w:val="49B768B5"/>
    <w:rsid w:val="49B7E2E8"/>
    <w:rsid w:val="49B8943D"/>
    <w:rsid w:val="49B8D400"/>
    <w:rsid w:val="49B9547D"/>
    <w:rsid w:val="49BA162F"/>
    <w:rsid w:val="49BA6388"/>
    <w:rsid w:val="49BBCE90"/>
    <w:rsid w:val="49BC1C3C"/>
    <w:rsid w:val="49BC8A98"/>
    <w:rsid w:val="49BD0680"/>
    <w:rsid w:val="49BEDF0D"/>
    <w:rsid w:val="49C1E08C"/>
    <w:rsid w:val="49C2E1EE"/>
    <w:rsid w:val="49C2EAC1"/>
    <w:rsid w:val="49C2EE64"/>
    <w:rsid w:val="49C2F2D8"/>
    <w:rsid w:val="49C3F546"/>
    <w:rsid w:val="49C42ACC"/>
    <w:rsid w:val="49C43C25"/>
    <w:rsid w:val="49C47CFD"/>
    <w:rsid w:val="49C678E1"/>
    <w:rsid w:val="49C6B370"/>
    <w:rsid w:val="49C6F7B6"/>
    <w:rsid w:val="49C71838"/>
    <w:rsid w:val="49C75DB7"/>
    <w:rsid w:val="49C78CE0"/>
    <w:rsid w:val="49C85C92"/>
    <w:rsid w:val="49C8F51B"/>
    <w:rsid w:val="49C9BCFE"/>
    <w:rsid w:val="49CA18EF"/>
    <w:rsid w:val="49CB332F"/>
    <w:rsid w:val="49CBD0E8"/>
    <w:rsid w:val="49CC5CC8"/>
    <w:rsid w:val="49CC9CF3"/>
    <w:rsid w:val="49CD5E9E"/>
    <w:rsid w:val="49CDD820"/>
    <w:rsid w:val="49CE6C45"/>
    <w:rsid w:val="49CE866E"/>
    <w:rsid w:val="49CE9C4F"/>
    <w:rsid w:val="49CEBF7E"/>
    <w:rsid w:val="49CFC63C"/>
    <w:rsid w:val="49D18BE1"/>
    <w:rsid w:val="49D19388"/>
    <w:rsid w:val="49D1A8EA"/>
    <w:rsid w:val="49D3991C"/>
    <w:rsid w:val="49D4D8CC"/>
    <w:rsid w:val="49D4E99D"/>
    <w:rsid w:val="49D59A4F"/>
    <w:rsid w:val="49D5E207"/>
    <w:rsid w:val="49D62036"/>
    <w:rsid w:val="49D75FB9"/>
    <w:rsid w:val="49D804A5"/>
    <w:rsid w:val="49D9BEEA"/>
    <w:rsid w:val="49DA8D1C"/>
    <w:rsid w:val="49DB11B1"/>
    <w:rsid w:val="49DB5E4C"/>
    <w:rsid w:val="49DBB6B0"/>
    <w:rsid w:val="49DBDA6D"/>
    <w:rsid w:val="49DBFBF0"/>
    <w:rsid w:val="49DC156B"/>
    <w:rsid w:val="49DC5E4A"/>
    <w:rsid w:val="49DEB9F1"/>
    <w:rsid w:val="49E0918B"/>
    <w:rsid w:val="49E0B682"/>
    <w:rsid w:val="49E281A9"/>
    <w:rsid w:val="49E2A9A7"/>
    <w:rsid w:val="49E2D1E0"/>
    <w:rsid w:val="49E2E42E"/>
    <w:rsid w:val="49E2E69D"/>
    <w:rsid w:val="49E2F114"/>
    <w:rsid w:val="49E2FA96"/>
    <w:rsid w:val="49E33EFC"/>
    <w:rsid w:val="49E360D9"/>
    <w:rsid w:val="49E3A77D"/>
    <w:rsid w:val="49E533F7"/>
    <w:rsid w:val="49E57176"/>
    <w:rsid w:val="49E59EEC"/>
    <w:rsid w:val="49E5E2BA"/>
    <w:rsid w:val="49E5EED6"/>
    <w:rsid w:val="49E63C13"/>
    <w:rsid w:val="49E6913E"/>
    <w:rsid w:val="49E69C15"/>
    <w:rsid w:val="49E6ED7D"/>
    <w:rsid w:val="49E70B9F"/>
    <w:rsid w:val="49E8B8F0"/>
    <w:rsid w:val="49E923D8"/>
    <w:rsid w:val="49E964EC"/>
    <w:rsid w:val="49E98F39"/>
    <w:rsid w:val="49EA333F"/>
    <w:rsid w:val="49EA7185"/>
    <w:rsid w:val="49EAF3D9"/>
    <w:rsid w:val="49EB8387"/>
    <w:rsid w:val="49EBC86C"/>
    <w:rsid w:val="49EBFC0A"/>
    <w:rsid w:val="49EC22BB"/>
    <w:rsid w:val="49ECAFE5"/>
    <w:rsid w:val="49EEFD91"/>
    <w:rsid w:val="49EF19AC"/>
    <w:rsid w:val="49EF4272"/>
    <w:rsid w:val="49F0689F"/>
    <w:rsid w:val="49F09529"/>
    <w:rsid w:val="49F2504F"/>
    <w:rsid w:val="49F2B0DA"/>
    <w:rsid w:val="49F3C83A"/>
    <w:rsid w:val="49F3F3F4"/>
    <w:rsid w:val="49F48BD6"/>
    <w:rsid w:val="49F56563"/>
    <w:rsid w:val="49F57F13"/>
    <w:rsid w:val="49F608DE"/>
    <w:rsid w:val="49F75101"/>
    <w:rsid w:val="49F79206"/>
    <w:rsid w:val="49F7DC1A"/>
    <w:rsid w:val="49F83096"/>
    <w:rsid w:val="49F88887"/>
    <w:rsid w:val="49F8FD15"/>
    <w:rsid w:val="49F9CA1F"/>
    <w:rsid w:val="49F9D63F"/>
    <w:rsid w:val="49FAA301"/>
    <w:rsid w:val="49FAA889"/>
    <w:rsid w:val="49FAFDD6"/>
    <w:rsid w:val="49FC1CF5"/>
    <w:rsid w:val="49FD75EC"/>
    <w:rsid w:val="49FE5C13"/>
    <w:rsid w:val="49FE9FDC"/>
    <w:rsid w:val="49FF1082"/>
    <w:rsid w:val="49FF8C2E"/>
    <w:rsid w:val="49FFB094"/>
    <w:rsid w:val="4A0034EF"/>
    <w:rsid w:val="4A013B4F"/>
    <w:rsid w:val="4A013F4E"/>
    <w:rsid w:val="4A018E06"/>
    <w:rsid w:val="4A01DB44"/>
    <w:rsid w:val="4A01EB1E"/>
    <w:rsid w:val="4A01F1EB"/>
    <w:rsid w:val="4A033091"/>
    <w:rsid w:val="4A035DF6"/>
    <w:rsid w:val="4A04879B"/>
    <w:rsid w:val="4A05B737"/>
    <w:rsid w:val="4A07CCD1"/>
    <w:rsid w:val="4A095DF7"/>
    <w:rsid w:val="4A098ABB"/>
    <w:rsid w:val="4A0A561F"/>
    <w:rsid w:val="4A0B8EB8"/>
    <w:rsid w:val="4A0C676D"/>
    <w:rsid w:val="4A0CA917"/>
    <w:rsid w:val="4A0D1494"/>
    <w:rsid w:val="4A0D775A"/>
    <w:rsid w:val="4A0E8E2A"/>
    <w:rsid w:val="4A0EC588"/>
    <w:rsid w:val="4A0F341D"/>
    <w:rsid w:val="4A10D8E1"/>
    <w:rsid w:val="4A117A88"/>
    <w:rsid w:val="4A119BA6"/>
    <w:rsid w:val="4A1281A0"/>
    <w:rsid w:val="4A12FBB3"/>
    <w:rsid w:val="4A13AF26"/>
    <w:rsid w:val="4A13C90F"/>
    <w:rsid w:val="4A141AAC"/>
    <w:rsid w:val="4A145D38"/>
    <w:rsid w:val="4A14B04E"/>
    <w:rsid w:val="4A14B261"/>
    <w:rsid w:val="4A150AF3"/>
    <w:rsid w:val="4A15913C"/>
    <w:rsid w:val="4A15FBE4"/>
    <w:rsid w:val="4A160486"/>
    <w:rsid w:val="4A160DD9"/>
    <w:rsid w:val="4A162E7D"/>
    <w:rsid w:val="4A167858"/>
    <w:rsid w:val="4A185F67"/>
    <w:rsid w:val="4A18EB90"/>
    <w:rsid w:val="4A18FA64"/>
    <w:rsid w:val="4A19A404"/>
    <w:rsid w:val="4A19B52A"/>
    <w:rsid w:val="4A19C504"/>
    <w:rsid w:val="4A19F994"/>
    <w:rsid w:val="4A1A74D8"/>
    <w:rsid w:val="4A1A86A7"/>
    <w:rsid w:val="4A1B3530"/>
    <w:rsid w:val="4A1C6CFE"/>
    <w:rsid w:val="4A1D1535"/>
    <w:rsid w:val="4A1D255A"/>
    <w:rsid w:val="4A1E28A8"/>
    <w:rsid w:val="4A1E5EEF"/>
    <w:rsid w:val="4A1E87EA"/>
    <w:rsid w:val="4A1E9B45"/>
    <w:rsid w:val="4A1EB376"/>
    <w:rsid w:val="4A1EBC95"/>
    <w:rsid w:val="4A1F2780"/>
    <w:rsid w:val="4A1F391F"/>
    <w:rsid w:val="4A1FADA3"/>
    <w:rsid w:val="4A2024AA"/>
    <w:rsid w:val="4A21348B"/>
    <w:rsid w:val="4A22C37B"/>
    <w:rsid w:val="4A24B3D3"/>
    <w:rsid w:val="4A24CDF8"/>
    <w:rsid w:val="4A250595"/>
    <w:rsid w:val="4A250E1A"/>
    <w:rsid w:val="4A259522"/>
    <w:rsid w:val="4A26F508"/>
    <w:rsid w:val="4A27241F"/>
    <w:rsid w:val="4A275B0A"/>
    <w:rsid w:val="4A27682E"/>
    <w:rsid w:val="4A27899C"/>
    <w:rsid w:val="4A278B94"/>
    <w:rsid w:val="4A2791B6"/>
    <w:rsid w:val="4A28D787"/>
    <w:rsid w:val="4A2A207B"/>
    <w:rsid w:val="4A2A8A1C"/>
    <w:rsid w:val="4A2A8AD1"/>
    <w:rsid w:val="4A2B1B6B"/>
    <w:rsid w:val="4A2B448B"/>
    <w:rsid w:val="4A2B7BF9"/>
    <w:rsid w:val="4A2C0C83"/>
    <w:rsid w:val="4A2F60C0"/>
    <w:rsid w:val="4A2F6F78"/>
    <w:rsid w:val="4A302AAD"/>
    <w:rsid w:val="4A30E6E2"/>
    <w:rsid w:val="4A31EAC2"/>
    <w:rsid w:val="4A325C1E"/>
    <w:rsid w:val="4A327700"/>
    <w:rsid w:val="4A327825"/>
    <w:rsid w:val="4A32F36F"/>
    <w:rsid w:val="4A335AFB"/>
    <w:rsid w:val="4A33DFE6"/>
    <w:rsid w:val="4A341B4B"/>
    <w:rsid w:val="4A346709"/>
    <w:rsid w:val="4A362647"/>
    <w:rsid w:val="4A37AECD"/>
    <w:rsid w:val="4A37D5C0"/>
    <w:rsid w:val="4A37F605"/>
    <w:rsid w:val="4A380114"/>
    <w:rsid w:val="4A38784B"/>
    <w:rsid w:val="4A398683"/>
    <w:rsid w:val="4A3A1BE8"/>
    <w:rsid w:val="4A3B0923"/>
    <w:rsid w:val="4A3BC16E"/>
    <w:rsid w:val="4A3BE389"/>
    <w:rsid w:val="4A3BE393"/>
    <w:rsid w:val="4A3C150A"/>
    <w:rsid w:val="4A3CB1D7"/>
    <w:rsid w:val="4A3CC018"/>
    <w:rsid w:val="4A3D113B"/>
    <w:rsid w:val="4A3D3358"/>
    <w:rsid w:val="4A3D693F"/>
    <w:rsid w:val="4A3D7992"/>
    <w:rsid w:val="4A3DADF9"/>
    <w:rsid w:val="4A3DE742"/>
    <w:rsid w:val="4A3EFCA0"/>
    <w:rsid w:val="4A3F016C"/>
    <w:rsid w:val="4A3F6D66"/>
    <w:rsid w:val="4A3F823E"/>
    <w:rsid w:val="4A409140"/>
    <w:rsid w:val="4A4164CC"/>
    <w:rsid w:val="4A41942D"/>
    <w:rsid w:val="4A41E2B4"/>
    <w:rsid w:val="4A426E35"/>
    <w:rsid w:val="4A42B835"/>
    <w:rsid w:val="4A430BFF"/>
    <w:rsid w:val="4A4332D4"/>
    <w:rsid w:val="4A443DC0"/>
    <w:rsid w:val="4A44530F"/>
    <w:rsid w:val="4A452A4C"/>
    <w:rsid w:val="4A455526"/>
    <w:rsid w:val="4A46DBDB"/>
    <w:rsid w:val="4A497051"/>
    <w:rsid w:val="4A49B32A"/>
    <w:rsid w:val="4A49C0F0"/>
    <w:rsid w:val="4A4AA98A"/>
    <w:rsid w:val="4A4C13CC"/>
    <w:rsid w:val="4A4CEF93"/>
    <w:rsid w:val="4A4CF318"/>
    <w:rsid w:val="4A4DB646"/>
    <w:rsid w:val="4A4E9958"/>
    <w:rsid w:val="4A50D340"/>
    <w:rsid w:val="4A50DB9A"/>
    <w:rsid w:val="4A535A08"/>
    <w:rsid w:val="4A550D1F"/>
    <w:rsid w:val="4A55DDAD"/>
    <w:rsid w:val="4A560B4E"/>
    <w:rsid w:val="4A57C8AB"/>
    <w:rsid w:val="4A58C861"/>
    <w:rsid w:val="4A5967F7"/>
    <w:rsid w:val="4A5A6E5F"/>
    <w:rsid w:val="4A5BCAE7"/>
    <w:rsid w:val="4A5BCCBD"/>
    <w:rsid w:val="4A5BDDFD"/>
    <w:rsid w:val="4A5C0E88"/>
    <w:rsid w:val="4A5C0FC9"/>
    <w:rsid w:val="4A5CA50D"/>
    <w:rsid w:val="4A5CD984"/>
    <w:rsid w:val="4A5D5B70"/>
    <w:rsid w:val="4A5EB793"/>
    <w:rsid w:val="4A5F0046"/>
    <w:rsid w:val="4A5FF9E5"/>
    <w:rsid w:val="4A601965"/>
    <w:rsid w:val="4A606AE6"/>
    <w:rsid w:val="4A60A939"/>
    <w:rsid w:val="4A614DAD"/>
    <w:rsid w:val="4A61BEEB"/>
    <w:rsid w:val="4A629FB0"/>
    <w:rsid w:val="4A62C613"/>
    <w:rsid w:val="4A62D5B7"/>
    <w:rsid w:val="4A63ECDA"/>
    <w:rsid w:val="4A641FD9"/>
    <w:rsid w:val="4A658958"/>
    <w:rsid w:val="4A66A4C4"/>
    <w:rsid w:val="4A681374"/>
    <w:rsid w:val="4A68B16A"/>
    <w:rsid w:val="4A698A48"/>
    <w:rsid w:val="4A6A78AC"/>
    <w:rsid w:val="4A6AF057"/>
    <w:rsid w:val="4A6AF1BC"/>
    <w:rsid w:val="4A6AFF3F"/>
    <w:rsid w:val="4A6D9AEB"/>
    <w:rsid w:val="4A6E4AF1"/>
    <w:rsid w:val="4A6F719F"/>
    <w:rsid w:val="4A6FEEF7"/>
    <w:rsid w:val="4A70BFD2"/>
    <w:rsid w:val="4A719754"/>
    <w:rsid w:val="4A720923"/>
    <w:rsid w:val="4A7296BA"/>
    <w:rsid w:val="4A73131D"/>
    <w:rsid w:val="4A73814D"/>
    <w:rsid w:val="4A74FBA6"/>
    <w:rsid w:val="4A752F18"/>
    <w:rsid w:val="4A757DA2"/>
    <w:rsid w:val="4A758C2A"/>
    <w:rsid w:val="4A759CF1"/>
    <w:rsid w:val="4A75F852"/>
    <w:rsid w:val="4A76DA60"/>
    <w:rsid w:val="4A77A377"/>
    <w:rsid w:val="4A77A45C"/>
    <w:rsid w:val="4A77B5B2"/>
    <w:rsid w:val="4A77EB42"/>
    <w:rsid w:val="4A780628"/>
    <w:rsid w:val="4A78C6B4"/>
    <w:rsid w:val="4A79D6ED"/>
    <w:rsid w:val="4A7A016C"/>
    <w:rsid w:val="4A7A79B0"/>
    <w:rsid w:val="4A7B1CCB"/>
    <w:rsid w:val="4A7BA081"/>
    <w:rsid w:val="4A7DE8AA"/>
    <w:rsid w:val="4A7EBF2D"/>
    <w:rsid w:val="4A7EF474"/>
    <w:rsid w:val="4A7F4DC3"/>
    <w:rsid w:val="4A7FE125"/>
    <w:rsid w:val="4A81126A"/>
    <w:rsid w:val="4A818A66"/>
    <w:rsid w:val="4A81D5CA"/>
    <w:rsid w:val="4A8263DF"/>
    <w:rsid w:val="4A82D980"/>
    <w:rsid w:val="4A84368F"/>
    <w:rsid w:val="4A8505BF"/>
    <w:rsid w:val="4A863FB7"/>
    <w:rsid w:val="4A874290"/>
    <w:rsid w:val="4A88D845"/>
    <w:rsid w:val="4A89BA8E"/>
    <w:rsid w:val="4A8A4ABF"/>
    <w:rsid w:val="4A8A7FAC"/>
    <w:rsid w:val="4A8AA7D6"/>
    <w:rsid w:val="4A8B3509"/>
    <w:rsid w:val="4A8B6BFB"/>
    <w:rsid w:val="4A8BE4C3"/>
    <w:rsid w:val="4A8BE961"/>
    <w:rsid w:val="4A90C2D1"/>
    <w:rsid w:val="4A90D1D3"/>
    <w:rsid w:val="4A90EAD6"/>
    <w:rsid w:val="4A9232A7"/>
    <w:rsid w:val="4A92AE9D"/>
    <w:rsid w:val="4A9339A2"/>
    <w:rsid w:val="4A947B6D"/>
    <w:rsid w:val="4A948906"/>
    <w:rsid w:val="4A951BF4"/>
    <w:rsid w:val="4A95403C"/>
    <w:rsid w:val="4A955E78"/>
    <w:rsid w:val="4A95E7B0"/>
    <w:rsid w:val="4A960E4E"/>
    <w:rsid w:val="4A9691BB"/>
    <w:rsid w:val="4A971060"/>
    <w:rsid w:val="4A97C58C"/>
    <w:rsid w:val="4A97DE0F"/>
    <w:rsid w:val="4A97F209"/>
    <w:rsid w:val="4A98283A"/>
    <w:rsid w:val="4A992E67"/>
    <w:rsid w:val="4A998427"/>
    <w:rsid w:val="4A9A20F2"/>
    <w:rsid w:val="4A9BD434"/>
    <w:rsid w:val="4A9D96DB"/>
    <w:rsid w:val="4A9E81D2"/>
    <w:rsid w:val="4AA0A1D1"/>
    <w:rsid w:val="4AA0E98C"/>
    <w:rsid w:val="4AA24F34"/>
    <w:rsid w:val="4AA2A1C1"/>
    <w:rsid w:val="4AA3E088"/>
    <w:rsid w:val="4AA60888"/>
    <w:rsid w:val="4AA65719"/>
    <w:rsid w:val="4AA8A0B2"/>
    <w:rsid w:val="4AA941BD"/>
    <w:rsid w:val="4AA9D55D"/>
    <w:rsid w:val="4AAB4671"/>
    <w:rsid w:val="4AABA0FF"/>
    <w:rsid w:val="4AABD1C2"/>
    <w:rsid w:val="4AAC8F26"/>
    <w:rsid w:val="4AAE428D"/>
    <w:rsid w:val="4AAF42EE"/>
    <w:rsid w:val="4AAF5ACB"/>
    <w:rsid w:val="4AAF9123"/>
    <w:rsid w:val="4AAFCD29"/>
    <w:rsid w:val="4AAFE6D9"/>
    <w:rsid w:val="4AB09A52"/>
    <w:rsid w:val="4AB0EB53"/>
    <w:rsid w:val="4AB12AA5"/>
    <w:rsid w:val="4AB151E5"/>
    <w:rsid w:val="4AB24229"/>
    <w:rsid w:val="4AB2DA9F"/>
    <w:rsid w:val="4AB32298"/>
    <w:rsid w:val="4AB32B17"/>
    <w:rsid w:val="4AB4FAA2"/>
    <w:rsid w:val="4AB56C01"/>
    <w:rsid w:val="4AB5B577"/>
    <w:rsid w:val="4AB62ABA"/>
    <w:rsid w:val="4AB682C5"/>
    <w:rsid w:val="4AB6859C"/>
    <w:rsid w:val="4AB6F144"/>
    <w:rsid w:val="4AB7C3BC"/>
    <w:rsid w:val="4AB8D5AB"/>
    <w:rsid w:val="4AB93335"/>
    <w:rsid w:val="4ABA0F9E"/>
    <w:rsid w:val="4ABA5EB4"/>
    <w:rsid w:val="4ABD44A1"/>
    <w:rsid w:val="4ABEE6B8"/>
    <w:rsid w:val="4ABF1906"/>
    <w:rsid w:val="4ABF56FD"/>
    <w:rsid w:val="4AC02000"/>
    <w:rsid w:val="4AC0C0AD"/>
    <w:rsid w:val="4AC14AAC"/>
    <w:rsid w:val="4AC17DBB"/>
    <w:rsid w:val="4AC19EC7"/>
    <w:rsid w:val="4AC2B6A1"/>
    <w:rsid w:val="4AC31EF4"/>
    <w:rsid w:val="4AC3B728"/>
    <w:rsid w:val="4AC4124E"/>
    <w:rsid w:val="4AC41C70"/>
    <w:rsid w:val="4AC60858"/>
    <w:rsid w:val="4AC734FD"/>
    <w:rsid w:val="4AC80B55"/>
    <w:rsid w:val="4AC8602D"/>
    <w:rsid w:val="4AC8E796"/>
    <w:rsid w:val="4AC9F12F"/>
    <w:rsid w:val="4ACAEB7E"/>
    <w:rsid w:val="4ACB2FC2"/>
    <w:rsid w:val="4ACB70A2"/>
    <w:rsid w:val="4ACBADE9"/>
    <w:rsid w:val="4ACC3EAD"/>
    <w:rsid w:val="4ACC4ADB"/>
    <w:rsid w:val="4ACD2D7A"/>
    <w:rsid w:val="4ACE6EA5"/>
    <w:rsid w:val="4ACE8A0F"/>
    <w:rsid w:val="4ACE979E"/>
    <w:rsid w:val="4ACEC466"/>
    <w:rsid w:val="4ACFB183"/>
    <w:rsid w:val="4AD115A1"/>
    <w:rsid w:val="4AD17A57"/>
    <w:rsid w:val="4AD2042B"/>
    <w:rsid w:val="4AD26340"/>
    <w:rsid w:val="4AD3C893"/>
    <w:rsid w:val="4AD42AB3"/>
    <w:rsid w:val="4AD494FE"/>
    <w:rsid w:val="4AD57DED"/>
    <w:rsid w:val="4AD5F7D5"/>
    <w:rsid w:val="4AD626E7"/>
    <w:rsid w:val="4AD66FAE"/>
    <w:rsid w:val="4AD74409"/>
    <w:rsid w:val="4AD751C1"/>
    <w:rsid w:val="4AD9D57A"/>
    <w:rsid w:val="4ADA0DCB"/>
    <w:rsid w:val="4ADAA1F4"/>
    <w:rsid w:val="4ADD03A7"/>
    <w:rsid w:val="4ADDEFE5"/>
    <w:rsid w:val="4ADE0CD8"/>
    <w:rsid w:val="4ADE2ADD"/>
    <w:rsid w:val="4ADE3365"/>
    <w:rsid w:val="4ADEF68D"/>
    <w:rsid w:val="4ADF1500"/>
    <w:rsid w:val="4ADF1D7F"/>
    <w:rsid w:val="4ADF60DD"/>
    <w:rsid w:val="4ADF8B45"/>
    <w:rsid w:val="4ADFB96E"/>
    <w:rsid w:val="4AE0343A"/>
    <w:rsid w:val="4AE10548"/>
    <w:rsid w:val="4AE11B59"/>
    <w:rsid w:val="4AE14E29"/>
    <w:rsid w:val="4AE228A1"/>
    <w:rsid w:val="4AE2295B"/>
    <w:rsid w:val="4AE2C5CA"/>
    <w:rsid w:val="4AE5D281"/>
    <w:rsid w:val="4AE62EBF"/>
    <w:rsid w:val="4AE6756A"/>
    <w:rsid w:val="4AE68AFA"/>
    <w:rsid w:val="4AE85ED0"/>
    <w:rsid w:val="4AE8657A"/>
    <w:rsid w:val="4AEA1868"/>
    <w:rsid w:val="4AEB32F4"/>
    <w:rsid w:val="4AEC2581"/>
    <w:rsid w:val="4AED2CCF"/>
    <w:rsid w:val="4AED52A3"/>
    <w:rsid w:val="4AED8EAF"/>
    <w:rsid w:val="4AEDC689"/>
    <w:rsid w:val="4AEEF720"/>
    <w:rsid w:val="4AEF04CC"/>
    <w:rsid w:val="4AEFB278"/>
    <w:rsid w:val="4AF02582"/>
    <w:rsid w:val="4AF157C9"/>
    <w:rsid w:val="4AF1839C"/>
    <w:rsid w:val="4AF19296"/>
    <w:rsid w:val="4AF230C2"/>
    <w:rsid w:val="4AF25DD6"/>
    <w:rsid w:val="4AF35DE9"/>
    <w:rsid w:val="4AF38B18"/>
    <w:rsid w:val="4AF3DCD4"/>
    <w:rsid w:val="4AF47604"/>
    <w:rsid w:val="4AF54619"/>
    <w:rsid w:val="4AF5D773"/>
    <w:rsid w:val="4AF65BAC"/>
    <w:rsid w:val="4AF6B2D3"/>
    <w:rsid w:val="4AF6BE04"/>
    <w:rsid w:val="4AF6EE2D"/>
    <w:rsid w:val="4AF82A5B"/>
    <w:rsid w:val="4AF89118"/>
    <w:rsid w:val="4AF899C3"/>
    <w:rsid w:val="4AF8A0F6"/>
    <w:rsid w:val="4AF9FC3D"/>
    <w:rsid w:val="4AFA2AB5"/>
    <w:rsid w:val="4AFA3B17"/>
    <w:rsid w:val="4AFA516E"/>
    <w:rsid w:val="4AFA9F4C"/>
    <w:rsid w:val="4AFBA039"/>
    <w:rsid w:val="4AFC9551"/>
    <w:rsid w:val="4AFD888E"/>
    <w:rsid w:val="4AFDC051"/>
    <w:rsid w:val="4AFE11FF"/>
    <w:rsid w:val="4AFEE0C9"/>
    <w:rsid w:val="4AFF6596"/>
    <w:rsid w:val="4AFF88F5"/>
    <w:rsid w:val="4B0025AF"/>
    <w:rsid w:val="4B00A19D"/>
    <w:rsid w:val="4B00C51B"/>
    <w:rsid w:val="4B019F69"/>
    <w:rsid w:val="4B021CD8"/>
    <w:rsid w:val="4B0256DB"/>
    <w:rsid w:val="4B03123B"/>
    <w:rsid w:val="4B031EFA"/>
    <w:rsid w:val="4B040452"/>
    <w:rsid w:val="4B04C446"/>
    <w:rsid w:val="4B058D64"/>
    <w:rsid w:val="4B06376F"/>
    <w:rsid w:val="4B06DE45"/>
    <w:rsid w:val="4B073244"/>
    <w:rsid w:val="4B075E6F"/>
    <w:rsid w:val="4B081916"/>
    <w:rsid w:val="4B0831EC"/>
    <w:rsid w:val="4B08D1EE"/>
    <w:rsid w:val="4B0BAF86"/>
    <w:rsid w:val="4B0C16F6"/>
    <w:rsid w:val="4B0C46CD"/>
    <w:rsid w:val="4B0CA778"/>
    <w:rsid w:val="4B0D9D15"/>
    <w:rsid w:val="4B0F966C"/>
    <w:rsid w:val="4B1146FC"/>
    <w:rsid w:val="4B14D5EF"/>
    <w:rsid w:val="4B14F92C"/>
    <w:rsid w:val="4B16C112"/>
    <w:rsid w:val="4B16C3C2"/>
    <w:rsid w:val="4B172FC7"/>
    <w:rsid w:val="4B184740"/>
    <w:rsid w:val="4B189A37"/>
    <w:rsid w:val="4B19BCBC"/>
    <w:rsid w:val="4B1BD070"/>
    <w:rsid w:val="4B1C4D09"/>
    <w:rsid w:val="4B1C5C51"/>
    <w:rsid w:val="4B1D70A6"/>
    <w:rsid w:val="4B1E3379"/>
    <w:rsid w:val="4B1ECA84"/>
    <w:rsid w:val="4B1F7E9C"/>
    <w:rsid w:val="4B1FA1AA"/>
    <w:rsid w:val="4B1FC5F1"/>
    <w:rsid w:val="4B1FFA98"/>
    <w:rsid w:val="4B203E7C"/>
    <w:rsid w:val="4B207010"/>
    <w:rsid w:val="4B20BD60"/>
    <w:rsid w:val="4B21C0BF"/>
    <w:rsid w:val="4B22A141"/>
    <w:rsid w:val="4B22DDB7"/>
    <w:rsid w:val="4B22ECEF"/>
    <w:rsid w:val="4B23DF31"/>
    <w:rsid w:val="4B244ABB"/>
    <w:rsid w:val="4B2657EA"/>
    <w:rsid w:val="4B2748BF"/>
    <w:rsid w:val="4B276145"/>
    <w:rsid w:val="4B27C5CD"/>
    <w:rsid w:val="4B280C01"/>
    <w:rsid w:val="4B294F06"/>
    <w:rsid w:val="4B299D9D"/>
    <w:rsid w:val="4B2AFBE0"/>
    <w:rsid w:val="4B2BC5DF"/>
    <w:rsid w:val="4B2C5278"/>
    <w:rsid w:val="4B2C7AB9"/>
    <w:rsid w:val="4B2D2796"/>
    <w:rsid w:val="4B2D57AD"/>
    <w:rsid w:val="4B2D7AB3"/>
    <w:rsid w:val="4B2EAD3B"/>
    <w:rsid w:val="4B2F1567"/>
    <w:rsid w:val="4B2FD54F"/>
    <w:rsid w:val="4B307093"/>
    <w:rsid w:val="4B317C6C"/>
    <w:rsid w:val="4B32C1FE"/>
    <w:rsid w:val="4B334574"/>
    <w:rsid w:val="4B3383B0"/>
    <w:rsid w:val="4B340423"/>
    <w:rsid w:val="4B345372"/>
    <w:rsid w:val="4B3507C4"/>
    <w:rsid w:val="4B365CCA"/>
    <w:rsid w:val="4B37F4D5"/>
    <w:rsid w:val="4B3918AD"/>
    <w:rsid w:val="4B39A464"/>
    <w:rsid w:val="4B39CADF"/>
    <w:rsid w:val="4B3A3673"/>
    <w:rsid w:val="4B3A6491"/>
    <w:rsid w:val="4B3C1628"/>
    <w:rsid w:val="4B3C6C53"/>
    <w:rsid w:val="4B3CB002"/>
    <w:rsid w:val="4B3D7D81"/>
    <w:rsid w:val="4B3D9019"/>
    <w:rsid w:val="4B3FB956"/>
    <w:rsid w:val="4B407242"/>
    <w:rsid w:val="4B426910"/>
    <w:rsid w:val="4B42A594"/>
    <w:rsid w:val="4B430D79"/>
    <w:rsid w:val="4B447582"/>
    <w:rsid w:val="4B45610B"/>
    <w:rsid w:val="4B4746B2"/>
    <w:rsid w:val="4B4805B1"/>
    <w:rsid w:val="4B4805DD"/>
    <w:rsid w:val="4B48F04D"/>
    <w:rsid w:val="4B49BBEB"/>
    <w:rsid w:val="4B49CAE4"/>
    <w:rsid w:val="4B4B180C"/>
    <w:rsid w:val="4B4B67EC"/>
    <w:rsid w:val="4B4D1CD4"/>
    <w:rsid w:val="4B4D4005"/>
    <w:rsid w:val="4B4D489C"/>
    <w:rsid w:val="4B4D793C"/>
    <w:rsid w:val="4B4DA811"/>
    <w:rsid w:val="4B4DB552"/>
    <w:rsid w:val="4B4DD1AB"/>
    <w:rsid w:val="4B4E7E7C"/>
    <w:rsid w:val="4B4EA31B"/>
    <w:rsid w:val="4B4EBCAF"/>
    <w:rsid w:val="4B4F219F"/>
    <w:rsid w:val="4B506A24"/>
    <w:rsid w:val="4B515E76"/>
    <w:rsid w:val="4B51CF5A"/>
    <w:rsid w:val="4B51F669"/>
    <w:rsid w:val="4B51F716"/>
    <w:rsid w:val="4B522A72"/>
    <w:rsid w:val="4B5252DA"/>
    <w:rsid w:val="4B52B9BB"/>
    <w:rsid w:val="4B5315B1"/>
    <w:rsid w:val="4B531A32"/>
    <w:rsid w:val="4B536DD8"/>
    <w:rsid w:val="4B555D79"/>
    <w:rsid w:val="4B557465"/>
    <w:rsid w:val="4B5693E3"/>
    <w:rsid w:val="4B570B33"/>
    <w:rsid w:val="4B5793D0"/>
    <w:rsid w:val="4B57AA4B"/>
    <w:rsid w:val="4B57EF88"/>
    <w:rsid w:val="4B581BE4"/>
    <w:rsid w:val="4B584A60"/>
    <w:rsid w:val="4B588BE6"/>
    <w:rsid w:val="4B591888"/>
    <w:rsid w:val="4B59265E"/>
    <w:rsid w:val="4B59E757"/>
    <w:rsid w:val="4B5A54D6"/>
    <w:rsid w:val="4B5B864A"/>
    <w:rsid w:val="4B5BAE5F"/>
    <w:rsid w:val="4B5C6E88"/>
    <w:rsid w:val="4B5E0F1C"/>
    <w:rsid w:val="4B5E186A"/>
    <w:rsid w:val="4B5E8FE7"/>
    <w:rsid w:val="4B5F09C3"/>
    <w:rsid w:val="4B600FAD"/>
    <w:rsid w:val="4B60CCDB"/>
    <w:rsid w:val="4B62549F"/>
    <w:rsid w:val="4B63E079"/>
    <w:rsid w:val="4B63E84C"/>
    <w:rsid w:val="4B640A1D"/>
    <w:rsid w:val="4B649F40"/>
    <w:rsid w:val="4B64F798"/>
    <w:rsid w:val="4B6529BE"/>
    <w:rsid w:val="4B656930"/>
    <w:rsid w:val="4B65B6C9"/>
    <w:rsid w:val="4B663377"/>
    <w:rsid w:val="4B679EC5"/>
    <w:rsid w:val="4B67A149"/>
    <w:rsid w:val="4B67E547"/>
    <w:rsid w:val="4B69930D"/>
    <w:rsid w:val="4B6A1254"/>
    <w:rsid w:val="4B6ABB30"/>
    <w:rsid w:val="4B6B7F3B"/>
    <w:rsid w:val="4B6BB34E"/>
    <w:rsid w:val="4B6BF1B0"/>
    <w:rsid w:val="4B6CC762"/>
    <w:rsid w:val="4B6CF327"/>
    <w:rsid w:val="4B6D126A"/>
    <w:rsid w:val="4B6D70A6"/>
    <w:rsid w:val="4B6EDAD2"/>
    <w:rsid w:val="4B6EF5F9"/>
    <w:rsid w:val="4B6F22FF"/>
    <w:rsid w:val="4B6F612A"/>
    <w:rsid w:val="4B701F95"/>
    <w:rsid w:val="4B7121ED"/>
    <w:rsid w:val="4B7136A2"/>
    <w:rsid w:val="4B719068"/>
    <w:rsid w:val="4B71CF8F"/>
    <w:rsid w:val="4B72E7B4"/>
    <w:rsid w:val="4B737A8F"/>
    <w:rsid w:val="4B73BDC3"/>
    <w:rsid w:val="4B7482AC"/>
    <w:rsid w:val="4B7518B0"/>
    <w:rsid w:val="4B75F512"/>
    <w:rsid w:val="4B76041F"/>
    <w:rsid w:val="4B768D40"/>
    <w:rsid w:val="4B77FB23"/>
    <w:rsid w:val="4B7822BC"/>
    <w:rsid w:val="4B78A419"/>
    <w:rsid w:val="4B78E3F2"/>
    <w:rsid w:val="4B790835"/>
    <w:rsid w:val="4B79F67E"/>
    <w:rsid w:val="4B7ACDE6"/>
    <w:rsid w:val="4B7B1B55"/>
    <w:rsid w:val="4B7B2425"/>
    <w:rsid w:val="4B7B42AD"/>
    <w:rsid w:val="4B7CEAAE"/>
    <w:rsid w:val="4B7E04EF"/>
    <w:rsid w:val="4B7E0FB6"/>
    <w:rsid w:val="4B7F6FB0"/>
    <w:rsid w:val="4B7F7147"/>
    <w:rsid w:val="4B83A296"/>
    <w:rsid w:val="4B8691A6"/>
    <w:rsid w:val="4B86955F"/>
    <w:rsid w:val="4B870B38"/>
    <w:rsid w:val="4B878796"/>
    <w:rsid w:val="4B88518A"/>
    <w:rsid w:val="4B887CE9"/>
    <w:rsid w:val="4B88AE01"/>
    <w:rsid w:val="4B89EDEC"/>
    <w:rsid w:val="4B8B1316"/>
    <w:rsid w:val="4B8B1484"/>
    <w:rsid w:val="4B8B92FE"/>
    <w:rsid w:val="4B8BEDB7"/>
    <w:rsid w:val="4B8C4D6F"/>
    <w:rsid w:val="4B8E97E5"/>
    <w:rsid w:val="4B8FEB54"/>
    <w:rsid w:val="4B902E47"/>
    <w:rsid w:val="4B90A22B"/>
    <w:rsid w:val="4B91080F"/>
    <w:rsid w:val="4B915D6E"/>
    <w:rsid w:val="4B9186DC"/>
    <w:rsid w:val="4B91C1DB"/>
    <w:rsid w:val="4B9296EA"/>
    <w:rsid w:val="4B93C634"/>
    <w:rsid w:val="4B93E85E"/>
    <w:rsid w:val="4B949241"/>
    <w:rsid w:val="4B94DC97"/>
    <w:rsid w:val="4B9507BC"/>
    <w:rsid w:val="4B95199D"/>
    <w:rsid w:val="4B976AFA"/>
    <w:rsid w:val="4B97DA88"/>
    <w:rsid w:val="4B988420"/>
    <w:rsid w:val="4B992B72"/>
    <w:rsid w:val="4B99ADAA"/>
    <w:rsid w:val="4B9C5DF0"/>
    <w:rsid w:val="4B9C71C2"/>
    <w:rsid w:val="4B9CCA41"/>
    <w:rsid w:val="4B9E1EA5"/>
    <w:rsid w:val="4B9E231B"/>
    <w:rsid w:val="4B9E7E5B"/>
    <w:rsid w:val="4B9F87F1"/>
    <w:rsid w:val="4BA1C2FA"/>
    <w:rsid w:val="4BA1C5BC"/>
    <w:rsid w:val="4BA2C3EE"/>
    <w:rsid w:val="4BA2DD9D"/>
    <w:rsid w:val="4BA2E6A1"/>
    <w:rsid w:val="4BA31A73"/>
    <w:rsid w:val="4BA35F08"/>
    <w:rsid w:val="4BA4C046"/>
    <w:rsid w:val="4BA5188C"/>
    <w:rsid w:val="4BA5FE8B"/>
    <w:rsid w:val="4BA77574"/>
    <w:rsid w:val="4BA8E762"/>
    <w:rsid w:val="4BA91612"/>
    <w:rsid w:val="4BABF814"/>
    <w:rsid w:val="4BAC1827"/>
    <w:rsid w:val="4BAD1499"/>
    <w:rsid w:val="4BADE465"/>
    <w:rsid w:val="4BAE07ED"/>
    <w:rsid w:val="4BAEEB0E"/>
    <w:rsid w:val="4BAF1D6D"/>
    <w:rsid w:val="4BAF5C80"/>
    <w:rsid w:val="4BAFB275"/>
    <w:rsid w:val="4BB0B697"/>
    <w:rsid w:val="4BB0FE95"/>
    <w:rsid w:val="4BB24686"/>
    <w:rsid w:val="4BB3CDAD"/>
    <w:rsid w:val="4BB456B3"/>
    <w:rsid w:val="4BB58D28"/>
    <w:rsid w:val="4BB5B0CF"/>
    <w:rsid w:val="4BB65143"/>
    <w:rsid w:val="4BB72772"/>
    <w:rsid w:val="4BB85481"/>
    <w:rsid w:val="4BB8FF34"/>
    <w:rsid w:val="4BB96E50"/>
    <w:rsid w:val="4BBA1537"/>
    <w:rsid w:val="4BBA23BD"/>
    <w:rsid w:val="4BBB2F8F"/>
    <w:rsid w:val="4BBC539C"/>
    <w:rsid w:val="4BBC53E1"/>
    <w:rsid w:val="4BBC7E9A"/>
    <w:rsid w:val="4BBCCD8E"/>
    <w:rsid w:val="4BBD756F"/>
    <w:rsid w:val="4BBF2BD8"/>
    <w:rsid w:val="4BBF4CCF"/>
    <w:rsid w:val="4BC05844"/>
    <w:rsid w:val="4BC07AD5"/>
    <w:rsid w:val="4BC16CEC"/>
    <w:rsid w:val="4BC1E124"/>
    <w:rsid w:val="4BC20690"/>
    <w:rsid w:val="4BC39A50"/>
    <w:rsid w:val="4BC42010"/>
    <w:rsid w:val="4BC4F570"/>
    <w:rsid w:val="4BC564CC"/>
    <w:rsid w:val="4BC5ABC9"/>
    <w:rsid w:val="4BC6A4A5"/>
    <w:rsid w:val="4BC6EEFD"/>
    <w:rsid w:val="4BC8A9D4"/>
    <w:rsid w:val="4BC8C016"/>
    <w:rsid w:val="4BC8E2AE"/>
    <w:rsid w:val="4BC950E4"/>
    <w:rsid w:val="4BC9B1A6"/>
    <w:rsid w:val="4BCB1F72"/>
    <w:rsid w:val="4BCB8684"/>
    <w:rsid w:val="4BCBAFD7"/>
    <w:rsid w:val="4BCC651C"/>
    <w:rsid w:val="4BCC6BF9"/>
    <w:rsid w:val="4BCC89F2"/>
    <w:rsid w:val="4BCD610A"/>
    <w:rsid w:val="4BCD7838"/>
    <w:rsid w:val="4BCD7A18"/>
    <w:rsid w:val="4BCF1553"/>
    <w:rsid w:val="4BD085EB"/>
    <w:rsid w:val="4BD08917"/>
    <w:rsid w:val="4BD31C64"/>
    <w:rsid w:val="4BD3F4B9"/>
    <w:rsid w:val="4BD55941"/>
    <w:rsid w:val="4BD7C145"/>
    <w:rsid w:val="4BDADC0E"/>
    <w:rsid w:val="4BDAF31B"/>
    <w:rsid w:val="4BDBB0CC"/>
    <w:rsid w:val="4BDBD090"/>
    <w:rsid w:val="4BDBF927"/>
    <w:rsid w:val="4BDD1630"/>
    <w:rsid w:val="4BDD9B69"/>
    <w:rsid w:val="4BDDB907"/>
    <w:rsid w:val="4BDDD26C"/>
    <w:rsid w:val="4BDECC14"/>
    <w:rsid w:val="4BDF0FA8"/>
    <w:rsid w:val="4BE02638"/>
    <w:rsid w:val="4BE07E54"/>
    <w:rsid w:val="4BE13F21"/>
    <w:rsid w:val="4BE16299"/>
    <w:rsid w:val="4BE33F11"/>
    <w:rsid w:val="4BE4011E"/>
    <w:rsid w:val="4BE4F607"/>
    <w:rsid w:val="4BE5EC55"/>
    <w:rsid w:val="4BE5EFA5"/>
    <w:rsid w:val="4BE68B75"/>
    <w:rsid w:val="4BE6DA92"/>
    <w:rsid w:val="4BE7088C"/>
    <w:rsid w:val="4BE72353"/>
    <w:rsid w:val="4BE88F60"/>
    <w:rsid w:val="4BE8F403"/>
    <w:rsid w:val="4BE971FD"/>
    <w:rsid w:val="4BEA4523"/>
    <w:rsid w:val="4BEB8063"/>
    <w:rsid w:val="4BEC2CA3"/>
    <w:rsid w:val="4BED70EF"/>
    <w:rsid w:val="4BEE1FC9"/>
    <w:rsid w:val="4BEE7C80"/>
    <w:rsid w:val="4BEF88B8"/>
    <w:rsid w:val="4BF00F1A"/>
    <w:rsid w:val="4BF0323F"/>
    <w:rsid w:val="4BF093C1"/>
    <w:rsid w:val="4BF1015F"/>
    <w:rsid w:val="4BF19B5B"/>
    <w:rsid w:val="4BF1B575"/>
    <w:rsid w:val="4BF1BB66"/>
    <w:rsid w:val="4BF1C48A"/>
    <w:rsid w:val="4BF46C32"/>
    <w:rsid w:val="4BF58D96"/>
    <w:rsid w:val="4BF6B3A5"/>
    <w:rsid w:val="4BF7DBC6"/>
    <w:rsid w:val="4BF7F537"/>
    <w:rsid w:val="4BF9FAB7"/>
    <w:rsid w:val="4BFA8F4E"/>
    <w:rsid w:val="4BFB1167"/>
    <w:rsid w:val="4BFB2CF3"/>
    <w:rsid w:val="4BFCE724"/>
    <w:rsid w:val="4BFCF002"/>
    <w:rsid w:val="4BFDDC68"/>
    <w:rsid w:val="4BFEA18D"/>
    <w:rsid w:val="4BFED296"/>
    <w:rsid w:val="4C009D04"/>
    <w:rsid w:val="4C00C2CC"/>
    <w:rsid w:val="4C00E051"/>
    <w:rsid w:val="4C012BCA"/>
    <w:rsid w:val="4C01A859"/>
    <w:rsid w:val="4C037555"/>
    <w:rsid w:val="4C038478"/>
    <w:rsid w:val="4C03E465"/>
    <w:rsid w:val="4C041613"/>
    <w:rsid w:val="4C0426F9"/>
    <w:rsid w:val="4C04437A"/>
    <w:rsid w:val="4C04E396"/>
    <w:rsid w:val="4C061680"/>
    <w:rsid w:val="4C06704B"/>
    <w:rsid w:val="4C06F8DE"/>
    <w:rsid w:val="4C089F04"/>
    <w:rsid w:val="4C090600"/>
    <w:rsid w:val="4C0A4DF5"/>
    <w:rsid w:val="4C0B89AA"/>
    <w:rsid w:val="4C0BB689"/>
    <w:rsid w:val="4C0BC51E"/>
    <w:rsid w:val="4C0C15E6"/>
    <w:rsid w:val="4C0CA399"/>
    <w:rsid w:val="4C0DDB5E"/>
    <w:rsid w:val="4C0E2E4B"/>
    <w:rsid w:val="4C102537"/>
    <w:rsid w:val="4C103F9D"/>
    <w:rsid w:val="4C117CEC"/>
    <w:rsid w:val="4C125F4D"/>
    <w:rsid w:val="4C12E369"/>
    <w:rsid w:val="4C13B441"/>
    <w:rsid w:val="4C154E3E"/>
    <w:rsid w:val="4C156EA6"/>
    <w:rsid w:val="4C15B1A8"/>
    <w:rsid w:val="4C17780D"/>
    <w:rsid w:val="4C183511"/>
    <w:rsid w:val="4C18AB63"/>
    <w:rsid w:val="4C18C4C7"/>
    <w:rsid w:val="4C18D629"/>
    <w:rsid w:val="4C190580"/>
    <w:rsid w:val="4C196213"/>
    <w:rsid w:val="4C1997DA"/>
    <w:rsid w:val="4C19FE9E"/>
    <w:rsid w:val="4C1A2E8F"/>
    <w:rsid w:val="4C1A8E6C"/>
    <w:rsid w:val="4C1AD40C"/>
    <w:rsid w:val="4C1B269E"/>
    <w:rsid w:val="4C1BD083"/>
    <w:rsid w:val="4C1C910D"/>
    <w:rsid w:val="4C1D7616"/>
    <w:rsid w:val="4C1DB023"/>
    <w:rsid w:val="4C1DD367"/>
    <w:rsid w:val="4C1EB4F9"/>
    <w:rsid w:val="4C1EB856"/>
    <w:rsid w:val="4C1F8417"/>
    <w:rsid w:val="4C1F8B5F"/>
    <w:rsid w:val="4C2011F6"/>
    <w:rsid w:val="4C206865"/>
    <w:rsid w:val="4C20D620"/>
    <w:rsid w:val="4C20EF59"/>
    <w:rsid w:val="4C212FF2"/>
    <w:rsid w:val="4C221018"/>
    <w:rsid w:val="4C222D0F"/>
    <w:rsid w:val="4C229F71"/>
    <w:rsid w:val="4C22DA61"/>
    <w:rsid w:val="4C236769"/>
    <w:rsid w:val="4C23B0DC"/>
    <w:rsid w:val="4C2444D8"/>
    <w:rsid w:val="4C24A3B6"/>
    <w:rsid w:val="4C24FAA3"/>
    <w:rsid w:val="4C25805D"/>
    <w:rsid w:val="4C262FC2"/>
    <w:rsid w:val="4C265AF8"/>
    <w:rsid w:val="4C26C7AE"/>
    <w:rsid w:val="4C26CC74"/>
    <w:rsid w:val="4C273D79"/>
    <w:rsid w:val="4C27499B"/>
    <w:rsid w:val="4C275BA3"/>
    <w:rsid w:val="4C2771A5"/>
    <w:rsid w:val="4C27EC52"/>
    <w:rsid w:val="4C28094F"/>
    <w:rsid w:val="4C28E196"/>
    <w:rsid w:val="4C2959B2"/>
    <w:rsid w:val="4C2A16FB"/>
    <w:rsid w:val="4C2A1811"/>
    <w:rsid w:val="4C2A8FBB"/>
    <w:rsid w:val="4C2AF7FE"/>
    <w:rsid w:val="4C2B2285"/>
    <w:rsid w:val="4C2B4904"/>
    <w:rsid w:val="4C2B4FE1"/>
    <w:rsid w:val="4C2DCB35"/>
    <w:rsid w:val="4C2E0028"/>
    <w:rsid w:val="4C2EB8CD"/>
    <w:rsid w:val="4C2EC4E9"/>
    <w:rsid w:val="4C2F9BA6"/>
    <w:rsid w:val="4C303533"/>
    <w:rsid w:val="4C3099CD"/>
    <w:rsid w:val="4C326838"/>
    <w:rsid w:val="4C32F551"/>
    <w:rsid w:val="4C33D204"/>
    <w:rsid w:val="4C33E8B2"/>
    <w:rsid w:val="4C33FC28"/>
    <w:rsid w:val="4C35BE1B"/>
    <w:rsid w:val="4C365699"/>
    <w:rsid w:val="4C37661B"/>
    <w:rsid w:val="4C37BD83"/>
    <w:rsid w:val="4C388231"/>
    <w:rsid w:val="4C388B43"/>
    <w:rsid w:val="4C3984D7"/>
    <w:rsid w:val="4C39AF46"/>
    <w:rsid w:val="4C39BDFB"/>
    <w:rsid w:val="4C3AE341"/>
    <w:rsid w:val="4C3B039F"/>
    <w:rsid w:val="4C3B2CFB"/>
    <w:rsid w:val="4C3B33EE"/>
    <w:rsid w:val="4C3BD2D4"/>
    <w:rsid w:val="4C3CAD33"/>
    <w:rsid w:val="4C3CC7D1"/>
    <w:rsid w:val="4C3DC259"/>
    <w:rsid w:val="4C3E8AB3"/>
    <w:rsid w:val="4C3FCEFD"/>
    <w:rsid w:val="4C40795A"/>
    <w:rsid w:val="4C409115"/>
    <w:rsid w:val="4C412E51"/>
    <w:rsid w:val="4C41C334"/>
    <w:rsid w:val="4C41CEE8"/>
    <w:rsid w:val="4C42E228"/>
    <w:rsid w:val="4C44192C"/>
    <w:rsid w:val="4C44B09B"/>
    <w:rsid w:val="4C457608"/>
    <w:rsid w:val="4C45EF3E"/>
    <w:rsid w:val="4C4614AF"/>
    <w:rsid w:val="4C473955"/>
    <w:rsid w:val="4C48570C"/>
    <w:rsid w:val="4C491743"/>
    <w:rsid w:val="4C4927AC"/>
    <w:rsid w:val="4C49E1C3"/>
    <w:rsid w:val="4C4A2CCF"/>
    <w:rsid w:val="4C4ABDD3"/>
    <w:rsid w:val="4C4AC64C"/>
    <w:rsid w:val="4C4D50AA"/>
    <w:rsid w:val="4C4E08E5"/>
    <w:rsid w:val="4C4E74BB"/>
    <w:rsid w:val="4C4E892E"/>
    <w:rsid w:val="4C4EBADC"/>
    <w:rsid w:val="4C4EBD03"/>
    <w:rsid w:val="4C4F612E"/>
    <w:rsid w:val="4C4F6994"/>
    <w:rsid w:val="4C4FBCA2"/>
    <w:rsid w:val="4C4FC46C"/>
    <w:rsid w:val="4C502C64"/>
    <w:rsid w:val="4C50431E"/>
    <w:rsid w:val="4C513310"/>
    <w:rsid w:val="4C53FB7F"/>
    <w:rsid w:val="4C54E688"/>
    <w:rsid w:val="4C557D4D"/>
    <w:rsid w:val="4C559B2C"/>
    <w:rsid w:val="4C563AB6"/>
    <w:rsid w:val="4C56D80A"/>
    <w:rsid w:val="4C56F2F4"/>
    <w:rsid w:val="4C571A71"/>
    <w:rsid w:val="4C57C3D6"/>
    <w:rsid w:val="4C582646"/>
    <w:rsid w:val="4C5B2C45"/>
    <w:rsid w:val="4C5D11F8"/>
    <w:rsid w:val="4C5D3E35"/>
    <w:rsid w:val="4C5D6A2B"/>
    <w:rsid w:val="4C5DA699"/>
    <w:rsid w:val="4C5E4183"/>
    <w:rsid w:val="4C5E4BBE"/>
    <w:rsid w:val="4C5E7120"/>
    <w:rsid w:val="4C5E712A"/>
    <w:rsid w:val="4C600382"/>
    <w:rsid w:val="4C61E99B"/>
    <w:rsid w:val="4C6314F3"/>
    <w:rsid w:val="4C645E69"/>
    <w:rsid w:val="4C656A67"/>
    <w:rsid w:val="4C660AE3"/>
    <w:rsid w:val="4C664B7E"/>
    <w:rsid w:val="4C666DD0"/>
    <w:rsid w:val="4C66CC3F"/>
    <w:rsid w:val="4C6731EE"/>
    <w:rsid w:val="4C678E76"/>
    <w:rsid w:val="4C6A1557"/>
    <w:rsid w:val="4C6A6347"/>
    <w:rsid w:val="4C6BF999"/>
    <w:rsid w:val="4C6C2C74"/>
    <w:rsid w:val="4C6C8E1A"/>
    <w:rsid w:val="4C6CFE28"/>
    <w:rsid w:val="4C6D7007"/>
    <w:rsid w:val="4C6F471E"/>
    <w:rsid w:val="4C707D26"/>
    <w:rsid w:val="4C70E84F"/>
    <w:rsid w:val="4C71495F"/>
    <w:rsid w:val="4C71CB3F"/>
    <w:rsid w:val="4C71F532"/>
    <w:rsid w:val="4C720EAC"/>
    <w:rsid w:val="4C7211C9"/>
    <w:rsid w:val="4C72460F"/>
    <w:rsid w:val="4C724FC3"/>
    <w:rsid w:val="4C72B36E"/>
    <w:rsid w:val="4C73D2F6"/>
    <w:rsid w:val="4C743EAC"/>
    <w:rsid w:val="4C74755A"/>
    <w:rsid w:val="4C74AA7B"/>
    <w:rsid w:val="4C74F9E2"/>
    <w:rsid w:val="4C764063"/>
    <w:rsid w:val="4C779DF0"/>
    <w:rsid w:val="4C7855EB"/>
    <w:rsid w:val="4C78AB67"/>
    <w:rsid w:val="4C7949FD"/>
    <w:rsid w:val="4C79BAEA"/>
    <w:rsid w:val="4C79C0A9"/>
    <w:rsid w:val="4C79E355"/>
    <w:rsid w:val="4C7B0E7F"/>
    <w:rsid w:val="4C7B6CF6"/>
    <w:rsid w:val="4C7CB976"/>
    <w:rsid w:val="4C7E7717"/>
    <w:rsid w:val="4C7EE6DC"/>
    <w:rsid w:val="4C7F25C9"/>
    <w:rsid w:val="4C7F33AF"/>
    <w:rsid w:val="4C7F9343"/>
    <w:rsid w:val="4C7FBB88"/>
    <w:rsid w:val="4C7FDC96"/>
    <w:rsid w:val="4C80573C"/>
    <w:rsid w:val="4C809816"/>
    <w:rsid w:val="4C815A23"/>
    <w:rsid w:val="4C8251C4"/>
    <w:rsid w:val="4C83182D"/>
    <w:rsid w:val="4C848645"/>
    <w:rsid w:val="4C84B665"/>
    <w:rsid w:val="4C84EE2D"/>
    <w:rsid w:val="4C84F8B6"/>
    <w:rsid w:val="4C8522F0"/>
    <w:rsid w:val="4C85FD32"/>
    <w:rsid w:val="4C8791B7"/>
    <w:rsid w:val="4C879D6E"/>
    <w:rsid w:val="4C88DA00"/>
    <w:rsid w:val="4C8A48A2"/>
    <w:rsid w:val="4C8AA96E"/>
    <w:rsid w:val="4C8B1FFC"/>
    <w:rsid w:val="4C8B4F9B"/>
    <w:rsid w:val="4C8C6369"/>
    <w:rsid w:val="4C8E0285"/>
    <w:rsid w:val="4C8F04E7"/>
    <w:rsid w:val="4C90DA8C"/>
    <w:rsid w:val="4C90ED99"/>
    <w:rsid w:val="4C91483A"/>
    <w:rsid w:val="4C91DE22"/>
    <w:rsid w:val="4C9304BB"/>
    <w:rsid w:val="4C9331C7"/>
    <w:rsid w:val="4C946BF1"/>
    <w:rsid w:val="4C94F165"/>
    <w:rsid w:val="4C959443"/>
    <w:rsid w:val="4C95D37B"/>
    <w:rsid w:val="4C96D8D3"/>
    <w:rsid w:val="4C9732E7"/>
    <w:rsid w:val="4C984B05"/>
    <w:rsid w:val="4C986863"/>
    <w:rsid w:val="4C99136F"/>
    <w:rsid w:val="4C9B6781"/>
    <w:rsid w:val="4C9B6C59"/>
    <w:rsid w:val="4C9CCAEC"/>
    <w:rsid w:val="4C9D5F9B"/>
    <w:rsid w:val="4C9D8164"/>
    <w:rsid w:val="4C9EF5DC"/>
    <w:rsid w:val="4C9EFD54"/>
    <w:rsid w:val="4CA018E5"/>
    <w:rsid w:val="4CA10D0A"/>
    <w:rsid w:val="4CA11CDD"/>
    <w:rsid w:val="4CA1CDB0"/>
    <w:rsid w:val="4CA2729A"/>
    <w:rsid w:val="4CA2C9C2"/>
    <w:rsid w:val="4CA2CFEE"/>
    <w:rsid w:val="4CA3676B"/>
    <w:rsid w:val="4CA3A0A8"/>
    <w:rsid w:val="4CA3D485"/>
    <w:rsid w:val="4CA41AB1"/>
    <w:rsid w:val="4CA56F57"/>
    <w:rsid w:val="4CA620A5"/>
    <w:rsid w:val="4CA69799"/>
    <w:rsid w:val="4CA6DD98"/>
    <w:rsid w:val="4CA82662"/>
    <w:rsid w:val="4CA8C699"/>
    <w:rsid w:val="4CA993C8"/>
    <w:rsid w:val="4CAA06C4"/>
    <w:rsid w:val="4CAA355C"/>
    <w:rsid w:val="4CABB6E8"/>
    <w:rsid w:val="4CACAE09"/>
    <w:rsid w:val="4CAD20A5"/>
    <w:rsid w:val="4CAE0FE2"/>
    <w:rsid w:val="4CAE5FE1"/>
    <w:rsid w:val="4CAEA3A7"/>
    <w:rsid w:val="4CAEAD4C"/>
    <w:rsid w:val="4CAF9829"/>
    <w:rsid w:val="4CB0C692"/>
    <w:rsid w:val="4CB16A91"/>
    <w:rsid w:val="4CB17771"/>
    <w:rsid w:val="4CB1AAE0"/>
    <w:rsid w:val="4CB1B948"/>
    <w:rsid w:val="4CB1BABF"/>
    <w:rsid w:val="4CB2FA2C"/>
    <w:rsid w:val="4CB3F254"/>
    <w:rsid w:val="4CB40344"/>
    <w:rsid w:val="4CB42F60"/>
    <w:rsid w:val="4CB43C9A"/>
    <w:rsid w:val="4CB53834"/>
    <w:rsid w:val="4CB5CF1A"/>
    <w:rsid w:val="4CB5FE2C"/>
    <w:rsid w:val="4CB60B1D"/>
    <w:rsid w:val="4CB621A2"/>
    <w:rsid w:val="4CB73F0E"/>
    <w:rsid w:val="4CB7E2F5"/>
    <w:rsid w:val="4CB82C38"/>
    <w:rsid w:val="4CB8B93F"/>
    <w:rsid w:val="4CB9A3B1"/>
    <w:rsid w:val="4CB9C676"/>
    <w:rsid w:val="4CBA7E3F"/>
    <w:rsid w:val="4CBAA5E0"/>
    <w:rsid w:val="4CBAFF84"/>
    <w:rsid w:val="4CBB1A71"/>
    <w:rsid w:val="4CBC295B"/>
    <w:rsid w:val="4CBC4C0C"/>
    <w:rsid w:val="4CBCAB38"/>
    <w:rsid w:val="4CBD8386"/>
    <w:rsid w:val="4CBDBD01"/>
    <w:rsid w:val="4CBE6532"/>
    <w:rsid w:val="4CBE9363"/>
    <w:rsid w:val="4CBF51E4"/>
    <w:rsid w:val="4CBF52AA"/>
    <w:rsid w:val="4CC098D6"/>
    <w:rsid w:val="4CC234DD"/>
    <w:rsid w:val="4CC262B3"/>
    <w:rsid w:val="4CC29328"/>
    <w:rsid w:val="4CC38FFF"/>
    <w:rsid w:val="4CC448E6"/>
    <w:rsid w:val="4CC44B7D"/>
    <w:rsid w:val="4CC485C6"/>
    <w:rsid w:val="4CC4BE78"/>
    <w:rsid w:val="4CC5C319"/>
    <w:rsid w:val="4CC63F85"/>
    <w:rsid w:val="4CC714FB"/>
    <w:rsid w:val="4CC7DA79"/>
    <w:rsid w:val="4CC8D3DB"/>
    <w:rsid w:val="4CC924BA"/>
    <w:rsid w:val="4CC9451D"/>
    <w:rsid w:val="4CCA1320"/>
    <w:rsid w:val="4CCA56C8"/>
    <w:rsid w:val="4CCAAD60"/>
    <w:rsid w:val="4CCB4AE1"/>
    <w:rsid w:val="4CCBEFFC"/>
    <w:rsid w:val="4CCD0F29"/>
    <w:rsid w:val="4CCD2E72"/>
    <w:rsid w:val="4CCDD328"/>
    <w:rsid w:val="4CCE9C63"/>
    <w:rsid w:val="4CCEBD78"/>
    <w:rsid w:val="4CCFAC0B"/>
    <w:rsid w:val="4CCFD24B"/>
    <w:rsid w:val="4CCFF420"/>
    <w:rsid w:val="4CD2F654"/>
    <w:rsid w:val="4CD5ECB2"/>
    <w:rsid w:val="4CD68D39"/>
    <w:rsid w:val="4CD7BF23"/>
    <w:rsid w:val="4CD82945"/>
    <w:rsid w:val="4CD83776"/>
    <w:rsid w:val="4CD85F7C"/>
    <w:rsid w:val="4CD9A72B"/>
    <w:rsid w:val="4CD9B223"/>
    <w:rsid w:val="4CD9D7F3"/>
    <w:rsid w:val="4CDA2BBD"/>
    <w:rsid w:val="4CDA3128"/>
    <w:rsid w:val="4CDADE83"/>
    <w:rsid w:val="4CDB857C"/>
    <w:rsid w:val="4CDC895B"/>
    <w:rsid w:val="4CDCFC8D"/>
    <w:rsid w:val="4CDEA2A9"/>
    <w:rsid w:val="4CDEE14A"/>
    <w:rsid w:val="4CDF396B"/>
    <w:rsid w:val="4CDFE472"/>
    <w:rsid w:val="4CE08D48"/>
    <w:rsid w:val="4CE0C5ED"/>
    <w:rsid w:val="4CE20466"/>
    <w:rsid w:val="4CE3C8AB"/>
    <w:rsid w:val="4CE3E947"/>
    <w:rsid w:val="4CE4ECEB"/>
    <w:rsid w:val="4CE53A90"/>
    <w:rsid w:val="4CE54B8C"/>
    <w:rsid w:val="4CE57413"/>
    <w:rsid w:val="4CE64796"/>
    <w:rsid w:val="4CE66761"/>
    <w:rsid w:val="4CE6B647"/>
    <w:rsid w:val="4CE7CF98"/>
    <w:rsid w:val="4CE84657"/>
    <w:rsid w:val="4CE8BC06"/>
    <w:rsid w:val="4CE8D163"/>
    <w:rsid w:val="4CE8E586"/>
    <w:rsid w:val="4CE8FF60"/>
    <w:rsid w:val="4CEA3313"/>
    <w:rsid w:val="4CEBFF7F"/>
    <w:rsid w:val="4CEC5CFE"/>
    <w:rsid w:val="4CECEEBD"/>
    <w:rsid w:val="4CECF01F"/>
    <w:rsid w:val="4CED88C8"/>
    <w:rsid w:val="4CEE46A4"/>
    <w:rsid w:val="4CF10B10"/>
    <w:rsid w:val="4CF1D2C9"/>
    <w:rsid w:val="4CF1E313"/>
    <w:rsid w:val="4CF1F279"/>
    <w:rsid w:val="4CF20E1E"/>
    <w:rsid w:val="4CF3129C"/>
    <w:rsid w:val="4CF3E88D"/>
    <w:rsid w:val="4CF403CA"/>
    <w:rsid w:val="4CF47147"/>
    <w:rsid w:val="4CF4B9FE"/>
    <w:rsid w:val="4CF56922"/>
    <w:rsid w:val="4CF5853F"/>
    <w:rsid w:val="4CF5BD9C"/>
    <w:rsid w:val="4CF5F414"/>
    <w:rsid w:val="4CF6456F"/>
    <w:rsid w:val="4CF6A3F9"/>
    <w:rsid w:val="4CF85798"/>
    <w:rsid w:val="4CF87CDF"/>
    <w:rsid w:val="4CF8A383"/>
    <w:rsid w:val="4CF91643"/>
    <w:rsid w:val="4CFAFAC9"/>
    <w:rsid w:val="4CFB72D1"/>
    <w:rsid w:val="4CFB7BB2"/>
    <w:rsid w:val="4CFBC02D"/>
    <w:rsid w:val="4CFBE6BE"/>
    <w:rsid w:val="4CFCA32A"/>
    <w:rsid w:val="4CFCB1E4"/>
    <w:rsid w:val="4CFCB611"/>
    <w:rsid w:val="4CFD5620"/>
    <w:rsid w:val="4CFD8BAD"/>
    <w:rsid w:val="4CFDA6B3"/>
    <w:rsid w:val="4CFDDF67"/>
    <w:rsid w:val="4CFE0638"/>
    <w:rsid w:val="4CFE0A39"/>
    <w:rsid w:val="4CFE73A8"/>
    <w:rsid w:val="4CFE86CB"/>
    <w:rsid w:val="4CFE9414"/>
    <w:rsid w:val="4CFEDFE5"/>
    <w:rsid w:val="4CFF25AD"/>
    <w:rsid w:val="4D009C3A"/>
    <w:rsid w:val="4D00A5B6"/>
    <w:rsid w:val="4D00DC16"/>
    <w:rsid w:val="4D0129FD"/>
    <w:rsid w:val="4D013EEE"/>
    <w:rsid w:val="4D016CE5"/>
    <w:rsid w:val="4D028038"/>
    <w:rsid w:val="4D02CDCD"/>
    <w:rsid w:val="4D036AF1"/>
    <w:rsid w:val="4D036F8F"/>
    <w:rsid w:val="4D0371AA"/>
    <w:rsid w:val="4D03CE0E"/>
    <w:rsid w:val="4D03E407"/>
    <w:rsid w:val="4D04984A"/>
    <w:rsid w:val="4D06DDB5"/>
    <w:rsid w:val="4D0703BD"/>
    <w:rsid w:val="4D080A67"/>
    <w:rsid w:val="4D08F8BA"/>
    <w:rsid w:val="4D090E35"/>
    <w:rsid w:val="4D09A5A2"/>
    <w:rsid w:val="4D09AAEA"/>
    <w:rsid w:val="4D09D4F0"/>
    <w:rsid w:val="4D0A8398"/>
    <w:rsid w:val="4D0C30A5"/>
    <w:rsid w:val="4D0C6962"/>
    <w:rsid w:val="4D0D21AB"/>
    <w:rsid w:val="4D0D985B"/>
    <w:rsid w:val="4D0E067E"/>
    <w:rsid w:val="4D0FA1ED"/>
    <w:rsid w:val="4D0FAD15"/>
    <w:rsid w:val="4D1064E7"/>
    <w:rsid w:val="4D117FA0"/>
    <w:rsid w:val="4D11B28F"/>
    <w:rsid w:val="4D121C5B"/>
    <w:rsid w:val="4D12F7CE"/>
    <w:rsid w:val="4D12F984"/>
    <w:rsid w:val="4D132031"/>
    <w:rsid w:val="4D1381DA"/>
    <w:rsid w:val="4D13A681"/>
    <w:rsid w:val="4D13D524"/>
    <w:rsid w:val="4D145046"/>
    <w:rsid w:val="4D1499AD"/>
    <w:rsid w:val="4D15086B"/>
    <w:rsid w:val="4D15BBF0"/>
    <w:rsid w:val="4D17B2FD"/>
    <w:rsid w:val="4D1855E4"/>
    <w:rsid w:val="4D19B364"/>
    <w:rsid w:val="4D1ABC0D"/>
    <w:rsid w:val="4D1C59AA"/>
    <w:rsid w:val="4D1CF286"/>
    <w:rsid w:val="4D1DE387"/>
    <w:rsid w:val="4D1FB88C"/>
    <w:rsid w:val="4D1FCE42"/>
    <w:rsid w:val="4D215A3B"/>
    <w:rsid w:val="4D21D99A"/>
    <w:rsid w:val="4D22356E"/>
    <w:rsid w:val="4D23188B"/>
    <w:rsid w:val="4D2483AA"/>
    <w:rsid w:val="4D24C69C"/>
    <w:rsid w:val="4D24EDE2"/>
    <w:rsid w:val="4D260DFB"/>
    <w:rsid w:val="4D270436"/>
    <w:rsid w:val="4D278B09"/>
    <w:rsid w:val="4D28DBD6"/>
    <w:rsid w:val="4D2963CB"/>
    <w:rsid w:val="4D2A188B"/>
    <w:rsid w:val="4D2A264C"/>
    <w:rsid w:val="4D2B9B9A"/>
    <w:rsid w:val="4D2BB7B2"/>
    <w:rsid w:val="4D2BDAA6"/>
    <w:rsid w:val="4D2C35FD"/>
    <w:rsid w:val="4D2C7F35"/>
    <w:rsid w:val="4D2D52F2"/>
    <w:rsid w:val="4D2E2FCD"/>
    <w:rsid w:val="4D2EBAD9"/>
    <w:rsid w:val="4D2F07A6"/>
    <w:rsid w:val="4D2F5CEF"/>
    <w:rsid w:val="4D2F7A27"/>
    <w:rsid w:val="4D2FDAE1"/>
    <w:rsid w:val="4D303EB9"/>
    <w:rsid w:val="4D3064A0"/>
    <w:rsid w:val="4D316740"/>
    <w:rsid w:val="4D317514"/>
    <w:rsid w:val="4D333D84"/>
    <w:rsid w:val="4D3567AC"/>
    <w:rsid w:val="4D357552"/>
    <w:rsid w:val="4D3624D7"/>
    <w:rsid w:val="4D3644FD"/>
    <w:rsid w:val="4D366250"/>
    <w:rsid w:val="4D373822"/>
    <w:rsid w:val="4D37BAF9"/>
    <w:rsid w:val="4D37F6CD"/>
    <w:rsid w:val="4D38780A"/>
    <w:rsid w:val="4D396D95"/>
    <w:rsid w:val="4D397766"/>
    <w:rsid w:val="4D397F54"/>
    <w:rsid w:val="4D3A0E13"/>
    <w:rsid w:val="4D3B3078"/>
    <w:rsid w:val="4D3B9C3D"/>
    <w:rsid w:val="4D3BB59B"/>
    <w:rsid w:val="4D3BF580"/>
    <w:rsid w:val="4D3C3D80"/>
    <w:rsid w:val="4D3DA4B0"/>
    <w:rsid w:val="4D3E31B6"/>
    <w:rsid w:val="4D3F3805"/>
    <w:rsid w:val="4D40CA44"/>
    <w:rsid w:val="4D40D05F"/>
    <w:rsid w:val="4D40DCD2"/>
    <w:rsid w:val="4D411F20"/>
    <w:rsid w:val="4D41BF47"/>
    <w:rsid w:val="4D41FBC9"/>
    <w:rsid w:val="4D421EB3"/>
    <w:rsid w:val="4D424F57"/>
    <w:rsid w:val="4D428BAF"/>
    <w:rsid w:val="4D42C42A"/>
    <w:rsid w:val="4D431B21"/>
    <w:rsid w:val="4D433D9A"/>
    <w:rsid w:val="4D4356E5"/>
    <w:rsid w:val="4D4459B6"/>
    <w:rsid w:val="4D450411"/>
    <w:rsid w:val="4D452A1F"/>
    <w:rsid w:val="4D45BD63"/>
    <w:rsid w:val="4D460FDC"/>
    <w:rsid w:val="4D464B6A"/>
    <w:rsid w:val="4D46574C"/>
    <w:rsid w:val="4D48134D"/>
    <w:rsid w:val="4D48958D"/>
    <w:rsid w:val="4D49224B"/>
    <w:rsid w:val="4D498EAB"/>
    <w:rsid w:val="4D4AADFB"/>
    <w:rsid w:val="4D4BE920"/>
    <w:rsid w:val="4D4BEB92"/>
    <w:rsid w:val="4D4BF55B"/>
    <w:rsid w:val="4D4E6BBA"/>
    <w:rsid w:val="4D4F2B9E"/>
    <w:rsid w:val="4D4F7EE0"/>
    <w:rsid w:val="4D4F83A7"/>
    <w:rsid w:val="4D50321D"/>
    <w:rsid w:val="4D50A820"/>
    <w:rsid w:val="4D50B27C"/>
    <w:rsid w:val="4D5472F3"/>
    <w:rsid w:val="4D54C1AF"/>
    <w:rsid w:val="4D54E4CD"/>
    <w:rsid w:val="4D553345"/>
    <w:rsid w:val="4D55A3B6"/>
    <w:rsid w:val="4D55A53E"/>
    <w:rsid w:val="4D55BE2A"/>
    <w:rsid w:val="4D568B39"/>
    <w:rsid w:val="4D57C1C4"/>
    <w:rsid w:val="4D582036"/>
    <w:rsid w:val="4D590FD6"/>
    <w:rsid w:val="4D5962C0"/>
    <w:rsid w:val="4D596868"/>
    <w:rsid w:val="4D59B21D"/>
    <w:rsid w:val="4D5A7D3A"/>
    <w:rsid w:val="4D5A8912"/>
    <w:rsid w:val="4D5B8B45"/>
    <w:rsid w:val="4D5C3725"/>
    <w:rsid w:val="4D5C594C"/>
    <w:rsid w:val="4D5C6F0A"/>
    <w:rsid w:val="4D5DB70D"/>
    <w:rsid w:val="4D5DC48F"/>
    <w:rsid w:val="4D5E4450"/>
    <w:rsid w:val="4D5E9B7F"/>
    <w:rsid w:val="4D5EF251"/>
    <w:rsid w:val="4D5F39D8"/>
    <w:rsid w:val="4D5FD6FE"/>
    <w:rsid w:val="4D616302"/>
    <w:rsid w:val="4D6170E3"/>
    <w:rsid w:val="4D617BEA"/>
    <w:rsid w:val="4D61A241"/>
    <w:rsid w:val="4D623056"/>
    <w:rsid w:val="4D62E6A8"/>
    <w:rsid w:val="4D63355B"/>
    <w:rsid w:val="4D648E00"/>
    <w:rsid w:val="4D6505C5"/>
    <w:rsid w:val="4D65189B"/>
    <w:rsid w:val="4D66D051"/>
    <w:rsid w:val="4D670426"/>
    <w:rsid w:val="4D681504"/>
    <w:rsid w:val="4D689108"/>
    <w:rsid w:val="4D68A30A"/>
    <w:rsid w:val="4D691A13"/>
    <w:rsid w:val="4D699F49"/>
    <w:rsid w:val="4D69BB0F"/>
    <w:rsid w:val="4D6ACEF3"/>
    <w:rsid w:val="4D6B3332"/>
    <w:rsid w:val="4D6B68F9"/>
    <w:rsid w:val="4D6BD0DA"/>
    <w:rsid w:val="4D6BEFB3"/>
    <w:rsid w:val="4D6BF69F"/>
    <w:rsid w:val="4D6C114F"/>
    <w:rsid w:val="4D6CE829"/>
    <w:rsid w:val="4D6CF0CA"/>
    <w:rsid w:val="4D6DD818"/>
    <w:rsid w:val="4D6E1E2B"/>
    <w:rsid w:val="4D6E38B7"/>
    <w:rsid w:val="4D7096C8"/>
    <w:rsid w:val="4D70BA51"/>
    <w:rsid w:val="4D70C184"/>
    <w:rsid w:val="4D71D6BE"/>
    <w:rsid w:val="4D7283ED"/>
    <w:rsid w:val="4D72D897"/>
    <w:rsid w:val="4D730546"/>
    <w:rsid w:val="4D739C65"/>
    <w:rsid w:val="4D74061C"/>
    <w:rsid w:val="4D7412FE"/>
    <w:rsid w:val="4D742367"/>
    <w:rsid w:val="4D747725"/>
    <w:rsid w:val="4D76EC42"/>
    <w:rsid w:val="4D78254F"/>
    <w:rsid w:val="4D788391"/>
    <w:rsid w:val="4D791ECF"/>
    <w:rsid w:val="4D79236D"/>
    <w:rsid w:val="4D7AACC6"/>
    <w:rsid w:val="4D7C3F29"/>
    <w:rsid w:val="4D7C565A"/>
    <w:rsid w:val="4D7C5CC8"/>
    <w:rsid w:val="4D7CC780"/>
    <w:rsid w:val="4D7D2033"/>
    <w:rsid w:val="4D7D56CB"/>
    <w:rsid w:val="4D7D8802"/>
    <w:rsid w:val="4D7E4A66"/>
    <w:rsid w:val="4D7F2045"/>
    <w:rsid w:val="4D7FB3F6"/>
    <w:rsid w:val="4D7FC9A9"/>
    <w:rsid w:val="4D805158"/>
    <w:rsid w:val="4D80F218"/>
    <w:rsid w:val="4D8128D0"/>
    <w:rsid w:val="4D81817B"/>
    <w:rsid w:val="4D818D2D"/>
    <w:rsid w:val="4D82586D"/>
    <w:rsid w:val="4D828F4A"/>
    <w:rsid w:val="4D83787F"/>
    <w:rsid w:val="4D83D13D"/>
    <w:rsid w:val="4D83E16A"/>
    <w:rsid w:val="4D845299"/>
    <w:rsid w:val="4D8481CC"/>
    <w:rsid w:val="4D876495"/>
    <w:rsid w:val="4D87B539"/>
    <w:rsid w:val="4D88BAF7"/>
    <w:rsid w:val="4D88EB0F"/>
    <w:rsid w:val="4D899184"/>
    <w:rsid w:val="4D89CEEC"/>
    <w:rsid w:val="4D8B324F"/>
    <w:rsid w:val="4D8B4D2F"/>
    <w:rsid w:val="4D8C9BCE"/>
    <w:rsid w:val="4D8D3080"/>
    <w:rsid w:val="4D8D5ED0"/>
    <w:rsid w:val="4D8E0314"/>
    <w:rsid w:val="4D8E6062"/>
    <w:rsid w:val="4D8E8B3F"/>
    <w:rsid w:val="4D8F1DE1"/>
    <w:rsid w:val="4D8F58AB"/>
    <w:rsid w:val="4D90B5BE"/>
    <w:rsid w:val="4D90F054"/>
    <w:rsid w:val="4D90FF5C"/>
    <w:rsid w:val="4D9286F2"/>
    <w:rsid w:val="4D93ED3A"/>
    <w:rsid w:val="4D94603A"/>
    <w:rsid w:val="4D94AB31"/>
    <w:rsid w:val="4D965864"/>
    <w:rsid w:val="4D9A4628"/>
    <w:rsid w:val="4D9ADB76"/>
    <w:rsid w:val="4D9C194B"/>
    <w:rsid w:val="4D9C1C01"/>
    <w:rsid w:val="4D9CE8A8"/>
    <w:rsid w:val="4D9DF27E"/>
    <w:rsid w:val="4D9E7C62"/>
    <w:rsid w:val="4D9E9C61"/>
    <w:rsid w:val="4D9EB703"/>
    <w:rsid w:val="4DA03813"/>
    <w:rsid w:val="4DA06F7A"/>
    <w:rsid w:val="4DA301AD"/>
    <w:rsid w:val="4DA30905"/>
    <w:rsid w:val="4DA38D64"/>
    <w:rsid w:val="4DAAC7EF"/>
    <w:rsid w:val="4DAB07E6"/>
    <w:rsid w:val="4DAB26BA"/>
    <w:rsid w:val="4DAB5C6B"/>
    <w:rsid w:val="4DACA039"/>
    <w:rsid w:val="4DAF3BFF"/>
    <w:rsid w:val="4DAF4052"/>
    <w:rsid w:val="4DAFF6AB"/>
    <w:rsid w:val="4DAFF6D4"/>
    <w:rsid w:val="4DB09DAC"/>
    <w:rsid w:val="4DB0AE68"/>
    <w:rsid w:val="4DB1646D"/>
    <w:rsid w:val="4DB1B2F1"/>
    <w:rsid w:val="4DB2D163"/>
    <w:rsid w:val="4DB37253"/>
    <w:rsid w:val="4DB3B02C"/>
    <w:rsid w:val="4DB41FB5"/>
    <w:rsid w:val="4DB61707"/>
    <w:rsid w:val="4DB70B0D"/>
    <w:rsid w:val="4DB8E0BA"/>
    <w:rsid w:val="4DB9BB4A"/>
    <w:rsid w:val="4DBA53B1"/>
    <w:rsid w:val="4DBB395B"/>
    <w:rsid w:val="4DBC3C31"/>
    <w:rsid w:val="4DBD3B56"/>
    <w:rsid w:val="4DBE0831"/>
    <w:rsid w:val="4DBE2FC2"/>
    <w:rsid w:val="4DBE79E1"/>
    <w:rsid w:val="4DBE9B95"/>
    <w:rsid w:val="4DBEF7A7"/>
    <w:rsid w:val="4DC217D6"/>
    <w:rsid w:val="4DC263CC"/>
    <w:rsid w:val="4DC2F9F3"/>
    <w:rsid w:val="4DC33E8E"/>
    <w:rsid w:val="4DC3DB5F"/>
    <w:rsid w:val="4DC4577E"/>
    <w:rsid w:val="4DC46134"/>
    <w:rsid w:val="4DC5000D"/>
    <w:rsid w:val="4DC505A4"/>
    <w:rsid w:val="4DC54CB7"/>
    <w:rsid w:val="4DC594A6"/>
    <w:rsid w:val="4DC7506A"/>
    <w:rsid w:val="4DC7FA4E"/>
    <w:rsid w:val="4DC94F32"/>
    <w:rsid w:val="4DCA892E"/>
    <w:rsid w:val="4DCAF226"/>
    <w:rsid w:val="4DCB1208"/>
    <w:rsid w:val="4DCBD0C4"/>
    <w:rsid w:val="4DCBE445"/>
    <w:rsid w:val="4DCD6E92"/>
    <w:rsid w:val="4DCE4204"/>
    <w:rsid w:val="4DCF120C"/>
    <w:rsid w:val="4DD05238"/>
    <w:rsid w:val="4DD065D2"/>
    <w:rsid w:val="4DD0EF77"/>
    <w:rsid w:val="4DD1AE00"/>
    <w:rsid w:val="4DD268D4"/>
    <w:rsid w:val="4DD2CF12"/>
    <w:rsid w:val="4DD36058"/>
    <w:rsid w:val="4DD49B92"/>
    <w:rsid w:val="4DD6561D"/>
    <w:rsid w:val="4DD71A40"/>
    <w:rsid w:val="4DD7455A"/>
    <w:rsid w:val="4DD78811"/>
    <w:rsid w:val="4DD83658"/>
    <w:rsid w:val="4DD84399"/>
    <w:rsid w:val="4DD9AD06"/>
    <w:rsid w:val="4DDA22FF"/>
    <w:rsid w:val="4DDAE4F7"/>
    <w:rsid w:val="4DDB9151"/>
    <w:rsid w:val="4DDC56FE"/>
    <w:rsid w:val="4DDD1765"/>
    <w:rsid w:val="4DDD25C5"/>
    <w:rsid w:val="4DDD8FD3"/>
    <w:rsid w:val="4DDDAE79"/>
    <w:rsid w:val="4DDE367B"/>
    <w:rsid w:val="4DDE66E1"/>
    <w:rsid w:val="4DDE9A7C"/>
    <w:rsid w:val="4DE06485"/>
    <w:rsid w:val="4DE0883E"/>
    <w:rsid w:val="4DE0CC7D"/>
    <w:rsid w:val="4DE11133"/>
    <w:rsid w:val="4DE210A2"/>
    <w:rsid w:val="4DE23935"/>
    <w:rsid w:val="4DE24340"/>
    <w:rsid w:val="4DE2FA9A"/>
    <w:rsid w:val="4DE309B6"/>
    <w:rsid w:val="4DE48B95"/>
    <w:rsid w:val="4DE4B62B"/>
    <w:rsid w:val="4DE548A1"/>
    <w:rsid w:val="4DE6238F"/>
    <w:rsid w:val="4DE6913C"/>
    <w:rsid w:val="4DE82F5F"/>
    <w:rsid w:val="4DE87245"/>
    <w:rsid w:val="4DEA1A5B"/>
    <w:rsid w:val="4DEB3CA7"/>
    <w:rsid w:val="4DEBB2D5"/>
    <w:rsid w:val="4DECBDFC"/>
    <w:rsid w:val="4DECCBA6"/>
    <w:rsid w:val="4DED1001"/>
    <w:rsid w:val="4DEDCE37"/>
    <w:rsid w:val="4DEF45B4"/>
    <w:rsid w:val="4DEF52CE"/>
    <w:rsid w:val="4DF03E53"/>
    <w:rsid w:val="4DF250AB"/>
    <w:rsid w:val="4DF32613"/>
    <w:rsid w:val="4DF36D61"/>
    <w:rsid w:val="4DF37A60"/>
    <w:rsid w:val="4DF4E162"/>
    <w:rsid w:val="4DF4E54C"/>
    <w:rsid w:val="4DF67455"/>
    <w:rsid w:val="4DF706BF"/>
    <w:rsid w:val="4DF74543"/>
    <w:rsid w:val="4DF9188B"/>
    <w:rsid w:val="4DF92057"/>
    <w:rsid w:val="4DF92304"/>
    <w:rsid w:val="4DFA3890"/>
    <w:rsid w:val="4DFC409E"/>
    <w:rsid w:val="4DFC690C"/>
    <w:rsid w:val="4DFCE4C1"/>
    <w:rsid w:val="4DFD068E"/>
    <w:rsid w:val="4DFD747D"/>
    <w:rsid w:val="4DFD88E7"/>
    <w:rsid w:val="4DFDFE34"/>
    <w:rsid w:val="4DFE0959"/>
    <w:rsid w:val="4DFE17E6"/>
    <w:rsid w:val="4DFE9ED9"/>
    <w:rsid w:val="4DFF0A59"/>
    <w:rsid w:val="4DFF3A2A"/>
    <w:rsid w:val="4E007268"/>
    <w:rsid w:val="4E00A79F"/>
    <w:rsid w:val="4E0156AA"/>
    <w:rsid w:val="4E018385"/>
    <w:rsid w:val="4E01A292"/>
    <w:rsid w:val="4E020A19"/>
    <w:rsid w:val="4E026D36"/>
    <w:rsid w:val="4E02EE0A"/>
    <w:rsid w:val="4E031F76"/>
    <w:rsid w:val="4E037930"/>
    <w:rsid w:val="4E03ACA2"/>
    <w:rsid w:val="4E044F24"/>
    <w:rsid w:val="4E063D3A"/>
    <w:rsid w:val="4E06AD3D"/>
    <w:rsid w:val="4E07721D"/>
    <w:rsid w:val="4E07FF3A"/>
    <w:rsid w:val="4E086FFF"/>
    <w:rsid w:val="4E095178"/>
    <w:rsid w:val="4E09BC4B"/>
    <w:rsid w:val="4E09E9D7"/>
    <w:rsid w:val="4E0A1500"/>
    <w:rsid w:val="4E0B0325"/>
    <w:rsid w:val="4E0B033F"/>
    <w:rsid w:val="4E0B1D9D"/>
    <w:rsid w:val="4E0BD385"/>
    <w:rsid w:val="4E0C9066"/>
    <w:rsid w:val="4E0C9EAD"/>
    <w:rsid w:val="4E0CF656"/>
    <w:rsid w:val="4E0EBBF0"/>
    <w:rsid w:val="4E0EBDD0"/>
    <w:rsid w:val="4E0F9DA6"/>
    <w:rsid w:val="4E10725E"/>
    <w:rsid w:val="4E10B47B"/>
    <w:rsid w:val="4E1107BD"/>
    <w:rsid w:val="4E11F2F3"/>
    <w:rsid w:val="4E135BF8"/>
    <w:rsid w:val="4E135CFE"/>
    <w:rsid w:val="4E1395BF"/>
    <w:rsid w:val="4E13ECCA"/>
    <w:rsid w:val="4E1514CA"/>
    <w:rsid w:val="4E164D5A"/>
    <w:rsid w:val="4E169A07"/>
    <w:rsid w:val="4E182F91"/>
    <w:rsid w:val="4E19064D"/>
    <w:rsid w:val="4E1A1554"/>
    <w:rsid w:val="4E1A2497"/>
    <w:rsid w:val="4E1A6C6E"/>
    <w:rsid w:val="4E1C60CC"/>
    <w:rsid w:val="4E1C69BE"/>
    <w:rsid w:val="4E1CEC12"/>
    <w:rsid w:val="4E1E4B19"/>
    <w:rsid w:val="4E20A396"/>
    <w:rsid w:val="4E20DB4D"/>
    <w:rsid w:val="4E221FB0"/>
    <w:rsid w:val="4E223B8B"/>
    <w:rsid w:val="4E227B29"/>
    <w:rsid w:val="4E22D38B"/>
    <w:rsid w:val="4E231AF2"/>
    <w:rsid w:val="4E233CC6"/>
    <w:rsid w:val="4E2347BD"/>
    <w:rsid w:val="4E242C19"/>
    <w:rsid w:val="4E24D5FD"/>
    <w:rsid w:val="4E25C86E"/>
    <w:rsid w:val="4E267092"/>
    <w:rsid w:val="4E267C1C"/>
    <w:rsid w:val="4E26D46C"/>
    <w:rsid w:val="4E27FDAF"/>
    <w:rsid w:val="4E2AB3FD"/>
    <w:rsid w:val="4E2B1465"/>
    <w:rsid w:val="4E2B2831"/>
    <w:rsid w:val="4E2BCAF4"/>
    <w:rsid w:val="4E2DA145"/>
    <w:rsid w:val="4E2E5BE0"/>
    <w:rsid w:val="4E2EC05E"/>
    <w:rsid w:val="4E308E01"/>
    <w:rsid w:val="4E30CA1D"/>
    <w:rsid w:val="4E3110B5"/>
    <w:rsid w:val="4E313F62"/>
    <w:rsid w:val="4E31DF4C"/>
    <w:rsid w:val="4E323A67"/>
    <w:rsid w:val="4E331FBC"/>
    <w:rsid w:val="4E3416F2"/>
    <w:rsid w:val="4E3437BF"/>
    <w:rsid w:val="4E34435F"/>
    <w:rsid w:val="4E345F25"/>
    <w:rsid w:val="4E34C18D"/>
    <w:rsid w:val="4E3543CD"/>
    <w:rsid w:val="4E36BB84"/>
    <w:rsid w:val="4E37D07D"/>
    <w:rsid w:val="4E3B028E"/>
    <w:rsid w:val="4E3B25F8"/>
    <w:rsid w:val="4E3DADE0"/>
    <w:rsid w:val="4E3DBE92"/>
    <w:rsid w:val="4E3E00C5"/>
    <w:rsid w:val="4E3F20D4"/>
    <w:rsid w:val="4E404839"/>
    <w:rsid w:val="4E4128CF"/>
    <w:rsid w:val="4E41319F"/>
    <w:rsid w:val="4E42A3AB"/>
    <w:rsid w:val="4E42E011"/>
    <w:rsid w:val="4E43BD69"/>
    <w:rsid w:val="4E4427D9"/>
    <w:rsid w:val="4E45B2A9"/>
    <w:rsid w:val="4E45BD49"/>
    <w:rsid w:val="4E46105D"/>
    <w:rsid w:val="4E4655DF"/>
    <w:rsid w:val="4E4760AA"/>
    <w:rsid w:val="4E47D3CF"/>
    <w:rsid w:val="4E481044"/>
    <w:rsid w:val="4E485D36"/>
    <w:rsid w:val="4E48898E"/>
    <w:rsid w:val="4E497320"/>
    <w:rsid w:val="4E49AC36"/>
    <w:rsid w:val="4E49F5B3"/>
    <w:rsid w:val="4E4A2371"/>
    <w:rsid w:val="4E4ACC36"/>
    <w:rsid w:val="4E4B2B91"/>
    <w:rsid w:val="4E4BCBDF"/>
    <w:rsid w:val="4E4BF246"/>
    <w:rsid w:val="4E4C3885"/>
    <w:rsid w:val="4E4C8C6F"/>
    <w:rsid w:val="4E4EE574"/>
    <w:rsid w:val="4E4F1933"/>
    <w:rsid w:val="4E4F2993"/>
    <w:rsid w:val="4E4FCA02"/>
    <w:rsid w:val="4E50272A"/>
    <w:rsid w:val="4E505047"/>
    <w:rsid w:val="4E52E29A"/>
    <w:rsid w:val="4E52FCC4"/>
    <w:rsid w:val="4E538A4D"/>
    <w:rsid w:val="4E544220"/>
    <w:rsid w:val="4E54E74C"/>
    <w:rsid w:val="4E551AF8"/>
    <w:rsid w:val="4E552CEF"/>
    <w:rsid w:val="4E557C2E"/>
    <w:rsid w:val="4E558E90"/>
    <w:rsid w:val="4E564BB5"/>
    <w:rsid w:val="4E56E302"/>
    <w:rsid w:val="4E570BFA"/>
    <w:rsid w:val="4E592926"/>
    <w:rsid w:val="4E59414B"/>
    <w:rsid w:val="4E5A3DD4"/>
    <w:rsid w:val="4E5B55DF"/>
    <w:rsid w:val="4E5BCF59"/>
    <w:rsid w:val="4E5C0C65"/>
    <w:rsid w:val="4E5D1FFC"/>
    <w:rsid w:val="4E5D2A6E"/>
    <w:rsid w:val="4E5D74DD"/>
    <w:rsid w:val="4E5E4767"/>
    <w:rsid w:val="4E5E4EA1"/>
    <w:rsid w:val="4E5FA1F7"/>
    <w:rsid w:val="4E615915"/>
    <w:rsid w:val="4E6225BA"/>
    <w:rsid w:val="4E62D752"/>
    <w:rsid w:val="4E631FA5"/>
    <w:rsid w:val="4E6530C2"/>
    <w:rsid w:val="4E65747B"/>
    <w:rsid w:val="4E65A908"/>
    <w:rsid w:val="4E65B796"/>
    <w:rsid w:val="4E65F806"/>
    <w:rsid w:val="4E669E82"/>
    <w:rsid w:val="4E67C954"/>
    <w:rsid w:val="4E685572"/>
    <w:rsid w:val="4E6887D9"/>
    <w:rsid w:val="4E692E18"/>
    <w:rsid w:val="4E699078"/>
    <w:rsid w:val="4E6B39A9"/>
    <w:rsid w:val="4E6DA882"/>
    <w:rsid w:val="4E6DC054"/>
    <w:rsid w:val="4E6DC5E1"/>
    <w:rsid w:val="4E6E8F84"/>
    <w:rsid w:val="4E6F3E8D"/>
    <w:rsid w:val="4E70D070"/>
    <w:rsid w:val="4E70D7C3"/>
    <w:rsid w:val="4E71126A"/>
    <w:rsid w:val="4E7276C4"/>
    <w:rsid w:val="4E72BFED"/>
    <w:rsid w:val="4E732F94"/>
    <w:rsid w:val="4E73D994"/>
    <w:rsid w:val="4E747366"/>
    <w:rsid w:val="4E74963E"/>
    <w:rsid w:val="4E75B404"/>
    <w:rsid w:val="4E75DEAA"/>
    <w:rsid w:val="4E76BF23"/>
    <w:rsid w:val="4E77A511"/>
    <w:rsid w:val="4E77D946"/>
    <w:rsid w:val="4E78A062"/>
    <w:rsid w:val="4E78AF48"/>
    <w:rsid w:val="4E78B909"/>
    <w:rsid w:val="4E796080"/>
    <w:rsid w:val="4E79B187"/>
    <w:rsid w:val="4E79E159"/>
    <w:rsid w:val="4E7A5B45"/>
    <w:rsid w:val="4E7AD397"/>
    <w:rsid w:val="4E7AFE6E"/>
    <w:rsid w:val="4E7B9993"/>
    <w:rsid w:val="4E7C2016"/>
    <w:rsid w:val="4E7CAB49"/>
    <w:rsid w:val="4E7D2064"/>
    <w:rsid w:val="4E7D43E6"/>
    <w:rsid w:val="4E7DF61B"/>
    <w:rsid w:val="4E7EFFA5"/>
    <w:rsid w:val="4E7F471F"/>
    <w:rsid w:val="4E7FB05D"/>
    <w:rsid w:val="4E7FBEDD"/>
    <w:rsid w:val="4E806E9C"/>
    <w:rsid w:val="4E8099D1"/>
    <w:rsid w:val="4E80E07F"/>
    <w:rsid w:val="4E81632A"/>
    <w:rsid w:val="4E81C233"/>
    <w:rsid w:val="4E837D22"/>
    <w:rsid w:val="4E83FE26"/>
    <w:rsid w:val="4E84FD5A"/>
    <w:rsid w:val="4E85116E"/>
    <w:rsid w:val="4E85BA4D"/>
    <w:rsid w:val="4E85E6F9"/>
    <w:rsid w:val="4E8659E4"/>
    <w:rsid w:val="4E86673A"/>
    <w:rsid w:val="4E8681F4"/>
    <w:rsid w:val="4E87D071"/>
    <w:rsid w:val="4E896BA4"/>
    <w:rsid w:val="4E89E9ED"/>
    <w:rsid w:val="4E8A2A7E"/>
    <w:rsid w:val="4E8B07AF"/>
    <w:rsid w:val="4E8B37EE"/>
    <w:rsid w:val="4E8C1C9F"/>
    <w:rsid w:val="4E8CC58B"/>
    <w:rsid w:val="4E8CF6B9"/>
    <w:rsid w:val="4E8DEA8E"/>
    <w:rsid w:val="4E8DFC4C"/>
    <w:rsid w:val="4E8E5277"/>
    <w:rsid w:val="4E8FB2D2"/>
    <w:rsid w:val="4E8FB710"/>
    <w:rsid w:val="4E8FC629"/>
    <w:rsid w:val="4E8FD72A"/>
    <w:rsid w:val="4E908535"/>
    <w:rsid w:val="4E91EFCD"/>
    <w:rsid w:val="4E936DAE"/>
    <w:rsid w:val="4E937FBE"/>
    <w:rsid w:val="4E93D58D"/>
    <w:rsid w:val="4E946ADC"/>
    <w:rsid w:val="4E949A7B"/>
    <w:rsid w:val="4E95A58E"/>
    <w:rsid w:val="4E962C95"/>
    <w:rsid w:val="4E968030"/>
    <w:rsid w:val="4E96B7E4"/>
    <w:rsid w:val="4E9771E9"/>
    <w:rsid w:val="4E9788C2"/>
    <w:rsid w:val="4E97FF20"/>
    <w:rsid w:val="4E98037A"/>
    <w:rsid w:val="4E9A4E91"/>
    <w:rsid w:val="4E9A8B94"/>
    <w:rsid w:val="4E9AC4C2"/>
    <w:rsid w:val="4E9B1B0B"/>
    <w:rsid w:val="4E9BABF5"/>
    <w:rsid w:val="4E9BD9C4"/>
    <w:rsid w:val="4E9D3957"/>
    <w:rsid w:val="4E9E0103"/>
    <w:rsid w:val="4E9E3967"/>
    <w:rsid w:val="4E9E431A"/>
    <w:rsid w:val="4E9E6275"/>
    <w:rsid w:val="4E9F81BB"/>
    <w:rsid w:val="4E9FAD4D"/>
    <w:rsid w:val="4E9FC4EB"/>
    <w:rsid w:val="4EA026AE"/>
    <w:rsid w:val="4EA0A166"/>
    <w:rsid w:val="4EA0BCED"/>
    <w:rsid w:val="4EA20C1E"/>
    <w:rsid w:val="4EA25BF7"/>
    <w:rsid w:val="4EA2CCAA"/>
    <w:rsid w:val="4EA35D08"/>
    <w:rsid w:val="4EA3C687"/>
    <w:rsid w:val="4EA5464E"/>
    <w:rsid w:val="4EA5AB03"/>
    <w:rsid w:val="4EA6343F"/>
    <w:rsid w:val="4EA65C4E"/>
    <w:rsid w:val="4EA6A4FE"/>
    <w:rsid w:val="4EA6DBA1"/>
    <w:rsid w:val="4EA6E8CD"/>
    <w:rsid w:val="4EA7D72A"/>
    <w:rsid w:val="4EA8177D"/>
    <w:rsid w:val="4EA835C7"/>
    <w:rsid w:val="4EA83BE7"/>
    <w:rsid w:val="4EA94D3E"/>
    <w:rsid w:val="4EAA12FA"/>
    <w:rsid w:val="4EAC3965"/>
    <w:rsid w:val="4EACBE44"/>
    <w:rsid w:val="4EACE0D7"/>
    <w:rsid w:val="4EAD8F01"/>
    <w:rsid w:val="4EAE7BAF"/>
    <w:rsid w:val="4EAF08EA"/>
    <w:rsid w:val="4EAF09CB"/>
    <w:rsid w:val="4EAFFEC2"/>
    <w:rsid w:val="4EB0F586"/>
    <w:rsid w:val="4EB0F81C"/>
    <w:rsid w:val="4EB14864"/>
    <w:rsid w:val="4EB20929"/>
    <w:rsid w:val="4EB339F6"/>
    <w:rsid w:val="4EB392B2"/>
    <w:rsid w:val="4EB3A2C4"/>
    <w:rsid w:val="4EB412DE"/>
    <w:rsid w:val="4EB42314"/>
    <w:rsid w:val="4EB57867"/>
    <w:rsid w:val="4EB5E5D9"/>
    <w:rsid w:val="4EB6CA35"/>
    <w:rsid w:val="4EB74404"/>
    <w:rsid w:val="4EB78D6D"/>
    <w:rsid w:val="4EB7DCAB"/>
    <w:rsid w:val="4EB7FA2E"/>
    <w:rsid w:val="4EBB4CB7"/>
    <w:rsid w:val="4EBDC783"/>
    <w:rsid w:val="4EBE009D"/>
    <w:rsid w:val="4EBE069A"/>
    <w:rsid w:val="4EBEEB14"/>
    <w:rsid w:val="4EBFF808"/>
    <w:rsid w:val="4EC12673"/>
    <w:rsid w:val="4EC1A42D"/>
    <w:rsid w:val="4EC1A895"/>
    <w:rsid w:val="4EC1DB1D"/>
    <w:rsid w:val="4EC279D9"/>
    <w:rsid w:val="4EC2DCB6"/>
    <w:rsid w:val="4EC2E33D"/>
    <w:rsid w:val="4EC39CF9"/>
    <w:rsid w:val="4EC4027F"/>
    <w:rsid w:val="4EC5CA54"/>
    <w:rsid w:val="4EC7DE58"/>
    <w:rsid w:val="4EC8B126"/>
    <w:rsid w:val="4EC97890"/>
    <w:rsid w:val="4ECA8E34"/>
    <w:rsid w:val="4ECAF923"/>
    <w:rsid w:val="4ECBB7F5"/>
    <w:rsid w:val="4ECC2317"/>
    <w:rsid w:val="4ECC904B"/>
    <w:rsid w:val="4ECCF4BD"/>
    <w:rsid w:val="4ECE36D7"/>
    <w:rsid w:val="4ECE6BAE"/>
    <w:rsid w:val="4ECEB17A"/>
    <w:rsid w:val="4ECEC879"/>
    <w:rsid w:val="4ECFBF83"/>
    <w:rsid w:val="4ED01175"/>
    <w:rsid w:val="4ED027A5"/>
    <w:rsid w:val="4ED052BE"/>
    <w:rsid w:val="4ED0A8C4"/>
    <w:rsid w:val="4ED0E4C6"/>
    <w:rsid w:val="4ED0E816"/>
    <w:rsid w:val="4ED12FC0"/>
    <w:rsid w:val="4ED1375A"/>
    <w:rsid w:val="4ED15FDE"/>
    <w:rsid w:val="4ED21317"/>
    <w:rsid w:val="4ED340D0"/>
    <w:rsid w:val="4ED39768"/>
    <w:rsid w:val="4ED3B443"/>
    <w:rsid w:val="4ED3DA4B"/>
    <w:rsid w:val="4ED4F56D"/>
    <w:rsid w:val="4ED61F79"/>
    <w:rsid w:val="4ED64A1B"/>
    <w:rsid w:val="4ED710AB"/>
    <w:rsid w:val="4ED7787B"/>
    <w:rsid w:val="4ED77CD3"/>
    <w:rsid w:val="4ED7D223"/>
    <w:rsid w:val="4ED8F5AF"/>
    <w:rsid w:val="4ED97DC7"/>
    <w:rsid w:val="4ED9BE96"/>
    <w:rsid w:val="4EDBA86B"/>
    <w:rsid w:val="4EDBB28B"/>
    <w:rsid w:val="4EDBC63A"/>
    <w:rsid w:val="4EDC75E7"/>
    <w:rsid w:val="4EDE693B"/>
    <w:rsid w:val="4EDEB297"/>
    <w:rsid w:val="4EDF72A2"/>
    <w:rsid w:val="4EE20099"/>
    <w:rsid w:val="4EE49A25"/>
    <w:rsid w:val="4EE5AAE8"/>
    <w:rsid w:val="4EE5EE2F"/>
    <w:rsid w:val="4EE64DF2"/>
    <w:rsid w:val="4EE6BE2F"/>
    <w:rsid w:val="4EE8442A"/>
    <w:rsid w:val="4EE86305"/>
    <w:rsid w:val="4EE90559"/>
    <w:rsid w:val="4EEA584B"/>
    <w:rsid w:val="4EEAEB71"/>
    <w:rsid w:val="4EEB12B5"/>
    <w:rsid w:val="4EEB27B2"/>
    <w:rsid w:val="4EEB5989"/>
    <w:rsid w:val="4EEC626F"/>
    <w:rsid w:val="4EEC7E02"/>
    <w:rsid w:val="4EED73B4"/>
    <w:rsid w:val="4EEE276B"/>
    <w:rsid w:val="4EEE785E"/>
    <w:rsid w:val="4EF09849"/>
    <w:rsid w:val="4EF19674"/>
    <w:rsid w:val="4EF3EB36"/>
    <w:rsid w:val="4EF40E92"/>
    <w:rsid w:val="4EF572D4"/>
    <w:rsid w:val="4EF616F0"/>
    <w:rsid w:val="4EF64A63"/>
    <w:rsid w:val="4EF6ACF3"/>
    <w:rsid w:val="4EF6C55C"/>
    <w:rsid w:val="4EF7E903"/>
    <w:rsid w:val="4EF81050"/>
    <w:rsid w:val="4EF9F9AA"/>
    <w:rsid w:val="4EFAAE24"/>
    <w:rsid w:val="4EFB5E98"/>
    <w:rsid w:val="4EFBE12C"/>
    <w:rsid w:val="4EFD4DF7"/>
    <w:rsid w:val="4F005D91"/>
    <w:rsid w:val="4F009E6D"/>
    <w:rsid w:val="4F0313AB"/>
    <w:rsid w:val="4F05BE33"/>
    <w:rsid w:val="4F07222B"/>
    <w:rsid w:val="4F0776D7"/>
    <w:rsid w:val="4F080C4F"/>
    <w:rsid w:val="4F08578D"/>
    <w:rsid w:val="4F08E8DF"/>
    <w:rsid w:val="4F098012"/>
    <w:rsid w:val="4F09C788"/>
    <w:rsid w:val="4F09CDAB"/>
    <w:rsid w:val="4F0A6088"/>
    <w:rsid w:val="4F0A8B7B"/>
    <w:rsid w:val="4F0CE130"/>
    <w:rsid w:val="4F0E344C"/>
    <w:rsid w:val="4F0E501D"/>
    <w:rsid w:val="4F0ED684"/>
    <w:rsid w:val="4F0FEC31"/>
    <w:rsid w:val="4F101769"/>
    <w:rsid w:val="4F10232E"/>
    <w:rsid w:val="4F102544"/>
    <w:rsid w:val="4F10A98E"/>
    <w:rsid w:val="4F10BF16"/>
    <w:rsid w:val="4F11196A"/>
    <w:rsid w:val="4F129CD3"/>
    <w:rsid w:val="4F13D4FB"/>
    <w:rsid w:val="4F150EDE"/>
    <w:rsid w:val="4F153BBB"/>
    <w:rsid w:val="4F157807"/>
    <w:rsid w:val="4F174046"/>
    <w:rsid w:val="4F177981"/>
    <w:rsid w:val="4F17E58A"/>
    <w:rsid w:val="4F18930C"/>
    <w:rsid w:val="4F18BA47"/>
    <w:rsid w:val="4F1946EB"/>
    <w:rsid w:val="4F19DF0B"/>
    <w:rsid w:val="4F1A0B59"/>
    <w:rsid w:val="4F1A1901"/>
    <w:rsid w:val="4F1A1A9C"/>
    <w:rsid w:val="4F1A3EB0"/>
    <w:rsid w:val="4F1B2387"/>
    <w:rsid w:val="4F1B688E"/>
    <w:rsid w:val="4F1B9673"/>
    <w:rsid w:val="4F1CE349"/>
    <w:rsid w:val="4F1E9A12"/>
    <w:rsid w:val="4F1F6846"/>
    <w:rsid w:val="4F202D10"/>
    <w:rsid w:val="4F205A37"/>
    <w:rsid w:val="4F22E04F"/>
    <w:rsid w:val="4F240D68"/>
    <w:rsid w:val="4F244DAC"/>
    <w:rsid w:val="4F246C8E"/>
    <w:rsid w:val="4F25178D"/>
    <w:rsid w:val="4F25DFF2"/>
    <w:rsid w:val="4F25ED04"/>
    <w:rsid w:val="4F269832"/>
    <w:rsid w:val="4F26A235"/>
    <w:rsid w:val="4F26ABCE"/>
    <w:rsid w:val="4F26C7A9"/>
    <w:rsid w:val="4F26C8E6"/>
    <w:rsid w:val="4F275BA2"/>
    <w:rsid w:val="4F27C59B"/>
    <w:rsid w:val="4F28ECB7"/>
    <w:rsid w:val="4F29188E"/>
    <w:rsid w:val="4F298B3B"/>
    <w:rsid w:val="4F2B31DE"/>
    <w:rsid w:val="4F2B3FFF"/>
    <w:rsid w:val="4F2B57AA"/>
    <w:rsid w:val="4F2B669C"/>
    <w:rsid w:val="4F2BC3EC"/>
    <w:rsid w:val="4F2C2249"/>
    <w:rsid w:val="4F2C86F2"/>
    <w:rsid w:val="4F2D5BD7"/>
    <w:rsid w:val="4F2D7F2D"/>
    <w:rsid w:val="4F2E8293"/>
    <w:rsid w:val="4F2F72F6"/>
    <w:rsid w:val="4F2FAC17"/>
    <w:rsid w:val="4F305BD3"/>
    <w:rsid w:val="4F31A2ED"/>
    <w:rsid w:val="4F32423E"/>
    <w:rsid w:val="4F32AE68"/>
    <w:rsid w:val="4F32E83A"/>
    <w:rsid w:val="4F345C00"/>
    <w:rsid w:val="4F346616"/>
    <w:rsid w:val="4F34E89E"/>
    <w:rsid w:val="4F3519A0"/>
    <w:rsid w:val="4F356586"/>
    <w:rsid w:val="4F36D39E"/>
    <w:rsid w:val="4F36F7BC"/>
    <w:rsid w:val="4F370F9B"/>
    <w:rsid w:val="4F3895ED"/>
    <w:rsid w:val="4F391C5D"/>
    <w:rsid w:val="4F39434E"/>
    <w:rsid w:val="4F3C80F6"/>
    <w:rsid w:val="4F3D1FE8"/>
    <w:rsid w:val="4F3D6A02"/>
    <w:rsid w:val="4F3E21B9"/>
    <w:rsid w:val="4F3E4623"/>
    <w:rsid w:val="4F3EBE17"/>
    <w:rsid w:val="4F3F1CBE"/>
    <w:rsid w:val="4F3F388A"/>
    <w:rsid w:val="4F3F75E6"/>
    <w:rsid w:val="4F3F96F5"/>
    <w:rsid w:val="4F3FC63E"/>
    <w:rsid w:val="4F4032E6"/>
    <w:rsid w:val="4F408BD2"/>
    <w:rsid w:val="4F40D68F"/>
    <w:rsid w:val="4F40E6D5"/>
    <w:rsid w:val="4F4101FF"/>
    <w:rsid w:val="4F412E26"/>
    <w:rsid w:val="4F418248"/>
    <w:rsid w:val="4F42479F"/>
    <w:rsid w:val="4F4313EC"/>
    <w:rsid w:val="4F4328CB"/>
    <w:rsid w:val="4F4347C5"/>
    <w:rsid w:val="4F44A093"/>
    <w:rsid w:val="4F474468"/>
    <w:rsid w:val="4F474ED4"/>
    <w:rsid w:val="4F47C8D2"/>
    <w:rsid w:val="4F4820AB"/>
    <w:rsid w:val="4F486C75"/>
    <w:rsid w:val="4F48C3E5"/>
    <w:rsid w:val="4F49160E"/>
    <w:rsid w:val="4F498C90"/>
    <w:rsid w:val="4F49A377"/>
    <w:rsid w:val="4F4A10E4"/>
    <w:rsid w:val="4F4A1CBB"/>
    <w:rsid w:val="4F4B5668"/>
    <w:rsid w:val="4F4B91C1"/>
    <w:rsid w:val="4F4C2353"/>
    <w:rsid w:val="4F4C726E"/>
    <w:rsid w:val="4F4EA1BF"/>
    <w:rsid w:val="4F4F9B84"/>
    <w:rsid w:val="4F4FD84F"/>
    <w:rsid w:val="4F510614"/>
    <w:rsid w:val="4F52AADF"/>
    <w:rsid w:val="4F536BF6"/>
    <w:rsid w:val="4F53B153"/>
    <w:rsid w:val="4F5423EC"/>
    <w:rsid w:val="4F542BB7"/>
    <w:rsid w:val="4F5490E0"/>
    <w:rsid w:val="4F5504A0"/>
    <w:rsid w:val="4F5677C2"/>
    <w:rsid w:val="4F5741D7"/>
    <w:rsid w:val="4F57B5FD"/>
    <w:rsid w:val="4F57BAFA"/>
    <w:rsid w:val="4F58A53E"/>
    <w:rsid w:val="4F5901B4"/>
    <w:rsid w:val="4F5B2717"/>
    <w:rsid w:val="4F5C6376"/>
    <w:rsid w:val="4F5CBF28"/>
    <w:rsid w:val="4F5D24DE"/>
    <w:rsid w:val="4F5ED956"/>
    <w:rsid w:val="4F5EDC6D"/>
    <w:rsid w:val="4F5F4B69"/>
    <w:rsid w:val="4F600191"/>
    <w:rsid w:val="4F610F6A"/>
    <w:rsid w:val="4F618404"/>
    <w:rsid w:val="4F618B74"/>
    <w:rsid w:val="4F618BA0"/>
    <w:rsid w:val="4F6259E9"/>
    <w:rsid w:val="4F627222"/>
    <w:rsid w:val="4F63666E"/>
    <w:rsid w:val="4F644F05"/>
    <w:rsid w:val="4F650D0B"/>
    <w:rsid w:val="4F654E9D"/>
    <w:rsid w:val="4F65B5C0"/>
    <w:rsid w:val="4F65E643"/>
    <w:rsid w:val="4F669804"/>
    <w:rsid w:val="4F6782BE"/>
    <w:rsid w:val="4F688A10"/>
    <w:rsid w:val="4F68B80F"/>
    <w:rsid w:val="4F68DF7E"/>
    <w:rsid w:val="4F699771"/>
    <w:rsid w:val="4F6A22C6"/>
    <w:rsid w:val="4F6A8B5B"/>
    <w:rsid w:val="4F6ABCD1"/>
    <w:rsid w:val="4F6AE565"/>
    <w:rsid w:val="4F6B2A98"/>
    <w:rsid w:val="4F6B466D"/>
    <w:rsid w:val="4F6BDB83"/>
    <w:rsid w:val="4F6C4E5B"/>
    <w:rsid w:val="4F6C5A9F"/>
    <w:rsid w:val="4F6C8F18"/>
    <w:rsid w:val="4F6CEF83"/>
    <w:rsid w:val="4F6D1A78"/>
    <w:rsid w:val="4F6DF049"/>
    <w:rsid w:val="4F6E0470"/>
    <w:rsid w:val="4F6E90A0"/>
    <w:rsid w:val="4F6EC192"/>
    <w:rsid w:val="4F6FB960"/>
    <w:rsid w:val="4F6FE2BF"/>
    <w:rsid w:val="4F706963"/>
    <w:rsid w:val="4F707925"/>
    <w:rsid w:val="4F71D4A1"/>
    <w:rsid w:val="4F71E630"/>
    <w:rsid w:val="4F71FBBF"/>
    <w:rsid w:val="4F72E38E"/>
    <w:rsid w:val="4F735CA9"/>
    <w:rsid w:val="4F73B86F"/>
    <w:rsid w:val="4F746EC6"/>
    <w:rsid w:val="4F7477A8"/>
    <w:rsid w:val="4F754942"/>
    <w:rsid w:val="4F76ABCB"/>
    <w:rsid w:val="4F777194"/>
    <w:rsid w:val="4F77B39B"/>
    <w:rsid w:val="4F791771"/>
    <w:rsid w:val="4F795BE4"/>
    <w:rsid w:val="4F7962F4"/>
    <w:rsid w:val="4F797983"/>
    <w:rsid w:val="4F79BBE9"/>
    <w:rsid w:val="4F7A1F6B"/>
    <w:rsid w:val="4F7A82EA"/>
    <w:rsid w:val="4F7B0AF2"/>
    <w:rsid w:val="4F7B52D0"/>
    <w:rsid w:val="4F7C3F54"/>
    <w:rsid w:val="4F7E41A4"/>
    <w:rsid w:val="4F7EEF7C"/>
    <w:rsid w:val="4F7F7BA2"/>
    <w:rsid w:val="4F7FDD5F"/>
    <w:rsid w:val="4F8013C8"/>
    <w:rsid w:val="4F8139FB"/>
    <w:rsid w:val="4F815BFE"/>
    <w:rsid w:val="4F81CA56"/>
    <w:rsid w:val="4F82003E"/>
    <w:rsid w:val="4F826945"/>
    <w:rsid w:val="4F830D74"/>
    <w:rsid w:val="4F8419CC"/>
    <w:rsid w:val="4F8483A6"/>
    <w:rsid w:val="4F849122"/>
    <w:rsid w:val="4F856FCA"/>
    <w:rsid w:val="4F86FD4A"/>
    <w:rsid w:val="4F87C883"/>
    <w:rsid w:val="4F8800EE"/>
    <w:rsid w:val="4F88CDF1"/>
    <w:rsid w:val="4F88E4CC"/>
    <w:rsid w:val="4F89F788"/>
    <w:rsid w:val="4F8AF486"/>
    <w:rsid w:val="4F8C95D3"/>
    <w:rsid w:val="4F8CC76E"/>
    <w:rsid w:val="4F8D020D"/>
    <w:rsid w:val="4F8E8F0A"/>
    <w:rsid w:val="4F8EE7F7"/>
    <w:rsid w:val="4F8F216F"/>
    <w:rsid w:val="4F8FA444"/>
    <w:rsid w:val="4F90D767"/>
    <w:rsid w:val="4F91E909"/>
    <w:rsid w:val="4F926BD7"/>
    <w:rsid w:val="4F92A31F"/>
    <w:rsid w:val="4F92CF65"/>
    <w:rsid w:val="4F932DFE"/>
    <w:rsid w:val="4F93FD38"/>
    <w:rsid w:val="4F9518C9"/>
    <w:rsid w:val="4F9537C3"/>
    <w:rsid w:val="4F95C68A"/>
    <w:rsid w:val="4F95CCBF"/>
    <w:rsid w:val="4F96ABC6"/>
    <w:rsid w:val="4F96BFF1"/>
    <w:rsid w:val="4F96DAC9"/>
    <w:rsid w:val="4F97FECB"/>
    <w:rsid w:val="4F9875F1"/>
    <w:rsid w:val="4F98E1B5"/>
    <w:rsid w:val="4F993B01"/>
    <w:rsid w:val="4F995371"/>
    <w:rsid w:val="4F99A1A9"/>
    <w:rsid w:val="4F99A542"/>
    <w:rsid w:val="4F9A35FD"/>
    <w:rsid w:val="4F9AFB40"/>
    <w:rsid w:val="4F9B5A65"/>
    <w:rsid w:val="4F9BCB74"/>
    <w:rsid w:val="4F9C3449"/>
    <w:rsid w:val="4F9C6F4F"/>
    <w:rsid w:val="4F9C76C2"/>
    <w:rsid w:val="4F9D33C8"/>
    <w:rsid w:val="4F9D3ABA"/>
    <w:rsid w:val="4F9D5017"/>
    <w:rsid w:val="4F9D9988"/>
    <w:rsid w:val="4F9DC15E"/>
    <w:rsid w:val="4F9DD549"/>
    <w:rsid w:val="4F9FCAA1"/>
    <w:rsid w:val="4F9FDDCB"/>
    <w:rsid w:val="4FA073EA"/>
    <w:rsid w:val="4FA0CAF1"/>
    <w:rsid w:val="4FA11081"/>
    <w:rsid w:val="4FA2B37E"/>
    <w:rsid w:val="4FA34D92"/>
    <w:rsid w:val="4FA3F2CC"/>
    <w:rsid w:val="4FA42AFD"/>
    <w:rsid w:val="4FA43A50"/>
    <w:rsid w:val="4FA53E5B"/>
    <w:rsid w:val="4FA54471"/>
    <w:rsid w:val="4FA63C73"/>
    <w:rsid w:val="4FA66FE7"/>
    <w:rsid w:val="4FA815D1"/>
    <w:rsid w:val="4FA8E6EC"/>
    <w:rsid w:val="4FAB6EAA"/>
    <w:rsid w:val="4FABABF9"/>
    <w:rsid w:val="4FAC282D"/>
    <w:rsid w:val="4FAC5889"/>
    <w:rsid w:val="4FAC8814"/>
    <w:rsid w:val="4FACD55A"/>
    <w:rsid w:val="4FAD8B26"/>
    <w:rsid w:val="4FADB311"/>
    <w:rsid w:val="4FAE107D"/>
    <w:rsid w:val="4FAE571F"/>
    <w:rsid w:val="4FAF7EE1"/>
    <w:rsid w:val="4FB031AC"/>
    <w:rsid w:val="4FB06E70"/>
    <w:rsid w:val="4FB17745"/>
    <w:rsid w:val="4FB353EB"/>
    <w:rsid w:val="4FB40423"/>
    <w:rsid w:val="4FB47C77"/>
    <w:rsid w:val="4FB4CD09"/>
    <w:rsid w:val="4FB68FDD"/>
    <w:rsid w:val="4FB79718"/>
    <w:rsid w:val="4FB7E1D8"/>
    <w:rsid w:val="4FBA6DF5"/>
    <w:rsid w:val="4FBAD1C6"/>
    <w:rsid w:val="4FBAE5D6"/>
    <w:rsid w:val="4FBB466C"/>
    <w:rsid w:val="4FBC20D0"/>
    <w:rsid w:val="4FBC51E2"/>
    <w:rsid w:val="4FBDB63B"/>
    <w:rsid w:val="4FBE36E4"/>
    <w:rsid w:val="4FBF6E35"/>
    <w:rsid w:val="4FC15DCD"/>
    <w:rsid w:val="4FC19B9F"/>
    <w:rsid w:val="4FC2A98C"/>
    <w:rsid w:val="4FC304B8"/>
    <w:rsid w:val="4FC30EE0"/>
    <w:rsid w:val="4FC424C4"/>
    <w:rsid w:val="4FC54B50"/>
    <w:rsid w:val="4FC60426"/>
    <w:rsid w:val="4FC635DE"/>
    <w:rsid w:val="4FC6C0D5"/>
    <w:rsid w:val="4FC6CFFB"/>
    <w:rsid w:val="4FC6FD03"/>
    <w:rsid w:val="4FC77E2E"/>
    <w:rsid w:val="4FC7E0F3"/>
    <w:rsid w:val="4FC898A8"/>
    <w:rsid w:val="4FC912C3"/>
    <w:rsid w:val="4FC91CA3"/>
    <w:rsid w:val="4FC93BD1"/>
    <w:rsid w:val="4FC9A53A"/>
    <w:rsid w:val="4FCA9C16"/>
    <w:rsid w:val="4FCAC81D"/>
    <w:rsid w:val="4FCB8A7F"/>
    <w:rsid w:val="4FCC8C9C"/>
    <w:rsid w:val="4FCE18FD"/>
    <w:rsid w:val="4FCE6A3B"/>
    <w:rsid w:val="4FCFFAE5"/>
    <w:rsid w:val="4FD0D743"/>
    <w:rsid w:val="4FD188BD"/>
    <w:rsid w:val="4FD2322D"/>
    <w:rsid w:val="4FD2B7EE"/>
    <w:rsid w:val="4FD320A5"/>
    <w:rsid w:val="4FD3EFC1"/>
    <w:rsid w:val="4FD408C6"/>
    <w:rsid w:val="4FD4214F"/>
    <w:rsid w:val="4FD5563F"/>
    <w:rsid w:val="4FD58D72"/>
    <w:rsid w:val="4FD61920"/>
    <w:rsid w:val="4FD65C03"/>
    <w:rsid w:val="4FD80C86"/>
    <w:rsid w:val="4FD83CB3"/>
    <w:rsid w:val="4FD8915B"/>
    <w:rsid w:val="4FD98AE3"/>
    <w:rsid w:val="4FD9BAFC"/>
    <w:rsid w:val="4FD9C70F"/>
    <w:rsid w:val="4FDB5BA5"/>
    <w:rsid w:val="4FDB67AA"/>
    <w:rsid w:val="4FDBBACB"/>
    <w:rsid w:val="4FDC43F0"/>
    <w:rsid w:val="4FDC4B34"/>
    <w:rsid w:val="4FDCC109"/>
    <w:rsid w:val="4FDCE948"/>
    <w:rsid w:val="4FDDE803"/>
    <w:rsid w:val="4FDE2758"/>
    <w:rsid w:val="4FDE4533"/>
    <w:rsid w:val="4FDE6AE0"/>
    <w:rsid w:val="4FDF48B0"/>
    <w:rsid w:val="4FE011A7"/>
    <w:rsid w:val="4FE050FC"/>
    <w:rsid w:val="4FE095BF"/>
    <w:rsid w:val="4FE0D7D1"/>
    <w:rsid w:val="4FE21D21"/>
    <w:rsid w:val="4FE2AE76"/>
    <w:rsid w:val="4FE2D641"/>
    <w:rsid w:val="4FE2DB00"/>
    <w:rsid w:val="4FE364B3"/>
    <w:rsid w:val="4FE4146A"/>
    <w:rsid w:val="4FE4263D"/>
    <w:rsid w:val="4FE47E01"/>
    <w:rsid w:val="4FE570D3"/>
    <w:rsid w:val="4FE5CC21"/>
    <w:rsid w:val="4FE5D0EE"/>
    <w:rsid w:val="4FE72A71"/>
    <w:rsid w:val="4FE72D9C"/>
    <w:rsid w:val="4FE76CBE"/>
    <w:rsid w:val="4FE7B3AB"/>
    <w:rsid w:val="4FED1197"/>
    <w:rsid w:val="4FED78CA"/>
    <w:rsid w:val="4FEF5E07"/>
    <w:rsid w:val="4FEF8768"/>
    <w:rsid w:val="4FF04DAC"/>
    <w:rsid w:val="4FF0BD37"/>
    <w:rsid w:val="4FF0C658"/>
    <w:rsid w:val="4FF1292B"/>
    <w:rsid w:val="4FF1FADD"/>
    <w:rsid w:val="4FF25970"/>
    <w:rsid w:val="4FF26021"/>
    <w:rsid w:val="4FF33863"/>
    <w:rsid w:val="4FF34F00"/>
    <w:rsid w:val="4FF50A08"/>
    <w:rsid w:val="4FF5444E"/>
    <w:rsid w:val="4FF55D5C"/>
    <w:rsid w:val="4FF56336"/>
    <w:rsid w:val="4FF59AEC"/>
    <w:rsid w:val="4FF6922A"/>
    <w:rsid w:val="4FF6F62C"/>
    <w:rsid w:val="4FF71BD3"/>
    <w:rsid w:val="4FF758DA"/>
    <w:rsid w:val="4FF8358D"/>
    <w:rsid w:val="4FF88A31"/>
    <w:rsid w:val="4FF892EE"/>
    <w:rsid w:val="4FF8A4A3"/>
    <w:rsid w:val="4FF8CD8E"/>
    <w:rsid w:val="4FF9BCF7"/>
    <w:rsid w:val="4FFA7793"/>
    <w:rsid w:val="4FFBE486"/>
    <w:rsid w:val="4FFBFC7F"/>
    <w:rsid w:val="4FFCB5DF"/>
    <w:rsid w:val="4FFF9FCB"/>
    <w:rsid w:val="50003C2C"/>
    <w:rsid w:val="5000D266"/>
    <w:rsid w:val="5003717F"/>
    <w:rsid w:val="50040656"/>
    <w:rsid w:val="50042E7F"/>
    <w:rsid w:val="5004F67D"/>
    <w:rsid w:val="5005B52B"/>
    <w:rsid w:val="50063D25"/>
    <w:rsid w:val="5006BCB2"/>
    <w:rsid w:val="50071055"/>
    <w:rsid w:val="500836B5"/>
    <w:rsid w:val="5008BA5D"/>
    <w:rsid w:val="5008F6E1"/>
    <w:rsid w:val="50092754"/>
    <w:rsid w:val="5009EBD5"/>
    <w:rsid w:val="500A39F8"/>
    <w:rsid w:val="500AB053"/>
    <w:rsid w:val="500AD925"/>
    <w:rsid w:val="500AE79D"/>
    <w:rsid w:val="500B7B0F"/>
    <w:rsid w:val="500B9D4E"/>
    <w:rsid w:val="500BD9E8"/>
    <w:rsid w:val="500C7607"/>
    <w:rsid w:val="500CB30B"/>
    <w:rsid w:val="500D3E39"/>
    <w:rsid w:val="500DD887"/>
    <w:rsid w:val="500E1D8C"/>
    <w:rsid w:val="500E23C7"/>
    <w:rsid w:val="500E43D4"/>
    <w:rsid w:val="500EB5F2"/>
    <w:rsid w:val="500F0B15"/>
    <w:rsid w:val="500F4444"/>
    <w:rsid w:val="500FF95E"/>
    <w:rsid w:val="500FFCCB"/>
    <w:rsid w:val="5010B2D7"/>
    <w:rsid w:val="5011083C"/>
    <w:rsid w:val="50130F94"/>
    <w:rsid w:val="50134501"/>
    <w:rsid w:val="50142C31"/>
    <w:rsid w:val="5014F8F1"/>
    <w:rsid w:val="5015438B"/>
    <w:rsid w:val="50155D0A"/>
    <w:rsid w:val="5016BD19"/>
    <w:rsid w:val="5017B965"/>
    <w:rsid w:val="50180549"/>
    <w:rsid w:val="5018879C"/>
    <w:rsid w:val="501952A3"/>
    <w:rsid w:val="5019579A"/>
    <w:rsid w:val="501A107B"/>
    <w:rsid w:val="501A4837"/>
    <w:rsid w:val="501B8008"/>
    <w:rsid w:val="501BFBD1"/>
    <w:rsid w:val="501C9B74"/>
    <w:rsid w:val="501D3B03"/>
    <w:rsid w:val="501D6D03"/>
    <w:rsid w:val="501DB524"/>
    <w:rsid w:val="501EFA2A"/>
    <w:rsid w:val="501F338A"/>
    <w:rsid w:val="50200BAB"/>
    <w:rsid w:val="50213F58"/>
    <w:rsid w:val="50214E37"/>
    <w:rsid w:val="50216021"/>
    <w:rsid w:val="502188EE"/>
    <w:rsid w:val="5021A38A"/>
    <w:rsid w:val="5021BD7A"/>
    <w:rsid w:val="50230235"/>
    <w:rsid w:val="50242EBC"/>
    <w:rsid w:val="50265180"/>
    <w:rsid w:val="502662C8"/>
    <w:rsid w:val="5026CD6F"/>
    <w:rsid w:val="5027A080"/>
    <w:rsid w:val="5027B99D"/>
    <w:rsid w:val="5027C020"/>
    <w:rsid w:val="5027C371"/>
    <w:rsid w:val="5027EF17"/>
    <w:rsid w:val="5027F087"/>
    <w:rsid w:val="502898DE"/>
    <w:rsid w:val="5029254F"/>
    <w:rsid w:val="502932B8"/>
    <w:rsid w:val="5029746E"/>
    <w:rsid w:val="5029BBE4"/>
    <w:rsid w:val="502A23AF"/>
    <w:rsid w:val="502A7A9B"/>
    <w:rsid w:val="502B0BCA"/>
    <w:rsid w:val="502B8C61"/>
    <w:rsid w:val="502BEC80"/>
    <w:rsid w:val="502BF05C"/>
    <w:rsid w:val="502C3B61"/>
    <w:rsid w:val="502C5A30"/>
    <w:rsid w:val="502CBBA5"/>
    <w:rsid w:val="502CE442"/>
    <w:rsid w:val="502D5561"/>
    <w:rsid w:val="502D7DE2"/>
    <w:rsid w:val="502E4719"/>
    <w:rsid w:val="502EC740"/>
    <w:rsid w:val="502F655C"/>
    <w:rsid w:val="503068BC"/>
    <w:rsid w:val="5030C583"/>
    <w:rsid w:val="5030D654"/>
    <w:rsid w:val="5031ACC2"/>
    <w:rsid w:val="5032B3BC"/>
    <w:rsid w:val="50330769"/>
    <w:rsid w:val="50335DAC"/>
    <w:rsid w:val="5034AC61"/>
    <w:rsid w:val="5034B46D"/>
    <w:rsid w:val="5034FECF"/>
    <w:rsid w:val="50350ADF"/>
    <w:rsid w:val="5035BC68"/>
    <w:rsid w:val="503661EE"/>
    <w:rsid w:val="50366941"/>
    <w:rsid w:val="50368298"/>
    <w:rsid w:val="5036A887"/>
    <w:rsid w:val="50372D9A"/>
    <w:rsid w:val="50380F6B"/>
    <w:rsid w:val="50386BDA"/>
    <w:rsid w:val="5038815C"/>
    <w:rsid w:val="50398D66"/>
    <w:rsid w:val="503A15F3"/>
    <w:rsid w:val="503A6637"/>
    <w:rsid w:val="503AA488"/>
    <w:rsid w:val="503ACF08"/>
    <w:rsid w:val="503B05F1"/>
    <w:rsid w:val="503B563A"/>
    <w:rsid w:val="503B5EA3"/>
    <w:rsid w:val="503B7AF0"/>
    <w:rsid w:val="503B9819"/>
    <w:rsid w:val="503C03C7"/>
    <w:rsid w:val="503C16BF"/>
    <w:rsid w:val="503C80FE"/>
    <w:rsid w:val="503CD166"/>
    <w:rsid w:val="503D27B9"/>
    <w:rsid w:val="503D4723"/>
    <w:rsid w:val="503EB90A"/>
    <w:rsid w:val="503F7197"/>
    <w:rsid w:val="503FECF2"/>
    <w:rsid w:val="504041B8"/>
    <w:rsid w:val="504142A9"/>
    <w:rsid w:val="50423BA1"/>
    <w:rsid w:val="5042F82C"/>
    <w:rsid w:val="50442F22"/>
    <w:rsid w:val="50444B54"/>
    <w:rsid w:val="5044B341"/>
    <w:rsid w:val="5044BEB1"/>
    <w:rsid w:val="504515E3"/>
    <w:rsid w:val="50453081"/>
    <w:rsid w:val="50473FF9"/>
    <w:rsid w:val="5047D7B8"/>
    <w:rsid w:val="504831B1"/>
    <w:rsid w:val="50484D5A"/>
    <w:rsid w:val="5049401D"/>
    <w:rsid w:val="504AC49C"/>
    <w:rsid w:val="504C2A12"/>
    <w:rsid w:val="504D2073"/>
    <w:rsid w:val="504D2641"/>
    <w:rsid w:val="504D2C0B"/>
    <w:rsid w:val="504D3ECA"/>
    <w:rsid w:val="504D62A7"/>
    <w:rsid w:val="504DD4E3"/>
    <w:rsid w:val="504E04C7"/>
    <w:rsid w:val="504E86C1"/>
    <w:rsid w:val="504F4E85"/>
    <w:rsid w:val="504F5A29"/>
    <w:rsid w:val="504FE961"/>
    <w:rsid w:val="50500168"/>
    <w:rsid w:val="505070A4"/>
    <w:rsid w:val="505162CE"/>
    <w:rsid w:val="505180AE"/>
    <w:rsid w:val="50528297"/>
    <w:rsid w:val="50532DC0"/>
    <w:rsid w:val="5053DA17"/>
    <w:rsid w:val="50559E89"/>
    <w:rsid w:val="5055A13C"/>
    <w:rsid w:val="5055A736"/>
    <w:rsid w:val="5056CB1C"/>
    <w:rsid w:val="5056EB13"/>
    <w:rsid w:val="5057E8B1"/>
    <w:rsid w:val="50583A17"/>
    <w:rsid w:val="50584972"/>
    <w:rsid w:val="50584B0A"/>
    <w:rsid w:val="50591CE6"/>
    <w:rsid w:val="5059A27D"/>
    <w:rsid w:val="505B35F6"/>
    <w:rsid w:val="505B9465"/>
    <w:rsid w:val="505BA895"/>
    <w:rsid w:val="505BF6D5"/>
    <w:rsid w:val="505E79CE"/>
    <w:rsid w:val="505ED738"/>
    <w:rsid w:val="505ED760"/>
    <w:rsid w:val="505F45EC"/>
    <w:rsid w:val="50602A4D"/>
    <w:rsid w:val="506147CF"/>
    <w:rsid w:val="506280BB"/>
    <w:rsid w:val="50634D78"/>
    <w:rsid w:val="506367A6"/>
    <w:rsid w:val="5063802E"/>
    <w:rsid w:val="5063AA7F"/>
    <w:rsid w:val="506419B5"/>
    <w:rsid w:val="506426E2"/>
    <w:rsid w:val="5064A4BC"/>
    <w:rsid w:val="5064B124"/>
    <w:rsid w:val="5064BCDF"/>
    <w:rsid w:val="5065ADF9"/>
    <w:rsid w:val="5065D2B4"/>
    <w:rsid w:val="5065D872"/>
    <w:rsid w:val="5065DC90"/>
    <w:rsid w:val="50670B36"/>
    <w:rsid w:val="50685B8B"/>
    <w:rsid w:val="506875A7"/>
    <w:rsid w:val="5068BEDD"/>
    <w:rsid w:val="5068DF49"/>
    <w:rsid w:val="50694F70"/>
    <w:rsid w:val="5069573B"/>
    <w:rsid w:val="5069BDCD"/>
    <w:rsid w:val="5069C110"/>
    <w:rsid w:val="506D34CE"/>
    <w:rsid w:val="506D7AFF"/>
    <w:rsid w:val="506DDBB1"/>
    <w:rsid w:val="506F707D"/>
    <w:rsid w:val="506F8382"/>
    <w:rsid w:val="506FD369"/>
    <w:rsid w:val="50702E15"/>
    <w:rsid w:val="50705020"/>
    <w:rsid w:val="5070621B"/>
    <w:rsid w:val="507188E9"/>
    <w:rsid w:val="5071A71D"/>
    <w:rsid w:val="50720721"/>
    <w:rsid w:val="507246EF"/>
    <w:rsid w:val="50728AA0"/>
    <w:rsid w:val="5072ECDA"/>
    <w:rsid w:val="50730A13"/>
    <w:rsid w:val="50733EB0"/>
    <w:rsid w:val="50735FB7"/>
    <w:rsid w:val="5073CD17"/>
    <w:rsid w:val="5074249E"/>
    <w:rsid w:val="50742919"/>
    <w:rsid w:val="50745DCE"/>
    <w:rsid w:val="5074EE1B"/>
    <w:rsid w:val="507551A0"/>
    <w:rsid w:val="507578E3"/>
    <w:rsid w:val="5075FF42"/>
    <w:rsid w:val="5077F701"/>
    <w:rsid w:val="5078495C"/>
    <w:rsid w:val="50789610"/>
    <w:rsid w:val="507897E2"/>
    <w:rsid w:val="5078B141"/>
    <w:rsid w:val="5078DAB7"/>
    <w:rsid w:val="5078EA9B"/>
    <w:rsid w:val="50791FAD"/>
    <w:rsid w:val="507A192F"/>
    <w:rsid w:val="507A757E"/>
    <w:rsid w:val="507AF256"/>
    <w:rsid w:val="507B1E48"/>
    <w:rsid w:val="507B3E3B"/>
    <w:rsid w:val="507C0C1B"/>
    <w:rsid w:val="507C4CCD"/>
    <w:rsid w:val="507C6A88"/>
    <w:rsid w:val="507C8B59"/>
    <w:rsid w:val="507CFC53"/>
    <w:rsid w:val="507D2596"/>
    <w:rsid w:val="507D2FD3"/>
    <w:rsid w:val="507F6D2A"/>
    <w:rsid w:val="507F6D52"/>
    <w:rsid w:val="50835774"/>
    <w:rsid w:val="50836253"/>
    <w:rsid w:val="50849915"/>
    <w:rsid w:val="508554AB"/>
    <w:rsid w:val="5085619B"/>
    <w:rsid w:val="50857E84"/>
    <w:rsid w:val="5086C3A8"/>
    <w:rsid w:val="5087CED2"/>
    <w:rsid w:val="50880ED5"/>
    <w:rsid w:val="50886B61"/>
    <w:rsid w:val="5088F207"/>
    <w:rsid w:val="50891E1B"/>
    <w:rsid w:val="50897DCA"/>
    <w:rsid w:val="508ABB69"/>
    <w:rsid w:val="508C16DD"/>
    <w:rsid w:val="508CC34B"/>
    <w:rsid w:val="508D3B3B"/>
    <w:rsid w:val="508DD2CE"/>
    <w:rsid w:val="508E5B0E"/>
    <w:rsid w:val="508E96B2"/>
    <w:rsid w:val="508F75A1"/>
    <w:rsid w:val="508F9AD3"/>
    <w:rsid w:val="50912604"/>
    <w:rsid w:val="5091F0F7"/>
    <w:rsid w:val="50932D40"/>
    <w:rsid w:val="50945B41"/>
    <w:rsid w:val="50945C3C"/>
    <w:rsid w:val="50956970"/>
    <w:rsid w:val="50957E6A"/>
    <w:rsid w:val="50968E9C"/>
    <w:rsid w:val="5098F34D"/>
    <w:rsid w:val="50990764"/>
    <w:rsid w:val="509A17AB"/>
    <w:rsid w:val="509A3370"/>
    <w:rsid w:val="509B5079"/>
    <w:rsid w:val="509CB24A"/>
    <w:rsid w:val="509D32DE"/>
    <w:rsid w:val="509DE8E1"/>
    <w:rsid w:val="509F2E82"/>
    <w:rsid w:val="50A17105"/>
    <w:rsid w:val="50A211C2"/>
    <w:rsid w:val="50A3CAD6"/>
    <w:rsid w:val="50A41F01"/>
    <w:rsid w:val="50A5BEED"/>
    <w:rsid w:val="50A65303"/>
    <w:rsid w:val="50A6A466"/>
    <w:rsid w:val="50A6BE62"/>
    <w:rsid w:val="50A6E8FA"/>
    <w:rsid w:val="50A7667A"/>
    <w:rsid w:val="50A76F14"/>
    <w:rsid w:val="50A797A0"/>
    <w:rsid w:val="50A79E33"/>
    <w:rsid w:val="50A8B2A6"/>
    <w:rsid w:val="50AAE0B1"/>
    <w:rsid w:val="50AB4EEA"/>
    <w:rsid w:val="50ACF74B"/>
    <w:rsid w:val="50AD9728"/>
    <w:rsid w:val="50AD9DAE"/>
    <w:rsid w:val="50AE25AD"/>
    <w:rsid w:val="50AE8C44"/>
    <w:rsid w:val="50AF5566"/>
    <w:rsid w:val="50AF826E"/>
    <w:rsid w:val="50AF9704"/>
    <w:rsid w:val="50AFEE48"/>
    <w:rsid w:val="50B0BF91"/>
    <w:rsid w:val="50B148D8"/>
    <w:rsid w:val="50B26A2D"/>
    <w:rsid w:val="50B2C05D"/>
    <w:rsid w:val="50B34E0D"/>
    <w:rsid w:val="50B3781A"/>
    <w:rsid w:val="50B39AA1"/>
    <w:rsid w:val="50B51D0D"/>
    <w:rsid w:val="50B51E74"/>
    <w:rsid w:val="50B528C4"/>
    <w:rsid w:val="50B5C3BE"/>
    <w:rsid w:val="50B65E72"/>
    <w:rsid w:val="50B66569"/>
    <w:rsid w:val="50B68CCA"/>
    <w:rsid w:val="50B6BA0D"/>
    <w:rsid w:val="50B6C29E"/>
    <w:rsid w:val="50B6D669"/>
    <w:rsid w:val="50B6E106"/>
    <w:rsid w:val="50B713E7"/>
    <w:rsid w:val="50B7154C"/>
    <w:rsid w:val="50B8A058"/>
    <w:rsid w:val="50B8A8D5"/>
    <w:rsid w:val="50B8E840"/>
    <w:rsid w:val="50B9258A"/>
    <w:rsid w:val="50B96EB3"/>
    <w:rsid w:val="50BA81B4"/>
    <w:rsid w:val="50BC3730"/>
    <w:rsid w:val="50BC4D89"/>
    <w:rsid w:val="50BD4831"/>
    <w:rsid w:val="50BD6554"/>
    <w:rsid w:val="50BDCAC7"/>
    <w:rsid w:val="50BEA1B8"/>
    <w:rsid w:val="50BEEF65"/>
    <w:rsid w:val="50C0674F"/>
    <w:rsid w:val="50C2FF7E"/>
    <w:rsid w:val="50C31765"/>
    <w:rsid w:val="50C333AE"/>
    <w:rsid w:val="50C38479"/>
    <w:rsid w:val="50C4AD82"/>
    <w:rsid w:val="50C627CC"/>
    <w:rsid w:val="50C66854"/>
    <w:rsid w:val="50C6D039"/>
    <w:rsid w:val="50C79073"/>
    <w:rsid w:val="50C7933B"/>
    <w:rsid w:val="50C83798"/>
    <w:rsid w:val="50C96682"/>
    <w:rsid w:val="50C96FF6"/>
    <w:rsid w:val="50CA069C"/>
    <w:rsid w:val="50CA997F"/>
    <w:rsid w:val="50CA9F61"/>
    <w:rsid w:val="50CB6524"/>
    <w:rsid w:val="50CC9F2C"/>
    <w:rsid w:val="50CD5A35"/>
    <w:rsid w:val="50CE1FE5"/>
    <w:rsid w:val="50CE967D"/>
    <w:rsid w:val="50CEF87D"/>
    <w:rsid w:val="50CF17EE"/>
    <w:rsid w:val="50D0BEC2"/>
    <w:rsid w:val="50D175DB"/>
    <w:rsid w:val="50D1CE33"/>
    <w:rsid w:val="50D355BF"/>
    <w:rsid w:val="50D384F9"/>
    <w:rsid w:val="50D38827"/>
    <w:rsid w:val="50D3D2EF"/>
    <w:rsid w:val="50D3F527"/>
    <w:rsid w:val="50D485E6"/>
    <w:rsid w:val="50D4D241"/>
    <w:rsid w:val="50D51971"/>
    <w:rsid w:val="50D5E88A"/>
    <w:rsid w:val="50D60192"/>
    <w:rsid w:val="50D64218"/>
    <w:rsid w:val="50D65A80"/>
    <w:rsid w:val="50D6E284"/>
    <w:rsid w:val="50D6F649"/>
    <w:rsid w:val="50D7D5EC"/>
    <w:rsid w:val="50D86530"/>
    <w:rsid w:val="50D8A3F4"/>
    <w:rsid w:val="50D9CCB4"/>
    <w:rsid w:val="50D9FAA8"/>
    <w:rsid w:val="50DA50F9"/>
    <w:rsid w:val="50DAEF44"/>
    <w:rsid w:val="50DB626A"/>
    <w:rsid w:val="50DCCC51"/>
    <w:rsid w:val="50DE8403"/>
    <w:rsid w:val="50DE9FED"/>
    <w:rsid w:val="50DEA0CC"/>
    <w:rsid w:val="50DEA59D"/>
    <w:rsid w:val="50DEA934"/>
    <w:rsid w:val="50DEBEB7"/>
    <w:rsid w:val="50DEE65D"/>
    <w:rsid w:val="50DF7EEC"/>
    <w:rsid w:val="50E0177B"/>
    <w:rsid w:val="50E0BA96"/>
    <w:rsid w:val="50E0DEFF"/>
    <w:rsid w:val="50E12B2D"/>
    <w:rsid w:val="50E1E487"/>
    <w:rsid w:val="50E4B07F"/>
    <w:rsid w:val="50E551AF"/>
    <w:rsid w:val="50E57A9A"/>
    <w:rsid w:val="50E623EE"/>
    <w:rsid w:val="50E64056"/>
    <w:rsid w:val="50E663E6"/>
    <w:rsid w:val="50E6EF3A"/>
    <w:rsid w:val="50E73DDC"/>
    <w:rsid w:val="50E74FAF"/>
    <w:rsid w:val="50E7E67B"/>
    <w:rsid w:val="50E81BBD"/>
    <w:rsid w:val="50EAFEB8"/>
    <w:rsid w:val="50EC1F19"/>
    <w:rsid w:val="50ED0418"/>
    <w:rsid w:val="50ED1D2F"/>
    <w:rsid w:val="50EDBCFA"/>
    <w:rsid w:val="50EDBF4C"/>
    <w:rsid w:val="50EDFD1E"/>
    <w:rsid w:val="50EE8EB4"/>
    <w:rsid w:val="50EF28DC"/>
    <w:rsid w:val="50EF8C10"/>
    <w:rsid w:val="50F0C82B"/>
    <w:rsid w:val="50F1CCDB"/>
    <w:rsid w:val="50F20A26"/>
    <w:rsid w:val="50F2D2A0"/>
    <w:rsid w:val="50F349FF"/>
    <w:rsid w:val="50F51067"/>
    <w:rsid w:val="50F69DA9"/>
    <w:rsid w:val="50F6DD22"/>
    <w:rsid w:val="50F6EE11"/>
    <w:rsid w:val="50F7CE05"/>
    <w:rsid w:val="50F8EFA7"/>
    <w:rsid w:val="50F983E6"/>
    <w:rsid w:val="50F9F29D"/>
    <w:rsid w:val="50FB0619"/>
    <w:rsid w:val="50FB3A7D"/>
    <w:rsid w:val="50FBC449"/>
    <w:rsid w:val="50FBEF79"/>
    <w:rsid w:val="50FBF2AA"/>
    <w:rsid w:val="50FC1CA6"/>
    <w:rsid w:val="50FC6380"/>
    <w:rsid w:val="50FCA6B5"/>
    <w:rsid w:val="50FCEF14"/>
    <w:rsid w:val="50FD2222"/>
    <w:rsid w:val="50FE6E95"/>
    <w:rsid w:val="50FF27A4"/>
    <w:rsid w:val="50FF3A34"/>
    <w:rsid w:val="50FF7BB0"/>
    <w:rsid w:val="50FFC4EE"/>
    <w:rsid w:val="50FFF83C"/>
    <w:rsid w:val="51001EE6"/>
    <w:rsid w:val="51005A85"/>
    <w:rsid w:val="51008751"/>
    <w:rsid w:val="51009D37"/>
    <w:rsid w:val="51009DED"/>
    <w:rsid w:val="5100C01B"/>
    <w:rsid w:val="510116A9"/>
    <w:rsid w:val="5102FCE4"/>
    <w:rsid w:val="5103673E"/>
    <w:rsid w:val="51039A31"/>
    <w:rsid w:val="51040D47"/>
    <w:rsid w:val="51048FE3"/>
    <w:rsid w:val="5104B787"/>
    <w:rsid w:val="510520DD"/>
    <w:rsid w:val="510521E9"/>
    <w:rsid w:val="5105A390"/>
    <w:rsid w:val="5105A66A"/>
    <w:rsid w:val="51069964"/>
    <w:rsid w:val="51069D06"/>
    <w:rsid w:val="5108141C"/>
    <w:rsid w:val="51082EF9"/>
    <w:rsid w:val="51086062"/>
    <w:rsid w:val="5108A616"/>
    <w:rsid w:val="5109B692"/>
    <w:rsid w:val="510A8624"/>
    <w:rsid w:val="510AEA75"/>
    <w:rsid w:val="510B0E5B"/>
    <w:rsid w:val="510B40BE"/>
    <w:rsid w:val="510BE362"/>
    <w:rsid w:val="510C497E"/>
    <w:rsid w:val="510C56E0"/>
    <w:rsid w:val="510C8193"/>
    <w:rsid w:val="510D75AE"/>
    <w:rsid w:val="510EBC53"/>
    <w:rsid w:val="510F3086"/>
    <w:rsid w:val="510F7C1B"/>
    <w:rsid w:val="51105AD0"/>
    <w:rsid w:val="5110D6B0"/>
    <w:rsid w:val="5112FE23"/>
    <w:rsid w:val="51131DEB"/>
    <w:rsid w:val="511377C9"/>
    <w:rsid w:val="5113E8E2"/>
    <w:rsid w:val="5114737A"/>
    <w:rsid w:val="511553DF"/>
    <w:rsid w:val="5117A8C4"/>
    <w:rsid w:val="5117DA6F"/>
    <w:rsid w:val="51180B70"/>
    <w:rsid w:val="51186225"/>
    <w:rsid w:val="51186306"/>
    <w:rsid w:val="5118E816"/>
    <w:rsid w:val="5119A6CB"/>
    <w:rsid w:val="511A62F6"/>
    <w:rsid w:val="511ABE7C"/>
    <w:rsid w:val="511AD6B5"/>
    <w:rsid w:val="511B9633"/>
    <w:rsid w:val="511B9E44"/>
    <w:rsid w:val="511C3A46"/>
    <w:rsid w:val="511CCB8E"/>
    <w:rsid w:val="511D030A"/>
    <w:rsid w:val="511D0BC6"/>
    <w:rsid w:val="511E0987"/>
    <w:rsid w:val="511E8E88"/>
    <w:rsid w:val="51201CE7"/>
    <w:rsid w:val="512140D5"/>
    <w:rsid w:val="5122707F"/>
    <w:rsid w:val="51241DB7"/>
    <w:rsid w:val="51242F99"/>
    <w:rsid w:val="51244357"/>
    <w:rsid w:val="51245CB1"/>
    <w:rsid w:val="51252CD5"/>
    <w:rsid w:val="51261040"/>
    <w:rsid w:val="51272B59"/>
    <w:rsid w:val="512762F0"/>
    <w:rsid w:val="5128ECB9"/>
    <w:rsid w:val="512B13C3"/>
    <w:rsid w:val="512B6739"/>
    <w:rsid w:val="512BD854"/>
    <w:rsid w:val="512D7537"/>
    <w:rsid w:val="512DA99C"/>
    <w:rsid w:val="512EBF06"/>
    <w:rsid w:val="512EDF45"/>
    <w:rsid w:val="512F0F4F"/>
    <w:rsid w:val="513017A2"/>
    <w:rsid w:val="51308C30"/>
    <w:rsid w:val="5130F80E"/>
    <w:rsid w:val="513163D3"/>
    <w:rsid w:val="51326B8C"/>
    <w:rsid w:val="5132DE8E"/>
    <w:rsid w:val="51331579"/>
    <w:rsid w:val="51334AF1"/>
    <w:rsid w:val="51336469"/>
    <w:rsid w:val="51343F26"/>
    <w:rsid w:val="513598CC"/>
    <w:rsid w:val="5136E901"/>
    <w:rsid w:val="5137ECA6"/>
    <w:rsid w:val="5137FD66"/>
    <w:rsid w:val="51393758"/>
    <w:rsid w:val="513A22BB"/>
    <w:rsid w:val="513A4AF7"/>
    <w:rsid w:val="513B5251"/>
    <w:rsid w:val="513BC388"/>
    <w:rsid w:val="513DA345"/>
    <w:rsid w:val="513DECD2"/>
    <w:rsid w:val="513E3558"/>
    <w:rsid w:val="513EE8D1"/>
    <w:rsid w:val="513F94CD"/>
    <w:rsid w:val="513FC37C"/>
    <w:rsid w:val="514044BA"/>
    <w:rsid w:val="51407086"/>
    <w:rsid w:val="51407870"/>
    <w:rsid w:val="5140AB45"/>
    <w:rsid w:val="51425DD7"/>
    <w:rsid w:val="5142D33E"/>
    <w:rsid w:val="5142D94E"/>
    <w:rsid w:val="51439B8A"/>
    <w:rsid w:val="51447E50"/>
    <w:rsid w:val="51448AF5"/>
    <w:rsid w:val="5144BCB0"/>
    <w:rsid w:val="5144EFE3"/>
    <w:rsid w:val="51451187"/>
    <w:rsid w:val="5145268D"/>
    <w:rsid w:val="51464AA7"/>
    <w:rsid w:val="5146E944"/>
    <w:rsid w:val="5146F8DE"/>
    <w:rsid w:val="51471B5A"/>
    <w:rsid w:val="51479DB3"/>
    <w:rsid w:val="5147EFCB"/>
    <w:rsid w:val="5148C2C1"/>
    <w:rsid w:val="5148E341"/>
    <w:rsid w:val="514AED8D"/>
    <w:rsid w:val="514C23C2"/>
    <w:rsid w:val="514CEE61"/>
    <w:rsid w:val="514D2BBD"/>
    <w:rsid w:val="514E0C98"/>
    <w:rsid w:val="514E64F2"/>
    <w:rsid w:val="514E7487"/>
    <w:rsid w:val="514E7515"/>
    <w:rsid w:val="51506826"/>
    <w:rsid w:val="5150E47B"/>
    <w:rsid w:val="51516367"/>
    <w:rsid w:val="51517171"/>
    <w:rsid w:val="5151C559"/>
    <w:rsid w:val="5151FC32"/>
    <w:rsid w:val="5152472C"/>
    <w:rsid w:val="515297D4"/>
    <w:rsid w:val="51532AA7"/>
    <w:rsid w:val="51535C92"/>
    <w:rsid w:val="51539FBB"/>
    <w:rsid w:val="51542BEB"/>
    <w:rsid w:val="51544002"/>
    <w:rsid w:val="51547E14"/>
    <w:rsid w:val="5155BD35"/>
    <w:rsid w:val="5155C553"/>
    <w:rsid w:val="5155F4B2"/>
    <w:rsid w:val="51560DC5"/>
    <w:rsid w:val="51573968"/>
    <w:rsid w:val="51578758"/>
    <w:rsid w:val="51579CF2"/>
    <w:rsid w:val="5157E737"/>
    <w:rsid w:val="51580771"/>
    <w:rsid w:val="51581AC1"/>
    <w:rsid w:val="51586D91"/>
    <w:rsid w:val="51591E1F"/>
    <w:rsid w:val="51596075"/>
    <w:rsid w:val="515B8479"/>
    <w:rsid w:val="515B8EB3"/>
    <w:rsid w:val="515DC2FE"/>
    <w:rsid w:val="515E3AFD"/>
    <w:rsid w:val="515E7530"/>
    <w:rsid w:val="515F30ED"/>
    <w:rsid w:val="515F790E"/>
    <w:rsid w:val="515FFC20"/>
    <w:rsid w:val="51600343"/>
    <w:rsid w:val="51610660"/>
    <w:rsid w:val="51612F49"/>
    <w:rsid w:val="51616396"/>
    <w:rsid w:val="51621E1B"/>
    <w:rsid w:val="5162885D"/>
    <w:rsid w:val="5162B38B"/>
    <w:rsid w:val="516301B6"/>
    <w:rsid w:val="5163E886"/>
    <w:rsid w:val="516443FD"/>
    <w:rsid w:val="516499BA"/>
    <w:rsid w:val="5164D47E"/>
    <w:rsid w:val="5164E2B5"/>
    <w:rsid w:val="5165CACA"/>
    <w:rsid w:val="516616BE"/>
    <w:rsid w:val="516653EA"/>
    <w:rsid w:val="51667CFE"/>
    <w:rsid w:val="51683BD8"/>
    <w:rsid w:val="516863D4"/>
    <w:rsid w:val="516A1DA7"/>
    <w:rsid w:val="516A6FCD"/>
    <w:rsid w:val="516ABD9D"/>
    <w:rsid w:val="516B2309"/>
    <w:rsid w:val="516D779C"/>
    <w:rsid w:val="516DB3A9"/>
    <w:rsid w:val="516DFAD7"/>
    <w:rsid w:val="516DFB24"/>
    <w:rsid w:val="516EC6A2"/>
    <w:rsid w:val="516EE112"/>
    <w:rsid w:val="516EF081"/>
    <w:rsid w:val="516FB059"/>
    <w:rsid w:val="51708ACF"/>
    <w:rsid w:val="51726E29"/>
    <w:rsid w:val="5172FB47"/>
    <w:rsid w:val="5172FD6D"/>
    <w:rsid w:val="5173658B"/>
    <w:rsid w:val="5175314D"/>
    <w:rsid w:val="5176F953"/>
    <w:rsid w:val="517732BB"/>
    <w:rsid w:val="51777A15"/>
    <w:rsid w:val="51778BD4"/>
    <w:rsid w:val="517792D2"/>
    <w:rsid w:val="5177958F"/>
    <w:rsid w:val="5177E5E3"/>
    <w:rsid w:val="5177EB82"/>
    <w:rsid w:val="51789DA8"/>
    <w:rsid w:val="5178E50F"/>
    <w:rsid w:val="51798306"/>
    <w:rsid w:val="5179BB99"/>
    <w:rsid w:val="517A5767"/>
    <w:rsid w:val="517AA500"/>
    <w:rsid w:val="517B2A2C"/>
    <w:rsid w:val="517B2C85"/>
    <w:rsid w:val="517BEA2D"/>
    <w:rsid w:val="517C91E1"/>
    <w:rsid w:val="517CE894"/>
    <w:rsid w:val="517D1F99"/>
    <w:rsid w:val="517D519C"/>
    <w:rsid w:val="517D56BB"/>
    <w:rsid w:val="517DF728"/>
    <w:rsid w:val="517EFADB"/>
    <w:rsid w:val="517F3B28"/>
    <w:rsid w:val="517FA21E"/>
    <w:rsid w:val="517FD622"/>
    <w:rsid w:val="51800047"/>
    <w:rsid w:val="5180C60D"/>
    <w:rsid w:val="5180F876"/>
    <w:rsid w:val="5180FF43"/>
    <w:rsid w:val="5181C017"/>
    <w:rsid w:val="5181D088"/>
    <w:rsid w:val="5183012C"/>
    <w:rsid w:val="51843C76"/>
    <w:rsid w:val="518629B3"/>
    <w:rsid w:val="51869352"/>
    <w:rsid w:val="5187A498"/>
    <w:rsid w:val="5189BB00"/>
    <w:rsid w:val="5189F5FC"/>
    <w:rsid w:val="518A0422"/>
    <w:rsid w:val="518BFFFD"/>
    <w:rsid w:val="518D95B8"/>
    <w:rsid w:val="518E0181"/>
    <w:rsid w:val="518E240E"/>
    <w:rsid w:val="518EF9B0"/>
    <w:rsid w:val="518F5392"/>
    <w:rsid w:val="518F5BE8"/>
    <w:rsid w:val="518FFD64"/>
    <w:rsid w:val="519068A1"/>
    <w:rsid w:val="5191F746"/>
    <w:rsid w:val="519201A6"/>
    <w:rsid w:val="519211AA"/>
    <w:rsid w:val="5193F333"/>
    <w:rsid w:val="519423B0"/>
    <w:rsid w:val="5194EA2C"/>
    <w:rsid w:val="5197981B"/>
    <w:rsid w:val="5197CFA1"/>
    <w:rsid w:val="519820A5"/>
    <w:rsid w:val="51983C4D"/>
    <w:rsid w:val="5199048A"/>
    <w:rsid w:val="51991B54"/>
    <w:rsid w:val="519ADC40"/>
    <w:rsid w:val="519B5B99"/>
    <w:rsid w:val="519BE6C9"/>
    <w:rsid w:val="519C182A"/>
    <w:rsid w:val="519C94FE"/>
    <w:rsid w:val="519CAE93"/>
    <w:rsid w:val="519CBF52"/>
    <w:rsid w:val="519E1F96"/>
    <w:rsid w:val="519E7CB1"/>
    <w:rsid w:val="519EE044"/>
    <w:rsid w:val="519F3398"/>
    <w:rsid w:val="519F5D7F"/>
    <w:rsid w:val="519F632C"/>
    <w:rsid w:val="51A06559"/>
    <w:rsid w:val="51A118EB"/>
    <w:rsid w:val="51A16315"/>
    <w:rsid w:val="51A248D1"/>
    <w:rsid w:val="51A325A7"/>
    <w:rsid w:val="51A35F35"/>
    <w:rsid w:val="51A4BA65"/>
    <w:rsid w:val="51A4DCD9"/>
    <w:rsid w:val="51A588A2"/>
    <w:rsid w:val="51A64810"/>
    <w:rsid w:val="51A741ED"/>
    <w:rsid w:val="51A8F8CC"/>
    <w:rsid w:val="51A9FEB9"/>
    <w:rsid w:val="51AA5830"/>
    <w:rsid w:val="51AA82AA"/>
    <w:rsid w:val="51AA9B1E"/>
    <w:rsid w:val="51AAE0D3"/>
    <w:rsid w:val="51AB1AD9"/>
    <w:rsid w:val="51AB3923"/>
    <w:rsid w:val="51ABB0F9"/>
    <w:rsid w:val="51ABECDD"/>
    <w:rsid w:val="51AC97B9"/>
    <w:rsid w:val="51ACE05B"/>
    <w:rsid w:val="51ADABEE"/>
    <w:rsid w:val="51AEF69F"/>
    <w:rsid w:val="51AF3212"/>
    <w:rsid w:val="51AF6EB7"/>
    <w:rsid w:val="51AF88A5"/>
    <w:rsid w:val="51B09DF8"/>
    <w:rsid w:val="51B0B77F"/>
    <w:rsid w:val="51B106E3"/>
    <w:rsid w:val="51B16A83"/>
    <w:rsid w:val="51B185B8"/>
    <w:rsid w:val="51B206DA"/>
    <w:rsid w:val="51B2A51C"/>
    <w:rsid w:val="51B37939"/>
    <w:rsid w:val="51B3797C"/>
    <w:rsid w:val="51B6255A"/>
    <w:rsid w:val="51B71937"/>
    <w:rsid w:val="51B7BA4E"/>
    <w:rsid w:val="51B88D21"/>
    <w:rsid w:val="51B8A5F7"/>
    <w:rsid w:val="51B8F2FE"/>
    <w:rsid w:val="51BA3A60"/>
    <w:rsid w:val="51BA4DBA"/>
    <w:rsid w:val="51BB4E95"/>
    <w:rsid w:val="51BC24B7"/>
    <w:rsid w:val="51BC2DB2"/>
    <w:rsid w:val="51BC524D"/>
    <w:rsid w:val="51BEE478"/>
    <w:rsid w:val="51C031B9"/>
    <w:rsid w:val="51C088AE"/>
    <w:rsid w:val="51C192DB"/>
    <w:rsid w:val="51C212D8"/>
    <w:rsid w:val="51C3AECC"/>
    <w:rsid w:val="51C42AD1"/>
    <w:rsid w:val="51C48D08"/>
    <w:rsid w:val="51C4CE92"/>
    <w:rsid w:val="51C59167"/>
    <w:rsid w:val="51C669E9"/>
    <w:rsid w:val="51C73D34"/>
    <w:rsid w:val="51C78BE4"/>
    <w:rsid w:val="51C7BCEB"/>
    <w:rsid w:val="51C7ECA0"/>
    <w:rsid w:val="51C98FFE"/>
    <w:rsid w:val="51CA518E"/>
    <w:rsid w:val="51CAC49A"/>
    <w:rsid w:val="51CB05D4"/>
    <w:rsid w:val="51CC3EAF"/>
    <w:rsid w:val="51CD111F"/>
    <w:rsid w:val="51CDB290"/>
    <w:rsid w:val="51CDDC15"/>
    <w:rsid w:val="51CE30E1"/>
    <w:rsid w:val="51CEC2EA"/>
    <w:rsid w:val="51D0439D"/>
    <w:rsid w:val="51D0888B"/>
    <w:rsid w:val="51D17E85"/>
    <w:rsid w:val="51D18BAD"/>
    <w:rsid w:val="51D24EF1"/>
    <w:rsid w:val="51D3470D"/>
    <w:rsid w:val="51D4A682"/>
    <w:rsid w:val="51D54769"/>
    <w:rsid w:val="51D62C0E"/>
    <w:rsid w:val="51D725A5"/>
    <w:rsid w:val="51D73D9B"/>
    <w:rsid w:val="51D7BAC0"/>
    <w:rsid w:val="51D82133"/>
    <w:rsid w:val="51D87866"/>
    <w:rsid w:val="51D882D5"/>
    <w:rsid w:val="51D8B076"/>
    <w:rsid w:val="51D8E4DD"/>
    <w:rsid w:val="51D9AC58"/>
    <w:rsid w:val="51DA0947"/>
    <w:rsid w:val="51DB1A68"/>
    <w:rsid w:val="51DB849F"/>
    <w:rsid w:val="51DC2377"/>
    <w:rsid w:val="51DC358E"/>
    <w:rsid w:val="51DC6362"/>
    <w:rsid w:val="51DC7382"/>
    <w:rsid w:val="51DDA29E"/>
    <w:rsid w:val="51DDA466"/>
    <w:rsid w:val="51DEC841"/>
    <w:rsid w:val="51E04297"/>
    <w:rsid w:val="51E08DEB"/>
    <w:rsid w:val="51E25857"/>
    <w:rsid w:val="51E397B2"/>
    <w:rsid w:val="51E4217F"/>
    <w:rsid w:val="51E52E17"/>
    <w:rsid w:val="51E534BB"/>
    <w:rsid w:val="51E55605"/>
    <w:rsid w:val="51E5CB7A"/>
    <w:rsid w:val="51E67F5E"/>
    <w:rsid w:val="51E73235"/>
    <w:rsid w:val="51E7B4FB"/>
    <w:rsid w:val="51E8AE40"/>
    <w:rsid w:val="51E94C18"/>
    <w:rsid w:val="51E9A96A"/>
    <w:rsid w:val="51EACA6B"/>
    <w:rsid w:val="51EB2AF2"/>
    <w:rsid w:val="51EB71B5"/>
    <w:rsid w:val="51EBC2B9"/>
    <w:rsid w:val="51EC2D1F"/>
    <w:rsid w:val="51ED04D3"/>
    <w:rsid w:val="51ED6D08"/>
    <w:rsid w:val="51EEAECE"/>
    <w:rsid w:val="51EECA75"/>
    <w:rsid w:val="51EF1AF5"/>
    <w:rsid w:val="51EF1E64"/>
    <w:rsid w:val="51EF9AAA"/>
    <w:rsid w:val="51F026D9"/>
    <w:rsid w:val="51F03C05"/>
    <w:rsid w:val="51F2324E"/>
    <w:rsid w:val="51F25088"/>
    <w:rsid w:val="51F4CE43"/>
    <w:rsid w:val="51F51E64"/>
    <w:rsid w:val="51F57218"/>
    <w:rsid w:val="51F58B8E"/>
    <w:rsid w:val="51F595FE"/>
    <w:rsid w:val="51F5ECFF"/>
    <w:rsid w:val="51F5F843"/>
    <w:rsid w:val="51F60036"/>
    <w:rsid w:val="51F67738"/>
    <w:rsid w:val="51F6E4E1"/>
    <w:rsid w:val="51F6F349"/>
    <w:rsid w:val="51F73F64"/>
    <w:rsid w:val="51F7A20E"/>
    <w:rsid w:val="51F7D164"/>
    <w:rsid w:val="51F8E8E0"/>
    <w:rsid w:val="51F941D4"/>
    <w:rsid w:val="51F9AF82"/>
    <w:rsid w:val="51FA8E72"/>
    <w:rsid w:val="51FB71DA"/>
    <w:rsid w:val="51FC4971"/>
    <w:rsid w:val="51FC926A"/>
    <w:rsid w:val="51FDD289"/>
    <w:rsid w:val="51FE29D7"/>
    <w:rsid w:val="51FE6A6D"/>
    <w:rsid w:val="51FEAB30"/>
    <w:rsid w:val="51FF08BA"/>
    <w:rsid w:val="51FFE688"/>
    <w:rsid w:val="520051C3"/>
    <w:rsid w:val="5200985E"/>
    <w:rsid w:val="52010ED1"/>
    <w:rsid w:val="520253FB"/>
    <w:rsid w:val="52045238"/>
    <w:rsid w:val="5204B7E8"/>
    <w:rsid w:val="52084432"/>
    <w:rsid w:val="520A2B1A"/>
    <w:rsid w:val="520AE09F"/>
    <w:rsid w:val="520C2309"/>
    <w:rsid w:val="520C38CF"/>
    <w:rsid w:val="520CB54C"/>
    <w:rsid w:val="520D1CFF"/>
    <w:rsid w:val="520D5DCE"/>
    <w:rsid w:val="520DD6AD"/>
    <w:rsid w:val="520F3E56"/>
    <w:rsid w:val="520F4CE1"/>
    <w:rsid w:val="5210EA7A"/>
    <w:rsid w:val="52113F09"/>
    <w:rsid w:val="5211611E"/>
    <w:rsid w:val="5213E83D"/>
    <w:rsid w:val="5213FDD9"/>
    <w:rsid w:val="521406C4"/>
    <w:rsid w:val="52144CC0"/>
    <w:rsid w:val="52144D3F"/>
    <w:rsid w:val="52158E8A"/>
    <w:rsid w:val="5215E1AC"/>
    <w:rsid w:val="52161277"/>
    <w:rsid w:val="5216AC2E"/>
    <w:rsid w:val="521780C2"/>
    <w:rsid w:val="521899ED"/>
    <w:rsid w:val="5219DB36"/>
    <w:rsid w:val="521A7F94"/>
    <w:rsid w:val="521A86B8"/>
    <w:rsid w:val="521B6B5A"/>
    <w:rsid w:val="521BA3D6"/>
    <w:rsid w:val="521BD68A"/>
    <w:rsid w:val="521C7863"/>
    <w:rsid w:val="521CD9A7"/>
    <w:rsid w:val="521E80B7"/>
    <w:rsid w:val="521F3E21"/>
    <w:rsid w:val="521F8968"/>
    <w:rsid w:val="5220206D"/>
    <w:rsid w:val="5220AC5D"/>
    <w:rsid w:val="5220D1EA"/>
    <w:rsid w:val="5221862F"/>
    <w:rsid w:val="5221C208"/>
    <w:rsid w:val="5222223A"/>
    <w:rsid w:val="522222AC"/>
    <w:rsid w:val="52224BAA"/>
    <w:rsid w:val="52230FCC"/>
    <w:rsid w:val="52238566"/>
    <w:rsid w:val="5223E251"/>
    <w:rsid w:val="522461AF"/>
    <w:rsid w:val="5224645F"/>
    <w:rsid w:val="52249EC0"/>
    <w:rsid w:val="5224B218"/>
    <w:rsid w:val="5224C428"/>
    <w:rsid w:val="52263256"/>
    <w:rsid w:val="5226635F"/>
    <w:rsid w:val="52279CF8"/>
    <w:rsid w:val="522802CE"/>
    <w:rsid w:val="52285D62"/>
    <w:rsid w:val="5228767F"/>
    <w:rsid w:val="52290F6A"/>
    <w:rsid w:val="52293775"/>
    <w:rsid w:val="5229DBCB"/>
    <w:rsid w:val="522AD015"/>
    <w:rsid w:val="522BBA0F"/>
    <w:rsid w:val="522C268D"/>
    <w:rsid w:val="522C96E0"/>
    <w:rsid w:val="522CAF50"/>
    <w:rsid w:val="522D0AD3"/>
    <w:rsid w:val="522F90D7"/>
    <w:rsid w:val="522FA992"/>
    <w:rsid w:val="52310340"/>
    <w:rsid w:val="52314846"/>
    <w:rsid w:val="5232C893"/>
    <w:rsid w:val="5233B5A2"/>
    <w:rsid w:val="5233DCF3"/>
    <w:rsid w:val="5234D269"/>
    <w:rsid w:val="52351CB0"/>
    <w:rsid w:val="523551B2"/>
    <w:rsid w:val="52361F1D"/>
    <w:rsid w:val="5236431A"/>
    <w:rsid w:val="5236E155"/>
    <w:rsid w:val="52373947"/>
    <w:rsid w:val="52373B5A"/>
    <w:rsid w:val="5237688A"/>
    <w:rsid w:val="5237978D"/>
    <w:rsid w:val="52380A70"/>
    <w:rsid w:val="52385165"/>
    <w:rsid w:val="5238AF8B"/>
    <w:rsid w:val="5239477B"/>
    <w:rsid w:val="523A1427"/>
    <w:rsid w:val="523A9E86"/>
    <w:rsid w:val="523B118F"/>
    <w:rsid w:val="523BD8FC"/>
    <w:rsid w:val="523C0770"/>
    <w:rsid w:val="523CD170"/>
    <w:rsid w:val="523D3F43"/>
    <w:rsid w:val="523DEAC3"/>
    <w:rsid w:val="523E8298"/>
    <w:rsid w:val="523F1EF4"/>
    <w:rsid w:val="523F2BC7"/>
    <w:rsid w:val="523F44D7"/>
    <w:rsid w:val="523FA952"/>
    <w:rsid w:val="5241DE03"/>
    <w:rsid w:val="52426BE2"/>
    <w:rsid w:val="5242B2A8"/>
    <w:rsid w:val="5242BDE5"/>
    <w:rsid w:val="52437F1A"/>
    <w:rsid w:val="524535D4"/>
    <w:rsid w:val="5247082C"/>
    <w:rsid w:val="524901EC"/>
    <w:rsid w:val="52490D77"/>
    <w:rsid w:val="52499478"/>
    <w:rsid w:val="5249A04E"/>
    <w:rsid w:val="5249E38B"/>
    <w:rsid w:val="5249F255"/>
    <w:rsid w:val="5249F70A"/>
    <w:rsid w:val="524A84AA"/>
    <w:rsid w:val="524A897D"/>
    <w:rsid w:val="524AACC0"/>
    <w:rsid w:val="524ABD5E"/>
    <w:rsid w:val="524B16B7"/>
    <w:rsid w:val="524BAC04"/>
    <w:rsid w:val="524C676B"/>
    <w:rsid w:val="524D7337"/>
    <w:rsid w:val="524E4EC9"/>
    <w:rsid w:val="524EAD87"/>
    <w:rsid w:val="52532F12"/>
    <w:rsid w:val="525395BD"/>
    <w:rsid w:val="5253DB7E"/>
    <w:rsid w:val="52543423"/>
    <w:rsid w:val="5254A298"/>
    <w:rsid w:val="5254D23E"/>
    <w:rsid w:val="52550BE8"/>
    <w:rsid w:val="52557D6E"/>
    <w:rsid w:val="525584E3"/>
    <w:rsid w:val="52561B31"/>
    <w:rsid w:val="52567AFD"/>
    <w:rsid w:val="5256C956"/>
    <w:rsid w:val="5258213F"/>
    <w:rsid w:val="5258C8A7"/>
    <w:rsid w:val="5259ABAE"/>
    <w:rsid w:val="5259E204"/>
    <w:rsid w:val="525A2694"/>
    <w:rsid w:val="525A5919"/>
    <w:rsid w:val="525AEA66"/>
    <w:rsid w:val="525B2247"/>
    <w:rsid w:val="525C8BDB"/>
    <w:rsid w:val="525D4EFA"/>
    <w:rsid w:val="525E815B"/>
    <w:rsid w:val="525E9028"/>
    <w:rsid w:val="5260ED41"/>
    <w:rsid w:val="52619FD6"/>
    <w:rsid w:val="526245AA"/>
    <w:rsid w:val="5262D70B"/>
    <w:rsid w:val="526359D0"/>
    <w:rsid w:val="52648E45"/>
    <w:rsid w:val="5264CEBC"/>
    <w:rsid w:val="52659F99"/>
    <w:rsid w:val="5266C391"/>
    <w:rsid w:val="5266E275"/>
    <w:rsid w:val="5266F4FE"/>
    <w:rsid w:val="5267017A"/>
    <w:rsid w:val="5267A0DF"/>
    <w:rsid w:val="526831A8"/>
    <w:rsid w:val="52688A6E"/>
    <w:rsid w:val="5268DE82"/>
    <w:rsid w:val="526926B6"/>
    <w:rsid w:val="526943AF"/>
    <w:rsid w:val="52694C56"/>
    <w:rsid w:val="5269A95A"/>
    <w:rsid w:val="526AC894"/>
    <w:rsid w:val="526B5418"/>
    <w:rsid w:val="526C3565"/>
    <w:rsid w:val="526C8BD3"/>
    <w:rsid w:val="526CAAB6"/>
    <w:rsid w:val="526D01AC"/>
    <w:rsid w:val="526D1AD3"/>
    <w:rsid w:val="526E591D"/>
    <w:rsid w:val="526E652A"/>
    <w:rsid w:val="526E93BD"/>
    <w:rsid w:val="526EE3A0"/>
    <w:rsid w:val="526FF0AB"/>
    <w:rsid w:val="52715080"/>
    <w:rsid w:val="527183A5"/>
    <w:rsid w:val="52719F6D"/>
    <w:rsid w:val="5271A56B"/>
    <w:rsid w:val="5272EDF9"/>
    <w:rsid w:val="527372D2"/>
    <w:rsid w:val="5275A9A8"/>
    <w:rsid w:val="527666BE"/>
    <w:rsid w:val="52766D98"/>
    <w:rsid w:val="5276AEFA"/>
    <w:rsid w:val="5277C316"/>
    <w:rsid w:val="52780101"/>
    <w:rsid w:val="5278584A"/>
    <w:rsid w:val="52797859"/>
    <w:rsid w:val="5279CE31"/>
    <w:rsid w:val="527A1156"/>
    <w:rsid w:val="527A1A5F"/>
    <w:rsid w:val="527AE67A"/>
    <w:rsid w:val="527AFBD7"/>
    <w:rsid w:val="527B96C5"/>
    <w:rsid w:val="527CBEEF"/>
    <w:rsid w:val="527D20AD"/>
    <w:rsid w:val="527D943C"/>
    <w:rsid w:val="527E495C"/>
    <w:rsid w:val="527E9557"/>
    <w:rsid w:val="527F4928"/>
    <w:rsid w:val="5280C66A"/>
    <w:rsid w:val="52822C9F"/>
    <w:rsid w:val="52822F7E"/>
    <w:rsid w:val="5282954A"/>
    <w:rsid w:val="5284E330"/>
    <w:rsid w:val="5285BFCF"/>
    <w:rsid w:val="52861AB5"/>
    <w:rsid w:val="5286F0D6"/>
    <w:rsid w:val="52878262"/>
    <w:rsid w:val="5287D909"/>
    <w:rsid w:val="528831E5"/>
    <w:rsid w:val="5288BAE0"/>
    <w:rsid w:val="5288BE88"/>
    <w:rsid w:val="5288F22A"/>
    <w:rsid w:val="52894BBB"/>
    <w:rsid w:val="528A4FDB"/>
    <w:rsid w:val="528A8755"/>
    <w:rsid w:val="528AAB42"/>
    <w:rsid w:val="528B928E"/>
    <w:rsid w:val="528BA154"/>
    <w:rsid w:val="528BDC03"/>
    <w:rsid w:val="528CED08"/>
    <w:rsid w:val="528F203E"/>
    <w:rsid w:val="528FA2E5"/>
    <w:rsid w:val="528FBC56"/>
    <w:rsid w:val="52907146"/>
    <w:rsid w:val="5290E325"/>
    <w:rsid w:val="529233B6"/>
    <w:rsid w:val="529388E3"/>
    <w:rsid w:val="5293A021"/>
    <w:rsid w:val="52941266"/>
    <w:rsid w:val="5294EDA3"/>
    <w:rsid w:val="52952D53"/>
    <w:rsid w:val="5295A3FD"/>
    <w:rsid w:val="52966E3A"/>
    <w:rsid w:val="5296AB9D"/>
    <w:rsid w:val="5297D944"/>
    <w:rsid w:val="5299BF57"/>
    <w:rsid w:val="529A3693"/>
    <w:rsid w:val="529A52D6"/>
    <w:rsid w:val="529BD734"/>
    <w:rsid w:val="529C8578"/>
    <w:rsid w:val="529C9B76"/>
    <w:rsid w:val="529D3735"/>
    <w:rsid w:val="529D720F"/>
    <w:rsid w:val="52A210E3"/>
    <w:rsid w:val="52A2AE25"/>
    <w:rsid w:val="52A2F29F"/>
    <w:rsid w:val="52A33246"/>
    <w:rsid w:val="52A339A1"/>
    <w:rsid w:val="52A3CF43"/>
    <w:rsid w:val="52A3DE50"/>
    <w:rsid w:val="52A3EC05"/>
    <w:rsid w:val="52A46946"/>
    <w:rsid w:val="52A68650"/>
    <w:rsid w:val="52A6DEA6"/>
    <w:rsid w:val="52A76B0C"/>
    <w:rsid w:val="52A77791"/>
    <w:rsid w:val="52A7CCCE"/>
    <w:rsid w:val="52A8A772"/>
    <w:rsid w:val="52A908A7"/>
    <w:rsid w:val="52A98067"/>
    <w:rsid w:val="52A98DCE"/>
    <w:rsid w:val="52AA5457"/>
    <w:rsid w:val="52AB5A61"/>
    <w:rsid w:val="52AB81F6"/>
    <w:rsid w:val="52ABC1D0"/>
    <w:rsid w:val="52AD4C57"/>
    <w:rsid w:val="52AFD8DA"/>
    <w:rsid w:val="52B02C23"/>
    <w:rsid w:val="52B06175"/>
    <w:rsid w:val="52B16556"/>
    <w:rsid w:val="52B247B9"/>
    <w:rsid w:val="52B2FC80"/>
    <w:rsid w:val="52B56684"/>
    <w:rsid w:val="52B81A48"/>
    <w:rsid w:val="52B90EFE"/>
    <w:rsid w:val="52BA721C"/>
    <w:rsid w:val="52BAA2CD"/>
    <w:rsid w:val="52BAA3C1"/>
    <w:rsid w:val="52BAEA2D"/>
    <w:rsid w:val="52BAFE98"/>
    <w:rsid w:val="52BBFEF0"/>
    <w:rsid w:val="52BC1F23"/>
    <w:rsid w:val="52BC5F1B"/>
    <w:rsid w:val="52BCB60D"/>
    <w:rsid w:val="52BD064D"/>
    <w:rsid w:val="52BDB32F"/>
    <w:rsid w:val="52BDD2D8"/>
    <w:rsid w:val="52BE2866"/>
    <w:rsid w:val="52BE83DD"/>
    <w:rsid w:val="52BFE98C"/>
    <w:rsid w:val="52C0FFC8"/>
    <w:rsid w:val="52C106EB"/>
    <w:rsid w:val="52C11037"/>
    <w:rsid w:val="52C30EFE"/>
    <w:rsid w:val="52C33395"/>
    <w:rsid w:val="52C48F19"/>
    <w:rsid w:val="52C4D00D"/>
    <w:rsid w:val="52C721B3"/>
    <w:rsid w:val="52C7DA92"/>
    <w:rsid w:val="52C8A033"/>
    <w:rsid w:val="52CA7027"/>
    <w:rsid w:val="52CBB1B3"/>
    <w:rsid w:val="52CC11CF"/>
    <w:rsid w:val="52CC610E"/>
    <w:rsid w:val="52CD60F9"/>
    <w:rsid w:val="52CE593A"/>
    <w:rsid w:val="52CF0C1E"/>
    <w:rsid w:val="52CF53EC"/>
    <w:rsid w:val="52CFCCF9"/>
    <w:rsid w:val="52D0D487"/>
    <w:rsid w:val="52D16444"/>
    <w:rsid w:val="52D23E57"/>
    <w:rsid w:val="52D2898B"/>
    <w:rsid w:val="52D28AE4"/>
    <w:rsid w:val="52D30106"/>
    <w:rsid w:val="52D31408"/>
    <w:rsid w:val="52D36BD2"/>
    <w:rsid w:val="52D3AB2E"/>
    <w:rsid w:val="52D3CCE5"/>
    <w:rsid w:val="52D480E2"/>
    <w:rsid w:val="52D48103"/>
    <w:rsid w:val="52D54017"/>
    <w:rsid w:val="52D5516E"/>
    <w:rsid w:val="52D63805"/>
    <w:rsid w:val="52D74143"/>
    <w:rsid w:val="52D7E014"/>
    <w:rsid w:val="52D800E5"/>
    <w:rsid w:val="52D80C4E"/>
    <w:rsid w:val="52D88331"/>
    <w:rsid w:val="52D8C618"/>
    <w:rsid w:val="52DA07B4"/>
    <w:rsid w:val="52DAC401"/>
    <w:rsid w:val="52DAF49C"/>
    <w:rsid w:val="52DBE097"/>
    <w:rsid w:val="52DE3FB0"/>
    <w:rsid w:val="52DE605D"/>
    <w:rsid w:val="52DF4620"/>
    <w:rsid w:val="52DF46C4"/>
    <w:rsid w:val="52DF9DE8"/>
    <w:rsid w:val="52E08B2C"/>
    <w:rsid w:val="52E08CA4"/>
    <w:rsid w:val="52E0BF0A"/>
    <w:rsid w:val="52E223A9"/>
    <w:rsid w:val="52E2F53C"/>
    <w:rsid w:val="52E46FBB"/>
    <w:rsid w:val="52E54C22"/>
    <w:rsid w:val="52E5DB8E"/>
    <w:rsid w:val="52E5DF7E"/>
    <w:rsid w:val="52E77BD9"/>
    <w:rsid w:val="52E77CC0"/>
    <w:rsid w:val="52E7E955"/>
    <w:rsid w:val="52E8775A"/>
    <w:rsid w:val="52E8B237"/>
    <w:rsid w:val="52E8FEA1"/>
    <w:rsid w:val="52E92F55"/>
    <w:rsid w:val="52EA4576"/>
    <w:rsid w:val="52EAF035"/>
    <w:rsid w:val="52EB396F"/>
    <w:rsid w:val="52EB8D0D"/>
    <w:rsid w:val="52EBAFDE"/>
    <w:rsid w:val="52ECE143"/>
    <w:rsid w:val="52ED638B"/>
    <w:rsid w:val="52ED95BA"/>
    <w:rsid w:val="52EDC0D2"/>
    <w:rsid w:val="52EDCA22"/>
    <w:rsid w:val="52EE54B3"/>
    <w:rsid w:val="52EE8445"/>
    <w:rsid w:val="52EEB109"/>
    <w:rsid w:val="52EF052E"/>
    <w:rsid w:val="52EF08D3"/>
    <w:rsid w:val="52EF853B"/>
    <w:rsid w:val="52F0E63C"/>
    <w:rsid w:val="52F1F060"/>
    <w:rsid w:val="52F26B77"/>
    <w:rsid w:val="52F2B75F"/>
    <w:rsid w:val="52F31D41"/>
    <w:rsid w:val="52F3293B"/>
    <w:rsid w:val="52F3C83F"/>
    <w:rsid w:val="52F40017"/>
    <w:rsid w:val="52F4765B"/>
    <w:rsid w:val="52F48124"/>
    <w:rsid w:val="52F539BE"/>
    <w:rsid w:val="52F5A5A3"/>
    <w:rsid w:val="52F5A5AA"/>
    <w:rsid w:val="52F6058C"/>
    <w:rsid w:val="52F67DD0"/>
    <w:rsid w:val="52F681BB"/>
    <w:rsid w:val="52F7070E"/>
    <w:rsid w:val="52F7E8A2"/>
    <w:rsid w:val="52F822F8"/>
    <w:rsid w:val="52F866D4"/>
    <w:rsid w:val="52F87D4B"/>
    <w:rsid w:val="52F8E4C1"/>
    <w:rsid w:val="52F94617"/>
    <w:rsid w:val="52F952F7"/>
    <w:rsid w:val="52F98AC3"/>
    <w:rsid w:val="52F98DA8"/>
    <w:rsid w:val="52FA1E2D"/>
    <w:rsid w:val="52FA853D"/>
    <w:rsid w:val="52FB8E2A"/>
    <w:rsid w:val="52FB9518"/>
    <w:rsid w:val="52FC0034"/>
    <w:rsid w:val="52FC0A55"/>
    <w:rsid w:val="52FCD5F1"/>
    <w:rsid w:val="52FDE231"/>
    <w:rsid w:val="52FDFCF4"/>
    <w:rsid w:val="52FEDFE5"/>
    <w:rsid w:val="52FFE527"/>
    <w:rsid w:val="5300E928"/>
    <w:rsid w:val="53011072"/>
    <w:rsid w:val="53017E85"/>
    <w:rsid w:val="53021111"/>
    <w:rsid w:val="5302C15D"/>
    <w:rsid w:val="5302EDF9"/>
    <w:rsid w:val="530302D6"/>
    <w:rsid w:val="5303CFAE"/>
    <w:rsid w:val="5304D64E"/>
    <w:rsid w:val="5305506F"/>
    <w:rsid w:val="53059027"/>
    <w:rsid w:val="530619F9"/>
    <w:rsid w:val="53069935"/>
    <w:rsid w:val="5306D3CB"/>
    <w:rsid w:val="5306E555"/>
    <w:rsid w:val="5306EFF9"/>
    <w:rsid w:val="53083001"/>
    <w:rsid w:val="5308E30B"/>
    <w:rsid w:val="5308EC95"/>
    <w:rsid w:val="530931B0"/>
    <w:rsid w:val="53099E72"/>
    <w:rsid w:val="5309D195"/>
    <w:rsid w:val="530A113A"/>
    <w:rsid w:val="530AC8BE"/>
    <w:rsid w:val="530AD264"/>
    <w:rsid w:val="530B1DF1"/>
    <w:rsid w:val="530BDF3D"/>
    <w:rsid w:val="530BF18A"/>
    <w:rsid w:val="530DB0F8"/>
    <w:rsid w:val="530E198F"/>
    <w:rsid w:val="530E50BC"/>
    <w:rsid w:val="531024D0"/>
    <w:rsid w:val="53115678"/>
    <w:rsid w:val="5311E3F5"/>
    <w:rsid w:val="53127D29"/>
    <w:rsid w:val="5312D30F"/>
    <w:rsid w:val="5313AF39"/>
    <w:rsid w:val="53143B47"/>
    <w:rsid w:val="53146A48"/>
    <w:rsid w:val="531494F1"/>
    <w:rsid w:val="53153BFD"/>
    <w:rsid w:val="53153CB9"/>
    <w:rsid w:val="531559CE"/>
    <w:rsid w:val="5315D15D"/>
    <w:rsid w:val="531677FF"/>
    <w:rsid w:val="53173D49"/>
    <w:rsid w:val="531791F9"/>
    <w:rsid w:val="5317A9EA"/>
    <w:rsid w:val="5317B1C3"/>
    <w:rsid w:val="5317EB29"/>
    <w:rsid w:val="5317EFBC"/>
    <w:rsid w:val="5318064B"/>
    <w:rsid w:val="53187893"/>
    <w:rsid w:val="53194F09"/>
    <w:rsid w:val="5319AE86"/>
    <w:rsid w:val="5319EE4E"/>
    <w:rsid w:val="531AF21E"/>
    <w:rsid w:val="531B4ED1"/>
    <w:rsid w:val="531B9215"/>
    <w:rsid w:val="531BDB00"/>
    <w:rsid w:val="531BF48B"/>
    <w:rsid w:val="531C140B"/>
    <w:rsid w:val="531C827A"/>
    <w:rsid w:val="531E0B75"/>
    <w:rsid w:val="531E43E3"/>
    <w:rsid w:val="531F12F1"/>
    <w:rsid w:val="531F9860"/>
    <w:rsid w:val="5320AE2D"/>
    <w:rsid w:val="532143FA"/>
    <w:rsid w:val="5322A977"/>
    <w:rsid w:val="5322B42D"/>
    <w:rsid w:val="53230446"/>
    <w:rsid w:val="5323127D"/>
    <w:rsid w:val="53236177"/>
    <w:rsid w:val="5323DFA0"/>
    <w:rsid w:val="5324F76E"/>
    <w:rsid w:val="5325DD2E"/>
    <w:rsid w:val="53267C9B"/>
    <w:rsid w:val="5326A938"/>
    <w:rsid w:val="53288B40"/>
    <w:rsid w:val="532898F0"/>
    <w:rsid w:val="5328A49A"/>
    <w:rsid w:val="53295CFE"/>
    <w:rsid w:val="53296F32"/>
    <w:rsid w:val="5329B82F"/>
    <w:rsid w:val="532A1D01"/>
    <w:rsid w:val="532A829C"/>
    <w:rsid w:val="532B296E"/>
    <w:rsid w:val="532B7A38"/>
    <w:rsid w:val="532BB315"/>
    <w:rsid w:val="532CD269"/>
    <w:rsid w:val="532CDFA5"/>
    <w:rsid w:val="532CE92C"/>
    <w:rsid w:val="532D920B"/>
    <w:rsid w:val="532E0817"/>
    <w:rsid w:val="532F23DC"/>
    <w:rsid w:val="532FE26E"/>
    <w:rsid w:val="5330F414"/>
    <w:rsid w:val="5332538D"/>
    <w:rsid w:val="533350B0"/>
    <w:rsid w:val="53337AC6"/>
    <w:rsid w:val="5333993B"/>
    <w:rsid w:val="5334B01B"/>
    <w:rsid w:val="53383514"/>
    <w:rsid w:val="5338B458"/>
    <w:rsid w:val="53398A51"/>
    <w:rsid w:val="533B5051"/>
    <w:rsid w:val="533B95E5"/>
    <w:rsid w:val="533CA0ED"/>
    <w:rsid w:val="533D3364"/>
    <w:rsid w:val="533DF0E2"/>
    <w:rsid w:val="533E8BF7"/>
    <w:rsid w:val="53406B56"/>
    <w:rsid w:val="5340E79B"/>
    <w:rsid w:val="534183F3"/>
    <w:rsid w:val="53419A74"/>
    <w:rsid w:val="5341BC5B"/>
    <w:rsid w:val="5341F951"/>
    <w:rsid w:val="53425A37"/>
    <w:rsid w:val="53425C9D"/>
    <w:rsid w:val="53430627"/>
    <w:rsid w:val="534357E2"/>
    <w:rsid w:val="534363F2"/>
    <w:rsid w:val="5343B565"/>
    <w:rsid w:val="53441574"/>
    <w:rsid w:val="53442776"/>
    <w:rsid w:val="53443D93"/>
    <w:rsid w:val="5345AC77"/>
    <w:rsid w:val="534664EB"/>
    <w:rsid w:val="534697BE"/>
    <w:rsid w:val="5346EFA3"/>
    <w:rsid w:val="5347068D"/>
    <w:rsid w:val="53470ADB"/>
    <w:rsid w:val="53485C38"/>
    <w:rsid w:val="534925AC"/>
    <w:rsid w:val="53493D9F"/>
    <w:rsid w:val="5349C046"/>
    <w:rsid w:val="534A4577"/>
    <w:rsid w:val="534ACB26"/>
    <w:rsid w:val="534BA7E8"/>
    <w:rsid w:val="534C34C5"/>
    <w:rsid w:val="534C6D5F"/>
    <w:rsid w:val="534C98DB"/>
    <w:rsid w:val="534D296B"/>
    <w:rsid w:val="534DA802"/>
    <w:rsid w:val="534DB603"/>
    <w:rsid w:val="534EBAFC"/>
    <w:rsid w:val="53503FDE"/>
    <w:rsid w:val="53515DCE"/>
    <w:rsid w:val="535165FE"/>
    <w:rsid w:val="53518027"/>
    <w:rsid w:val="5351FC78"/>
    <w:rsid w:val="5352614D"/>
    <w:rsid w:val="53526E9B"/>
    <w:rsid w:val="5352D83F"/>
    <w:rsid w:val="5353CA64"/>
    <w:rsid w:val="53545CF5"/>
    <w:rsid w:val="5354772F"/>
    <w:rsid w:val="5355439B"/>
    <w:rsid w:val="53569528"/>
    <w:rsid w:val="5356E64F"/>
    <w:rsid w:val="5356F8F1"/>
    <w:rsid w:val="53586968"/>
    <w:rsid w:val="53589322"/>
    <w:rsid w:val="5358B907"/>
    <w:rsid w:val="53598165"/>
    <w:rsid w:val="5359AF5D"/>
    <w:rsid w:val="535AEF4D"/>
    <w:rsid w:val="535B6CB9"/>
    <w:rsid w:val="535BA2A3"/>
    <w:rsid w:val="535C48B7"/>
    <w:rsid w:val="535C7808"/>
    <w:rsid w:val="535E31C3"/>
    <w:rsid w:val="535EF9FE"/>
    <w:rsid w:val="535FDC99"/>
    <w:rsid w:val="53604497"/>
    <w:rsid w:val="536046A6"/>
    <w:rsid w:val="5360F8D5"/>
    <w:rsid w:val="53616477"/>
    <w:rsid w:val="5363D353"/>
    <w:rsid w:val="5364CCEA"/>
    <w:rsid w:val="5364CE36"/>
    <w:rsid w:val="53652B68"/>
    <w:rsid w:val="5365793E"/>
    <w:rsid w:val="53657CB9"/>
    <w:rsid w:val="53666FD5"/>
    <w:rsid w:val="5366A030"/>
    <w:rsid w:val="536712AE"/>
    <w:rsid w:val="536715C2"/>
    <w:rsid w:val="53678EF5"/>
    <w:rsid w:val="53679330"/>
    <w:rsid w:val="5367B37F"/>
    <w:rsid w:val="53690941"/>
    <w:rsid w:val="536A50A9"/>
    <w:rsid w:val="536B52CC"/>
    <w:rsid w:val="536BC377"/>
    <w:rsid w:val="536BD075"/>
    <w:rsid w:val="536C5643"/>
    <w:rsid w:val="536CD987"/>
    <w:rsid w:val="536DF577"/>
    <w:rsid w:val="536E74B2"/>
    <w:rsid w:val="536F3300"/>
    <w:rsid w:val="53706054"/>
    <w:rsid w:val="5370AAFD"/>
    <w:rsid w:val="5370E225"/>
    <w:rsid w:val="537176D8"/>
    <w:rsid w:val="5372252E"/>
    <w:rsid w:val="5372370F"/>
    <w:rsid w:val="537372DB"/>
    <w:rsid w:val="5373EA42"/>
    <w:rsid w:val="537443D3"/>
    <w:rsid w:val="53749939"/>
    <w:rsid w:val="53771199"/>
    <w:rsid w:val="5377FD33"/>
    <w:rsid w:val="53782D4C"/>
    <w:rsid w:val="537891C1"/>
    <w:rsid w:val="5378E41B"/>
    <w:rsid w:val="537954F0"/>
    <w:rsid w:val="5379A647"/>
    <w:rsid w:val="537A1165"/>
    <w:rsid w:val="537B4956"/>
    <w:rsid w:val="537BC620"/>
    <w:rsid w:val="537BD5AC"/>
    <w:rsid w:val="537D8555"/>
    <w:rsid w:val="537F4E6D"/>
    <w:rsid w:val="537FAE05"/>
    <w:rsid w:val="538051FA"/>
    <w:rsid w:val="538053D3"/>
    <w:rsid w:val="538293F8"/>
    <w:rsid w:val="5382E7EC"/>
    <w:rsid w:val="5384D7C0"/>
    <w:rsid w:val="53854039"/>
    <w:rsid w:val="53854D46"/>
    <w:rsid w:val="53864581"/>
    <w:rsid w:val="5387AA09"/>
    <w:rsid w:val="538822C4"/>
    <w:rsid w:val="53887616"/>
    <w:rsid w:val="53888634"/>
    <w:rsid w:val="5389D35A"/>
    <w:rsid w:val="538AF94D"/>
    <w:rsid w:val="538D546B"/>
    <w:rsid w:val="538D7150"/>
    <w:rsid w:val="538E9457"/>
    <w:rsid w:val="538EB0A5"/>
    <w:rsid w:val="538F92E0"/>
    <w:rsid w:val="53900ADC"/>
    <w:rsid w:val="5390741B"/>
    <w:rsid w:val="5391ACFD"/>
    <w:rsid w:val="5391E883"/>
    <w:rsid w:val="5392118E"/>
    <w:rsid w:val="53923EDD"/>
    <w:rsid w:val="53924FB2"/>
    <w:rsid w:val="53927E9E"/>
    <w:rsid w:val="53929CE6"/>
    <w:rsid w:val="53934E85"/>
    <w:rsid w:val="5393B3DC"/>
    <w:rsid w:val="53968317"/>
    <w:rsid w:val="5396B3B3"/>
    <w:rsid w:val="5396FF80"/>
    <w:rsid w:val="5397A267"/>
    <w:rsid w:val="5397F3B6"/>
    <w:rsid w:val="53981CD5"/>
    <w:rsid w:val="539A6EED"/>
    <w:rsid w:val="539AF38B"/>
    <w:rsid w:val="539BBB02"/>
    <w:rsid w:val="539C4FA0"/>
    <w:rsid w:val="539C68BF"/>
    <w:rsid w:val="539C9E99"/>
    <w:rsid w:val="539CBEDE"/>
    <w:rsid w:val="539D2EBC"/>
    <w:rsid w:val="539D4FDD"/>
    <w:rsid w:val="539E99AD"/>
    <w:rsid w:val="539F843D"/>
    <w:rsid w:val="539F89B6"/>
    <w:rsid w:val="539FABD9"/>
    <w:rsid w:val="539FC157"/>
    <w:rsid w:val="539FD996"/>
    <w:rsid w:val="53A00D22"/>
    <w:rsid w:val="53A014F5"/>
    <w:rsid w:val="53A02857"/>
    <w:rsid w:val="53A0E025"/>
    <w:rsid w:val="53A1FDA9"/>
    <w:rsid w:val="53A32706"/>
    <w:rsid w:val="53A32EF5"/>
    <w:rsid w:val="53A3695C"/>
    <w:rsid w:val="53A54647"/>
    <w:rsid w:val="53A5C389"/>
    <w:rsid w:val="53A5D403"/>
    <w:rsid w:val="53A5F355"/>
    <w:rsid w:val="53A751EC"/>
    <w:rsid w:val="53A791DD"/>
    <w:rsid w:val="53A86B63"/>
    <w:rsid w:val="53A87B23"/>
    <w:rsid w:val="53A8943D"/>
    <w:rsid w:val="53A8C844"/>
    <w:rsid w:val="53AA2973"/>
    <w:rsid w:val="53AA7379"/>
    <w:rsid w:val="53AA97AD"/>
    <w:rsid w:val="53AAB5E1"/>
    <w:rsid w:val="53ACB174"/>
    <w:rsid w:val="53ACE53A"/>
    <w:rsid w:val="53AD3006"/>
    <w:rsid w:val="53AD9605"/>
    <w:rsid w:val="53B1123F"/>
    <w:rsid w:val="53B11FD5"/>
    <w:rsid w:val="53B22AB3"/>
    <w:rsid w:val="53B2CF5B"/>
    <w:rsid w:val="53B37197"/>
    <w:rsid w:val="53B57B5C"/>
    <w:rsid w:val="53B57C12"/>
    <w:rsid w:val="53B591B7"/>
    <w:rsid w:val="53B62773"/>
    <w:rsid w:val="53B64291"/>
    <w:rsid w:val="53B67591"/>
    <w:rsid w:val="53B6CBC8"/>
    <w:rsid w:val="53B7A9CB"/>
    <w:rsid w:val="53B7E746"/>
    <w:rsid w:val="53B7F9D1"/>
    <w:rsid w:val="53B864AC"/>
    <w:rsid w:val="53BA8519"/>
    <w:rsid w:val="53BA8867"/>
    <w:rsid w:val="53BBCB3C"/>
    <w:rsid w:val="53BC797B"/>
    <w:rsid w:val="53BCD17C"/>
    <w:rsid w:val="53BD1BD1"/>
    <w:rsid w:val="53BD8AB6"/>
    <w:rsid w:val="53BDC51F"/>
    <w:rsid w:val="53BE4A76"/>
    <w:rsid w:val="53BE5326"/>
    <w:rsid w:val="53C1DC45"/>
    <w:rsid w:val="53C39348"/>
    <w:rsid w:val="53C3FDAE"/>
    <w:rsid w:val="53C41D16"/>
    <w:rsid w:val="53C46F22"/>
    <w:rsid w:val="53C4B4B8"/>
    <w:rsid w:val="53C60F00"/>
    <w:rsid w:val="53C663C3"/>
    <w:rsid w:val="53C681EB"/>
    <w:rsid w:val="53C6DE0B"/>
    <w:rsid w:val="53C6E466"/>
    <w:rsid w:val="53C7507B"/>
    <w:rsid w:val="53C7E73E"/>
    <w:rsid w:val="53CA54C1"/>
    <w:rsid w:val="53CAD945"/>
    <w:rsid w:val="53CAE84E"/>
    <w:rsid w:val="53CAEC5D"/>
    <w:rsid w:val="53CBECBC"/>
    <w:rsid w:val="53CC42F0"/>
    <w:rsid w:val="53CC7E8E"/>
    <w:rsid w:val="53CEE330"/>
    <w:rsid w:val="53CF2E8C"/>
    <w:rsid w:val="53CF8BEE"/>
    <w:rsid w:val="53D0B2F1"/>
    <w:rsid w:val="53D14FC5"/>
    <w:rsid w:val="53D187F7"/>
    <w:rsid w:val="53D1A058"/>
    <w:rsid w:val="53D2C504"/>
    <w:rsid w:val="53D2E588"/>
    <w:rsid w:val="53D31DE2"/>
    <w:rsid w:val="53D38525"/>
    <w:rsid w:val="53D38985"/>
    <w:rsid w:val="53D48B00"/>
    <w:rsid w:val="53D4E76C"/>
    <w:rsid w:val="53D554AA"/>
    <w:rsid w:val="53D5D64E"/>
    <w:rsid w:val="53D63B28"/>
    <w:rsid w:val="53D69213"/>
    <w:rsid w:val="53D86FC6"/>
    <w:rsid w:val="53D904C1"/>
    <w:rsid w:val="53DC2FD5"/>
    <w:rsid w:val="53DCAD18"/>
    <w:rsid w:val="53DD9837"/>
    <w:rsid w:val="53DE446D"/>
    <w:rsid w:val="53DE69EC"/>
    <w:rsid w:val="53DE94BF"/>
    <w:rsid w:val="53DF6F94"/>
    <w:rsid w:val="53E01F42"/>
    <w:rsid w:val="53E124B9"/>
    <w:rsid w:val="53E177BC"/>
    <w:rsid w:val="53E18B51"/>
    <w:rsid w:val="53E416BD"/>
    <w:rsid w:val="53E486DE"/>
    <w:rsid w:val="53E4CBEB"/>
    <w:rsid w:val="53E5FEB0"/>
    <w:rsid w:val="53E71B7E"/>
    <w:rsid w:val="53E89B5E"/>
    <w:rsid w:val="53E8C90B"/>
    <w:rsid w:val="53E9D6E2"/>
    <w:rsid w:val="53EA6F56"/>
    <w:rsid w:val="53EAAC49"/>
    <w:rsid w:val="53EBD534"/>
    <w:rsid w:val="53EC76F1"/>
    <w:rsid w:val="53ED451A"/>
    <w:rsid w:val="53EDBD68"/>
    <w:rsid w:val="53EDCFEE"/>
    <w:rsid w:val="53EE05CB"/>
    <w:rsid w:val="53EE9E22"/>
    <w:rsid w:val="53EF6EB5"/>
    <w:rsid w:val="53EF7C56"/>
    <w:rsid w:val="53EF865C"/>
    <w:rsid w:val="53F08171"/>
    <w:rsid w:val="53F0F49D"/>
    <w:rsid w:val="53F112D8"/>
    <w:rsid w:val="53F2F3CB"/>
    <w:rsid w:val="53F33F46"/>
    <w:rsid w:val="53F3D51F"/>
    <w:rsid w:val="53F50C5F"/>
    <w:rsid w:val="53F6A60C"/>
    <w:rsid w:val="53F7940D"/>
    <w:rsid w:val="53F831E6"/>
    <w:rsid w:val="53F8ABA5"/>
    <w:rsid w:val="53F902FD"/>
    <w:rsid w:val="53F944C8"/>
    <w:rsid w:val="53F949DF"/>
    <w:rsid w:val="53F97AF9"/>
    <w:rsid w:val="53FB2E35"/>
    <w:rsid w:val="53FC27FC"/>
    <w:rsid w:val="53FCDCB1"/>
    <w:rsid w:val="53FD2A51"/>
    <w:rsid w:val="53FD7C0A"/>
    <w:rsid w:val="53FEDFFF"/>
    <w:rsid w:val="53FEF151"/>
    <w:rsid w:val="53FEF766"/>
    <w:rsid w:val="53FF4401"/>
    <w:rsid w:val="540167B3"/>
    <w:rsid w:val="54017EF0"/>
    <w:rsid w:val="5402F9D1"/>
    <w:rsid w:val="54031D34"/>
    <w:rsid w:val="54037215"/>
    <w:rsid w:val="54049E41"/>
    <w:rsid w:val="54063167"/>
    <w:rsid w:val="54064917"/>
    <w:rsid w:val="5406530A"/>
    <w:rsid w:val="5407067E"/>
    <w:rsid w:val="540710BE"/>
    <w:rsid w:val="54075B8F"/>
    <w:rsid w:val="5407C735"/>
    <w:rsid w:val="5407DF46"/>
    <w:rsid w:val="5407E5FA"/>
    <w:rsid w:val="5409EA42"/>
    <w:rsid w:val="540A57D6"/>
    <w:rsid w:val="540A84F0"/>
    <w:rsid w:val="540A87DC"/>
    <w:rsid w:val="540C612C"/>
    <w:rsid w:val="540CC7E1"/>
    <w:rsid w:val="540CD066"/>
    <w:rsid w:val="540CE860"/>
    <w:rsid w:val="540D868E"/>
    <w:rsid w:val="540DE09E"/>
    <w:rsid w:val="540EB0C2"/>
    <w:rsid w:val="541051C6"/>
    <w:rsid w:val="54109B12"/>
    <w:rsid w:val="5410C602"/>
    <w:rsid w:val="54111889"/>
    <w:rsid w:val="54114739"/>
    <w:rsid w:val="5411A3D4"/>
    <w:rsid w:val="5412D04E"/>
    <w:rsid w:val="54136F27"/>
    <w:rsid w:val="5413AFB0"/>
    <w:rsid w:val="54145585"/>
    <w:rsid w:val="5414F10A"/>
    <w:rsid w:val="54156867"/>
    <w:rsid w:val="5415AD46"/>
    <w:rsid w:val="54161DFC"/>
    <w:rsid w:val="54166DE0"/>
    <w:rsid w:val="54176BE8"/>
    <w:rsid w:val="541799AC"/>
    <w:rsid w:val="5417FED1"/>
    <w:rsid w:val="5418F15E"/>
    <w:rsid w:val="54190BA6"/>
    <w:rsid w:val="5419699D"/>
    <w:rsid w:val="54198F8F"/>
    <w:rsid w:val="541A71D6"/>
    <w:rsid w:val="541B9ADA"/>
    <w:rsid w:val="541C1F04"/>
    <w:rsid w:val="541C42ED"/>
    <w:rsid w:val="541C457E"/>
    <w:rsid w:val="541D61D0"/>
    <w:rsid w:val="541E2A7B"/>
    <w:rsid w:val="541E56C1"/>
    <w:rsid w:val="541EBE6E"/>
    <w:rsid w:val="5420527F"/>
    <w:rsid w:val="54206763"/>
    <w:rsid w:val="54234B97"/>
    <w:rsid w:val="54261E8C"/>
    <w:rsid w:val="5426763B"/>
    <w:rsid w:val="542856A1"/>
    <w:rsid w:val="5428ECB3"/>
    <w:rsid w:val="54296CCF"/>
    <w:rsid w:val="54296DDF"/>
    <w:rsid w:val="5429F808"/>
    <w:rsid w:val="542A5BA2"/>
    <w:rsid w:val="542AB525"/>
    <w:rsid w:val="542B3F97"/>
    <w:rsid w:val="542BEBB6"/>
    <w:rsid w:val="542FBDD8"/>
    <w:rsid w:val="5430B74A"/>
    <w:rsid w:val="5430EFC7"/>
    <w:rsid w:val="543114D3"/>
    <w:rsid w:val="543226CA"/>
    <w:rsid w:val="54322E38"/>
    <w:rsid w:val="5432D9AA"/>
    <w:rsid w:val="5433124C"/>
    <w:rsid w:val="5433652F"/>
    <w:rsid w:val="54339CA8"/>
    <w:rsid w:val="5433F919"/>
    <w:rsid w:val="5433FED5"/>
    <w:rsid w:val="5434428C"/>
    <w:rsid w:val="54358BF8"/>
    <w:rsid w:val="54361F60"/>
    <w:rsid w:val="5436E169"/>
    <w:rsid w:val="5436FFDB"/>
    <w:rsid w:val="5437CE9D"/>
    <w:rsid w:val="5437E2D0"/>
    <w:rsid w:val="5438B1B5"/>
    <w:rsid w:val="543BCD15"/>
    <w:rsid w:val="543C1944"/>
    <w:rsid w:val="543D22DF"/>
    <w:rsid w:val="543DD3BA"/>
    <w:rsid w:val="543E31FC"/>
    <w:rsid w:val="543E644A"/>
    <w:rsid w:val="543EB009"/>
    <w:rsid w:val="543EC2E8"/>
    <w:rsid w:val="543FBBAC"/>
    <w:rsid w:val="543FDA71"/>
    <w:rsid w:val="54404269"/>
    <w:rsid w:val="5440CF63"/>
    <w:rsid w:val="54410A55"/>
    <w:rsid w:val="544129C3"/>
    <w:rsid w:val="54419CE7"/>
    <w:rsid w:val="544398D4"/>
    <w:rsid w:val="5443C06E"/>
    <w:rsid w:val="54441F1E"/>
    <w:rsid w:val="54446236"/>
    <w:rsid w:val="54447A0E"/>
    <w:rsid w:val="54451902"/>
    <w:rsid w:val="5445AE78"/>
    <w:rsid w:val="5445F2B2"/>
    <w:rsid w:val="54464417"/>
    <w:rsid w:val="5447ED3F"/>
    <w:rsid w:val="5448CFDC"/>
    <w:rsid w:val="5448F130"/>
    <w:rsid w:val="54491BAF"/>
    <w:rsid w:val="54498EB1"/>
    <w:rsid w:val="544A0285"/>
    <w:rsid w:val="544A9F23"/>
    <w:rsid w:val="544C348E"/>
    <w:rsid w:val="544DF9A5"/>
    <w:rsid w:val="544E7188"/>
    <w:rsid w:val="5450367D"/>
    <w:rsid w:val="5450D233"/>
    <w:rsid w:val="545189E1"/>
    <w:rsid w:val="54538A40"/>
    <w:rsid w:val="5454556A"/>
    <w:rsid w:val="545497B4"/>
    <w:rsid w:val="54551FBD"/>
    <w:rsid w:val="5455DFCA"/>
    <w:rsid w:val="545673FD"/>
    <w:rsid w:val="54567D0F"/>
    <w:rsid w:val="54577276"/>
    <w:rsid w:val="5458229E"/>
    <w:rsid w:val="5458314E"/>
    <w:rsid w:val="5458D184"/>
    <w:rsid w:val="545AB52C"/>
    <w:rsid w:val="545ABE27"/>
    <w:rsid w:val="545AC7FB"/>
    <w:rsid w:val="545B9678"/>
    <w:rsid w:val="545BCEB6"/>
    <w:rsid w:val="545C3138"/>
    <w:rsid w:val="545C610C"/>
    <w:rsid w:val="545ED146"/>
    <w:rsid w:val="545F7D78"/>
    <w:rsid w:val="545FD647"/>
    <w:rsid w:val="5460B6C6"/>
    <w:rsid w:val="54617F73"/>
    <w:rsid w:val="5461C990"/>
    <w:rsid w:val="5461CE8A"/>
    <w:rsid w:val="54626330"/>
    <w:rsid w:val="5463FBB7"/>
    <w:rsid w:val="546416B4"/>
    <w:rsid w:val="546504D6"/>
    <w:rsid w:val="5466841D"/>
    <w:rsid w:val="54689C43"/>
    <w:rsid w:val="5468CBB6"/>
    <w:rsid w:val="54692921"/>
    <w:rsid w:val="5469C6AD"/>
    <w:rsid w:val="5469FD45"/>
    <w:rsid w:val="546B0566"/>
    <w:rsid w:val="546B49EC"/>
    <w:rsid w:val="546BBE54"/>
    <w:rsid w:val="546BC88D"/>
    <w:rsid w:val="546BE577"/>
    <w:rsid w:val="546DD1B1"/>
    <w:rsid w:val="546E1F9F"/>
    <w:rsid w:val="546E4C81"/>
    <w:rsid w:val="546EED40"/>
    <w:rsid w:val="54730CA4"/>
    <w:rsid w:val="54738D0A"/>
    <w:rsid w:val="547390B6"/>
    <w:rsid w:val="5473B21D"/>
    <w:rsid w:val="5473E60F"/>
    <w:rsid w:val="54745D73"/>
    <w:rsid w:val="54748DE3"/>
    <w:rsid w:val="54759EB6"/>
    <w:rsid w:val="5475EC2F"/>
    <w:rsid w:val="547687DB"/>
    <w:rsid w:val="5476D8C2"/>
    <w:rsid w:val="5477D45C"/>
    <w:rsid w:val="54783145"/>
    <w:rsid w:val="54789FBF"/>
    <w:rsid w:val="54792758"/>
    <w:rsid w:val="54796AD0"/>
    <w:rsid w:val="547C2316"/>
    <w:rsid w:val="547C4D76"/>
    <w:rsid w:val="547C8E33"/>
    <w:rsid w:val="547DDEE8"/>
    <w:rsid w:val="547E5F08"/>
    <w:rsid w:val="547EA276"/>
    <w:rsid w:val="547ED818"/>
    <w:rsid w:val="548019D0"/>
    <w:rsid w:val="54809183"/>
    <w:rsid w:val="54809FC3"/>
    <w:rsid w:val="54812CD6"/>
    <w:rsid w:val="5482E9BA"/>
    <w:rsid w:val="548395A2"/>
    <w:rsid w:val="54843BC8"/>
    <w:rsid w:val="548560B8"/>
    <w:rsid w:val="54856783"/>
    <w:rsid w:val="5486406C"/>
    <w:rsid w:val="54877C94"/>
    <w:rsid w:val="54887C64"/>
    <w:rsid w:val="54891114"/>
    <w:rsid w:val="5489DF2E"/>
    <w:rsid w:val="548A9627"/>
    <w:rsid w:val="548AAAC4"/>
    <w:rsid w:val="548B256C"/>
    <w:rsid w:val="548C190B"/>
    <w:rsid w:val="548CA068"/>
    <w:rsid w:val="548EFDBE"/>
    <w:rsid w:val="5491E000"/>
    <w:rsid w:val="5491E248"/>
    <w:rsid w:val="5492AFCE"/>
    <w:rsid w:val="54933E92"/>
    <w:rsid w:val="5494857F"/>
    <w:rsid w:val="54949893"/>
    <w:rsid w:val="54961BEF"/>
    <w:rsid w:val="54964BB7"/>
    <w:rsid w:val="5496511E"/>
    <w:rsid w:val="5497FEC4"/>
    <w:rsid w:val="549857A8"/>
    <w:rsid w:val="5498638E"/>
    <w:rsid w:val="54987FF0"/>
    <w:rsid w:val="54997591"/>
    <w:rsid w:val="5499DCD3"/>
    <w:rsid w:val="549B9531"/>
    <w:rsid w:val="549D1878"/>
    <w:rsid w:val="549E5514"/>
    <w:rsid w:val="549E85DF"/>
    <w:rsid w:val="549F0050"/>
    <w:rsid w:val="549F65AE"/>
    <w:rsid w:val="54A077AA"/>
    <w:rsid w:val="54A247F7"/>
    <w:rsid w:val="54A3866D"/>
    <w:rsid w:val="54A47080"/>
    <w:rsid w:val="54A4F973"/>
    <w:rsid w:val="54A56E52"/>
    <w:rsid w:val="54A57F55"/>
    <w:rsid w:val="54A68EA6"/>
    <w:rsid w:val="54A8807F"/>
    <w:rsid w:val="54A90B54"/>
    <w:rsid w:val="54AA904C"/>
    <w:rsid w:val="54AABF58"/>
    <w:rsid w:val="54AB04C6"/>
    <w:rsid w:val="54AB5136"/>
    <w:rsid w:val="54ABE1E0"/>
    <w:rsid w:val="54AC592C"/>
    <w:rsid w:val="54AE2BFE"/>
    <w:rsid w:val="54AE6D17"/>
    <w:rsid w:val="54AEC5AA"/>
    <w:rsid w:val="54AEE143"/>
    <w:rsid w:val="54AEFE28"/>
    <w:rsid w:val="54AF4FB4"/>
    <w:rsid w:val="54AF7E63"/>
    <w:rsid w:val="54B03783"/>
    <w:rsid w:val="54B0C93C"/>
    <w:rsid w:val="54B1189B"/>
    <w:rsid w:val="54B1AC48"/>
    <w:rsid w:val="54B20B64"/>
    <w:rsid w:val="54B341F4"/>
    <w:rsid w:val="54B4ABC0"/>
    <w:rsid w:val="54B528B0"/>
    <w:rsid w:val="54B52EDF"/>
    <w:rsid w:val="54B5852C"/>
    <w:rsid w:val="54B5A592"/>
    <w:rsid w:val="54B5A999"/>
    <w:rsid w:val="54B5FBAA"/>
    <w:rsid w:val="54B6E327"/>
    <w:rsid w:val="54B77742"/>
    <w:rsid w:val="54B780FD"/>
    <w:rsid w:val="54B7AA50"/>
    <w:rsid w:val="54B83F17"/>
    <w:rsid w:val="54B89203"/>
    <w:rsid w:val="54B8C2D3"/>
    <w:rsid w:val="54B9C45A"/>
    <w:rsid w:val="54BA510B"/>
    <w:rsid w:val="54BA7F61"/>
    <w:rsid w:val="54BA8AF6"/>
    <w:rsid w:val="54BA8F9A"/>
    <w:rsid w:val="54BD7A16"/>
    <w:rsid w:val="54BE12E4"/>
    <w:rsid w:val="54BEC4FD"/>
    <w:rsid w:val="54BF1E08"/>
    <w:rsid w:val="54BF39E9"/>
    <w:rsid w:val="54C079A2"/>
    <w:rsid w:val="54C08A42"/>
    <w:rsid w:val="54C12C2E"/>
    <w:rsid w:val="54C12E63"/>
    <w:rsid w:val="54C24550"/>
    <w:rsid w:val="54C30F57"/>
    <w:rsid w:val="54C335F4"/>
    <w:rsid w:val="54C3E4F5"/>
    <w:rsid w:val="54C4835F"/>
    <w:rsid w:val="54C4990D"/>
    <w:rsid w:val="54C4D8C8"/>
    <w:rsid w:val="54C50F44"/>
    <w:rsid w:val="54C5316A"/>
    <w:rsid w:val="54C5922F"/>
    <w:rsid w:val="54C65F0C"/>
    <w:rsid w:val="54C70B5E"/>
    <w:rsid w:val="54C75B4A"/>
    <w:rsid w:val="54C7A67F"/>
    <w:rsid w:val="54CA52F9"/>
    <w:rsid w:val="54CA5465"/>
    <w:rsid w:val="54CACE7D"/>
    <w:rsid w:val="54CAD3EE"/>
    <w:rsid w:val="54CB273E"/>
    <w:rsid w:val="54CB9C1B"/>
    <w:rsid w:val="54CBE3A9"/>
    <w:rsid w:val="54CC23C4"/>
    <w:rsid w:val="54CD58D7"/>
    <w:rsid w:val="54CF0A40"/>
    <w:rsid w:val="54CF1CD2"/>
    <w:rsid w:val="54CFD3F2"/>
    <w:rsid w:val="54D1A80C"/>
    <w:rsid w:val="54D1F378"/>
    <w:rsid w:val="54D22BA7"/>
    <w:rsid w:val="54D362F3"/>
    <w:rsid w:val="54D3B318"/>
    <w:rsid w:val="54D3EA39"/>
    <w:rsid w:val="54D44B06"/>
    <w:rsid w:val="54D48ECB"/>
    <w:rsid w:val="54D4CF7D"/>
    <w:rsid w:val="54D4D6DF"/>
    <w:rsid w:val="54D50852"/>
    <w:rsid w:val="54D5AE97"/>
    <w:rsid w:val="54D747BD"/>
    <w:rsid w:val="54D7A469"/>
    <w:rsid w:val="54D9236A"/>
    <w:rsid w:val="54DA8FEF"/>
    <w:rsid w:val="54DB0F7B"/>
    <w:rsid w:val="54DB26AF"/>
    <w:rsid w:val="54DB77D8"/>
    <w:rsid w:val="54DC1D72"/>
    <w:rsid w:val="54DC30DE"/>
    <w:rsid w:val="54DC7451"/>
    <w:rsid w:val="54DC7FE6"/>
    <w:rsid w:val="54DE83D2"/>
    <w:rsid w:val="54DE984D"/>
    <w:rsid w:val="54DF079A"/>
    <w:rsid w:val="54DFDD8E"/>
    <w:rsid w:val="54E02FDF"/>
    <w:rsid w:val="54E0E10D"/>
    <w:rsid w:val="54E38628"/>
    <w:rsid w:val="54E4CC2C"/>
    <w:rsid w:val="54E523D0"/>
    <w:rsid w:val="54E54E0A"/>
    <w:rsid w:val="54E56CC0"/>
    <w:rsid w:val="54E6B110"/>
    <w:rsid w:val="54E7A80D"/>
    <w:rsid w:val="54E7E2D9"/>
    <w:rsid w:val="54E8942E"/>
    <w:rsid w:val="54E918EC"/>
    <w:rsid w:val="54E92D03"/>
    <w:rsid w:val="54E94C16"/>
    <w:rsid w:val="54EA1214"/>
    <w:rsid w:val="54EA444B"/>
    <w:rsid w:val="54EA6667"/>
    <w:rsid w:val="54EB092C"/>
    <w:rsid w:val="54EB53CC"/>
    <w:rsid w:val="54EB59F6"/>
    <w:rsid w:val="54EBA343"/>
    <w:rsid w:val="54EBEB1F"/>
    <w:rsid w:val="54ED3A87"/>
    <w:rsid w:val="54ED3F5A"/>
    <w:rsid w:val="54EDFA14"/>
    <w:rsid w:val="54EE0543"/>
    <w:rsid w:val="54EE3920"/>
    <w:rsid w:val="54EE568F"/>
    <w:rsid w:val="54EE80F6"/>
    <w:rsid w:val="54EEB5B9"/>
    <w:rsid w:val="54F016BC"/>
    <w:rsid w:val="54F045C7"/>
    <w:rsid w:val="54F10985"/>
    <w:rsid w:val="54F22295"/>
    <w:rsid w:val="54F2448E"/>
    <w:rsid w:val="54F245FA"/>
    <w:rsid w:val="54F2A88B"/>
    <w:rsid w:val="54F38917"/>
    <w:rsid w:val="54F5E52E"/>
    <w:rsid w:val="54F637D8"/>
    <w:rsid w:val="54F6DD7A"/>
    <w:rsid w:val="54F77A32"/>
    <w:rsid w:val="54F7D077"/>
    <w:rsid w:val="54F929BF"/>
    <w:rsid w:val="54FA19AA"/>
    <w:rsid w:val="54FA6B26"/>
    <w:rsid w:val="54FC2EAE"/>
    <w:rsid w:val="54FC549D"/>
    <w:rsid w:val="54FC9672"/>
    <w:rsid w:val="54FD0C38"/>
    <w:rsid w:val="54FDC206"/>
    <w:rsid w:val="54FDC7AE"/>
    <w:rsid w:val="54FE7E23"/>
    <w:rsid w:val="54FF807C"/>
    <w:rsid w:val="55008F27"/>
    <w:rsid w:val="5500B772"/>
    <w:rsid w:val="550131CC"/>
    <w:rsid w:val="55028A39"/>
    <w:rsid w:val="55037096"/>
    <w:rsid w:val="55039194"/>
    <w:rsid w:val="5503D807"/>
    <w:rsid w:val="55042615"/>
    <w:rsid w:val="55046903"/>
    <w:rsid w:val="5504B17A"/>
    <w:rsid w:val="5505036D"/>
    <w:rsid w:val="55057E5B"/>
    <w:rsid w:val="5506BB18"/>
    <w:rsid w:val="5506CCB7"/>
    <w:rsid w:val="55080290"/>
    <w:rsid w:val="550B0695"/>
    <w:rsid w:val="550BBB50"/>
    <w:rsid w:val="550BD980"/>
    <w:rsid w:val="550CDC20"/>
    <w:rsid w:val="550D3975"/>
    <w:rsid w:val="550DB2F6"/>
    <w:rsid w:val="550DC655"/>
    <w:rsid w:val="550E3BE1"/>
    <w:rsid w:val="550E838F"/>
    <w:rsid w:val="550EFE5E"/>
    <w:rsid w:val="550F946B"/>
    <w:rsid w:val="551032C0"/>
    <w:rsid w:val="55104DB6"/>
    <w:rsid w:val="5510677D"/>
    <w:rsid w:val="551180C2"/>
    <w:rsid w:val="5511AFAD"/>
    <w:rsid w:val="5513E9F8"/>
    <w:rsid w:val="5513F289"/>
    <w:rsid w:val="55142745"/>
    <w:rsid w:val="55155F54"/>
    <w:rsid w:val="55162CC3"/>
    <w:rsid w:val="551692B5"/>
    <w:rsid w:val="55173BEB"/>
    <w:rsid w:val="55177530"/>
    <w:rsid w:val="55199B68"/>
    <w:rsid w:val="551AEE7D"/>
    <w:rsid w:val="551B9D1B"/>
    <w:rsid w:val="551C4F5B"/>
    <w:rsid w:val="551CBACF"/>
    <w:rsid w:val="551D1A2F"/>
    <w:rsid w:val="551DD694"/>
    <w:rsid w:val="551F59AD"/>
    <w:rsid w:val="551FB102"/>
    <w:rsid w:val="552162E3"/>
    <w:rsid w:val="5521B584"/>
    <w:rsid w:val="5522235C"/>
    <w:rsid w:val="55222454"/>
    <w:rsid w:val="5523C1FF"/>
    <w:rsid w:val="552484B8"/>
    <w:rsid w:val="5524A9CB"/>
    <w:rsid w:val="5525224F"/>
    <w:rsid w:val="55253E33"/>
    <w:rsid w:val="5526DAEF"/>
    <w:rsid w:val="5528BBE9"/>
    <w:rsid w:val="5529A877"/>
    <w:rsid w:val="552A573D"/>
    <w:rsid w:val="552AE11B"/>
    <w:rsid w:val="552B3EF5"/>
    <w:rsid w:val="552BC9DE"/>
    <w:rsid w:val="552D8444"/>
    <w:rsid w:val="552DA1CE"/>
    <w:rsid w:val="552DE010"/>
    <w:rsid w:val="552E34EC"/>
    <w:rsid w:val="552E5229"/>
    <w:rsid w:val="552E9393"/>
    <w:rsid w:val="552EECCE"/>
    <w:rsid w:val="552F1D40"/>
    <w:rsid w:val="552F5430"/>
    <w:rsid w:val="552FB1E0"/>
    <w:rsid w:val="552FFC12"/>
    <w:rsid w:val="55305609"/>
    <w:rsid w:val="5530AB0F"/>
    <w:rsid w:val="5530CA4A"/>
    <w:rsid w:val="55312E99"/>
    <w:rsid w:val="5531393B"/>
    <w:rsid w:val="55316006"/>
    <w:rsid w:val="55324B4E"/>
    <w:rsid w:val="55328414"/>
    <w:rsid w:val="55341109"/>
    <w:rsid w:val="55343198"/>
    <w:rsid w:val="553466C5"/>
    <w:rsid w:val="5535D1BA"/>
    <w:rsid w:val="5535E4D2"/>
    <w:rsid w:val="5536807D"/>
    <w:rsid w:val="5536FB86"/>
    <w:rsid w:val="55376442"/>
    <w:rsid w:val="55381A67"/>
    <w:rsid w:val="55384F9C"/>
    <w:rsid w:val="55387415"/>
    <w:rsid w:val="5538A95A"/>
    <w:rsid w:val="5538BA9A"/>
    <w:rsid w:val="5538D69B"/>
    <w:rsid w:val="553928B1"/>
    <w:rsid w:val="55396EB8"/>
    <w:rsid w:val="553B36E2"/>
    <w:rsid w:val="553C0D7A"/>
    <w:rsid w:val="553C4155"/>
    <w:rsid w:val="553C86D8"/>
    <w:rsid w:val="553CB5DD"/>
    <w:rsid w:val="553D9A15"/>
    <w:rsid w:val="553D9A56"/>
    <w:rsid w:val="553DD6EC"/>
    <w:rsid w:val="553DFDFE"/>
    <w:rsid w:val="553E7700"/>
    <w:rsid w:val="553F337C"/>
    <w:rsid w:val="55411D05"/>
    <w:rsid w:val="554201AF"/>
    <w:rsid w:val="55426506"/>
    <w:rsid w:val="5542D1C3"/>
    <w:rsid w:val="5542D713"/>
    <w:rsid w:val="5542DCDE"/>
    <w:rsid w:val="5543A019"/>
    <w:rsid w:val="5543ED35"/>
    <w:rsid w:val="554480B9"/>
    <w:rsid w:val="5544A3A6"/>
    <w:rsid w:val="5544B33D"/>
    <w:rsid w:val="55457D97"/>
    <w:rsid w:val="5546BC1C"/>
    <w:rsid w:val="55472E56"/>
    <w:rsid w:val="5548859D"/>
    <w:rsid w:val="554A501E"/>
    <w:rsid w:val="554B84A8"/>
    <w:rsid w:val="554DBD1F"/>
    <w:rsid w:val="554F5FDA"/>
    <w:rsid w:val="55526C56"/>
    <w:rsid w:val="5553CBF8"/>
    <w:rsid w:val="5553FB46"/>
    <w:rsid w:val="5553FF6B"/>
    <w:rsid w:val="555464B5"/>
    <w:rsid w:val="55553E9F"/>
    <w:rsid w:val="5555999C"/>
    <w:rsid w:val="5555CD57"/>
    <w:rsid w:val="5556DB0F"/>
    <w:rsid w:val="55588FA2"/>
    <w:rsid w:val="5558995B"/>
    <w:rsid w:val="55595B17"/>
    <w:rsid w:val="555A26BD"/>
    <w:rsid w:val="555A75F1"/>
    <w:rsid w:val="555B5D7D"/>
    <w:rsid w:val="555BAACE"/>
    <w:rsid w:val="555BB8C1"/>
    <w:rsid w:val="555C5662"/>
    <w:rsid w:val="555CD070"/>
    <w:rsid w:val="555D31E5"/>
    <w:rsid w:val="555D581A"/>
    <w:rsid w:val="555D6D65"/>
    <w:rsid w:val="555D7F73"/>
    <w:rsid w:val="555D9DBF"/>
    <w:rsid w:val="555F4B42"/>
    <w:rsid w:val="555FFD52"/>
    <w:rsid w:val="556026D3"/>
    <w:rsid w:val="55603733"/>
    <w:rsid w:val="55639F46"/>
    <w:rsid w:val="556412B0"/>
    <w:rsid w:val="5565265D"/>
    <w:rsid w:val="5565EEB1"/>
    <w:rsid w:val="55666794"/>
    <w:rsid w:val="5566843A"/>
    <w:rsid w:val="556698CC"/>
    <w:rsid w:val="55687522"/>
    <w:rsid w:val="556D1CC7"/>
    <w:rsid w:val="556D5E13"/>
    <w:rsid w:val="556D9FC5"/>
    <w:rsid w:val="556E96E6"/>
    <w:rsid w:val="556EA7B3"/>
    <w:rsid w:val="556F9013"/>
    <w:rsid w:val="5570B7CD"/>
    <w:rsid w:val="55711218"/>
    <w:rsid w:val="55718E50"/>
    <w:rsid w:val="5571FCF3"/>
    <w:rsid w:val="5573935E"/>
    <w:rsid w:val="557470E9"/>
    <w:rsid w:val="5575899B"/>
    <w:rsid w:val="5575C637"/>
    <w:rsid w:val="557632C4"/>
    <w:rsid w:val="5576FFDB"/>
    <w:rsid w:val="55779AD2"/>
    <w:rsid w:val="5577D2EF"/>
    <w:rsid w:val="55787377"/>
    <w:rsid w:val="557B256F"/>
    <w:rsid w:val="557B3FF5"/>
    <w:rsid w:val="557B9537"/>
    <w:rsid w:val="557C966B"/>
    <w:rsid w:val="557CB17D"/>
    <w:rsid w:val="557D212E"/>
    <w:rsid w:val="557E8BCA"/>
    <w:rsid w:val="557F21D2"/>
    <w:rsid w:val="557F26C2"/>
    <w:rsid w:val="557F35D2"/>
    <w:rsid w:val="557FBD4F"/>
    <w:rsid w:val="5580DF35"/>
    <w:rsid w:val="5580DFC9"/>
    <w:rsid w:val="55815E59"/>
    <w:rsid w:val="5582A634"/>
    <w:rsid w:val="558351AD"/>
    <w:rsid w:val="55838337"/>
    <w:rsid w:val="55845F71"/>
    <w:rsid w:val="5585F28D"/>
    <w:rsid w:val="5586BC0D"/>
    <w:rsid w:val="558715E7"/>
    <w:rsid w:val="5587C02D"/>
    <w:rsid w:val="5587D0C6"/>
    <w:rsid w:val="55880DD7"/>
    <w:rsid w:val="55881183"/>
    <w:rsid w:val="55887BC2"/>
    <w:rsid w:val="5588C99D"/>
    <w:rsid w:val="5588E2F3"/>
    <w:rsid w:val="5589CDF7"/>
    <w:rsid w:val="558A372C"/>
    <w:rsid w:val="558A42F6"/>
    <w:rsid w:val="558B58EB"/>
    <w:rsid w:val="558C5A34"/>
    <w:rsid w:val="558CA0CE"/>
    <w:rsid w:val="558CB694"/>
    <w:rsid w:val="558D4E20"/>
    <w:rsid w:val="558D6378"/>
    <w:rsid w:val="558DAEAB"/>
    <w:rsid w:val="558E6AF3"/>
    <w:rsid w:val="558F114A"/>
    <w:rsid w:val="558F2B9E"/>
    <w:rsid w:val="5592153A"/>
    <w:rsid w:val="55921DD6"/>
    <w:rsid w:val="55939923"/>
    <w:rsid w:val="5593FD8A"/>
    <w:rsid w:val="5594E780"/>
    <w:rsid w:val="5594F215"/>
    <w:rsid w:val="559655E5"/>
    <w:rsid w:val="5596DDD6"/>
    <w:rsid w:val="55973ADB"/>
    <w:rsid w:val="55974679"/>
    <w:rsid w:val="5597D3AA"/>
    <w:rsid w:val="55982506"/>
    <w:rsid w:val="55985766"/>
    <w:rsid w:val="55998F73"/>
    <w:rsid w:val="5599BED7"/>
    <w:rsid w:val="559A1998"/>
    <w:rsid w:val="559A2B61"/>
    <w:rsid w:val="559AEEEB"/>
    <w:rsid w:val="559BA67B"/>
    <w:rsid w:val="559D5836"/>
    <w:rsid w:val="559DFDD3"/>
    <w:rsid w:val="559F9981"/>
    <w:rsid w:val="559FADCD"/>
    <w:rsid w:val="55A03B8F"/>
    <w:rsid w:val="55A04D9C"/>
    <w:rsid w:val="55A061BB"/>
    <w:rsid w:val="55A0D301"/>
    <w:rsid w:val="55A2E23D"/>
    <w:rsid w:val="55A4613C"/>
    <w:rsid w:val="55A52F21"/>
    <w:rsid w:val="55A5F3DD"/>
    <w:rsid w:val="55A61C2E"/>
    <w:rsid w:val="55A79922"/>
    <w:rsid w:val="55A7A418"/>
    <w:rsid w:val="55A7CBF3"/>
    <w:rsid w:val="55A8E8BD"/>
    <w:rsid w:val="55A93618"/>
    <w:rsid w:val="55A95AAE"/>
    <w:rsid w:val="55AA2BEF"/>
    <w:rsid w:val="55AAF0A9"/>
    <w:rsid w:val="55AB1910"/>
    <w:rsid w:val="55AB755B"/>
    <w:rsid w:val="55ABB0B6"/>
    <w:rsid w:val="55AC1E62"/>
    <w:rsid w:val="55ACCE06"/>
    <w:rsid w:val="55AE2363"/>
    <w:rsid w:val="55AE2367"/>
    <w:rsid w:val="55AEFD39"/>
    <w:rsid w:val="55AF124E"/>
    <w:rsid w:val="55B0A961"/>
    <w:rsid w:val="55B13C00"/>
    <w:rsid w:val="55B17DD1"/>
    <w:rsid w:val="55B20359"/>
    <w:rsid w:val="55B22097"/>
    <w:rsid w:val="55B3CAC0"/>
    <w:rsid w:val="55B43F39"/>
    <w:rsid w:val="55B698FB"/>
    <w:rsid w:val="55B6BE04"/>
    <w:rsid w:val="55B6C7E4"/>
    <w:rsid w:val="55B724C8"/>
    <w:rsid w:val="55B73F8C"/>
    <w:rsid w:val="55B7B9F8"/>
    <w:rsid w:val="55B82426"/>
    <w:rsid w:val="55B88EFE"/>
    <w:rsid w:val="55B8CB0F"/>
    <w:rsid w:val="55BA5DC1"/>
    <w:rsid w:val="55BACB05"/>
    <w:rsid w:val="55BC7ED2"/>
    <w:rsid w:val="55BD04F5"/>
    <w:rsid w:val="55BD4DE3"/>
    <w:rsid w:val="55BDDDA7"/>
    <w:rsid w:val="55BE72B2"/>
    <w:rsid w:val="55BF6A7C"/>
    <w:rsid w:val="55C1D039"/>
    <w:rsid w:val="55C21098"/>
    <w:rsid w:val="55C25B2C"/>
    <w:rsid w:val="55C3263C"/>
    <w:rsid w:val="55C3978B"/>
    <w:rsid w:val="55C3BA3C"/>
    <w:rsid w:val="55C44EA6"/>
    <w:rsid w:val="55C53638"/>
    <w:rsid w:val="55C541FD"/>
    <w:rsid w:val="55C5ACA9"/>
    <w:rsid w:val="55C6C3F4"/>
    <w:rsid w:val="55C6DAF9"/>
    <w:rsid w:val="55C7CCA4"/>
    <w:rsid w:val="55C8D576"/>
    <w:rsid w:val="55C91A44"/>
    <w:rsid w:val="55CA3B1B"/>
    <w:rsid w:val="55CACBED"/>
    <w:rsid w:val="55CB70AD"/>
    <w:rsid w:val="55CC00AC"/>
    <w:rsid w:val="55CC77D3"/>
    <w:rsid w:val="55CC954A"/>
    <w:rsid w:val="55CE5D70"/>
    <w:rsid w:val="55CEA00B"/>
    <w:rsid w:val="55CEDC8A"/>
    <w:rsid w:val="55CEE139"/>
    <w:rsid w:val="55CF58A7"/>
    <w:rsid w:val="55CFE670"/>
    <w:rsid w:val="55D0243E"/>
    <w:rsid w:val="55D146D8"/>
    <w:rsid w:val="55D1BD82"/>
    <w:rsid w:val="55D2FDF8"/>
    <w:rsid w:val="55D3545A"/>
    <w:rsid w:val="55D36AAE"/>
    <w:rsid w:val="55D3B92E"/>
    <w:rsid w:val="55D47CB0"/>
    <w:rsid w:val="55D4B303"/>
    <w:rsid w:val="55D4F446"/>
    <w:rsid w:val="55D56A8C"/>
    <w:rsid w:val="55D5BB6C"/>
    <w:rsid w:val="55D5C88A"/>
    <w:rsid w:val="55D701B4"/>
    <w:rsid w:val="55D70A64"/>
    <w:rsid w:val="55D7C198"/>
    <w:rsid w:val="55D8673F"/>
    <w:rsid w:val="55D8A189"/>
    <w:rsid w:val="55D9B7BB"/>
    <w:rsid w:val="55DBBFAC"/>
    <w:rsid w:val="55DBDD12"/>
    <w:rsid w:val="55DC5040"/>
    <w:rsid w:val="55DD54FF"/>
    <w:rsid w:val="55DD7EB8"/>
    <w:rsid w:val="55DDD6DB"/>
    <w:rsid w:val="55DDD8AD"/>
    <w:rsid w:val="55DE2712"/>
    <w:rsid w:val="55DE67D7"/>
    <w:rsid w:val="55DE723D"/>
    <w:rsid w:val="55DFA5DD"/>
    <w:rsid w:val="55DFA9AA"/>
    <w:rsid w:val="55E0778A"/>
    <w:rsid w:val="55E08D9F"/>
    <w:rsid w:val="55E0A4BD"/>
    <w:rsid w:val="55E0DB91"/>
    <w:rsid w:val="55E18362"/>
    <w:rsid w:val="55E2D360"/>
    <w:rsid w:val="55E35652"/>
    <w:rsid w:val="55E3CDBD"/>
    <w:rsid w:val="55E440D0"/>
    <w:rsid w:val="55E6D4CA"/>
    <w:rsid w:val="55E79268"/>
    <w:rsid w:val="55E832B2"/>
    <w:rsid w:val="55E849F4"/>
    <w:rsid w:val="55EA37E3"/>
    <w:rsid w:val="55EAC719"/>
    <w:rsid w:val="55EB1653"/>
    <w:rsid w:val="55EB81EC"/>
    <w:rsid w:val="55EB989A"/>
    <w:rsid w:val="55EC3ED8"/>
    <w:rsid w:val="55EC8B95"/>
    <w:rsid w:val="55ECB539"/>
    <w:rsid w:val="55ECE927"/>
    <w:rsid w:val="55ED8181"/>
    <w:rsid w:val="55EE7720"/>
    <w:rsid w:val="55EEA442"/>
    <w:rsid w:val="55F0EF6B"/>
    <w:rsid w:val="55F121C4"/>
    <w:rsid w:val="55F18509"/>
    <w:rsid w:val="55F1BBB5"/>
    <w:rsid w:val="55F24B4A"/>
    <w:rsid w:val="55F265C2"/>
    <w:rsid w:val="55F36886"/>
    <w:rsid w:val="55F3ABCF"/>
    <w:rsid w:val="55F3BA39"/>
    <w:rsid w:val="55F4508A"/>
    <w:rsid w:val="55F45939"/>
    <w:rsid w:val="55F45B29"/>
    <w:rsid w:val="55F4699B"/>
    <w:rsid w:val="55F48398"/>
    <w:rsid w:val="55F4A946"/>
    <w:rsid w:val="55F4AB01"/>
    <w:rsid w:val="55F56DFF"/>
    <w:rsid w:val="55F5E96D"/>
    <w:rsid w:val="55F634F6"/>
    <w:rsid w:val="55F71DC8"/>
    <w:rsid w:val="55F74AB5"/>
    <w:rsid w:val="55F8260F"/>
    <w:rsid w:val="55FA4FB1"/>
    <w:rsid w:val="55FA6C6E"/>
    <w:rsid w:val="55FA9384"/>
    <w:rsid w:val="55FB3CDB"/>
    <w:rsid w:val="55FC10F3"/>
    <w:rsid w:val="55FC5D7B"/>
    <w:rsid w:val="55FC98B4"/>
    <w:rsid w:val="55FCD330"/>
    <w:rsid w:val="55FD3A04"/>
    <w:rsid w:val="55FD6017"/>
    <w:rsid w:val="55FDE241"/>
    <w:rsid w:val="55FE089D"/>
    <w:rsid w:val="55FF7DC3"/>
    <w:rsid w:val="56008D26"/>
    <w:rsid w:val="5600F309"/>
    <w:rsid w:val="560111DC"/>
    <w:rsid w:val="5601942B"/>
    <w:rsid w:val="5601D8B1"/>
    <w:rsid w:val="56025728"/>
    <w:rsid w:val="5602876E"/>
    <w:rsid w:val="56028DB8"/>
    <w:rsid w:val="56029FDD"/>
    <w:rsid w:val="5604046F"/>
    <w:rsid w:val="5604067C"/>
    <w:rsid w:val="56041233"/>
    <w:rsid w:val="56042C6F"/>
    <w:rsid w:val="56052B2F"/>
    <w:rsid w:val="56066996"/>
    <w:rsid w:val="560684A3"/>
    <w:rsid w:val="56068B27"/>
    <w:rsid w:val="5607EFB5"/>
    <w:rsid w:val="560852D5"/>
    <w:rsid w:val="56091A1E"/>
    <w:rsid w:val="56092105"/>
    <w:rsid w:val="56095B81"/>
    <w:rsid w:val="560A1CE2"/>
    <w:rsid w:val="560AE58F"/>
    <w:rsid w:val="560AF156"/>
    <w:rsid w:val="560AF2BF"/>
    <w:rsid w:val="560C0135"/>
    <w:rsid w:val="560C7A3C"/>
    <w:rsid w:val="560D0F3E"/>
    <w:rsid w:val="560D4DF5"/>
    <w:rsid w:val="560D79F9"/>
    <w:rsid w:val="560E079C"/>
    <w:rsid w:val="560F21E4"/>
    <w:rsid w:val="560F4512"/>
    <w:rsid w:val="560FF2BE"/>
    <w:rsid w:val="56106A9B"/>
    <w:rsid w:val="5610C242"/>
    <w:rsid w:val="561100F7"/>
    <w:rsid w:val="561144A4"/>
    <w:rsid w:val="561301CE"/>
    <w:rsid w:val="5613E183"/>
    <w:rsid w:val="5615816E"/>
    <w:rsid w:val="5616A629"/>
    <w:rsid w:val="56171A53"/>
    <w:rsid w:val="56178CCB"/>
    <w:rsid w:val="5617FA21"/>
    <w:rsid w:val="561968B2"/>
    <w:rsid w:val="561A7BBE"/>
    <w:rsid w:val="561B391B"/>
    <w:rsid w:val="561B438D"/>
    <w:rsid w:val="561B51A2"/>
    <w:rsid w:val="561C984B"/>
    <w:rsid w:val="561CE21F"/>
    <w:rsid w:val="561CFF21"/>
    <w:rsid w:val="561D70EF"/>
    <w:rsid w:val="561E5E7C"/>
    <w:rsid w:val="561E9232"/>
    <w:rsid w:val="561F9984"/>
    <w:rsid w:val="5620A789"/>
    <w:rsid w:val="5620AEB2"/>
    <w:rsid w:val="5620E71F"/>
    <w:rsid w:val="56210C17"/>
    <w:rsid w:val="562172A7"/>
    <w:rsid w:val="562309BB"/>
    <w:rsid w:val="562476CD"/>
    <w:rsid w:val="56252C9C"/>
    <w:rsid w:val="5625AF8F"/>
    <w:rsid w:val="5625C69A"/>
    <w:rsid w:val="5625EA9F"/>
    <w:rsid w:val="56261BB2"/>
    <w:rsid w:val="56267101"/>
    <w:rsid w:val="5626BFBB"/>
    <w:rsid w:val="5626DE45"/>
    <w:rsid w:val="56281489"/>
    <w:rsid w:val="5629946B"/>
    <w:rsid w:val="562A2566"/>
    <w:rsid w:val="562A2F11"/>
    <w:rsid w:val="562A9ABB"/>
    <w:rsid w:val="562D28FC"/>
    <w:rsid w:val="562EDA8F"/>
    <w:rsid w:val="563072D6"/>
    <w:rsid w:val="5630C3EC"/>
    <w:rsid w:val="5632BCC7"/>
    <w:rsid w:val="5632DC30"/>
    <w:rsid w:val="5633B7FD"/>
    <w:rsid w:val="5633D74D"/>
    <w:rsid w:val="56348139"/>
    <w:rsid w:val="5634CCD6"/>
    <w:rsid w:val="56352D1A"/>
    <w:rsid w:val="56353219"/>
    <w:rsid w:val="56359089"/>
    <w:rsid w:val="56359610"/>
    <w:rsid w:val="56366821"/>
    <w:rsid w:val="56366BA8"/>
    <w:rsid w:val="56378EF8"/>
    <w:rsid w:val="5637956A"/>
    <w:rsid w:val="56382691"/>
    <w:rsid w:val="56389D0E"/>
    <w:rsid w:val="5638BE75"/>
    <w:rsid w:val="563AB58A"/>
    <w:rsid w:val="563B098D"/>
    <w:rsid w:val="563BB342"/>
    <w:rsid w:val="563CAE72"/>
    <w:rsid w:val="563D5B28"/>
    <w:rsid w:val="563DBB62"/>
    <w:rsid w:val="563E32AE"/>
    <w:rsid w:val="563EB817"/>
    <w:rsid w:val="563F9000"/>
    <w:rsid w:val="564039D5"/>
    <w:rsid w:val="5640FA27"/>
    <w:rsid w:val="5641E893"/>
    <w:rsid w:val="56423C38"/>
    <w:rsid w:val="56426F99"/>
    <w:rsid w:val="56428421"/>
    <w:rsid w:val="5644829A"/>
    <w:rsid w:val="56471201"/>
    <w:rsid w:val="56473CFF"/>
    <w:rsid w:val="56475643"/>
    <w:rsid w:val="5647CB58"/>
    <w:rsid w:val="5647FC84"/>
    <w:rsid w:val="56487636"/>
    <w:rsid w:val="5648BECC"/>
    <w:rsid w:val="56496072"/>
    <w:rsid w:val="564B09FC"/>
    <w:rsid w:val="564B6D1B"/>
    <w:rsid w:val="564B8245"/>
    <w:rsid w:val="564E162A"/>
    <w:rsid w:val="564E4351"/>
    <w:rsid w:val="564E829D"/>
    <w:rsid w:val="564EC4A6"/>
    <w:rsid w:val="564ECF50"/>
    <w:rsid w:val="564F4D7B"/>
    <w:rsid w:val="564F5586"/>
    <w:rsid w:val="56501749"/>
    <w:rsid w:val="56506DF2"/>
    <w:rsid w:val="5650A934"/>
    <w:rsid w:val="5650AC14"/>
    <w:rsid w:val="5650CD73"/>
    <w:rsid w:val="5650F955"/>
    <w:rsid w:val="5651C498"/>
    <w:rsid w:val="5652BF79"/>
    <w:rsid w:val="5653670E"/>
    <w:rsid w:val="5653A97F"/>
    <w:rsid w:val="56544355"/>
    <w:rsid w:val="565452E2"/>
    <w:rsid w:val="56554643"/>
    <w:rsid w:val="5655A3D3"/>
    <w:rsid w:val="565613DF"/>
    <w:rsid w:val="56564C4F"/>
    <w:rsid w:val="5656DDC4"/>
    <w:rsid w:val="5656E6F1"/>
    <w:rsid w:val="56576E09"/>
    <w:rsid w:val="56583484"/>
    <w:rsid w:val="5658AA1F"/>
    <w:rsid w:val="56593C54"/>
    <w:rsid w:val="56595BAB"/>
    <w:rsid w:val="565993AB"/>
    <w:rsid w:val="565A27B7"/>
    <w:rsid w:val="565AA223"/>
    <w:rsid w:val="565B0778"/>
    <w:rsid w:val="565C3E1F"/>
    <w:rsid w:val="565CC1E0"/>
    <w:rsid w:val="565CF539"/>
    <w:rsid w:val="565D0AAA"/>
    <w:rsid w:val="565D6AF1"/>
    <w:rsid w:val="565DC214"/>
    <w:rsid w:val="565DD656"/>
    <w:rsid w:val="5660749A"/>
    <w:rsid w:val="5661177C"/>
    <w:rsid w:val="5662454F"/>
    <w:rsid w:val="566343A3"/>
    <w:rsid w:val="5663A3FA"/>
    <w:rsid w:val="5663AE9C"/>
    <w:rsid w:val="5664145E"/>
    <w:rsid w:val="56644726"/>
    <w:rsid w:val="5664D76A"/>
    <w:rsid w:val="56657E62"/>
    <w:rsid w:val="56659825"/>
    <w:rsid w:val="56660ABB"/>
    <w:rsid w:val="56663393"/>
    <w:rsid w:val="5667B0A2"/>
    <w:rsid w:val="5667DBA7"/>
    <w:rsid w:val="56684EB1"/>
    <w:rsid w:val="5668A01E"/>
    <w:rsid w:val="566911D6"/>
    <w:rsid w:val="5669268E"/>
    <w:rsid w:val="56692AFB"/>
    <w:rsid w:val="566941B2"/>
    <w:rsid w:val="566AC1B8"/>
    <w:rsid w:val="566AF0FF"/>
    <w:rsid w:val="566B375C"/>
    <w:rsid w:val="566B5001"/>
    <w:rsid w:val="566B7397"/>
    <w:rsid w:val="566C2E9E"/>
    <w:rsid w:val="566C4269"/>
    <w:rsid w:val="566C627A"/>
    <w:rsid w:val="566D035D"/>
    <w:rsid w:val="566D4200"/>
    <w:rsid w:val="566DDFAD"/>
    <w:rsid w:val="566F5263"/>
    <w:rsid w:val="56705096"/>
    <w:rsid w:val="56708946"/>
    <w:rsid w:val="5670C4C4"/>
    <w:rsid w:val="5670EF9B"/>
    <w:rsid w:val="5671D456"/>
    <w:rsid w:val="5672FD2F"/>
    <w:rsid w:val="56739EBF"/>
    <w:rsid w:val="5673AC03"/>
    <w:rsid w:val="56748013"/>
    <w:rsid w:val="567482EA"/>
    <w:rsid w:val="56748FFC"/>
    <w:rsid w:val="5675EDB5"/>
    <w:rsid w:val="5676E044"/>
    <w:rsid w:val="56774C6B"/>
    <w:rsid w:val="567822C9"/>
    <w:rsid w:val="56782393"/>
    <w:rsid w:val="567A1EDF"/>
    <w:rsid w:val="567B9EAD"/>
    <w:rsid w:val="567C47CC"/>
    <w:rsid w:val="567C52E5"/>
    <w:rsid w:val="567CA9D2"/>
    <w:rsid w:val="567CCF0A"/>
    <w:rsid w:val="567CE475"/>
    <w:rsid w:val="567D2BD1"/>
    <w:rsid w:val="567D8B05"/>
    <w:rsid w:val="567ED765"/>
    <w:rsid w:val="5680652F"/>
    <w:rsid w:val="5680E7F5"/>
    <w:rsid w:val="56817C9A"/>
    <w:rsid w:val="5681F8D8"/>
    <w:rsid w:val="56823E5C"/>
    <w:rsid w:val="5683F7BF"/>
    <w:rsid w:val="568428A2"/>
    <w:rsid w:val="56846A86"/>
    <w:rsid w:val="56864F4C"/>
    <w:rsid w:val="56868DC7"/>
    <w:rsid w:val="5688502C"/>
    <w:rsid w:val="5688607D"/>
    <w:rsid w:val="568909EB"/>
    <w:rsid w:val="56897E80"/>
    <w:rsid w:val="5689A940"/>
    <w:rsid w:val="5689D55B"/>
    <w:rsid w:val="568A6EFC"/>
    <w:rsid w:val="568B722C"/>
    <w:rsid w:val="568BC999"/>
    <w:rsid w:val="568C9623"/>
    <w:rsid w:val="568DB32C"/>
    <w:rsid w:val="568E1F52"/>
    <w:rsid w:val="568E20BE"/>
    <w:rsid w:val="5690A864"/>
    <w:rsid w:val="569131AF"/>
    <w:rsid w:val="56917730"/>
    <w:rsid w:val="56917BE8"/>
    <w:rsid w:val="56921526"/>
    <w:rsid w:val="56927A56"/>
    <w:rsid w:val="56932109"/>
    <w:rsid w:val="5694A095"/>
    <w:rsid w:val="56951930"/>
    <w:rsid w:val="5695209B"/>
    <w:rsid w:val="5695899F"/>
    <w:rsid w:val="5695B91B"/>
    <w:rsid w:val="569869FD"/>
    <w:rsid w:val="5698A9F1"/>
    <w:rsid w:val="5698AF17"/>
    <w:rsid w:val="569997DB"/>
    <w:rsid w:val="56999EE4"/>
    <w:rsid w:val="5699E00C"/>
    <w:rsid w:val="569A3429"/>
    <w:rsid w:val="569B60BC"/>
    <w:rsid w:val="569BA99C"/>
    <w:rsid w:val="569BDF34"/>
    <w:rsid w:val="569C176D"/>
    <w:rsid w:val="569D86DF"/>
    <w:rsid w:val="569E8E18"/>
    <w:rsid w:val="569F14A5"/>
    <w:rsid w:val="569FA796"/>
    <w:rsid w:val="569FE8CA"/>
    <w:rsid w:val="56A0E322"/>
    <w:rsid w:val="56A24864"/>
    <w:rsid w:val="56A2709F"/>
    <w:rsid w:val="56A2CB91"/>
    <w:rsid w:val="56A3185F"/>
    <w:rsid w:val="56A320CE"/>
    <w:rsid w:val="56A3A180"/>
    <w:rsid w:val="56A45DB7"/>
    <w:rsid w:val="56A47624"/>
    <w:rsid w:val="56A4C3B3"/>
    <w:rsid w:val="56A55C8D"/>
    <w:rsid w:val="56A57FFC"/>
    <w:rsid w:val="56A5A742"/>
    <w:rsid w:val="56A6B233"/>
    <w:rsid w:val="56A7ED50"/>
    <w:rsid w:val="56A88CA5"/>
    <w:rsid w:val="56A8C513"/>
    <w:rsid w:val="56A96413"/>
    <w:rsid w:val="56A998A8"/>
    <w:rsid w:val="56A9FB92"/>
    <w:rsid w:val="56AA46C6"/>
    <w:rsid w:val="56AA62A2"/>
    <w:rsid w:val="56AABC2D"/>
    <w:rsid w:val="56AC1E3D"/>
    <w:rsid w:val="56AC37DE"/>
    <w:rsid w:val="56AC9CA9"/>
    <w:rsid w:val="56ACE2C8"/>
    <w:rsid w:val="56AD295E"/>
    <w:rsid w:val="56AD8662"/>
    <w:rsid w:val="56ADEF3A"/>
    <w:rsid w:val="56AEAB60"/>
    <w:rsid w:val="56AEAE18"/>
    <w:rsid w:val="56AF12A0"/>
    <w:rsid w:val="56AF6565"/>
    <w:rsid w:val="56B0BA8A"/>
    <w:rsid w:val="56B17717"/>
    <w:rsid w:val="56B273F3"/>
    <w:rsid w:val="56B2DCD5"/>
    <w:rsid w:val="56B431C8"/>
    <w:rsid w:val="56B47089"/>
    <w:rsid w:val="56B4AD20"/>
    <w:rsid w:val="56B5551F"/>
    <w:rsid w:val="56B62DBF"/>
    <w:rsid w:val="56B6C104"/>
    <w:rsid w:val="56B70E0C"/>
    <w:rsid w:val="56B8BDA2"/>
    <w:rsid w:val="56B9432E"/>
    <w:rsid w:val="56B960F0"/>
    <w:rsid w:val="56BC08FD"/>
    <w:rsid w:val="56BC5208"/>
    <w:rsid w:val="56BCB25E"/>
    <w:rsid w:val="56BCF4AD"/>
    <w:rsid w:val="56BD5AE6"/>
    <w:rsid w:val="56BD5B4E"/>
    <w:rsid w:val="56BD732D"/>
    <w:rsid w:val="56BDF9D2"/>
    <w:rsid w:val="56BE35BE"/>
    <w:rsid w:val="56BE641D"/>
    <w:rsid w:val="56BF4D59"/>
    <w:rsid w:val="56BFFBD0"/>
    <w:rsid w:val="56C0AF96"/>
    <w:rsid w:val="56C154D0"/>
    <w:rsid w:val="56C1C757"/>
    <w:rsid w:val="56C1C7CF"/>
    <w:rsid w:val="56C24F24"/>
    <w:rsid w:val="56C276ED"/>
    <w:rsid w:val="56C49288"/>
    <w:rsid w:val="56C53D9D"/>
    <w:rsid w:val="56C6D64A"/>
    <w:rsid w:val="56C7014B"/>
    <w:rsid w:val="56C8F483"/>
    <w:rsid w:val="56C93F4C"/>
    <w:rsid w:val="56CA26C4"/>
    <w:rsid w:val="56CB2BDC"/>
    <w:rsid w:val="56CB80B6"/>
    <w:rsid w:val="56CC47E4"/>
    <w:rsid w:val="56CD9947"/>
    <w:rsid w:val="56CE3D29"/>
    <w:rsid w:val="56CFD20B"/>
    <w:rsid w:val="56CFDA56"/>
    <w:rsid w:val="56D00405"/>
    <w:rsid w:val="56D11CB2"/>
    <w:rsid w:val="56D139F2"/>
    <w:rsid w:val="56D143AC"/>
    <w:rsid w:val="56D160DF"/>
    <w:rsid w:val="56D17EF7"/>
    <w:rsid w:val="56D192B8"/>
    <w:rsid w:val="56D290EC"/>
    <w:rsid w:val="56D300A4"/>
    <w:rsid w:val="56D30F5A"/>
    <w:rsid w:val="56D36A8A"/>
    <w:rsid w:val="56D395D0"/>
    <w:rsid w:val="56D3A749"/>
    <w:rsid w:val="56D53815"/>
    <w:rsid w:val="56D5A2A0"/>
    <w:rsid w:val="56D5CC0A"/>
    <w:rsid w:val="56D62245"/>
    <w:rsid w:val="56D62AAE"/>
    <w:rsid w:val="56D65CA2"/>
    <w:rsid w:val="56D7BD1D"/>
    <w:rsid w:val="56D84F21"/>
    <w:rsid w:val="56D86F4E"/>
    <w:rsid w:val="56D8970D"/>
    <w:rsid w:val="56D8BAC8"/>
    <w:rsid w:val="56D8F007"/>
    <w:rsid w:val="56D942AD"/>
    <w:rsid w:val="56D9D0E3"/>
    <w:rsid w:val="56D9FEA4"/>
    <w:rsid w:val="56DAAC75"/>
    <w:rsid w:val="56DB4B02"/>
    <w:rsid w:val="56DDDA4F"/>
    <w:rsid w:val="56DEA135"/>
    <w:rsid w:val="56DF31AE"/>
    <w:rsid w:val="56DFADA6"/>
    <w:rsid w:val="56E03A05"/>
    <w:rsid w:val="56E10815"/>
    <w:rsid w:val="56E12560"/>
    <w:rsid w:val="56E14D05"/>
    <w:rsid w:val="56E27E83"/>
    <w:rsid w:val="56E2C500"/>
    <w:rsid w:val="56E2DC58"/>
    <w:rsid w:val="56E36245"/>
    <w:rsid w:val="56E36ABD"/>
    <w:rsid w:val="56E371C8"/>
    <w:rsid w:val="56E7881D"/>
    <w:rsid w:val="56E7FD64"/>
    <w:rsid w:val="56E8458B"/>
    <w:rsid w:val="56E94C26"/>
    <w:rsid w:val="56E9FE3E"/>
    <w:rsid w:val="56EB5A7A"/>
    <w:rsid w:val="56EB7F9F"/>
    <w:rsid w:val="56EE5DAF"/>
    <w:rsid w:val="56EF22A3"/>
    <w:rsid w:val="56F0553E"/>
    <w:rsid w:val="56F0B3EC"/>
    <w:rsid w:val="56F2CFF8"/>
    <w:rsid w:val="56F32BDE"/>
    <w:rsid w:val="56F3A5DB"/>
    <w:rsid w:val="56F421AE"/>
    <w:rsid w:val="56F45CB9"/>
    <w:rsid w:val="56F5EE91"/>
    <w:rsid w:val="56F65A87"/>
    <w:rsid w:val="56F76A3B"/>
    <w:rsid w:val="56F7A578"/>
    <w:rsid w:val="56F846A9"/>
    <w:rsid w:val="56F85586"/>
    <w:rsid w:val="56F8C68A"/>
    <w:rsid w:val="56F93D80"/>
    <w:rsid w:val="56F95DA8"/>
    <w:rsid w:val="56F95E93"/>
    <w:rsid w:val="56F97035"/>
    <w:rsid w:val="56F99B53"/>
    <w:rsid w:val="56F9B25C"/>
    <w:rsid w:val="56FB1B09"/>
    <w:rsid w:val="56FC4740"/>
    <w:rsid w:val="56FCC9A6"/>
    <w:rsid w:val="56FD57B1"/>
    <w:rsid w:val="56FDBA2C"/>
    <w:rsid w:val="56FDD45E"/>
    <w:rsid w:val="56FEBDD6"/>
    <w:rsid w:val="56FF32D0"/>
    <w:rsid w:val="5701BD45"/>
    <w:rsid w:val="57020E43"/>
    <w:rsid w:val="57020E92"/>
    <w:rsid w:val="57027637"/>
    <w:rsid w:val="570349AF"/>
    <w:rsid w:val="570431C7"/>
    <w:rsid w:val="57047FBE"/>
    <w:rsid w:val="5704908C"/>
    <w:rsid w:val="57056E67"/>
    <w:rsid w:val="57065C29"/>
    <w:rsid w:val="57073C69"/>
    <w:rsid w:val="57079800"/>
    <w:rsid w:val="57085E0E"/>
    <w:rsid w:val="5708FCFC"/>
    <w:rsid w:val="5709480A"/>
    <w:rsid w:val="5709D1B0"/>
    <w:rsid w:val="570A7942"/>
    <w:rsid w:val="570ADC4E"/>
    <w:rsid w:val="570B716D"/>
    <w:rsid w:val="570BEFED"/>
    <w:rsid w:val="570C4D4A"/>
    <w:rsid w:val="570CBA23"/>
    <w:rsid w:val="570CD4CB"/>
    <w:rsid w:val="570CF772"/>
    <w:rsid w:val="570D04ED"/>
    <w:rsid w:val="570D758D"/>
    <w:rsid w:val="570D901E"/>
    <w:rsid w:val="570D9BB1"/>
    <w:rsid w:val="570D9FD3"/>
    <w:rsid w:val="570DCA8F"/>
    <w:rsid w:val="570EBFA0"/>
    <w:rsid w:val="570F81EE"/>
    <w:rsid w:val="570FB77D"/>
    <w:rsid w:val="570FEC23"/>
    <w:rsid w:val="57102232"/>
    <w:rsid w:val="57103E48"/>
    <w:rsid w:val="5710828C"/>
    <w:rsid w:val="571179CB"/>
    <w:rsid w:val="5711A79E"/>
    <w:rsid w:val="57128C9D"/>
    <w:rsid w:val="57130542"/>
    <w:rsid w:val="5713E0C5"/>
    <w:rsid w:val="5713FAD0"/>
    <w:rsid w:val="57156203"/>
    <w:rsid w:val="5715E821"/>
    <w:rsid w:val="5715E826"/>
    <w:rsid w:val="5715F1DF"/>
    <w:rsid w:val="5715F9DE"/>
    <w:rsid w:val="571632F7"/>
    <w:rsid w:val="5716DAF5"/>
    <w:rsid w:val="57179020"/>
    <w:rsid w:val="5717D4AD"/>
    <w:rsid w:val="57187012"/>
    <w:rsid w:val="5718A32D"/>
    <w:rsid w:val="5718F9F6"/>
    <w:rsid w:val="57190E25"/>
    <w:rsid w:val="5719ED62"/>
    <w:rsid w:val="571BBA77"/>
    <w:rsid w:val="571BF893"/>
    <w:rsid w:val="571CF390"/>
    <w:rsid w:val="571D474E"/>
    <w:rsid w:val="571D8498"/>
    <w:rsid w:val="571DAAF2"/>
    <w:rsid w:val="571E4A77"/>
    <w:rsid w:val="571F189A"/>
    <w:rsid w:val="571F3EB5"/>
    <w:rsid w:val="572017D5"/>
    <w:rsid w:val="57205D5E"/>
    <w:rsid w:val="57207E73"/>
    <w:rsid w:val="5720F243"/>
    <w:rsid w:val="572167EA"/>
    <w:rsid w:val="57226934"/>
    <w:rsid w:val="5722A17C"/>
    <w:rsid w:val="5722B42F"/>
    <w:rsid w:val="5722D8E2"/>
    <w:rsid w:val="572335F2"/>
    <w:rsid w:val="5723DA13"/>
    <w:rsid w:val="572465B0"/>
    <w:rsid w:val="5724CE1A"/>
    <w:rsid w:val="57255944"/>
    <w:rsid w:val="572688A7"/>
    <w:rsid w:val="57270925"/>
    <w:rsid w:val="5727E2EF"/>
    <w:rsid w:val="5727EA14"/>
    <w:rsid w:val="572872EB"/>
    <w:rsid w:val="5728D5FB"/>
    <w:rsid w:val="5729BF4E"/>
    <w:rsid w:val="572A11EE"/>
    <w:rsid w:val="572A4071"/>
    <w:rsid w:val="572AA300"/>
    <w:rsid w:val="572ACEA2"/>
    <w:rsid w:val="572B4306"/>
    <w:rsid w:val="572B6D4A"/>
    <w:rsid w:val="572CBCC7"/>
    <w:rsid w:val="572E7F70"/>
    <w:rsid w:val="572F1BBF"/>
    <w:rsid w:val="57304FFF"/>
    <w:rsid w:val="573135C7"/>
    <w:rsid w:val="5731698F"/>
    <w:rsid w:val="5731C5DE"/>
    <w:rsid w:val="573246AE"/>
    <w:rsid w:val="573311D5"/>
    <w:rsid w:val="57331B5B"/>
    <w:rsid w:val="57335E06"/>
    <w:rsid w:val="5733CA52"/>
    <w:rsid w:val="57369177"/>
    <w:rsid w:val="573713C1"/>
    <w:rsid w:val="5738DB15"/>
    <w:rsid w:val="5738F212"/>
    <w:rsid w:val="573A7F03"/>
    <w:rsid w:val="573AD916"/>
    <w:rsid w:val="573B334C"/>
    <w:rsid w:val="573C02FE"/>
    <w:rsid w:val="573CB2FA"/>
    <w:rsid w:val="573DC604"/>
    <w:rsid w:val="573DEABA"/>
    <w:rsid w:val="573E3B1D"/>
    <w:rsid w:val="573E56B1"/>
    <w:rsid w:val="573E7B3E"/>
    <w:rsid w:val="573E92F7"/>
    <w:rsid w:val="574055A1"/>
    <w:rsid w:val="57405714"/>
    <w:rsid w:val="57411EC2"/>
    <w:rsid w:val="57414C56"/>
    <w:rsid w:val="57418B04"/>
    <w:rsid w:val="574236B4"/>
    <w:rsid w:val="57425526"/>
    <w:rsid w:val="5742DF71"/>
    <w:rsid w:val="57431FAF"/>
    <w:rsid w:val="574360BE"/>
    <w:rsid w:val="57438C77"/>
    <w:rsid w:val="5743A8B4"/>
    <w:rsid w:val="574449DB"/>
    <w:rsid w:val="5744B24F"/>
    <w:rsid w:val="57454EC0"/>
    <w:rsid w:val="57458C7B"/>
    <w:rsid w:val="5745CC38"/>
    <w:rsid w:val="5745D2AB"/>
    <w:rsid w:val="57462ADB"/>
    <w:rsid w:val="5746A249"/>
    <w:rsid w:val="5746FAE5"/>
    <w:rsid w:val="574719E4"/>
    <w:rsid w:val="5747A50E"/>
    <w:rsid w:val="5747F69E"/>
    <w:rsid w:val="5748C6C9"/>
    <w:rsid w:val="574947F7"/>
    <w:rsid w:val="5749B8EE"/>
    <w:rsid w:val="5749DBED"/>
    <w:rsid w:val="574C6478"/>
    <w:rsid w:val="574D9AB5"/>
    <w:rsid w:val="574DCEF7"/>
    <w:rsid w:val="574E3E79"/>
    <w:rsid w:val="574E78AA"/>
    <w:rsid w:val="574E9F8D"/>
    <w:rsid w:val="574EB26B"/>
    <w:rsid w:val="574FC1A9"/>
    <w:rsid w:val="574FE2A7"/>
    <w:rsid w:val="57504818"/>
    <w:rsid w:val="5750A42D"/>
    <w:rsid w:val="5751008C"/>
    <w:rsid w:val="57515FB4"/>
    <w:rsid w:val="5751E8F2"/>
    <w:rsid w:val="57528994"/>
    <w:rsid w:val="5752AFEA"/>
    <w:rsid w:val="5752FBEA"/>
    <w:rsid w:val="575350D8"/>
    <w:rsid w:val="5753B402"/>
    <w:rsid w:val="57544352"/>
    <w:rsid w:val="57548873"/>
    <w:rsid w:val="57550E55"/>
    <w:rsid w:val="57557662"/>
    <w:rsid w:val="5755E119"/>
    <w:rsid w:val="57561B75"/>
    <w:rsid w:val="5756E60B"/>
    <w:rsid w:val="5757138C"/>
    <w:rsid w:val="575728D4"/>
    <w:rsid w:val="57580825"/>
    <w:rsid w:val="5758E500"/>
    <w:rsid w:val="575924C4"/>
    <w:rsid w:val="5759B739"/>
    <w:rsid w:val="5759CEDC"/>
    <w:rsid w:val="5759D2AD"/>
    <w:rsid w:val="575C4D9D"/>
    <w:rsid w:val="575C718F"/>
    <w:rsid w:val="575CAEB0"/>
    <w:rsid w:val="575CCA9B"/>
    <w:rsid w:val="575E7902"/>
    <w:rsid w:val="575ED281"/>
    <w:rsid w:val="575EE491"/>
    <w:rsid w:val="575F0B9A"/>
    <w:rsid w:val="575F3061"/>
    <w:rsid w:val="575F8465"/>
    <w:rsid w:val="57604ADD"/>
    <w:rsid w:val="57604C58"/>
    <w:rsid w:val="57618DA6"/>
    <w:rsid w:val="57624EF9"/>
    <w:rsid w:val="57634226"/>
    <w:rsid w:val="57635ECC"/>
    <w:rsid w:val="5763A690"/>
    <w:rsid w:val="57640E8F"/>
    <w:rsid w:val="576488E6"/>
    <w:rsid w:val="57649857"/>
    <w:rsid w:val="5765454B"/>
    <w:rsid w:val="5765490B"/>
    <w:rsid w:val="57657264"/>
    <w:rsid w:val="57664540"/>
    <w:rsid w:val="57668269"/>
    <w:rsid w:val="5766C1EA"/>
    <w:rsid w:val="5766DB4B"/>
    <w:rsid w:val="5767D10D"/>
    <w:rsid w:val="5768AA31"/>
    <w:rsid w:val="576924F3"/>
    <w:rsid w:val="576A0275"/>
    <w:rsid w:val="576A5473"/>
    <w:rsid w:val="576B7C18"/>
    <w:rsid w:val="576C6CF4"/>
    <w:rsid w:val="576CEA2D"/>
    <w:rsid w:val="576E06B6"/>
    <w:rsid w:val="576E4487"/>
    <w:rsid w:val="576F09C5"/>
    <w:rsid w:val="576F0A60"/>
    <w:rsid w:val="576FCA29"/>
    <w:rsid w:val="57700530"/>
    <w:rsid w:val="577011DA"/>
    <w:rsid w:val="5770DC0F"/>
    <w:rsid w:val="5771E0C4"/>
    <w:rsid w:val="577200D1"/>
    <w:rsid w:val="577245BD"/>
    <w:rsid w:val="57728B90"/>
    <w:rsid w:val="5772BF3D"/>
    <w:rsid w:val="57738A56"/>
    <w:rsid w:val="577428C7"/>
    <w:rsid w:val="57742D47"/>
    <w:rsid w:val="57758678"/>
    <w:rsid w:val="57762C2E"/>
    <w:rsid w:val="5776A369"/>
    <w:rsid w:val="57782DD3"/>
    <w:rsid w:val="5778FE74"/>
    <w:rsid w:val="57798A53"/>
    <w:rsid w:val="577B270D"/>
    <w:rsid w:val="577B7D35"/>
    <w:rsid w:val="577BF57A"/>
    <w:rsid w:val="577C46A9"/>
    <w:rsid w:val="577CF290"/>
    <w:rsid w:val="577D7263"/>
    <w:rsid w:val="577FD537"/>
    <w:rsid w:val="57803552"/>
    <w:rsid w:val="578073F8"/>
    <w:rsid w:val="57807FBB"/>
    <w:rsid w:val="57811BA2"/>
    <w:rsid w:val="57813366"/>
    <w:rsid w:val="578179EB"/>
    <w:rsid w:val="5781C0F7"/>
    <w:rsid w:val="57823C0A"/>
    <w:rsid w:val="57838212"/>
    <w:rsid w:val="57838443"/>
    <w:rsid w:val="5783E4AE"/>
    <w:rsid w:val="5784570E"/>
    <w:rsid w:val="578582C4"/>
    <w:rsid w:val="578725F7"/>
    <w:rsid w:val="57874818"/>
    <w:rsid w:val="578797FB"/>
    <w:rsid w:val="5787BA55"/>
    <w:rsid w:val="57884262"/>
    <w:rsid w:val="5789BABC"/>
    <w:rsid w:val="5789C6ED"/>
    <w:rsid w:val="578B7F07"/>
    <w:rsid w:val="578BCD0F"/>
    <w:rsid w:val="578CB4E4"/>
    <w:rsid w:val="578E04F2"/>
    <w:rsid w:val="578E701C"/>
    <w:rsid w:val="578EC8C1"/>
    <w:rsid w:val="578F1FE5"/>
    <w:rsid w:val="578F316B"/>
    <w:rsid w:val="578FC15D"/>
    <w:rsid w:val="57900D14"/>
    <w:rsid w:val="57902CAA"/>
    <w:rsid w:val="57915F41"/>
    <w:rsid w:val="5791FE9C"/>
    <w:rsid w:val="5792416B"/>
    <w:rsid w:val="579346B7"/>
    <w:rsid w:val="5794AA3A"/>
    <w:rsid w:val="5794F277"/>
    <w:rsid w:val="5795BF84"/>
    <w:rsid w:val="5795ED81"/>
    <w:rsid w:val="5795F2CB"/>
    <w:rsid w:val="5796D9C4"/>
    <w:rsid w:val="579701AB"/>
    <w:rsid w:val="579A0DE3"/>
    <w:rsid w:val="579A179E"/>
    <w:rsid w:val="579A1B70"/>
    <w:rsid w:val="579A3C8D"/>
    <w:rsid w:val="579A7BEB"/>
    <w:rsid w:val="579A80CD"/>
    <w:rsid w:val="579C66C4"/>
    <w:rsid w:val="579C9193"/>
    <w:rsid w:val="579D3093"/>
    <w:rsid w:val="579DC9C8"/>
    <w:rsid w:val="579E1FCA"/>
    <w:rsid w:val="579EB82D"/>
    <w:rsid w:val="579EE884"/>
    <w:rsid w:val="579F926C"/>
    <w:rsid w:val="579FA6BA"/>
    <w:rsid w:val="57A013B1"/>
    <w:rsid w:val="57A2229E"/>
    <w:rsid w:val="57A22974"/>
    <w:rsid w:val="57A290FF"/>
    <w:rsid w:val="57A355C5"/>
    <w:rsid w:val="57A385B1"/>
    <w:rsid w:val="57A3BBF0"/>
    <w:rsid w:val="57A3D4B0"/>
    <w:rsid w:val="57A4B3D4"/>
    <w:rsid w:val="57A4D1BB"/>
    <w:rsid w:val="57A5FB4D"/>
    <w:rsid w:val="57A68E72"/>
    <w:rsid w:val="57A6E66D"/>
    <w:rsid w:val="57A7E9FB"/>
    <w:rsid w:val="57A8045D"/>
    <w:rsid w:val="57A86CF5"/>
    <w:rsid w:val="57A8EF33"/>
    <w:rsid w:val="57A92C51"/>
    <w:rsid w:val="57A9B1A1"/>
    <w:rsid w:val="57AAF990"/>
    <w:rsid w:val="57AC53BD"/>
    <w:rsid w:val="57AD04CD"/>
    <w:rsid w:val="57ADF0E6"/>
    <w:rsid w:val="57AE9229"/>
    <w:rsid w:val="57AEBFE5"/>
    <w:rsid w:val="57AF75F4"/>
    <w:rsid w:val="57B0C4C9"/>
    <w:rsid w:val="57B1B847"/>
    <w:rsid w:val="57B2D091"/>
    <w:rsid w:val="57B2E737"/>
    <w:rsid w:val="57B309C5"/>
    <w:rsid w:val="57B4FE2E"/>
    <w:rsid w:val="57B67669"/>
    <w:rsid w:val="57B87FD6"/>
    <w:rsid w:val="57B885D9"/>
    <w:rsid w:val="57B8886B"/>
    <w:rsid w:val="57B96D71"/>
    <w:rsid w:val="57BAC906"/>
    <w:rsid w:val="57BB2249"/>
    <w:rsid w:val="57BBBAAE"/>
    <w:rsid w:val="57BCA32D"/>
    <w:rsid w:val="57BD0CEE"/>
    <w:rsid w:val="57BE85B2"/>
    <w:rsid w:val="57BF2E9F"/>
    <w:rsid w:val="57BF49BC"/>
    <w:rsid w:val="57BFD5D2"/>
    <w:rsid w:val="57C0C868"/>
    <w:rsid w:val="57C0CD6C"/>
    <w:rsid w:val="57C0FC71"/>
    <w:rsid w:val="57C10431"/>
    <w:rsid w:val="57C2061B"/>
    <w:rsid w:val="57C21F2A"/>
    <w:rsid w:val="57C2D09C"/>
    <w:rsid w:val="57C36A91"/>
    <w:rsid w:val="57C49705"/>
    <w:rsid w:val="57C49B26"/>
    <w:rsid w:val="57C506FE"/>
    <w:rsid w:val="57C73962"/>
    <w:rsid w:val="57C790CF"/>
    <w:rsid w:val="57C82B53"/>
    <w:rsid w:val="57C92036"/>
    <w:rsid w:val="57C9BB21"/>
    <w:rsid w:val="57CA85DA"/>
    <w:rsid w:val="57CCFDD8"/>
    <w:rsid w:val="57CD3AF8"/>
    <w:rsid w:val="57CD7F68"/>
    <w:rsid w:val="57CE4889"/>
    <w:rsid w:val="57CE5BE6"/>
    <w:rsid w:val="57CE81F5"/>
    <w:rsid w:val="57CE9C5E"/>
    <w:rsid w:val="57CFB5A6"/>
    <w:rsid w:val="57D03D4B"/>
    <w:rsid w:val="57D0C35D"/>
    <w:rsid w:val="57D13BF6"/>
    <w:rsid w:val="57D2F2D8"/>
    <w:rsid w:val="57D4577E"/>
    <w:rsid w:val="57D5559E"/>
    <w:rsid w:val="57D7507F"/>
    <w:rsid w:val="57D78BEF"/>
    <w:rsid w:val="57D7C279"/>
    <w:rsid w:val="57D80474"/>
    <w:rsid w:val="57D862E1"/>
    <w:rsid w:val="57DABE82"/>
    <w:rsid w:val="57DC49DD"/>
    <w:rsid w:val="57DD53EA"/>
    <w:rsid w:val="57DDE5F2"/>
    <w:rsid w:val="57DEABCF"/>
    <w:rsid w:val="57DF01A6"/>
    <w:rsid w:val="57DF5202"/>
    <w:rsid w:val="57DF9069"/>
    <w:rsid w:val="57DFBB23"/>
    <w:rsid w:val="57E03853"/>
    <w:rsid w:val="57E26F27"/>
    <w:rsid w:val="57E27724"/>
    <w:rsid w:val="57E42572"/>
    <w:rsid w:val="57E42C8D"/>
    <w:rsid w:val="57E5226B"/>
    <w:rsid w:val="57E5B0A7"/>
    <w:rsid w:val="57E6B371"/>
    <w:rsid w:val="57E6E666"/>
    <w:rsid w:val="57E7024A"/>
    <w:rsid w:val="57E70C91"/>
    <w:rsid w:val="57E7100C"/>
    <w:rsid w:val="57E77238"/>
    <w:rsid w:val="57E808CE"/>
    <w:rsid w:val="57E84029"/>
    <w:rsid w:val="57EA14A7"/>
    <w:rsid w:val="57EA1B6C"/>
    <w:rsid w:val="57EADBB8"/>
    <w:rsid w:val="57EB8C30"/>
    <w:rsid w:val="57ECD684"/>
    <w:rsid w:val="57EDD3C4"/>
    <w:rsid w:val="57EE3DF3"/>
    <w:rsid w:val="57EFAA49"/>
    <w:rsid w:val="57EFFF57"/>
    <w:rsid w:val="57F00537"/>
    <w:rsid w:val="57F1EB0F"/>
    <w:rsid w:val="57F216F0"/>
    <w:rsid w:val="57F35B85"/>
    <w:rsid w:val="57F38C51"/>
    <w:rsid w:val="57F3B898"/>
    <w:rsid w:val="57F46A00"/>
    <w:rsid w:val="57F4830A"/>
    <w:rsid w:val="57F48394"/>
    <w:rsid w:val="57F4C9AB"/>
    <w:rsid w:val="57F56AD1"/>
    <w:rsid w:val="57F5FC96"/>
    <w:rsid w:val="57F6392D"/>
    <w:rsid w:val="57F673A8"/>
    <w:rsid w:val="57F739F8"/>
    <w:rsid w:val="57F77455"/>
    <w:rsid w:val="57F77C71"/>
    <w:rsid w:val="57F8E142"/>
    <w:rsid w:val="57F962D5"/>
    <w:rsid w:val="57F9AB33"/>
    <w:rsid w:val="57F9F1B5"/>
    <w:rsid w:val="57FAF3B8"/>
    <w:rsid w:val="57FC5251"/>
    <w:rsid w:val="57FC5637"/>
    <w:rsid w:val="57FCADB1"/>
    <w:rsid w:val="57FD7BB2"/>
    <w:rsid w:val="57FEC9A7"/>
    <w:rsid w:val="57FF719D"/>
    <w:rsid w:val="57FF8849"/>
    <w:rsid w:val="58002B7E"/>
    <w:rsid w:val="580125EF"/>
    <w:rsid w:val="580179C1"/>
    <w:rsid w:val="58021405"/>
    <w:rsid w:val="5802D95E"/>
    <w:rsid w:val="580305EF"/>
    <w:rsid w:val="58032253"/>
    <w:rsid w:val="58035E60"/>
    <w:rsid w:val="5803B4F8"/>
    <w:rsid w:val="5803BA5D"/>
    <w:rsid w:val="5804A1B1"/>
    <w:rsid w:val="58057765"/>
    <w:rsid w:val="5805F5BC"/>
    <w:rsid w:val="58060FD7"/>
    <w:rsid w:val="580736CE"/>
    <w:rsid w:val="580781CC"/>
    <w:rsid w:val="58084B3D"/>
    <w:rsid w:val="5808B657"/>
    <w:rsid w:val="5808C364"/>
    <w:rsid w:val="580951C6"/>
    <w:rsid w:val="5809D789"/>
    <w:rsid w:val="580A526F"/>
    <w:rsid w:val="580A6235"/>
    <w:rsid w:val="580A75C1"/>
    <w:rsid w:val="580A895B"/>
    <w:rsid w:val="580C8B07"/>
    <w:rsid w:val="580C9774"/>
    <w:rsid w:val="580D5005"/>
    <w:rsid w:val="580D80E3"/>
    <w:rsid w:val="580DF793"/>
    <w:rsid w:val="580E4317"/>
    <w:rsid w:val="580F9F37"/>
    <w:rsid w:val="580FE01C"/>
    <w:rsid w:val="5810A0F7"/>
    <w:rsid w:val="5810E265"/>
    <w:rsid w:val="58111886"/>
    <w:rsid w:val="581141A9"/>
    <w:rsid w:val="58123CF5"/>
    <w:rsid w:val="58125660"/>
    <w:rsid w:val="5812E79A"/>
    <w:rsid w:val="581359C0"/>
    <w:rsid w:val="5813CC42"/>
    <w:rsid w:val="5813F0F9"/>
    <w:rsid w:val="58146635"/>
    <w:rsid w:val="5814FEF6"/>
    <w:rsid w:val="58154447"/>
    <w:rsid w:val="58158056"/>
    <w:rsid w:val="5815E387"/>
    <w:rsid w:val="58160002"/>
    <w:rsid w:val="581664BB"/>
    <w:rsid w:val="58182EA4"/>
    <w:rsid w:val="58189EE9"/>
    <w:rsid w:val="5818A9DD"/>
    <w:rsid w:val="5818CAA5"/>
    <w:rsid w:val="58191A4C"/>
    <w:rsid w:val="581AA952"/>
    <w:rsid w:val="581D4793"/>
    <w:rsid w:val="581D71B7"/>
    <w:rsid w:val="581D9944"/>
    <w:rsid w:val="581E43B5"/>
    <w:rsid w:val="581F63B4"/>
    <w:rsid w:val="581FF3ED"/>
    <w:rsid w:val="5820945A"/>
    <w:rsid w:val="582242B0"/>
    <w:rsid w:val="5822AA13"/>
    <w:rsid w:val="5823D90E"/>
    <w:rsid w:val="5823DD69"/>
    <w:rsid w:val="5823F813"/>
    <w:rsid w:val="58248ED2"/>
    <w:rsid w:val="5824E54A"/>
    <w:rsid w:val="582527E7"/>
    <w:rsid w:val="5827DA6D"/>
    <w:rsid w:val="58286B95"/>
    <w:rsid w:val="5828A60B"/>
    <w:rsid w:val="5828BAF2"/>
    <w:rsid w:val="5829F752"/>
    <w:rsid w:val="582A2E6B"/>
    <w:rsid w:val="582A83AB"/>
    <w:rsid w:val="582B2B9B"/>
    <w:rsid w:val="582C8479"/>
    <w:rsid w:val="582CFA52"/>
    <w:rsid w:val="582D839D"/>
    <w:rsid w:val="582D89BC"/>
    <w:rsid w:val="582DE6D4"/>
    <w:rsid w:val="582F3DBD"/>
    <w:rsid w:val="582F418D"/>
    <w:rsid w:val="582FF265"/>
    <w:rsid w:val="58303774"/>
    <w:rsid w:val="583116F1"/>
    <w:rsid w:val="5831C06A"/>
    <w:rsid w:val="58329445"/>
    <w:rsid w:val="5832D04A"/>
    <w:rsid w:val="583395AA"/>
    <w:rsid w:val="5833B27B"/>
    <w:rsid w:val="5834C17E"/>
    <w:rsid w:val="583578A6"/>
    <w:rsid w:val="583587CE"/>
    <w:rsid w:val="5835A3A4"/>
    <w:rsid w:val="5835F4C5"/>
    <w:rsid w:val="583694BB"/>
    <w:rsid w:val="58372031"/>
    <w:rsid w:val="583783C8"/>
    <w:rsid w:val="58383BAD"/>
    <w:rsid w:val="5838D5C1"/>
    <w:rsid w:val="583915BA"/>
    <w:rsid w:val="583931C0"/>
    <w:rsid w:val="58394436"/>
    <w:rsid w:val="5839CB38"/>
    <w:rsid w:val="583AC537"/>
    <w:rsid w:val="583C0F61"/>
    <w:rsid w:val="583CA530"/>
    <w:rsid w:val="583D47C1"/>
    <w:rsid w:val="58423704"/>
    <w:rsid w:val="58430CF1"/>
    <w:rsid w:val="58437369"/>
    <w:rsid w:val="5843FD33"/>
    <w:rsid w:val="58443D26"/>
    <w:rsid w:val="584506A5"/>
    <w:rsid w:val="5847E46E"/>
    <w:rsid w:val="5847FB9C"/>
    <w:rsid w:val="58483D55"/>
    <w:rsid w:val="58488A2E"/>
    <w:rsid w:val="5848E4B8"/>
    <w:rsid w:val="58492A38"/>
    <w:rsid w:val="584A7BC1"/>
    <w:rsid w:val="584B4AB6"/>
    <w:rsid w:val="584BA0C4"/>
    <w:rsid w:val="584C2CFF"/>
    <w:rsid w:val="584CEB1F"/>
    <w:rsid w:val="584D8B72"/>
    <w:rsid w:val="584DC36F"/>
    <w:rsid w:val="584DCA9A"/>
    <w:rsid w:val="584EFB13"/>
    <w:rsid w:val="58501A55"/>
    <w:rsid w:val="58503005"/>
    <w:rsid w:val="58516AF8"/>
    <w:rsid w:val="5853B684"/>
    <w:rsid w:val="58540CE2"/>
    <w:rsid w:val="58542E6E"/>
    <w:rsid w:val="58550634"/>
    <w:rsid w:val="58563D04"/>
    <w:rsid w:val="58568492"/>
    <w:rsid w:val="58572B31"/>
    <w:rsid w:val="585740F0"/>
    <w:rsid w:val="585752A2"/>
    <w:rsid w:val="58575408"/>
    <w:rsid w:val="58589377"/>
    <w:rsid w:val="5858A536"/>
    <w:rsid w:val="5858C955"/>
    <w:rsid w:val="58595D74"/>
    <w:rsid w:val="585A843B"/>
    <w:rsid w:val="585D9D19"/>
    <w:rsid w:val="58601714"/>
    <w:rsid w:val="586051DD"/>
    <w:rsid w:val="58612135"/>
    <w:rsid w:val="5861F296"/>
    <w:rsid w:val="586254DD"/>
    <w:rsid w:val="58626788"/>
    <w:rsid w:val="58627AA4"/>
    <w:rsid w:val="58633F2C"/>
    <w:rsid w:val="58639C15"/>
    <w:rsid w:val="5864D5AD"/>
    <w:rsid w:val="5864EFF7"/>
    <w:rsid w:val="5864F4A9"/>
    <w:rsid w:val="5865243F"/>
    <w:rsid w:val="586579FD"/>
    <w:rsid w:val="58658B5B"/>
    <w:rsid w:val="58659CB4"/>
    <w:rsid w:val="586751CA"/>
    <w:rsid w:val="5867DBD2"/>
    <w:rsid w:val="5868FD73"/>
    <w:rsid w:val="58698C38"/>
    <w:rsid w:val="5869E029"/>
    <w:rsid w:val="586A8651"/>
    <w:rsid w:val="586B8989"/>
    <w:rsid w:val="586C3637"/>
    <w:rsid w:val="586C3E98"/>
    <w:rsid w:val="586C5D84"/>
    <w:rsid w:val="586C6A00"/>
    <w:rsid w:val="586CE152"/>
    <w:rsid w:val="586D4E49"/>
    <w:rsid w:val="586D7D70"/>
    <w:rsid w:val="586D8CE0"/>
    <w:rsid w:val="586E7E50"/>
    <w:rsid w:val="586E857A"/>
    <w:rsid w:val="586EF334"/>
    <w:rsid w:val="586F8A41"/>
    <w:rsid w:val="586FE97F"/>
    <w:rsid w:val="587014D7"/>
    <w:rsid w:val="5870F661"/>
    <w:rsid w:val="58718E28"/>
    <w:rsid w:val="5873A581"/>
    <w:rsid w:val="5873B364"/>
    <w:rsid w:val="58741851"/>
    <w:rsid w:val="5874796D"/>
    <w:rsid w:val="58748C00"/>
    <w:rsid w:val="5874E4F1"/>
    <w:rsid w:val="5874E549"/>
    <w:rsid w:val="5876D41A"/>
    <w:rsid w:val="58775A41"/>
    <w:rsid w:val="5877D59D"/>
    <w:rsid w:val="587AA84F"/>
    <w:rsid w:val="587ABF46"/>
    <w:rsid w:val="587B47A8"/>
    <w:rsid w:val="587B732C"/>
    <w:rsid w:val="587C80E6"/>
    <w:rsid w:val="587D2AED"/>
    <w:rsid w:val="587D86CC"/>
    <w:rsid w:val="587DBE13"/>
    <w:rsid w:val="587EA64E"/>
    <w:rsid w:val="587EC0DB"/>
    <w:rsid w:val="587EF0EF"/>
    <w:rsid w:val="587EFFB8"/>
    <w:rsid w:val="587EFFBF"/>
    <w:rsid w:val="587FA396"/>
    <w:rsid w:val="58808553"/>
    <w:rsid w:val="58816FF9"/>
    <w:rsid w:val="5881AFAC"/>
    <w:rsid w:val="5882C0BC"/>
    <w:rsid w:val="58838E44"/>
    <w:rsid w:val="5883C5A9"/>
    <w:rsid w:val="5883ECEA"/>
    <w:rsid w:val="58844E2A"/>
    <w:rsid w:val="5884708F"/>
    <w:rsid w:val="5884758E"/>
    <w:rsid w:val="5884CE47"/>
    <w:rsid w:val="58859DE3"/>
    <w:rsid w:val="5886E3E6"/>
    <w:rsid w:val="5887347B"/>
    <w:rsid w:val="58875D85"/>
    <w:rsid w:val="588772B8"/>
    <w:rsid w:val="58877491"/>
    <w:rsid w:val="58883E9C"/>
    <w:rsid w:val="588875A9"/>
    <w:rsid w:val="58894994"/>
    <w:rsid w:val="5889608A"/>
    <w:rsid w:val="5889934F"/>
    <w:rsid w:val="588B12F0"/>
    <w:rsid w:val="588B34D7"/>
    <w:rsid w:val="588B8B3B"/>
    <w:rsid w:val="588B9BC2"/>
    <w:rsid w:val="588C4DF9"/>
    <w:rsid w:val="588F339E"/>
    <w:rsid w:val="588F9F9B"/>
    <w:rsid w:val="589009D8"/>
    <w:rsid w:val="5890219A"/>
    <w:rsid w:val="5890D8CC"/>
    <w:rsid w:val="58910D77"/>
    <w:rsid w:val="5891FE96"/>
    <w:rsid w:val="58930E4A"/>
    <w:rsid w:val="5893EA22"/>
    <w:rsid w:val="58947DD4"/>
    <w:rsid w:val="58954EEE"/>
    <w:rsid w:val="5896EB6A"/>
    <w:rsid w:val="5897184E"/>
    <w:rsid w:val="5897A4FD"/>
    <w:rsid w:val="5897B1FD"/>
    <w:rsid w:val="5897C888"/>
    <w:rsid w:val="5898A00A"/>
    <w:rsid w:val="589A0536"/>
    <w:rsid w:val="589A0FAC"/>
    <w:rsid w:val="589A5589"/>
    <w:rsid w:val="589A7A7F"/>
    <w:rsid w:val="589AFED1"/>
    <w:rsid w:val="589B1F44"/>
    <w:rsid w:val="589B2A20"/>
    <w:rsid w:val="589B5680"/>
    <w:rsid w:val="589BB0EF"/>
    <w:rsid w:val="589D14C9"/>
    <w:rsid w:val="589D5340"/>
    <w:rsid w:val="589E094F"/>
    <w:rsid w:val="589E2A6D"/>
    <w:rsid w:val="589E3028"/>
    <w:rsid w:val="589EADD3"/>
    <w:rsid w:val="589EE8AC"/>
    <w:rsid w:val="589F6089"/>
    <w:rsid w:val="58A0128C"/>
    <w:rsid w:val="58A0C89E"/>
    <w:rsid w:val="58A0F2A7"/>
    <w:rsid w:val="58A1FD56"/>
    <w:rsid w:val="58A20810"/>
    <w:rsid w:val="58A211CF"/>
    <w:rsid w:val="58A23964"/>
    <w:rsid w:val="58A25750"/>
    <w:rsid w:val="58A3E3B0"/>
    <w:rsid w:val="58A3EC81"/>
    <w:rsid w:val="58A49A2D"/>
    <w:rsid w:val="58A4A146"/>
    <w:rsid w:val="58A56976"/>
    <w:rsid w:val="58A5F6E3"/>
    <w:rsid w:val="58A63850"/>
    <w:rsid w:val="58A766C9"/>
    <w:rsid w:val="58A8C30B"/>
    <w:rsid w:val="58A95309"/>
    <w:rsid w:val="58A9EA86"/>
    <w:rsid w:val="58A9F7D7"/>
    <w:rsid w:val="58AA5C66"/>
    <w:rsid w:val="58AAC087"/>
    <w:rsid w:val="58AB4742"/>
    <w:rsid w:val="58ABD229"/>
    <w:rsid w:val="58AC15B1"/>
    <w:rsid w:val="58AC4667"/>
    <w:rsid w:val="58AC941E"/>
    <w:rsid w:val="58AD22DF"/>
    <w:rsid w:val="58AD9B46"/>
    <w:rsid w:val="58AD9BEE"/>
    <w:rsid w:val="58AE7B1F"/>
    <w:rsid w:val="58AEFADF"/>
    <w:rsid w:val="58B09085"/>
    <w:rsid w:val="58B14A1B"/>
    <w:rsid w:val="58B3F19C"/>
    <w:rsid w:val="58B46D07"/>
    <w:rsid w:val="58B7DCA9"/>
    <w:rsid w:val="58B80E5C"/>
    <w:rsid w:val="58B83D48"/>
    <w:rsid w:val="58B99B5A"/>
    <w:rsid w:val="58BA4D09"/>
    <w:rsid w:val="58BC56EE"/>
    <w:rsid w:val="58BC9D3C"/>
    <w:rsid w:val="58BDF11F"/>
    <w:rsid w:val="58BEF057"/>
    <w:rsid w:val="58C0158C"/>
    <w:rsid w:val="58C04436"/>
    <w:rsid w:val="58C08718"/>
    <w:rsid w:val="58C0F65D"/>
    <w:rsid w:val="58C13342"/>
    <w:rsid w:val="58C193AD"/>
    <w:rsid w:val="58C1E94A"/>
    <w:rsid w:val="58C30F7C"/>
    <w:rsid w:val="58C34021"/>
    <w:rsid w:val="58C3D305"/>
    <w:rsid w:val="58C3E372"/>
    <w:rsid w:val="58C3E55E"/>
    <w:rsid w:val="58C42EBC"/>
    <w:rsid w:val="58C46B6E"/>
    <w:rsid w:val="58C4F36E"/>
    <w:rsid w:val="58C5B33B"/>
    <w:rsid w:val="58C60FF5"/>
    <w:rsid w:val="58C87732"/>
    <w:rsid w:val="58C9C843"/>
    <w:rsid w:val="58CB9D40"/>
    <w:rsid w:val="58CD7F1B"/>
    <w:rsid w:val="58CE295C"/>
    <w:rsid w:val="58CF89B9"/>
    <w:rsid w:val="58CFF4BB"/>
    <w:rsid w:val="58D04CC6"/>
    <w:rsid w:val="58D0EBB8"/>
    <w:rsid w:val="58D22713"/>
    <w:rsid w:val="58D36A29"/>
    <w:rsid w:val="58D3879C"/>
    <w:rsid w:val="58D3E56C"/>
    <w:rsid w:val="58D5201F"/>
    <w:rsid w:val="58D55942"/>
    <w:rsid w:val="58D581B3"/>
    <w:rsid w:val="58D760A9"/>
    <w:rsid w:val="58D7FD48"/>
    <w:rsid w:val="58D84C26"/>
    <w:rsid w:val="58D8AF02"/>
    <w:rsid w:val="58D9A824"/>
    <w:rsid w:val="58D9C1A8"/>
    <w:rsid w:val="58D9C416"/>
    <w:rsid w:val="58DA93AE"/>
    <w:rsid w:val="58DA945A"/>
    <w:rsid w:val="58DA95A5"/>
    <w:rsid w:val="58DADF8C"/>
    <w:rsid w:val="58DAE54F"/>
    <w:rsid w:val="58DC322E"/>
    <w:rsid w:val="58DCCB59"/>
    <w:rsid w:val="58DCD081"/>
    <w:rsid w:val="58DD9334"/>
    <w:rsid w:val="58DDB779"/>
    <w:rsid w:val="58DDF051"/>
    <w:rsid w:val="58DFD7B5"/>
    <w:rsid w:val="58E0AB0D"/>
    <w:rsid w:val="58E1E399"/>
    <w:rsid w:val="58E30C35"/>
    <w:rsid w:val="58E31FC2"/>
    <w:rsid w:val="58E33C35"/>
    <w:rsid w:val="58E46B53"/>
    <w:rsid w:val="58E4DC72"/>
    <w:rsid w:val="58E50019"/>
    <w:rsid w:val="58E5F8E7"/>
    <w:rsid w:val="58E623E1"/>
    <w:rsid w:val="58E6701F"/>
    <w:rsid w:val="58E7583F"/>
    <w:rsid w:val="58E76F4F"/>
    <w:rsid w:val="58E775EC"/>
    <w:rsid w:val="58E88BDD"/>
    <w:rsid w:val="58E9C22E"/>
    <w:rsid w:val="58EA25EF"/>
    <w:rsid w:val="58EB0C3D"/>
    <w:rsid w:val="58EB153B"/>
    <w:rsid w:val="58EC749B"/>
    <w:rsid w:val="58ECCD98"/>
    <w:rsid w:val="58ED7177"/>
    <w:rsid w:val="58EE9F71"/>
    <w:rsid w:val="58EF6802"/>
    <w:rsid w:val="58EFC613"/>
    <w:rsid w:val="58EFE95D"/>
    <w:rsid w:val="58F04395"/>
    <w:rsid w:val="58F069F1"/>
    <w:rsid w:val="58F0FEF8"/>
    <w:rsid w:val="58F16617"/>
    <w:rsid w:val="58F33E05"/>
    <w:rsid w:val="58F36FA5"/>
    <w:rsid w:val="58F3A72F"/>
    <w:rsid w:val="58F402F2"/>
    <w:rsid w:val="58F454B0"/>
    <w:rsid w:val="58F56D59"/>
    <w:rsid w:val="58F622FF"/>
    <w:rsid w:val="58F66D1B"/>
    <w:rsid w:val="58F709F9"/>
    <w:rsid w:val="58F79DC2"/>
    <w:rsid w:val="58F7D994"/>
    <w:rsid w:val="58F7FD21"/>
    <w:rsid w:val="58F8897D"/>
    <w:rsid w:val="58FA77F9"/>
    <w:rsid w:val="58FACDA4"/>
    <w:rsid w:val="58FC9F77"/>
    <w:rsid w:val="58FCC5A8"/>
    <w:rsid w:val="58FD742F"/>
    <w:rsid w:val="58FE8E1D"/>
    <w:rsid w:val="58FEBF5D"/>
    <w:rsid w:val="58FF6C7D"/>
    <w:rsid w:val="58FFAFB7"/>
    <w:rsid w:val="590059F0"/>
    <w:rsid w:val="59008854"/>
    <w:rsid w:val="5900E91A"/>
    <w:rsid w:val="5901357C"/>
    <w:rsid w:val="5901622A"/>
    <w:rsid w:val="5901C954"/>
    <w:rsid w:val="5902712E"/>
    <w:rsid w:val="59034D2A"/>
    <w:rsid w:val="5904BFE5"/>
    <w:rsid w:val="59050B3D"/>
    <w:rsid w:val="5905DA0F"/>
    <w:rsid w:val="59072198"/>
    <w:rsid w:val="5908DEE7"/>
    <w:rsid w:val="590C0209"/>
    <w:rsid w:val="590C3C4B"/>
    <w:rsid w:val="590C5432"/>
    <w:rsid w:val="590E0625"/>
    <w:rsid w:val="590E0820"/>
    <w:rsid w:val="590EB9F0"/>
    <w:rsid w:val="590EC81E"/>
    <w:rsid w:val="590EE500"/>
    <w:rsid w:val="591099C7"/>
    <w:rsid w:val="59111136"/>
    <w:rsid w:val="591113F0"/>
    <w:rsid w:val="59118DE6"/>
    <w:rsid w:val="59120012"/>
    <w:rsid w:val="59123580"/>
    <w:rsid w:val="5912543B"/>
    <w:rsid w:val="59135294"/>
    <w:rsid w:val="5913EC88"/>
    <w:rsid w:val="591452D6"/>
    <w:rsid w:val="59148FD6"/>
    <w:rsid w:val="5914BFE2"/>
    <w:rsid w:val="59151DD5"/>
    <w:rsid w:val="59153D84"/>
    <w:rsid w:val="591593F1"/>
    <w:rsid w:val="5916063F"/>
    <w:rsid w:val="5916BA7B"/>
    <w:rsid w:val="59177C00"/>
    <w:rsid w:val="5917E039"/>
    <w:rsid w:val="5918DC47"/>
    <w:rsid w:val="59194ABA"/>
    <w:rsid w:val="591971D2"/>
    <w:rsid w:val="591AD8EE"/>
    <w:rsid w:val="591C5B35"/>
    <w:rsid w:val="591D4944"/>
    <w:rsid w:val="591DC6EF"/>
    <w:rsid w:val="591E041C"/>
    <w:rsid w:val="591EFC4B"/>
    <w:rsid w:val="591FC4B9"/>
    <w:rsid w:val="5920706E"/>
    <w:rsid w:val="5920DA81"/>
    <w:rsid w:val="59216D57"/>
    <w:rsid w:val="592294A3"/>
    <w:rsid w:val="59230428"/>
    <w:rsid w:val="5923646F"/>
    <w:rsid w:val="5923B1C6"/>
    <w:rsid w:val="59248949"/>
    <w:rsid w:val="5925B743"/>
    <w:rsid w:val="59265FE1"/>
    <w:rsid w:val="5926F5D5"/>
    <w:rsid w:val="5927B8A3"/>
    <w:rsid w:val="5927E168"/>
    <w:rsid w:val="59292FF9"/>
    <w:rsid w:val="592940BA"/>
    <w:rsid w:val="592A38FD"/>
    <w:rsid w:val="592AD43C"/>
    <w:rsid w:val="592B7152"/>
    <w:rsid w:val="592C181D"/>
    <w:rsid w:val="592CD837"/>
    <w:rsid w:val="592D5273"/>
    <w:rsid w:val="592F4425"/>
    <w:rsid w:val="592F90EE"/>
    <w:rsid w:val="592F91CF"/>
    <w:rsid w:val="592FE6CB"/>
    <w:rsid w:val="592FF930"/>
    <w:rsid w:val="59303889"/>
    <w:rsid w:val="59305F26"/>
    <w:rsid w:val="5932136C"/>
    <w:rsid w:val="59321CEA"/>
    <w:rsid w:val="59326ECB"/>
    <w:rsid w:val="593289AA"/>
    <w:rsid w:val="59331645"/>
    <w:rsid w:val="5933205E"/>
    <w:rsid w:val="593413BA"/>
    <w:rsid w:val="59360CEE"/>
    <w:rsid w:val="59361E03"/>
    <w:rsid w:val="593697D4"/>
    <w:rsid w:val="5937584C"/>
    <w:rsid w:val="59376D5D"/>
    <w:rsid w:val="5938C5C8"/>
    <w:rsid w:val="59391267"/>
    <w:rsid w:val="593A040E"/>
    <w:rsid w:val="593A3641"/>
    <w:rsid w:val="593A6EC9"/>
    <w:rsid w:val="593B522F"/>
    <w:rsid w:val="593BA4EE"/>
    <w:rsid w:val="593BED7C"/>
    <w:rsid w:val="593C4E4A"/>
    <w:rsid w:val="593C624A"/>
    <w:rsid w:val="593D82D1"/>
    <w:rsid w:val="593E6FA1"/>
    <w:rsid w:val="593E8031"/>
    <w:rsid w:val="593F1D43"/>
    <w:rsid w:val="593F1E52"/>
    <w:rsid w:val="593F2DF8"/>
    <w:rsid w:val="593F77AF"/>
    <w:rsid w:val="593F84AF"/>
    <w:rsid w:val="593F8D02"/>
    <w:rsid w:val="59400F3F"/>
    <w:rsid w:val="59401680"/>
    <w:rsid w:val="59405DF0"/>
    <w:rsid w:val="59414150"/>
    <w:rsid w:val="594166C8"/>
    <w:rsid w:val="59417186"/>
    <w:rsid w:val="59438096"/>
    <w:rsid w:val="59443389"/>
    <w:rsid w:val="594840A6"/>
    <w:rsid w:val="59484103"/>
    <w:rsid w:val="59487FB8"/>
    <w:rsid w:val="5949D1AD"/>
    <w:rsid w:val="594B08AB"/>
    <w:rsid w:val="594B943C"/>
    <w:rsid w:val="594C36C3"/>
    <w:rsid w:val="594C694B"/>
    <w:rsid w:val="594CEE09"/>
    <w:rsid w:val="594CF6D6"/>
    <w:rsid w:val="594D3C6E"/>
    <w:rsid w:val="594D3D0D"/>
    <w:rsid w:val="594DD5B2"/>
    <w:rsid w:val="594E0977"/>
    <w:rsid w:val="594E6E39"/>
    <w:rsid w:val="594F41C8"/>
    <w:rsid w:val="594F7161"/>
    <w:rsid w:val="59517735"/>
    <w:rsid w:val="5951F313"/>
    <w:rsid w:val="59521BB1"/>
    <w:rsid w:val="5952F453"/>
    <w:rsid w:val="595322A8"/>
    <w:rsid w:val="595392FA"/>
    <w:rsid w:val="59552669"/>
    <w:rsid w:val="59569422"/>
    <w:rsid w:val="5956F34D"/>
    <w:rsid w:val="5958F5C6"/>
    <w:rsid w:val="5959D9EA"/>
    <w:rsid w:val="5959E850"/>
    <w:rsid w:val="595A9987"/>
    <w:rsid w:val="595B6E22"/>
    <w:rsid w:val="595B7719"/>
    <w:rsid w:val="595C1038"/>
    <w:rsid w:val="595ECE6B"/>
    <w:rsid w:val="595F071C"/>
    <w:rsid w:val="595FDD2C"/>
    <w:rsid w:val="596021EE"/>
    <w:rsid w:val="5960541E"/>
    <w:rsid w:val="59608634"/>
    <w:rsid w:val="5961752D"/>
    <w:rsid w:val="59627377"/>
    <w:rsid w:val="59629EB9"/>
    <w:rsid w:val="5962AC23"/>
    <w:rsid w:val="5962AD63"/>
    <w:rsid w:val="5963D077"/>
    <w:rsid w:val="596417F5"/>
    <w:rsid w:val="59644423"/>
    <w:rsid w:val="59664C11"/>
    <w:rsid w:val="5966E9C0"/>
    <w:rsid w:val="5967FF6A"/>
    <w:rsid w:val="596883DA"/>
    <w:rsid w:val="59690F36"/>
    <w:rsid w:val="5969A9D8"/>
    <w:rsid w:val="5969B632"/>
    <w:rsid w:val="596B2240"/>
    <w:rsid w:val="596B2B0E"/>
    <w:rsid w:val="596CABE3"/>
    <w:rsid w:val="596CC48B"/>
    <w:rsid w:val="596D0299"/>
    <w:rsid w:val="596D138A"/>
    <w:rsid w:val="596F1D50"/>
    <w:rsid w:val="5970DA59"/>
    <w:rsid w:val="5970ED53"/>
    <w:rsid w:val="59712830"/>
    <w:rsid w:val="597136DA"/>
    <w:rsid w:val="5971DBAC"/>
    <w:rsid w:val="5971EAFD"/>
    <w:rsid w:val="59727C2E"/>
    <w:rsid w:val="59728661"/>
    <w:rsid w:val="5972C187"/>
    <w:rsid w:val="5972DF85"/>
    <w:rsid w:val="597314E7"/>
    <w:rsid w:val="5973BEEA"/>
    <w:rsid w:val="5973E927"/>
    <w:rsid w:val="59741A9F"/>
    <w:rsid w:val="59748D8A"/>
    <w:rsid w:val="59749571"/>
    <w:rsid w:val="59754AAC"/>
    <w:rsid w:val="5975D926"/>
    <w:rsid w:val="5975F669"/>
    <w:rsid w:val="59767EB0"/>
    <w:rsid w:val="5976D21D"/>
    <w:rsid w:val="59775137"/>
    <w:rsid w:val="5977A9B2"/>
    <w:rsid w:val="597AA224"/>
    <w:rsid w:val="597B072A"/>
    <w:rsid w:val="597C859B"/>
    <w:rsid w:val="597CAEAB"/>
    <w:rsid w:val="597D07A3"/>
    <w:rsid w:val="597D35E0"/>
    <w:rsid w:val="597D4D3C"/>
    <w:rsid w:val="597E3A4D"/>
    <w:rsid w:val="597E53F7"/>
    <w:rsid w:val="59800252"/>
    <w:rsid w:val="598091FE"/>
    <w:rsid w:val="5980A15D"/>
    <w:rsid w:val="598139F6"/>
    <w:rsid w:val="5981C3B2"/>
    <w:rsid w:val="5981E10C"/>
    <w:rsid w:val="59839FD1"/>
    <w:rsid w:val="5985D583"/>
    <w:rsid w:val="598613BC"/>
    <w:rsid w:val="598707C0"/>
    <w:rsid w:val="59893FCB"/>
    <w:rsid w:val="598981E4"/>
    <w:rsid w:val="5989B6FF"/>
    <w:rsid w:val="5989DAD1"/>
    <w:rsid w:val="598B6BAD"/>
    <w:rsid w:val="598BD3F7"/>
    <w:rsid w:val="598C44DC"/>
    <w:rsid w:val="598C70AD"/>
    <w:rsid w:val="598CE944"/>
    <w:rsid w:val="598CEC54"/>
    <w:rsid w:val="598D2B86"/>
    <w:rsid w:val="598E7E86"/>
    <w:rsid w:val="598EF654"/>
    <w:rsid w:val="598FBC25"/>
    <w:rsid w:val="59909E74"/>
    <w:rsid w:val="5991608B"/>
    <w:rsid w:val="5991684A"/>
    <w:rsid w:val="5991C640"/>
    <w:rsid w:val="59933B63"/>
    <w:rsid w:val="5993C36A"/>
    <w:rsid w:val="5993CD2F"/>
    <w:rsid w:val="59941156"/>
    <w:rsid w:val="59942B3E"/>
    <w:rsid w:val="59942C2D"/>
    <w:rsid w:val="59945C09"/>
    <w:rsid w:val="59953B18"/>
    <w:rsid w:val="5995E78F"/>
    <w:rsid w:val="59973CE9"/>
    <w:rsid w:val="599757D4"/>
    <w:rsid w:val="5997F8CE"/>
    <w:rsid w:val="59988EDA"/>
    <w:rsid w:val="5998DC67"/>
    <w:rsid w:val="599A72C9"/>
    <w:rsid w:val="599A78A5"/>
    <w:rsid w:val="599A798D"/>
    <w:rsid w:val="599B7E50"/>
    <w:rsid w:val="599BC085"/>
    <w:rsid w:val="599C1673"/>
    <w:rsid w:val="599C9747"/>
    <w:rsid w:val="599CDBC7"/>
    <w:rsid w:val="599D4074"/>
    <w:rsid w:val="599ED9A1"/>
    <w:rsid w:val="599F00B9"/>
    <w:rsid w:val="599FF6B1"/>
    <w:rsid w:val="59A0261B"/>
    <w:rsid w:val="59A235BD"/>
    <w:rsid w:val="59A256A0"/>
    <w:rsid w:val="59A2EA43"/>
    <w:rsid w:val="59A4D545"/>
    <w:rsid w:val="59A4EDF6"/>
    <w:rsid w:val="59A53009"/>
    <w:rsid w:val="59A6DCED"/>
    <w:rsid w:val="59A81694"/>
    <w:rsid w:val="59A8E1BA"/>
    <w:rsid w:val="59A90B9C"/>
    <w:rsid w:val="59A94558"/>
    <w:rsid w:val="59A98450"/>
    <w:rsid w:val="59AAA637"/>
    <w:rsid w:val="59AAFF8F"/>
    <w:rsid w:val="59AB9385"/>
    <w:rsid w:val="59AC416E"/>
    <w:rsid w:val="59ACCD1D"/>
    <w:rsid w:val="59AF6523"/>
    <w:rsid w:val="59AF9CA3"/>
    <w:rsid w:val="59AFA0FD"/>
    <w:rsid w:val="59AFCF18"/>
    <w:rsid w:val="59B11A12"/>
    <w:rsid w:val="59B27BCA"/>
    <w:rsid w:val="59B29E68"/>
    <w:rsid w:val="59B2FA66"/>
    <w:rsid w:val="59B334F5"/>
    <w:rsid w:val="59B39DA9"/>
    <w:rsid w:val="59B420E7"/>
    <w:rsid w:val="59B442ED"/>
    <w:rsid w:val="59B4B56E"/>
    <w:rsid w:val="59B54F0F"/>
    <w:rsid w:val="59B65949"/>
    <w:rsid w:val="59B758A2"/>
    <w:rsid w:val="59B771C8"/>
    <w:rsid w:val="59B84214"/>
    <w:rsid w:val="59B91971"/>
    <w:rsid w:val="59B929BF"/>
    <w:rsid w:val="59B9851C"/>
    <w:rsid w:val="59B9CFCE"/>
    <w:rsid w:val="59BA1728"/>
    <w:rsid w:val="59BABAE1"/>
    <w:rsid w:val="59BB8A26"/>
    <w:rsid w:val="59BD18BE"/>
    <w:rsid w:val="59BD93C7"/>
    <w:rsid w:val="59BFF100"/>
    <w:rsid w:val="59C0A9FD"/>
    <w:rsid w:val="59C0BFB7"/>
    <w:rsid w:val="59C16B40"/>
    <w:rsid w:val="59C178C2"/>
    <w:rsid w:val="59C239B2"/>
    <w:rsid w:val="59C33ECD"/>
    <w:rsid w:val="59C3B609"/>
    <w:rsid w:val="59C446B3"/>
    <w:rsid w:val="59C4F4D8"/>
    <w:rsid w:val="59C6175B"/>
    <w:rsid w:val="59C77FC3"/>
    <w:rsid w:val="59C7C300"/>
    <w:rsid w:val="59C8179C"/>
    <w:rsid w:val="59C85109"/>
    <w:rsid w:val="59C8CD6C"/>
    <w:rsid w:val="59C8E0D9"/>
    <w:rsid w:val="59C94B5D"/>
    <w:rsid w:val="59C9BE79"/>
    <w:rsid w:val="59CA3731"/>
    <w:rsid w:val="59CA6E43"/>
    <w:rsid w:val="59CA83D9"/>
    <w:rsid w:val="59CB0814"/>
    <w:rsid w:val="59CB5CC9"/>
    <w:rsid w:val="59CCF5B0"/>
    <w:rsid w:val="59CD94DF"/>
    <w:rsid w:val="59CDB3AA"/>
    <w:rsid w:val="59CDDADD"/>
    <w:rsid w:val="59CE1110"/>
    <w:rsid w:val="59CE2439"/>
    <w:rsid w:val="59CE96EF"/>
    <w:rsid w:val="59CF1BD8"/>
    <w:rsid w:val="59CF4603"/>
    <w:rsid w:val="59CF901A"/>
    <w:rsid w:val="59CFA6DF"/>
    <w:rsid w:val="59D05581"/>
    <w:rsid w:val="59D05697"/>
    <w:rsid w:val="59D20FB7"/>
    <w:rsid w:val="59D2AA46"/>
    <w:rsid w:val="59D39EC6"/>
    <w:rsid w:val="59D3F810"/>
    <w:rsid w:val="59D40AEB"/>
    <w:rsid w:val="59D4246B"/>
    <w:rsid w:val="59D596A0"/>
    <w:rsid w:val="59D5C569"/>
    <w:rsid w:val="59D622C9"/>
    <w:rsid w:val="59D64E86"/>
    <w:rsid w:val="59D773E1"/>
    <w:rsid w:val="59D79E70"/>
    <w:rsid w:val="59D95803"/>
    <w:rsid w:val="59D98A15"/>
    <w:rsid w:val="59D9B30A"/>
    <w:rsid w:val="59DA5E70"/>
    <w:rsid w:val="59DC6E64"/>
    <w:rsid w:val="59DD1D47"/>
    <w:rsid w:val="59DD9F33"/>
    <w:rsid w:val="59DDD274"/>
    <w:rsid w:val="59E01F7F"/>
    <w:rsid w:val="59E15D19"/>
    <w:rsid w:val="59E246DE"/>
    <w:rsid w:val="59E28674"/>
    <w:rsid w:val="59E3223A"/>
    <w:rsid w:val="59E48468"/>
    <w:rsid w:val="59E5B9D3"/>
    <w:rsid w:val="59E5D814"/>
    <w:rsid w:val="59E5D98D"/>
    <w:rsid w:val="59E67020"/>
    <w:rsid w:val="59E69D29"/>
    <w:rsid w:val="59E6E0D2"/>
    <w:rsid w:val="59E71E43"/>
    <w:rsid w:val="59E89AEF"/>
    <w:rsid w:val="59E8B3E4"/>
    <w:rsid w:val="59E92232"/>
    <w:rsid w:val="59E95FD0"/>
    <w:rsid w:val="59E9E8D2"/>
    <w:rsid w:val="59EAE0DA"/>
    <w:rsid w:val="59EB2A5C"/>
    <w:rsid w:val="59EB306B"/>
    <w:rsid w:val="59EBD6B3"/>
    <w:rsid w:val="59EC4F56"/>
    <w:rsid w:val="59EE382A"/>
    <w:rsid w:val="59EE7E87"/>
    <w:rsid w:val="59EF4D8E"/>
    <w:rsid w:val="59EFBEE8"/>
    <w:rsid w:val="59EFE6FC"/>
    <w:rsid w:val="59F119C9"/>
    <w:rsid w:val="59F15D9B"/>
    <w:rsid w:val="59F1856C"/>
    <w:rsid w:val="59F31151"/>
    <w:rsid w:val="59F3990B"/>
    <w:rsid w:val="59F47D3A"/>
    <w:rsid w:val="59F56D72"/>
    <w:rsid w:val="59F57292"/>
    <w:rsid w:val="59F58F1B"/>
    <w:rsid w:val="59F5A69B"/>
    <w:rsid w:val="59F5C2ED"/>
    <w:rsid w:val="59F761FA"/>
    <w:rsid w:val="59F859BF"/>
    <w:rsid w:val="59F8F3BA"/>
    <w:rsid w:val="59F90A62"/>
    <w:rsid w:val="59F95E31"/>
    <w:rsid w:val="59FA7FBC"/>
    <w:rsid w:val="59FA9414"/>
    <w:rsid w:val="59FAC4B1"/>
    <w:rsid w:val="59FB4EBB"/>
    <w:rsid w:val="59FBB5CA"/>
    <w:rsid w:val="59FCC057"/>
    <w:rsid w:val="59FE27AB"/>
    <w:rsid w:val="59FE89E0"/>
    <w:rsid w:val="59FF7256"/>
    <w:rsid w:val="59FFC022"/>
    <w:rsid w:val="59FFC3C4"/>
    <w:rsid w:val="59FFE047"/>
    <w:rsid w:val="5A005CD5"/>
    <w:rsid w:val="5A017418"/>
    <w:rsid w:val="5A01A6D3"/>
    <w:rsid w:val="5A01D3BA"/>
    <w:rsid w:val="5A01FDB4"/>
    <w:rsid w:val="5A036844"/>
    <w:rsid w:val="5A04B993"/>
    <w:rsid w:val="5A05E626"/>
    <w:rsid w:val="5A061ADA"/>
    <w:rsid w:val="5A062878"/>
    <w:rsid w:val="5A070476"/>
    <w:rsid w:val="5A0775CB"/>
    <w:rsid w:val="5A082621"/>
    <w:rsid w:val="5A085091"/>
    <w:rsid w:val="5A08E572"/>
    <w:rsid w:val="5A09D5F2"/>
    <w:rsid w:val="5A0A5395"/>
    <w:rsid w:val="5A0AD45F"/>
    <w:rsid w:val="5A0B9835"/>
    <w:rsid w:val="5A0BEC6C"/>
    <w:rsid w:val="5A0BF154"/>
    <w:rsid w:val="5A0BFD6B"/>
    <w:rsid w:val="5A0D7D8E"/>
    <w:rsid w:val="5A0D967A"/>
    <w:rsid w:val="5A0DAF64"/>
    <w:rsid w:val="5A0DDD22"/>
    <w:rsid w:val="5A0E8C93"/>
    <w:rsid w:val="5A104317"/>
    <w:rsid w:val="5A139C23"/>
    <w:rsid w:val="5A13F90D"/>
    <w:rsid w:val="5A14B633"/>
    <w:rsid w:val="5A15E881"/>
    <w:rsid w:val="5A160613"/>
    <w:rsid w:val="5A161CE3"/>
    <w:rsid w:val="5A166995"/>
    <w:rsid w:val="5A1685C8"/>
    <w:rsid w:val="5A17781F"/>
    <w:rsid w:val="5A182B40"/>
    <w:rsid w:val="5A190BC9"/>
    <w:rsid w:val="5A191489"/>
    <w:rsid w:val="5A19180E"/>
    <w:rsid w:val="5A195945"/>
    <w:rsid w:val="5A19973E"/>
    <w:rsid w:val="5A199AB5"/>
    <w:rsid w:val="5A19ED3C"/>
    <w:rsid w:val="5A1AAED4"/>
    <w:rsid w:val="5A1AC7DB"/>
    <w:rsid w:val="5A1B7F28"/>
    <w:rsid w:val="5A1C5289"/>
    <w:rsid w:val="5A1C756C"/>
    <w:rsid w:val="5A1D9A41"/>
    <w:rsid w:val="5A1DAAAD"/>
    <w:rsid w:val="5A1DF196"/>
    <w:rsid w:val="5A1DF5E3"/>
    <w:rsid w:val="5A1E2932"/>
    <w:rsid w:val="5A201B29"/>
    <w:rsid w:val="5A205041"/>
    <w:rsid w:val="5A207128"/>
    <w:rsid w:val="5A21647A"/>
    <w:rsid w:val="5A21F2E1"/>
    <w:rsid w:val="5A229E99"/>
    <w:rsid w:val="5A23148D"/>
    <w:rsid w:val="5A234EAD"/>
    <w:rsid w:val="5A2351B1"/>
    <w:rsid w:val="5A24BB0D"/>
    <w:rsid w:val="5A25B1F7"/>
    <w:rsid w:val="5A26AD22"/>
    <w:rsid w:val="5A279C8F"/>
    <w:rsid w:val="5A27C854"/>
    <w:rsid w:val="5A2805A3"/>
    <w:rsid w:val="5A283425"/>
    <w:rsid w:val="5A294DE1"/>
    <w:rsid w:val="5A2A2EC5"/>
    <w:rsid w:val="5A2A7346"/>
    <w:rsid w:val="5A2AE8F1"/>
    <w:rsid w:val="5A2B3F81"/>
    <w:rsid w:val="5A2B5B5B"/>
    <w:rsid w:val="5A2BE4EF"/>
    <w:rsid w:val="5A2C63B0"/>
    <w:rsid w:val="5A2C83F4"/>
    <w:rsid w:val="5A2D54A9"/>
    <w:rsid w:val="5A2D8E72"/>
    <w:rsid w:val="5A2DE33A"/>
    <w:rsid w:val="5A2EB31A"/>
    <w:rsid w:val="5A2EDA57"/>
    <w:rsid w:val="5A2EF5E4"/>
    <w:rsid w:val="5A2F0364"/>
    <w:rsid w:val="5A30131F"/>
    <w:rsid w:val="5A303436"/>
    <w:rsid w:val="5A306A77"/>
    <w:rsid w:val="5A30BE68"/>
    <w:rsid w:val="5A30F096"/>
    <w:rsid w:val="5A3180DB"/>
    <w:rsid w:val="5A31EC75"/>
    <w:rsid w:val="5A323D0C"/>
    <w:rsid w:val="5A32E15F"/>
    <w:rsid w:val="5A33E0E1"/>
    <w:rsid w:val="5A3427E4"/>
    <w:rsid w:val="5A348AB3"/>
    <w:rsid w:val="5A34FC15"/>
    <w:rsid w:val="5A358CCD"/>
    <w:rsid w:val="5A36DB60"/>
    <w:rsid w:val="5A3707F4"/>
    <w:rsid w:val="5A377F70"/>
    <w:rsid w:val="5A38EFF7"/>
    <w:rsid w:val="5A395F70"/>
    <w:rsid w:val="5A3A975D"/>
    <w:rsid w:val="5A3C298E"/>
    <w:rsid w:val="5A3CDF45"/>
    <w:rsid w:val="5A3D1732"/>
    <w:rsid w:val="5A3D8EB8"/>
    <w:rsid w:val="5A3EDB3B"/>
    <w:rsid w:val="5A3EDE30"/>
    <w:rsid w:val="5A402AC7"/>
    <w:rsid w:val="5A414F68"/>
    <w:rsid w:val="5A42262F"/>
    <w:rsid w:val="5A42DD4F"/>
    <w:rsid w:val="5A432C25"/>
    <w:rsid w:val="5A4378E2"/>
    <w:rsid w:val="5A437A66"/>
    <w:rsid w:val="5A43D66E"/>
    <w:rsid w:val="5A4428F0"/>
    <w:rsid w:val="5A448788"/>
    <w:rsid w:val="5A448BBC"/>
    <w:rsid w:val="5A449EEC"/>
    <w:rsid w:val="5A451226"/>
    <w:rsid w:val="5A4664A2"/>
    <w:rsid w:val="5A47EB9F"/>
    <w:rsid w:val="5A48358E"/>
    <w:rsid w:val="5A48AC8A"/>
    <w:rsid w:val="5A492214"/>
    <w:rsid w:val="5A492A4F"/>
    <w:rsid w:val="5A492AEB"/>
    <w:rsid w:val="5A492FEC"/>
    <w:rsid w:val="5A498E5B"/>
    <w:rsid w:val="5A49D25F"/>
    <w:rsid w:val="5A4B08F7"/>
    <w:rsid w:val="5A4B76BF"/>
    <w:rsid w:val="5A4BF6D3"/>
    <w:rsid w:val="5A4C01D5"/>
    <w:rsid w:val="5A4C0BD6"/>
    <w:rsid w:val="5A4CE582"/>
    <w:rsid w:val="5A4D60DF"/>
    <w:rsid w:val="5A4E8889"/>
    <w:rsid w:val="5A4FA606"/>
    <w:rsid w:val="5A4FA8E7"/>
    <w:rsid w:val="5A5210A2"/>
    <w:rsid w:val="5A527D8D"/>
    <w:rsid w:val="5A530B92"/>
    <w:rsid w:val="5A5310C6"/>
    <w:rsid w:val="5A5499BE"/>
    <w:rsid w:val="5A54AABB"/>
    <w:rsid w:val="5A55EC17"/>
    <w:rsid w:val="5A55F4AA"/>
    <w:rsid w:val="5A581314"/>
    <w:rsid w:val="5A587831"/>
    <w:rsid w:val="5A589B7E"/>
    <w:rsid w:val="5A596989"/>
    <w:rsid w:val="5A5C5E69"/>
    <w:rsid w:val="5A5CD3F9"/>
    <w:rsid w:val="5A5D01C9"/>
    <w:rsid w:val="5A5DA336"/>
    <w:rsid w:val="5A5DEA92"/>
    <w:rsid w:val="5A5E8291"/>
    <w:rsid w:val="5A5E86B7"/>
    <w:rsid w:val="5A5F7D40"/>
    <w:rsid w:val="5A5FF777"/>
    <w:rsid w:val="5A5FF8CD"/>
    <w:rsid w:val="5A60AA05"/>
    <w:rsid w:val="5A614761"/>
    <w:rsid w:val="5A629D02"/>
    <w:rsid w:val="5A63CF06"/>
    <w:rsid w:val="5A63DFDC"/>
    <w:rsid w:val="5A64C648"/>
    <w:rsid w:val="5A651379"/>
    <w:rsid w:val="5A6516A8"/>
    <w:rsid w:val="5A657990"/>
    <w:rsid w:val="5A65DC2F"/>
    <w:rsid w:val="5A683D08"/>
    <w:rsid w:val="5A688742"/>
    <w:rsid w:val="5A68D095"/>
    <w:rsid w:val="5A68E64A"/>
    <w:rsid w:val="5A68EF6F"/>
    <w:rsid w:val="5A697704"/>
    <w:rsid w:val="5A6A16C6"/>
    <w:rsid w:val="5A6B1D8C"/>
    <w:rsid w:val="5A6B7094"/>
    <w:rsid w:val="5A6C777E"/>
    <w:rsid w:val="5A6C9BDA"/>
    <w:rsid w:val="5A6CEFA0"/>
    <w:rsid w:val="5A6D0551"/>
    <w:rsid w:val="5A6D2AED"/>
    <w:rsid w:val="5A6D4602"/>
    <w:rsid w:val="5A6DAD5B"/>
    <w:rsid w:val="5A6E1E41"/>
    <w:rsid w:val="5A6F6566"/>
    <w:rsid w:val="5A7098D4"/>
    <w:rsid w:val="5A70E7D7"/>
    <w:rsid w:val="5A710F42"/>
    <w:rsid w:val="5A712656"/>
    <w:rsid w:val="5A718EEB"/>
    <w:rsid w:val="5A71A05F"/>
    <w:rsid w:val="5A71DCCC"/>
    <w:rsid w:val="5A727E3E"/>
    <w:rsid w:val="5A72BB1C"/>
    <w:rsid w:val="5A759265"/>
    <w:rsid w:val="5A7648B6"/>
    <w:rsid w:val="5A770D83"/>
    <w:rsid w:val="5A781816"/>
    <w:rsid w:val="5A7A8073"/>
    <w:rsid w:val="5A7BF1AA"/>
    <w:rsid w:val="5A7C11B1"/>
    <w:rsid w:val="5A7C7D9F"/>
    <w:rsid w:val="5A7D2951"/>
    <w:rsid w:val="5A7D4F65"/>
    <w:rsid w:val="5A7D7A62"/>
    <w:rsid w:val="5A7EB891"/>
    <w:rsid w:val="5A808109"/>
    <w:rsid w:val="5A81FF38"/>
    <w:rsid w:val="5A8214BD"/>
    <w:rsid w:val="5A826FAF"/>
    <w:rsid w:val="5A82864E"/>
    <w:rsid w:val="5A84AD27"/>
    <w:rsid w:val="5A850E06"/>
    <w:rsid w:val="5A862678"/>
    <w:rsid w:val="5A867919"/>
    <w:rsid w:val="5A86D9C3"/>
    <w:rsid w:val="5A876756"/>
    <w:rsid w:val="5A879F76"/>
    <w:rsid w:val="5A88D9C1"/>
    <w:rsid w:val="5A89D920"/>
    <w:rsid w:val="5A8A1EC6"/>
    <w:rsid w:val="5A8B06D4"/>
    <w:rsid w:val="5A8B3963"/>
    <w:rsid w:val="5A8B5270"/>
    <w:rsid w:val="5A8B8C2E"/>
    <w:rsid w:val="5A8BE83D"/>
    <w:rsid w:val="5A8C723F"/>
    <w:rsid w:val="5A8C8528"/>
    <w:rsid w:val="5A8DEF1E"/>
    <w:rsid w:val="5A8E13DE"/>
    <w:rsid w:val="5A8E93F0"/>
    <w:rsid w:val="5A8EC336"/>
    <w:rsid w:val="5A8F7B1A"/>
    <w:rsid w:val="5A8FF53E"/>
    <w:rsid w:val="5A91D9FD"/>
    <w:rsid w:val="5A927DF2"/>
    <w:rsid w:val="5A928371"/>
    <w:rsid w:val="5A92AE73"/>
    <w:rsid w:val="5A92B652"/>
    <w:rsid w:val="5A92BC3C"/>
    <w:rsid w:val="5A92E4A5"/>
    <w:rsid w:val="5A92F632"/>
    <w:rsid w:val="5A93D15F"/>
    <w:rsid w:val="5A93E40A"/>
    <w:rsid w:val="5A93EBC1"/>
    <w:rsid w:val="5A944AB6"/>
    <w:rsid w:val="5A94E605"/>
    <w:rsid w:val="5A950DD9"/>
    <w:rsid w:val="5A95F446"/>
    <w:rsid w:val="5A963D82"/>
    <w:rsid w:val="5A96E170"/>
    <w:rsid w:val="5A97479A"/>
    <w:rsid w:val="5A978565"/>
    <w:rsid w:val="5A97B694"/>
    <w:rsid w:val="5A98276D"/>
    <w:rsid w:val="5A99CDA1"/>
    <w:rsid w:val="5A99DD28"/>
    <w:rsid w:val="5A9B496F"/>
    <w:rsid w:val="5A9BECFB"/>
    <w:rsid w:val="5A9C0D26"/>
    <w:rsid w:val="5A9CD412"/>
    <w:rsid w:val="5A9CD68A"/>
    <w:rsid w:val="5A9EB0E2"/>
    <w:rsid w:val="5AA08F6C"/>
    <w:rsid w:val="5AA0BF3F"/>
    <w:rsid w:val="5AA0D9FB"/>
    <w:rsid w:val="5AA15FFC"/>
    <w:rsid w:val="5AA28866"/>
    <w:rsid w:val="5AA2FD73"/>
    <w:rsid w:val="5AA4C94B"/>
    <w:rsid w:val="5AA4E37B"/>
    <w:rsid w:val="5AA514BC"/>
    <w:rsid w:val="5AA5DD82"/>
    <w:rsid w:val="5AA5EAE9"/>
    <w:rsid w:val="5AA61E9E"/>
    <w:rsid w:val="5AA62D76"/>
    <w:rsid w:val="5AA6D4BD"/>
    <w:rsid w:val="5AA6F868"/>
    <w:rsid w:val="5AA80DE6"/>
    <w:rsid w:val="5AA92712"/>
    <w:rsid w:val="5AA97919"/>
    <w:rsid w:val="5AA9866C"/>
    <w:rsid w:val="5AA9991A"/>
    <w:rsid w:val="5AA9D7D3"/>
    <w:rsid w:val="5AAA5BDC"/>
    <w:rsid w:val="5AAB425B"/>
    <w:rsid w:val="5AAC4BE0"/>
    <w:rsid w:val="5AADADDB"/>
    <w:rsid w:val="5AAEB733"/>
    <w:rsid w:val="5AAEF625"/>
    <w:rsid w:val="5AAF448E"/>
    <w:rsid w:val="5AAF6301"/>
    <w:rsid w:val="5AAF86D3"/>
    <w:rsid w:val="5AAF8E88"/>
    <w:rsid w:val="5AB00424"/>
    <w:rsid w:val="5AB00E2C"/>
    <w:rsid w:val="5AB10C4D"/>
    <w:rsid w:val="5AB1C58F"/>
    <w:rsid w:val="5AB2F31E"/>
    <w:rsid w:val="5AB353C5"/>
    <w:rsid w:val="5AB3A8A0"/>
    <w:rsid w:val="5AB4269D"/>
    <w:rsid w:val="5AB47DAE"/>
    <w:rsid w:val="5AB7DEB1"/>
    <w:rsid w:val="5AB99366"/>
    <w:rsid w:val="5ABA545C"/>
    <w:rsid w:val="5ABA7BCB"/>
    <w:rsid w:val="5ABA9A31"/>
    <w:rsid w:val="5ABB674E"/>
    <w:rsid w:val="5ABB9A15"/>
    <w:rsid w:val="5ABCA600"/>
    <w:rsid w:val="5ABCC4B6"/>
    <w:rsid w:val="5ABD03B3"/>
    <w:rsid w:val="5ABE67A0"/>
    <w:rsid w:val="5ABE6FF8"/>
    <w:rsid w:val="5ABE76E3"/>
    <w:rsid w:val="5ABED505"/>
    <w:rsid w:val="5ABF0116"/>
    <w:rsid w:val="5ABF7CBA"/>
    <w:rsid w:val="5AC0374F"/>
    <w:rsid w:val="5AC08EC7"/>
    <w:rsid w:val="5AC102F5"/>
    <w:rsid w:val="5AC34027"/>
    <w:rsid w:val="5AC45E81"/>
    <w:rsid w:val="5AC4850B"/>
    <w:rsid w:val="5AC6FC9A"/>
    <w:rsid w:val="5AC7407C"/>
    <w:rsid w:val="5AC89CAF"/>
    <w:rsid w:val="5AC8E5B9"/>
    <w:rsid w:val="5ACB019F"/>
    <w:rsid w:val="5ACB7493"/>
    <w:rsid w:val="5ACBCC35"/>
    <w:rsid w:val="5ACC2683"/>
    <w:rsid w:val="5ACC3C14"/>
    <w:rsid w:val="5ACC77F5"/>
    <w:rsid w:val="5ACD4A94"/>
    <w:rsid w:val="5ACE6CB6"/>
    <w:rsid w:val="5ACF8ADB"/>
    <w:rsid w:val="5ACF93C8"/>
    <w:rsid w:val="5ACFBBC3"/>
    <w:rsid w:val="5ACFE868"/>
    <w:rsid w:val="5AD06A1C"/>
    <w:rsid w:val="5AD08873"/>
    <w:rsid w:val="5AD0E7EE"/>
    <w:rsid w:val="5AD0FF7A"/>
    <w:rsid w:val="5AD1012D"/>
    <w:rsid w:val="5AD1946C"/>
    <w:rsid w:val="5AD196E3"/>
    <w:rsid w:val="5AD1AFC3"/>
    <w:rsid w:val="5AD2934A"/>
    <w:rsid w:val="5AD29C79"/>
    <w:rsid w:val="5AD37D30"/>
    <w:rsid w:val="5AD3FBD0"/>
    <w:rsid w:val="5AD5A944"/>
    <w:rsid w:val="5AD68B4B"/>
    <w:rsid w:val="5AD6F09F"/>
    <w:rsid w:val="5AD80308"/>
    <w:rsid w:val="5AD83C41"/>
    <w:rsid w:val="5AD876A8"/>
    <w:rsid w:val="5AD8E59F"/>
    <w:rsid w:val="5AD98B27"/>
    <w:rsid w:val="5AD9C8D4"/>
    <w:rsid w:val="5ADA44AF"/>
    <w:rsid w:val="5ADA8082"/>
    <w:rsid w:val="5ADC6129"/>
    <w:rsid w:val="5ADC9C00"/>
    <w:rsid w:val="5ADD42F2"/>
    <w:rsid w:val="5ADD56FD"/>
    <w:rsid w:val="5ADD6F60"/>
    <w:rsid w:val="5ADDA0E2"/>
    <w:rsid w:val="5ADDFF7D"/>
    <w:rsid w:val="5ADEC78D"/>
    <w:rsid w:val="5ADFA699"/>
    <w:rsid w:val="5AE06578"/>
    <w:rsid w:val="5AE11FF6"/>
    <w:rsid w:val="5AE1252B"/>
    <w:rsid w:val="5AE2E92A"/>
    <w:rsid w:val="5AE2F228"/>
    <w:rsid w:val="5AE30A2E"/>
    <w:rsid w:val="5AE3AFB7"/>
    <w:rsid w:val="5AE42FA1"/>
    <w:rsid w:val="5AE43F36"/>
    <w:rsid w:val="5AE460B4"/>
    <w:rsid w:val="5AE49BE8"/>
    <w:rsid w:val="5AE4C6D9"/>
    <w:rsid w:val="5AE5E44C"/>
    <w:rsid w:val="5AE64FAD"/>
    <w:rsid w:val="5AE7071B"/>
    <w:rsid w:val="5AE7C4D5"/>
    <w:rsid w:val="5AEA6436"/>
    <w:rsid w:val="5AEAF0EC"/>
    <w:rsid w:val="5AEC179D"/>
    <w:rsid w:val="5AEC3AE9"/>
    <w:rsid w:val="5AEC7629"/>
    <w:rsid w:val="5AEC80BD"/>
    <w:rsid w:val="5AECDA00"/>
    <w:rsid w:val="5AED6DF2"/>
    <w:rsid w:val="5AEE03CD"/>
    <w:rsid w:val="5AEE3ABA"/>
    <w:rsid w:val="5AEF5EC2"/>
    <w:rsid w:val="5AEF918F"/>
    <w:rsid w:val="5AF0C990"/>
    <w:rsid w:val="5AF11B38"/>
    <w:rsid w:val="5AF12F2F"/>
    <w:rsid w:val="5AF303E0"/>
    <w:rsid w:val="5AF37BF6"/>
    <w:rsid w:val="5AF3E26C"/>
    <w:rsid w:val="5AF40B23"/>
    <w:rsid w:val="5AF475FA"/>
    <w:rsid w:val="5AF4FB81"/>
    <w:rsid w:val="5AF57D5F"/>
    <w:rsid w:val="5AF61983"/>
    <w:rsid w:val="5AF66680"/>
    <w:rsid w:val="5AF666EB"/>
    <w:rsid w:val="5AF6A236"/>
    <w:rsid w:val="5AF74A3A"/>
    <w:rsid w:val="5AF76D2D"/>
    <w:rsid w:val="5AF81806"/>
    <w:rsid w:val="5AF93F01"/>
    <w:rsid w:val="5AFA2539"/>
    <w:rsid w:val="5AFA715E"/>
    <w:rsid w:val="5AFBA565"/>
    <w:rsid w:val="5AFC3259"/>
    <w:rsid w:val="5AFC5C78"/>
    <w:rsid w:val="5AFC6150"/>
    <w:rsid w:val="5AFCB15D"/>
    <w:rsid w:val="5AFF7528"/>
    <w:rsid w:val="5B00DCF9"/>
    <w:rsid w:val="5B01065A"/>
    <w:rsid w:val="5B0269DC"/>
    <w:rsid w:val="5B0303A5"/>
    <w:rsid w:val="5B030825"/>
    <w:rsid w:val="5B0324E5"/>
    <w:rsid w:val="5B032FF9"/>
    <w:rsid w:val="5B04543B"/>
    <w:rsid w:val="5B049331"/>
    <w:rsid w:val="5B050738"/>
    <w:rsid w:val="5B068BD9"/>
    <w:rsid w:val="5B068D19"/>
    <w:rsid w:val="5B0714C5"/>
    <w:rsid w:val="5B07634D"/>
    <w:rsid w:val="5B07BA5D"/>
    <w:rsid w:val="5B082345"/>
    <w:rsid w:val="5B093375"/>
    <w:rsid w:val="5B0A2565"/>
    <w:rsid w:val="5B0B50FF"/>
    <w:rsid w:val="5B0B853A"/>
    <w:rsid w:val="5B0BC556"/>
    <w:rsid w:val="5B0C4623"/>
    <w:rsid w:val="5B0D12E3"/>
    <w:rsid w:val="5B0D34A7"/>
    <w:rsid w:val="5B0D77F0"/>
    <w:rsid w:val="5B0D9AAE"/>
    <w:rsid w:val="5B0E9CA9"/>
    <w:rsid w:val="5B0FBD30"/>
    <w:rsid w:val="5B0FBFF5"/>
    <w:rsid w:val="5B10950D"/>
    <w:rsid w:val="5B10EA3E"/>
    <w:rsid w:val="5B112407"/>
    <w:rsid w:val="5B116481"/>
    <w:rsid w:val="5B119253"/>
    <w:rsid w:val="5B1322C3"/>
    <w:rsid w:val="5B13B509"/>
    <w:rsid w:val="5B13C066"/>
    <w:rsid w:val="5B13E3AE"/>
    <w:rsid w:val="5B13EC24"/>
    <w:rsid w:val="5B151212"/>
    <w:rsid w:val="5B15ABCB"/>
    <w:rsid w:val="5B15FB0F"/>
    <w:rsid w:val="5B166D7C"/>
    <w:rsid w:val="5B1751D6"/>
    <w:rsid w:val="5B181CD0"/>
    <w:rsid w:val="5B18545A"/>
    <w:rsid w:val="5B19ECBB"/>
    <w:rsid w:val="5B1A0729"/>
    <w:rsid w:val="5B1A4CFD"/>
    <w:rsid w:val="5B1B4C42"/>
    <w:rsid w:val="5B1CA4CA"/>
    <w:rsid w:val="5B1CBABC"/>
    <w:rsid w:val="5B1E3D45"/>
    <w:rsid w:val="5B1F010F"/>
    <w:rsid w:val="5B1F2186"/>
    <w:rsid w:val="5B1FAD1C"/>
    <w:rsid w:val="5B1FBF18"/>
    <w:rsid w:val="5B21DBE3"/>
    <w:rsid w:val="5B221D21"/>
    <w:rsid w:val="5B23C3F5"/>
    <w:rsid w:val="5B24FDC2"/>
    <w:rsid w:val="5B270DE3"/>
    <w:rsid w:val="5B2791B6"/>
    <w:rsid w:val="5B27BBCB"/>
    <w:rsid w:val="5B2826EB"/>
    <w:rsid w:val="5B29F527"/>
    <w:rsid w:val="5B2A4EE7"/>
    <w:rsid w:val="5B2A6804"/>
    <w:rsid w:val="5B2B2491"/>
    <w:rsid w:val="5B2B6454"/>
    <w:rsid w:val="5B2BEBE6"/>
    <w:rsid w:val="5B2C521C"/>
    <w:rsid w:val="5B2C9D9C"/>
    <w:rsid w:val="5B2CA22F"/>
    <w:rsid w:val="5B2D0166"/>
    <w:rsid w:val="5B2D0ECA"/>
    <w:rsid w:val="5B2D67B8"/>
    <w:rsid w:val="5B2EDB9D"/>
    <w:rsid w:val="5B2F72A3"/>
    <w:rsid w:val="5B2F8DAB"/>
    <w:rsid w:val="5B30F7E7"/>
    <w:rsid w:val="5B315D0D"/>
    <w:rsid w:val="5B318A65"/>
    <w:rsid w:val="5B3266AF"/>
    <w:rsid w:val="5B329936"/>
    <w:rsid w:val="5B33133C"/>
    <w:rsid w:val="5B338DF5"/>
    <w:rsid w:val="5B3624CD"/>
    <w:rsid w:val="5B36E5FF"/>
    <w:rsid w:val="5B373782"/>
    <w:rsid w:val="5B375203"/>
    <w:rsid w:val="5B3795AE"/>
    <w:rsid w:val="5B37D6E5"/>
    <w:rsid w:val="5B3800D5"/>
    <w:rsid w:val="5B385CC8"/>
    <w:rsid w:val="5B39477D"/>
    <w:rsid w:val="5B3AEC4D"/>
    <w:rsid w:val="5B3B4DA2"/>
    <w:rsid w:val="5B3B5D97"/>
    <w:rsid w:val="5B3DF396"/>
    <w:rsid w:val="5B3E8805"/>
    <w:rsid w:val="5B3E9F68"/>
    <w:rsid w:val="5B40A9E5"/>
    <w:rsid w:val="5B40ADC4"/>
    <w:rsid w:val="5B417CA7"/>
    <w:rsid w:val="5B427B0F"/>
    <w:rsid w:val="5B427F59"/>
    <w:rsid w:val="5B428114"/>
    <w:rsid w:val="5B42CF16"/>
    <w:rsid w:val="5B433AD3"/>
    <w:rsid w:val="5B44A7F0"/>
    <w:rsid w:val="5B44FA81"/>
    <w:rsid w:val="5B450D45"/>
    <w:rsid w:val="5B45A7EA"/>
    <w:rsid w:val="5B46C0A6"/>
    <w:rsid w:val="5B4755B1"/>
    <w:rsid w:val="5B476396"/>
    <w:rsid w:val="5B48D084"/>
    <w:rsid w:val="5B492723"/>
    <w:rsid w:val="5B49341E"/>
    <w:rsid w:val="5B4A2E40"/>
    <w:rsid w:val="5B4A59C0"/>
    <w:rsid w:val="5B4B1913"/>
    <w:rsid w:val="5B4BB0AF"/>
    <w:rsid w:val="5B4DEA26"/>
    <w:rsid w:val="5B4DEB1F"/>
    <w:rsid w:val="5B4E1DDD"/>
    <w:rsid w:val="5B4E1FA4"/>
    <w:rsid w:val="5B4E8A5B"/>
    <w:rsid w:val="5B4F2559"/>
    <w:rsid w:val="5B4F357C"/>
    <w:rsid w:val="5B4F8BF2"/>
    <w:rsid w:val="5B500EF3"/>
    <w:rsid w:val="5B50BD9C"/>
    <w:rsid w:val="5B520FA4"/>
    <w:rsid w:val="5B5231FF"/>
    <w:rsid w:val="5B525100"/>
    <w:rsid w:val="5B52E9EE"/>
    <w:rsid w:val="5B533BFA"/>
    <w:rsid w:val="5B53970E"/>
    <w:rsid w:val="5B53C1C6"/>
    <w:rsid w:val="5B543F63"/>
    <w:rsid w:val="5B552049"/>
    <w:rsid w:val="5B55570D"/>
    <w:rsid w:val="5B5585ED"/>
    <w:rsid w:val="5B5648C8"/>
    <w:rsid w:val="5B5658EA"/>
    <w:rsid w:val="5B56831A"/>
    <w:rsid w:val="5B568FA8"/>
    <w:rsid w:val="5B57852C"/>
    <w:rsid w:val="5B578DC2"/>
    <w:rsid w:val="5B579DE7"/>
    <w:rsid w:val="5B57D9F0"/>
    <w:rsid w:val="5B58D4F4"/>
    <w:rsid w:val="5B590218"/>
    <w:rsid w:val="5B5996BF"/>
    <w:rsid w:val="5B5A0E6A"/>
    <w:rsid w:val="5B5A9C37"/>
    <w:rsid w:val="5B5B4B18"/>
    <w:rsid w:val="5B5B9E6B"/>
    <w:rsid w:val="5B5CB0CA"/>
    <w:rsid w:val="5B5D182B"/>
    <w:rsid w:val="5B5DC387"/>
    <w:rsid w:val="5B5E3C7F"/>
    <w:rsid w:val="5B5EA433"/>
    <w:rsid w:val="5B5EB3FC"/>
    <w:rsid w:val="5B5EE50C"/>
    <w:rsid w:val="5B5F874B"/>
    <w:rsid w:val="5B5FA752"/>
    <w:rsid w:val="5B5FBCB6"/>
    <w:rsid w:val="5B601C8F"/>
    <w:rsid w:val="5B623D49"/>
    <w:rsid w:val="5B63F9B6"/>
    <w:rsid w:val="5B654DE9"/>
    <w:rsid w:val="5B65579D"/>
    <w:rsid w:val="5B66A827"/>
    <w:rsid w:val="5B67518E"/>
    <w:rsid w:val="5B679600"/>
    <w:rsid w:val="5B68CB96"/>
    <w:rsid w:val="5B69047B"/>
    <w:rsid w:val="5B692343"/>
    <w:rsid w:val="5B69FCB1"/>
    <w:rsid w:val="5B6B24EA"/>
    <w:rsid w:val="5B6B67A2"/>
    <w:rsid w:val="5B6BA6B3"/>
    <w:rsid w:val="5B6C1FD0"/>
    <w:rsid w:val="5B6D87FC"/>
    <w:rsid w:val="5B6E69F1"/>
    <w:rsid w:val="5B6E838C"/>
    <w:rsid w:val="5B6F03B9"/>
    <w:rsid w:val="5B700B79"/>
    <w:rsid w:val="5B707751"/>
    <w:rsid w:val="5B70F157"/>
    <w:rsid w:val="5B714E8D"/>
    <w:rsid w:val="5B716782"/>
    <w:rsid w:val="5B71E16F"/>
    <w:rsid w:val="5B72E873"/>
    <w:rsid w:val="5B72F512"/>
    <w:rsid w:val="5B7366BC"/>
    <w:rsid w:val="5B7399D9"/>
    <w:rsid w:val="5B7473A3"/>
    <w:rsid w:val="5B74D509"/>
    <w:rsid w:val="5B75328F"/>
    <w:rsid w:val="5B7613A5"/>
    <w:rsid w:val="5B767560"/>
    <w:rsid w:val="5B77D876"/>
    <w:rsid w:val="5B78BDE8"/>
    <w:rsid w:val="5B7C1D79"/>
    <w:rsid w:val="5B7C338A"/>
    <w:rsid w:val="5B7D4792"/>
    <w:rsid w:val="5B7DC2FF"/>
    <w:rsid w:val="5B7F3306"/>
    <w:rsid w:val="5B7F5553"/>
    <w:rsid w:val="5B807282"/>
    <w:rsid w:val="5B80A667"/>
    <w:rsid w:val="5B82446D"/>
    <w:rsid w:val="5B825CF7"/>
    <w:rsid w:val="5B82C51F"/>
    <w:rsid w:val="5B836270"/>
    <w:rsid w:val="5B839FB7"/>
    <w:rsid w:val="5B83F773"/>
    <w:rsid w:val="5B842546"/>
    <w:rsid w:val="5B844B2C"/>
    <w:rsid w:val="5B84C7A4"/>
    <w:rsid w:val="5B84C936"/>
    <w:rsid w:val="5B86E080"/>
    <w:rsid w:val="5B879334"/>
    <w:rsid w:val="5B885C52"/>
    <w:rsid w:val="5B88A26A"/>
    <w:rsid w:val="5B88D6F8"/>
    <w:rsid w:val="5B89AABB"/>
    <w:rsid w:val="5B89DC3B"/>
    <w:rsid w:val="5B8A0A43"/>
    <w:rsid w:val="5B8A1603"/>
    <w:rsid w:val="5B8B069E"/>
    <w:rsid w:val="5B8B710B"/>
    <w:rsid w:val="5B8B9518"/>
    <w:rsid w:val="5B8CC2D0"/>
    <w:rsid w:val="5B8CFC45"/>
    <w:rsid w:val="5B8D6599"/>
    <w:rsid w:val="5B8E3655"/>
    <w:rsid w:val="5B8E7DFE"/>
    <w:rsid w:val="5B8F371B"/>
    <w:rsid w:val="5B9070CC"/>
    <w:rsid w:val="5B90C8BB"/>
    <w:rsid w:val="5B92B8E7"/>
    <w:rsid w:val="5B93CAFC"/>
    <w:rsid w:val="5B93F59C"/>
    <w:rsid w:val="5B94125F"/>
    <w:rsid w:val="5B94F256"/>
    <w:rsid w:val="5B95ECBB"/>
    <w:rsid w:val="5B961980"/>
    <w:rsid w:val="5B96701B"/>
    <w:rsid w:val="5B96B586"/>
    <w:rsid w:val="5B96D8B6"/>
    <w:rsid w:val="5B96DC5C"/>
    <w:rsid w:val="5B975545"/>
    <w:rsid w:val="5B9793CD"/>
    <w:rsid w:val="5B97A961"/>
    <w:rsid w:val="5B986FE1"/>
    <w:rsid w:val="5B98CF83"/>
    <w:rsid w:val="5B98D1FB"/>
    <w:rsid w:val="5B992F36"/>
    <w:rsid w:val="5B99BEC5"/>
    <w:rsid w:val="5B99C884"/>
    <w:rsid w:val="5B99D40C"/>
    <w:rsid w:val="5B9C3EB2"/>
    <w:rsid w:val="5B9CFF00"/>
    <w:rsid w:val="5B9D7741"/>
    <w:rsid w:val="5B9DDA1F"/>
    <w:rsid w:val="5B9E4574"/>
    <w:rsid w:val="5B9E6FCF"/>
    <w:rsid w:val="5B9E82B8"/>
    <w:rsid w:val="5B9EA1DD"/>
    <w:rsid w:val="5B9EEC9F"/>
    <w:rsid w:val="5B9F7C94"/>
    <w:rsid w:val="5B9FDB35"/>
    <w:rsid w:val="5BA0B008"/>
    <w:rsid w:val="5BA225EA"/>
    <w:rsid w:val="5BA25DE0"/>
    <w:rsid w:val="5BA274D8"/>
    <w:rsid w:val="5BA3CFEF"/>
    <w:rsid w:val="5BA3DEC9"/>
    <w:rsid w:val="5BA3E3CC"/>
    <w:rsid w:val="5BA49D47"/>
    <w:rsid w:val="5BA52E88"/>
    <w:rsid w:val="5BA68430"/>
    <w:rsid w:val="5BA68733"/>
    <w:rsid w:val="5BA755BF"/>
    <w:rsid w:val="5BA7DB18"/>
    <w:rsid w:val="5BA80671"/>
    <w:rsid w:val="5BA92423"/>
    <w:rsid w:val="5BA93BAC"/>
    <w:rsid w:val="5BAA3690"/>
    <w:rsid w:val="5BABAC00"/>
    <w:rsid w:val="5BAD0B5C"/>
    <w:rsid w:val="5BAD1EF6"/>
    <w:rsid w:val="5BAD735E"/>
    <w:rsid w:val="5BAD821C"/>
    <w:rsid w:val="5BAE0432"/>
    <w:rsid w:val="5BAE4A65"/>
    <w:rsid w:val="5BAE8CB0"/>
    <w:rsid w:val="5BAF4BBF"/>
    <w:rsid w:val="5BAF6439"/>
    <w:rsid w:val="5BAF72D9"/>
    <w:rsid w:val="5BAF80E8"/>
    <w:rsid w:val="5BAFA121"/>
    <w:rsid w:val="5BB0A37D"/>
    <w:rsid w:val="5BB23629"/>
    <w:rsid w:val="5BB36D15"/>
    <w:rsid w:val="5BB37418"/>
    <w:rsid w:val="5BB43888"/>
    <w:rsid w:val="5BB447E3"/>
    <w:rsid w:val="5BB5A13C"/>
    <w:rsid w:val="5BB5AABF"/>
    <w:rsid w:val="5BB65A98"/>
    <w:rsid w:val="5BB67BCB"/>
    <w:rsid w:val="5BB688DD"/>
    <w:rsid w:val="5BB7E3C9"/>
    <w:rsid w:val="5BB7F6FD"/>
    <w:rsid w:val="5BB84693"/>
    <w:rsid w:val="5BB91053"/>
    <w:rsid w:val="5BB97D6F"/>
    <w:rsid w:val="5BBA8261"/>
    <w:rsid w:val="5BBAA3AD"/>
    <w:rsid w:val="5BBB1986"/>
    <w:rsid w:val="5BBBE7BA"/>
    <w:rsid w:val="5BBC800A"/>
    <w:rsid w:val="5BBCD84B"/>
    <w:rsid w:val="5BBD53B1"/>
    <w:rsid w:val="5BBDA11A"/>
    <w:rsid w:val="5BBE06E9"/>
    <w:rsid w:val="5BBE3A27"/>
    <w:rsid w:val="5BBEB0CF"/>
    <w:rsid w:val="5BBED18B"/>
    <w:rsid w:val="5BBFEAB3"/>
    <w:rsid w:val="5BC13AE4"/>
    <w:rsid w:val="5BC16ED6"/>
    <w:rsid w:val="5BC3705C"/>
    <w:rsid w:val="5BC3A72D"/>
    <w:rsid w:val="5BC3BA7F"/>
    <w:rsid w:val="5BC40F52"/>
    <w:rsid w:val="5BC45CEE"/>
    <w:rsid w:val="5BC4610A"/>
    <w:rsid w:val="5BC464A2"/>
    <w:rsid w:val="5BC4C700"/>
    <w:rsid w:val="5BC5BA04"/>
    <w:rsid w:val="5BC5E9E5"/>
    <w:rsid w:val="5BC619DE"/>
    <w:rsid w:val="5BC679F4"/>
    <w:rsid w:val="5BC722E4"/>
    <w:rsid w:val="5BC83484"/>
    <w:rsid w:val="5BC9F530"/>
    <w:rsid w:val="5BCA12D4"/>
    <w:rsid w:val="5BCBFF1C"/>
    <w:rsid w:val="5BCC0B9C"/>
    <w:rsid w:val="5BCC1A52"/>
    <w:rsid w:val="5BCE56EB"/>
    <w:rsid w:val="5BCE5A4A"/>
    <w:rsid w:val="5BCEB133"/>
    <w:rsid w:val="5BCF79F0"/>
    <w:rsid w:val="5BCFF845"/>
    <w:rsid w:val="5BD046C1"/>
    <w:rsid w:val="5BD09514"/>
    <w:rsid w:val="5BD1F64B"/>
    <w:rsid w:val="5BD29017"/>
    <w:rsid w:val="5BD3891B"/>
    <w:rsid w:val="5BD3E87B"/>
    <w:rsid w:val="5BD4A861"/>
    <w:rsid w:val="5BD4FD0B"/>
    <w:rsid w:val="5BD58075"/>
    <w:rsid w:val="5BD59796"/>
    <w:rsid w:val="5BD5FA8C"/>
    <w:rsid w:val="5BD661C6"/>
    <w:rsid w:val="5BD6AD8D"/>
    <w:rsid w:val="5BD77C36"/>
    <w:rsid w:val="5BD7E990"/>
    <w:rsid w:val="5BD86A59"/>
    <w:rsid w:val="5BD87829"/>
    <w:rsid w:val="5BD87D9C"/>
    <w:rsid w:val="5BD8BE64"/>
    <w:rsid w:val="5BD9F273"/>
    <w:rsid w:val="5BDB1DDB"/>
    <w:rsid w:val="5BDBB983"/>
    <w:rsid w:val="5BDC1A50"/>
    <w:rsid w:val="5BDD6E3B"/>
    <w:rsid w:val="5BDE1A57"/>
    <w:rsid w:val="5BDE7BBB"/>
    <w:rsid w:val="5BDED905"/>
    <w:rsid w:val="5BE008F2"/>
    <w:rsid w:val="5BE0F705"/>
    <w:rsid w:val="5BE14DAA"/>
    <w:rsid w:val="5BE23950"/>
    <w:rsid w:val="5BE296E5"/>
    <w:rsid w:val="5BE32B35"/>
    <w:rsid w:val="5BE34323"/>
    <w:rsid w:val="5BE4E365"/>
    <w:rsid w:val="5BE640FE"/>
    <w:rsid w:val="5BE667EB"/>
    <w:rsid w:val="5BE6B440"/>
    <w:rsid w:val="5BE6E728"/>
    <w:rsid w:val="5BE6EC85"/>
    <w:rsid w:val="5BE6F83B"/>
    <w:rsid w:val="5BE73986"/>
    <w:rsid w:val="5BE76477"/>
    <w:rsid w:val="5BE83B8E"/>
    <w:rsid w:val="5BE85091"/>
    <w:rsid w:val="5BE8E27D"/>
    <w:rsid w:val="5BE91EF4"/>
    <w:rsid w:val="5BE936D6"/>
    <w:rsid w:val="5BE955B3"/>
    <w:rsid w:val="5BEA138A"/>
    <w:rsid w:val="5BEA3150"/>
    <w:rsid w:val="5BEAA01E"/>
    <w:rsid w:val="5BEB58ED"/>
    <w:rsid w:val="5BEBC152"/>
    <w:rsid w:val="5BEC2BDA"/>
    <w:rsid w:val="5BEC75AE"/>
    <w:rsid w:val="5BECD8BC"/>
    <w:rsid w:val="5BEDEFB5"/>
    <w:rsid w:val="5BEE4B3E"/>
    <w:rsid w:val="5BEF55C4"/>
    <w:rsid w:val="5BF09391"/>
    <w:rsid w:val="5BF0A764"/>
    <w:rsid w:val="5BF0AF4F"/>
    <w:rsid w:val="5BF0E884"/>
    <w:rsid w:val="5BF132DD"/>
    <w:rsid w:val="5BF185E4"/>
    <w:rsid w:val="5BF2482E"/>
    <w:rsid w:val="5BF2778B"/>
    <w:rsid w:val="5BF4FEAA"/>
    <w:rsid w:val="5BF5D55F"/>
    <w:rsid w:val="5BF61154"/>
    <w:rsid w:val="5BF6C546"/>
    <w:rsid w:val="5BF7D0FD"/>
    <w:rsid w:val="5BFA2ECE"/>
    <w:rsid w:val="5BFACCE3"/>
    <w:rsid w:val="5BFBA061"/>
    <w:rsid w:val="5BFBD4D0"/>
    <w:rsid w:val="5BFC5B44"/>
    <w:rsid w:val="5BFC81CB"/>
    <w:rsid w:val="5BFC8AA2"/>
    <w:rsid w:val="5BFDB8B9"/>
    <w:rsid w:val="5BFDEB52"/>
    <w:rsid w:val="5BFF018E"/>
    <w:rsid w:val="5BFF0A54"/>
    <w:rsid w:val="5BFF246D"/>
    <w:rsid w:val="5BFF2897"/>
    <w:rsid w:val="5BFF3316"/>
    <w:rsid w:val="5BFFDCA5"/>
    <w:rsid w:val="5C000CDC"/>
    <w:rsid w:val="5C00876D"/>
    <w:rsid w:val="5C01338E"/>
    <w:rsid w:val="5C016BD2"/>
    <w:rsid w:val="5C018CF1"/>
    <w:rsid w:val="5C020CC7"/>
    <w:rsid w:val="5C03AAAE"/>
    <w:rsid w:val="5C0448AE"/>
    <w:rsid w:val="5C056762"/>
    <w:rsid w:val="5C0623BF"/>
    <w:rsid w:val="5C068AD8"/>
    <w:rsid w:val="5C08BD3F"/>
    <w:rsid w:val="5C08F399"/>
    <w:rsid w:val="5C090818"/>
    <w:rsid w:val="5C096847"/>
    <w:rsid w:val="5C0A8526"/>
    <w:rsid w:val="5C0A92BD"/>
    <w:rsid w:val="5C0ABDE8"/>
    <w:rsid w:val="5C0B7793"/>
    <w:rsid w:val="5C0BE6C4"/>
    <w:rsid w:val="5C0BED67"/>
    <w:rsid w:val="5C0C3D03"/>
    <w:rsid w:val="5C0E743C"/>
    <w:rsid w:val="5C0E86BC"/>
    <w:rsid w:val="5C0EAC2B"/>
    <w:rsid w:val="5C10A80E"/>
    <w:rsid w:val="5C116600"/>
    <w:rsid w:val="5C118000"/>
    <w:rsid w:val="5C11CBAA"/>
    <w:rsid w:val="5C12E350"/>
    <w:rsid w:val="5C133BC3"/>
    <w:rsid w:val="5C139C05"/>
    <w:rsid w:val="5C13BB59"/>
    <w:rsid w:val="5C13CC3B"/>
    <w:rsid w:val="5C144B5D"/>
    <w:rsid w:val="5C161471"/>
    <w:rsid w:val="5C1716BB"/>
    <w:rsid w:val="5C172629"/>
    <w:rsid w:val="5C173FEC"/>
    <w:rsid w:val="5C1790B1"/>
    <w:rsid w:val="5C182C21"/>
    <w:rsid w:val="5C18636F"/>
    <w:rsid w:val="5C1898CA"/>
    <w:rsid w:val="5C19044A"/>
    <w:rsid w:val="5C1A73CB"/>
    <w:rsid w:val="5C1B2244"/>
    <w:rsid w:val="5C1C3B3B"/>
    <w:rsid w:val="5C1C8D67"/>
    <w:rsid w:val="5C1CD5FD"/>
    <w:rsid w:val="5C1D050A"/>
    <w:rsid w:val="5C1DAA9F"/>
    <w:rsid w:val="5C1DE2EA"/>
    <w:rsid w:val="5C1EAC47"/>
    <w:rsid w:val="5C2026D3"/>
    <w:rsid w:val="5C212398"/>
    <w:rsid w:val="5C212A40"/>
    <w:rsid w:val="5C217647"/>
    <w:rsid w:val="5C222B15"/>
    <w:rsid w:val="5C230FFA"/>
    <w:rsid w:val="5C239BB8"/>
    <w:rsid w:val="5C23C809"/>
    <w:rsid w:val="5C251CB9"/>
    <w:rsid w:val="5C25A3DF"/>
    <w:rsid w:val="5C25D69E"/>
    <w:rsid w:val="5C25EFE9"/>
    <w:rsid w:val="5C2644EA"/>
    <w:rsid w:val="5C265CD3"/>
    <w:rsid w:val="5C26983E"/>
    <w:rsid w:val="5C269D53"/>
    <w:rsid w:val="5C270F5A"/>
    <w:rsid w:val="5C276DB2"/>
    <w:rsid w:val="5C29E537"/>
    <w:rsid w:val="5C29E908"/>
    <w:rsid w:val="5C2B5607"/>
    <w:rsid w:val="5C2B5EDF"/>
    <w:rsid w:val="5C2BD3B3"/>
    <w:rsid w:val="5C2BE864"/>
    <w:rsid w:val="5C2C94EC"/>
    <w:rsid w:val="5C2D0DC6"/>
    <w:rsid w:val="5C2D2F96"/>
    <w:rsid w:val="5C2D64F7"/>
    <w:rsid w:val="5C2E25F2"/>
    <w:rsid w:val="5C2E53D2"/>
    <w:rsid w:val="5C2FAB84"/>
    <w:rsid w:val="5C3114EF"/>
    <w:rsid w:val="5C330CCC"/>
    <w:rsid w:val="5C337122"/>
    <w:rsid w:val="5C33D1A6"/>
    <w:rsid w:val="5C347DE1"/>
    <w:rsid w:val="5C34B97D"/>
    <w:rsid w:val="5C34D08C"/>
    <w:rsid w:val="5C357A92"/>
    <w:rsid w:val="5C35F87B"/>
    <w:rsid w:val="5C371E11"/>
    <w:rsid w:val="5C3763BA"/>
    <w:rsid w:val="5C3767AA"/>
    <w:rsid w:val="5C37A77A"/>
    <w:rsid w:val="5C38080B"/>
    <w:rsid w:val="5C3966BF"/>
    <w:rsid w:val="5C396C24"/>
    <w:rsid w:val="5C397794"/>
    <w:rsid w:val="5C39FE09"/>
    <w:rsid w:val="5C3A4C31"/>
    <w:rsid w:val="5C3C258C"/>
    <w:rsid w:val="5C3C28A0"/>
    <w:rsid w:val="5C3DA6B9"/>
    <w:rsid w:val="5C3DC955"/>
    <w:rsid w:val="5C3DEEDB"/>
    <w:rsid w:val="5C3F566C"/>
    <w:rsid w:val="5C4095F8"/>
    <w:rsid w:val="5C41E415"/>
    <w:rsid w:val="5C426A05"/>
    <w:rsid w:val="5C42CA90"/>
    <w:rsid w:val="5C431E2B"/>
    <w:rsid w:val="5C43601B"/>
    <w:rsid w:val="5C437873"/>
    <w:rsid w:val="5C44ACBF"/>
    <w:rsid w:val="5C4775ED"/>
    <w:rsid w:val="5C47C803"/>
    <w:rsid w:val="5C47CEDF"/>
    <w:rsid w:val="5C48951E"/>
    <w:rsid w:val="5C48A684"/>
    <w:rsid w:val="5C48D668"/>
    <w:rsid w:val="5C4938C2"/>
    <w:rsid w:val="5C4BD5BD"/>
    <w:rsid w:val="5C4C23DA"/>
    <w:rsid w:val="5C4C4781"/>
    <w:rsid w:val="5C4CEDED"/>
    <w:rsid w:val="5C4D28A9"/>
    <w:rsid w:val="5C4D8B28"/>
    <w:rsid w:val="5C4D90D0"/>
    <w:rsid w:val="5C4ED0BC"/>
    <w:rsid w:val="5C4EE1B3"/>
    <w:rsid w:val="5C4FBB6F"/>
    <w:rsid w:val="5C501910"/>
    <w:rsid w:val="5C50486D"/>
    <w:rsid w:val="5C5108A2"/>
    <w:rsid w:val="5C522E97"/>
    <w:rsid w:val="5C538CA0"/>
    <w:rsid w:val="5C53E221"/>
    <w:rsid w:val="5C55CA20"/>
    <w:rsid w:val="5C55CAB0"/>
    <w:rsid w:val="5C571286"/>
    <w:rsid w:val="5C57292D"/>
    <w:rsid w:val="5C57A50A"/>
    <w:rsid w:val="5C581B0D"/>
    <w:rsid w:val="5C58A225"/>
    <w:rsid w:val="5C5A0DCE"/>
    <w:rsid w:val="5C5C002C"/>
    <w:rsid w:val="5C5C0543"/>
    <w:rsid w:val="5C5D10CF"/>
    <w:rsid w:val="5C5D4C94"/>
    <w:rsid w:val="5C5D9C49"/>
    <w:rsid w:val="5C5DBDD0"/>
    <w:rsid w:val="5C5E42D5"/>
    <w:rsid w:val="5C5E57B1"/>
    <w:rsid w:val="5C5E90BF"/>
    <w:rsid w:val="5C5EB771"/>
    <w:rsid w:val="5C5F7C26"/>
    <w:rsid w:val="5C5FB145"/>
    <w:rsid w:val="5C60060E"/>
    <w:rsid w:val="5C607A1C"/>
    <w:rsid w:val="5C60FCA0"/>
    <w:rsid w:val="5C624825"/>
    <w:rsid w:val="5C63007A"/>
    <w:rsid w:val="5C641B50"/>
    <w:rsid w:val="5C64387A"/>
    <w:rsid w:val="5C649575"/>
    <w:rsid w:val="5C64A2EE"/>
    <w:rsid w:val="5C65D911"/>
    <w:rsid w:val="5C665523"/>
    <w:rsid w:val="5C665B0C"/>
    <w:rsid w:val="5C6664E6"/>
    <w:rsid w:val="5C676D3F"/>
    <w:rsid w:val="5C681C03"/>
    <w:rsid w:val="5C68527C"/>
    <w:rsid w:val="5C68F4B6"/>
    <w:rsid w:val="5C694D30"/>
    <w:rsid w:val="5C69A93E"/>
    <w:rsid w:val="5C69EA1B"/>
    <w:rsid w:val="5C69F123"/>
    <w:rsid w:val="5C6A3FE0"/>
    <w:rsid w:val="5C6BACE3"/>
    <w:rsid w:val="5C6CAC44"/>
    <w:rsid w:val="5C6D7834"/>
    <w:rsid w:val="5C6E4342"/>
    <w:rsid w:val="5C6EA6C6"/>
    <w:rsid w:val="5C6ED8B5"/>
    <w:rsid w:val="5C6F7FD5"/>
    <w:rsid w:val="5C6FCA64"/>
    <w:rsid w:val="5C6FCBCD"/>
    <w:rsid w:val="5C6FE620"/>
    <w:rsid w:val="5C7006D4"/>
    <w:rsid w:val="5C70F188"/>
    <w:rsid w:val="5C712566"/>
    <w:rsid w:val="5C721D3C"/>
    <w:rsid w:val="5C72AE17"/>
    <w:rsid w:val="5C734DA3"/>
    <w:rsid w:val="5C74104C"/>
    <w:rsid w:val="5C745AD7"/>
    <w:rsid w:val="5C754975"/>
    <w:rsid w:val="5C76DC85"/>
    <w:rsid w:val="5C776EAC"/>
    <w:rsid w:val="5C78AA1E"/>
    <w:rsid w:val="5C79F895"/>
    <w:rsid w:val="5C7A710A"/>
    <w:rsid w:val="5C7AB52C"/>
    <w:rsid w:val="5C7B5A75"/>
    <w:rsid w:val="5C7C3471"/>
    <w:rsid w:val="5C7C6219"/>
    <w:rsid w:val="5C7C655D"/>
    <w:rsid w:val="5C7CF077"/>
    <w:rsid w:val="5C7D0737"/>
    <w:rsid w:val="5C7D9826"/>
    <w:rsid w:val="5C7E5099"/>
    <w:rsid w:val="5C7ECA7E"/>
    <w:rsid w:val="5C7F10C6"/>
    <w:rsid w:val="5C806A67"/>
    <w:rsid w:val="5C809305"/>
    <w:rsid w:val="5C80EEE3"/>
    <w:rsid w:val="5C828D5B"/>
    <w:rsid w:val="5C82BA06"/>
    <w:rsid w:val="5C8312D3"/>
    <w:rsid w:val="5C8343EA"/>
    <w:rsid w:val="5C836222"/>
    <w:rsid w:val="5C83C8E0"/>
    <w:rsid w:val="5C842F51"/>
    <w:rsid w:val="5C84D296"/>
    <w:rsid w:val="5C8677D4"/>
    <w:rsid w:val="5C880437"/>
    <w:rsid w:val="5C889D49"/>
    <w:rsid w:val="5C88EBBD"/>
    <w:rsid w:val="5C8A6A0F"/>
    <w:rsid w:val="5C8B628B"/>
    <w:rsid w:val="5C8BDC79"/>
    <w:rsid w:val="5C8C5018"/>
    <w:rsid w:val="5C8DB070"/>
    <w:rsid w:val="5C8F0CB6"/>
    <w:rsid w:val="5C8F521F"/>
    <w:rsid w:val="5C90168F"/>
    <w:rsid w:val="5C905B18"/>
    <w:rsid w:val="5C90BE4E"/>
    <w:rsid w:val="5C90EA10"/>
    <w:rsid w:val="5C917861"/>
    <w:rsid w:val="5C936573"/>
    <w:rsid w:val="5C942809"/>
    <w:rsid w:val="5C94461A"/>
    <w:rsid w:val="5C94C6FF"/>
    <w:rsid w:val="5C94F7FD"/>
    <w:rsid w:val="5C962465"/>
    <w:rsid w:val="5C962DFF"/>
    <w:rsid w:val="5C96329B"/>
    <w:rsid w:val="5C964F1B"/>
    <w:rsid w:val="5C9660BD"/>
    <w:rsid w:val="5C96CEA7"/>
    <w:rsid w:val="5C96D24D"/>
    <w:rsid w:val="5C96F2F7"/>
    <w:rsid w:val="5C970851"/>
    <w:rsid w:val="5C9735F5"/>
    <w:rsid w:val="5C978DF4"/>
    <w:rsid w:val="5C97972D"/>
    <w:rsid w:val="5C98C6EE"/>
    <w:rsid w:val="5C992801"/>
    <w:rsid w:val="5C9A37B9"/>
    <w:rsid w:val="5C9A86F1"/>
    <w:rsid w:val="5C9AF0AD"/>
    <w:rsid w:val="5C9B442B"/>
    <w:rsid w:val="5C9B49A9"/>
    <w:rsid w:val="5C9C343A"/>
    <w:rsid w:val="5C9C44EA"/>
    <w:rsid w:val="5C9D6D59"/>
    <w:rsid w:val="5C9DB0D6"/>
    <w:rsid w:val="5C9DC3E0"/>
    <w:rsid w:val="5C9E32C0"/>
    <w:rsid w:val="5C9EB128"/>
    <w:rsid w:val="5C9F6E07"/>
    <w:rsid w:val="5CA05EF3"/>
    <w:rsid w:val="5CA087BF"/>
    <w:rsid w:val="5CA0967B"/>
    <w:rsid w:val="5CA0B1F5"/>
    <w:rsid w:val="5CA0B469"/>
    <w:rsid w:val="5CA16CA4"/>
    <w:rsid w:val="5CA282F8"/>
    <w:rsid w:val="5CA2F8D2"/>
    <w:rsid w:val="5CA3BE9B"/>
    <w:rsid w:val="5CA400F4"/>
    <w:rsid w:val="5CA4949D"/>
    <w:rsid w:val="5CA5C830"/>
    <w:rsid w:val="5CA60D29"/>
    <w:rsid w:val="5CA66120"/>
    <w:rsid w:val="5CA78DC2"/>
    <w:rsid w:val="5CA8BEE1"/>
    <w:rsid w:val="5CA8E0B2"/>
    <w:rsid w:val="5CA94851"/>
    <w:rsid w:val="5CA9C3B9"/>
    <w:rsid w:val="5CAADB3C"/>
    <w:rsid w:val="5CAAFA90"/>
    <w:rsid w:val="5CAAFED1"/>
    <w:rsid w:val="5CAB6182"/>
    <w:rsid w:val="5CAC8858"/>
    <w:rsid w:val="5CAC99CC"/>
    <w:rsid w:val="5CAC9AE2"/>
    <w:rsid w:val="5CAD32AB"/>
    <w:rsid w:val="5CADA67A"/>
    <w:rsid w:val="5CADE3E6"/>
    <w:rsid w:val="5CAE7DC3"/>
    <w:rsid w:val="5CAFB1BB"/>
    <w:rsid w:val="5CB11D85"/>
    <w:rsid w:val="5CB20C08"/>
    <w:rsid w:val="5CB30F2A"/>
    <w:rsid w:val="5CB339D4"/>
    <w:rsid w:val="5CB4F7AB"/>
    <w:rsid w:val="5CB57041"/>
    <w:rsid w:val="5CB651D9"/>
    <w:rsid w:val="5CB8C397"/>
    <w:rsid w:val="5CB8C978"/>
    <w:rsid w:val="5CB91849"/>
    <w:rsid w:val="5CBA2578"/>
    <w:rsid w:val="5CBA50FA"/>
    <w:rsid w:val="5CBB09B7"/>
    <w:rsid w:val="5CBCD005"/>
    <w:rsid w:val="5CBE08DB"/>
    <w:rsid w:val="5CBE5382"/>
    <w:rsid w:val="5CBE6AB9"/>
    <w:rsid w:val="5CBFE3B8"/>
    <w:rsid w:val="5CC00501"/>
    <w:rsid w:val="5CC0B83D"/>
    <w:rsid w:val="5CC10FFD"/>
    <w:rsid w:val="5CC11A5C"/>
    <w:rsid w:val="5CC1AE83"/>
    <w:rsid w:val="5CC345AA"/>
    <w:rsid w:val="5CC3822C"/>
    <w:rsid w:val="5CC42D07"/>
    <w:rsid w:val="5CC4EDE6"/>
    <w:rsid w:val="5CC50550"/>
    <w:rsid w:val="5CC5A9BE"/>
    <w:rsid w:val="5CC60EE9"/>
    <w:rsid w:val="5CC615B9"/>
    <w:rsid w:val="5CC63889"/>
    <w:rsid w:val="5CC66E2B"/>
    <w:rsid w:val="5CC77CFD"/>
    <w:rsid w:val="5CC7926E"/>
    <w:rsid w:val="5CC8F22C"/>
    <w:rsid w:val="5CCA6A1D"/>
    <w:rsid w:val="5CCA8B14"/>
    <w:rsid w:val="5CCA9374"/>
    <w:rsid w:val="5CCB88EA"/>
    <w:rsid w:val="5CCBD642"/>
    <w:rsid w:val="5CCCF582"/>
    <w:rsid w:val="5CCD11A0"/>
    <w:rsid w:val="5CCDA8B0"/>
    <w:rsid w:val="5CCF0447"/>
    <w:rsid w:val="5CD08EB6"/>
    <w:rsid w:val="5CD095B0"/>
    <w:rsid w:val="5CD328A6"/>
    <w:rsid w:val="5CD43201"/>
    <w:rsid w:val="5CD43402"/>
    <w:rsid w:val="5CD4AB49"/>
    <w:rsid w:val="5CD53E15"/>
    <w:rsid w:val="5CD5A793"/>
    <w:rsid w:val="5CD800C1"/>
    <w:rsid w:val="5CD88465"/>
    <w:rsid w:val="5CD8F3EF"/>
    <w:rsid w:val="5CDAE9D9"/>
    <w:rsid w:val="5CDB93C7"/>
    <w:rsid w:val="5CDC34EE"/>
    <w:rsid w:val="5CDC78D6"/>
    <w:rsid w:val="5CDD09E3"/>
    <w:rsid w:val="5CDD4E2A"/>
    <w:rsid w:val="5CDD50F9"/>
    <w:rsid w:val="5CDEF0F6"/>
    <w:rsid w:val="5CE0E0C0"/>
    <w:rsid w:val="5CE116D8"/>
    <w:rsid w:val="5CE1C5EF"/>
    <w:rsid w:val="5CE1CCDD"/>
    <w:rsid w:val="5CE2002C"/>
    <w:rsid w:val="5CE28905"/>
    <w:rsid w:val="5CE3FFB9"/>
    <w:rsid w:val="5CE42154"/>
    <w:rsid w:val="5CE432DB"/>
    <w:rsid w:val="5CE4A97D"/>
    <w:rsid w:val="5CE4ADED"/>
    <w:rsid w:val="5CE509E3"/>
    <w:rsid w:val="5CE5C1DA"/>
    <w:rsid w:val="5CE63C93"/>
    <w:rsid w:val="5CE63F52"/>
    <w:rsid w:val="5CE680C3"/>
    <w:rsid w:val="5CE706E4"/>
    <w:rsid w:val="5CE7277C"/>
    <w:rsid w:val="5CE79BAB"/>
    <w:rsid w:val="5CE7C09C"/>
    <w:rsid w:val="5CE7C520"/>
    <w:rsid w:val="5CE7DDDF"/>
    <w:rsid w:val="5CE7F659"/>
    <w:rsid w:val="5CE8A58B"/>
    <w:rsid w:val="5CE90463"/>
    <w:rsid w:val="5CE99D8D"/>
    <w:rsid w:val="5CE9B964"/>
    <w:rsid w:val="5CE9D0B2"/>
    <w:rsid w:val="5CEA6015"/>
    <w:rsid w:val="5CEBC335"/>
    <w:rsid w:val="5CECEC10"/>
    <w:rsid w:val="5CECF133"/>
    <w:rsid w:val="5CED6BFE"/>
    <w:rsid w:val="5CED71FF"/>
    <w:rsid w:val="5CEEDD09"/>
    <w:rsid w:val="5CEF89A7"/>
    <w:rsid w:val="5CF0BA33"/>
    <w:rsid w:val="5CF162F3"/>
    <w:rsid w:val="5CF1804A"/>
    <w:rsid w:val="5CF25DD0"/>
    <w:rsid w:val="5CF2FFF7"/>
    <w:rsid w:val="5CF377E8"/>
    <w:rsid w:val="5CF38816"/>
    <w:rsid w:val="5CF3EEAE"/>
    <w:rsid w:val="5CF48C8A"/>
    <w:rsid w:val="5CF4A2C1"/>
    <w:rsid w:val="5CF50881"/>
    <w:rsid w:val="5CF54591"/>
    <w:rsid w:val="5CF551B1"/>
    <w:rsid w:val="5CF6699F"/>
    <w:rsid w:val="5CF6BB41"/>
    <w:rsid w:val="5CF6DFB7"/>
    <w:rsid w:val="5CF73773"/>
    <w:rsid w:val="5CF78799"/>
    <w:rsid w:val="5CF7ADF3"/>
    <w:rsid w:val="5CF8C9B0"/>
    <w:rsid w:val="5CF90A24"/>
    <w:rsid w:val="5CF918D1"/>
    <w:rsid w:val="5CF92A70"/>
    <w:rsid w:val="5CFA38C9"/>
    <w:rsid w:val="5CFA51C7"/>
    <w:rsid w:val="5CFAB57E"/>
    <w:rsid w:val="5CFB7BC7"/>
    <w:rsid w:val="5CFBEB5A"/>
    <w:rsid w:val="5CFCF294"/>
    <w:rsid w:val="5CFD34BA"/>
    <w:rsid w:val="5CFD35B2"/>
    <w:rsid w:val="5CFDFC30"/>
    <w:rsid w:val="5CFEC407"/>
    <w:rsid w:val="5CFF535C"/>
    <w:rsid w:val="5CFFD9D5"/>
    <w:rsid w:val="5CFFF482"/>
    <w:rsid w:val="5D00CAFF"/>
    <w:rsid w:val="5D014124"/>
    <w:rsid w:val="5D014AAD"/>
    <w:rsid w:val="5D016964"/>
    <w:rsid w:val="5D0192B5"/>
    <w:rsid w:val="5D021C48"/>
    <w:rsid w:val="5D033701"/>
    <w:rsid w:val="5D04DCE9"/>
    <w:rsid w:val="5D0827E8"/>
    <w:rsid w:val="5D0946E9"/>
    <w:rsid w:val="5D09D128"/>
    <w:rsid w:val="5D0A0E58"/>
    <w:rsid w:val="5D0AA100"/>
    <w:rsid w:val="5D0B52C3"/>
    <w:rsid w:val="5D0B8E0A"/>
    <w:rsid w:val="5D0C3C08"/>
    <w:rsid w:val="5D0C7F40"/>
    <w:rsid w:val="5D0CAA8D"/>
    <w:rsid w:val="5D0DE347"/>
    <w:rsid w:val="5D0E88BF"/>
    <w:rsid w:val="5D0F3625"/>
    <w:rsid w:val="5D111D09"/>
    <w:rsid w:val="5D1181BF"/>
    <w:rsid w:val="5D13D7A3"/>
    <w:rsid w:val="5D1414F8"/>
    <w:rsid w:val="5D142BD9"/>
    <w:rsid w:val="5D14738F"/>
    <w:rsid w:val="5D1531A7"/>
    <w:rsid w:val="5D162E25"/>
    <w:rsid w:val="5D165A1C"/>
    <w:rsid w:val="5D1669BA"/>
    <w:rsid w:val="5D1680E3"/>
    <w:rsid w:val="5D17AC85"/>
    <w:rsid w:val="5D17C041"/>
    <w:rsid w:val="5D17CBC8"/>
    <w:rsid w:val="5D17CD66"/>
    <w:rsid w:val="5D19253A"/>
    <w:rsid w:val="5D199220"/>
    <w:rsid w:val="5D199574"/>
    <w:rsid w:val="5D19A9CA"/>
    <w:rsid w:val="5D1A171D"/>
    <w:rsid w:val="5D1BD21E"/>
    <w:rsid w:val="5D1BECBB"/>
    <w:rsid w:val="5D1C7945"/>
    <w:rsid w:val="5D1C84CF"/>
    <w:rsid w:val="5D1CA399"/>
    <w:rsid w:val="5D1CDA0B"/>
    <w:rsid w:val="5D1D64EA"/>
    <w:rsid w:val="5D1ED143"/>
    <w:rsid w:val="5D1EEBE4"/>
    <w:rsid w:val="5D1F17F7"/>
    <w:rsid w:val="5D1F2292"/>
    <w:rsid w:val="5D1FE719"/>
    <w:rsid w:val="5D20684E"/>
    <w:rsid w:val="5D208642"/>
    <w:rsid w:val="5D2139FE"/>
    <w:rsid w:val="5D219B57"/>
    <w:rsid w:val="5D22DD6B"/>
    <w:rsid w:val="5D2347D0"/>
    <w:rsid w:val="5D2386B7"/>
    <w:rsid w:val="5D23F45E"/>
    <w:rsid w:val="5D24D5EF"/>
    <w:rsid w:val="5D25AFE8"/>
    <w:rsid w:val="5D2695FC"/>
    <w:rsid w:val="5D27065E"/>
    <w:rsid w:val="5D274354"/>
    <w:rsid w:val="5D276720"/>
    <w:rsid w:val="5D27EDCF"/>
    <w:rsid w:val="5D282FA2"/>
    <w:rsid w:val="5D28644E"/>
    <w:rsid w:val="5D2A490C"/>
    <w:rsid w:val="5D2B19CC"/>
    <w:rsid w:val="5D2BAE51"/>
    <w:rsid w:val="5D2BB1E0"/>
    <w:rsid w:val="5D2C2CCB"/>
    <w:rsid w:val="5D2CAECD"/>
    <w:rsid w:val="5D2CBD74"/>
    <w:rsid w:val="5D2D25E0"/>
    <w:rsid w:val="5D2DE630"/>
    <w:rsid w:val="5D2E13A3"/>
    <w:rsid w:val="5D2E3E67"/>
    <w:rsid w:val="5D2E9003"/>
    <w:rsid w:val="5D2EF1D9"/>
    <w:rsid w:val="5D2FB901"/>
    <w:rsid w:val="5D309BBD"/>
    <w:rsid w:val="5D332B83"/>
    <w:rsid w:val="5D340AB4"/>
    <w:rsid w:val="5D341997"/>
    <w:rsid w:val="5D346A8B"/>
    <w:rsid w:val="5D349A15"/>
    <w:rsid w:val="5D349F24"/>
    <w:rsid w:val="5D3504AE"/>
    <w:rsid w:val="5D35A38D"/>
    <w:rsid w:val="5D36791B"/>
    <w:rsid w:val="5D368D2E"/>
    <w:rsid w:val="5D36D6EE"/>
    <w:rsid w:val="5D39CE16"/>
    <w:rsid w:val="5D3B3C60"/>
    <w:rsid w:val="5D3BB3A7"/>
    <w:rsid w:val="5D3BBED8"/>
    <w:rsid w:val="5D3C2FF1"/>
    <w:rsid w:val="5D3CAFF3"/>
    <w:rsid w:val="5D3CCB91"/>
    <w:rsid w:val="5D3D6DF6"/>
    <w:rsid w:val="5D3DC93A"/>
    <w:rsid w:val="5D402C1C"/>
    <w:rsid w:val="5D407D8A"/>
    <w:rsid w:val="5D40E502"/>
    <w:rsid w:val="5D410571"/>
    <w:rsid w:val="5D41A5FF"/>
    <w:rsid w:val="5D427BFC"/>
    <w:rsid w:val="5D436EC2"/>
    <w:rsid w:val="5D438539"/>
    <w:rsid w:val="5D43992F"/>
    <w:rsid w:val="5D43BB3F"/>
    <w:rsid w:val="5D443299"/>
    <w:rsid w:val="5D444F3A"/>
    <w:rsid w:val="5D44D65B"/>
    <w:rsid w:val="5D4599B6"/>
    <w:rsid w:val="5D45A6DD"/>
    <w:rsid w:val="5D46CBB7"/>
    <w:rsid w:val="5D474632"/>
    <w:rsid w:val="5D47AD37"/>
    <w:rsid w:val="5D47BDF6"/>
    <w:rsid w:val="5D48343C"/>
    <w:rsid w:val="5D48B31D"/>
    <w:rsid w:val="5D49E8B9"/>
    <w:rsid w:val="5D49FABA"/>
    <w:rsid w:val="5D4B0AB7"/>
    <w:rsid w:val="5D4E2267"/>
    <w:rsid w:val="5D4E8298"/>
    <w:rsid w:val="5D4F76A5"/>
    <w:rsid w:val="5D4F7BA2"/>
    <w:rsid w:val="5D506AE2"/>
    <w:rsid w:val="5D506CF7"/>
    <w:rsid w:val="5D5249EC"/>
    <w:rsid w:val="5D52AA71"/>
    <w:rsid w:val="5D52F46E"/>
    <w:rsid w:val="5D5304C5"/>
    <w:rsid w:val="5D541BC9"/>
    <w:rsid w:val="5D5480AA"/>
    <w:rsid w:val="5D548B52"/>
    <w:rsid w:val="5D548C3D"/>
    <w:rsid w:val="5D5527F3"/>
    <w:rsid w:val="5D559FDA"/>
    <w:rsid w:val="5D568617"/>
    <w:rsid w:val="5D5701DB"/>
    <w:rsid w:val="5D57C918"/>
    <w:rsid w:val="5D57FA10"/>
    <w:rsid w:val="5D587124"/>
    <w:rsid w:val="5D59E96F"/>
    <w:rsid w:val="5D5AFB33"/>
    <w:rsid w:val="5D5C66C7"/>
    <w:rsid w:val="5D5C8795"/>
    <w:rsid w:val="5D5C89F7"/>
    <w:rsid w:val="5D5C8F93"/>
    <w:rsid w:val="5D5CAC45"/>
    <w:rsid w:val="5D5D09E7"/>
    <w:rsid w:val="5D5D5D73"/>
    <w:rsid w:val="5D5DB66C"/>
    <w:rsid w:val="5D5ECE9F"/>
    <w:rsid w:val="5D5F4899"/>
    <w:rsid w:val="5D5F779E"/>
    <w:rsid w:val="5D5FB37D"/>
    <w:rsid w:val="5D60241E"/>
    <w:rsid w:val="5D605FD7"/>
    <w:rsid w:val="5D613B06"/>
    <w:rsid w:val="5D618E9D"/>
    <w:rsid w:val="5D61F526"/>
    <w:rsid w:val="5D6257E8"/>
    <w:rsid w:val="5D6291DB"/>
    <w:rsid w:val="5D637057"/>
    <w:rsid w:val="5D637558"/>
    <w:rsid w:val="5D645A34"/>
    <w:rsid w:val="5D64CE35"/>
    <w:rsid w:val="5D650E10"/>
    <w:rsid w:val="5D651E4E"/>
    <w:rsid w:val="5D656ED6"/>
    <w:rsid w:val="5D666E2E"/>
    <w:rsid w:val="5D67042B"/>
    <w:rsid w:val="5D675B51"/>
    <w:rsid w:val="5D67833A"/>
    <w:rsid w:val="5D682FA6"/>
    <w:rsid w:val="5D685361"/>
    <w:rsid w:val="5D686746"/>
    <w:rsid w:val="5D689A4B"/>
    <w:rsid w:val="5D68F460"/>
    <w:rsid w:val="5D69C60E"/>
    <w:rsid w:val="5D6A5C8D"/>
    <w:rsid w:val="5D6AF94F"/>
    <w:rsid w:val="5D6C1FB5"/>
    <w:rsid w:val="5D6C59A8"/>
    <w:rsid w:val="5D6D3FD0"/>
    <w:rsid w:val="5D6D8845"/>
    <w:rsid w:val="5D706044"/>
    <w:rsid w:val="5D706227"/>
    <w:rsid w:val="5D70891D"/>
    <w:rsid w:val="5D709696"/>
    <w:rsid w:val="5D70C2D3"/>
    <w:rsid w:val="5D718132"/>
    <w:rsid w:val="5D71C11A"/>
    <w:rsid w:val="5D71F467"/>
    <w:rsid w:val="5D758343"/>
    <w:rsid w:val="5D75EAEA"/>
    <w:rsid w:val="5D768301"/>
    <w:rsid w:val="5D76F506"/>
    <w:rsid w:val="5D776237"/>
    <w:rsid w:val="5D779437"/>
    <w:rsid w:val="5D78C1B2"/>
    <w:rsid w:val="5D795EA0"/>
    <w:rsid w:val="5D799A54"/>
    <w:rsid w:val="5D7A11DB"/>
    <w:rsid w:val="5D7A4C1C"/>
    <w:rsid w:val="5D7B051D"/>
    <w:rsid w:val="5D7D2FA7"/>
    <w:rsid w:val="5D7DE052"/>
    <w:rsid w:val="5D7E0FFC"/>
    <w:rsid w:val="5D7E3B5A"/>
    <w:rsid w:val="5D7EDA2F"/>
    <w:rsid w:val="5D7F5D7B"/>
    <w:rsid w:val="5D801791"/>
    <w:rsid w:val="5D807190"/>
    <w:rsid w:val="5D8090A4"/>
    <w:rsid w:val="5D81F81B"/>
    <w:rsid w:val="5D820795"/>
    <w:rsid w:val="5D828D18"/>
    <w:rsid w:val="5D830ABF"/>
    <w:rsid w:val="5D830E9F"/>
    <w:rsid w:val="5D831F48"/>
    <w:rsid w:val="5D844D6F"/>
    <w:rsid w:val="5D846B63"/>
    <w:rsid w:val="5D859E15"/>
    <w:rsid w:val="5D876CFD"/>
    <w:rsid w:val="5D88AE7B"/>
    <w:rsid w:val="5D895590"/>
    <w:rsid w:val="5D89C579"/>
    <w:rsid w:val="5D8A3787"/>
    <w:rsid w:val="5D8B1718"/>
    <w:rsid w:val="5D8B3FF5"/>
    <w:rsid w:val="5D8BA6FE"/>
    <w:rsid w:val="5D8BBE90"/>
    <w:rsid w:val="5D8C2094"/>
    <w:rsid w:val="5D8C6C0F"/>
    <w:rsid w:val="5D8D9CB1"/>
    <w:rsid w:val="5D8EA57F"/>
    <w:rsid w:val="5D8EA9B8"/>
    <w:rsid w:val="5D8F00E1"/>
    <w:rsid w:val="5D8F640C"/>
    <w:rsid w:val="5D90F1F1"/>
    <w:rsid w:val="5D912CA4"/>
    <w:rsid w:val="5D9167CA"/>
    <w:rsid w:val="5D92135D"/>
    <w:rsid w:val="5D92947C"/>
    <w:rsid w:val="5D930F05"/>
    <w:rsid w:val="5D942290"/>
    <w:rsid w:val="5D948E9C"/>
    <w:rsid w:val="5D94D346"/>
    <w:rsid w:val="5D9513E2"/>
    <w:rsid w:val="5D954870"/>
    <w:rsid w:val="5D958FFD"/>
    <w:rsid w:val="5D961A06"/>
    <w:rsid w:val="5D9633ED"/>
    <w:rsid w:val="5D9659B2"/>
    <w:rsid w:val="5D979FCB"/>
    <w:rsid w:val="5D98228F"/>
    <w:rsid w:val="5D98A8CB"/>
    <w:rsid w:val="5D9991E5"/>
    <w:rsid w:val="5D9ABB7F"/>
    <w:rsid w:val="5D9AF966"/>
    <w:rsid w:val="5D9C6F78"/>
    <w:rsid w:val="5D9C94C8"/>
    <w:rsid w:val="5D9D3781"/>
    <w:rsid w:val="5D9D3891"/>
    <w:rsid w:val="5D9DDAF9"/>
    <w:rsid w:val="5D9F1D41"/>
    <w:rsid w:val="5D9F7BB0"/>
    <w:rsid w:val="5D9FE0BD"/>
    <w:rsid w:val="5D9FEABD"/>
    <w:rsid w:val="5D9FF447"/>
    <w:rsid w:val="5DA06FCA"/>
    <w:rsid w:val="5DA08CF4"/>
    <w:rsid w:val="5DA1A22B"/>
    <w:rsid w:val="5DA65242"/>
    <w:rsid w:val="5DA70E2C"/>
    <w:rsid w:val="5DA753EA"/>
    <w:rsid w:val="5DA88B12"/>
    <w:rsid w:val="5DAAEFF9"/>
    <w:rsid w:val="5DAB90BC"/>
    <w:rsid w:val="5DABCB6B"/>
    <w:rsid w:val="5DABD1CC"/>
    <w:rsid w:val="5DAC0456"/>
    <w:rsid w:val="5DAC786F"/>
    <w:rsid w:val="5DACBB6F"/>
    <w:rsid w:val="5DAD047E"/>
    <w:rsid w:val="5DAE0EEE"/>
    <w:rsid w:val="5DAEB6EE"/>
    <w:rsid w:val="5DAED9D2"/>
    <w:rsid w:val="5DAF2D99"/>
    <w:rsid w:val="5DAFB55C"/>
    <w:rsid w:val="5DAFD3C0"/>
    <w:rsid w:val="5DAFFE56"/>
    <w:rsid w:val="5DB0A122"/>
    <w:rsid w:val="5DB0BF58"/>
    <w:rsid w:val="5DB12F65"/>
    <w:rsid w:val="5DB15ABD"/>
    <w:rsid w:val="5DB1C081"/>
    <w:rsid w:val="5DB20B42"/>
    <w:rsid w:val="5DB2D60B"/>
    <w:rsid w:val="5DB3E4F5"/>
    <w:rsid w:val="5DB54B9B"/>
    <w:rsid w:val="5DB563C6"/>
    <w:rsid w:val="5DB58A9B"/>
    <w:rsid w:val="5DB5C613"/>
    <w:rsid w:val="5DB5E9B2"/>
    <w:rsid w:val="5DB63E6F"/>
    <w:rsid w:val="5DB69848"/>
    <w:rsid w:val="5DB79355"/>
    <w:rsid w:val="5DB806B5"/>
    <w:rsid w:val="5DB8E85C"/>
    <w:rsid w:val="5DB993A2"/>
    <w:rsid w:val="5DBA09EB"/>
    <w:rsid w:val="5DBA5A20"/>
    <w:rsid w:val="5DBA5BFE"/>
    <w:rsid w:val="5DBABF83"/>
    <w:rsid w:val="5DBBF245"/>
    <w:rsid w:val="5DBC6CDA"/>
    <w:rsid w:val="5DBCC176"/>
    <w:rsid w:val="5DBCE298"/>
    <w:rsid w:val="5DBD70CA"/>
    <w:rsid w:val="5DBDABE5"/>
    <w:rsid w:val="5DBDF8EF"/>
    <w:rsid w:val="5DBE9C33"/>
    <w:rsid w:val="5DBEF732"/>
    <w:rsid w:val="5DBEFE66"/>
    <w:rsid w:val="5DBF13A7"/>
    <w:rsid w:val="5DBF4C31"/>
    <w:rsid w:val="5DBF4C75"/>
    <w:rsid w:val="5DBF51E7"/>
    <w:rsid w:val="5DBF77D6"/>
    <w:rsid w:val="5DBFA097"/>
    <w:rsid w:val="5DC0E29A"/>
    <w:rsid w:val="5DC265CC"/>
    <w:rsid w:val="5DC35DD5"/>
    <w:rsid w:val="5DC458E4"/>
    <w:rsid w:val="5DC5382F"/>
    <w:rsid w:val="5DC5AEE1"/>
    <w:rsid w:val="5DC6551A"/>
    <w:rsid w:val="5DC7D0C4"/>
    <w:rsid w:val="5DC8B4B2"/>
    <w:rsid w:val="5DC93A96"/>
    <w:rsid w:val="5DC99EEE"/>
    <w:rsid w:val="5DC9ADCF"/>
    <w:rsid w:val="5DCA5556"/>
    <w:rsid w:val="5DCA91C7"/>
    <w:rsid w:val="5DCABCCE"/>
    <w:rsid w:val="5DCAEE20"/>
    <w:rsid w:val="5DCB91F0"/>
    <w:rsid w:val="5DCF5AAD"/>
    <w:rsid w:val="5DCF8796"/>
    <w:rsid w:val="5DD07DD2"/>
    <w:rsid w:val="5DD13CA0"/>
    <w:rsid w:val="5DD19FF9"/>
    <w:rsid w:val="5DD1C8CE"/>
    <w:rsid w:val="5DD1E2EC"/>
    <w:rsid w:val="5DD25007"/>
    <w:rsid w:val="5DD31BDF"/>
    <w:rsid w:val="5DD3C6AA"/>
    <w:rsid w:val="5DD3F638"/>
    <w:rsid w:val="5DD475F6"/>
    <w:rsid w:val="5DD4CA8A"/>
    <w:rsid w:val="5DD4DDAA"/>
    <w:rsid w:val="5DD4E797"/>
    <w:rsid w:val="5DD541A1"/>
    <w:rsid w:val="5DD59772"/>
    <w:rsid w:val="5DD6C9EE"/>
    <w:rsid w:val="5DD78567"/>
    <w:rsid w:val="5DD7ABE3"/>
    <w:rsid w:val="5DD80790"/>
    <w:rsid w:val="5DD88F4B"/>
    <w:rsid w:val="5DD92733"/>
    <w:rsid w:val="5DD9B4AC"/>
    <w:rsid w:val="5DD9B57B"/>
    <w:rsid w:val="5DDA1063"/>
    <w:rsid w:val="5DDA27BB"/>
    <w:rsid w:val="5DDAB6D4"/>
    <w:rsid w:val="5DDB4E24"/>
    <w:rsid w:val="5DDC82B9"/>
    <w:rsid w:val="5DDCFBD4"/>
    <w:rsid w:val="5DDD6B65"/>
    <w:rsid w:val="5DDDA6EF"/>
    <w:rsid w:val="5DDDBCE5"/>
    <w:rsid w:val="5DDDE27D"/>
    <w:rsid w:val="5DDE3C90"/>
    <w:rsid w:val="5DDE8D7C"/>
    <w:rsid w:val="5DDEEF04"/>
    <w:rsid w:val="5DDF7BF5"/>
    <w:rsid w:val="5DE0BCEE"/>
    <w:rsid w:val="5DE14F29"/>
    <w:rsid w:val="5DE1AECA"/>
    <w:rsid w:val="5DE23260"/>
    <w:rsid w:val="5DE2B8BA"/>
    <w:rsid w:val="5DE3B42E"/>
    <w:rsid w:val="5DE4F879"/>
    <w:rsid w:val="5DE64E01"/>
    <w:rsid w:val="5DE7B3D5"/>
    <w:rsid w:val="5DE8BD94"/>
    <w:rsid w:val="5DE90171"/>
    <w:rsid w:val="5DE9A842"/>
    <w:rsid w:val="5DE9E1A7"/>
    <w:rsid w:val="5DEAA752"/>
    <w:rsid w:val="5DEABBD8"/>
    <w:rsid w:val="5DECE714"/>
    <w:rsid w:val="5DECECBA"/>
    <w:rsid w:val="5DED9EDC"/>
    <w:rsid w:val="5DEDB5A4"/>
    <w:rsid w:val="5DEE1924"/>
    <w:rsid w:val="5DEE5353"/>
    <w:rsid w:val="5DEEC213"/>
    <w:rsid w:val="5DEF238C"/>
    <w:rsid w:val="5DEF472A"/>
    <w:rsid w:val="5DF0779C"/>
    <w:rsid w:val="5DF1112F"/>
    <w:rsid w:val="5DF29B50"/>
    <w:rsid w:val="5DF2F884"/>
    <w:rsid w:val="5DF31CE2"/>
    <w:rsid w:val="5DF33F96"/>
    <w:rsid w:val="5DF3B8BB"/>
    <w:rsid w:val="5DF3BA93"/>
    <w:rsid w:val="5DF3FD55"/>
    <w:rsid w:val="5DF4B2C5"/>
    <w:rsid w:val="5DF4F2FE"/>
    <w:rsid w:val="5DF790CA"/>
    <w:rsid w:val="5DF84E7F"/>
    <w:rsid w:val="5DF99752"/>
    <w:rsid w:val="5DFA98C2"/>
    <w:rsid w:val="5DFAEAED"/>
    <w:rsid w:val="5DFB4277"/>
    <w:rsid w:val="5DFC33EC"/>
    <w:rsid w:val="5DFC6858"/>
    <w:rsid w:val="5DFCB51F"/>
    <w:rsid w:val="5DFCE063"/>
    <w:rsid w:val="5DFD4F61"/>
    <w:rsid w:val="5DFE144D"/>
    <w:rsid w:val="5DFE2301"/>
    <w:rsid w:val="5DFF6FDA"/>
    <w:rsid w:val="5DFF8052"/>
    <w:rsid w:val="5E00586A"/>
    <w:rsid w:val="5E0065D6"/>
    <w:rsid w:val="5E0104AB"/>
    <w:rsid w:val="5E03FD98"/>
    <w:rsid w:val="5E04E5A7"/>
    <w:rsid w:val="5E059F8D"/>
    <w:rsid w:val="5E05F010"/>
    <w:rsid w:val="5E06154E"/>
    <w:rsid w:val="5E0651B2"/>
    <w:rsid w:val="5E068A77"/>
    <w:rsid w:val="5E069BD3"/>
    <w:rsid w:val="5E072217"/>
    <w:rsid w:val="5E073847"/>
    <w:rsid w:val="5E078F6D"/>
    <w:rsid w:val="5E07F198"/>
    <w:rsid w:val="5E08BFB3"/>
    <w:rsid w:val="5E09EE33"/>
    <w:rsid w:val="5E0A1E9D"/>
    <w:rsid w:val="5E0ABC74"/>
    <w:rsid w:val="5E0D483D"/>
    <w:rsid w:val="5E0E34CE"/>
    <w:rsid w:val="5E0F069E"/>
    <w:rsid w:val="5E0F5651"/>
    <w:rsid w:val="5E0F8F85"/>
    <w:rsid w:val="5E0FEBE1"/>
    <w:rsid w:val="5E0FF1BB"/>
    <w:rsid w:val="5E111535"/>
    <w:rsid w:val="5E114AA5"/>
    <w:rsid w:val="5E11D875"/>
    <w:rsid w:val="5E12F600"/>
    <w:rsid w:val="5E1316F1"/>
    <w:rsid w:val="5E137FFB"/>
    <w:rsid w:val="5E143D42"/>
    <w:rsid w:val="5E1567D5"/>
    <w:rsid w:val="5E156C30"/>
    <w:rsid w:val="5E15C2D8"/>
    <w:rsid w:val="5E15E913"/>
    <w:rsid w:val="5E171989"/>
    <w:rsid w:val="5E19D79A"/>
    <w:rsid w:val="5E1B3CA2"/>
    <w:rsid w:val="5E1BC2DF"/>
    <w:rsid w:val="5E1C17F8"/>
    <w:rsid w:val="5E1D1596"/>
    <w:rsid w:val="5E1D2A0D"/>
    <w:rsid w:val="5E1D67A1"/>
    <w:rsid w:val="5E1DDC1B"/>
    <w:rsid w:val="5E1DFDAF"/>
    <w:rsid w:val="5E209A26"/>
    <w:rsid w:val="5E213FEC"/>
    <w:rsid w:val="5E21BAD1"/>
    <w:rsid w:val="5E22A0CD"/>
    <w:rsid w:val="5E22C2FB"/>
    <w:rsid w:val="5E22F21F"/>
    <w:rsid w:val="5E2311EC"/>
    <w:rsid w:val="5E23C152"/>
    <w:rsid w:val="5E23D498"/>
    <w:rsid w:val="5E242FC4"/>
    <w:rsid w:val="5E252982"/>
    <w:rsid w:val="5E25B36E"/>
    <w:rsid w:val="5E272D8A"/>
    <w:rsid w:val="5E29E61E"/>
    <w:rsid w:val="5E2A6527"/>
    <w:rsid w:val="5E2BCE9F"/>
    <w:rsid w:val="5E2C2FC4"/>
    <w:rsid w:val="5E2D87F5"/>
    <w:rsid w:val="5E2E1C4B"/>
    <w:rsid w:val="5E2EB61F"/>
    <w:rsid w:val="5E2FDEBE"/>
    <w:rsid w:val="5E30DE52"/>
    <w:rsid w:val="5E31BAF6"/>
    <w:rsid w:val="5E32B99D"/>
    <w:rsid w:val="5E32F56A"/>
    <w:rsid w:val="5E332EE9"/>
    <w:rsid w:val="5E33D0EA"/>
    <w:rsid w:val="5E341CD8"/>
    <w:rsid w:val="5E3467D4"/>
    <w:rsid w:val="5E359707"/>
    <w:rsid w:val="5E35D8F4"/>
    <w:rsid w:val="5E36F58C"/>
    <w:rsid w:val="5E371E45"/>
    <w:rsid w:val="5E37AFE1"/>
    <w:rsid w:val="5E383ABA"/>
    <w:rsid w:val="5E38EA42"/>
    <w:rsid w:val="5E398BBD"/>
    <w:rsid w:val="5E3A6C28"/>
    <w:rsid w:val="5E3AD4BB"/>
    <w:rsid w:val="5E3AEE70"/>
    <w:rsid w:val="5E3B16DC"/>
    <w:rsid w:val="5E3D5104"/>
    <w:rsid w:val="5E3D51D3"/>
    <w:rsid w:val="5E3E030D"/>
    <w:rsid w:val="5E3E21B5"/>
    <w:rsid w:val="5E3E37DE"/>
    <w:rsid w:val="5E3E3DA8"/>
    <w:rsid w:val="5E3E4232"/>
    <w:rsid w:val="5E401D4C"/>
    <w:rsid w:val="5E403D29"/>
    <w:rsid w:val="5E412232"/>
    <w:rsid w:val="5E412AFE"/>
    <w:rsid w:val="5E41682F"/>
    <w:rsid w:val="5E418A8A"/>
    <w:rsid w:val="5E41ED42"/>
    <w:rsid w:val="5E42275D"/>
    <w:rsid w:val="5E43AA81"/>
    <w:rsid w:val="5E442E69"/>
    <w:rsid w:val="5E444A97"/>
    <w:rsid w:val="5E452161"/>
    <w:rsid w:val="5E452DD6"/>
    <w:rsid w:val="5E45BB20"/>
    <w:rsid w:val="5E45BD6B"/>
    <w:rsid w:val="5E4665B5"/>
    <w:rsid w:val="5E4828CC"/>
    <w:rsid w:val="5E49593E"/>
    <w:rsid w:val="5E499CAE"/>
    <w:rsid w:val="5E49E946"/>
    <w:rsid w:val="5E4AF55B"/>
    <w:rsid w:val="5E4B03F5"/>
    <w:rsid w:val="5E4B3F08"/>
    <w:rsid w:val="5E4C90FC"/>
    <w:rsid w:val="5E4E05B6"/>
    <w:rsid w:val="5E4E07C1"/>
    <w:rsid w:val="5E4E24D6"/>
    <w:rsid w:val="5E4E432A"/>
    <w:rsid w:val="5E4EC0F9"/>
    <w:rsid w:val="5E4F75D1"/>
    <w:rsid w:val="5E50EFDD"/>
    <w:rsid w:val="5E519B87"/>
    <w:rsid w:val="5E525158"/>
    <w:rsid w:val="5E538952"/>
    <w:rsid w:val="5E55188A"/>
    <w:rsid w:val="5E551F84"/>
    <w:rsid w:val="5E56A224"/>
    <w:rsid w:val="5E5829B6"/>
    <w:rsid w:val="5E585788"/>
    <w:rsid w:val="5E5925F2"/>
    <w:rsid w:val="5E5952EC"/>
    <w:rsid w:val="5E5A058B"/>
    <w:rsid w:val="5E5A0C3D"/>
    <w:rsid w:val="5E5A4717"/>
    <w:rsid w:val="5E5E55A6"/>
    <w:rsid w:val="5E5F3FFF"/>
    <w:rsid w:val="5E5F6837"/>
    <w:rsid w:val="5E5F9D80"/>
    <w:rsid w:val="5E5FE62F"/>
    <w:rsid w:val="5E608264"/>
    <w:rsid w:val="5E615EBD"/>
    <w:rsid w:val="5E61F65E"/>
    <w:rsid w:val="5E620330"/>
    <w:rsid w:val="5E62D593"/>
    <w:rsid w:val="5E631619"/>
    <w:rsid w:val="5E6391BA"/>
    <w:rsid w:val="5E63CFF2"/>
    <w:rsid w:val="5E656B58"/>
    <w:rsid w:val="5E6643C6"/>
    <w:rsid w:val="5E6669B1"/>
    <w:rsid w:val="5E67287B"/>
    <w:rsid w:val="5E68098B"/>
    <w:rsid w:val="5E685CB8"/>
    <w:rsid w:val="5E687E56"/>
    <w:rsid w:val="5E69276C"/>
    <w:rsid w:val="5E69AFE3"/>
    <w:rsid w:val="5E69DD1F"/>
    <w:rsid w:val="5E69EC8E"/>
    <w:rsid w:val="5E6B6B38"/>
    <w:rsid w:val="5E6B867F"/>
    <w:rsid w:val="5E6C1F03"/>
    <w:rsid w:val="5E6C7F96"/>
    <w:rsid w:val="5E6C9974"/>
    <w:rsid w:val="5E6CA657"/>
    <w:rsid w:val="5E6CB322"/>
    <w:rsid w:val="5E6D0139"/>
    <w:rsid w:val="5E6D2F2F"/>
    <w:rsid w:val="5E6D5AB1"/>
    <w:rsid w:val="5E6F8A1E"/>
    <w:rsid w:val="5E704B10"/>
    <w:rsid w:val="5E705AE7"/>
    <w:rsid w:val="5E70A7A8"/>
    <w:rsid w:val="5E71516A"/>
    <w:rsid w:val="5E715C56"/>
    <w:rsid w:val="5E71DC0F"/>
    <w:rsid w:val="5E7302FC"/>
    <w:rsid w:val="5E737405"/>
    <w:rsid w:val="5E73E519"/>
    <w:rsid w:val="5E74079E"/>
    <w:rsid w:val="5E742584"/>
    <w:rsid w:val="5E74D05B"/>
    <w:rsid w:val="5E7635AF"/>
    <w:rsid w:val="5E766757"/>
    <w:rsid w:val="5E76A992"/>
    <w:rsid w:val="5E7792A2"/>
    <w:rsid w:val="5E782E58"/>
    <w:rsid w:val="5E78D869"/>
    <w:rsid w:val="5E795AF4"/>
    <w:rsid w:val="5E795E94"/>
    <w:rsid w:val="5E7A67A1"/>
    <w:rsid w:val="5E7AFB2D"/>
    <w:rsid w:val="5E7C33CD"/>
    <w:rsid w:val="5E7C43A5"/>
    <w:rsid w:val="5E7CE371"/>
    <w:rsid w:val="5E7D1B4E"/>
    <w:rsid w:val="5E7EB4E8"/>
    <w:rsid w:val="5E7F28C1"/>
    <w:rsid w:val="5E7F51DB"/>
    <w:rsid w:val="5E801D40"/>
    <w:rsid w:val="5E8021CB"/>
    <w:rsid w:val="5E80872D"/>
    <w:rsid w:val="5E80CBC0"/>
    <w:rsid w:val="5E810BE5"/>
    <w:rsid w:val="5E812326"/>
    <w:rsid w:val="5E813EA7"/>
    <w:rsid w:val="5E814B18"/>
    <w:rsid w:val="5E8278D6"/>
    <w:rsid w:val="5E828A45"/>
    <w:rsid w:val="5E830EB2"/>
    <w:rsid w:val="5E837B19"/>
    <w:rsid w:val="5E84ABE4"/>
    <w:rsid w:val="5E84E4A2"/>
    <w:rsid w:val="5E85771C"/>
    <w:rsid w:val="5E85E7A6"/>
    <w:rsid w:val="5E86651F"/>
    <w:rsid w:val="5E86917A"/>
    <w:rsid w:val="5E869468"/>
    <w:rsid w:val="5E86A025"/>
    <w:rsid w:val="5E871DF2"/>
    <w:rsid w:val="5E8807D6"/>
    <w:rsid w:val="5E8891B6"/>
    <w:rsid w:val="5E88989D"/>
    <w:rsid w:val="5E8A4578"/>
    <w:rsid w:val="5E8C0273"/>
    <w:rsid w:val="5E8C4AF4"/>
    <w:rsid w:val="5E8E9964"/>
    <w:rsid w:val="5E8EC712"/>
    <w:rsid w:val="5E8FD166"/>
    <w:rsid w:val="5E90CF8C"/>
    <w:rsid w:val="5E91361C"/>
    <w:rsid w:val="5E915067"/>
    <w:rsid w:val="5E928B94"/>
    <w:rsid w:val="5E9324B8"/>
    <w:rsid w:val="5E967613"/>
    <w:rsid w:val="5E96CC53"/>
    <w:rsid w:val="5E976FCB"/>
    <w:rsid w:val="5E982A5C"/>
    <w:rsid w:val="5E98A8BD"/>
    <w:rsid w:val="5E99D81B"/>
    <w:rsid w:val="5E9A5E70"/>
    <w:rsid w:val="5E9B57ED"/>
    <w:rsid w:val="5E9B689F"/>
    <w:rsid w:val="5E9B838E"/>
    <w:rsid w:val="5E9C356B"/>
    <w:rsid w:val="5E9CB17E"/>
    <w:rsid w:val="5E9D0131"/>
    <w:rsid w:val="5E9D1823"/>
    <w:rsid w:val="5E9DB167"/>
    <w:rsid w:val="5E9E48D6"/>
    <w:rsid w:val="5E9E64F6"/>
    <w:rsid w:val="5E9F98AD"/>
    <w:rsid w:val="5EA0074C"/>
    <w:rsid w:val="5EA057E9"/>
    <w:rsid w:val="5EA084CC"/>
    <w:rsid w:val="5EA18EA5"/>
    <w:rsid w:val="5EA27EE7"/>
    <w:rsid w:val="5EA28B88"/>
    <w:rsid w:val="5EA3B3C7"/>
    <w:rsid w:val="5EA3C022"/>
    <w:rsid w:val="5EA3C1B1"/>
    <w:rsid w:val="5EA4A290"/>
    <w:rsid w:val="5EA61FEE"/>
    <w:rsid w:val="5EA7533E"/>
    <w:rsid w:val="5EA8B864"/>
    <w:rsid w:val="5EA9A05C"/>
    <w:rsid w:val="5EA9A8B9"/>
    <w:rsid w:val="5EA9BBF6"/>
    <w:rsid w:val="5EA9F41A"/>
    <w:rsid w:val="5EAB6979"/>
    <w:rsid w:val="5EAB94E8"/>
    <w:rsid w:val="5EAD069B"/>
    <w:rsid w:val="5EAD2F3F"/>
    <w:rsid w:val="5EAD590F"/>
    <w:rsid w:val="5EAD7587"/>
    <w:rsid w:val="5EADB6CA"/>
    <w:rsid w:val="5EADE7E4"/>
    <w:rsid w:val="5EAEC338"/>
    <w:rsid w:val="5EAFC395"/>
    <w:rsid w:val="5EB0081F"/>
    <w:rsid w:val="5EB0AB0E"/>
    <w:rsid w:val="5EB30AF2"/>
    <w:rsid w:val="5EB3CC85"/>
    <w:rsid w:val="5EB50418"/>
    <w:rsid w:val="5EB669CB"/>
    <w:rsid w:val="5EB7A487"/>
    <w:rsid w:val="5EB92042"/>
    <w:rsid w:val="5EB97BC7"/>
    <w:rsid w:val="5EBA2D66"/>
    <w:rsid w:val="5EBA95AF"/>
    <w:rsid w:val="5EBAE7FA"/>
    <w:rsid w:val="5EBC609E"/>
    <w:rsid w:val="5EBD648E"/>
    <w:rsid w:val="5EBD80AB"/>
    <w:rsid w:val="5EBDC5F1"/>
    <w:rsid w:val="5EBDE3D0"/>
    <w:rsid w:val="5EBE40AF"/>
    <w:rsid w:val="5EBF4813"/>
    <w:rsid w:val="5EC07890"/>
    <w:rsid w:val="5EC155B8"/>
    <w:rsid w:val="5EC1E2E7"/>
    <w:rsid w:val="5EC2B201"/>
    <w:rsid w:val="5EC2E5D1"/>
    <w:rsid w:val="5EC3466A"/>
    <w:rsid w:val="5EC47C18"/>
    <w:rsid w:val="5EC4D936"/>
    <w:rsid w:val="5EC5048B"/>
    <w:rsid w:val="5EC62490"/>
    <w:rsid w:val="5EC7784F"/>
    <w:rsid w:val="5EC79CCB"/>
    <w:rsid w:val="5EC8A831"/>
    <w:rsid w:val="5EC9175B"/>
    <w:rsid w:val="5EC9A64E"/>
    <w:rsid w:val="5EC9EBC0"/>
    <w:rsid w:val="5ECAA727"/>
    <w:rsid w:val="5ECBF3FB"/>
    <w:rsid w:val="5ECBFA1A"/>
    <w:rsid w:val="5ECD4D34"/>
    <w:rsid w:val="5ECD5587"/>
    <w:rsid w:val="5ECD74C5"/>
    <w:rsid w:val="5ECDB657"/>
    <w:rsid w:val="5ECE4077"/>
    <w:rsid w:val="5ECE915C"/>
    <w:rsid w:val="5ECE96DD"/>
    <w:rsid w:val="5ECEDAA2"/>
    <w:rsid w:val="5ECF3D69"/>
    <w:rsid w:val="5ECF6996"/>
    <w:rsid w:val="5ECFB660"/>
    <w:rsid w:val="5ECFD0E9"/>
    <w:rsid w:val="5ED04B22"/>
    <w:rsid w:val="5ED2C2BC"/>
    <w:rsid w:val="5ED2C86B"/>
    <w:rsid w:val="5ED2E87B"/>
    <w:rsid w:val="5ED35A1F"/>
    <w:rsid w:val="5ED3E125"/>
    <w:rsid w:val="5ED428E0"/>
    <w:rsid w:val="5ED46F5D"/>
    <w:rsid w:val="5ED56C56"/>
    <w:rsid w:val="5ED6A3FA"/>
    <w:rsid w:val="5ED729A4"/>
    <w:rsid w:val="5ED7E528"/>
    <w:rsid w:val="5ED7FC1F"/>
    <w:rsid w:val="5ED96932"/>
    <w:rsid w:val="5ED9999B"/>
    <w:rsid w:val="5EDA7CBE"/>
    <w:rsid w:val="5EDBD5A7"/>
    <w:rsid w:val="5EDCEB25"/>
    <w:rsid w:val="5EDDB87F"/>
    <w:rsid w:val="5EDE65B6"/>
    <w:rsid w:val="5EDE8D7D"/>
    <w:rsid w:val="5EDF6277"/>
    <w:rsid w:val="5EDFAE93"/>
    <w:rsid w:val="5EE08F51"/>
    <w:rsid w:val="5EE0F579"/>
    <w:rsid w:val="5EE1FC5D"/>
    <w:rsid w:val="5EE24459"/>
    <w:rsid w:val="5EE3B8C4"/>
    <w:rsid w:val="5EE4EBAF"/>
    <w:rsid w:val="5EE58196"/>
    <w:rsid w:val="5EE5AF5D"/>
    <w:rsid w:val="5EE5CAF9"/>
    <w:rsid w:val="5EE6C6DB"/>
    <w:rsid w:val="5EE7309E"/>
    <w:rsid w:val="5EE783D5"/>
    <w:rsid w:val="5EE8A0E2"/>
    <w:rsid w:val="5EE927A4"/>
    <w:rsid w:val="5EE96BE5"/>
    <w:rsid w:val="5EEAB438"/>
    <w:rsid w:val="5EEBAD25"/>
    <w:rsid w:val="5EEC49EA"/>
    <w:rsid w:val="5EEDACF1"/>
    <w:rsid w:val="5EEDAD91"/>
    <w:rsid w:val="5EEE9A77"/>
    <w:rsid w:val="5EEEA8C2"/>
    <w:rsid w:val="5EEF09F3"/>
    <w:rsid w:val="5EEF2572"/>
    <w:rsid w:val="5EF2CB9F"/>
    <w:rsid w:val="5EF33826"/>
    <w:rsid w:val="5EF3FA01"/>
    <w:rsid w:val="5EF5560E"/>
    <w:rsid w:val="5EF600D9"/>
    <w:rsid w:val="5EF6AFD1"/>
    <w:rsid w:val="5EF6B672"/>
    <w:rsid w:val="5EF6C859"/>
    <w:rsid w:val="5EF718F0"/>
    <w:rsid w:val="5EF7CC17"/>
    <w:rsid w:val="5EF83956"/>
    <w:rsid w:val="5EF83D74"/>
    <w:rsid w:val="5EFA6B79"/>
    <w:rsid w:val="5EFB2669"/>
    <w:rsid w:val="5EFB377E"/>
    <w:rsid w:val="5EFC9620"/>
    <w:rsid w:val="5EFD17AC"/>
    <w:rsid w:val="5EFE4337"/>
    <w:rsid w:val="5EFE8001"/>
    <w:rsid w:val="5EFF2A49"/>
    <w:rsid w:val="5EFF8859"/>
    <w:rsid w:val="5EFF89F5"/>
    <w:rsid w:val="5F011229"/>
    <w:rsid w:val="5F016305"/>
    <w:rsid w:val="5F029A42"/>
    <w:rsid w:val="5F029DA7"/>
    <w:rsid w:val="5F02A6E1"/>
    <w:rsid w:val="5F02C421"/>
    <w:rsid w:val="5F02E030"/>
    <w:rsid w:val="5F035EC3"/>
    <w:rsid w:val="5F041B4E"/>
    <w:rsid w:val="5F062F86"/>
    <w:rsid w:val="5F063462"/>
    <w:rsid w:val="5F086BFF"/>
    <w:rsid w:val="5F087BF9"/>
    <w:rsid w:val="5F08B3AE"/>
    <w:rsid w:val="5F09FC67"/>
    <w:rsid w:val="5F0A1CE5"/>
    <w:rsid w:val="5F0A2A2B"/>
    <w:rsid w:val="5F0B4622"/>
    <w:rsid w:val="5F0BA844"/>
    <w:rsid w:val="5F0BC270"/>
    <w:rsid w:val="5F0CE4BD"/>
    <w:rsid w:val="5F0CE95F"/>
    <w:rsid w:val="5F0D891A"/>
    <w:rsid w:val="5F0DC7B9"/>
    <w:rsid w:val="5F0E1612"/>
    <w:rsid w:val="5F0E4994"/>
    <w:rsid w:val="5F0E591E"/>
    <w:rsid w:val="5F0F5868"/>
    <w:rsid w:val="5F0F73F6"/>
    <w:rsid w:val="5F0FB492"/>
    <w:rsid w:val="5F0FD5CF"/>
    <w:rsid w:val="5F1074A5"/>
    <w:rsid w:val="5F111822"/>
    <w:rsid w:val="5F119FB6"/>
    <w:rsid w:val="5F128C0B"/>
    <w:rsid w:val="5F143ED1"/>
    <w:rsid w:val="5F145E48"/>
    <w:rsid w:val="5F149A24"/>
    <w:rsid w:val="5F14BCBE"/>
    <w:rsid w:val="5F15BD83"/>
    <w:rsid w:val="5F16FABE"/>
    <w:rsid w:val="5F170011"/>
    <w:rsid w:val="5F17FCDF"/>
    <w:rsid w:val="5F18CFA7"/>
    <w:rsid w:val="5F192619"/>
    <w:rsid w:val="5F195244"/>
    <w:rsid w:val="5F19C5CB"/>
    <w:rsid w:val="5F19CF18"/>
    <w:rsid w:val="5F19E08F"/>
    <w:rsid w:val="5F1A0E88"/>
    <w:rsid w:val="5F1A132E"/>
    <w:rsid w:val="5F1A9653"/>
    <w:rsid w:val="5F1AC678"/>
    <w:rsid w:val="5F1C3DF7"/>
    <w:rsid w:val="5F1C6EDA"/>
    <w:rsid w:val="5F1D8B0F"/>
    <w:rsid w:val="5F1FDB6B"/>
    <w:rsid w:val="5F2003C6"/>
    <w:rsid w:val="5F216AEE"/>
    <w:rsid w:val="5F2276E5"/>
    <w:rsid w:val="5F22DCE2"/>
    <w:rsid w:val="5F240919"/>
    <w:rsid w:val="5F243E6C"/>
    <w:rsid w:val="5F24EA6D"/>
    <w:rsid w:val="5F254A62"/>
    <w:rsid w:val="5F256993"/>
    <w:rsid w:val="5F25954C"/>
    <w:rsid w:val="5F261A44"/>
    <w:rsid w:val="5F267D9F"/>
    <w:rsid w:val="5F273D76"/>
    <w:rsid w:val="5F275B91"/>
    <w:rsid w:val="5F27A465"/>
    <w:rsid w:val="5F27B57F"/>
    <w:rsid w:val="5F2891E3"/>
    <w:rsid w:val="5F28A33D"/>
    <w:rsid w:val="5F28F1E7"/>
    <w:rsid w:val="5F2AE573"/>
    <w:rsid w:val="5F2AEE4F"/>
    <w:rsid w:val="5F2AFFA8"/>
    <w:rsid w:val="5F2B2371"/>
    <w:rsid w:val="5F2C3EF4"/>
    <w:rsid w:val="5F2D033A"/>
    <w:rsid w:val="5F2F90C7"/>
    <w:rsid w:val="5F2FFB7F"/>
    <w:rsid w:val="5F300342"/>
    <w:rsid w:val="5F301FFA"/>
    <w:rsid w:val="5F30C70D"/>
    <w:rsid w:val="5F32457C"/>
    <w:rsid w:val="5F329666"/>
    <w:rsid w:val="5F32E903"/>
    <w:rsid w:val="5F33FD79"/>
    <w:rsid w:val="5F3412C0"/>
    <w:rsid w:val="5F3543EC"/>
    <w:rsid w:val="5F35B58B"/>
    <w:rsid w:val="5F360EDC"/>
    <w:rsid w:val="5F3643A2"/>
    <w:rsid w:val="5F3691B4"/>
    <w:rsid w:val="5F369905"/>
    <w:rsid w:val="5F36A71C"/>
    <w:rsid w:val="5F38CE00"/>
    <w:rsid w:val="5F39C8AA"/>
    <w:rsid w:val="5F3A739E"/>
    <w:rsid w:val="5F3AD2E6"/>
    <w:rsid w:val="5F3BABA6"/>
    <w:rsid w:val="5F3C790B"/>
    <w:rsid w:val="5F3C9619"/>
    <w:rsid w:val="5F3DC3A0"/>
    <w:rsid w:val="5F3E586A"/>
    <w:rsid w:val="5F3E5A73"/>
    <w:rsid w:val="5F3ECED2"/>
    <w:rsid w:val="5F3F4F76"/>
    <w:rsid w:val="5F3F749D"/>
    <w:rsid w:val="5F3F8951"/>
    <w:rsid w:val="5F3FAE65"/>
    <w:rsid w:val="5F418CB2"/>
    <w:rsid w:val="5F41FBBF"/>
    <w:rsid w:val="5F426013"/>
    <w:rsid w:val="5F4261E9"/>
    <w:rsid w:val="5F427248"/>
    <w:rsid w:val="5F42D07A"/>
    <w:rsid w:val="5F433705"/>
    <w:rsid w:val="5F43AD79"/>
    <w:rsid w:val="5F44292B"/>
    <w:rsid w:val="5F44486D"/>
    <w:rsid w:val="5F456C16"/>
    <w:rsid w:val="5F46897F"/>
    <w:rsid w:val="5F46B392"/>
    <w:rsid w:val="5F4761B5"/>
    <w:rsid w:val="5F47641A"/>
    <w:rsid w:val="5F47710E"/>
    <w:rsid w:val="5F484124"/>
    <w:rsid w:val="5F48F2C3"/>
    <w:rsid w:val="5F49C886"/>
    <w:rsid w:val="5F49FFFD"/>
    <w:rsid w:val="5F4B1777"/>
    <w:rsid w:val="5F4C1728"/>
    <w:rsid w:val="5F4D523D"/>
    <w:rsid w:val="5F4D6233"/>
    <w:rsid w:val="5F4DA1D1"/>
    <w:rsid w:val="5F4DBEC3"/>
    <w:rsid w:val="5F4E211E"/>
    <w:rsid w:val="5F4E6787"/>
    <w:rsid w:val="5F4EC116"/>
    <w:rsid w:val="5F4F1DCC"/>
    <w:rsid w:val="5F502CD6"/>
    <w:rsid w:val="5F506092"/>
    <w:rsid w:val="5F50C4DF"/>
    <w:rsid w:val="5F51211D"/>
    <w:rsid w:val="5F512163"/>
    <w:rsid w:val="5F51290E"/>
    <w:rsid w:val="5F5172B6"/>
    <w:rsid w:val="5F51C54A"/>
    <w:rsid w:val="5F51FCE6"/>
    <w:rsid w:val="5F5205E8"/>
    <w:rsid w:val="5F52946B"/>
    <w:rsid w:val="5F52C00D"/>
    <w:rsid w:val="5F53B819"/>
    <w:rsid w:val="5F55925F"/>
    <w:rsid w:val="5F55C7AC"/>
    <w:rsid w:val="5F5643A9"/>
    <w:rsid w:val="5F56BDD3"/>
    <w:rsid w:val="5F57D5A2"/>
    <w:rsid w:val="5F57E8F6"/>
    <w:rsid w:val="5F582717"/>
    <w:rsid w:val="5F59A31D"/>
    <w:rsid w:val="5F5AEB14"/>
    <w:rsid w:val="5F5BC280"/>
    <w:rsid w:val="5F5C1835"/>
    <w:rsid w:val="5F5D222F"/>
    <w:rsid w:val="5F5DFA18"/>
    <w:rsid w:val="5F5DFB4E"/>
    <w:rsid w:val="5F5ED9D7"/>
    <w:rsid w:val="5F5F5B97"/>
    <w:rsid w:val="5F60B89A"/>
    <w:rsid w:val="5F614F48"/>
    <w:rsid w:val="5F624342"/>
    <w:rsid w:val="5F63286B"/>
    <w:rsid w:val="5F6421A6"/>
    <w:rsid w:val="5F64B9EA"/>
    <w:rsid w:val="5F651760"/>
    <w:rsid w:val="5F653213"/>
    <w:rsid w:val="5F6595EC"/>
    <w:rsid w:val="5F6611A7"/>
    <w:rsid w:val="5F667504"/>
    <w:rsid w:val="5F67EF73"/>
    <w:rsid w:val="5F686626"/>
    <w:rsid w:val="5F6A0BA9"/>
    <w:rsid w:val="5F6A4990"/>
    <w:rsid w:val="5F6BA742"/>
    <w:rsid w:val="5F6C2685"/>
    <w:rsid w:val="5F6C8F2A"/>
    <w:rsid w:val="5F6CD296"/>
    <w:rsid w:val="5F6E812D"/>
    <w:rsid w:val="5F6EC59D"/>
    <w:rsid w:val="5F6F73E3"/>
    <w:rsid w:val="5F709C48"/>
    <w:rsid w:val="5F70DE2A"/>
    <w:rsid w:val="5F7140D6"/>
    <w:rsid w:val="5F720801"/>
    <w:rsid w:val="5F7216A1"/>
    <w:rsid w:val="5F72B6BA"/>
    <w:rsid w:val="5F745D06"/>
    <w:rsid w:val="5F746133"/>
    <w:rsid w:val="5F748150"/>
    <w:rsid w:val="5F74FFB5"/>
    <w:rsid w:val="5F766A8E"/>
    <w:rsid w:val="5F767AE4"/>
    <w:rsid w:val="5F777585"/>
    <w:rsid w:val="5F784189"/>
    <w:rsid w:val="5F7933AB"/>
    <w:rsid w:val="5F79FED1"/>
    <w:rsid w:val="5F7A48E6"/>
    <w:rsid w:val="5F7A7D83"/>
    <w:rsid w:val="5F7A91CE"/>
    <w:rsid w:val="5F7CAEB0"/>
    <w:rsid w:val="5F7CC00F"/>
    <w:rsid w:val="5F7CDDEC"/>
    <w:rsid w:val="5F7DD275"/>
    <w:rsid w:val="5F7DD281"/>
    <w:rsid w:val="5F7E8BF2"/>
    <w:rsid w:val="5F7EE6F5"/>
    <w:rsid w:val="5F7F197F"/>
    <w:rsid w:val="5F7FCDFA"/>
    <w:rsid w:val="5F8001BE"/>
    <w:rsid w:val="5F81D4DC"/>
    <w:rsid w:val="5F822856"/>
    <w:rsid w:val="5F829361"/>
    <w:rsid w:val="5F830C1F"/>
    <w:rsid w:val="5F8326D6"/>
    <w:rsid w:val="5F842DDF"/>
    <w:rsid w:val="5F846636"/>
    <w:rsid w:val="5F846DFC"/>
    <w:rsid w:val="5F84E67D"/>
    <w:rsid w:val="5F859566"/>
    <w:rsid w:val="5F8602BB"/>
    <w:rsid w:val="5F871EA9"/>
    <w:rsid w:val="5F87BBAD"/>
    <w:rsid w:val="5F87E186"/>
    <w:rsid w:val="5F88DDA9"/>
    <w:rsid w:val="5F895551"/>
    <w:rsid w:val="5F8A085B"/>
    <w:rsid w:val="5F8A49BB"/>
    <w:rsid w:val="5F8ABF83"/>
    <w:rsid w:val="5F8ABFC4"/>
    <w:rsid w:val="5F8BBC53"/>
    <w:rsid w:val="5F8C1E3A"/>
    <w:rsid w:val="5F8C2046"/>
    <w:rsid w:val="5F8D4C51"/>
    <w:rsid w:val="5F8DCCAA"/>
    <w:rsid w:val="5F8DE843"/>
    <w:rsid w:val="5F8E4B68"/>
    <w:rsid w:val="5F8F471C"/>
    <w:rsid w:val="5F91270B"/>
    <w:rsid w:val="5F924F27"/>
    <w:rsid w:val="5F9302DC"/>
    <w:rsid w:val="5F9328AB"/>
    <w:rsid w:val="5F937320"/>
    <w:rsid w:val="5F93C72C"/>
    <w:rsid w:val="5F93EB59"/>
    <w:rsid w:val="5F93FE2B"/>
    <w:rsid w:val="5F946334"/>
    <w:rsid w:val="5F94709B"/>
    <w:rsid w:val="5F94D6E3"/>
    <w:rsid w:val="5F9507D0"/>
    <w:rsid w:val="5F954A21"/>
    <w:rsid w:val="5F95EDF9"/>
    <w:rsid w:val="5F961712"/>
    <w:rsid w:val="5F964AFC"/>
    <w:rsid w:val="5F966526"/>
    <w:rsid w:val="5F96DB23"/>
    <w:rsid w:val="5F970BE5"/>
    <w:rsid w:val="5F971511"/>
    <w:rsid w:val="5F97429B"/>
    <w:rsid w:val="5F984DCD"/>
    <w:rsid w:val="5F9A15BE"/>
    <w:rsid w:val="5F9AF1FC"/>
    <w:rsid w:val="5F9B0C13"/>
    <w:rsid w:val="5F9BC6ED"/>
    <w:rsid w:val="5F9BD69B"/>
    <w:rsid w:val="5F9C2993"/>
    <w:rsid w:val="5F9C4F10"/>
    <w:rsid w:val="5F9D1F82"/>
    <w:rsid w:val="5F9D8BAB"/>
    <w:rsid w:val="5F9E00F5"/>
    <w:rsid w:val="5F9E1A73"/>
    <w:rsid w:val="5F9E5296"/>
    <w:rsid w:val="5F9E96F2"/>
    <w:rsid w:val="5F9EC4A1"/>
    <w:rsid w:val="5FA1EDD6"/>
    <w:rsid w:val="5FA270A2"/>
    <w:rsid w:val="5FA2A1D8"/>
    <w:rsid w:val="5FA2FF36"/>
    <w:rsid w:val="5FA323E5"/>
    <w:rsid w:val="5FA457F4"/>
    <w:rsid w:val="5FA479AA"/>
    <w:rsid w:val="5FA638DF"/>
    <w:rsid w:val="5FA6A931"/>
    <w:rsid w:val="5FA7C0A6"/>
    <w:rsid w:val="5FA9479A"/>
    <w:rsid w:val="5FA961A8"/>
    <w:rsid w:val="5FA993CF"/>
    <w:rsid w:val="5FA9F236"/>
    <w:rsid w:val="5FA9FC6E"/>
    <w:rsid w:val="5FAA2AC6"/>
    <w:rsid w:val="5FAAC686"/>
    <w:rsid w:val="5FAB9B52"/>
    <w:rsid w:val="5FABA72B"/>
    <w:rsid w:val="5FAC4225"/>
    <w:rsid w:val="5FAC4697"/>
    <w:rsid w:val="5FAC9B24"/>
    <w:rsid w:val="5FAD0BF0"/>
    <w:rsid w:val="5FAD66F6"/>
    <w:rsid w:val="5FAE4834"/>
    <w:rsid w:val="5FAFDCF7"/>
    <w:rsid w:val="5FB15435"/>
    <w:rsid w:val="5FB1F1CF"/>
    <w:rsid w:val="5FB257CD"/>
    <w:rsid w:val="5FB3339C"/>
    <w:rsid w:val="5FB4444B"/>
    <w:rsid w:val="5FB4ACAD"/>
    <w:rsid w:val="5FB50C91"/>
    <w:rsid w:val="5FB56C83"/>
    <w:rsid w:val="5FB68A94"/>
    <w:rsid w:val="5FB76761"/>
    <w:rsid w:val="5FB8015F"/>
    <w:rsid w:val="5FB805C4"/>
    <w:rsid w:val="5FB8AFCC"/>
    <w:rsid w:val="5FB8E30C"/>
    <w:rsid w:val="5FB9045D"/>
    <w:rsid w:val="5FB93C7C"/>
    <w:rsid w:val="5FBA4567"/>
    <w:rsid w:val="5FBB7C94"/>
    <w:rsid w:val="5FBB97C1"/>
    <w:rsid w:val="5FBBB3D0"/>
    <w:rsid w:val="5FBC13BE"/>
    <w:rsid w:val="5FBDC1F9"/>
    <w:rsid w:val="5FBF5F87"/>
    <w:rsid w:val="5FBF74CD"/>
    <w:rsid w:val="5FC14BBB"/>
    <w:rsid w:val="5FC176B9"/>
    <w:rsid w:val="5FC2450C"/>
    <w:rsid w:val="5FC347D8"/>
    <w:rsid w:val="5FC42002"/>
    <w:rsid w:val="5FC4A822"/>
    <w:rsid w:val="5FC4E87D"/>
    <w:rsid w:val="5FC5E3FC"/>
    <w:rsid w:val="5FC63963"/>
    <w:rsid w:val="5FC6F076"/>
    <w:rsid w:val="5FC79231"/>
    <w:rsid w:val="5FC8031E"/>
    <w:rsid w:val="5FC834D9"/>
    <w:rsid w:val="5FC8A6E6"/>
    <w:rsid w:val="5FC98335"/>
    <w:rsid w:val="5FCA6E0E"/>
    <w:rsid w:val="5FCAD35D"/>
    <w:rsid w:val="5FCB8718"/>
    <w:rsid w:val="5FCC557F"/>
    <w:rsid w:val="5FCCC7CF"/>
    <w:rsid w:val="5FCE94B7"/>
    <w:rsid w:val="5FCFCE63"/>
    <w:rsid w:val="5FD0AF7B"/>
    <w:rsid w:val="5FD29979"/>
    <w:rsid w:val="5FD2B22D"/>
    <w:rsid w:val="5FD356A0"/>
    <w:rsid w:val="5FD42443"/>
    <w:rsid w:val="5FD4CEA0"/>
    <w:rsid w:val="5FD51E91"/>
    <w:rsid w:val="5FD5D382"/>
    <w:rsid w:val="5FD6FEB3"/>
    <w:rsid w:val="5FD89761"/>
    <w:rsid w:val="5FD8C3C5"/>
    <w:rsid w:val="5FD8EE46"/>
    <w:rsid w:val="5FD8EF80"/>
    <w:rsid w:val="5FD91DD4"/>
    <w:rsid w:val="5FDA63BE"/>
    <w:rsid w:val="5FDB645E"/>
    <w:rsid w:val="5FDC1C03"/>
    <w:rsid w:val="5FDCBD9F"/>
    <w:rsid w:val="5FDCDF81"/>
    <w:rsid w:val="5FDCF018"/>
    <w:rsid w:val="5FDE20E6"/>
    <w:rsid w:val="5FDEBFA2"/>
    <w:rsid w:val="5FDEE985"/>
    <w:rsid w:val="5FDF2315"/>
    <w:rsid w:val="5FDFAA1F"/>
    <w:rsid w:val="5FDFAD0D"/>
    <w:rsid w:val="5FDFD304"/>
    <w:rsid w:val="5FE15680"/>
    <w:rsid w:val="5FE1EABA"/>
    <w:rsid w:val="5FE2910E"/>
    <w:rsid w:val="5FE2F171"/>
    <w:rsid w:val="5FE318CF"/>
    <w:rsid w:val="5FE36158"/>
    <w:rsid w:val="5FE48DF7"/>
    <w:rsid w:val="5FE49DAA"/>
    <w:rsid w:val="5FE5805C"/>
    <w:rsid w:val="5FE6BAF8"/>
    <w:rsid w:val="5FE76547"/>
    <w:rsid w:val="5FE80BA9"/>
    <w:rsid w:val="5FE86AF7"/>
    <w:rsid w:val="5FE96D36"/>
    <w:rsid w:val="5FE99C50"/>
    <w:rsid w:val="5FE9CCEB"/>
    <w:rsid w:val="5FEA5D10"/>
    <w:rsid w:val="5FEB1E6B"/>
    <w:rsid w:val="5FEB24BB"/>
    <w:rsid w:val="5FEB39B4"/>
    <w:rsid w:val="5FEBC71F"/>
    <w:rsid w:val="5FECB3F4"/>
    <w:rsid w:val="5FED8159"/>
    <w:rsid w:val="5FEEECF1"/>
    <w:rsid w:val="5FEFADA1"/>
    <w:rsid w:val="5FEFE2B5"/>
    <w:rsid w:val="5FF07C33"/>
    <w:rsid w:val="5FF0A707"/>
    <w:rsid w:val="5FF11150"/>
    <w:rsid w:val="5FF13FEA"/>
    <w:rsid w:val="5FF18048"/>
    <w:rsid w:val="5FF197B9"/>
    <w:rsid w:val="5FF23EBA"/>
    <w:rsid w:val="5FF25DCA"/>
    <w:rsid w:val="5FF29428"/>
    <w:rsid w:val="5FF32EE0"/>
    <w:rsid w:val="5FF4B996"/>
    <w:rsid w:val="5FF4EAD4"/>
    <w:rsid w:val="5FF5A7E8"/>
    <w:rsid w:val="5FF69422"/>
    <w:rsid w:val="5FF7695C"/>
    <w:rsid w:val="5FF7E93D"/>
    <w:rsid w:val="5FF7EADC"/>
    <w:rsid w:val="5FF7F850"/>
    <w:rsid w:val="5FF83B8D"/>
    <w:rsid w:val="5FF8FA4B"/>
    <w:rsid w:val="5FF9369D"/>
    <w:rsid w:val="5FF99919"/>
    <w:rsid w:val="5FFAB92A"/>
    <w:rsid w:val="5FFB632E"/>
    <w:rsid w:val="5FFB9BD3"/>
    <w:rsid w:val="5FFC5231"/>
    <w:rsid w:val="5FFCCAAC"/>
    <w:rsid w:val="5FFD1EFF"/>
    <w:rsid w:val="5FFD7E44"/>
    <w:rsid w:val="5FFF83D9"/>
    <w:rsid w:val="5FFF9BA9"/>
    <w:rsid w:val="5FFF9F60"/>
    <w:rsid w:val="5FFFCBA0"/>
    <w:rsid w:val="60019E3F"/>
    <w:rsid w:val="6001E7ED"/>
    <w:rsid w:val="6001F6B7"/>
    <w:rsid w:val="60030311"/>
    <w:rsid w:val="60033BC6"/>
    <w:rsid w:val="6003ECFB"/>
    <w:rsid w:val="60045E3F"/>
    <w:rsid w:val="600534C0"/>
    <w:rsid w:val="60054191"/>
    <w:rsid w:val="60058828"/>
    <w:rsid w:val="6005C70C"/>
    <w:rsid w:val="60061237"/>
    <w:rsid w:val="6007952B"/>
    <w:rsid w:val="6007B8E0"/>
    <w:rsid w:val="60088A5B"/>
    <w:rsid w:val="6008B9A1"/>
    <w:rsid w:val="60094615"/>
    <w:rsid w:val="6009532C"/>
    <w:rsid w:val="600B3977"/>
    <w:rsid w:val="600B49F1"/>
    <w:rsid w:val="600B6016"/>
    <w:rsid w:val="600C6253"/>
    <w:rsid w:val="600CA9CB"/>
    <w:rsid w:val="600D1A32"/>
    <w:rsid w:val="600DACDB"/>
    <w:rsid w:val="600F0354"/>
    <w:rsid w:val="600F2159"/>
    <w:rsid w:val="600F4466"/>
    <w:rsid w:val="600F5764"/>
    <w:rsid w:val="600FAD43"/>
    <w:rsid w:val="6010E482"/>
    <w:rsid w:val="6011A956"/>
    <w:rsid w:val="6011E05F"/>
    <w:rsid w:val="60129326"/>
    <w:rsid w:val="60136138"/>
    <w:rsid w:val="6013A76C"/>
    <w:rsid w:val="6013EF41"/>
    <w:rsid w:val="60143DAD"/>
    <w:rsid w:val="601480EE"/>
    <w:rsid w:val="60151F4B"/>
    <w:rsid w:val="601584AE"/>
    <w:rsid w:val="60160981"/>
    <w:rsid w:val="60170043"/>
    <w:rsid w:val="601755EC"/>
    <w:rsid w:val="60175DCD"/>
    <w:rsid w:val="60187BEB"/>
    <w:rsid w:val="60191FD2"/>
    <w:rsid w:val="601989A2"/>
    <w:rsid w:val="601A2A0A"/>
    <w:rsid w:val="601B6054"/>
    <w:rsid w:val="601B8831"/>
    <w:rsid w:val="601BC3C3"/>
    <w:rsid w:val="601C2C43"/>
    <w:rsid w:val="601C45C2"/>
    <w:rsid w:val="601C7FA8"/>
    <w:rsid w:val="601CFAF1"/>
    <w:rsid w:val="601D226D"/>
    <w:rsid w:val="601D25F9"/>
    <w:rsid w:val="601D34F8"/>
    <w:rsid w:val="601D3DC3"/>
    <w:rsid w:val="601E9908"/>
    <w:rsid w:val="601F79E6"/>
    <w:rsid w:val="601FF4C6"/>
    <w:rsid w:val="6020605C"/>
    <w:rsid w:val="6020B80C"/>
    <w:rsid w:val="6021C6D1"/>
    <w:rsid w:val="6023B74F"/>
    <w:rsid w:val="6023E52A"/>
    <w:rsid w:val="6024E08E"/>
    <w:rsid w:val="60250DAC"/>
    <w:rsid w:val="60295FF4"/>
    <w:rsid w:val="60299125"/>
    <w:rsid w:val="602A99F9"/>
    <w:rsid w:val="602ACCEC"/>
    <w:rsid w:val="602B09E2"/>
    <w:rsid w:val="602B80B2"/>
    <w:rsid w:val="602BC5F5"/>
    <w:rsid w:val="602CEAFF"/>
    <w:rsid w:val="602D119A"/>
    <w:rsid w:val="602FB105"/>
    <w:rsid w:val="602FF77F"/>
    <w:rsid w:val="6030CC35"/>
    <w:rsid w:val="60312094"/>
    <w:rsid w:val="60327A2B"/>
    <w:rsid w:val="6032C524"/>
    <w:rsid w:val="60334C69"/>
    <w:rsid w:val="603385C2"/>
    <w:rsid w:val="6035A739"/>
    <w:rsid w:val="603657F1"/>
    <w:rsid w:val="60369DA4"/>
    <w:rsid w:val="6036D975"/>
    <w:rsid w:val="6037B265"/>
    <w:rsid w:val="6037E48D"/>
    <w:rsid w:val="60380925"/>
    <w:rsid w:val="60385E6E"/>
    <w:rsid w:val="60395127"/>
    <w:rsid w:val="603A9EFD"/>
    <w:rsid w:val="603B19FC"/>
    <w:rsid w:val="603B5ED1"/>
    <w:rsid w:val="603C3A74"/>
    <w:rsid w:val="603D1588"/>
    <w:rsid w:val="603D706A"/>
    <w:rsid w:val="603D9E8E"/>
    <w:rsid w:val="603DED2E"/>
    <w:rsid w:val="6040DAD8"/>
    <w:rsid w:val="6040DE5F"/>
    <w:rsid w:val="6042AAF9"/>
    <w:rsid w:val="6042F183"/>
    <w:rsid w:val="604312BF"/>
    <w:rsid w:val="60435F9A"/>
    <w:rsid w:val="60437195"/>
    <w:rsid w:val="6043F1EF"/>
    <w:rsid w:val="6044BFB0"/>
    <w:rsid w:val="60462312"/>
    <w:rsid w:val="6046434D"/>
    <w:rsid w:val="60476ABC"/>
    <w:rsid w:val="6048CEF0"/>
    <w:rsid w:val="6048FFA3"/>
    <w:rsid w:val="6049CCE1"/>
    <w:rsid w:val="604A59F0"/>
    <w:rsid w:val="604CCAFF"/>
    <w:rsid w:val="604CF7BC"/>
    <w:rsid w:val="604CFD03"/>
    <w:rsid w:val="604E706B"/>
    <w:rsid w:val="604F2DCB"/>
    <w:rsid w:val="604F9309"/>
    <w:rsid w:val="604FD8BE"/>
    <w:rsid w:val="60538D30"/>
    <w:rsid w:val="60539602"/>
    <w:rsid w:val="6053E124"/>
    <w:rsid w:val="60553B93"/>
    <w:rsid w:val="60554189"/>
    <w:rsid w:val="60570C94"/>
    <w:rsid w:val="605721F8"/>
    <w:rsid w:val="60589D72"/>
    <w:rsid w:val="60595A22"/>
    <w:rsid w:val="605AE2A2"/>
    <w:rsid w:val="605B05C7"/>
    <w:rsid w:val="605C0882"/>
    <w:rsid w:val="605C0918"/>
    <w:rsid w:val="605C47EB"/>
    <w:rsid w:val="605C8070"/>
    <w:rsid w:val="605D360A"/>
    <w:rsid w:val="605E5260"/>
    <w:rsid w:val="605E7438"/>
    <w:rsid w:val="605EF2FD"/>
    <w:rsid w:val="60601CA5"/>
    <w:rsid w:val="6060DBF3"/>
    <w:rsid w:val="60618C2F"/>
    <w:rsid w:val="606220A9"/>
    <w:rsid w:val="606380ED"/>
    <w:rsid w:val="6063E646"/>
    <w:rsid w:val="6064E77A"/>
    <w:rsid w:val="606517D1"/>
    <w:rsid w:val="60656277"/>
    <w:rsid w:val="6066B2B9"/>
    <w:rsid w:val="60675CAE"/>
    <w:rsid w:val="60686A89"/>
    <w:rsid w:val="60687C35"/>
    <w:rsid w:val="6068B088"/>
    <w:rsid w:val="6068C7FF"/>
    <w:rsid w:val="606A38D7"/>
    <w:rsid w:val="606A573E"/>
    <w:rsid w:val="606ABF0A"/>
    <w:rsid w:val="606B3B7A"/>
    <w:rsid w:val="606D0942"/>
    <w:rsid w:val="606DB635"/>
    <w:rsid w:val="606FA366"/>
    <w:rsid w:val="6070FDCA"/>
    <w:rsid w:val="6071D80D"/>
    <w:rsid w:val="6071DFEF"/>
    <w:rsid w:val="60733F73"/>
    <w:rsid w:val="6073CE3B"/>
    <w:rsid w:val="607410AB"/>
    <w:rsid w:val="607443BD"/>
    <w:rsid w:val="60760E3D"/>
    <w:rsid w:val="60775A7F"/>
    <w:rsid w:val="6077C459"/>
    <w:rsid w:val="6078E674"/>
    <w:rsid w:val="60794B6A"/>
    <w:rsid w:val="60795F9D"/>
    <w:rsid w:val="607A3617"/>
    <w:rsid w:val="607A98BF"/>
    <w:rsid w:val="607AD132"/>
    <w:rsid w:val="607AE704"/>
    <w:rsid w:val="607B5300"/>
    <w:rsid w:val="607BA68C"/>
    <w:rsid w:val="607C4FD9"/>
    <w:rsid w:val="607C9546"/>
    <w:rsid w:val="607E1259"/>
    <w:rsid w:val="607EF626"/>
    <w:rsid w:val="607F2FE8"/>
    <w:rsid w:val="607FE214"/>
    <w:rsid w:val="608128FA"/>
    <w:rsid w:val="60825D99"/>
    <w:rsid w:val="608304E5"/>
    <w:rsid w:val="60841DA1"/>
    <w:rsid w:val="6084C238"/>
    <w:rsid w:val="6084F6B2"/>
    <w:rsid w:val="6084F8C9"/>
    <w:rsid w:val="60855DDD"/>
    <w:rsid w:val="60856F97"/>
    <w:rsid w:val="6085B88F"/>
    <w:rsid w:val="60864C3B"/>
    <w:rsid w:val="608A388E"/>
    <w:rsid w:val="608A63CC"/>
    <w:rsid w:val="608B3B4F"/>
    <w:rsid w:val="608B5AD9"/>
    <w:rsid w:val="608C033F"/>
    <w:rsid w:val="608C4344"/>
    <w:rsid w:val="608C6407"/>
    <w:rsid w:val="608D7A56"/>
    <w:rsid w:val="608DA8DF"/>
    <w:rsid w:val="608DC2B5"/>
    <w:rsid w:val="608DE1A9"/>
    <w:rsid w:val="608E20D6"/>
    <w:rsid w:val="608E244D"/>
    <w:rsid w:val="608FD4D0"/>
    <w:rsid w:val="6090F105"/>
    <w:rsid w:val="6092C849"/>
    <w:rsid w:val="60937197"/>
    <w:rsid w:val="60937648"/>
    <w:rsid w:val="609382AB"/>
    <w:rsid w:val="6093B8CF"/>
    <w:rsid w:val="60949D7A"/>
    <w:rsid w:val="6095FEF9"/>
    <w:rsid w:val="60976618"/>
    <w:rsid w:val="609B0300"/>
    <w:rsid w:val="609B154E"/>
    <w:rsid w:val="609BA49B"/>
    <w:rsid w:val="609BF833"/>
    <w:rsid w:val="609C6CE0"/>
    <w:rsid w:val="609C762F"/>
    <w:rsid w:val="609C92D1"/>
    <w:rsid w:val="609DB3FD"/>
    <w:rsid w:val="609DDB11"/>
    <w:rsid w:val="609F81D9"/>
    <w:rsid w:val="609F826F"/>
    <w:rsid w:val="60A0478D"/>
    <w:rsid w:val="60A0D862"/>
    <w:rsid w:val="60A0DE4A"/>
    <w:rsid w:val="60A19826"/>
    <w:rsid w:val="60A199A5"/>
    <w:rsid w:val="60A1BE7D"/>
    <w:rsid w:val="60A21B67"/>
    <w:rsid w:val="60A37DEF"/>
    <w:rsid w:val="60A447A7"/>
    <w:rsid w:val="60A49A31"/>
    <w:rsid w:val="60A4A532"/>
    <w:rsid w:val="60A4E55E"/>
    <w:rsid w:val="60A5DA78"/>
    <w:rsid w:val="60A62A6E"/>
    <w:rsid w:val="60A649CB"/>
    <w:rsid w:val="60A7206A"/>
    <w:rsid w:val="60A7CDB5"/>
    <w:rsid w:val="60A80238"/>
    <w:rsid w:val="60A8FECE"/>
    <w:rsid w:val="60A99267"/>
    <w:rsid w:val="60A9ADD8"/>
    <w:rsid w:val="60A9E334"/>
    <w:rsid w:val="60AA5D82"/>
    <w:rsid w:val="60ABA3D8"/>
    <w:rsid w:val="60ACB401"/>
    <w:rsid w:val="60AD424E"/>
    <w:rsid w:val="60AD578D"/>
    <w:rsid w:val="60AE3DA5"/>
    <w:rsid w:val="60AE6470"/>
    <w:rsid w:val="60AE95EC"/>
    <w:rsid w:val="60AEF3B6"/>
    <w:rsid w:val="60B0612C"/>
    <w:rsid w:val="60B0A098"/>
    <w:rsid w:val="60B14151"/>
    <w:rsid w:val="60B23619"/>
    <w:rsid w:val="60B27935"/>
    <w:rsid w:val="60B2F2F6"/>
    <w:rsid w:val="60B31A34"/>
    <w:rsid w:val="60B4AC5C"/>
    <w:rsid w:val="60B54307"/>
    <w:rsid w:val="60B59985"/>
    <w:rsid w:val="60B5E172"/>
    <w:rsid w:val="60B6A80B"/>
    <w:rsid w:val="60B6C7EF"/>
    <w:rsid w:val="60B79CBA"/>
    <w:rsid w:val="60B81387"/>
    <w:rsid w:val="60B83166"/>
    <w:rsid w:val="60B9A979"/>
    <w:rsid w:val="60BA0161"/>
    <w:rsid w:val="60BA93AC"/>
    <w:rsid w:val="60BB7AF2"/>
    <w:rsid w:val="60BCD698"/>
    <w:rsid w:val="60BDE218"/>
    <w:rsid w:val="60BE4AD8"/>
    <w:rsid w:val="60BF69F6"/>
    <w:rsid w:val="60BFBB1B"/>
    <w:rsid w:val="60C01C2D"/>
    <w:rsid w:val="60C303E1"/>
    <w:rsid w:val="60C32D66"/>
    <w:rsid w:val="60C3B464"/>
    <w:rsid w:val="60C45A0A"/>
    <w:rsid w:val="60C47F02"/>
    <w:rsid w:val="60C5C707"/>
    <w:rsid w:val="60C63B50"/>
    <w:rsid w:val="60C64543"/>
    <w:rsid w:val="60C6A5D6"/>
    <w:rsid w:val="60C7DCEE"/>
    <w:rsid w:val="60C85AB4"/>
    <w:rsid w:val="60C9247A"/>
    <w:rsid w:val="60CA6DB6"/>
    <w:rsid w:val="60CAB559"/>
    <w:rsid w:val="60CC1DCA"/>
    <w:rsid w:val="60CC41F9"/>
    <w:rsid w:val="60CCB58D"/>
    <w:rsid w:val="60CD3196"/>
    <w:rsid w:val="60CD7F50"/>
    <w:rsid w:val="60CE01F0"/>
    <w:rsid w:val="60CE5880"/>
    <w:rsid w:val="60CE6ED3"/>
    <w:rsid w:val="60CE9829"/>
    <w:rsid w:val="60CF2E9D"/>
    <w:rsid w:val="60CF397F"/>
    <w:rsid w:val="60CFC950"/>
    <w:rsid w:val="60D165AD"/>
    <w:rsid w:val="60D19631"/>
    <w:rsid w:val="60D19722"/>
    <w:rsid w:val="60D19F79"/>
    <w:rsid w:val="60D3852A"/>
    <w:rsid w:val="60D57FFD"/>
    <w:rsid w:val="60D61D2E"/>
    <w:rsid w:val="60D63D68"/>
    <w:rsid w:val="60D6689F"/>
    <w:rsid w:val="60D86DD6"/>
    <w:rsid w:val="60D97651"/>
    <w:rsid w:val="60D97AB0"/>
    <w:rsid w:val="60DA0A97"/>
    <w:rsid w:val="60DAC3D0"/>
    <w:rsid w:val="60DBFF8A"/>
    <w:rsid w:val="60DC7DF7"/>
    <w:rsid w:val="60DD70F1"/>
    <w:rsid w:val="60DDF649"/>
    <w:rsid w:val="60DEA7AB"/>
    <w:rsid w:val="60DECE23"/>
    <w:rsid w:val="60DEE369"/>
    <w:rsid w:val="60E0E2C5"/>
    <w:rsid w:val="60E29AFD"/>
    <w:rsid w:val="60E2F2DB"/>
    <w:rsid w:val="60E43BA9"/>
    <w:rsid w:val="60E45EB8"/>
    <w:rsid w:val="60E514B8"/>
    <w:rsid w:val="60E55F22"/>
    <w:rsid w:val="60E5D993"/>
    <w:rsid w:val="60E5F940"/>
    <w:rsid w:val="60E78C96"/>
    <w:rsid w:val="60E7BAB1"/>
    <w:rsid w:val="60E84C80"/>
    <w:rsid w:val="60E8959C"/>
    <w:rsid w:val="60EA2786"/>
    <w:rsid w:val="60EB31D6"/>
    <w:rsid w:val="60EC25C7"/>
    <w:rsid w:val="60EC2848"/>
    <w:rsid w:val="60EC6136"/>
    <w:rsid w:val="60EC803C"/>
    <w:rsid w:val="60ED40FB"/>
    <w:rsid w:val="60ED99C8"/>
    <w:rsid w:val="60EDA5C3"/>
    <w:rsid w:val="60EDA638"/>
    <w:rsid w:val="60EDC374"/>
    <w:rsid w:val="60EE425E"/>
    <w:rsid w:val="60EE5432"/>
    <w:rsid w:val="60EE6B79"/>
    <w:rsid w:val="60F15E45"/>
    <w:rsid w:val="60F20A82"/>
    <w:rsid w:val="60F25950"/>
    <w:rsid w:val="60F2B513"/>
    <w:rsid w:val="60F2DC98"/>
    <w:rsid w:val="60F31385"/>
    <w:rsid w:val="60F3A750"/>
    <w:rsid w:val="60F40FDD"/>
    <w:rsid w:val="60F46DFD"/>
    <w:rsid w:val="60F581FE"/>
    <w:rsid w:val="60F6E1F3"/>
    <w:rsid w:val="60F87AEE"/>
    <w:rsid w:val="60F91D64"/>
    <w:rsid w:val="60F9A41B"/>
    <w:rsid w:val="60FA63D4"/>
    <w:rsid w:val="60FAAC0D"/>
    <w:rsid w:val="60FBE8BF"/>
    <w:rsid w:val="60FC376D"/>
    <w:rsid w:val="60FD27BA"/>
    <w:rsid w:val="60FDE11C"/>
    <w:rsid w:val="60FE9223"/>
    <w:rsid w:val="60FF4AED"/>
    <w:rsid w:val="60FF52D8"/>
    <w:rsid w:val="60FF880D"/>
    <w:rsid w:val="61009B03"/>
    <w:rsid w:val="6100ACC6"/>
    <w:rsid w:val="6100DE8A"/>
    <w:rsid w:val="6101312A"/>
    <w:rsid w:val="6101C4F5"/>
    <w:rsid w:val="6101F0CD"/>
    <w:rsid w:val="6102A552"/>
    <w:rsid w:val="6102C53A"/>
    <w:rsid w:val="610313E8"/>
    <w:rsid w:val="61032D5C"/>
    <w:rsid w:val="610389A2"/>
    <w:rsid w:val="610422B0"/>
    <w:rsid w:val="61044F9D"/>
    <w:rsid w:val="6104ACF2"/>
    <w:rsid w:val="6105BCF5"/>
    <w:rsid w:val="6105EC84"/>
    <w:rsid w:val="610669D2"/>
    <w:rsid w:val="6106C5BC"/>
    <w:rsid w:val="6107749C"/>
    <w:rsid w:val="6107D9F7"/>
    <w:rsid w:val="61087331"/>
    <w:rsid w:val="61091ECA"/>
    <w:rsid w:val="61092B76"/>
    <w:rsid w:val="61094566"/>
    <w:rsid w:val="6109C203"/>
    <w:rsid w:val="610A1926"/>
    <w:rsid w:val="610A1BF2"/>
    <w:rsid w:val="610AAF53"/>
    <w:rsid w:val="610AFDB8"/>
    <w:rsid w:val="610BF253"/>
    <w:rsid w:val="610BF53F"/>
    <w:rsid w:val="610C2B7D"/>
    <w:rsid w:val="610D2F68"/>
    <w:rsid w:val="610DA6BC"/>
    <w:rsid w:val="610F20F2"/>
    <w:rsid w:val="610F5927"/>
    <w:rsid w:val="6110400A"/>
    <w:rsid w:val="6111168D"/>
    <w:rsid w:val="61112575"/>
    <w:rsid w:val="61114DFA"/>
    <w:rsid w:val="61122C04"/>
    <w:rsid w:val="6112D69D"/>
    <w:rsid w:val="6113F1C4"/>
    <w:rsid w:val="6114114A"/>
    <w:rsid w:val="6114203F"/>
    <w:rsid w:val="61146D48"/>
    <w:rsid w:val="61148EAA"/>
    <w:rsid w:val="6114A191"/>
    <w:rsid w:val="6114C144"/>
    <w:rsid w:val="6115A27C"/>
    <w:rsid w:val="611642C1"/>
    <w:rsid w:val="6117BD9F"/>
    <w:rsid w:val="61187064"/>
    <w:rsid w:val="61188C4D"/>
    <w:rsid w:val="61195E12"/>
    <w:rsid w:val="611A2E29"/>
    <w:rsid w:val="611A2EC6"/>
    <w:rsid w:val="611A445F"/>
    <w:rsid w:val="611A4B71"/>
    <w:rsid w:val="611AD4FE"/>
    <w:rsid w:val="611B111D"/>
    <w:rsid w:val="611B284A"/>
    <w:rsid w:val="611B5F79"/>
    <w:rsid w:val="611BF1D8"/>
    <w:rsid w:val="611CCC29"/>
    <w:rsid w:val="611D80CC"/>
    <w:rsid w:val="611DE030"/>
    <w:rsid w:val="611ECDDB"/>
    <w:rsid w:val="611F4FC4"/>
    <w:rsid w:val="611F507A"/>
    <w:rsid w:val="61200580"/>
    <w:rsid w:val="612030AE"/>
    <w:rsid w:val="6120A971"/>
    <w:rsid w:val="61218016"/>
    <w:rsid w:val="61220F6B"/>
    <w:rsid w:val="61226B3A"/>
    <w:rsid w:val="6123820F"/>
    <w:rsid w:val="6123A20E"/>
    <w:rsid w:val="6123D0C3"/>
    <w:rsid w:val="61241F1D"/>
    <w:rsid w:val="6124486F"/>
    <w:rsid w:val="6126A84F"/>
    <w:rsid w:val="6126F6B8"/>
    <w:rsid w:val="612760E5"/>
    <w:rsid w:val="61282702"/>
    <w:rsid w:val="6128B416"/>
    <w:rsid w:val="61292A25"/>
    <w:rsid w:val="6129FC39"/>
    <w:rsid w:val="612A7A67"/>
    <w:rsid w:val="612A8CC5"/>
    <w:rsid w:val="612A9B2C"/>
    <w:rsid w:val="612AE04A"/>
    <w:rsid w:val="612B1FDF"/>
    <w:rsid w:val="612B6150"/>
    <w:rsid w:val="612B9D0B"/>
    <w:rsid w:val="612BFF11"/>
    <w:rsid w:val="612C5965"/>
    <w:rsid w:val="612C5C5E"/>
    <w:rsid w:val="612CAB1F"/>
    <w:rsid w:val="612E32C3"/>
    <w:rsid w:val="612EB0EE"/>
    <w:rsid w:val="612F9F2B"/>
    <w:rsid w:val="612FCA89"/>
    <w:rsid w:val="61308CA3"/>
    <w:rsid w:val="61319229"/>
    <w:rsid w:val="6131C382"/>
    <w:rsid w:val="6131D485"/>
    <w:rsid w:val="6132AF16"/>
    <w:rsid w:val="613303AF"/>
    <w:rsid w:val="61332A76"/>
    <w:rsid w:val="6133AB54"/>
    <w:rsid w:val="6134EAC3"/>
    <w:rsid w:val="61350124"/>
    <w:rsid w:val="61351C62"/>
    <w:rsid w:val="61352A78"/>
    <w:rsid w:val="61354C78"/>
    <w:rsid w:val="613559F4"/>
    <w:rsid w:val="6135A9F2"/>
    <w:rsid w:val="6135F4D6"/>
    <w:rsid w:val="6136C0A7"/>
    <w:rsid w:val="6136C76A"/>
    <w:rsid w:val="61372BEF"/>
    <w:rsid w:val="61373151"/>
    <w:rsid w:val="613779BD"/>
    <w:rsid w:val="6137C746"/>
    <w:rsid w:val="613A3756"/>
    <w:rsid w:val="613BCB84"/>
    <w:rsid w:val="613D79EF"/>
    <w:rsid w:val="613E3E8B"/>
    <w:rsid w:val="613E4C9B"/>
    <w:rsid w:val="613EB96A"/>
    <w:rsid w:val="613F65DF"/>
    <w:rsid w:val="613F6A1A"/>
    <w:rsid w:val="61406955"/>
    <w:rsid w:val="61407229"/>
    <w:rsid w:val="61416313"/>
    <w:rsid w:val="61436BAE"/>
    <w:rsid w:val="6144FB62"/>
    <w:rsid w:val="6145332B"/>
    <w:rsid w:val="6145534F"/>
    <w:rsid w:val="614679DD"/>
    <w:rsid w:val="6146EAEF"/>
    <w:rsid w:val="61471647"/>
    <w:rsid w:val="61472214"/>
    <w:rsid w:val="6148962D"/>
    <w:rsid w:val="614928D3"/>
    <w:rsid w:val="6149F0A3"/>
    <w:rsid w:val="614A3523"/>
    <w:rsid w:val="614A5512"/>
    <w:rsid w:val="614A97B4"/>
    <w:rsid w:val="614B795B"/>
    <w:rsid w:val="614BA25E"/>
    <w:rsid w:val="614C360B"/>
    <w:rsid w:val="614C726F"/>
    <w:rsid w:val="614DAEF1"/>
    <w:rsid w:val="614DBBA7"/>
    <w:rsid w:val="614E5A3F"/>
    <w:rsid w:val="614E709F"/>
    <w:rsid w:val="615045B3"/>
    <w:rsid w:val="615085E5"/>
    <w:rsid w:val="615128AA"/>
    <w:rsid w:val="6151AE2D"/>
    <w:rsid w:val="61523FBF"/>
    <w:rsid w:val="61524FAF"/>
    <w:rsid w:val="6155F31D"/>
    <w:rsid w:val="61566F8C"/>
    <w:rsid w:val="615692AB"/>
    <w:rsid w:val="615794E6"/>
    <w:rsid w:val="6157CBF7"/>
    <w:rsid w:val="61581F48"/>
    <w:rsid w:val="615A1C1C"/>
    <w:rsid w:val="615A5650"/>
    <w:rsid w:val="615A5BAE"/>
    <w:rsid w:val="615ABAAC"/>
    <w:rsid w:val="615AD3B6"/>
    <w:rsid w:val="615B40E6"/>
    <w:rsid w:val="615C0E08"/>
    <w:rsid w:val="615C3920"/>
    <w:rsid w:val="615C3D69"/>
    <w:rsid w:val="615C6037"/>
    <w:rsid w:val="615F75C5"/>
    <w:rsid w:val="615FA784"/>
    <w:rsid w:val="615FA9AE"/>
    <w:rsid w:val="6160C1DE"/>
    <w:rsid w:val="6160F0A7"/>
    <w:rsid w:val="61616A63"/>
    <w:rsid w:val="61625B77"/>
    <w:rsid w:val="616334D1"/>
    <w:rsid w:val="616390CA"/>
    <w:rsid w:val="6163B813"/>
    <w:rsid w:val="61643CB4"/>
    <w:rsid w:val="6164B127"/>
    <w:rsid w:val="6164EC30"/>
    <w:rsid w:val="6165B25F"/>
    <w:rsid w:val="616664F4"/>
    <w:rsid w:val="6166E832"/>
    <w:rsid w:val="61671666"/>
    <w:rsid w:val="61674A39"/>
    <w:rsid w:val="61680205"/>
    <w:rsid w:val="6168A97D"/>
    <w:rsid w:val="6168D5C0"/>
    <w:rsid w:val="61690A2E"/>
    <w:rsid w:val="616C5522"/>
    <w:rsid w:val="616CC7BE"/>
    <w:rsid w:val="616DC23D"/>
    <w:rsid w:val="616DCF75"/>
    <w:rsid w:val="616E90B4"/>
    <w:rsid w:val="616E9A67"/>
    <w:rsid w:val="616F0A27"/>
    <w:rsid w:val="616F172A"/>
    <w:rsid w:val="616FBBB5"/>
    <w:rsid w:val="616FC8C5"/>
    <w:rsid w:val="616FF54F"/>
    <w:rsid w:val="61709047"/>
    <w:rsid w:val="61720F69"/>
    <w:rsid w:val="6172B2E5"/>
    <w:rsid w:val="61736A78"/>
    <w:rsid w:val="6173B43C"/>
    <w:rsid w:val="6173B735"/>
    <w:rsid w:val="6173EA4C"/>
    <w:rsid w:val="61746155"/>
    <w:rsid w:val="6174655A"/>
    <w:rsid w:val="6174D21C"/>
    <w:rsid w:val="6174F1C6"/>
    <w:rsid w:val="61761678"/>
    <w:rsid w:val="61781B5C"/>
    <w:rsid w:val="61790B91"/>
    <w:rsid w:val="61791152"/>
    <w:rsid w:val="61794655"/>
    <w:rsid w:val="617A5E3C"/>
    <w:rsid w:val="617B1BBF"/>
    <w:rsid w:val="617B450E"/>
    <w:rsid w:val="617BB21B"/>
    <w:rsid w:val="617CCFC8"/>
    <w:rsid w:val="617D45B2"/>
    <w:rsid w:val="617DCB56"/>
    <w:rsid w:val="617E3F8C"/>
    <w:rsid w:val="617F05D1"/>
    <w:rsid w:val="617F8249"/>
    <w:rsid w:val="617FF6C2"/>
    <w:rsid w:val="6180B97B"/>
    <w:rsid w:val="61811D33"/>
    <w:rsid w:val="6182C0A6"/>
    <w:rsid w:val="6182CCF2"/>
    <w:rsid w:val="61831222"/>
    <w:rsid w:val="6183C5C5"/>
    <w:rsid w:val="6183CF19"/>
    <w:rsid w:val="61842FEC"/>
    <w:rsid w:val="6185069F"/>
    <w:rsid w:val="618565CD"/>
    <w:rsid w:val="6185E354"/>
    <w:rsid w:val="618755C5"/>
    <w:rsid w:val="6187D48D"/>
    <w:rsid w:val="61881CBA"/>
    <w:rsid w:val="618822AF"/>
    <w:rsid w:val="61899EC1"/>
    <w:rsid w:val="618BAA65"/>
    <w:rsid w:val="618BB3DC"/>
    <w:rsid w:val="618C65B8"/>
    <w:rsid w:val="618C965D"/>
    <w:rsid w:val="618ED3DC"/>
    <w:rsid w:val="618EEDA6"/>
    <w:rsid w:val="619085C9"/>
    <w:rsid w:val="61909D39"/>
    <w:rsid w:val="6191AC76"/>
    <w:rsid w:val="61920C9F"/>
    <w:rsid w:val="6192BCC6"/>
    <w:rsid w:val="619394F9"/>
    <w:rsid w:val="6194D752"/>
    <w:rsid w:val="6194F9A9"/>
    <w:rsid w:val="619545C7"/>
    <w:rsid w:val="6197F252"/>
    <w:rsid w:val="61985A23"/>
    <w:rsid w:val="619933F8"/>
    <w:rsid w:val="619A6DB4"/>
    <w:rsid w:val="619B58F8"/>
    <w:rsid w:val="619BAF93"/>
    <w:rsid w:val="619C646F"/>
    <w:rsid w:val="619C9CB0"/>
    <w:rsid w:val="619CBBB0"/>
    <w:rsid w:val="619D814F"/>
    <w:rsid w:val="619DCA22"/>
    <w:rsid w:val="619E005A"/>
    <w:rsid w:val="619E5A4E"/>
    <w:rsid w:val="619EEEEC"/>
    <w:rsid w:val="61A0F855"/>
    <w:rsid w:val="61A1B0EF"/>
    <w:rsid w:val="61A206C8"/>
    <w:rsid w:val="61A21891"/>
    <w:rsid w:val="61A292F1"/>
    <w:rsid w:val="61A2E4DC"/>
    <w:rsid w:val="61A32741"/>
    <w:rsid w:val="61A4712E"/>
    <w:rsid w:val="61A50D33"/>
    <w:rsid w:val="61A589B9"/>
    <w:rsid w:val="61A63782"/>
    <w:rsid w:val="61A6D762"/>
    <w:rsid w:val="61A6FEB1"/>
    <w:rsid w:val="61A74928"/>
    <w:rsid w:val="61A7F5CB"/>
    <w:rsid w:val="61A96158"/>
    <w:rsid w:val="61A9B5F6"/>
    <w:rsid w:val="61A9D263"/>
    <w:rsid w:val="61A9E3D5"/>
    <w:rsid w:val="61AB760F"/>
    <w:rsid w:val="61AB9E9D"/>
    <w:rsid w:val="61AC2EE8"/>
    <w:rsid w:val="61AC7D00"/>
    <w:rsid w:val="61ACBC87"/>
    <w:rsid w:val="61ADB494"/>
    <w:rsid w:val="61AF518D"/>
    <w:rsid w:val="61AFA3FA"/>
    <w:rsid w:val="61B00D49"/>
    <w:rsid w:val="61B01AFB"/>
    <w:rsid w:val="61B027E0"/>
    <w:rsid w:val="61B091EC"/>
    <w:rsid w:val="61B171DD"/>
    <w:rsid w:val="61B236B6"/>
    <w:rsid w:val="61B59BD7"/>
    <w:rsid w:val="61B5D299"/>
    <w:rsid w:val="61B626EF"/>
    <w:rsid w:val="61B672E6"/>
    <w:rsid w:val="61B68AEA"/>
    <w:rsid w:val="61B6D537"/>
    <w:rsid w:val="61B703C4"/>
    <w:rsid w:val="61B77F0D"/>
    <w:rsid w:val="61B7883B"/>
    <w:rsid w:val="61B7CD85"/>
    <w:rsid w:val="61B8387C"/>
    <w:rsid w:val="61B84B7C"/>
    <w:rsid w:val="61B8812C"/>
    <w:rsid w:val="61B8C6C4"/>
    <w:rsid w:val="61B8E9FF"/>
    <w:rsid w:val="61B8F2CE"/>
    <w:rsid w:val="61B953AC"/>
    <w:rsid w:val="61BAE95D"/>
    <w:rsid w:val="61BB20C7"/>
    <w:rsid w:val="61BB631A"/>
    <w:rsid w:val="61BB6AA3"/>
    <w:rsid w:val="61BDC67E"/>
    <w:rsid w:val="61BDF9E4"/>
    <w:rsid w:val="61BE9396"/>
    <w:rsid w:val="61BECCCA"/>
    <w:rsid w:val="61C03A22"/>
    <w:rsid w:val="61C056E4"/>
    <w:rsid w:val="61C24E2C"/>
    <w:rsid w:val="61C42B56"/>
    <w:rsid w:val="61C43866"/>
    <w:rsid w:val="61C43A11"/>
    <w:rsid w:val="61C46BC0"/>
    <w:rsid w:val="61C5CD88"/>
    <w:rsid w:val="61C5DE28"/>
    <w:rsid w:val="61C74236"/>
    <w:rsid w:val="61C7ABC5"/>
    <w:rsid w:val="61C7BCC4"/>
    <w:rsid w:val="61C81B59"/>
    <w:rsid w:val="61C84236"/>
    <w:rsid w:val="61C85DD9"/>
    <w:rsid w:val="61C921F2"/>
    <w:rsid w:val="61C9DAAF"/>
    <w:rsid w:val="61CA0CC8"/>
    <w:rsid w:val="61CAAFB0"/>
    <w:rsid w:val="61CAD840"/>
    <w:rsid w:val="61CB1CD1"/>
    <w:rsid w:val="61CB4AAE"/>
    <w:rsid w:val="61CB4C40"/>
    <w:rsid w:val="61CD264C"/>
    <w:rsid w:val="61CD4746"/>
    <w:rsid w:val="61CE2AAD"/>
    <w:rsid w:val="61CE726D"/>
    <w:rsid w:val="61CEA244"/>
    <w:rsid w:val="61CEE079"/>
    <w:rsid w:val="61CF2CC0"/>
    <w:rsid w:val="61CF61BE"/>
    <w:rsid w:val="61D13CA0"/>
    <w:rsid w:val="61D21CBD"/>
    <w:rsid w:val="61D23937"/>
    <w:rsid w:val="61D2B2D3"/>
    <w:rsid w:val="61D33B21"/>
    <w:rsid w:val="61D3B3AD"/>
    <w:rsid w:val="61D46F37"/>
    <w:rsid w:val="61D4EA22"/>
    <w:rsid w:val="61D50327"/>
    <w:rsid w:val="61D5F836"/>
    <w:rsid w:val="61D66FDC"/>
    <w:rsid w:val="61D6A08A"/>
    <w:rsid w:val="61D70581"/>
    <w:rsid w:val="61D7785F"/>
    <w:rsid w:val="61D7919F"/>
    <w:rsid w:val="61D7F40C"/>
    <w:rsid w:val="61D80BCE"/>
    <w:rsid w:val="61D80E6A"/>
    <w:rsid w:val="61D8B8A4"/>
    <w:rsid w:val="61DA0760"/>
    <w:rsid w:val="61DAED95"/>
    <w:rsid w:val="61DB364A"/>
    <w:rsid w:val="61DB50EE"/>
    <w:rsid w:val="61DBDCA3"/>
    <w:rsid w:val="61DC6808"/>
    <w:rsid w:val="61DCED0A"/>
    <w:rsid w:val="61DF16CA"/>
    <w:rsid w:val="61DF7FE5"/>
    <w:rsid w:val="61E03E98"/>
    <w:rsid w:val="61E11A84"/>
    <w:rsid w:val="61E1D62F"/>
    <w:rsid w:val="61E2CBC9"/>
    <w:rsid w:val="61E2D096"/>
    <w:rsid w:val="61E44773"/>
    <w:rsid w:val="61E48365"/>
    <w:rsid w:val="61E4A28A"/>
    <w:rsid w:val="61E50A84"/>
    <w:rsid w:val="61E61E25"/>
    <w:rsid w:val="61E66811"/>
    <w:rsid w:val="61E6D095"/>
    <w:rsid w:val="61E8E45C"/>
    <w:rsid w:val="61E8F95A"/>
    <w:rsid w:val="61E8F9E5"/>
    <w:rsid w:val="61E8FA1A"/>
    <w:rsid w:val="61E933B6"/>
    <w:rsid w:val="61E9B11A"/>
    <w:rsid w:val="61E9BFD5"/>
    <w:rsid w:val="61EA5283"/>
    <w:rsid w:val="61EA7338"/>
    <w:rsid w:val="61EAA457"/>
    <w:rsid w:val="61EABB6B"/>
    <w:rsid w:val="61EBAE42"/>
    <w:rsid w:val="61EC5312"/>
    <w:rsid w:val="61ECAAD9"/>
    <w:rsid w:val="61ED0697"/>
    <w:rsid w:val="61ED9E3C"/>
    <w:rsid w:val="61EDFF07"/>
    <w:rsid w:val="61EE04B8"/>
    <w:rsid w:val="61EEA5DA"/>
    <w:rsid w:val="61EEDB7D"/>
    <w:rsid w:val="61F042E0"/>
    <w:rsid w:val="61F0AB8F"/>
    <w:rsid w:val="61F0CF87"/>
    <w:rsid w:val="61F16D0E"/>
    <w:rsid w:val="61F17625"/>
    <w:rsid w:val="61F1F65F"/>
    <w:rsid w:val="61F294F1"/>
    <w:rsid w:val="61F3378F"/>
    <w:rsid w:val="61F41EE5"/>
    <w:rsid w:val="61F41EFF"/>
    <w:rsid w:val="61F42FEC"/>
    <w:rsid w:val="61F5298A"/>
    <w:rsid w:val="61F5A852"/>
    <w:rsid w:val="61F6320A"/>
    <w:rsid w:val="61F697BB"/>
    <w:rsid w:val="61F6D119"/>
    <w:rsid w:val="61F86C70"/>
    <w:rsid w:val="61F91DDA"/>
    <w:rsid w:val="61FA4988"/>
    <w:rsid w:val="61FA661C"/>
    <w:rsid w:val="61FA73C9"/>
    <w:rsid w:val="61FACB6E"/>
    <w:rsid w:val="61FB270C"/>
    <w:rsid w:val="61FB3B7E"/>
    <w:rsid w:val="61FC09CD"/>
    <w:rsid w:val="61FC6A84"/>
    <w:rsid w:val="61FF9FEF"/>
    <w:rsid w:val="61FFD594"/>
    <w:rsid w:val="62000EFE"/>
    <w:rsid w:val="620083D7"/>
    <w:rsid w:val="62009233"/>
    <w:rsid w:val="620171A2"/>
    <w:rsid w:val="62033A0F"/>
    <w:rsid w:val="62034D26"/>
    <w:rsid w:val="6203B051"/>
    <w:rsid w:val="6203C276"/>
    <w:rsid w:val="6203DADA"/>
    <w:rsid w:val="62042FE6"/>
    <w:rsid w:val="62043AEA"/>
    <w:rsid w:val="6205AD0B"/>
    <w:rsid w:val="6206B058"/>
    <w:rsid w:val="620762D9"/>
    <w:rsid w:val="6208E090"/>
    <w:rsid w:val="620A2145"/>
    <w:rsid w:val="620AB8D9"/>
    <w:rsid w:val="620B2F21"/>
    <w:rsid w:val="620BF52C"/>
    <w:rsid w:val="620DEA44"/>
    <w:rsid w:val="620E61C1"/>
    <w:rsid w:val="620EC82A"/>
    <w:rsid w:val="620EFAAD"/>
    <w:rsid w:val="620F12E2"/>
    <w:rsid w:val="620F1C5D"/>
    <w:rsid w:val="620FFACD"/>
    <w:rsid w:val="6211180F"/>
    <w:rsid w:val="621148A2"/>
    <w:rsid w:val="6212E92F"/>
    <w:rsid w:val="62149F48"/>
    <w:rsid w:val="621506A7"/>
    <w:rsid w:val="62163B97"/>
    <w:rsid w:val="6216E22A"/>
    <w:rsid w:val="62172C62"/>
    <w:rsid w:val="621812E2"/>
    <w:rsid w:val="621865A7"/>
    <w:rsid w:val="6218D456"/>
    <w:rsid w:val="6219DEB6"/>
    <w:rsid w:val="621A08AB"/>
    <w:rsid w:val="621A0A7C"/>
    <w:rsid w:val="621A5B41"/>
    <w:rsid w:val="621AA968"/>
    <w:rsid w:val="621C92DF"/>
    <w:rsid w:val="621DD296"/>
    <w:rsid w:val="621DF008"/>
    <w:rsid w:val="621E9011"/>
    <w:rsid w:val="621E95F6"/>
    <w:rsid w:val="62210CB2"/>
    <w:rsid w:val="62218F66"/>
    <w:rsid w:val="62219C54"/>
    <w:rsid w:val="62229FD3"/>
    <w:rsid w:val="6223E8EB"/>
    <w:rsid w:val="62244EDC"/>
    <w:rsid w:val="6224D09C"/>
    <w:rsid w:val="62259F4D"/>
    <w:rsid w:val="62263452"/>
    <w:rsid w:val="62263901"/>
    <w:rsid w:val="62264A22"/>
    <w:rsid w:val="622768BF"/>
    <w:rsid w:val="6227FB8A"/>
    <w:rsid w:val="6227FC2B"/>
    <w:rsid w:val="622885D0"/>
    <w:rsid w:val="622891EC"/>
    <w:rsid w:val="6228AF84"/>
    <w:rsid w:val="62297A84"/>
    <w:rsid w:val="6229D729"/>
    <w:rsid w:val="622A5C1C"/>
    <w:rsid w:val="622A6FA8"/>
    <w:rsid w:val="622AB821"/>
    <w:rsid w:val="622B032A"/>
    <w:rsid w:val="622B92C4"/>
    <w:rsid w:val="622BDA54"/>
    <w:rsid w:val="622DFC63"/>
    <w:rsid w:val="622E224D"/>
    <w:rsid w:val="622E57AC"/>
    <w:rsid w:val="622EC665"/>
    <w:rsid w:val="622FAC05"/>
    <w:rsid w:val="6231F5E8"/>
    <w:rsid w:val="62327EAB"/>
    <w:rsid w:val="623301AC"/>
    <w:rsid w:val="6234DE8E"/>
    <w:rsid w:val="62365E88"/>
    <w:rsid w:val="6236914A"/>
    <w:rsid w:val="6236C8AC"/>
    <w:rsid w:val="6237F5F0"/>
    <w:rsid w:val="62388529"/>
    <w:rsid w:val="6238A987"/>
    <w:rsid w:val="6238C07A"/>
    <w:rsid w:val="62394372"/>
    <w:rsid w:val="623A5CFB"/>
    <w:rsid w:val="623B077F"/>
    <w:rsid w:val="623B5EE3"/>
    <w:rsid w:val="623B6413"/>
    <w:rsid w:val="623C79B4"/>
    <w:rsid w:val="623C7B27"/>
    <w:rsid w:val="623CB5AC"/>
    <w:rsid w:val="623CD94E"/>
    <w:rsid w:val="623D229B"/>
    <w:rsid w:val="623D86BD"/>
    <w:rsid w:val="623DD4B1"/>
    <w:rsid w:val="623E147C"/>
    <w:rsid w:val="623E6648"/>
    <w:rsid w:val="623E9562"/>
    <w:rsid w:val="623F387F"/>
    <w:rsid w:val="62401C53"/>
    <w:rsid w:val="624076E8"/>
    <w:rsid w:val="624137CF"/>
    <w:rsid w:val="62420612"/>
    <w:rsid w:val="62425269"/>
    <w:rsid w:val="6243F783"/>
    <w:rsid w:val="624427B6"/>
    <w:rsid w:val="6244A15A"/>
    <w:rsid w:val="62461ECE"/>
    <w:rsid w:val="62464C2F"/>
    <w:rsid w:val="62468D8F"/>
    <w:rsid w:val="6247F6EB"/>
    <w:rsid w:val="6248167F"/>
    <w:rsid w:val="62492C51"/>
    <w:rsid w:val="62494536"/>
    <w:rsid w:val="624B02F2"/>
    <w:rsid w:val="624B8A67"/>
    <w:rsid w:val="624BA985"/>
    <w:rsid w:val="624C7649"/>
    <w:rsid w:val="624D0B77"/>
    <w:rsid w:val="624D7063"/>
    <w:rsid w:val="624E966C"/>
    <w:rsid w:val="624F0F5F"/>
    <w:rsid w:val="624F65ED"/>
    <w:rsid w:val="624F89A4"/>
    <w:rsid w:val="624FC40C"/>
    <w:rsid w:val="6250036D"/>
    <w:rsid w:val="62507321"/>
    <w:rsid w:val="62512E6D"/>
    <w:rsid w:val="625251E3"/>
    <w:rsid w:val="6253DB9D"/>
    <w:rsid w:val="6253FF68"/>
    <w:rsid w:val="62553161"/>
    <w:rsid w:val="625580DE"/>
    <w:rsid w:val="62560363"/>
    <w:rsid w:val="625664AC"/>
    <w:rsid w:val="62573BDC"/>
    <w:rsid w:val="6257C6CC"/>
    <w:rsid w:val="6257D9A4"/>
    <w:rsid w:val="625899AE"/>
    <w:rsid w:val="6258AAA8"/>
    <w:rsid w:val="6258D380"/>
    <w:rsid w:val="6259E819"/>
    <w:rsid w:val="625A9C51"/>
    <w:rsid w:val="625B59C4"/>
    <w:rsid w:val="625B8356"/>
    <w:rsid w:val="625BF9E7"/>
    <w:rsid w:val="625C9783"/>
    <w:rsid w:val="625CF31A"/>
    <w:rsid w:val="625CF49C"/>
    <w:rsid w:val="625D5ACC"/>
    <w:rsid w:val="625DFCEB"/>
    <w:rsid w:val="625E0448"/>
    <w:rsid w:val="625E3A67"/>
    <w:rsid w:val="625E6E10"/>
    <w:rsid w:val="625EC1AF"/>
    <w:rsid w:val="625F0222"/>
    <w:rsid w:val="625F34BF"/>
    <w:rsid w:val="625F54FD"/>
    <w:rsid w:val="625FC704"/>
    <w:rsid w:val="62601DA7"/>
    <w:rsid w:val="626047E6"/>
    <w:rsid w:val="62606ACF"/>
    <w:rsid w:val="626341D7"/>
    <w:rsid w:val="6264120E"/>
    <w:rsid w:val="6264231C"/>
    <w:rsid w:val="62646C1D"/>
    <w:rsid w:val="6264787B"/>
    <w:rsid w:val="626479A7"/>
    <w:rsid w:val="62648E70"/>
    <w:rsid w:val="6264ADF1"/>
    <w:rsid w:val="6264D081"/>
    <w:rsid w:val="6264E85B"/>
    <w:rsid w:val="62653981"/>
    <w:rsid w:val="62659051"/>
    <w:rsid w:val="62662A8C"/>
    <w:rsid w:val="6266401A"/>
    <w:rsid w:val="62665348"/>
    <w:rsid w:val="6266AC95"/>
    <w:rsid w:val="62673D09"/>
    <w:rsid w:val="626815B9"/>
    <w:rsid w:val="62685CDE"/>
    <w:rsid w:val="62686A2B"/>
    <w:rsid w:val="6268CAA8"/>
    <w:rsid w:val="6269055D"/>
    <w:rsid w:val="62697659"/>
    <w:rsid w:val="6269EE70"/>
    <w:rsid w:val="626A60BB"/>
    <w:rsid w:val="626C6385"/>
    <w:rsid w:val="626CE1FE"/>
    <w:rsid w:val="626D281A"/>
    <w:rsid w:val="626D2AD1"/>
    <w:rsid w:val="626D854E"/>
    <w:rsid w:val="626D96BC"/>
    <w:rsid w:val="626DF194"/>
    <w:rsid w:val="626E55CA"/>
    <w:rsid w:val="626EB4B3"/>
    <w:rsid w:val="626FD59D"/>
    <w:rsid w:val="626FF60A"/>
    <w:rsid w:val="62701ED5"/>
    <w:rsid w:val="627022FE"/>
    <w:rsid w:val="627054D3"/>
    <w:rsid w:val="6272F8A6"/>
    <w:rsid w:val="627497A7"/>
    <w:rsid w:val="6274DB80"/>
    <w:rsid w:val="62762B33"/>
    <w:rsid w:val="62769777"/>
    <w:rsid w:val="6276B686"/>
    <w:rsid w:val="6276D3EB"/>
    <w:rsid w:val="627712AE"/>
    <w:rsid w:val="627768AC"/>
    <w:rsid w:val="6278620E"/>
    <w:rsid w:val="6279083F"/>
    <w:rsid w:val="6279194E"/>
    <w:rsid w:val="62798A0D"/>
    <w:rsid w:val="627A165E"/>
    <w:rsid w:val="627A4E47"/>
    <w:rsid w:val="627AD24C"/>
    <w:rsid w:val="627AF663"/>
    <w:rsid w:val="627E7E0E"/>
    <w:rsid w:val="627EF326"/>
    <w:rsid w:val="627EFD88"/>
    <w:rsid w:val="62807064"/>
    <w:rsid w:val="6280924F"/>
    <w:rsid w:val="62810A1C"/>
    <w:rsid w:val="6282616F"/>
    <w:rsid w:val="62829522"/>
    <w:rsid w:val="62847DB3"/>
    <w:rsid w:val="628537A1"/>
    <w:rsid w:val="62857AC4"/>
    <w:rsid w:val="6285968F"/>
    <w:rsid w:val="6286C9FA"/>
    <w:rsid w:val="6286FE1E"/>
    <w:rsid w:val="628704AB"/>
    <w:rsid w:val="62872EDB"/>
    <w:rsid w:val="628837F5"/>
    <w:rsid w:val="628918D6"/>
    <w:rsid w:val="62895E2D"/>
    <w:rsid w:val="628A5074"/>
    <w:rsid w:val="628AD52B"/>
    <w:rsid w:val="628B203F"/>
    <w:rsid w:val="628B3E90"/>
    <w:rsid w:val="628BFA65"/>
    <w:rsid w:val="628D6F7B"/>
    <w:rsid w:val="628F8ABB"/>
    <w:rsid w:val="62902603"/>
    <w:rsid w:val="62907F4B"/>
    <w:rsid w:val="629167A7"/>
    <w:rsid w:val="62923A60"/>
    <w:rsid w:val="6293400A"/>
    <w:rsid w:val="62936B55"/>
    <w:rsid w:val="6293A8E6"/>
    <w:rsid w:val="62940A65"/>
    <w:rsid w:val="62941D26"/>
    <w:rsid w:val="6294642B"/>
    <w:rsid w:val="629467CF"/>
    <w:rsid w:val="6294C918"/>
    <w:rsid w:val="62954BC6"/>
    <w:rsid w:val="6295E2D6"/>
    <w:rsid w:val="629626DC"/>
    <w:rsid w:val="6296C81E"/>
    <w:rsid w:val="62975217"/>
    <w:rsid w:val="62979C7C"/>
    <w:rsid w:val="62984592"/>
    <w:rsid w:val="6298F3EE"/>
    <w:rsid w:val="6299D5D1"/>
    <w:rsid w:val="6299E23C"/>
    <w:rsid w:val="629AB7A8"/>
    <w:rsid w:val="629AECDD"/>
    <w:rsid w:val="629B71D1"/>
    <w:rsid w:val="629C2A90"/>
    <w:rsid w:val="629D018B"/>
    <w:rsid w:val="629D951E"/>
    <w:rsid w:val="629E4B47"/>
    <w:rsid w:val="629E9659"/>
    <w:rsid w:val="629EF5D8"/>
    <w:rsid w:val="629F68C8"/>
    <w:rsid w:val="62A05864"/>
    <w:rsid w:val="62A1515B"/>
    <w:rsid w:val="62A2037C"/>
    <w:rsid w:val="62A2848C"/>
    <w:rsid w:val="62A3F446"/>
    <w:rsid w:val="62A426AF"/>
    <w:rsid w:val="62A49FAE"/>
    <w:rsid w:val="62A50882"/>
    <w:rsid w:val="62A54CA6"/>
    <w:rsid w:val="62A6E360"/>
    <w:rsid w:val="62A74033"/>
    <w:rsid w:val="62A79226"/>
    <w:rsid w:val="62A79EAB"/>
    <w:rsid w:val="62A7E78B"/>
    <w:rsid w:val="62A9E5C6"/>
    <w:rsid w:val="62AA52A4"/>
    <w:rsid w:val="62AB0762"/>
    <w:rsid w:val="62AC7D14"/>
    <w:rsid w:val="62AC85D6"/>
    <w:rsid w:val="62ACEB78"/>
    <w:rsid w:val="62ADE5EA"/>
    <w:rsid w:val="62ADF700"/>
    <w:rsid w:val="62AE3438"/>
    <w:rsid w:val="62AE99C4"/>
    <w:rsid w:val="62AFC2D4"/>
    <w:rsid w:val="62B003F4"/>
    <w:rsid w:val="62B0A3BD"/>
    <w:rsid w:val="62B0CE70"/>
    <w:rsid w:val="62B21EDC"/>
    <w:rsid w:val="62B27B75"/>
    <w:rsid w:val="62B2B349"/>
    <w:rsid w:val="62B2C6CD"/>
    <w:rsid w:val="62B2F6B8"/>
    <w:rsid w:val="62B38A32"/>
    <w:rsid w:val="62B40647"/>
    <w:rsid w:val="62B41C54"/>
    <w:rsid w:val="62B47BC1"/>
    <w:rsid w:val="62B4FEBC"/>
    <w:rsid w:val="62B5141B"/>
    <w:rsid w:val="62B58357"/>
    <w:rsid w:val="62B5D53E"/>
    <w:rsid w:val="62B66765"/>
    <w:rsid w:val="62B687A6"/>
    <w:rsid w:val="62B8CE02"/>
    <w:rsid w:val="62B929EF"/>
    <w:rsid w:val="62BA813C"/>
    <w:rsid w:val="62BAB472"/>
    <w:rsid w:val="62BABD14"/>
    <w:rsid w:val="62BAD082"/>
    <w:rsid w:val="62BBBF0E"/>
    <w:rsid w:val="62BBD423"/>
    <w:rsid w:val="62BD39F2"/>
    <w:rsid w:val="62BDFAA9"/>
    <w:rsid w:val="62BF616A"/>
    <w:rsid w:val="62BF6CB8"/>
    <w:rsid w:val="62BF9DC8"/>
    <w:rsid w:val="62C06D45"/>
    <w:rsid w:val="62C0B50E"/>
    <w:rsid w:val="62C103E2"/>
    <w:rsid w:val="62C2335C"/>
    <w:rsid w:val="62C24221"/>
    <w:rsid w:val="62C2521D"/>
    <w:rsid w:val="62C40BE3"/>
    <w:rsid w:val="62C4506C"/>
    <w:rsid w:val="62C456DE"/>
    <w:rsid w:val="62C46FB4"/>
    <w:rsid w:val="62C4C958"/>
    <w:rsid w:val="62C4EBDF"/>
    <w:rsid w:val="62C72DFC"/>
    <w:rsid w:val="62C83A9F"/>
    <w:rsid w:val="62C95672"/>
    <w:rsid w:val="62C9F62C"/>
    <w:rsid w:val="62CB24D2"/>
    <w:rsid w:val="62CB60E5"/>
    <w:rsid w:val="62CBB212"/>
    <w:rsid w:val="62CC7C8B"/>
    <w:rsid w:val="62CD1083"/>
    <w:rsid w:val="62CD2A9B"/>
    <w:rsid w:val="62CD88F7"/>
    <w:rsid w:val="62CDD892"/>
    <w:rsid w:val="62CDDB36"/>
    <w:rsid w:val="62CDFEDB"/>
    <w:rsid w:val="62CEEDEA"/>
    <w:rsid w:val="62D012D4"/>
    <w:rsid w:val="62D0C0EF"/>
    <w:rsid w:val="62D0CF0D"/>
    <w:rsid w:val="62D2FA04"/>
    <w:rsid w:val="62D3FE5D"/>
    <w:rsid w:val="62D4573D"/>
    <w:rsid w:val="62D54974"/>
    <w:rsid w:val="62D80835"/>
    <w:rsid w:val="62D91BC6"/>
    <w:rsid w:val="62D937EE"/>
    <w:rsid w:val="62D967D8"/>
    <w:rsid w:val="62D9B89A"/>
    <w:rsid w:val="62DA3CFC"/>
    <w:rsid w:val="62DB1C69"/>
    <w:rsid w:val="62DB5BB9"/>
    <w:rsid w:val="62DD2701"/>
    <w:rsid w:val="62DD3374"/>
    <w:rsid w:val="62DEB2DB"/>
    <w:rsid w:val="62DECE37"/>
    <w:rsid w:val="62DFD49C"/>
    <w:rsid w:val="62DFDC50"/>
    <w:rsid w:val="62E17FE6"/>
    <w:rsid w:val="62E1CD33"/>
    <w:rsid w:val="62E22339"/>
    <w:rsid w:val="62E22702"/>
    <w:rsid w:val="62E2D69C"/>
    <w:rsid w:val="62E42F30"/>
    <w:rsid w:val="62E4DD2A"/>
    <w:rsid w:val="62E57D06"/>
    <w:rsid w:val="62E5801F"/>
    <w:rsid w:val="62E5E96E"/>
    <w:rsid w:val="62E5F09A"/>
    <w:rsid w:val="62E689BA"/>
    <w:rsid w:val="62E6F11B"/>
    <w:rsid w:val="62E76607"/>
    <w:rsid w:val="62E76FC7"/>
    <w:rsid w:val="62E7BB24"/>
    <w:rsid w:val="62E7DC64"/>
    <w:rsid w:val="62E84607"/>
    <w:rsid w:val="62E8E30C"/>
    <w:rsid w:val="62E8E74D"/>
    <w:rsid w:val="62E9DE21"/>
    <w:rsid w:val="62EA512F"/>
    <w:rsid w:val="62EA88ED"/>
    <w:rsid w:val="62EB07DC"/>
    <w:rsid w:val="62ED3187"/>
    <w:rsid w:val="62EDAA3D"/>
    <w:rsid w:val="62EEBF34"/>
    <w:rsid w:val="62EFCA50"/>
    <w:rsid w:val="62F02FB4"/>
    <w:rsid w:val="62F19BF3"/>
    <w:rsid w:val="62F1F550"/>
    <w:rsid w:val="62F2C269"/>
    <w:rsid w:val="62F37344"/>
    <w:rsid w:val="62F50A8D"/>
    <w:rsid w:val="62F57502"/>
    <w:rsid w:val="62F5DC7B"/>
    <w:rsid w:val="62F62687"/>
    <w:rsid w:val="62F72C25"/>
    <w:rsid w:val="62F88E59"/>
    <w:rsid w:val="62F89D8F"/>
    <w:rsid w:val="62F94748"/>
    <w:rsid w:val="62F951BE"/>
    <w:rsid w:val="62F962EC"/>
    <w:rsid w:val="62F9D26B"/>
    <w:rsid w:val="62FB4C65"/>
    <w:rsid w:val="62FD60F4"/>
    <w:rsid w:val="62FD9117"/>
    <w:rsid w:val="62FDA4F3"/>
    <w:rsid w:val="62FEC0DC"/>
    <w:rsid w:val="62FF8830"/>
    <w:rsid w:val="62FF9511"/>
    <w:rsid w:val="6300A05C"/>
    <w:rsid w:val="630104B9"/>
    <w:rsid w:val="6301298E"/>
    <w:rsid w:val="6301412F"/>
    <w:rsid w:val="63029F03"/>
    <w:rsid w:val="6303DCFC"/>
    <w:rsid w:val="6303E323"/>
    <w:rsid w:val="6303FB3A"/>
    <w:rsid w:val="63041EB1"/>
    <w:rsid w:val="63051DF9"/>
    <w:rsid w:val="6305D00D"/>
    <w:rsid w:val="63069680"/>
    <w:rsid w:val="63082366"/>
    <w:rsid w:val="630880CA"/>
    <w:rsid w:val="63090AB4"/>
    <w:rsid w:val="63094365"/>
    <w:rsid w:val="63099587"/>
    <w:rsid w:val="630A70D4"/>
    <w:rsid w:val="630A7F1B"/>
    <w:rsid w:val="630B61C7"/>
    <w:rsid w:val="630BBB67"/>
    <w:rsid w:val="630E04E5"/>
    <w:rsid w:val="630E50A4"/>
    <w:rsid w:val="630E7FC4"/>
    <w:rsid w:val="630E905A"/>
    <w:rsid w:val="630F8743"/>
    <w:rsid w:val="6311E0A3"/>
    <w:rsid w:val="6314BA65"/>
    <w:rsid w:val="6314F5FE"/>
    <w:rsid w:val="6316C9C8"/>
    <w:rsid w:val="63176911"/>
    <w:rsid w:val="631877F2"/>
    <w:rsid w:val="631890B3"/>
    <w:rsid w:val="6318D3E6"/>
    <w:rsid w:val="6318DBBF"/>
    <w:rsid w:val="6319CC6F"/>
    <w:rsid w:val="631B0AF0"/>
    <w:rsid w:val="631B8778"/>
    <w:rsid w:val="631B9A41"/>
    <w:rsid w:val="631BC43A"/>
    <w:rsid w:val="631BFC71"/>
    <w:rsid w:val="631C820D"/>
    <w:rsid w:val="631CF031"/>
    <w:rsid w:val="631DC63E"/>
    <w:rsid w:val="631DDA25"/>
    <w:rsid w:val="631E623E"/>
    <w:rsid w:val="631FD238"/>
    <w:rsid w:val="631FED63"/>
    <w:rsid w:val="6320DEDE"/>
    <w:rsid w:val="6320E52E"/>
    <w:rsid w:val="63210210"/>
    <w:rsid w:val="63211C97"/>
    <w:rsid w:val="63222919"/>
    <w:rsid w:val="632294BF"/>
    <w:rsid w:val="632343C6"/>
    <w:rsid w:val="63238AE9"/>
    <w:rsid w:val="6323ED1B"/>
    <w:rsid w:val="6325E910"/>
    <w:rsid w:val="632616F5"/>
    <w:rsid w:val="63266DAE"/>
    <w:rsid w:val="63279872"/>
    <w:rsid w:val="632899D6"/>
    <w:rsid w:val="63290AFE"/>
    <w:rsid w:val="632AE6F7"/>
    <w:rsid w:val="632B4624"/>
    <w:rsid w:val="632B7D0D"/>
    <w:rsid w:val="632C11B6"/>
    <w:rsid w:val="632D691E"/>
    <w:rsid w:val="632F1D3A"/>
    <w:rsid w:val="633029DF"/>
    <w:rsid w:val="63306E5B"/>
    <w:rsid w:val="633078CC"/>
    <w:rsid w:val="6330CF7A"/>
    <w:rsid w:val="63311211"/>
    <w:rsid w:val="63317638"/>
    <w:rsid w:val="63322DA3"/>
    <w:rsid w:val="6332FB8C"/>
    <w:rsid w:val="6333325C"/>
    <w:rsid w:val="63333F56"/>
    <w:rsid w:val="6333BA89"/>
    <w:rsid w:val="633598F8"/>
    <w:rsid w:val="63359978"/>
    <w:rsid w:val="6336CCBC"/>
    <w:rsid w:val="6336D4D3"/>
    <w:rsid w:val="633731E6"/>
    <w:rsid w:val="6337553F"/>
    <w:rsid w:val="6337747D"/>
    <w:rsid w:val="6337D045"/>
    <w:rsid w:val="6339D514"/>
    <w:rsid w:val="633A2579"/>
    <w:rsid w:val="633CD621"/>
    <w:rsid w:val="633E38A6"/>
    <w:rsid w:val="63415DD5"/>
    <w:rsid w:val="63427F5A"/>
    <w:rsid w:val="6342CD3A"/>
    <w:rsid w:val="63430E0F"/>
    <w:rsid w:val="634435EE"/>
    <w:rsid w:val="63444EB1"/>
    <w:rsid w:val="63449847"/>
    <w:rsid w:val="6344C8FA"/>
    <w:rsid w:val="634523E9"/>
    <w:rsid w:val="6346B783"/>
    <w:rsid w:val="6346D35A"/>
    <w:rsid w:val="6346DF9A"/>
    <w:rsid w:val="6347832F"/>
    <w:rsid w:val="6347D852"/>
    <w:rsid w:val="63485371"/>
    <w:rsid w:val="63490633"/>
    <w:rsid w:val="63493D41"/>
    <w:rsid w:val="63496390"/>
    <w:rsid w:val="6349C9BE"/>
    <w:rsid w:val="6349CA40"/>
    <w:rsid w:val="634AD531"/>
    <w:rsid w:val="634ADDF7"/>
    <w:rsid w:val="634B882A"/>
    <w:rsid w:val="634CBB91"/>
    <w:rsid w:val="634DA104"/>
    <w:rsid w:val="634E6D0E"/>
    <w:rsid w:val="634EC4CE"/>
    <w:rsid w:val="634F4DF5"/>
    <w:rsid w:val="635027D1"/>
    <w:rsid w:val="635123A3"/>
    <w:rsid w:val="63518B31"/>
    <w:rsid w:val="6351E72F"/>
    <w:rsid w:val="6353D3F5"/>
    <w:rsid w:val="635453D2"/>
    <w:rsid w:val="6354DFD8"/>
    <w:rsid w:val="6355D4AB"/>
    <w:rsid w:val="6356622A"/>
    <w:rsid w:val="63566AA4"/>
    <w:rsid w:val="6356A278"/>
    <w:rsid w:val="6357DB7D"/>
    <w:rsid w:val="6359388A"/>
    <w:rsid w:val="63596486"/>
    <w:rsid w:val="635A2B9A"/>
    <w:rsid w:val="635B6B12"/>
    <w:rsid w:val="635BC2A2"/>
    <w:rsid w:val="635CB1A1"/>
    <w:rsid w:val="635DBEB6"/>
    <w:rsid w:val="635DD87E"/>
    <w:rsid w:val="63604263"/>
    <w:rsid w:val="63620F49"/>
    <w:rsid w:val="6363A4AF"/>
    <w:rsid w:val="63640C5C"/>
    <w:rsid w:val="636439EB"/>
    <w:rsid w:val="6364C870"/>
    <w:rsid w:val="636504A1"/>
    <w:rsid w:val="6365A16A"/>
    <w:rsid w:val="6365D9BC"/>
    <w:rsid w:val="6365ED67"/>
    <w:rsid w:val="6367C6B4"/>
    <w:rsid w:val="63681FB5"/>
    <w:rsid w:val="63683145"/>
    <w:rsid w:val="6368DC93"/>
    <w:rsid w:val="63691407"/>
    <w:rsid w:val="636B5A03"/>
    <w:rsid w:val="636B5AD5"/>
    <w:rsid w:val="636C6D68"/>
    <w:rsid w:val="636D7EF8"/>
    <w:rsid w:val="636E1B2B"/>
    <w:rsid w:val="636F81E0"/>
    <w:rsid w:val="63700AA1"/>
    <w:rsid w:val="6370DC12"/>
    <w:rsid w:val="63719FC9"/>
    <w:rsid w:val="63724E19"/>
    <w:rsid w:val="63729A38"/>
    <w:rsid w:val="637326D8"/>
    <w:rsid w:val="6374D0FA"/>
    <w:rsid w:val="6374FA1D"/>
    <w:rsid w:val="63752C52"/>
    <w:rsid w:val="63755CDD"/>
    <w:rsid w:val="6375B18C"/>
    <w:rsid w:val="6376401E"/>
    <w:rsid w:val="63768233"/>
    <w:rsid w:val="63773A3D"/>
    <w:rsid w:val="637782FC"/>
    <w:rsid w:val="637784AD"/>
    <w:rsid w:val="63779BCD"/>
    <w:rsid w:val="63779C21"/>
    <w:rsid w:val="63789532"/>
    <w:rsid w:val="63792A86"/>
    <w:rsid w:val="6379D02C"/>
    <w:rsid w:val="637A4BBB"/>
    <w:rsid w:val="637A98E9"/>
    <w:rsid w:val="637B3F14"/>
    <w:rsid w:val="637B6EB6"/>
    <w:rsid w:val="637BD6A8"/>
    <w:rsid w:val="637C2309"/>
    <w:rsid w:val="637C609A"/>
    <w:rsid w:val="637C675B"/>
    <w:rsid w:val="637C92B3"/>
    <w:rsid w:val="637CC211"/>
    <w:rsid w:val="637D8CB9"/>
    <w:rsid w:val="637E3B14"/>
    <w:rsid w:val="637ECA1F"/>
    <w:rsid w:val="637F4267"/>
    <w:rsid w:val="637FFC43"/>
    <w:rsid w:val="638027B8"/>
    <w:rsid w:val="63808644"/>
    <w:rsid w:val="6381326E"/>
    <w:rsid w:val="63817D81"/>
    <w:rsid w:val="6381DFE5"/>
    <w:rsid w:val="6382C001"/>
    <w:rsid w:val="63840935"/>
    <w:rsid w:val="6384C8FE"/>
    <w:rsid w:val="6384E59E"/>
    <w:rsid w:val="6384F805"/>
    <w:rsid w:val="638613A8"/>
    <w:rsid w:val="6386833C"/>
    <w:rsid w:val="6386EADA"/>
    <w:rsid w:val="6387342C"/>
    <w:rsid w:val="6388257C"/>
    <w:rsid w:val="63884C56"/>
    <w:rsid w:val="63886FB3"/>
    <w:rsid w:val="63888CA6"/>
    <w:rsid w:val="6388BB8A"/>
    <w:rsid w:val="6388CC68"/>
    <w:rsid w:val="63897396"/>
    <w:rsid w:val="638973CF"/>
    <w:rsid w:val="6389E97D"/>
    <w:rsid w:val="638A1E29"/>
    <w:rsid w:val="638A6952"/>
    <w:rsid w:val="638A8507"/>
    <w:rsid w:val="638B126D"/>
    <w:rsid w:val="638B147B"/>
    <w:rsid w:val="638BC819"/>
    <w:rsid w:val="638BDD8A"/>
    <w:rsid w:val="638CA675"/>
    <w:rsid w:val="638CDAFB"/>
    <w:rsid w:val="638DD128"/>
    <w:rsid w:val="638DE96C"/>
    <w:rsid w:val="638E6D5C"/>
    <w:rsid w:val="638E7854"/>
    <w:rsid w:val="638E78ED"/>
    <w:rsid w:val="638EA016"/>
    <w:rsid w:val="638EBDD6"/>
    <w:rsid w:val="638EF58D"/>
    <w:rsid w:val="638F0018"/>
    <w:rsid w:val="638F76A2"/>
    <w:rsid w:val="63905646"/>
    <w:rsid w:val="6390DD63"/>
    <w:rsid w:val="63913785"/>
    <w:rsid w:val="63914981"/>
    <w:rsid w:val="6391B8B6"/>
    <w:rsid w:val="6392A9A7"/>
    <w:rsid w:val="639312BC"/>
    <w:rsid w:val="639339B2"/>
    <w:rsid w:val="639359C4"/>
    <w:rsid w:val="63946EEE"/>
    <w:rsid w:val="63961DBD"/>
    <w:rsid w:val="6396C9C1"/>
    <w:rsid w:val="63972291"/>
    <w:rsid w:val="63972919"/>
    <w:rsid w:val="63977A36"/>
    <w:rsid w:val="6398CF81"/>
    <w:rsid w:val="6398E7A0"/>
    <w:rsid w:val="639A2AC8"/>
    <w:rsid w:val="639B1CF6"/>
    <w:rsid w:val="639BC0B9"/>
    <w:rsid w:val="639BE3AF"/>
    <w:rsid w:val="639C0858"/>
    <w:rsid w:val="639C0D33"/>
    <w:rsid w:val="639CB476"/>
    <w:rsid w:val="639D3144"/>
    <w:rsid w:val="639D5D0B"/>
    <w:rsid w:val="639F4903"/>
    <w:rsid w:val="63A004C6"/>
    <w:rsid w:val="63A01013"/>
    <w:rsid w:val="63A0213D"/>
    <w:rsid w:val="63A0DE0A"/>
    <w:rsid w:val="63A133F9"/>
    <w:rsid w:val="63A16192"/>
    <w:rsid w:val="63A18C24"/>
    <w:rsid w:val="63A1B15A"/>
    <w:rsid w:val="63A24E25"/>
    <w:rsid w:val="63A2BD85"/>
    <w:rsid w:val="63A2D516"/>
    <w:rsid w:val="63A4236C"/>
    <w:rsid w:val="63A49EA0"/>
    <w:rsid w:val="63A4FD40"/>
    <w:rsid w:val="63A526FD"/>
    <w:rsid w:val="63A5322A"/>
    <w:rsid w:val="63A5FF5D"/>
    <w:rsid w:val="63A6BA9F"/>
    <w:rsid w:val="63A81CB3"/>
    <w:rsid w:val="63A8D010"/>
    <w:rsid w:val="63A9485E"/>
    <w:rsid w:val="63AA7111"/>
    <w:rsid w:val="63AB45AF"/>
    <w:rsid w:val="63AB628D"/>
    <w:rsid w:val="63AB8266"/>
    <w:rsid w:val="63AC64D2"/>
    <w:rsid w:val="63AC9EBA"/>
    <w:rsid w:val="63ACD039"/>
    <w:rsid w:val="63ACE2C8"/>
    <w:rsid w:val="63AD5ABD"/>
    <w:rsid w:val="63AD7F6B"/>
    <w:rsid w:val="63ADE191"/>
    <w:rsid w:val="63AEA431"/>
    <w:rsid w:val="63AEE6C6"/>
    <w:rsid w:val="63AFB654"/>
    <w:rsid w:val="63B0E9B4"/>
    <w:rsid w:val="63B0F01F"/>
    <w:rsid w:val="63B0F6E1"/>
    <w:rsid w:val="63B14805"/>
    <w:rsid w:val="63B1A226"/>
    <w:rsid w:val="63B1A469"/>
    <w:rsid w:val="63B27892"/>
    <w:rsid w:val="63B3883B"/>
    <w:rsid w:val="63B3C265"/>
    <w:rsid w:val="63B4463B"/>
    <w:rsid w:val="63B5AEC5"/>
    <w:rsid w:val="63B5D713"/>
    <w:rsid w:val="63B6CE3C"/>
    <w:rsid w:val="63B74533"/>
    <w:rsid w:val="63B82BF2"/>
    <w:rsid w:val="63B973AA"/>
    <w:rsid w:val="63BA917E"/>
    <w:rsid w:val="63BBB19B"/>
    <w:rsid w:val="63BBBE4A"/>
    <w:rsid w:val="63BBF26C"/>
    <w:rsid w:val="63BC0B3E"/>
    <w:rsid w:val="63BC1342"/>
    <w:rsid w:val="63BD25CC"/>
    <w:rsid w:val="63BD2A30"/>
    <w:rsid w:val="63BE05E4"/>
    <w:rsid w:val="63BFCA77"/>
    <w:rsid w:val="63C0A874"/>
    <w:rsid w:val="63C0E525"/>
    <w:rsid w:val="63C16711"/>
    <w:rsid w:val="63C19A04"/>
    <w:rsid w:val="63C2955F"/>
    <w:rsid w:val="63C2A7FB"/>
    <w:rsid w:val="63C2CB77"/>
    <w:rsid w:val="63C2E436"/>
    <w:rsid w:val="63C327B7"/>
    <w:rsid w:val="63C39B54"/>
    <w:rsid w:val="63C41B7C"/>
    <w:rsid w:val="63C42030"/>
    <w:rsid w:val="63C48E84"/>
    <w:rsid w:val="63C4936B"/>
    <w:rsid w:val="63C599D6"/>
    <w:rsid w:val="63C5A949"/>
    <w:rsid w:val="63C609F8"/>
    <w:rsid w:val="63C6A84C"/>
    <w:rsid w:val="63C719CD"/>
    <w:rsid w:val="63C778EB"/>
    <w:rsid w:val="63C7809A"/>
    <w:rsid w:val="63C78C8D"/>
    <w:rsid w:val="63CA12B6"/>
    <w:rsid w:val="63CA2889"/>
    <w:rsid w:val="63CA7014"/>
    <w:rsid w:val="63CB8C2E"/>
    <w:rsid w:val="63CBBCE1"/>
    <w:rsid w:val="63CC189F"/>
    <w:rsid w:val="63CC5032"/>
    <w:rsid w:val="63CCBF29"/>
    <w:rsid w:val="63CCE1CF"/>
    <w:rsid w:val="63CDA3E5"/>
    <w:rsid w:val="63CDDB30"/>
    <w:rsid w:val="63CDF23B"/>
    <w:rsid w:val="63CE55B5"/>
    <w:rsid w:val="63CEE180"/>
    <w:rsid w:val="63CF46B5"/>
    <w:rsid w:val="63CF81F4"/>
    <w:rsid w:val="63D07C75"/>
    <w:rsid w:val="63D1BEF8"/>
    <w:rsid w:val="63D24FE9"/>
    <w:rsid w:val="63D2DBCD"/>
    <w:rsid w:val="63D2E448"/>
    <w:rsid w:val="63D3AFBB"/>
    <w:rsid w:val="63D58317"/>
    <w:rsid w:val="63D62D86"/>
    <w:rsid w:val="63D6D349"/>
    <w:rsid w:val="63D890F3"/>
    <w:rsid w:val="63D9A52F"/>
    <w:rsid w:val="63DB0A2A"/>
    <w:rsid w:val="63DBD819"/>
    <w:rsid w:val="63DC8D71"/>
    <w:rsid w:val="63DCA1BE"/>
    <w:rsid w:val="63DD67EE"/>
    <w:rsid w:val="63DE6D4E"/>
    <w:rsid w:val="63DECFE2"/>
    <w:rsid w:val="63DF8496"/>
    <w:rsid w:val="63E0648D"/>
    <w:rsid w:val="63E1E6FD"/>
    <w:rsid w:val="63E21EAE"/>
    <w:rsid w:val="63E233D2"/>
    <w:rsid w:val="63E30694"/>
    <w:rsid w:val="63E36514"/>
    <w:rsid w:val="63E38BF6"/>
    <w:rsid w:val="63E439F8"/>
    <w:rsid w:val="63E46D75"/>
    <w:rsid w:val="63E4E6FF"/>
    <w:rsid w:val="63E50AD0"/>
    <w:rsid w:val="63E5BBE3"/>
    <w:rsid w:val="63E5EFA4"/>
    <w:rsid w:val="63E699AD"/>
    <w:rsid w:val="63E9827A"/>
    <w:rsid w:val="63EA5F0D"/>
    <w:rsid w:val="63EB8015"/>
    <w:rsid w:val="63EB8AC5"/>
    <w:rsid w:val="63ECA92C"/>
    <w:rsid w:val="63ECDB2D"/>
    <w:rsid w:val="63ED5180"/>
    <w:rsid w:val="63EDA005"/>
    <w:rsid w:val="63EDF898"/>
    <w:rsid w:val="63EF1B6A"/>
    <w:rsid w:val="63EF21BD"/>
    <w:rsid w:val="63EF664E"/>
    <w:rsid w:val="63EF6DBF"/>
    <w:rsid w:val="63EFA0AF"/>
    <w:rsid w:val="63F0355E"/>
    <w:rsid w:val="63F0CC05"/>
    <w:rsid w:val="63F23BA8"/>
    <w:rsid w:val="63F35F0D"/>
    <w:rsid w:val="63F43C26"/>
    <w:rsid w:val="63F45B59"/>
    <w:rsid w:val="63F530E9"/>
    <w:rsid w:val="63F67146"/>
    <w:rsid w:val="63F68179"/>
    <w:rsid w:val="63F692C0"/>
    <w:rsid w:val="63F6AA75"/>
    <w:rsid w:val="63F76409"/>
    <w:rsid w:val="63F788C1"/>
    <w:rsid w:val="63F7E84A"/>
    <w:rsid w:val="63F7ED17"/>
    <w:rsid w:val="63F87F2E"/>
    <w:rsid w:val="63F92627"/>
    <w:rsid w:val="63F93226"/>
    <w:rsid w:val="63FA24C0"/>
    <w:rsid w:val="63FAC9CA"/>
    <w:rsid w:val="63FB3176"/>
    <w:rsid w:val="63FBA3DB"/>
    <w:rsid w:val="63FBEC1A"/>
    <w:rsid w:val="63FC2B35"/>
    <w:rsid w:val="63FC3391"/>
    <w:rsid w:val="63FC3CDD"/>
    <w:rsid w:val="63FCA3B0"/>
    <w:rsid w:val="63FCB50D"/>
    <w:rsid w:val="63FCB643"/>
    <w:rsid w:val="63FD0199"/>
    <w:rsid w:val="63FD1B98"/>
    <w:rsid w:val="63FD9A15"/>
    <w:rsid w:val="63FE1978"/>
    <w:rsid w:val="63FFB9CA"/>
    <w:rsid w:val="6402E500"/>
    <w:rsid w:val="640350E2"/>
    <w:rsid w:val="64046A97"/>
    <w:rsid w:val="64057FFC"/>
    <w:rsid w:val="64079AFA"/>
    <w:rsid w:val="640817B0"/>
    <w:rsid w:val="6408AA89"/>
    <w:rsid w:val="64096872"/>
    <w:rsid w:val="640A9504"/>
    <w:rsid w:val="640AAEFE"/>
    <w:rsid w:val="640B4DC3"/>
    <w:rsid w:val="640BA686"/>
    <w:rsid w:val="640C2B63"/>
    <w:rsid w:val="640E9590"/>
    <w:rsid w:val="640EAC08"/>
    <w:rsid w:val="640F1D7B"/>
    <w:rsid w:val="640F87ED"/>
    <w:rsid w:val="640F8882"/>
    <w:rsid w:val="640FB99D"/>
    <w:rsid w:val="64115588"/>
    <w:rsid w:val="6411DE03"/>
    <w:rsid w:val="64126EAA"/>
    <w:rsid w:val="6413E2F8"/>
    <w:rsid w:val="64142336"/>
    <w:rsid w:val="64148BEF"/>
    <w:rsid w:val="6415DE79"/>
    <w:rsid w:val="64160EC9"/>
    <w:rsid w:val="641659B1"/>
    <w:rsid w:val="64166709"/>
    <w:rsid w:val="6416ECE2"/>
    <w:rsid w:val="64176AA1"/>
    <w:rsid w:val="6417C323"/>
    <w:rsid w:val="641814E2"/>
    <w:rsid w:val="64192583"/>
    <w:rsid w:val="6419A0AF"/>
    <w:rsid w:val="641A3D69"/>
    <w:rsid w:val="641B8753"/>
    <w:rsid w:val="641B9AED"/>
    <w:rsid w:val="641E2A1B"/>
    <w:rsid w:val="641E9C01"/>
    <w:rsid w:val="641F5131"/>
    <w:rsid w:val="641FC542"/>
    <w:rsid w:val="64204FF2"/>
    <w:rsid w:val="64205447"/>
    <w:rsid w:val="64207379"/>
    <w:rsid w:val="6421A73C"/>
    <w:rsid w:val="64256819"/>
    <w:rsid w:val="642729AC"/>
    <w:rsid w:val="64274AC8"/>
    <w:rsid w:val="6427AB77"/>
    <w:rsid w:val="6427FE9B"/>
    <w:rsid w:val="64286767"/>
    <w:rsid w:val="64293A61"/>
    <w:rsid w:val="6429D68D"/>
    <w:rsid w:val="642A503B"/>
    <w:rsid w:val="642A86E6"/>
    <w:rsid w:val="642B455E"/>
    <w:rsid w:val="642BEB78"/>
    <w:rsid w:val="642C4FCD"/>
    <w:rsid w:val="642CE1DF"/>
    <w:rsid w:val="642E2F26"/>
    <w:rsid w:val="642E8BF9"/>
    <w:rsid w:val="642F1E6C"/>
    <w:rsid w:val="642F4D2A"/>
    <w:rsid w:val="642F700A"/>
    <w:rsid w:val="642F8938"/>
    <w:rsid w:val="643050D1"/>
    <w:rsid w:val="64306276"/>
    <w:rsid w:val="6430A573"/>
    <w:rsid w:val="6430D0F8"/>
    <w:rsid w:val="6431BB91"/>
    <w:rsid w:val="6431F78F"/>
    <w:rsid w:val="6432861E"/>
    <w:rsid w:val="6432A67C"/>
    <w:rsid w:val="6432CA91"/>
    <w:rsid w:val="6433DA31"/>
    <w:rsid w:val="6434234D"/>
    <w:rsid w:val="6435FCF7"/>
    <w:rsid w:val="64368F4A"/>
    <w:rsid w:val="643793FA"/>
    <w:rsid w:val="64388B16"/>
    <w:rsid w:val="64393DF2"/>
    <w:rsid w:val="6439C2BE"/>
    <w:rsid w:val="643B40A0"/>
    <w:rsid w:val="643C4AB5"/>
    <w:rsid w:val="643C618D"/>
    <w:rsid w:val="643D2997"/>
    <w:rsid w:val="643D5E44"/>
    <w:rsid w:val="643DC502"/>
    <w:rsid w:val="643E48C0"/>
    <w:rsid w:val="643EE2F3"/>
    <w:rsid w:val="643EFE20"/>
    <w:rsid w:val="643F0243"/>
    <w:rsid w:val="643F0473"/>
    <w:rsid w:val="643F7694"/>
    <w:rsid w:val="643FE1CE"/>
    <w:rsid w:val="6440225C"/>
    <w:rsid w:val="6440ECBB"/>
    <w:rsid w:val="6441675B"/>
    <w:rsid w:val="6441731E"/>
    <w:rsid w:val="6442606B"/>
    <w:rsid w:val="6442C854"/>
    <w:rsid w:val="6443F459"/>
    <w:rsid w:val="644433A8"/>
    <w:rsid w:val="64449593"/>
    <w:rsid w:val="6444B8B1"/>
    <w:rsid w:val="64456B8B"/>
    <w:rsid w:val="6446F307"/>
    <w:rsid w:val="644724F8"/>
    <w:rsid w:val="64472973"/>
    <w:rsid w:val="64491060"/>
    <w:rsid w:val="644A167C"/>
    <w:rsid w:val="644A4A1D"/>
    <w:rsid w:val="644A8D5F"/>
    <w:rsid w:val="644AAED3"/>
    <w:rsid w:val="644B517B"/>
    <w:rsid w:val="644BA901"/>
    <w:rsid w:val="644BCE9F"/>
    <w:rsid w:val="644BF660"/>
    <w:rsid w:val="644C5B65"/>
    <w:rsid w:val="644C5CE2"/>
    <w:rsid w:val="644CD14C"/>
    <w:rsid w:val="644D1964"/>
    <w:rsid w:val="644D4091"/>
    <w:rsid w:val="644EE14B"/>
    <w:rsid w:val="6450CF5A"/>
    <w:rsid w:val="64520936"/>
    <w:rsid w:val="64529796"/>
    <w:rsid w:val="6452A800"/>
    <w:rsid w:val="64530FCC"/>
    <w:rsid w:val="6453A7D1"/>
    <w:rsid w:val="645479C3"/>
    <w:rsid w:val="645542B9"/>
    <w:rsid w:val="64554FC1"/>
    <w:rsid w:val="645619DA"/>
    <w:rsid w:val="6456ABE4"/>
    <w:rsid w:val="6457C6AB"/>
    <w:rsid w:val="64589480"/>
    <w:rsid w:val="6458D01A"/>
    <w:rsid w:val="64590509"/>
    <w:rsid w:val="64596451"/>
    <w:rsid w:val="645A7339"/>
    <w:rsid w:val="645B4CAB"/>
    <w:rsid w:val="645C415B"/>
    <w:rsid w:val="645DD265"/>
    <w:rsid w:val="645FDB78"/>
    <w:rsid w:val="646029A4"/>
    <w:rsid w:val="64602B9F"/>
    <w:rsid w:val="6460412D"/>
    <w:rsid w:val="6460AA0D"/>
    <w:rsid w:val="646249C1"/>
    <w:rsid w:val="646264B2"/>
    <w:rsid w:val="64629D02"/>
    <w:rsid w:val="64646427"/>
    <w:rsid w:val="64657AAE"/>
    <w:rsid w:val="64658AA4"/>
    <w:rsid w:val="6466391C"/>
    <w:rsid w:val="6466702F"/>
    <w:rsid w:val="6466F14D"/>
    <w:rsid w:val="646736AF"/>
    <w:rsid w:val="6468AB88"/>
    <w:rsid w:val="6468E500"/>
    <w:rsid w:val="646B6259"/>
    <w:rsid w:val="646B9222"/>
    <w:rsid w:val="646D524C"/>
    <w:rsid w:val="646DE040"/>
    <w:rsid w:val="646FCBDC"/>
    <w:rsid w:val="64700047"/>
    <w:rsid w:val="64718A48"/>
    <w:rsid w:val="64721FAA"/>
    <w:rsid w:val="64737910"/>
    <w:rsid w:val="6474CB2C"/>
    <w:rsid w:val="64754FB8"/>
    <w:rsid w:val="6476A2CA"/>
    <w:rsid w:val="64771E0B"/>
    <w:rsid w:val="64784890"/>
    <w:rsid w:val="647903D5"/>
    <w:rsid w:val="6479239F"/>
    <w:rsid w:val="647972BD"/>
    <w:rsid w:val="6479AE24"/>
    <w:rsid w:val="647B76CB"/>
    <w:rsid w:val="647C10D5"/>
    <w:rsid w:val="647D2E72"/>
    <w:rsid w:val="647D622C"/>
    <w:rsid w:val="647D7BEF"/>
    <w:rsid w:val="647E1A39"/>
    <w:rsid w:val="647E2D3F"/>
    <w:rsid w:val="647E3AE8"/>
    <w:rsid w:val="647EB768"/>
    <w:rsid w:val="647F3225"/>
    <w:rsid w:val="6480394D"/>
    <w:rsid w:val="6480B33D"/>
    <w:rsid w:val="6480D31B"/>
    <w:rsid w:val="6481FAA2"/>
    <w:rsid w:val="64823F8E"/>
    <w:rsid w:val="6482C17C"/>
    <w:rsid w:val="64843CD3"/>
    <w:rsid w:val="6484B95E"/>
    <w:rsid w:val="6484C225"/>
    <w:rsid w:val="6484CF46"/>
    <w:rsid w:val="6485F3DE"/>
    <w:rsid w:val="648696C9"/>
    <w:rsid w:val="6486D790"/>
    <w:rsid w:val="6486FF70"/>
    <w:rsid w:val="6487DA8B"/>
    <w:rsid w:val="6489FAAC"/>
    <w:rsid w:val="648A9AF6"/>
    <w:rsid w:val="648AF2C7"/>
    <w:rsid w:val="648AFB1D"/>
    <w:rsid w:val="648BFEB5"/>
    <w:rsid w:val="648CC4C9"/>
    <w:rsid w:val="648DC064"/>
    <w:rsid w:val="6490237A"/>
    <w:rsid w:val="6490247E"/>
    <w:rsid w:val="6490388E"/>
    <w:rsid w:val="64915A7F"/>
    <w:rsid w:val="64922F6F"/>
    <w:rsid w:val="6492E30D"/>
    <w:rsid w:val="6492F45E"/>
    <w:rsid w:val="6493206A"/>
    <w:rsid w:val="649366C2"/>
    <w:rsid w:val="649384C0"/>
    <w:rsid w:val="6493B55B"/>
    <w:rsid w:val="6493F04D"/>
    <w:rsid w:val="649505C4"/>
    <w:rsid w:val="649517FC"/>
    <w:rsid w:val="64958D88"/>
    <w:rsid w:val="6495F530"/>
    <w:rsid w:val="6498F5CF"/>
    <w:rsid w:val="64997DC7"/>
    <w:rsid w:val="64998734"/>
    <w:rsid w:val="649A6646"/>
    <w:rsid w:val="649A98ED"/>
    <w:rsid w:val="649AD026"/>
    <w:rsid w:val="649CA5EB"/>
    <w:rsid w:val="649CA629"/>
    <w:rsid w:val="649CF28A"/>
    <w:rsid w:val="649D1B1C"/>
    <w:rsid w:val="649D2EB6"/>
    <w:rsid w:val="649D4E93"/>
    <w:rsid w:val="649ED76D"/>
    <w:rsid w:val="649F0D2B"/>
    <w:rsid w:val="649F15A7"/>
    <w:rsid w:val="649F85CB"/>
    <w:rsid w:val="649FD9AF"/>
    <w:rsid w:val="64A14FBB"/>
    <w:rsid w:val="64A166D1"/>
    <w:rsid w:val="64A1E89B"/>
    <w:rsid w:val="64A1EE29"/>
    <w:rsid w:val="64A25BB0"/>
    <w:rsid w:val="64A29B06"/>
    <w:rsid w:val="64A2E653"/>
    <w:rsid w:val="64A338DB"/>
    <w:rsid w:val="64A3751D"/>
    <w:rsid w:val="64A44EA1"/>
    <w:rsid w:val="64A453E5"/>
    <w:rsid w:val="64A45C51"/>
    <w:rsid w:val="64A5CF5E"/>
    <w:rsid w:val="64A62072"/>
    <w:rsid w:val="64A7EA87"/>
    <w:rsid w:val="64A92E93"/>
    <w:rsid w:val="64AA21A0"/>
    <w:rsid w:val="64AA3101"/>
    <w:rsid w:val="64AAA371"/>
    <w:rsid w:val="64AACA7D"/>
    <w:rsid w:val="64AAEA18"/>
    <w:rsid w:val="64AAF7A1"/>
    <w:rsid w:val="64ABD9F6"/>
    <w:rsid w:val="64ABF565"/>
    <w:rsid w:val="64ACC357"/>
    <w:rsid w:val="64AD3322"/>
    <w:rsid w:val="64ADA2BD"/>
    <w:rsid w:val="64AEE5FD"/>
    <w:rsid w:val="64AF2ADE"/>
    <w:rsid w:val="64AF7A6B"/>
    <w:rsid w:val="64AFBFD2"/>
    <w:rsid w:val="64B0533C"/>
    <w:rsid w:val="64B06759"/>
    <w:rsid w:val="64B07458"/>
    <w:rsid w:val="64B0ED71"/>
    <w:rsid w:val="64B1368B"/>
    <w:rsid w:val="64B22DC1"/>
    <w:rsid w:val="64B269BF"/>
    <w:rsid w:val="64B2EA52"/>
    <w:rsid w:val="64B3ECCC"/>
    <w:rsid w:val="64B4C7CC"/>
    <w:rsid w:val="64B503FF"/>
    <w:rsid w:val="64B53F06"/>
    <w:rsid w:val="64B66353"/>
    <w:rsid w:val="64B779BE"/>
    <w:rsid w:val="64B7F644"/>
    <w:rsid w:val="64B84777"/>
    <w:rsid w:val="64B8721F"/>
    <w:rsid w:val="64B8BD25"/>
    <w:rsid w:val="64B8FB86"/>
    <w:rsid w:val="64B9037F"/>
    <w:rsid w:val="64BAB841"/>
    <w:rsid w:val="64BAE97E"/>
    <w:rsid w:val="64BC5A08"/>
    <w:rsid w:val="64BC78A3"/>
    <w:rsid w:val="64BCB6FB"/>
    <w:rsid w:val="64BD312F"/>
    <w:rsid w:val="64BDECEC"/>
    <w:rsid w:val="64BE3764"/>
    <w:rsid w:val="64C026E5"/>
    <w:rsid w:val="64C03161"/>
    <w:rsid w:val="64C0D58F"/>
    <w:rsid w:val="64C0F951"/>
    <w:rsid w:val="64C3E9E5"/>
    <w:rsid w:val="64C40314"/>
    <w:rsid w:val="64C44092"/>
    <w:rsid w:val="64C4F487"/>
    <w:rsid w:val="64C54848"/>
    <w:rsid w:val="64C612D1"/>
    <w:rsid w:val="64C70ABC"/>
    <w:rsid w:val="64C79660"/>
    <w:rsid w:val="64C8D2BF"/>
    <w:rsid w:val="64CA890E"/>
    <w:rsid w:val="64CABC30"/>
    <w:rsid w:val="64CC15EF"/>
    <w:rsid w:val="64CD8B7C"/>
    <w:rsid w:val="64CDF029"/>
    <w:rsid w:val="64CE2A2B"/>
    <w:rsid w:val="64CE4544"/>
    <w:rsid w:val="64CEFBF9"/>
    <w:rsid w:val="64CF3DB8"/>
    <w:rsid w:val="64CF5836"/>
    <w:rsid w:val="64CFDDBD"/>
    <w:rsid w:val="64D0548B"/>
    <w:rsid w:val="64D11C6D"/>
    <w:rsid w:val="64D15969"/>
    <w:rsid w:val="64D1B73B"/>
    <w:rsid w:val="64D30598"/>
    <w:rsid w:val="64D4C888"/>
    <w:rsid w:val="64D4ECFE"/>
    <w:rsid w:val="64D52CF9"/>
    <w:rsid w:val="64D5D530"/>
    <w:rsid w:val="64D76748"/>
    <w:rsid w:val="64D78F11"/>
    <w:rsid w:val="64D81CE6"/>
    <w:rsid w:val="64D9DDE1"/>
    <w:rsid w:val="64DACB36"/>
    <w:rsid w:val="64DBC1A6"/>
    <w:rsid w:val="64DD4FFE"/>
    <w:rsid w:val="64DD9C80"/>
    <w:rsid w:val="64DDBBAE"/>
    <w:rsid w:val="64DEA7C2"/>
    <w:rsid w:val="64DEC94A"/>
    <w:rsid w:val="64DED764"/>
    <w:rsid w:val="64DF1446"/>
    <w:rsid w:val="64DFF508"/>
    <w:rsid w:val="64E055D1"/>
    <w:rsid w:val="64E06FFF"/>
    <w:rsid w:val="64E0CC86"/>
    <w:rsid w:val="64E1141A"/>
    <w:rsid w:val="64E180C1"/>
    <w:rsid w:val="64E1CEFC"/>
    <w:rsid w:val="64E1DEA6"/>
    <w:rsid w:val="64E2D327"/>
    <w:rsid w:val="64E2FA27"/>
    <w:rsid w:val="64E3C171"/>
    <w:rsid w:val="64E3D335"/>
    <w:rsid w:val="64E3D974"/>
    <w:rsid w:val="64E4F02C"/>
    <w:rsid w:val="64E567FC"/>
    <w:rsid w:val="64E6AFDB"/>
    <w:rsid w:val="64E6E305"/>
    <w:rsid w:val="64E7C262"/>
    <w:rsid w:val="64E89ADB"/>
    <w:rsid w:val="64E8D958"/>
    <w:rsid w:val="64E96955"/>
    <w:rsid w:val="64E9EFB6"/>
    <w:rsid w:val="64EA6F64"/>
    <w:rsid w:val="64EAC6F6"/>
    <w:rsid w:val="64EB8A41"/>
    <w:rsid w:val="64EC25A1"/>
    <w:rsid w:val="64EC28E0"/>
    <w:rsid w:val="64ED0CA4"/>
    <w:rsid w:val="64ED496E"/>
    <w:rsid w:val="64EDA5D5"/>
    <w:rsid w:val="64EE48A6"/>
    <w:rsid w:val="64EE7285"/>
    <w:rsid w:val="64EF1BD9"/>
    <w:rsid w:val="64EF2975"/>
    <w:rsid w:val="64EF7FCC"/>
    <w:rsid w:val="64EFA927"/>
    <w:rsid w:val="64F0899C"/>
    <w:rsid w:val="64F1F43F"/>
    <w:rsid w:val="64F21E60"/>
    <w:rsid w:val="64F289A2"/>
    <w:rsid w:val="64F28BB3"/>
    <w:rsid w:val="64F30C2B"/>
    <w:rsid w:val="64F345E7"/>
    <w:rsid w:val="64F36D0C"/>
    <w:rsid w:val="64F3D989"/>
    <w:rsid w:val="64F44F57"/>
    <w:rsid w:val="64F4A52E"/>
    <w:rsid w:val="64F553F6"/>
    <w:rsid w:val="64F56CBD"/>
    <w:rsid w:val="64F58823"/>
    <w:rsid w:val="64F78A7A"/>
    <w:rsid w:val="64F81A7A"/>
    <w:rsid w:val="64F8BC39"/>
    <w:rsid w:val="64F94F49"/>
    <w:rsid w:val="64F99509"/>
    <w:rsid w:val="64F9AB0E"/>
    <w:rsid w:val="64F9F798"/>
    <w:rsid w:val="64FA9DE9"/>
    <w:rsid w:val="64FB0F1B"/>
    <w:rsid w:val="64FB3B1F"/>
    <w:rsid w:val="64FB3FCE"/>
    <w:rsid w:val="64FB9ADF"/>
    <w:rsid w:val="64FF8A29"/>
    <w:rsid w:val="65007D51"/>
    <w:rsid w:val="65009DA5"/>
    <w:rsid w:val="6500D11C"/>
    <w:rsid w:val="65022F6C"/>
    <w:rsid w:val="65029A1E"/>
    <w:rsid w:val="6502B583"/>
    <w:rsid w:val="6503557B"/>
    <w:rsid w:val="6504FD13"/>
    <w:rsid w:val="65051658"/>
    <w:rsid w:val="65052919"/>
    <w:rsid w:val="65056CB8"/>
    <w:rsid w:val="6505A87D"/>
    <w:rsid w:val="6506006B"/>
    <w:rsid w:val="65063BD0"/>
    <w:rsid w:val="6506B324"/>
    <w:rsid w:val="650767D0"/>
    <w:rsid w:val="65080164"/>
    <w:rsid w:val="65080294"/>
    <w:rsid w:val="6509CF1E"/>
    <w:rsid w:val="650A899D"/>
    <w:rsid w:val="650B3EEB"/>
    <w:rsid w:val="650B4293"/>
    <w:rsid w:val="650BF855"/>
    <w:rsid w:val="650CF590"/>
    <w:rsid w:val="650E37D9"/>
    <w:rsid w:val="650E6496"/>
    <w:rsid w:val="650F815C"/>
    <w:rsid w:val="650FCAB2"/>
    <w:rsid w:val="65117444"/>
    <w:rsid w:val="6511A165"/>
    <w:rsid w:val="65133CEB"/>
    <w:rsid w:val="65136C82"/>
    <w:rsid w:val="6513F4F4"/>
    <w:rsid w:val="65140E2F"/>
    <w:rsid w:val="651427B6"/>
    <w:rsid w:val="651451DF"/>
    <w:rsid w:val="65147DA7"/>
    <w:rsid w:val="65168E12"/>
    <w:rsid w:val="65168F00"/>
    <w:rsid w:val="6516B0EE"/>
    <w:rsid w:val="651756D5"/>
    <w:rsid w:val="65177F82"/>
    <w:rsid w:val="6518C521"/>
    <w:rsid w:val="6519EF22"/>
    <w:rsid w:val="651ACA31"/>
    <w:rsid w:val="651B6A43"/>
    <w:rsid w:val="651BF7C1"/>
    <w:rsid w:val="651CDB0C"/>
    <w:rsid w:val="651CF497"/>
    <w:rsid w:val="651D02CF"/>
    <w:rsid w:val="651E173C"/>
    <w:rsid w:val="651EA978"/>
    <w:rsid w:val="651EAC96"/>
    <w:rsid w:val="651EDE6C"/>
    <w:rsid w:val="65207D76"/>
    <w:rsid w:val="6520AEE9"/>
    <w:rsid w:val="652198D3"/>
    <w:rsid w:val="6521D6BA"/>
    <w:rsid w:val="652272FF"/>
    <w:rsid w:val="6522AE0F"/>
    <w:rsid w:val="6522E35D"/>
    <w:rsid w:val="6522EEB7"/>
    <w:rsid w:val="6523219F"/>
    <w:rsid w:val="6523A35C"/>
    <w:rsid w:val="6523C0CF"/>
    <w:rsid w:val="6523C54C"/>
    <w:rsid w:val="65243182"/>
    <w:rsid w:val="652561D2"/>
    <w:rsid w:val="6526D624"/>
    <w:rsid w:val="65271678"/>
    <w:rsid w:val="65273332"/>
    <w:rsid w:val="652769E3"/>
    <w:rsid w:val="65295B61"/>
    <w:rsid w:val="652989EA"/>
    <w:rsid w:val="6529952E"/>
    <w:rsid w:val="6529E13D"/>
    <w:rsid w:val="652A201C"/>
    <w:rsid w:val="652A70CC"/>
    <w:rsid w:val="652A7411"/>
    <w:rsid w:val="652B6665"/>
    <w:rsid w:val="652C07E9"/>
    <w:rsid w:val="652C0C4C"/>
    <w:rsid w:val="652C4201"/>
    <w:rsid w:val="652C5DF1"/>
    <w:rsid w:val="652C72C8"/>
    <w:rsid w:val="652D76E3"/>
    <w:rsid w:val="652D7E17"/>
    <w:rsid w:val="652D8FCA"/>
    <w:rsid w:val="652DBACE"/>
    <w:rsid w:val="652DD57C"/>
    <w:rsid w:val="652E0102"/>
    <w:rsid w:val="652E05BD"/>
    <w:rsid w:val="652F2D0C"/>
    <w:rsid w:val="652F68C4"/>
    <w:rsid w:val="652FFA65"/>
    <w:rsid w:val="6530A1B4"/>
    <w:rsid w:val="6531508E"/>
    <w:rsid w:val="65315098"/>
    <w:rsid w:val="65329C45"/>
    <w:rsid w:val="6532F1F3"/>
    <w:rsid w:val="6534E545"/>
    <w:rsid w:val="6535C504"/>
    <w:rsid w:val="653678B9"/>
    <w:rsid w:val="6536B6BB"/>
    <w:rsid w:val="6536E240"/>
    <w:rsid w:val="6537CA27"/>
    <w:rsid w:val="65383863"/>
    <w:rsid w:val="6538C1A5"/>
    <w:rsid w:val="6538EFC9"/>
    <w:rsid w:val="65392108"/>
    <w:rsid w:val="653988E4"/>
    <w:rsid w:val="653996F1"/>
    <w:rsid w:val="653AD7C7"/>
    <w:rsid w:val="653B48D9"/>
    <w:rsid w:val="653B7F9B"/>
    <w:rsid w:val="653BD63A"/>
    <w:rsid w:val="653C513D"/>
    <w:rsid w:val="653CCE1B"/>
    <w:rsid w:val="653D53E6"/>
    <w:rsid w:val="653DE138"/>
    <w:rsid w:val="653DF1E5"/>
    <w:rsid w:val="654018A1"/>
    <w:rsid w:val="6540B4E2"/>
    <w:rsid w:val="6540BF38"/>
    <w:rsid w:val="6540F080"/>
    <w:rsid w:val="65412BE8"/>
    <w:rsid w:val="654183DB"/>
    <w:rsid w:val="654185F4"/>
    <w:rsid w:val="6541CE7D"/>
    <w:rsid w:val="654234FD"/>
    <w:rsid w:val="6542722D"/>
    <w:rsid w:val="6542EEFC"/>
    <w:rsid w:val="65434CDD"/>
    <w:rsid w:val="65439D33"/>
    <w:rsid w:val="65447559"/>
    <w:rsid w:val="6545C7BE"/>
    <w:rsid w:val="6545FD66"/>
    <w:rsid w:val="6546473B"/>
    <w:rsid w:val="654690A9"/>
    <w:rsid w:val="6546C05B"/>
    <w:rsid w:val="65475D25"/>
    <w:rsid w:val="6547D2FD"/>
    <w:rsid w:val="6549A50E"/>
    <w:rsid w:val="654A0843"/>
    <w:rsid w:val="654A5C4C"/>
    <w:rsid w:val="654B5984"/>
    <w:rsid w:val="654B7B9C"/>
    <w:rsid w:val="654D230A"/>
    <w:rsid w:val="654E57C1"/>
    <w:rsid w:val="654E5C35"/>
    <w:rsid w:val="654E6ADE"/>
    <w:rsid w:val="654E8AD3"/>
    <w:rsid w:val="65509B51"/>
    <w:rsid w:val="655103DD"/>
    <w:rsid w:val="65525955"/>
    <w:rsid w:val="65539E6B"/>
    <w:rsid w:val="65540283"/>
    <w:rsid w:val="6554EFFA"/>
    <w:rsid w:val="65551567"/>
    <w:rsid w:val="655523A3"/>
    <w:rsid w:val="6555A021"/>
    <w:rsid w:val="6555D3CF"/>
    <w:rsid w:val="65566732"/>
    <w:rsid w:val="6556E665"/>
    <w:rsid w:val="65570C51"/>
    <w:rsid w:val="65573BF6"/>
    <w:rsid w:val="65581C12"/>
    <w:rsid w:val="6558B862"/>
    <w:rsid w:val="6558D17D"/>
    <w:rsid w:val="65593A41"/>
    <w:rsid w:val="655997BC"/>
    <w:rsid w:val="655A0E99"/>
    <w:rsid w:val="655A708D"/>
    <w:rsid w:val="655B25CC"/>
    <w:rsid w:val="655B7858"/>
    <w:rsid w:val="655D2C90"/>
    <w:rsid w:val="655D4F8F"/>
    <w:rsid w:val="655D954B"/>
    <w:rsid w:val="655E4417"/>
    <w:rsid w:val="655E6A25"/>
    <w:rsid w:val="655ECBB9"/>
    <w:rsid w:val="655F8A3D"/>
    <w:rsid w:val="655FC454"/>
    <w:rsid w:val="655FD1E1"/>
    <w:rsid w:val="656043B1"/>
    <w:rsid w:val="656044DF"/>
    <w:rsid w:val="6561C8A7"/>
    <w:rsid w:val="65626351"/>
    <w:rsid w:val="6562CF5A"/>
    <w:rsid w:val="65631EC9"/>
    <w:rsid w:val="65643434"/>
    <w:rsid w:val="65657702"/>
    <w:rsid w:val="6565E111"/>
    <w:rsid w:val="6566D156"/>
    <w:rsid w:val="65678989"/>
    <w:rsid w:val="656845A3"/>
    <w:rsid w:val="65685B94"/>
    <w:rsid w:val="65687973"/>
    <w:rsid w:val="6568E201"/>
    <w:rsid w:val="6568F5B9"/>
    <w:rsid w:val="6569AFF2"/>
    <w:rsid w:val="656A022D"/>
    <w:rsid w:val="656A1B4C"/>
    <w:rsid w:val="656EF6A4"/>
    <w:rsid w:val="656F8BA1"/>
    <w:rsid w:val="656FF2A3"/>
    <w:rsid w:val="656FFADF"/>
    <w:rsid w:val="6570AF46"/>
    <w:rsid w:val="657114CF"/>
    <w:rsid w:val="6571B849"/>
    <w:rsid w:val="65724857"/>
    <w:rsid w:val="657264FC"/>
    <w:rsid w:val="65736D36"/>
    <w:rsid w:val="657398D1"/>
    <w:rsid w:val="6573CD42"/>
    <w:rsid w:val="65742897"/>
    <w:rsid w:val="65746B7C"/>
    <w:rsid w:val="6574A988"/>
    <w:rsid w:val="6575228A"/>
    <w:rsid w:val="657523F8"/>
    <w:rsid w:val="65757E58"/>
    <w:rsid w:val="6575B737"/>
    <w:rsid w:val="6576B36A"/>
    <w:rsid w:val="65780A71"/>
    <w:rsid w:val="6578DAD9"/>
    <w:rsid w:val="657AD91F"/>
    <w:rsid w:val="657B73E5"/>
    <w:rsid w:val="657BB222"/>
    <w:rsid w:val="657C410E"/>
    <w:rsid w:val="657D6AF2"/>
    <w:rsid w:val="657DDF32"/>
    <w:rsid w:val="657E0017"/>
    <w:rsid w:val="657E6D71"/>
    <w:rsid w:val="657E9E6D"/>
    <w:rsid w:val="657F9744"/>
    <w:rsid w:val="657FB363"/>
    <w:rsid w:val="6580041E"/>
    <w:rsid w:val="6580C4A4"/>
    <w:rsid w:val="6581AA7D"/>
    <w:rsid w:val="6582AFD2"/>
    <w:rsid w:val="6582ED5B"/>
    <w:rsid w:val="6583C686"/>
    <w:rsid w:val="658482CA"/>
    <w:rsid w:val="6584E509"/>
    <w:rsid w:val="6585F18A"/>
    <w:rsid w:val="6586498B"/>
    <w:rsid w:val="658710AA"/>
    <w:rsid w:val="6587242A"/>
    <w:rsid w:val="65872900"/>
    <w:rsid w:val="65873E63"/>
    <w:rsid w:val="6587E13C"/>
    <w:rsid w:val="65892694"/>
    <w:rsid w:val="658981DA"/>
    <w:rsid w:val="6589E2FB"/>
    <w:rsid w:val="658A2BA3"/>
    <w:rsid w:val="658A6174"/>
    <w:rsid w:val="658BBF2F"/>
    <w:rsid w:val="658C840E"/>
    <w:rsid w:val="658E3C91"/>
    <w:rsid w:val="658E3F68"/>
    <w:rsid w:val="658E8AF4"/>
    <w:rsid w:val="658F19CD"/>
    <w:rsid w:val="658F2109"/>
    <w:rsid w:val="658F5434"/>
    <w:rsid w:val="659091C7"/>
    <w:rsid w:val="6592766F"/>
    <w:rsid w:val="6592C3AB"/>
    <w:rsid w:val="6593D5B9"/>
    <w:rsid w:val="6593F233"/>
    <w:rsid w:val="659589A5"/>
    <w:rsid w:val="6595B3EB"/>
    <w:rsid w:val="659651B1"/>
    <w:rsid w:val="6596AE8C"/>
    <w:rsid w:val="65970546"/>
    <w:rsid w:val="6599158E"/>
    <w:rsid w:val="659996BD"/>
    <w:rsid w:val="6599FD94"/>
    <w:rsid w:val="659A1903"/>
    <w:rsid w:val="659B2763"/>
    <w:rsid w:val="659BACA2"/>
    <w:rsid w:val="659BC8C9"/>
    <w:rsid w:val="659CFB14"/>
    <w:rsid w:val="659D5834"/>
    <w:rsid w:val="659D73E0"/>
    <w:rsid w:val="659EACC8"/>
    <w:rsid w:val="659F4E16"/>
    <w:rsid w:val="659FBB5E"/>
    <w:rsid w:val="65A0ADFB"/>
    <w:rsid w:val="65A33133"/>
    <w:rsid w:val="65A34FEF"/>
    <w:rsid w:val="65A492CD"/>
    <w:rsid w:val="65A4A935"/>
    <w:rsid w:val="65A6F666"/>
    <w:rsid w:val="65A7215A"/>
    <w:rsid w:val="65A7FC53"/>
    <w:rsid w:val="65A84A91"/>
    <w:rsid w:val="65A8B54C"/>
    <w:rsid w:val="65AA7BF5"/>
    <w:rsid w:val="65AAD32A"/>
    <w:rsid w:val="65AB1FA1"/>
    <w:rsid w:val="65AB4A51"/>
    <w:rsid w:val="65ABD7A0"/>
    <w:rsid w:val="65AC1452"/>
    <w:rsid w:val="65AD0C6C"/>
    <w:rsid w:val="65AD1B5A"/>
    <w:rsid w:val="65AD46DB"/>
    <w:rsid w:val="65AE0543"/>
    <w:rsid w:val="65AFDF31"/>
    <w:rsid w:val="65B023B6"/>
    <w:rsid w:val="65B0C6D8"/>
    <w:rsid w:val="65B0F755"/>
    <w:rsid w:val="65B2AF31"/>
    <w:rsid w:val="65B30748"/>
    <w:rsid w:val="65B43074"/>
    <w:rsid w:val="65B5D0DE"/>
    <w:rsid w:val="65B6397E"/>
    <w:rsid w:val="65B640B4"/>
    <w:rsid w:val="65B645AB"/>
    <w:rsid w:val="65B64EF1"/>
    <w:rsid w:val="65B6BFF0"/>
    <w:rsid w:val="65B6CA24"/>
    <w:rsid w:val="65B8207D"/>
    <w:rsid w:val="65B90306"/>
    <w:rsid w:val="65B9049B"/>
    <w:rsid w:val="65B9F373"/>
    <w:rsid w:val="65BB03CC"/>
    <w:rsid w:val="65BB2561"/>
    <w:rsid w:val="65BB64D4"/>
    <w:rsid w:val="65BE4E46"/>
    <w:rsid w:val="65BEF5C1"/>
    <w:rsid w:val="65BF52A4"/>
    <w:rsid w:val="65C059F4"/>
    <w:rsid w:val="65C16C7F"/>
    <w:rsid w:val="65C21E27"/>
    <w:rsid w:val="65C24D8C"/>
    <w:rsid w:val="65C3490C"/>
    <w:rsid w:val="65C4CA29"/>
    <w:rsid w:val="65C4FF49"/>
    <w:rsid w:val="65C5B250"/>
    <w:rsid w:val="65C68F58"/>
    <w:rsid w:val="65C78479"/>
    <w:rsid w:val="65C7881B"/>
    <w:rsid w:val="65C7D5E4"/>
    <w:rsid w:val="65C813FB"/>
    <w:rsid w:val="65C8BC68"/>
    <w:rsid w:val="65C9A7A1"/>
    <w:rsid w:val="65CA2612"/>
    <w:rsid w:val="65CAB0DD"/>
    <w:rsid w:val="65CAD701"/>
    <w:rsid w:val="65CB580C"/>
    <w:rsid w:val="65CC1634"/>
    <w:rsid w:val="65CC4D26"/>
    <w:rsid w:val="65CC4E2B"/>
    <w:rsid w:val="65CC5DA9"/>
    <w:rsid w:val="65CCE9E0"/>
    <w:rsid w:val="65CCED3F"/>
    <w:rsid w:val="65CD3941"/>
    <w:rsid w:val="65CDB63E"/>
    <w:rsid w:val="65CE4DA5"/>
    <w:rsid w:val="65CEE0E8"/>
    <w:rsid w:val="65CF377E"/>
    <w:rsid w:val="65D03A36"/>
    <w:rsid w:val="65D1F9D7"/>
    <w:rsid w:val="65D23BAD"/>
    <w:rsid w:val="65D244FC"/>
    <w:rsid w:val="65D36ED8"/>
    <w:rsid w:val="65D4D3F9"/>
    <w:rsid w:val="65D53FE4"/>
    <w:rsid w:val="65D57CC2"/>
    <w:rsid w:val="65D5EF33"/>
    <w:rsid w:val="65D6E77B"/>
    <w:rsid w:val="65D732AE"/>
    <w:rsid w:val="65D7A285"/>
    <w:rsid w:val="65D89771"/>
    <w:rsid w:val="65D9756C"/>
    <w:rsid w:val="65D986CA"/>
    <w:rsid w:val="65D9FC5E"/>
    <w:rsid w:val="65DA6E90"/>
    <w:rsid w:val="65DA8313"/>
    <w:rsid w:val="65DBB394"/>
    <w:rsid w:val="65DCBC38"/>
    <w:rsid w:val="65DF2459"/>
    <w:rsid w:val="65DF69FC"/>
    <w:rsid w:val="65DF6B9D"/>
    <w:rsid w:val="65DF9C49"/>
    <w:rsid w:val="65DFC9D6"/>
    <w:rsid w:val="65DFCC23"/>
    <w:rsid w:val="65E0AE23"/>
    <w:rsid w:val="65E0B764"/>
    <w:rsid w:val="65E117DE"/>
    <w:rsid w:val="65E13B68"/>
    <w:rsid w:val="65E164B4"/>
    <w:rsid w:val="65E2A24C"/>
    <w:rsid w:val="65E47D22"/>
    <w:rsid w:val="65E48C25"/>
    <w:rsid w:val="65E4E00D"/>
    <w:rsid w:val="65E597F4"/>
    <w:rsid w:val="65E59821"/>
    <w:rsid w:val="65E5BF0C"/>
    <w:rsid w:val="65E63F6E"/>
    <w:rsid w:val="65E6BBEF"/>
    <w:rsid w:val="65E6D455"/>
    <w:rsid w:val="65E7C5BF"/>
    <w:rsid w:val="65E7FCC3"/>
    <w:rsid w:val="65E81A7B"/>
    <w:rsid w:val="65E85EA2"/>
    <w:rsid w:val="65E9232A"/>
    <w:rsid w:val="65EB15B5"/>
    <w:rsid w:val="65EB595F"/>
    <w:rsid w:val="65EBCDBD"/>
    <w:rsid w:val="65EBDAAF"/>
    <w:rsid w:val="65EC5888"/>
    <w:rsid w:val="65ECB00C"/>
    <w:rsid w:val="65ED036B"/>
    <w:rsid w:val="65EE3741"/>
    <w:rsid w:val="65EE3A00"/>
    <w:rsid w:val="65EE6B0B"/>
    <w:rsid w:val="65EE9C11"/>
    <w:rsid w:val="65EFEB16"/>
    <w:rsid w:val="65F016FA"/>
    <w:rsid w:val="65F028F0"/>
    <w:rsid w:val="65F0C8D6"/>
    <w:rsid w:val="65F2344C"/>
    <w:rsid w:val="65F25A98"/>
    <w:rsid w:val="65F28708"/>
    <w:rsid w:val="65F2DEDE"/>
    <w:rsid w:val="65F34057"/>
    <w:rsid w:val="65F34B04"/>
    <w:rsid w:val="65F3A341"/>
    <w:rsid w:val="65F3F905"/>
    <w:rsid w:val="65F41C19"/>
    <w:rsid w:val="65F64736"/>
    <w:rsid w:val="65F65517"/>
    <w:rsid w:val="65F68FAD"/>
    <w:rsid w:val="65F7C86C"/>
    <w:rsid w:val="65F7FC19"/>
    <w:rsid w:val="65F882C3"/>
    <w:rsid w:val="65F8D8FB"/>
    <w:rsid w:val="65F9C276"/>
    <w:rsid w:val="65F9CA36"/>
    <w:rsid w:val="65F9E50B"/>
    <w:rsid w:val="65F9F153"/>
    <w:rsid w:val="65FAAE14"/>
    <w:rsid w:val="65FC459C"/>
    <w:rsid w:val="65FC93D7"/>
    <w:rsid w:val="65FD39BE"/>
    <w:rsid w:val="65FDD41D"/>
    <w:rsid w:val="65FDE19C"/>
    <w:rsid w:val="65FE115A"/>
    <w:rsid w:val="65FF774E"/>
    <w:rsid w:val="66007FB7"/>
    <w:rsid w:val="6600BEE1"/>
    <w:rsid w:val="6600F43F"/>
    <w:rsid w:val="66016ED9"/>
    <w:rsid w:val="6601F231"/>
    <w:rsid w:val="66026C7B"/>
    <w:rsid w:val="6602AA1D"/>
    <w:rsid w:val="66035AA9"/>
    <w:rsid w:val="6603A5F8"/>
    <w:rsid w:val="6604CDB5"/>
    <w:rsid w:val="6605361D"/>
    <w:rsid w:val="660588B0"/>
    <w:rsid w:val="6605B3F8"/>
    <w:rsid w:val="66066E94"/>
    <w:rsid w:val="66075E14"/>
    <w:rsid w:val="6608D83C"/>
    <w:rsid w:val="6608E5A7"/>
    <w:rsid w:val="66090F2A"/>
    <w:rsid w:val="6609BD00"/>
    <w:rsid w:val="660A91F1"/>
    <w:rsid w:val="660B43B1"/>
    <w:rsid w:val="660BBBC8"/>
    <w:rsid w:val="660BCBF9"/>
    <w:rsid w:val="660C8652"/>
    <w:rsid w:val="660C9E26"/>
    <w:rsid w:val="660CD016"/>
    <w:rsid w:val="660CE0BB"/>
    <w:rsid w:val="660DC930"/>
    <w:rsid w:val="6610B80C"/>
    <w:rsid w:val="6610C90F"/>
    <w:rsid w:val="66116C13"/>
    <w:rsid w:val="6611D67A"/>
    <w:rsid w:val="6611E155"/>
    <w:rsid w:val="6613C9BC"/>
    <w:rsid w:val="66147A28"/>
    <w:rsid w:val="66147CAF"/>
    <w:rsid w:val="6615B09F"/>
    <w:rsid w:val="66165682"/>
    <w:rsid w:val="6616D1E0"/>
    <w:rsid w:val="6617AF3D"/>
    <w:rsid w:val="6617F3C8"/>
    <w:rsid w:val="661831D5"/>
    <w:rsid w:val="661877CE"/>
    <w:rsid w:val="6618C22D"/>
    <w:rsid w:val="6618CD64"/>
    <w:rsid w:val="66192C30"/>
    <w:rsid w:val="66195BA7"/>
    <w:rsid w:val="661B6CA8"/>
    <w:rsid w:val="661CFA41"/>
    <w:rsid w:val="661D7CA5"/>
    <w:rsid w:val="661D9FCD"/>
    <w:rsid w:val="661E5323"/>
    <w:rsid w:val="661E91DD"/>
    <w:rsid w:val="661EAC96"/>
    <w:rsid w:val="661ECB12"/>
    <w:rsid w:val="661F8730"/>
    <w:rsid w:val="66207E6B"/>
    <w:rsid w:val="6620864C"/>
    <w:rsid w:val="6620922C"/>
    <w:rsid w:val="6620B7C7"/>
    <w:rsid w:val="6620D6EE"/>
    <w:rsid w:val="662190F7"/>
    <w:rsid w:val="6621C115"/>
    <w:rsid w:val="6622B475"/>
    <w:rsid w:val="66238A78"/>
    <w:rsid w:val="66238C74"/>
    <w:rsid w:val="6623FB64"/>
    <w:rsid w:val="6625B71C"/>
    <w:rsid w:val="662617BA"/>
    <w:rsid w:val="6627955B"/>
    <w:rsid w:val="6627AB52"/>
    <w:rsid w:val="6627CC65"/>
    <w:rsid w:val="66285F3B"/>
    <w:rsid w:val="6628A140"/>
    <w:rsid w:val="662A1F6F"/>
    <w:rsid w:val="662B74C5"/>
    <w:rsid w:val="662C8355"/>
    <w:rsid w:val="662CA9E3"/>
    <w:rsid w:val="662D9231"/>
    <w:rsid w:val="662FBD7E"/>
    <w:rsid w:val="66309824"/>
    <w:rsid w:val="66320BB5"/>
    <w:rsid w:val="66321C76"/>
    <w:rsid w:val="66328097"/>
    <w:rsid w:val="663373C8"/>
    <w:rsid w:val="66345566"/>
    <w:rsid w:val="66357D59"/>
    <w:rsid w:val="66364D42"/>
    <w:rsid w:val="6636868F"/>
    <w:rsid w:val="66378A9C"/>
    <w:rsid w:val="6637F80B"/>
    <w:rsid w:val="6638370B"/>
    <w:rsid w:val="663967CE"/>
    <w:rsid w:val="663A9821"/>
    <w:rsid w:val="663AE3FD"/>
    <w:rsid w:val="663B83FB"/>
    <w:rsid w:val="663C3465"/>
    <w:rsid w:val="663D2B36"/>
    <w:rsid w:val="663F5D56"/>
    <w:rsid w:val="663F95CB"/>
    <w:rsid w:val="663FB507"/>
    <w:rsid w:val="66406E7A"/>
    <w:rsid w:val="6640F543"/>
    <w:rsid w:val="66435F91"/>
    <w:rsid w:val="66437681"/>
    <w:rsid w:val="664385CF"/>
    <w:rsid w:val="66444C20"/>
    <w:rsid w:val="6645C0F0"/>
    <w:rsid w:val="664621CC"/>
    <w:rsid w:val="6646311C"/>
    <w:rsid w:val="664751C7"/>
    <w:rsid w:val="6647C142"/>
    <w:rsid w:val="6647C350"/>
    <w:rsid w:val="6647C621"/>
    <w:rsid w:val="66490F2A"/>
    <w:rsid w:val="66494C11"/>
    <w:rsid w:val="664977BA"/>
    <w:rsid w:val="66498C2D"/>
    <w:rsid w:val="6649E7EE"/>
    <w:rsid w:val="664A718C"/>
    <w:rsid w:val="664AF5DF"/>
    <w:rsid w:val="664B685E"/>
    <w:rsid w:val="664B8223"/>
    <w:rsid w:val="664C0953"/>
    <w:rsid w:val="664C21D8"/>
    <w:rsid w:val="664C2AB1"/>
    <w:rsid w:val="664CDAEC"/>
    <w:rsid w:val="664D1ADC"/>
    <w:rsid w:val="664D2406"/>
    <w:rsid w:val="664E29C3"/>
    <w:rsid w:val="664ECA3D"/>
    <w:rsid w:val="664F76A8"/>
    <w:rsid w:val="664FC4B2"/>
    <w:rsid w:val="66503DB7"/>
    <w:rsid w:val="6650B275"/>
    <w:rsid w:val="6650E32B"/>
    <w:rsid w:val="6650F223"/>
    <w:rsid w:val="66515AB2"/>
    <w:rsid w:val="6651C463"/>
    <w:rsid w:val="66535FE0"/>
    <w:rsid w:val="665455E3"/>
    <w:rsid w:val="6655E1D9"/>
    <w:rsid w:val="665691CD"/>
    <w:rsid w:val="6656EEC3"/>
    <w:rsid w:val="6656FE0D"/>
    <w:rsid w:val="66575876"/>
    <w:rsid w:val="6657AE12"/>
    <w:rsid w:val="66589AA8"/>
    <w:rsid w:val="66595372"/>
    <w:rsid w:val="6659DE4E"/>
    <w:rsid w:val="665A6530"/>
    <w:rsid w:val="665AAFC7"/>
    <w:rsid w:val="665ABEE5"/>
    <w:rsid w:val="665B6610"/>
    <w:rsid w:val="665C5E34"/>
    <w:rsid w:val="665C8C3B"/>
    <w:rsid w:val="665DBD2E"/>
    <w:rsid w:val="665E1570"/>
    <w:rsid w:val="665E820E"/>
    <w:rsid w:val="665E888E"/>
    <w:rsid w:val="665F9A79"/>
    <w:rsid w:val="66607D6E"/>
    <w:rsid w:val="6661C51F"/>
    <w:rsid w:val="6662898D"/>
    <w:rsid w:val="6662CD65"/>
    <w:rsid w:val="66632866"/>
    <w:rsid w:val="6664B32D"/>
    <w:rsid w:val="6664B435"/>
    <w:rsid w:val="6665487D"/>
    <w:rsid w:val="666720C8"/>
    <w:rsid w:val="66687CCB"/>
    <w:rsid w:val="6669C435"/>
    <w:rsid w:val="666B2C8A"/>
    <w:rsid w:val="666BF34E"/>
    <w:rsid w:val="666BFA91"/>
    <w:rsid w:val="666D5855"/>
    <w:rsid w:val="666E58A1"/>
    <w:rsid w:val="666F28D9"/>
    <w:rsid w:val="66709E2F"/>
    <w:rsid w:val="6670E65C"/>
    <w:rsid w:val="6671420A"/>
    <w:rsid w:val="667217A9"/>
    <w:rsid w:val="6673446D"/>
    <w:rsid w:val="667371FF"/>
    <w:rsid w:val="6673E811"/>
    <w:rsid w:val="66740B88"/>
    <w:rsid w:val="667476E3"/>
    <w:rsid w:val="667558BD"/>
    <w:rsid w:val="6675883A"/>
    <w:rsid w:val="6675950F"/>
    <w:rsid w:val="66774BCA"/>
    <w:rsid w:val="66780042"/>
    <w:rsid w:val="6678B1C8"/>
    <w:rsid w:val="667A888C"/>
    <w:rsid w:val="667AC90B"/>
    <w:rsid w:val="667B68D1"/>
    <w:rsid w:val="667C1BD9"/>
    <w:rsid w:val="667C89BF"/>
    <w:rsid w:val="667D9656"/>
    <w:rsid w:val="667FB3A6"/>
    <w:rsid w:val="667FCFC7"/>
    <w:rsid w:val="66806248"/>
    <w:rsid w:val="66808ECE"/>
    <w:rsid w:val="6681AF75"/>
    <w:rsid w:val="6681E970"/>
    <w:rsid w:val="668248AA"/>
    <w:rsid w:val="668385E0"/>
    <w:rsid w:val="66838CE2"/>
    <w:rsid w:val="6683958F"/>
    <w:rsid w:val="6683A19C"/>
    <w:rsid w:val="6683C84F"/>
    <w:rsid w:val="6684EC53"/>
    <w:rsid w:val="66851607"/>
    <w:rsid w:val="6687A41E"/>
    <w:rsid w:val="6687AAE9"/>
    <w:rsid w:val="668825F0"/>
    <w:rsid w:val="6688CC22"/>
    <w:rsid w:val="668A567C"/>
    <w:rsid w:val="668A657B"/>
    <w:rsid w:val="668A765F"/>
    <w:rsid w:val="668ABEBC"/>
    <w:rsid w:val="668B2836"/>
    <w:rsid w:val="668B5BD5"/>
    <w:rsid w:val="668CC127"/>
    <w:rsid w:val="668D39C2"/>
    <w:rsid w:val="668E5670"/>
    <w:rsid w:val="668E65A3"/>
    <w:rsid w:val="668F586A"/>
    <w:rsid w:val="668FA570"/>
    <w:rsid w:val="66902A78"/>
    <w:rsid w:val="6690EA86"/>
    <w:rsid w:val="66913A69"/>
    <w:rsid w:val="66928384"/>
    <w:rsid w:val="6692AE1A"/>
    <w:rsid w:val="66938B76"/>
    <w:rsid w:val="6696CA4B"/>
    <w:rsid w:val="6697D18F"/>
    <w:rsid w:val="6697EACE"/>
    <w:rsid w:val="6698CFFF"/>
    <w:rsid w:val="669A6450"/>
    <w:rsid w:val="669B6885"/>
    <w:rsid w:val="669CA3F8"/>
    <w:rsid w:val="669D28CB"/>
    <w:rsid w:val="669D44B4"/>
    <w:rsid w:val="669DF611"/>
    <w:rsid w:val="669E843F"/>
    <w:rsid w:val="669E9016"/>
    <w:rsid w:val="669F8C2D"/>
    <w:rsid w:val="669FF4E6"/>
    <w:rsid w:val="66A049D5"/>
    <w:rsid w:val="66A04DA7"/>
    <w:rsid w:val="66A0F914"/>
    <w:rsid w:val="66A26659"/>
    <w:rsid w:val="66A273B2"/>
    <w:rsid w:val="66A278E6"/>
    <w:rsid w:val="66A28F6E"/>
    <w:rsid w:val="66A314D8"/>
    <w:rsid w:val="66A478CF"/>
    <w:rsid w:val="66A54B62"/>
    <w:rsid w:val="66A567CB"/>
    <w:rsid w:val="66A5B302"/>
    <w:rsid w:val="66A5DF0C"/>
    <w:rsid w:val="66A65B91"/>
    <w:rsid w:val="66A672E1"/>
    <w:rsid w:val="66A6EA3D"/>
    <w:rsid w:val="66A7071C"/>
    <w:rsid w:val="66A71843"/>
    <w:rsid w:val="66A72445"/>
    <w:rsid w:val="66A7A610"/>
    <w:rsid w:val="66A81700"/>
    <w:rsid w:val="66A8A12B"/>
    <w:rsid w:val="66A8D895"/>
    <w:rsid w:val="66A91CCC"/>
    <w:rsid w:val="66A99505"/>
    <w:rsid w:val="66A9BB2C"/>
    <w:rsid w:val="66AB274B"/>
    <w:rsid w:val="66AB8831"/>
    <w:rsid w:val="66ABAEF3"/>
    <w:rsid w:val="66AC0B34"/>
    <w:rsid w:val="66ACEEAD"/>
    <w:rsid w:val="66B00525"/>
    <w:rsid w:val="66B0F315"/>
    <w:rsid w:val="66B2101A"/>
    <w:rsid w:val="66B27431"/>
    <w:rsid w:val="66B5A586"/>
    <w:rsid w:val="66B6AEF2"/>
    <w:rsid w:val="66B74F6F"/>
    <w:rsid w:val="66B7BB06"/>
    <w:rsid w:val="66B8EEF4"/>
    <w:rsid w:val="66B96E42"/>
    <w:rsid w:val="66B9AA26"/>
    <w:rsid w:val="66BA7CBC"/>
    <w:rsid w:val="66BAF451"/>
    <w:rsid w:val="66BB61C2"/>
    <w:rsid w:val="66BB7E0E"/>
    <w:rsid w:val="66BBA0B2"/>
    <w:rsid w:val="66BBBB27"/>
    <w:rsid w:val="66BBDF2F"/>
    <w:rsid w:val="66BDFEF4"/>
    <w:rsid w:val="66BF00BB"/>
    <w:rsid w:val="66BF46E2"/>
    <w:rsid w:val="66BFF5B4"/>
    <w:rsid w:val="66C0A72D"/>
    <w:rsid w:val="66C0DB1C"/>
    <w:rsid w:val="66C16EF6"/>
    <w:rsid w:val="66C17CE7"/>
    <w:rsid w:val="66C17F80"/>
    <w:rsid w:val="66C32E57"/>
    <w:rsid w:val="66C337EF"/>
    <w:rsid w:val="66C36EC1"/>
    <w:rsid w:val="66C394F9"/>
    <w:rsid w:val="66C4A1B8"/>
    <w:rsid w:val="66C4F585"/>
    <w:rsid w:val="66C56F59"/>
    <w:rsid w:val="66C56FEB"/>
    <w:rsid w:val="66C6035C"/>
    <w:rsid w:val="66C6AAA9"/>
    <w:rsid w:val="66C762ED"/>
    <w:rsid w:val="66C9A144"/>
    <w:rsid w:val="66CA0BC2"/>
    <w:rsid w:val="66CB8C86"/>
    <w:rsid w:val="66CC1AA9"/>
    <w:rsid w:val="66CC4B94"/>
    <w:rsid w:val="66CC6150"/>
    <w:rsid w:val="66CC68AB"/>
    <w:rsid w:val="66CD7FE5"/>
    <w:rsid w:val="66CDDED2"/>
    <w:rsid w:val="66CE8B85"/>
    <w:rsid w:val="66CE8CC3"/>
    <w:rsid w:val="66CFE8C5"/>
    <w:rsid w:val="66D0E33B"/>
    <w:rsid w:val="66D0FEC2"/>
    <w:rsid w:val="66D292B2"/>
    <w:rsid w:val="66D2EBD6"/>
    <w:rsid w:val="66D45580"/>
    <w:rsid w:val="66D4DC0A"/>
    <w:rsid w:val="66D52921"/>
    <w:rsid w:val="66D54621"/>
    <w:rsid w:val="66D7199A"/>
    <w:rsid w:val="66D764C9"/>
    <w:rsid w:val="66D7BEF6"/>
    <w:rsid w:val="66D93183"/>
    <w:rsid w:val="66D9E654"/>
    <w:rsid w:val="66DAACCB"/>
    <w:rsid w:val="66DADB3C"/>
    <w:rsid w:val="66DB592D"/>
    <w:rsid w:val="66DC86F8"/>
    <w:rsid w:val="66DD39F4"/>
    <w:rsid w:val="66DD9479"/>
    <w:rsid w:val="66E0158D"/>
    <w:rsid w:val="66E0237A"/>
    <w:rsid w:val="66E03F25"/>
    <w:rsid w:val="66E0436A"/>
    <w:rsid w:val="66E0DB41"/>
    <w:rsid w:val="66E12A4F"/>
    <w:rsid w:val="66E212D5"/>
    <w:rsid w:val="66E2DB33"/>
    <w:rsid w:val="66E35E3A"/>
    <w:rsid w:val="66E3E223"/>
    <w:rsid w:val="66E42CB5"/>
    <w:rsid w:val="66E4A9C1"/>
    <w:rsid w:val="66E4C239"/>
    <w:rsid w:val="66E4CAFA"/>
    <w:rsid w:val="66E58862"/>
    <w:rsid w:val="66E5C12C"/>
    <w:rsid w:val="66E5E6DD"/>
    <w:rsid w:val="66E63006"/>
    <w:rsid w:val="66E667A4"/>
    <w:rsid w:val="66E66F0C"/>
    <w:rsid w:val="66E689CB"/>
    <w:rsid w:val="66E71ED6"/>
    <w:rsid w:val="66E76DDA"/>
    <w:rsid w:val="66E806E2"/>
    <w:rsid w:val="66E8A2EB"/>
    <w:rsid w:val="66E8B18A"/>
    <w:rsid w:val="66EB18DE"/>
    <w:rsid w:val="66EB488B"/>
    <w:rsid w:val="66EBD7B8"/>
    <w:rsid w:val="66EC4C4C"/>
    <w:rsid w:val="66EC8932"/>
    <w:rsid w:val="66EE6452"/>
    <w:rsid w:val="66EEFF87"/>
    <w:rsid w:val="66EF0526"/>
    <w:rsid w:val="66EF087B"/>
    <w:rsid w:val="66EFE298"/>
    <w:rsid w:val="66F0B9CB"/>
    <w:rsid w:val="66F17A15"/>
    <w:rsid w:val="66F1DC0E"/>
    <w:rsid w:val="66F300B7"/>
    <w:rsid w:val="66F36F3E"/>
    <w:rsid w:val="66F5233E"/>
    <w:rsid w:val="66F581D0"/>
    <w:rsid w:val="66F58587"/>
    <w:rsid w:val="66F5B928"/>
    <w:rsid w:val="66F67C64"/>
    <w:rsid w:val="66F69ECC"/>
    <w:rsid w:val="66F72848"/>
    <w:rsid w:val="66F75C54"/>
    <w:rsid w:val="66F75FC6"/>
    <w:rsid w:val="66F83B8B"/>
    <w:rsid w:val="66F89617"/>
    <w:rsid w:val="66F9A5E9"/>
    <w:rsid w:val="66F9BEA9"/>
    <w:rsid w:val="66FB2640"/>
    <w:rsid w:val="66FB723B"/>
    <w:rsid w:val="66FB9D82"/>
    <w:rsid w:val="66FD3B7F"/>
    <w:rsid w:val="66FD428F"/>
    <w:rsid w:val="66FD9024"/>
    <w:rsid w:val="66FDDBC3"/>
    <w:rsid w:val="66FE2941"/>
    <w:rsid w:val="66FE4AC4"/>
    <w:rsid w:val="66FF7B0A"/>
    <w:rsid w:val="66FFD8FE"/>
    <w:rsid w:val="6700DBCD"/>
    <w:rsid w:val="67018855"/>
    <w:rsid w:val="6702001B"/>
    <w:rsid w:val="6702103C"/>
    <w:rsid w:val="67023820"/>
    <w:rsid w:val="67023BF5"/>
    <w:rsid w:val="670353D2"/>
    <w:rsid w:val="6703AF0A"/>
    <w:rsid w:val="6703CD3A"/>
    <w:rsid w:val="67044194"/>
    <w:rsid w:val="67046CAB"/>
    <w:rsid w:val="67057A0E"/>
    <w:rsid w:val="6705A9E2"/>
    <w:rsid w:val="67071470"/>
    <w:rsid w:val="67073D7B"/>
    <w:rsid w:val="6707A2FE"/>
    <w:rsid w:val="6708DBC5"/>
    <w:rsid w:val="6708FA58"/>
    <w:rsid w:val="6709C5D5"/>
    <w:rsid w:val="670A0B1F"/>
    <w:rsid w:val="670B54A1"/>
    <w:rsid w:val="670B751B"/>
    <w:rsid w:val="670BBC27"/>
    <w:rsid w:val="670C3D69"/>
    <w:rsid w:val="670C7692"/>
    <w:rsid w:val="670CAECF"/>
    <w:rsid w:val="670D3D83"/>
    <w:rsid w:val="670D42BF"/>
    <w:rsid w:val="670E27AF"/>
    <w:rsid w:val="670ECD08"/>
    <w:rsid w:val="670EDE55"/>
    <w:rsid w:val="670FE4EF"/>
    <w:rsid w:val="671024BF"/>
    <w:rsid w:val="67106649"/>
    <w:rsid w:val="67127D77"/>
    <w:rsid w:val="67137E9D"/>
    <w:rsid w:val="6713B82D"/>
    <w:rsid w:val="6713E829"/>
    <w:rsid w:val="671415ED"/>
    <w:rsid w:val="67142BDD"/>
    <w:rsid w:val="67145755"/>
    <w:rsid w:val="67148009"/>
    <w:rsid w:val="6714B9C2"/>
    <w:rsid w:val="671551EF"/>
    <w:rsid w:val="67166DEF"/>
    <w:rsid w:val="6716F4E5"/>
    <w:rsid w:val="671716B5"/>
    <w:rsid w:val="6717A065"/>
    <w:rsid w:val="6717A810"/>
    <w:rsid w:val="6717EFDF"/>
    <w:rsid w:val="671AD74D"/>
    <w:rsid w:val="671B4556"/>
    <w:rsid w:val="671B7E29"/>
    <w:rsid w:val="671B8064"/>
    <w:rsid w:val="671CE48D"/>
    <w:rsid w:val="671D88AB"/>
    <w:rsid w:val="671D96DE"/>
    <w:rsid w:val="671DAE4D"/>
    <w:rsid w:val="671DC659"/>
    <w:rsid w:val="671DEDF0"/>
    <w:rsid w:val="671E1B2A"/>
    <w:rsid w:val="671E60CE"/>
    <w:rsid w:val="671F4BC1"/>
    <w:rsid w:val="671F64A1"/>
    <w:rsid w:val="672069CC"/>
    <w:rsid w:val="672084A6"/>
    <w:rsid w:val="672132E9"/>
    <w:rsid w:val="67218EDC"/>
    <w:rsid w:val="67228408"/>
    <w:rsid w:val="672333C2"/>
    <w:rsid w:val="67242E7E"/>
    <w:rsid w:val="6724F52D"/>
    <w:rsid w:val="67252F69"/>
    <w:rsid w:val="67263CCE"/>
    <w:rsid w:val="6726A656"/>
    <w:rsid w:val="67279A56"/>
    <w:rsid w:val="6728B10E"/>
    <w:rsid w:val="6728C0AF"/>
    <w:rsid w:val="6729334E"/>
    <w:rsid w:val="672958C3"/>
    <w:rsid w:val="67299343"/>
    <w:rsid w:val="6729EAB3"/>
    <w:rsid w:val="672A52B1"/>
    <w:rsid w:val="672AF51A"/>
    <w:rsid w:val="672AF924"/>
    <w:rsid w:val="672B2D87"/>
    <w:rsid w:val="672B853B"/>
    <w:rsid w:val="672C00BC"/>
    <w:rsid w:val="67304F22"/>
    <w:rsid w:val="67312B30"/>
    <w:rsid w:val="6731658B"/>
    <w:rsid w:val="6731B4A1"/>
    <w:rsid w:val="6731BF97"/>
    <w:rsid w:val="67351ACD"/>
    <w:rsid w:val="673690C2"/>
    <w:rsid w:val="67372A87"/>
    <w:rsid w:val="673760CF"/>
    <w:rsid w:val="6738F892"/>
    <w:rsid w:val="6739902A"/>
    <w:rsid w:val="673A39F3"/>
    <w:rsid w:val="673A3B4B"/>
    <w:rsid w:val="673AEF22"/>
    <w:rsid w:val="673BE06E"/>
    <w:rsid w:val="673D457E"/>
    <w:rsid w:val="673D86EB"/>
    <w:rsid w:val="673DCF27"/>
    <w:rsid w:val="673E296E"/>
    <w:rsid w:val="673E8885"/>
    <w:rsid w:val="673E98A9"/>
    <w:rsid w:val="673EB0B9"/>
    <w:rsid w:val="673EBFFF"/>
    <w:rsid w:val="673F5252"/>
    <w:rsid w:val="6740E0EA"/>
    <w:rsid w:val="67414077"/>
    <w:rsid w:val="6741BBBE"/>
    <w:rsid w:val="67427A06"/>
    <w:rsid w:val="67457CBE"/>
    <w:rsid w:val="67485EC4"/>
    <w:rsid w:val="6748FC49"/>
    <w:rsid w:val="6749F785"/>
    <w:rsid w:val="674A0668"/>
    <w:rsid w:val="674AAC4A"/>
    <w:rsid w:val="674BDEBB"/>
    <w:rsid w:val="674C3854"/>
    <w:rsid w:val="674C568A"/>
    <w:rsid w:val="674C8A5C"/>
    <w:rsid w:val="674D3B7C"/>
    <w:rsid w:val="674DF41A"/>
    <w:rsid w:val="674E4A70"/>
    <w:rsid w:val="674E4F56"/>
    <w:rsid w:val="674EB361"/>
    <w:rsid w:val="674EFD09"/>
    <w:rsid w:val="674F7CE5"/>
    <w:rsid w:val="674FCBCF"/>
    <w:rsid w:val="6750A69C"/>
    <w:rsid w:val="6750CA52"/>
    <w:rsid w:val="6750EC45"/>
    <w:rsid w:val="6751A5E2"/>
    <w:rsid w:val="675224A2"/>
    <w:rsid w:val="6752CDFB"/>
    <w:rsid w:val="6752D284"/>
    <w:rsid w:val="67540B63"/>
    <w:rsid w:val="67543919"/>
    <w:rsid w:val="67550586"/>
    <w:rsid w:val="6755D0BB"/>
    <w:rsid w:val="67565341"/>
    <w:rsid w:val="675672EB"/>
    <w:rsid w:val="6756E584"/>
    <w:rsid w:val="67570210"/>
    <w:rsid w:val="675741C3"/>
    <w:rsid w:val="6758F0D3"/>
    <w:rsid w:val="67592916"/>
    <w:rsid w:val="67598B9D"/>
    <w:rsid w:val="6759947D"/>
    <w:rsid w:val="6759BCDB"/>
    <w:rsid w:val="6759BEAD"/>
    <w:rsid w:val="6759CACE"/>
    <w:rsid w:val="675A1D36"/>
    <w:rsid w:val="675AA09A"/>
    <w:rsid w:val="675C39EC"/>
    <w:rsid w:val="675D4BE2"/>
    <w:rsid w:val="675F258F"/>
    <w:rsid w:val="675F6A46"/>
    <w:rsid w:val="675FEFDC"/>
    <w:rsid w:val="67608E5B"/>
    <w:rsid w:val="6760DAE6"/>
    <w:rsid w:val="6761B5C0"/>
    <w:rsid w:val="67624273"/>
    <w:rsid w:val="6762BC4D"/>
    <w:rsid w:val="67639F0A"/>
    <w:rsid w:val="6763CA1A"/>
    <w:rsid w:val="67642113"/>
    <w:rsid w:val="67642CD6"/>
    <w:rsid w:val="676458D2"/>
    <w:rsid w:val="676530CA"/>
    <w:rsid w:val="6766A470"/>
    <w:rsid w:val="6767C39E"/>
    <w:rsid w:val="676871BA"/>
    <w:rsid w:val="676905AE"/>
    <w:rsid w:val="67696901"/>
    <w:rsid w:val="676AD2E3"/>
    <w:rsid w:val="676BF0D6"/>
    <w:rsid w:val="676C394D"/>
    <w:rsid w:val="676E740E"/>
    <w:rsid w:val="676EA37B"/>
    <w:rsid w:val="676F897E"/>
    <w:rsid w:val="67700781"/>
    <w:rsid w:val="67710CCB"/>
    <w:rsid w:val="67716F5D"/>
    <w:rsid w:val="67730A34"/>
    <w:rsid w:val="677343CD"/>
    <w:rsid w:val="6773E401"/>
    <w:rsid w:val="6774E364"/>
    <w:rsid w:val="67752040"/>
    <w:rsid w:val="6775D3CE"/>
    <w:rsid w:val="677638A1"/>
    <w:rsid w:val="67769A28"/>
    <w:rsid w:val="67771604"/>
    <w:rsid w:val="677773B4"/>
    <w:rsid w:val="6777A18B"/>
    <w:rsid w:val="6779201E"/>
    <w:rsid w:val="6779C27C"/>
    <w:rsid w:val="6779FE7A"/>
    <w:rsid w:val="677A0EB5"/>
    <w:rsid w:val="677A622A"/>
    <w:rsid w:val="677ABDD1"/>
    <w:rsid w:val="677CFEB4"/>
    <w:rsid w:val="677F3875"/>
    <w:rsid w:val="677F645F"/>
    <w:rsid w:val="6781362C"/>
    <w:rsid w:val="67813F3C"/>
    <w:rsid w:val="67817406"/>
    <w:rsid w:val="6782327E"/>
    <w:rsid w:val="6783CAA3"/>
    <w:rsid w:val="6784837A"/>
    <w:rsid w:val="6784D734"/>
    <w:rsid w:val="678507FE"/>
    <w:rsid w:val="67857CD6"/>
    <w:rsid w:val="6785BBE0"/>
    <w:rsid w:val="67869C33"/>
    <w:rsid w:val="6786C987"/>
    <w:rsid w:val="6787AF93"/>
    <w:rsid w:val="678890CD"/>
    <w:rsid w:val="6788E218"/>
    <w:rsid w:val="678A99C9"/>
    <w:rsid w:val="678AB00A"/>
    <w:rsid w:val="678BFC5E"/>
    <w:rsid w:val="678C4DC1"/>
    <w:rsid w:val="678DB76B"/>
    <w:rsid w:val="678DC52D"/>
    <w:rsid w:val="678E3603"/>
    <w:rsid w:val="678F1D42"/>
    <w:rsid w:val="678F4D7B"/>
    <w:rsid w:val="678FB3A4"/>
    <w:rsid w:val="67903072"/>
    <w:rsid w:val="6792288A"/>
    <w:rsid w:val="67947981"/>
    <w:rsid w:val="6794E0BF"/>
    <w:rsid w:val="6794F687"/>
    <w:rsid w:val="67956DB5"/>
    <w:rsid w:val="6795E9AF"/>
    <w:rsid w:val="67968AE8"/>
    <w:rsid w:val="67968EA9"/>
    <w:rsid w:val="67975277"/>
    <w:rsid w:val="679798B6"/>
    <w:rsid w:val="67981CF4"/>
    <w:rsid w:val="6798A671"/>
    <w:rsid w:val="67996FE6"/>
    <w:rsid w:val="67997E4F"/>
    <w:rsid w:val="6799B047"/>
    <w:rsid w:val="679A191A"/>
    <w:rsid w:val="679A369D"/>
    <w:rsid w:val="679B4375"/>
    <w:rsid w:val="679C115B"/>
    <w:rsid w:val="679C305E"/>
    <w:rsid w:val="679CB52D"/>
    <w:rsid w:val="679CD551"/>
    <w:rsid w:val="679CE5A2"/>
    <w:rsid w:val="679D721C"/>
    <w:rsid w:val="679FBDF1"/>
    <w:rsid w:val="67A04434"/>
    <w:rsid w:val="67A10906"/>
    <w:rsid w:val="67A12127"/>
    <w:rsid w:val="67A16905"/>
    <w:rsid w:val="67A1AEE0"/>
    <w:rsid w:val="67A23BCC"/>
    <w:rsid w:val="67A2EFDE"/>
    <w:rsid w:val="67A39B57"/>
    <w:rsid w:val="67A44BC9"/>
    <w:rsid w:val="67A45A87"/>
    <w:rsid w:val="67A46844"/>
    <w:rsid w:val="67A4C596"/>
    <w:rsid w:val="67A5E483"/>
    <w:rsid w:val="67A73558"/>
    <w:rsid w:val="67A86A2A"/>
    <w:rsid w:val="67A8B6A4"/>
    <w:rsid w:val="67A8E4B6"/>
    <w:rsid w:val="67AABC42"/>
    <w:rsid w:val="67AC35E2"/>
    <w:rsid w:val="67AC36C2"/>
    <w:rsid w:val="67ACAF58"/>
    <w:rsid w:val="67AD11F2"/>
    <w:rsid w:val="67AD4D0F"/>
    <w:rsid w:val="67AD61CF"/>
    <w:rsid w:val="67AEDCFC"/>
    <w:rsid w:val="67AEEF17"/>
    <w:rsid w:val="67B001B6"/>
    <w:rsid w:val="67B0AE70"/>
    <w:rsid w:val="67B1AFCA"/>
    <w:rsid w:val="67B22D3F"/>
    <w:rsid w:val="67B246A3"/>
    <w:rsid w:val="67B28386"/>
    <w:rsid w:val="67B55631"/>
    <w:rsid w:val="67B597E8"/>
    <w:rsid w:val="67B633A3"/>
    <w:rsid w:val="67B65CB4"/>
    <w:rsid w:val="67B8C975"/>
    <w:rsid w:val="67B932C1"/>
    <w:rsid w:val="67B9705A"/>
    <w:rsid w:val="67B98600"/>
    <w:rsid w:val="67B993F5"/>
    <w:rsid w:val="67B9D337"/>
    <w:rsid w:val="67B9E15B"/>
    <w:rsid w:val="67B9FEF7"/>
    <w:rsid w:val="67BAAE9F"/>
    <w:rsid w:val="67BB1F47"/>
    <w:rsid w:val="67BB2247"/>
    <w:rsid w:val="67BBADE2"/>
    <w:rsid w:val="67BC90E8"/>
    <w:rsid w:val="67BD4A95"/>
    <w:rsid w:val="67BEBA75"/>
    <w:rsid w:val="67BFBA14"/>
    <w:rsid w:val="67C0C273"/>
    <w:rsid w:val="67C0EAD9"/>
    <w:rsid w:val="67C0FB6C"/>
    <w:rsid w:val="67C123FE"/>
    <w:rsid w:val="67C161BC"/>
    <w:rsid w:val="67C21B42"/>
    <w:rsid w:val="67C2DABC"/>
    <w:rsid w:val="67C33295"/>
    <w:rsid w:val="67C3FE93"/>
    <w:rsid w:val="67C480F2"/>
    <w:rsid w:val="67C71185"/>
    <w:rsid w:val="67C7B886"/>
    <w:rsid w:val="67C8CD55"/>
    <w:rsid w:val="67CA42E4"/>
    <w:rsid w:val="67CB05A2"/>
    <w:rsid w:val="67CB18A4"/>
    <w:rsid w:val="67CB8202"/>
    <w:rsid w:val="67CC5EA2"/>
    <w:rsid w:val="67CC5FF0"/>
    <w:rsid w:val="67CC8CBF"/>
    <w:rsid w:val="67CD4F27"/>
    <w:rsid w:val="67CD5E62"/>
    <w:rsid w:val="67CEE734"/>
    <w:rsid w:val="67CF1A19"/>
    <w:rsid w:val="67CF1A5F"/>
    <w:rsid w:val="67CF633D"/>
    <w:rsid w:val="67D010D1"/>
    <w:rsid w:val="67D0A5AC"/>
    <w:rsid w:val="67D13F06"/>
    <w:rsid w:val="67D19C1D"/>
    <w:rsid w:val="67D1A7EC"/>
    <w:rsid w:val="67D2A9EE"/>
    <w:rsid w:val="67D3FB56"/>
    <w:rsid w:val="67D450C6"/>
    <w:rsid w:val="67D4B81D"/>
    <w:rsid w:val="67D5458B"/>
    <w:rsid w:val="67D5BAFA"/>
    <w:rsid w:val="67D7C155"/>
    <w:rsid w:val="67D7CFE1"/>
    <w:rsid w:val="67D9C1DB"/>
    <w:rsid w:val="67DAB393"/>
    <w:rsid w:val="67DB647A"/>
    <w:rsid w:val="67DC57E7"/>
    <w:rsid w:val="67DD5CE6"/>
    <w:rsid w:val="67DD82C8"/>
    <w:rsid w:val="67DF4C42"/>
    <w:rsid w:val="67DFA986"/>
    <w:rsid w:val="67E03109"/>
    <w:rsid w:val="67E06873"/>
    <w:rsid w:val="67E0A77C"/>
    <w:rsid w:val="67E0E39E"/>
    <w:rsid w:val="67E1A3DA"/>
    <w:rsid w:val="67E1BEC1"/>
    <w:rsid w:val="67E1CCED"/>
    <w:rsid w:val="67E22900"/>
    <w:rsid w:val="67E370CF"/>
    <w:rsid w:val="67E3E59D"/>
    <w:rsid w:val="67E3F9F9"/>
    <w:rsid w:val="67E45B7A"/>
    <w:rsid w:val="67E4AEA5"/>
    <w:rsid w:val="67E4B497"/>
    <w:rsid w:val="67E63BCB"/>
    <w:rsid w:val="67E640C7"/>
    <w:rsid w:val="67E76A84"/>
    <w:rsid w:val="67E827D4"/>
    <w:rsid w:val="67E8A38E"/>
    <w:rsid w:val="67E943AB"/>
    <w:rsid w:val="67EA93E8"/>
    <w:rsid w:val="67EACCD7"/>
    <w:rsid w:val="67EB4709"/>
    <w:rsid w:val="67EC0649"/>
    <w:rsid w:val="67ECE1F4"/>
    <w:rsid w:val="67ED1C7A"/>
    <w:rsid w:val="67EE361A"/>
    <w:rsid w:val="67EEA7DD"/>
    <w:rsid w:val="67EEBBD6"/>
    <w:rsid w:val="67EF1D6D"/>
    <w:rsid w:val="67F0D768"/>
    <w:rsid w:val="67F0F02E"/>
    <w:rsid w:val="67F14743"/>
    <w:rsid w:val="67F27EAD"/>
    <w:rsid w:val="67F468B7"/>
    <w:rsid w:val="67F4C371"/>
    <w:rsid w:val="67F57AA3"/>
    <w:rsid w:val="67F5855D"/>
    <w:rsid w:val="67F6C23A"/>
    <w:rsid w:val="67F794A5"/>
    <w:rsid w:val="67F7D99C"/>
    <w:rsid w:val="67F7F82B"/>
    <w:rsid w:val="67F8E30E"/>
    <w:rsid w:val="67F9B252"/>
    <w:rsid w:val="67F9FA83"/>
    <w:rsid w:val="67FB1BAB"/>
    <w:rsid w:val="67FB2CAE"/>
    <w:rsid w:val="67FBDB4D"/>
    <w:rsid w:val="67FC176B"/>
    <w:rsid w:val="67FC5817"/>
    <w:rsid w:val="67FC6952"/>
    <w:rsid w:val="67FCA893"/>
    <w:rsid w:val="67FD52BB"/>
    <w:rsid w:val="67FDCD42"/>
    <w:rsid w:val="67FE5162"/>
    <w:rsid w:val="67FFA699"/>
    <w:rsid w:val="67FFDB5F"/>
    <w:rsid w:val="6800E96C"/>
    <w:rsid w:val="68017C10"/>
    <w:rsid w:val="6801F2E8"/>
    <w:rsid w:val="680211F4"/>
    <w:rsid w:val="68031ED2"/>
    <w:rsid w:val="6803BAFB"/>
    <w:rsid w:val="6803F2EC"/>
    <w:rsid w:val="68071465"/>
    <w:rsid w:val="6807DE11"/>
    <w:rsid w:val="6808ADD0"/>
    <w:rsid w:val="6808BC69"/>
    <w:rsid w:val="6809AC01"/>
    <w:rsid w:val="680A7D00"/>
    <w:rsid w:val="680C19F7"/>
    <w:rsid w:val="680E26AF"/>
    <w:rsid w:val="680E7FC9"/>
    <w:rsid w:val="680E9576"/>
    <w:rsid w:val="6812F3E8"/>
    <w:rsid w:val="68143005"/>
    <w:rsid w:val="681431F9"/>
    <w:rsid w:val="68148BDD"/>
    <w:rsid w:val="6815513A"/>
    <w:rsid w:val="6815BD9F"/>
    <w:rsid w:val="68160D20"/>
    <w:rsid w:val="681741C3"/>
    <w:rsid w:val="68196856"/>
    <w:rsid w:val="6819A08C"/>
    <w:rsid w:val="681B3A0D"/>
    <w:rsid w:val="681BF6F1"/>
    <w:rsid w:val="681C0B44"/>
    <w:rsid w:val="681CA7B1"/>
    <w:rsid w:val="681CB07B"/>
    <w:rsid w:val="681D9026"/>
    <w:rsid w:val="681EBA52"/>
    <w:rsid w:val="681EF564"/>
    <w:rsid w:val="681FB11E"/>
    <w:rsid w:val="681FEB97"/>
    <w:rsid w:val="682018EE"/>
    <w:rsid w:val="68216932"/>
    <w:rsid w:val="6821DD78"/>
    <w:rsid w:val="68221362"/>
    <w:rsid w:val="682274E5"/>
    <w:rsid w:val="6823A885"/>
    <w:rsid w:val="682443AA"/>
    <w:rsid w:val="682540C1"/>
    <w:rsid w:val="6826245F"/>
    <w:rsid w:val="6826E8E6"/>
    <w:rsid w:val="68274029"/>
    <w:rsid w:val="6827C908"/>
    <w:rsid w:val="68281D56"/>
    <w:rsid w:val="6828A95F"/>
    <w:rsid w:val="6828CBFA"/>
    <w:rsid w:val="6829EA79"/>
    <w:rsid w:val="682A01AA"/>
    <w:rsid w:val="682A64FB"/>
    <w:rsid w:val="682A818F"/>
    <w:rsid w:val="682CE816"/>
    <w:rsid w:val="682D0FB1"/>
    <w:rsid w:val="682D4197"/>
    <w:rsid w:val="682D5D00"/>
    <w:rsid w:val="682F1DE7"/>
    <w:rsid w:val="682F66BD"/>
    <w:rsid w:val="68301836"/>
    <w:rsid w:val="68307F95"/>
    <w:rsid w:val="6830B683"/>
    <w:rsid w:val="6832F09F"/>
    <w:rsid w:val="6833CB79"/>
    <w:rsid w:val="68343CF3"/>
    <w:rsid w:val="68350FCD"/>
    <w:rsid w:val="6835822E"/>
    <w:rsid w:val="6836A968"/>
    <w:rsid w:val="68378950"/>
    <w:rsid w:val="6837B9E4"/>
    <w:rsid w:val="6837C95A"/>
    <w:rsid w:val="68384F75"/>
    <w:rsid w:val="68386A16"/>
    <w:rsid w:val="68393FB1"/>
    <w:rsid w:val="6839BA14"/>
    <w:rsid w:val="6839C627"/>
    <w:rsid w:val="6839D22C"/>
    <w:rsid w:val="683A7A5C"/>
    <w:rsid w:val="683A8A1A"/>
    <w:rsid w:val="683B2FC9"/>
    <w:rsid w:val="683BFF7E"/>
    <w:rsid w:val="683CD15B"/>
    <w:rsid w:val="683D42DC"/>
    <w:rsid w:val="683D5FB0"/>
    <w:rsid w:val="683DDDF0"/>
    <w:rsid w:val="683F0E0E"/>
    <w:rsid w:val="683F7746"/>
    <w:rsid w:val="68407596"/>
    <w:rsid w:val="6840E04E"/>
    <w:rsid w:val="684121B7"/>
    <w:rsid w:val="6841836B"/>
    <w:rsid w:val="6842A07E"/>
    <w:rsid w:val="68449950"/>
    <w:rsid w:val="6844F5ED"/>
    <w:rsid w:val="6845209D"/>
    <w:rsid w:val="68453B89"/>
    <w:rsid w:val="68458157"/>
    <w:rsid w:val="6845DCC0"/>
    <w:rsid w:val="68476CD9"/>
    <w:rsid w:val="68477070"/>
    <w:rsid w:val="68490513"/>
    <w:rsid w:val="684996E7"/>
    <w:rsid w:val="684B3665"/>
    <w:rsid w:val="684C468D"/>
    <w:rsid w:val="684CBB1E"/>
    <w:rsid w:val="684D3866"/>
    <w:rsid w:val="684D3C40"/>
    <w:rsid w:val="684D56E0"/>
    <w:rsid w:val="684DBB40"/>
    <w:rsid w:val="684E2221"/>
    <w:rsid w:val="684F7CDD"/>
    <w:rsid w:val="6850746F"/>
    <w:rsid w:val="6850D805"/>
    <w:rsid w:val="6851F5C0"/>
    <w:rsid w:val="685249C0"/>
    <w:rsid w:val="6852A919"/>
    <w:rsid w:val="6852B06E"/>
    <w:rsid w:val="68543653"/>
    <w:rsid w:val="68548FAE"/>
    <w:rsid w:val="6854C045"/>
    <w:rsid w:val="6854C377"/>
    <w:rsid w:val="6854EB92"/>
    <w:rsid w:val="6855130F"/>
    <w:rsid w:val="68566FB5"/>
    <w:rsid w:val="68569BCF"/>
    <w:rsid w:val="6857A554"/>
    <w:rsid w:val="6857D001"/>
    <w:rsid w:val="6858F3D1"/>
    <w:rsid w:val="685954E2"/>
    <w:rsid w:val="68598594"/>
    <w:rsid w:val="68598947"/>
    <w:rsid w:val="6859FA7C"/>
    <w:rsid w:val="685B183B"/>
    <w:rsid w:val="685B4E9C"/>
    <w:rsid w:val="685BE524"/>
    <w:rsid w:val="685BF516"/>
    <w:rsid w:val="685C611B"/>
    <w:rsid w:val="685D155A"/>
    <w:rsid w:val="685D4E0E"/>
    <w:rsid w:val="685D8911"/>
    <w:rsid w:val="685F133B"/>
    <w:rsid w:val="685FA016"/>
    <w:rsid w:val="685FAF8A"/>
    <w:rsid w:val="685FCC32"/>
    <w:rsid w:val="68602353"/>
    <w:rsid w:val="68609EC0"/>
    <w:rsid w:val="6860EA7F"/>
    <w:rsid w:val="68614EDE"/>
    <w:rsid w:val="68628D7E"/>
    <w:rsid w:val="68628F20"/>
    <w:rsid w:val="6862F442"/>
    <w:rsid w:val="68634A39"/>
    <w:rsid w:val="68637232"/>
    <w:rsid w:val="68639EBA"/>
    <w:rsid w:val="6864E3C8"/>
    <w:rsid w:val="686503BF"/>
    <w:rsid w:val="68651972"/>
    <w:rsid w:val="68658F8D"/>
    <w:rsid w:val="6866198F"/>
    <w:rsid w:val="686681CA"/>
    <w:rsid w:val="68688DC1"/>
    <w:rsid w:val="68691430"/>
    <w:rsid w:val="686AF405"/>
    <w:rsid w:val="686B1F43"/>
    <w:rsid w:val="686DE9CD"/>
    <w:rsid w:val="686DF8F8"/>
    <w:rsid w:val="686F2001"/>
    <w:rsid w:val="686F569B"/>
    <w:rsid w:val="68722874"/>
    <w:rsid w:val="687300FE"/>
    <w:rsid w:val="6874876D"/>
    <w:rsid w:val="687543A3"/>
    <w:rsid w:val="6875472A"/>
    <w:rsid w:val="687564FF"/>
    <w:rsid w:val="68761851"/>
    <w:rsid w:val="687664D6"/>
    <w:rsid w:val="687687B2"/>
    <w:rsid w:val="6876A1DC"/>
    <w:rsid w:val="68770923"/>
    <w:rsid w:val="6877629E"/>
    <w:rsid w:val="687788A0"/>
    <w:rsid w:val="68785CBD"/>
    <w:rsid w:val="687868F2"/>
    <w:rsid w:val="6878773A"/>
    <w:rsid w:val="6878D96F"/>
    <w:rsid w:val="687A1540"/>
    <w:rsid w:val="687A7DDC"/>
    <w:rsid w:val="687B6362"/>
    <w:rsid w:val="687B886F"/>
    <w:rsid w:val="687C880F"/>
    <w:rsid w:val="687D8213"/>
    <w:rsid w:val="688170A3"/>
    <w:rsid w:val="688307B5"/>
    <w:rsid w:val="68832A4B"/>
    <w:rsid w:val="68838CD9"/>
    <w:rsid w:val="6883C354"/>
    <w:rsid w:val="688451F1"/>
    <w:rsid w:val="6884D4DD"/>
    <w:rsid w:val="68852B9E"/>
    <w:rsid w:val="6885B484"/>
    <w:rsid w:val="6885EA37"/>
    <w:rsid w:val="688675ED"/>
    <w:rsid w:val="68878435"/>
    <w:rsid w:val="6887C27D"/>
    <w:rsid w:val="688868F1"/>
    <w:rsid w:val="68887E51"/>
    <w:rsid w:val="6888B64E"/>
    <w:rsid w:val="6888B968"/>
    <w:rsid w:val="6888C67B"/>
    <w:rsid w:val="6889EA30"/>
    <w:rsid w:val="688AB4D4"/>
    <w:rsid w:val="688AF50D"/>
    <w:rsid w:val="688B031E"/>
    <w:rsid w:val="688B8BC3"/>
    <w:rsid w:val="688C4C91"/>
    <w:rsid w:val="688E74DB"/>
    <w:rsid w:val="688FA862"/>
    <w:rsid w:val="688FD364"/>
    <w:rsid w:val="6891CDEE"/>
    <w:rsid w:val="6892195E"/>
    <w:rsid w:val="68922873"/>
    <w:rsid w:val="6893043A"/>
    <w:rsid w:val="6893C3F4"/>
    <w:rsid w:val="68948ADC"/>
    <w:rsid w:val="6894D6D4"/>
    <w:rsid w:val="6894DEA2"/>
    <w:rsid w:val="689519E5"/>
    <w:rsid w:val="6896B80F"/>
    <w:rsid w:val="689796AF"/>
    <w:rsid w:val="68982F36"/>
    <w:rsid w:val="6898A6B7"/>
    <w:rsid w:val="6898E3BE"/>
    <w:rsid w:val="6898F227"/>
    <w:rsid w:val="6898FEC4"/>
    <w:rsid w:val="6899D035"/>
    <w:rsid w:val="689A3303"/>
    <w:rsid w:val="689ADF43"/>
    <w:rsid w:val="689AEABE"/>
    <w:rsid w:val="689B4D48"/>
    <w:rsid w:val="689D0318"/>
    <w:rsid w:val="689DDD58"/>
    <w:rsid w:val="689E1FF1"/>
    <w:rsid w:val="689EC9CC"/>
    <w:rsid w:val="689F5147"/>
    <w:rsid w:val="689F8921"/>
    <w:rsid w:val="689FDD1D"/>
    <w:rsid w:val="68A15110"/>
    <w:rsid w:val="68A16B4E"/>
    <w:rsid w:val="68A16E41"/>
    <w:rsid w:val="68A19F94"/>
    <w:rsid w:val="68A1FA86"/>
    <w:rsid w:val="68A21ED9"/>
    <w:rsid w:val="68A25712"/>
    <w:rsid w:val="68A26056"/>
    <w:rsid w:val="68A33D2E"/>
    <w:rsid w:val="68A33E4F"/>
    <w:rsid w:val="68A36DA0"/>
    <w:rsid w:val="68A43A50"/>
    <w:rsid w:val="68A51FAC"/>
    <w:rsid w:val="68A52FDD"/>
    <w:rsid w:val="68A60820"/>
    <w:rsid w:val="68A68B4B"/>
    <w:rsid w:val="68A7233A"/>
    <w:rsid w:val="68A7D197"/>
    <w:rsid w:val="68A8BC64"/>
    <w:rsid w:val="68A8F513"/>
    <w:rsid w:val="68A9692C"/>
    <w:rsid w:val="68A9ADD8"/>
    <w:rsid w:val="68A9F040"/>
    <w:rsid w:val="68AA13F5"/>
    <w:rsid w:val="68AA45DE"/>
    <w:rsid w:val="68AAE24D"/>
    <w:rsid w:val="68AB1744"/>
    <w:rsid w:val="68AB95DB"/>
    <w:rsid w:val="68AC12EC"/>
    <w:rsid w:val="68AC8C6D"/>
    <w:rsid w:val="68ACA7FB"/>
    <w:rsid w:val="68AD0D89"/>
    <w:rsid w:val="68AD7C42"/>
    <w:rsid w:val="68ADDC3D"/>
    <w:rsid w:val="68AE22FA"/>
    <w:rsid w:val="68AEF0E8"/>
    <w:rsid w:val="68B093B1"/>
    <w:rsid w:val="68B0D686"/>
    <w:rsid w:val="68B0D9D8"/>
    <w:rsid w:val="68B14119"/>
    <w:rsid w:val="68B1852D"/>
    <w:rsid w:val="68B2BCBC"/>
    <w:rsid w:val="68B30725"/>
    <w:rsid w:val="68B314DA"/>
    <w:rsid w:val="68B5AE35"/>
    <w:rsid w:val="68B794AA"/>
    <w:rsid w:val="68B7F7C2"/>
    <w:rsid w:val="68B8FA88"/>
    <w:rsid w:val="68BA6D27"/>
    <w:rsid w:val="68BB84E5"/>
    <w:rsid w:val="68BBA7CF"/>
    <w:rsid w:val="68BC478D"/>
    <w:rsid w:val="68BC4BD1"/>
    <w:rsid w:val="68BC7148"/>
    <w:rsid w:val="68BDF473"/>
    <w:rsid w:val="68BE1188"/>
    <w:rsid w:val="68BE2FC5"/>
    <w:rsid w:val="68BE9ADE"/>
    <w:rsid w:val="68BEBA46"/>
    <w:rsid w:val="68BF6F46"/>
    <w:rsid w:val="68BFA391"/>
    <w:rsid w:val="68BFFC26"/>
    <w:rsid w:val="68C0B384"/>
    <w:rsid w:val="68C0D03B"/>
    <w:rsid w:val="68C0FBF1"/>
    <w:rsid w:val="68C16E30"/>
    <w:rsid w:val="68C23075"/>
    <w:rsid w:val="68C29BB3"/>
    <w:rsid w:val="68C2CFD3"/>
    <w:rsid w:val="68C3AD66"/>
    <w:rsid w:val="68C6544E"/>
    <w:rsid w:val="68C68C8C"/>
    <w:rsid w:val="68C6D5F7"/>
    <w:rsid w:val="68C6D7F6"/>
    <w:rsid w:val="68C74646"/>
    <w:rsid w:val="68C7625F"/>
    <w:rsid w:val="68C78A86"/>
    <w:rsid w:val="68C7BC9A"/>
    <w:rsid w:val="68C92779"/>
    <w:rsid w:val="68C97FF2"/>
    <w:rsid w:val="68C997BB"/>
    <w:rsid w:val="68CA9CD1"/>
    <w:rsid w:val="68CAA02F"/>
    <w:rsid w:val="68CB6606"/>
    <w:rsid w:val="68CCF0FC"/>
    <w:rsid w:val="68CD03F1"/>
    <w:rsid w:val="68CE2CDC"/>
    <w:rsid w:val="68CEB7D5"/>
    <w:rsid w:val="68CF035A"/>
    <w:rsid w:val="68D041C0"/>
    <w:rsid w:val="68D107B5"/>
    <w:rsid w:val="68D24E79"/>
    <w:rsid w:val="68D2D914"/>
    <w:rsid w:val="68D2ED38"/>
    <w:rsid w:val="68D37F0D"/>
    <w:rsid w:val="68D3E153"/>
    <w:rsid w:val="68D44D3F"/>
    <w:rsid w:val="68D4C022"/>
    <w:rsid w:val="68D4C05C"/>
    <w:rsid w:val="68D4DE35"/>
    <w:rsid w:val="68D51178"/>
    <w:rsid w:val="68D59D83"/>
    <w:rsid w:val="68D67C85"/>
    <w:rsid w:val="68D69319"/>
    <w:rsid w:val="68D69DF7"/>
    <w:rsid w:val="68D75DFF"/>
    <w:rsid w:val="68D78BB8"/>
    <w:rsid w:val="68D8C404"/>
    <w:rsid w:val="68D95E7C"/>
    <w:rsid w:val="68DA49B2"/>
    <w:rsid w:val="68DAC795"/>
    <w:rsid w:val="68DADE87"/>
    <w:rsid w:val="68DB993F"/>
    <w:rsid w:val="68DBAFCE"/>
    <w:rsid w:val="68DC819C"/>
    <w:rsid w:val="68DC8379"/>
    <w:rsid w:val="68DCFA44"/>
    <w:rsid w:val="68DDDB11"/>
    <w:rsid w:val="68DEF539"/>
    <w:rsid w:val="68DEF827"/>
    <w:rsid w:val="68DFA90F"/>
    <w:rsid w:val="68E0635A"/>
    <w:rsid w:val="68E0982E"/>
    <w:rsid w:val="68E18291"/>
    <w:rsid w:val="68E2B2E3"/>
    <w:rsid w:val="68E2DF21"/>
    <w:rsid w:val="68E54CF0"/>
    <w:rsid w:val="68E5B1BA"/>
    <w:rsid w:val="68E70031"/>
    <w:rsid w:val="68E77582"/>
    <w:rsid w:val="68E836C6"/>
    <w:rsid w:val="68E8DE7F"/>
    <w:rsid w:val="68E8F20D"/>
    <w:rsid w:val="68EB677C"/>
    <w:rsid w:val="68EB7237"/>
    <w:rsid w:val="68EB87EE"/>
    <w:rsid w:val="68EBD0B8"/>
    <w:rsid w:val="68ED2BD9"/>
    <w:rsid w:val="68ED394B"/>
    <w:rsid w:val="68ED97B7"/>
    <w:rsid w:val="68F0198F"/>
    <w:rsid w:val="68F1193A"/>
    <w:rsid w:val="68F2928E"/>
    <w:rsid w:val="68F33808"/>
    <w:rsid w:val="68F392F4"/>
    <w:rsid w:val="68F5D9A6"/>
    <w:rsid w:val="68F5FD48"/>
    <w:rsid w:val="68F66EC4"/>
    <w:rsid w:val="68F7B5F9"/>
    <w:rsid w:val="68F813AE"/>
    <w:rsid w:val="68F8FC1A"/>
    <w:rsid w:val="68F952DA"/>
    <w:rsid w:val="68F9E1CB"/>
    <w:rsid w:val="68FC0EFE"/>
    <w:rsid w:val="68FC4C2C"/>
    <w:rsid w:val="68FC516A"/>
    <w:rsid w:val="68FC66F9"/>
    <w:rsid w:val="68FCE1EA"/>
    <w:rsid w:val="68FD8338"/>
    <w:rsid w:val="68FDDF69"/>
    <w:rsid w:val="68FDE949"/>
    <w:rsid w:val="68FE287C"/>
    <w:rsid w:val="68FFE79D"/>
    <w:rsid w:val="690137C5"/>
    <w:rsid w:val="69025329"/>
    <w:rsid w:val="690266C9"/>
    <w:rsid w:val="6903006D"/>
    <w:rsid w:val="69032B41"/>
    <w:rsid w:val="6903374A"/>
    <w:rsid w:val="6903DE67"/>
    <w:rsid w:val="69043F01"/>
    <w:rsid w:val="6904B4A3"/>
    <w:rsid w:val="69057A67"/>
    <w:rsid w:val="69059899"/>
    <w:rsid w:val="69059BB4"/>
    <w:rsid w:val="69059CE0"/>
    <w:rsid w:val="6905B0E3"/>
    <w:rsid w:val="6906D89D"/>
    <w:rsid w:val="69078CEF"/>
    <w:rsid w:val="69079060"/>
    <w:rsid w:val="6907C04A"/>
    <w:rsid w:val="6907EC8E"/>
    <w:rsid w:val="69089CDC"/>
    <w:rsid w:val="6908D6CD"/>
    <w:rsid w:val="6909DFE7"/>
    <w:rsid w:val="6909F91C"/>
    <w:rsid w:val="690A285D"/>
    <w:rsid w:val="690A7499"/>
    <w:rsid w:val="690B27A9"/>
    <w:rsid w:val="690C593A"/>
    <w:rsid w:val="690C8631"/>
    <w:rsid w:val="690C99CA"/>
    <w:rsid w:val="690CF3F0"/>
    <w:rsid w:val="690E79C8"/>
    <w:rsid w:val="690EBB9D"/>
    <w:rsid w:val="690F45B7"/>
    <w:rsid w:val="690F86CE"/>
    <w:rsid w:val="690FA31A"/>
    <w:rsid w:val="690FF11D"/>
    <w:rsid w:val="69106508"/>
    <w:rsid w:val="69110E34"/>
    <w:rsid w:val="6911A8BA"/>
    <w:rsid w:val="69122C3C"/>
    <w:rsid w:val="691257ED"/>
    <w:rsid w:val="69139C5E"/>
    <w:rsid w:val="6914F8E7"/>
    <w:rsid w:val="6916EC90"/>
    <w:rsid w:val="6917D9F5"/>
    <w:rsid w:val="691A11DC"/>
    <w:rsid w:val="691A850A"/>
    <w:rsid w:val="691BA6CD"/>
    <w:rsid w:val="691DFE5B"/>
    <w:rsid w:val="691E8FF0"/>
    <w:rsid w:val="691E9866"/>
    <w:rsid w:val="691EF1E5"/>
    <w:rsid w:val="691F9B04"/>
    <w:rsid w:val="69210E24"/>
    <w:rsid w:val="69216909"/>
    <w:rsid w:val="69216DEE"/>
    <w:rsid w:val="6921993E"/>
    <w:rsid w:val="6922189E"/>
    <w:rsid w:val="69226233"/>
    <w:rsid w:val="6922B7F8"/>
    <w:rsid w:val="6922C013"/>
    <w:rsid w:val="69234A49"/>
    <w:rsid w:val="6923A5BF"/>
    <w:rsid w:val="6923EAEA"/>
    <w:rsid w:val="6923EC73"/>
    <w:rsid w:val="69245ECA"/>
    <w:rsid w:val="6924934B"/>
    <w:rsid w:val="69253829"/>
    <w:rsid w:val="692538B2"/>
    <w:rsid w:val="69256984"/>
    <w:rsid w:val="69258E47"/>
    <w:rsid w:val="6927A0F5"/>
    <w:rsid w:val="692824B3"/>
    <w:rsid w:val="6928561E"/>
    <w:rsid w:val="692971F0"/>
    <w:rsid w:val="692A668A"/>
    <w:rsid w:val="692A8603"/>
    <w:rsid w:val="692BB4EF"/>
    <w:rsid w:val="692BB782"/>
    <w:rsid w:val="692BF7B5"/>
    <w:rsid w:val="692C7C07"/>
    <w:rsid w:val="692D1F84"/>
    <w:rsid w:val="692DBF94"/>
    <w:rsid w:val="692EA426"/>
    <w:rsid w:val="692EFAC7"/>
    <w:rsid w:val="692F31C0"/>
    <w:rsid w:val="692FCFE0"/>
    <w:rsid w:val="693018C5"/>
    <w:rsid w:val="6931F648"/>
    <w:rsid w:val="69329910"/>
    <w:rsid w:val="6932D29D"/>
    <w:rsid w:val="69330645"/>
    <w:rsid w:val="69332A64"/>
    <w:rsid w:val="69340625"/>
    <w:rsid w:val="69342F88"/>
    <w:rsid w:val="693551DF"/>
    <w:rsid w:val="693574DF"/>
    <w:rsid w:val="693661C5"/>
    <w:rsid w:val="6936E468"/>
    <w:rsid w:val="6936EB77"/>
    <w:rsid w:val="693867AC"/>
    <w:rsid w:val="6938D41C"/>
    <w:rsid w:val="6938F2F7"/>
    <w:rsid w:val="69392586"/>
    <w:rsid w:val="6939ECA4"/>
    <w:rsid w:val="693A0080"/>
    <w:rsid w:val="693A3CC5"/>
    <w:rsid w:val="693BD8C4"/>
    <w:rsid w:val="693C5ED0"/>
    <w:rsid w:val="693DD42C"/>
    <w:rsid w:val="693DF23A"/>
    <w:rsid w:val="693EDFA6"/>
    <w:rsid w:val="693F04CE"/>
    <w:rsid w:val="6941533A"/>
    <w:rsid w:val="69415989"/>
    <w:rsid w:val="69416503"/>
    <w:rsid w:val="69420179"/>
    <w:rsid w:val="6942C7E4"/>
    <w:rsid w:val="69431760"/>
    <w:rsid w:val="6944510D"/>
    <w:rsid w:val="694454B7"/>
    <w:rsid w:val="694480A0"/>
    <w:rsid w:val="6944F5D9"/>
    <w:rsid w:val="694597AD"/>
    <w:rsid w:val="69475948"/>
    <w:rsid w:val="6947DD7C"/>
    <w:rsid w:val="6948FD32"/>
    <w:rsid w:val="6949B33D"/>
    <w:rsid w:val="694B46CF"/>
    <w:rsid w:val="694CCC45"/>
    <w:rsid w:val="694D9B6B"/>
    <w:rsid w:val="694DC039"/>
    <w:rsid w:val="694DD862"/>
    <w:rsid w:val="694E2F1E"/>
    <w:rsid w:val="694F85D3"/>
    <w:rsid w:val="694FD61A"/>
    <w:rsid w:val="6952461B"/>
    <w:rsid w:val="69539E6A"/>
    <w:rsid w:val="69555EDF"/>
    <w:rsid w:val="695571ED"/>
    <w:rsid w:val="6955A093"/>
    <w:rsid w:val="6955B36A"/>
    <w:rsid w:val="695740AE"/>
    <w:rsid w:val="6957668F"/>
    <w:rsid w:val="69576B9E"/>
    <w:rsid w:val="6957C599"/>
    <w:rsid w:val="6957D757"/>
    <w:rsid w:val="6959856B"/>
    <w:rsid w:val="69599F40"/>
    <w:rsid w:val="695B1948"/>
    <w:rsid w:val="695B81EB"/>
    <w:rsid w:val="695BE944"/>
    <w:rsid w:val="695D00A1"/>
    <w:rsid w:val="695DF662"/>
    <w:rsid w:val="695EB7AE"/>
    <w:rsid w:val="695EE312"/>
    <w:rsid w:val="695F597E"/>
    <w:rsid w:val="696031AC"/>
    <w:rsid w:val="69607017"/>
    <w:rsid w:val="6960E3F6"/>
    <w:rsid w:val="6960F45F"/>
    <w:rsid w:val="6961863C"/>
    <w:rsid w:val="6962E73F"/>
    <w:rsid w:val="69639DE8"/>
    <w:rsid w:val="6963D9D4"/>
    <w:rsid w:val="6965A107"/>
    <w:rsid w:val="6965B1AE"/>
    <w:rsid w:val="6966C6E2"/>
    <w:rsid w:val="69677A26"/>
    <w:rsid w:val="6967C3EC"/>
    <w:rsid w:val="6969ACE3"/>
    <w:rsid w:val="696B7A6C"/>
    <w:rsid w:val="696D8C0C"/>
    <w:rsid w:val="696E317E"/>
    <w:rsid w:val="696E4BAF"/>
    <w:rsid w:val="696EEC4A"/>
    <w:rsid w:val="696FED36"/>
    <w:rsid w:val="6970257A"/>
    <w:rsid w:val="6970340B"/>
    <w:rsid w:val="6970F735"/>
    <w:rsid w:val="69711BE7"/>
    <w:rsid w:val="6971640A"/>
    <w:rsid w:val="6971E869"/>
    <w:rsid w:val="69720A7D"/>
    <w:rsid w:val="6972131E"/>
    <w:rsid w:val="6972A33E"/>
    <w:rsid w:val="6973201F"/>
    <w:rsid w:val="697330F9"/>
    <w:rsid w:val="69740236"/>
    <w:rsid w:val="69758E6E"/>
    <w:rsid w:val="6975D847"/>
    <w:rsid w:val="697638AF"/>
    <w:rsid w:val="6976FFB0"/>
    <w:rsid w:val="697787DD"/>
    <w:rsid w:val="69778935"/>
    <w:rsid w:val="6977C5BD"/>
    <w:rsid w:val="6977D2F9"/>
    <w:rsid w:val="6978985D"/>
    <w:rsid w:val="6979E015"/>
    <w:rsid w:val="697A0642"/>
    <w:rsid w:val="697A6F06"/>
    <w:rsid w:val="697AAAAB"/>
    <w:rsid w:val="697B65FF"/>
    <w:rsid w:val="697C3354"/>
    <w:rsid w:val="697D8552"/>
    <w:rsid w:val="697FEDFE"/>
    <w:rsid w:val="69807A6D"/>
    <w:rsid w:val="6980E77A"/>
    <w:rsid w:val="69812835"/>
    <w:rsid w:val="69823540"/>
    <w:rsid w:val="6982AB92"/>
    <w:rsid w:val="6982CC8F"/>
    <w:rsid w:val="698326D9"/>
    <w:rsid w:val="6983330F"/>
    <w:rsid w:val="69836AAE"/>
    <w:rsid w:val="6983A17E"/>
    <w:rsid w:val="69850449"/>
    <w:rsid w:val="69853AEF"/>
    <w:rsid w:val="6985582D"/>
    <w:rsid w:val="698611CD"/>
    <w:rsid w:val="69867A12"/>
    <w:rsid w:val="698685BA"/>
    <w:rsid w:val="698838EF"/>
    <w:rsid w:val="6989C27A"/>
    <w:rsid w:val="698A55EC"/>
    <w:rsid w:val="698AF077"/>
    <w:rsid w:val="698B0FEE"/>
    <w:rsid w:val="698B33D0"/>
    <w:rsid w:val="698C2729"/>
    <w:rsid w:val="698C824A"/>
    <w:rsid w:val="698D3CB6"/>
    <w:rsid w:val="698DBE56"/>
    <w:rsid w:val="698E6539"/>
    <w:rsid w:val="698F24E1"/>
    <w:rsid w:val="698F689F"/>
    <w:rsid w:val="698F8179"/>
    <w:rsid w:val="699051CC"/>
    <w:rsid w:val="69910E5A"/>
    <w:rsid w:val="69916A95"/>
    <w:rsid w:val="69920805"/>
    <w:rsid w:val="6992352B"/>
    <w:rsid w:val="69937068"/>
    <w:rsid w:val="69939C97"/>
    <w:rsid w:val="6993CF7C"/>
    <w:rsid w:val="699416DB"/>
    <w:rsid w:val="69951A4E"/>
    <w:rsid w:val="6995E235"/>
    <w:rsid w:val="69968798"/>
    <w:rsid w:val="69970DDF"/>
    <w:rsid w:val="69972B45"/>
    <w:rsid w:val="6997418C"/>
    <w:rsid w:val="699773A1"/>
    <w:rsid w:val="69983391"/>
    <w:rsid w:val="69987AF5"/>
    <w:rsid w:val="69993743"/>
    <w:rsid w:val="69997209"/>
    <w:rsid w:val="699974A3"/>
    <w:rsid w:val="699A7289"/>
    <w:rsid w:val="699A995A"/>
    <w:rsid w:val="699AA8A7"/>
    <w:rsid w:val="699ADAB3"/>
    <w:rsid w:val="699AE139"/>
    <w:rsid w:val="699BDE19"/>
    <w:rsid w:val="699C5217"/>
    <w:rsid w:val="699CB79A"/>
    <w:rsid w:val="699CC9B6"/>
    <w:rsid w:val="699E91FF"/>
    <w:rsid w:val="699EEC03"/>
    <w:rsid w:val="699F8159"/>
    <w:rsid w:val="699FEDE5"/>
    <w:rsid w:val="69A0083D"/>
    <w:rsid w:val="69A2488E"/>
    <w:rsid w:val="69A2A784"/>
    <w:rsid w:val="69A2BD23"/>
    <w:rsid w:val="69A2F23D"/>
    <w:rsid w:val="69A32431"/>
    <w:rsid w:val="69A52D21"/>
    <w:rsid w:val="69A6487B"/>
    <w:rsid w:val="69A71688"/>
    <w:rsid w:val="69A766EB"/>
    <w:rsid w:val="69A83702"/>
    <w:rsid w:val="69A87FDF"/>
    <w:rsid w:val="69A99C93"/>
    <w:rsid w:val="69A9E501"/>
    <w:rsid w:val="69AA9F4C"/>
    <w:rsid w:val="69AAF727"/>
    <w:rsid w:val="69ABD07A"/>
    <w:rsid w:val="69AC17A5"/>
    <w:rsid w:val="69AC1A19"/>
    <w:rsid w:val="69ACA96B"/>
    <w:rsid w:val="69AD74B0"/>
    <w:rsid w:val="69AD8029"/>
    <w:rsid w:val="69AE452D"/>
    <w:rsid w:val="69AE6E3A"/>
    <w:rsid w:val="69AF8DE6"/>
    <w:rsid w:val="69AFD435"/>
    <w:rsid w:val="69B07B48"/>
    <w:rsid w:val="69B2A5A4"/>
    <w:rsid w:val="69B2A96D"/>
    <w:rsid w:val="69B2FBE8"/>
    <w:rsid w:val="69B3445B"/>
    <w:rsid w:val="69B3AEA3"/>
    <w:rsid w:val="69B3DC8B"/>
    <w:rsid w:val="69B3E0BA"/>
    <w:rsid w:val="69B44D3D"/>
    <w:rsid w:val="69B62653"/>
    <w:rsid w:val="69B8C2FB"/>
    <w:rsid w:val="69BA9E92"/>
    <w:rsid w:val="69BAC58C"/>
    <w:rsid w:val="69BAE289"/>
    <w:rsid w:val="69BAFC0E"/>
    <w:rsid w:val="69BBCA40"/>
    <w:rsid w:val="69BD2116"/>
    <w:rsid w:val="69BD4AD9"/>
    <w:rsid w:val="69BD7374"/>
    <w:rsid w:val="69BE42AA"/>
    <w:rsid w:val="69BE6477"/>
    <w:rsid w:val="69BEBB27"/>
    <w:rsid w:val="69BF9A75"/>
    <w:rsid w:val="69BFA85B"/>
    <w:rsid w:val="69BFDA77"/>
    <w:rsid w:val="69C0615E"/>
    <w:rsid w:val="69C07E76"/>
    <w:rsid w:val="69C20CD7"/>
    <w:rsid w:val="69C27621"/>
    <w:rsid w:val="69C2DCD1"/>
    <w:rsid w:val="69C34018"/>
    <w:rsid w:val="69C3425B"/>
    <w:rsid w:val="69C3BF9C"/>
    <w:rsid w:val="69C4799D"/>
    <w:rsid w:val="69C49C5B"/>
    <w:rsid w:val="69C599DA"/>
    <w:rsid w:val="69C5D9A6"/>
    <w:rsid w:val="69C64AE0"/>
    <w:rsid w:val="69C6866F"/>
    <w:rsid w:val="69C71361"/>
    <w:rsid w:val="69C7ED16"/>
    <w:rsid w:val="69CA5A73"/>
    <w:rsid w:val="69CA7861"/>
    <w:rsid w:val="69CAB301"/>
    <w:rsid w:val="69CB4A11"/>
    <w:rsid w:val="69CB7501"/>
    <w:rsid w:val="69CC49B9"/>
    <w:rsid w:val="69CC76EC"/>
    <w:rsid w:val="69CC86E4"/>
    <w:rsid w:val="69CCF050"/>
    <w:rsid w:val="69CD3517"/>
    <w:rsid w:val="69CD40C1"/>
    <w:rsid w:val="69CD48A4"/>
    <w:rsid w:val="69CD6B10"/>
    <w:rsid w:val="69CE531C"/>
    <w:rsid w:val="69CFC7CA"/>
    <w:rsid w:val="69CFE2B5"/>
    <w:rsid w:val="69D0CE3A"/>
    <w:rsid w:val="69D0EFAF"/>
    <w:rsid w:val="69D18A05"/>
    <w:rsid w:val="69D37168"/>
    <w:rsid w:val="69D43FC1"/>
    <w:rsid w:val="69D441D1"/>
    <w:rsid w:val="69D441D3"/>
    <w:rsid w:val="69D46BAA"/>
    <w:rsid w:val="69D47ED5"/>
    <w:rsid w:val="69D488E4"/>
    <w:rsid w:val="69D49899"/>
    <w:rsid w:val="69D5280B"/>
    <w:rsid w:val="69D621E3"/>
    <w:rsid w:val="69D7AE75"/>
    <w:rsid w:val="69D7B233"/>
    <w:rsid w:val="69D8BA63"/>
    <w:rsid w:val="69D909A0"/>
    <w:rsid w:val="69DA9A36"/>
    <w:rsid w:val="69DAC23A"/>
    <w:rsid w:val="69DB3BB8"/>
    <w:rsid w:val="69DB449E"/>
    <w:rsid w:val="69DB5FDF"/>
    <w:rsid w:val="69DB67FA"/>
    <w:rsid w:val="69DC57D3"/>
    <w:rsid w:val="69DC8D75"/>
    <w:rsid w:val="69DCEA88"/>
    <w:rsid w:val="69DE5CDF"/>
    <w:rsid w:val="69DEE0D9"/>
    <w:rsid w:val="69DEF01F"/>
    <w:rsid w:val="69DF4DDE"/>
    <w:rsid w:val="69E11FFF"/>
    <w:rsid w:val="69E16E8E"/>
    <w:rsid w:val="69E17A17"/>
    <w:rsid w:val="69E1C130"/>
    <w:rsid w:val="69E209E5"/>
    <w:rsid w:val="69E2509E"/>
    <w:rsid w:val="69E29395"/>
    <w:rsid w:val="69E2F364"/>
    <w:rsid w:val="69E682EB"/>
    <w:rsid w:val="69E71304"/>
    <w:rsid w:val="69E893D7"/>
    <w:rsid w:val="69E8A073"/>
    <w:rsid w:val="69E9FF4E"/>
    <w:rsid w:val="69EAD0B0"/>
    <w:rsid w:val="69EB25D5"/>
    <w:rsid w:val="69EC2A31"/>
    <w:rsid w:val="69EC7A44"/>
    <w:rsid w:val="69ECF14F"/>
    <w:rsid w:val="69ED6425"/>
    <w:rsid w:val="69EF1949"/>
    <w:rsid w:val="69EF33EF"/>
    <w:rsid w:val="69EFC416"/>
    <w:rsid w:val="69EFF8A5"/>
    <w:rsid w:val="69F03C43"/>
    <w:rsid w:val="69F16A7B"/>
    <w:rsid w:val="69F1B170"/>
    <w:rsid w:val="69F25B39"/>
    <w:rsid w:val="69F25F25"/>
    <w:rsid w:val="69F3769F"/>
    <w:rsid w:val="69F4BCEE"/>
    <w:rsid w:val="69F5B04C"/>
    <w:rsid w:val="69F63CD1"/>
    <w:rsid w:val="69F85DEB"/>
    <w:rsid w:val="69F9B058"/>
    <w:rsid w:val="69F9EDB4"/>
    <w:rsid w:val="69FAE28B"/>
    <w:rsid w:val="69FB3E13"/>
    <w:rsid w:val="69FC26BF"/>
    <w:rsid w:val="69FD624C"/>
    <w:rsid w:val="69FE0F76"/>
    <w:rsid w:val="69FE81F0"/>
    <w:rsid w:val="69FF5651"/>
    <w:rsid w:val="69FFADA4"/>
    <w:rsid w:val="6A001EE0"/>
    <w:rsid w:val="6A0076E0"/>
    <w:rsid w:val="6A0085A3"/>
    <w:rsid w:val="6A00D944"/>
    <w:rsid w:val="6A01146E"/>
    <w:rsid w:val="6A013214"/>
    <w:rsid w:val="6A013CE2"/>
    <w:rsid w:val="6A01B653"/>
    <w:rsid w:val="6A023B1C"/>
    <w:rsid w:val="6A036952"/>
    <w:rsid w:val="6A03B4F8"/>
    <w:rsid w:val="6A03FD2D"/>
    <w:rsid w:val="6A04723A"/>
    <w:rsid w:val="6A04C5C6"/>
    <w:rsid w:val="6A053CCC"/>
    <w:rsid w:val="6A05A121"/>
    <w:rsid w:val="6A05B67F"/>
    <w:rsid w:val="6A066919"/>
    <w:rsid w:val="6A077033"/>
    <w:rsid w:val="6A077985"/>
    <w:rsid w:val="6A078D04"/>
    <w:rsid w:val="6A0868BF"/>
    <w:rsid w:val="6A09A7E9"/>
    <w:rsid w:val="6A0A0326"/>
    <w:rsid w:val="6A0A2654"/>
    <w:rsid w:val="6A0A5C50"/>
    <w:rsid w:val="6A0A6074"/>
    <w:rsid w:val="6A0CD9F7"/>
    <w:rsid w:val="6A0D1879"/>
    <w:rsid w:val="6A0D73BA"/>
    <w:rsid w:val="6A0DFE63"/>
    <w:rsid w:val="6A0E77F2"/>
    <w:rsid w:val="6A0F3180"/>
    <w:rsid w:val="6A0FA160"/>
    <w:rsid w:val="6A102018"/>
    <w:rsid w:val="6A109E1D"/>
    <w:rsid w:val="6A10F58C"/>
    <w:rsid w:val="6A11C685"/>
    <w:rsid w:val="6A121865"/>
    <w:rsid w:val="6A141F0B"/>
    <w:rsid w:val="6A144518"/>
    <w:rsid w:val="6A15244B"/>
    <w:rsid w:val="6A15B69F"/>
    <w:rsid w:val="6A15C498"/>
    <w:rsid w:val="6A15F11D"/>
    <w:rsid w:val="6A163DC1"/>
    <w:rsid w:val="6A16E703"/>
    <w:rsid w:val="6A17ED34"/>
    <w:rsid w:val="6A180578"/>
    <w:rsid w:val="6A183124"/>
    <w:rsid w:val="6A18576C"/>
    <w:rsid w:val="6A1C1C00"/>
    <w:rsid w:val="6A1DE93B"/>
    <w:rsid w:val="6A1E541F"/>
    <w:rsid w:val="6A1E7697"/>
    <w:rsid w:val="6A1F22C3"/>
    <w:rsid w:val="6A1FC3E9"/>
    <w:rsid w:val="6A201FEE"/>
    <w:rsid w:val="6A21BB0F"/>
    <w:rsid w:val="6A21F959"/>
    <w:rsid w:val="6A2358D4"/>
    <w:rsid w:val="6A23BA95"/>
    <w:rsid w:val="6A248A19"/>
    <w:rsid w:val="6A248FF8"/>
    <w:rsid w:val="6A24F6B2"/>
    <w:rsid w:val="6A26C6BB"/>
    <w:rsid w:val="6A279D3D"/>
    <w:rsid w:val="6A28B5A3"/>
    <w:rsid w:val="6A28D8E2"/>
    <w:rsid w:val="6A296A68"/>
    <w:rsid w:val="6A2A09CC"/>
    <w:rsid w:val="6A2A76CB"/>
    <w:rsid w:val="6A2BDAA1"/>
    <w:rsid w:val="6A2D60DF"/>
    <w:rsid w:val="6A2E02D0"/>
    <w:rsid w:val="6A2E5BE0"/>
    <w:rsid w:val="6A2EA2BB"/>
    <w:rsid w:val="6A2EB8F1"/>
    <w:rsid w:val="6A2F040E"/>
    <w:rsid w:val="6A2FD623"/>
    <w:rsid w:val="6A324D29"/>
    <w:rsid w:val="6A330121"/>
    <w:rsid w:val="6A332157"/>
    <w:rsid w:val="6A333B72"/>
    <w:rsid w:val="6A358D7B"/>
    <w:rsid w:val="6A36329D"/>
    <w:rsid w:val="6A36506B"/>
    <w:rsid w:val="6A365FE8"/>
    <w:rsid w:val="6A37FAFA"/>
    <w:rsid w:val="6A389E3A"/>
    <w:rsid w:val="6A38ADB8"/>
    <w:rsid w:val="6A38E749"/>
    <w:rsid w:val="6A398DB8"/>
    <w:rsid w:val="6A3A1467"/>
    <w:rsid w:val="6A3AEB4D"/>
    <w:rsid w:val="6A3C8C78"/>
    <w:rsid w:val="6A3D0A1E"/>
    <w:rsid w:val="6A3D4C47"/>
    <w:rsid w:val="6A3D6491"/>
    <w:rsid w:val="6A3EDB6C"/>
    <w:rsid w:val="6A3EF106"/>
    <w:rsid w:val="6A3FC285"/>
    <w:rsid w:val="6A40498F"/>
    <w:rsid w:val="6A40597D"/>
    <w:rsid w:val="6A40A948"/>
    <w:rsid w:val="6A419D6D"/>
    <w:rsid w:val="6A41E789"/>
    <w:rsid w:val="6A428F5A"/>
    <w:rsid w:val="6A43205E"/>
    <w:rsid w:val="6A434230"/>
    <w:rsid w:val="6A44C54B"/>
    <w:rsid w:val="6A44C5FD"/>
    <w:rsid w:val="6A44CB59"/>
    <w:rsid w:val="6A452182"/>
    <w:rsid w:val="6A478991"/>
    <w:rsid w:val="6A47906F"/>
    <w:rsid w:val="6A47E0D4"/>
    <w:rsid w:val="6A486318"/>
    <w:rsid w:val="6A491AE7"/>
    <w:rsid w:val="6A498898"/>
    <w:rsid w:val="6A4A170B"/>
    <w:rsid w:val="6A4A2F48"/>
    <w:rsid w:val="6A4B3923"/>
    <w:rsid w:val="6A4B65EA"/>
    <w:rsid w:val="6A4C3BA1"/>
    <w:rsid w:val="6A4C9207"/>
    <w:rsid w:val="6A4CAE9E"/>
    <w:rsid w:val="6A4D2DA4"/>
    <w:rsid w:val="6A4DB598"/>
    <w:rsid w:val="6A4DD355"/>
    <w:rsid w:val="6A4E34AC"/>
    <w:rsid w:val="6A4E958F"/>
    <w:rsid w:val="6A4F4B0D"/>
    <w:rsid w:val="6A4FFB4E"/>
    <w:rsid w:val="6A521AE1"/>
    <w:rsid w:val="6A52354F"/>
    <w:rsid w:val="6A5251A7"/>
    <w:rsid w:val="6A5377E8"/>
    <w:rsid w:val="6A5443FE"/>
    <w:rsid w:val="6A54D1A7"/>
    <w:rsid w:val="6A55064E"/>
    <w:rsid w:val="6A561A2A"/>
    <w:rsid w:val="6A563D21"/>
    <w:rsid w:val="6A56F420"/>
    <w:rsid w:val="6A57505E"/>
    <w:rsid w:val="6A57E5FC"/>
    <w:rsid w:val="6A58CA15"/>
    <w:rsid w:val="6A594658"/>
    <w:rsid w:val="6A594C49"/>
    <w:rsid w:val="6A5AB108"/>
    <w:rsid w:val="6A5AD0D2"/>
    <w:rsid w:val="6A5AF1BC"/>
    <w:rsid w:val="6A5B2232"/>
    <w:rsid w:val="6A5B32DF"/>
    <w:rsid w:val="6A5BA206"/>
    <w:rsid w:val="6A5BB223"/>
    <w:rsid w:val="6A5C47DF"/>
    <w:rsid w:val="6A5C6122"/>
    <w:rsid w:val="6A5C9120"/>
    <w:rsid w:val="6A5E348A"/>
    <w:rsid w:val="6A5E6A88"/>
    <w:rsid w:val="6A5E6EE7"/>
    <w:rsid w:val="6A611F96"/>
    <w:rsid w:val="6A613FEE"/>
    <w:rsid w:val="6A626E9E"/>
    <w:rsid w:val="6A62A393"/>
    <w:rsid w:val="6A62AB11"/>
    <w:rsid w:val="6A630C8A"/>
    <w:rsid w:val="6A6357BE"/>
    <w:rsid w:val="6A6440B1"/>
    <w:rsid w:val="6A64973A"/>
    <w:rsid w:val="6A65EB43"/>
    <w:rsid w:val="6A666789"/>
    <w:rsid w:val="6A66BA08"/>
    <w:rsid w:val="6A674263"/>
    <w:rsid w:val="6A67E47E"/>
    <w:rsid w:val="6A695B9F"/>
    <w:rsid w:val="6A69E370"/>
    <w:rsid w:val="6A6A6932"/>
    <w:rsid w:val="6A6B26C4"/>
    <w:rsid w:val="6A6C6ADC"/>
    <w:rsid w:val="6A6C9160"/>
    <w:rsid w:val="6A6C9CE0"/>
    <w:rsid w:val="6A6DC859"/>
    <w:rsid w:val="6A6EF36A"/>
    <w:rsid w:val="6A70762D"/>
    <w:rsid w:val="6A7123CA"/>
    <w:rsid w:val="6A721204"/>
    <w:rsid w:val="6A723DBB"/>
    <w:rsid w:val="6A72D71B"/>
    <w:rsid w:val="6A72DFAE"/>
    <w:rsid w:val="6A734FA7"/>
    <w:rsid w:val="6A737BDB"/>
    <w:rsid w:val="6A738859"/>
    <w:rsid w:val="6A73DD95"/>
    <w:rsid w:val="6A75172B"/>
    <w:rsid w:val="6A757EE5"/>
    <w:rsid w:val="6A75B7DB"/>
    <w:rsid w:val="6A7747B1"/>
    <w:rsid w:val="6A790194"/>
    <w:rsid w:val="6A7A0D65"/>
    <w:rsid w:val="6A7A1911"/>
    <w:rsid w:val="6A7AF88A"/>
    <w:rsid w:val="6A7B1EB6"/>
    <w:rsid w:val="6A7C13D6"/>
    <w:rsid w:val="6A7DE802"/>
    <w:rsid w:val="6A7E623E"/>
    <w:rsid w:val="6A7FEF04"/>
    <w:rsid w:val="6A80304E"/>
    <w:rsid w:val="6A80E1D9"/>
    <w:rsid w:val="6A827263"/>
    <w:rsid w:val="6A82A387"/>
    <w:rsid w:val="6A8376F0"/>
    <w:rsid w:val="6A83B4D8"/>
    <w:rsid w:val="6A83BAF5"/>
    <w:rsid w:val="6A83CAD7"/>
    <w:rsid w:val="6A84041E"/>
    <w:rsid w:val="6A845525"/>
    <w:rsid w:val="6A84AC85"/>
    <w:rsid w:val="6A84AD31"/>
    <w:rsid w:val="6A863BFE"/>
    <w:rsid w:val="6A865F84"/>
    <w:rsid w:val="6A868076"/>
    <w:rsid w:val="6A86A903"/>
    <w:rsid w:val="6A875976"/>
    <w:rsid w:val="6A87D479"/>
    <w:rsid w:val="6A88535E"/>
    <w:rsid w:val="6A88A5F3"/>
    <w:rsid w:val="6A891D2C"/>
    <w:rsid w:val="6A8A14A0"/>
    <w:rsid w:val="6A8A2D1F"/>
    <w:rsid w:val="6A8A4BE8"/>
    <w:rsid w:val="6A8B19B7"/>
    <w:rsid w:val="6A8B50FD"/>
    <w:rsid w:val="6A8BBB4F"/>
    <w:rsid w:val="6A8C1FE5"/>
    <w:rsid w:val="6A8C339D"/>
    <w:rsid w:val="6A8C42BC"/>
    <w:rsid w:val="6A8C7F77"/>
    <w:rsid w:val="6A8DD481"/>
    <w:rsid w:val="6A8EF224"/>
    <w:rsid w:val="6A8F3634"/>
    <w:rsid w:val="6A8F6837"/>
    <w:rsid w:val="6A8F6CF0"/>
    <w:rsid w:val="6A8F9922"/>
    <w:rsid w:val="6A8FFBBE"/>
    <w:rsid w:val="6A9067CB"/>
    <w:rsid w:val="6A90EEFC"/>
    <w:rsid w:val="6A915D9D"/>
    <w:rsid w:val="6A91729E"/>
    <w:rsid w:val="6A918670"/>
    <w:rsid w:val="6A938940"/>
    <w:rsid w:val="6A9390A3"/>
    <w:rsid w:val="6A93C3E2"/>
    <w:rsid w:val="6A951CA2"/>
    <w:rsid w:val="6A95BF74"/>
    <w:rsid w:val="6A96C104"/>
    <w:rsid w:val="6A970FA8"/>
    <w:rsid w:val="6A972B88"/>
    <w:rsid w:val="6A97D82F"/>
    <w:rsid w:val="6A9956BA"/>
    <w:rsid w:val="6A99C272"/>
    <w:rsid w:val="6A9A44F1"/>
    <w:rsid w:val="6A9C5762"/>
    <w:rsid w:val="6A9C7BA4"/>
    <w:rsid w:val="6A9D40A8"/>
    <w:rsid w:val="6A9DCC8C"/>
    <w:rsid w:val="6A9DF22C"/>
    <w:rsid w:val="6A9E4622"/>
    <w:rsid w:val="6A9E5EBE"/>
    <w:rsid w:val="6A9E7764"/>
    <w:rsid w:val="6A9E9470"/>
    <w:rsid w:val="6A9EB48A"/>
    <w:rsid w:val="6A9EE79D"/>
    <w:rsid w:val="6A9F596B"/>
    <w:rsid w:val="6A9FD4CD"/>
    <w:rsid w:val="6AA0174D"/>
    <w:rsid w:val="6AA16E15"/>
    <w:rsid w:val="6AA1DD0A"/>
    <w:rsid w:val="6AA216DB"/>
    <w:rsid w:val="6AA40233"/>
    <w:rsid w:val="6AA45F96"/>
    <w:rsid w:val="6AA738C3"/>
    <w:rsid w:val="6AA75120"/>
    <w:rsid w:val="6AA7974F"/>
    <w:rsid w:val="6AA81DF2"/>
    <w:rsid w:val="6AA8E82A"/>
    <w:rsid w:val="6AA9B41B"/>
    <w:rsid w:val="6AA9C268"/>
    <w:rsid w:val="6AABE20A"/>
    <w:rsid w:val="6AAC5CF0"/>
    <w:rsid w:val="6AAD2B01"/>
    <w:rsid w:val="6AAE3071"/>
    <w:rsid w:val="6AAEA9E2"/>
    <w:rsid w:val="6AAF134E"/>
    <w:rsid w:val="6AAF8897"/>
    <w:rsid w:val="6AAFE5AA"/>
    <w:rsid w:val="6AB055BE"/>
    <w:rsid w:val="6AB06D9F"/>
    <w:rsid w:val="6AB0855F"/>
    <w:rsid w:val="6AB0A40E"/>
    <w:rsid w:val="6AB0D49C"/>
    <w:rsid w:val="6AB123CE"/>
    <w:rsid w:val="6AB1E828"/>
    <w:rsid w:val="6AB24A83"/>
    <w:rsid w:val="6AB299CA"/>
    <w:rsid w:val="6AB3C589"/>
    <w:rsid w:val="6AB4B270"/>
    <w:rsid w:val="6AB54A60"/>
    <w:rsid w:val="6AB58A5F"/>
    <w:rsid w:val="6AB63227"/>
    <w:rsid w:val="6AB7075D"/>
    <w:rsid w:val="6AB763C9"/>
    <w:rsid w:val="6AB78460"/>
    <w:rsid w:val="6AB8B771"/>
    <w:rsid w:val="6AB8B9E0"/>
    <w:rsid w:val="6AB8E2D0"/>
    <w:rsid w:val="6ABADB63"/>
    <w:rsid w:val="6ABBA69F"/>
    <w:rsid w:val="6ABBDA23"/>
    <w:rsid w:val="6ABC0F4A"/>
    <w:rsid w:val="6ABCAB24"/>
    <w:rsid w:val="6ABDB7AF"/>
    <w:rsid w:val="6ABDE4FF"/>
    <w:rsid w:val="6ABE07B0"/>
    <w:rsid w:val="6ABE50E5"/>
    <w:rsid w:val="6ABEF611"/>
    <w:rsid w:val="6ABF24AD"/>
    <w:rsid w:val="6ABF36CF"/>
    <w:rsid w:val="6ABFC8C6"/>
    <w:rsid w:val="6AC02C92"/>
    <w:rsid w:val="6AC07032"/>
    <w:rsid w:val="6AC28E4C"/>
    <w:rsid w:val="6AC39606"/>
    <w:rsid w:val="6AC54C58"/>
    <w:rsid w:val="6AC5C103"/>
    <w:rsid w:val="6AC62F5F"/>
    <w:rsid w:val="6AC7AB53"/>
    <w:rsid w:val="6AC829A2"/>
    <w:rsid w:val="6AC87BE3"/>
    <w:rsid w:val="6AC904AA"/>
    <w:rsid w:val="6ACA5F31"/>
    <w:rsid w:val="6ACAB71F"/>
    <w:rsid w:val="6ACAE859"/>
    <w:rsid w:val="6ACB1A69"/>
    <w:rsid w:val="6ACBC15A"/>
    <w:rsid w:val="6ACC09DE"/>
    <w:rsid w:val="6ACC4D69"/>
    <w:rsid w:val="6ACCD945"/>
    <w:rsid w:val="6ACCFF24"/>
    <w:rsid w:val="6ACD6BDE"/>
    <w:rsid w:val="6ACDB15E"/>
    <w:rsid w:val="6ACDC48C"/>
    <w:rsid w:val="6ACE0A26"/>
    <w:rsid w:val="6ACE1207"/>
    <w:rsid w:val="6ACE1824"/>
    <w:rsid w:val="6ACE4D8F"/>
    <w:rsid w:val="6ACF7516"/>
    <w:rsid w:val="6ACF880D"/>
    <w:rsid w:val="6AD02341"/>
    <w:rsid w:val="6AD07645"/>
    <w:rsid w:val="6AD0B9B5"/>
    <w:rsid w:val="6AD19708"/>
    <w:rsid w:val="6AD1A488"/>
    <w:rsid w:val="6AD2082C"/>
    <w:rsid w:val="6AD22731"/>
    <w:rsid w:val="6AD2B5DF"/>
    <w:rsid w:val="6AD3309A"/>
    <w:rsid w:val="6AD36B2F"/>
    <w:rsid w:val="6AD3E928"/>
    <w:rsid w:val="6AD3EFB4"/>
    <w:rsid w:val="6AD4307E"/>
    <w:rsid w:val="6AD4732F"/>
    <w:rsid w:val="6AD51636"/>
    <w:rsid w:val="6AD5D35E"/>
    <w:rsid w:val="6AD83119"/>
    <w:rsid w:val="6AD848E0"/>
    <w:rsid w:val="6AD8BDAF"/>
    <w:rsid w:val="6AD94297"/>
    <w:rsid w:val="6AD9E1BF"/>
    <w:rsid w:val="6ADC56CA"/>
    <w:rsid w:val="6ADCCFE5"/>
    <w:rsid w:val="6ADCF25F"/>
    <w:rsid w:val="6ADD56B1"/>
    <w:rsid w:val="6ADE0BED"/>
    <w:rsid w:val="6ADE644B"/>
    <w:rsid w:val="6ADEE61A"/>
    <w:rsid w:val="6ADF4ABA"/>
    <w:rsid w:val="6AE04A60"/>
    <w:rsid w:val="6AE136E9"/>
    <w:rsid w:val="6AE28143"/>
    <w:rsid w:val="6AE397AF"/>
    <w:rsid w:val="6AE3D419"/>
    <w:rsid w:val="6AE459AD"/>
    <w:rsid w:val="6AE48226"/>
    <w:rsid w:val="6AE5BDF5"/>
    <w:rsid w:val="6AE65B25"/>
    <w:rsid w:val="6AE6E3A1"/>
    <w:rsid w:val="6AE73838"/>
    <w:rsid w:val="6AE82BCF"/>
    <w:rsid w:val="6AE8F268"/>
    <w:rsid w:val="6AE96E38"/>
    <w:rsid w:val="6AE9FE52"/>
    <w:rsid w:val="6AEA704F"/>
    <w:rsid w:val="6AEACF1C"/>
    <w:rsid w:val="6AEC65DE"/>
    <w:rsid w:val="6AECA155"/>
    <w:rsid w:val="6AECAE33"/>
    <w:rsid w:val="6AEEA8AC"/>
    <w:rsid w:val="6AEF3262"/>
    <w:rsid w:val="6AF01D88"/>
    <w:rsid w:val="6AF14AA3"/>
    <w:rsid w:val="6AF21EAA"/>
    <w:rsid w:val="6AF2A98C"/>
    <w:rsid w:val="6AF2D98C"/>
    <w:rsid w:val="6AF33BFF"/>
    <w:rsid w:val="6AF373D5"/>
    <w:rsid w:val="6AF4075C"/>
    <w:rsid w:val="6AF49350"/>
    <w:rsid w:val="6AF4B149"/>
    <w:rsid w:val="6AF51F8D"/>
    <w:rsid w:val="6AF5A8FC"/>
    <w:rsid w:val="6AF6B397"/>
    <w:rsid w:val="6AF6CA08"/>
    <w:rsid w:val="6AF6D8C3"/>
    <w:rsid w:val="6AF76FA2"/>
    <w:rsid w:val="6AF7CFFF"/>
    <w:rsid w:val="6AF831FD"/>
    <w:rsid w:val="6AF93280"/>
    <w:rsid w:val="6AF93347"/>
    <w:rsid w:val="6AF9BC04"/>
    <w:rsid w:val="6AFA44F4"/>
    <w:rsid w:val="6AFA4571"/>
    <w:rsid w:val="6AFA5819"/>
    <w:rsid w:val="6AFA5D27"/>
    <w:rsid w:val="6AFAA26C"/>
    <w:rsid w:val="6AFABA4A"/>
    <w:rsid w:val="6AFB3062"/>
    <w:rsid w:val="6AFB9EC5"/>
    <w:rsid w:val="6AFC398C"/>
    <w:rsid w:val="6AFC82A8"/>
    <w:rsid w:val="6AFC92BE"/>
    <w:rsid w:val="6AFCA613"/>
    <w:rsid w:val="6AFCA7B8"/>
    <w:rsid w:val="6AFCD782"/>
    <w:rsid w:val="6AFD4B62"/>
    <w:rsid w:val="6AFDA202"/>
    <w:rsid w:val="6AFE576F"/>
    <w:rsid w:val="6AFE7095"/>
    <w:rsid w:val="6AFE8EA2"/>
    <w:rsid w:val="6AFEB307"/>
    <w:rsid w:val="6B006E60"/>
    <w:rsid w:val="6B013CA0"/>
    <w:rsid w:val="6B01C4FA"/>
    <w:rsid w:val="6B042007"/>
    <w:rsid w:val="6B04D0E5"/>
    <w:rsid w:val="6B04EFE9"/>
    <w:rsid w:val="6B055DC2"/>
    <w:rsid w:val="6B0574EA"/>
    <w:rsid w:val="6B058828"/>
    <w:rsid w:val="6B05D825"/>
    <w:rsid w:val="6B05FAE4"/>
    <w:rsid w:val="6B0646F4"/>
    <w:rsid w:val="6B06CA4B"/>
    <w:rsid w:val="6B06F2E9"/>
    <w:rsid w:val="6B0776F0"/>
    <w:rsid w:val="6B07978C"/>
    <w:rsid w:val="6B07BB3C"/>
    <w:rsid w:val="6B07BF31"/>
    <w:rsid w:val="6B08A5A0"/>
    <w:rsid w:val="6B0A080E"/>
    <w:rsid w:val="6B0A5AB1"/>
    <w:rsid w:val="6B0AA1AC"/>
    <w:rsid w:val="6B0AA449"/>
    <w:rsid w:val="6B0B6155"/>
    <w:rsid w:val="6B0B92DE"/>
    <w:rsid w:val="6B0BAF1A"/>
    <w:rsid w:val="6B0BEC35"/>
    <w:rsid w:val="6B0C843D"/>
    <w:rsid w:val="6B0C8D45"/>
    <w:rsid w:val="6B0CEFDE"/>
    <w:rsid w:val="6B0DC426"/>
    <w:rsid w:val="6B0DDA56"/>
    <w:rsid w:val="6B0F1F70"/>
    <w:rsid w:val="6B0F2CAF"/>
    <w:rsid w:val="6B0F9287"/>
    <w:rsid w:val="6B10335F"/>
    <w:rsid w:val="6B11E1F7"/>
    <w:rsid w:val="6B136B1D"/>
    <w:rsid w:val="6B15217D"/>
    <w:rsid w:val="6B15F7DA"/>
    <w:rsid w:val="6B165A0E"/>
    <w:rsid w:val="6B186A65"/>
    <w:rsid w:val="6B189F51"/>
    <w:rsid w:val="6B18F409"/>
    <w:rsid w:val="6B1BF730"/>
    <w:rsid w:val="6B1D04E3"/>
    <w:rsid w:val="6B1D216F"/>
    <w:rsid w:val="6B1E0EAA"/>
    <w:rsid w:val="6B1EC147"/>
    <w:rsid w:val="6B1F55BC"/>
    <w:rsid w:val="6B201D19"/>
    <w:rsid w:val="6B2053DB"/>
    <w:rsid w:val="6B21D420"/>
    <w:rsid w:val="6B21DC29"/>
    <w:rsid w:val="6B224D72"/>
    <w:rsid w:val="6B23C03F"/>
    <w:rsid w:val="6B246D36"/>
    <w:rsid w:val="6B24C9DE"/>
    <w:rsid w:val="6B25C153"/>
    <w:rsid w:val="6B25D11C"/>
    <w:rsid w:val="6B25F4A5"/>
    <w:rsid w:val="6B26194E"/>
    <w:rsid w:val="6B2705BB"/>
    <w:rsid w:val="6B273E62"/>
    <w:rsid w:val="6B27D32A"/>
    <w:rsid w:val="6B284F4E"/>
    <w:rsid w:val="6B287F73"/>
    <w:rsid w:val="6B291A77"/>
    <w:rsid w:val="6B2985F8"/>
    <w:rsid w:val="6B29C2D8"/>
    <w:rsid w:val="6B29DF68"/>
    <w:rsid w:val="6B2A1FCE"/>
    <w:rsid w:val="6B2BADE0"/>
    <w:rsid w:val="6B2BED37"/>
    <w:rsid w:val="6B2C508D"/>
    <w:rsid w:val="6B2DE4D0"/>
    <w:rsid w:val="6B2E00DC"/>
    <w:rsid w:val="6B2EAAC0"/>
    <w:rsid w:val="6B2F0DF8"/>
    <w:rsid w:val="6B2F4B61"/>
    <w:rsid w:val="6B2F5F1B"/>
    <w:rsid w:val="6B2F9A55"/>
    <w:rsid w:val="6B2FB2E6"/>
    <w:rsid w:val="6B304931"/>
    <w:rsid w:val="6B30843E"/>
    <w:rsid w:val="6B314AFD"/>
    <w:rsid w:val="6B31EDFD"/>
    <w:rsid w:val="6B31F25C"/>
    <w:rsid w:val="6B329560"/>
    <w:rsid w:val="6B32C699"/>
    <w:rsid w:val="6B335793"/>
    <w:rsid w:val="6B3369BA"/>
    <w:rsid w:val="6B33CD80"/>
    <w:rsid w:val="6B340866"/>
    <w:rsid w:val="6B34C866"/>
    <w:rsid w:val="6B36336F"/>
    <w:rsid w:val="6B3673A4"/>
    <w:rsid w:val="6B377CB0"/>
    <w:rsid w:val="6B380CCE"/>
    <w:rsid w:val="6B385FB4"/>
    <w:rsid w:val="6B3884BD"/>
    <w:rsid w:val="6B38F7B0"/>
    <w:rsid w:val="6B39A670"/>
    <w:rsid w:val="6B3B2E8D"/>
    <w:rsid w:val="6B3BF663"/>
    <w:rsid w:val="6B3C604A"/>
    <w:rsid w:val="6B3CD3FB"/>
    <w:rsid w:val="6B3DD374"/>
    <w:rsid w:val="6B3EF492"/>
    <w:rsid w:val="6B3F45E4"/>
    <w:rsid w:val="6B40FC51"/>
    <w:rsid w:val="6B41256F"/>
    <w:rsid w:val="6B413623"/>
    <w:rsid w:val="6B4342E3"/>
    <w:rsid w:val="6B434E4A"/>
    <w:rsid w:val="6B438510"/>
    <w:rsid w:val="6B44CCA5"/>
    <w:rsid w:val="6B45C184"/>
    <w:rsid w:val="6B45D864"/>
    <w:rsid w:val="6B467A77"/>
    <w:rsid w:val="6B46E310"/>
    <w:rsid w:val="6B4773C0"/>
    <w:rsid w:val="6B47E7F0"/>
    <w:rsid w:val="6B4854A7"/>
    <w:rsid w:val="6B487290"/>
    <w:rsid w:val="6B487810"/>
    <w:rsid w:val="6B487A56"/>
    <w:rsid w:val="6B4898E4"/>
    <w:rsid w:val="6B49DE2C"/>
    <w:rsid w:val="6B4A009B"/>
    <w:rsid w:val="6B4A5875"/>
    <w:rsid w:val="6B4B89DB"/>
    <w:rsid w:val="6B4BE968"/>
    <w:rsid w:val="6B4BFB00"/>
    <w:rsid w:val="6B4C2E43"/>
    <w:rsid w:val="6B4C481E"/>
    <w:rsid w:val="6B4C6D59"/>
    <w:rsid w:val="6B4CDA14"/>
    <w:rsid w:val="6B4D3755"/>
    <w:rsid w:val="6B4D4841"/>
    <w:rsid w:val="6B4DF2F2"/>
    <w:rsid w:val="6B4E440B"/>
    <w:rsid w:val="6B4FEBAF"/>
    <w:rsid w:val="6B501CBA"/>
    <w:rsid w:val="6B5032C6"/>
    <w:rsid w:val="6B50973F"/>
    <w:rsid w:val="6B50FCBD"/>
    <w:rsid w:val="6B51F118"/>
    <w:rsid w:val="6B5216BE"/>
    <w:rsid w:val="6B52CFF8"/>
    <w:rsid w:val="6B53493F"/>
    <w:rsid w:val="6B53D967"/>
    <w:rsid w:val="6B55AFA6"/>
    <w:rsid w:val="6B55FCBE"/>
    <w:rsid w:val="6B565CDA"/>
    <w:rsid w:val="6B5749D0"/>
    <w:rsid w:val="6B58482A"/>
    <w:rsid w:val="6B58C93E"/>
    <w:rsid w:val="6B58D41F"/>
    <w:rsid w:val="6B592E66"/>
    <w:rsid w:val="6B5C5483"/>
    <w:rsid w:val="6B5CA327"/>
    <w:rsid w:val="6B5D53B5"/>
    <w:rsid w:val="6B5DD1C2"/>
    <w:rsid w:val="6B5DF9D1"/>
    <w:rsid w:val="6B5E0D49"/>
    <w:rsid w:val="6B5E3560"/>
    <w:rsid w:val="6B5EEAA7"/>
    <w:rsid w:val="6B5F4E76"/>
    <w:rsid w:val="6B609BE4"/>
    <w:rsid w:val="6B60CCF0"/>
    <w:rsid w:val="6B6109F9"/>
    <w:rsid w:val="6B6141F7"/>
    <w:rsid w:val="6B61D5B9"/>
    <w:rsid w:val="6B62237F"/>
    <w:rsid w:val="6B62F184"/>
    <w:rsid w:val="6B631A11"/>
    <w:rsid w:val="6B632FE2"/>
    <w:rsid w:val="6B63FCEA"/>
    <w:rsid w:val="6B642FEC"/>
    <w:rsid w:val="6B644C64"/>
    <w:rsid w:val="6B64EA78"/>
    <w:rsid w:val="6B66228C"/>
    <w:rsid w:val="6B66A9A5"/>
    <w:rsid w:val="6B66B905"/>
    <w:rsid w:val="6B66D45A"/>
    <w:rsid w:val="6B670A69"/>
    <w:rsid w:val="6B673F46"/>
    <w:rsid w:val="6B681D23"/>
    <w:rsid w:val="6B68F45E"/>
    <w:rsid w:val="6B691A22"/>
    <w:rsid w:val="6B6988A6"/>
    <w:rsid w:val="6B69DD44"/>
    <w:rsid w:val="6B6A6CAF"/>
    <w:rsid w:val="6B6B0368"/>
    <w:rsid w:val="6B6B3C10"/>
    <w:rsid w:val="6B6BC0A5"/>
    <w:rsid w:val="6B6C6B9D"/>
    <w:rsid w:val="6B6C9F9E"/>
    <w:rsid w:val="6B6CBB76"/>
    <w:rsid w:val="6B6D09E3"/>
    <w:rsid w:val="6B6D4248"/>
    <w:rsid w:val="6B6DA8F6"/>
    <w:rsid w:val="6B6E936F"/>
    <w:rsid w:val="6B6F4E01"/>
    <w:rsid w:val="6B70AC4B"/>
    <w:rsid w:val="6B720E65"/>
    <w:rsid w:val="6B722923"/>
    <w:rsid w:val="6B726447"/>
    <w:rsid w:val="6B728005"/>
    <w:rsid w:val="6B729BD5"/>
    <w:rsid w:val="6B73F9EF"/>
    <w:rsid w:val="6B7408F7"/>
    <w:rsid w:val="6B74E2E1"/>
    <w:rsid w:val="6B74F830"/>
    <w:rsid w:val="6B751A84"/>
    <w:rsid w:val="6B75E055"/>
    <w:rsid w:val="6B771ADE"/>
    <w:rsid w:val="6B77397B"/>
    <w:rsid w:val="6B77AFB8"/>
    <w:rsid w:val="6B77B8E1"/>
    <w:rsid w:val="6B7847ED"/>
    <w:rsid w:val="6B789ED3"/>
    <w:rsid w:val="6B793033"/>
    <w:rsid w:val="6B7BB951"/>
    <w:rsid w:val="6B7CEA0C"/>
    <w:rsid w:val="6B7D0FC4"/>
    <w:rsid w:val="6B7D1637"/>
    <w:rsid w:val="6B7E3567"/>
    <w:rsid w:val="6B7E4F91"/>
    <w:rsid w:val="6B7EDD09"/>
    <w:rsid w:val="6B7F8BE4"/>
    <w:rsid w:val="6B800669"/>
    <w:rsid w:val="6B8146D5"/>
    <w:rsid w:val="6B818BDD"/>
    <w:rsid w:val="6B81F544"/>
    <w:rsid w:val="6B821421"/>
    <w:rsid w:val="6B82492E"/>
    <w:rsid w:val="6B839F61"/>
    <w:rsid w:val="6B83D511"/>
    <w:rsid w:val="6B83E8A0"/>
    <w:rsid w:val="6B83FC0F"/>
    <w:rsid w:val="6B84753B"/>
    <w:rsid w:val="6B84B016"/>
    <w:rsid w:val="6B85D398"/>
    <w:rsid w:val="6B8677B0"/>
    <w:rsid w:val="6B86F4F5"/>
    <w:rsid w:val="6B87B32D"/>
    <w:rsid w:val="6B880D8D"/>
    <w:rsid w:val="6B88B0F7"/>
    <w:rsid w:val="6B88FDFF"/>
    <w:rsid w:val="6B892DCB"/>
    <w:rsid w:val="6B8A06FA"/>
    <w:rsid w:val="6B8A349E"/>
    <w:rsid w:val="6B8B63CE"/>
    <w:rsid w:val="6B8BA0FE"/>
    <w:rsid w:val="6B8C9DDA"/>
    <w:rsid w:val="6B8D3694"/>
    <w:rsid w:val="6B8E4AC5"/>
    <w:rsid w:val="6B8ED66A"/>
    <w:rsid w:val="6B90414F"/>
    <w:rsid w:val="6B917C56"/>
    <w:rsid w:val="6B923923"/>
    <w:rsid w:val="6B936BC6"/>
    <w:rsid w:val="6B93D014"/>
    <w:rsid w:val="6B942E45"/>
    <w:rsid w:val="6B9452FE"/>
    <w:rsid w:val="6B95F4F8"/>
    <w:rsid w:val="6B9613C4"/>
    <w:rsid w:val="6B962A08"/>
    <w:rsid w:val="6B96D6FC"/>
    <w:rsid w:val="6B97987E"/>
    <w:rsid w:val="6B97BA36"/>
    <w:rsid w:val="6B9959EB"/>
    <w:rsid w:val="6B997F41"/>
    <w:rsid w:val="6B9986EE"/>
    <w:rsid w:val="6B9B62EC"/>
    <w:rsid w:val="6B9BCE95"/>
    <w:rsid w:val="6B9C0C23"/>
    <w:rsid w:val="6B9C6912"/>
    <w:rsid w:val="6B9C6FDD"/>
    <w:rsid w:val="6B9CA7A8"/>
    <w:rsid w:val="6B9D2CC1"/>
    <w:rsid w:val="6B9DDA8B"/>
    <w:rsid w:val="6B9E2A3F"/>
    <w:rsid w:val="6B9E4F95"/>
    <w:rsid w:val="6B9E8B63"/>
    <w:rsid w:val="6B9FD8C1"/>
    <w:rsid w:val="6BA198D8"/>
    <w:rsid w:val="6BA379E6"/>
    <w:rsid w:val="6BA3F6C8"/>
    <w:rsid w:val="6BA4E64B"/>
    <w:rsid w:val="6BA5503A"/>
    <w:rsid w:val="6BA594CE"/>
    <w:rsid w:val="6BA5959F"/>
    <w:rsid w:val="6BA6102F"/>
    <w:rsid w:val="6BA6C54B"/>
    <w:rsid w:val="6BA71935"/>
    <w:rsid w:val="6BA9824D"/>
    <w:rsid w:val="6BAA1A21"/>
    <w:rsid w:val="6BAA70D2"/>
    <w:rsid w:val="6BAA9A81"/>
    <w:rsid w:val="6BAB3FB2"/>
    <w:rsid w:val="6BACFF32"/>
    <w:rsid w:val="6BAD3AC8"/>
    <w:rsid w:val="6BAF4F1A"/>
    <w:rsid w:val="6BB01DF4"/>
    <w:rsid w:val="6BB0889F"/>
    <w:rsid w:val="6BB195C4"/>
    <w:rsid w:val="6BB1D872"/>
    <w:rsid w:val="6BB26DBC"/>
    <w:rsid w:val="6BB45BAD"/>
    <w:rsid w:val="6BB45E19"/>
    <w:rsid w:val="6BB50942"/>
    <w:rsid w:val="6BB559D6"/>
    <w:rsid w:val="6BB728D3"/>
    <w:rsid w:val="6BB74FDC"/>
    <w:rsid w:val="6BB7A365"/>
    <w:rsid w:val="6BB88655"/>
    <w:rsid w:val="6BBBC7AD"/>
    <w:rsid w:val="6BBC1BC3"/>
    <w:rsid w:val="6BBC2161"/>
    <w:rsid w:val="6BBC739B"/>
    <w:rsid w:val="6BBCE9A9"/>
    <w:rsid w:val="6BBD2D55"/>
    <w:rsid w:val="6BBE1946"/>
    <w:rsid w:val="6BBEE949"/>
    <w:rsid w:val="6BBF4AE0"/>
    <w:rsid w:val="6BBF54CA"/>
    <w:rsid w:val="6BBF663E"/>
    <w:rsid w:val="6BBF8210"/>
    <w:rsid w:val="6BBF84CB"/>
    <w:rsid w:val="6BC0509D"/>
    <w:rsid w:val="6BC06AB5"/>
    <w:rsid w:val="6BC46E51"/>
    <w:rsid w:val="6BC4B00E"/>
    <w:rsid w:val="6BC4C327"/>
    <w:rsid w:val="6BC560A9"/>
    <w:rsid w:val="6BC5C6E9"/>
    <w:rsid w:val="6BC79B74"/>
    <w:rsid w:val="6BC79C29"/>
    <w:rsid w:val="6BC7CE59"/>
    <w:rsid w:val="6BC7E684"/>
    <w:rsid w:val="6BC848B1"/>
    <w:rsid w:val="6BC906CD"/>
    <w:rsid w:val="6BCA59AC"/>
    <w:rsid w:val="6BCB91EB"/>
    <w:rsid w:val="6BCBCF00"/>
    <w:rsid w:val="6BCBD559"/>
    <w:rsid w:val="6BCBDA0B"/>
    <w:rsid w:val="6BCC8AE8"/>
    <w:rsid w:val="6BCDFC87"/>
    <w:rsid w:val="6BCE2E65"/>
    <w:rsid w:val="6BCE3699"/>
    <w:rsid w:val="6BCEF1B8"/>
    <w:rsid w:val="6BCFA550"/>
    <w:rsid w:val="6BD0E3CB"/>
    <w:rsid w:val="6BD124B6"/>
    <w:rsid w:val="6BD24796"/>
    <w:rsid w:val="6BD2FDCD"/>
    <w:rsid w:val="6BD31185"/>
    <w:rsid w:val="6BD31B3D"/>
    <w:rsid w:val="6BD45F3F"/>
    <w:rsid w:val="6BD46DDF"/>
    <w:rsid w:val="6BD491FE"/>
    <w:rsid w:val="6BD52126"/>
    <w:rsid w:val="6BD65657"/>
    <w:rsid w:val="6BD76B59"/>
    <w:rsid w:val="6BD85A79"/>
    <w:rsid w:val="6BD97FD3"/>
    <w:rsid w:val="6BDA70D6"/>
    <w:rsid w:val="6BDB8006"/>
    <w:rsid w:val="6BDC0674"/>
    <w:rsid w:val="6BDC45E2"/>
    <w:rsid w:val="6BDC8F46"/>
    <w:rsid w:val="6BDC911A"/>
    <w:rsid w:val="6BDCC592"/>
    <w:rsid w:val="6BDCDC36"/>
    <w:rsid w:val="6BDD49FD"/>
    <w:rsid w:val="6BDE73CF"/>
    <w:rsid w:val="6BDEB08A"/>
    <w:rsid w:val="6BE00CE3"/>
    <w:rsid w:val="6BE0598B"/>
    <w:rsid w:val="6BE0CC57"/>
    <w:rsid w:val="6BE15533"/>
    <w:rsid w:val="6BE29AE0"/>
    <w:rsid w:val="6BE35CDB"/>
    <w:rsid w:val="6BE3A1A6"/>
    <w:rsid w:val="6BE3D890"/>
    <w:rsid w:val="6BE42DE3"/>
    <w:rsid w:val="6BE4441C"/>
    <w:rsid w:val="6BE5AE63"/>
    <w:rsid w:val="6BE63DDE"/>
    <w:rsid w:val="6BE6C754"/>
    <w:rsid w:val="6BE6CF67"/>
    <w:rsid w:val="6BE721D2"/>
    <w:rsid w:val="6BE78EF0"/>
    <w:rsid w:val="6BE82FCC"/>
    <w:rsid w:val="6BE8B46B"/>
    <w:rsid w:val="6BEAE51C"/>
    <w:rsid w:val="6BEB6D3D"/>
    <w:rsid w:val="6BECE609"/>
    <w:rsid w:val="6BEEA905"/>
    <w:rsid w:val="6BF0EB37"/>
    <w:rsid w:val="6BF13BF7"/>
    <w:rsid w:val="6BF1465D"/>
    <w:rsid w:val="6BF1F80D"/>
    <w:rsid w:val="6BF22143"/>
    <w:rsid w:val="6BF3F1BB"/>
    <w:rsid w:val="6BF4C425"/>
    <w:rsid w:val="6BF51CAA"/>
    <w:rsid w:val="6BF5459B"/>
    <w:rsid w:val="6BF64C4E"/>
    <w:rsid w:val="6BF6CB9B"/>
    <w:rsid w:val="6BF6E0BC"/>
    <w:rsid w:val="6BF7657A"/>
    <w:rsid w:val="6BF83E3C"/>
    <w:rsid w:val="6BF86427"/>
    <w:rsid w:val="6BF91A67"/>
    <w:rsid w:val="6BF92F06"/>
    <w:rsid w:val="6BF9CEF3"/>
    <w:rsid w:val="6BF9E5CC"/>
    <w:rsid w:val="6BFA55C4"/>
    <w:rsid w:val="6BFAA522"/>
    <w:rsid w:val="6BFB1CCD"/>
    <w:rsid w:val="6BFB3EBF"/>
    <w:rsid w:val="6BFC166F"/>
    <w:rsid w:val="6BFC2984"/>
    <w:rsid w:val="6BFCCF1B"/>
    <w:rsid w:val="6BFD2BC5"/>
    <w:rsid w:val="6BFD7E58"/>
    <w:rsid w:val="6BFD9A5A"/>
    <w:rsid w:val="6BFDB764"/>
    <w:rsid w:val="6BFDDDF1"/>
    <w:rsid w:val="6BFDE7F6"/>
    <w:rsid w:val="6BFEFB2D"/>
    <w:rsid w:val="6BFF43F7"/>
    <w:rsid w:val="6BFF9001"/>
    <w:rsid w:val="6BFF9B13"/>
    <w:rsid w:val="6BFFC2C9"/>
    <w:rsid w:val="6C006D28"/>
    <w:rsid w:val="6C01161C"/>
    <w:rsid w:val="6C016DB7"/>
    <w:rsid w:val="6C017ED3"/>
    <w:rsid w:val="6C0195C2"/>
    <w:rsid w:val="6C023A9B"/>
    <w:rsid w:val="6C0263A9"/>
    <w:rsid w:val="6C02A272"/>
    <w:rsid w:val="6C035875"/>
    <w:rsid w:val="6C03F623"/>
    <w:rsid w:val="6C0448B3"/>
    <w:rsid w:val="6C04B7E0"/>
    <w:rsid w:val="6C050D2A"/>
    <w:rsid w:val="6C0623D5"/>
    <w:rsid w:val="6C06525E"/>
    <w:rsid w:val="6C067EF3"/>
    <w:rsid w:val="6C0770E5"/>
    <w:rsid w:val="6C0800E3"/>
    <w:rsid w:val="6C091E32"/>
    <w:rsid w:val="6C097091"/>
    <w:rsid w:val="6C0A124D"/>
    <w:rsid w:val="6C0BFE21"/>
    <w:rsid w:val="6C0C7359"/>
    <w:rsid w:val="6C0D08D6"/>
    <w:rsid w:val="6C0D47C6"/>
    <w:rsid w:val="6C0E7980"/>
    <w:rsid w:val="6C0E90A0"/>
    <w:rsid w:val="6C0EBBD3"/>
    <w:rsid w:val="6C0EE0CC"/>
    <w:rsid w:val="6C0EE985"/>
    <w:rsid w:val="6C0EFB59"/>
    <w:rsid w:val="6C1012BC"/>
    <w:rsid w:val="6C119F00"/>
    <w:rsid w:val="6C11A6C6"/>
    <w:rsid w:val="6C11C3A3"/>
    <w:rsid w:val="6C11C8CE"/>
    <w:rsid w:val="6C125F20"/>
    <w:rsid w:val="6C131E85"/>
    <w:rsid w:val="6C145220"/>
    <w:rsid w:val="6C14BCDE"/>
    <w:rsid w:val="6C153C07"/>
    <w:rsid w:val="6C15DC2C"/>
    <w:rsid w:val="6C1838E4"/>
    <w:rsid w:val="6C18C8A5"/>
    <w:rsid w:val="6C18D849"/>
    <w:rsid w:val="6C1928C6"/>
    <w:rsid w:val="6C194F46"/>
    <w:rsid w:val="6C196D84"/>
    <w:rsid w:val="6C19AB48"/>
    <w:rsid w:val="6C1A3846"/>
    <w:rsid w:val="6C1B7670"/>
    <w:rsid w:val="6C1B9CCB"/>
    <w:rsid w:val="6C1C5FCA"/>
    <w:rsid w:val="6C1E9A55"/>
    <w:rsid w:val="6C1F5235"/>
    <w:rsid w:val="6C1FA87C"/>
    <w:rsid w:val="6C20638D"/>
    <w:rsid w:val="6C213A2D"/>
    <w:rsid w:val="6C22FCCA"/>
    <w:rsid w:val="6C233EB4"/>
    <w:rsid w:val="6C23C5DF"/>
    <w:rsid w:val="6C24D370"/>
    <w:rsid w:val="6C24F8CE"/>
    <w:rsid w:val="6C2610E6"/>
    <w:rsid w:val="6C26CBAB"/>
    <w:rsid w:val="6C270776"/>
    <w:rsid w:val="6C271068"/>
    <w:rsid w:val="6C2853B9"/>
    <w:rsid w:val="6C2887EB"/>
    <w:rsid w:val="6C2A001E"/>
    <w:rsid w:val="6C2B0807"/>
    <w:rsid w:val="6C2B0ACD"/>
    <w:rsid w:val="6C2B4D73"/>
    <w:rsid w:val="6C2B7628"/>
    <w:rsid w:val="6C2B8D62"/>
    <w:rsid w:val="6C2BBE31"/>
    <w:rsid w:val="6C2C4F7D"/>
    <w:rsid w:val="6C2D656E"/>
    <w:rsid w:val="6C2E0898"/>
    <w:rsid w:val="6C30E164"/>
    <w:rsid w:val="6C31492A"/>
    <w:rsid w:val="6C3181EE"/>
    <w:rsid w:val="6C33064B"/>
    <w:rsid w:val="6C331021"/>
    <w:rsid w:val="6C3327C7"/>
    <w:rsid w:val="6C3481FB"/>
    <w:rsid w:val="6C34EAAF"/>
    <w:rsid w:val="6C3514E8"/>
    <w:rsid w:val="6C372CF3"/>
    <w:rsid w:val="6C37370F"/>
    <w:rsid w:val="6C37461F"/>
    <w:rsid w:val="6C37E6B3"/>
    <w:rsid w:val="6C381B16"/>
    <w:rsid w:val="6C38611B"/>
    <w:rsid w:val="6C388ACD"/>
    <w:rsid w:val="6C390B5D"/>
    <w:rsid w:val="6C39C65B"/>
    <w:rsid w:val="6C3A13DE"/>
    <w:rsid w:val="6C3A1884"/>
    <w:rsid w:val="6C3A3A27"/>
    <w:rsid w:val="6C3B381D"/>
    <w:rsid w:val="6C3BF383"/>
    <w:rsid w:val="6C3C52B7"/>
    <w:rsid w:val="6C3CA47E"/>
    <w:rsid w:val="6C3D75C1"/>
    <w:rsid w:val="6C3DC89D"/>
    <w:rsid w:val="6C3DD489"/>
    <w:rsid w:val="6C3EA3FD"/>
    <w:rsid w:val="6C3ECAB4"/>
    <w:rsid w:val="6C3F6339"/>
    <w:rsid w:val="6C426C1F"/>
    <w:rsid w:val="6C429F64"/>
    <w:rsid w:val="6C43194D"/>
    <w:rsid w:val="6C43307E"/>
    <w:rsid w:val="6C4381F9"/>
    <w:rsid w:val="6C4441B7"/>
    <w:rsid w:val="6C44779C"/>
    <w:rsid w:val="6C4530B4"/>
    <w:rsid w:val="6C46ABB2"/>
    <w:rsid w:val="6C46CE1F"/>
    <w:rsid w:val="6C46F3E6"/>
    <w:rsid w:val="6C47D0C0"/>
    <w:rsid w:val="6C4956E8"/>
    <w:rsid w:val="6C497C86"/>
    <w:rsid w:val="6C498328"/>
    <w:rsid w:val="6C498669"/>
    <w:rsid w:val="6C4F297E"/>
    <w:rsid w:val="6C4F3B6E"/>
    <w:rsid w:val="6C4FFEAE"/>
    <w:rsid w:val="6C509835"/>
    <w:rsid w:val="6C512A55"/>
    <w:rsid w:val="6C512C94"/>
    <w:rsid w:val="6C517A4A"/>
    <w:rsid w:val="6C521AD2"/>
    <w:rsid w:val="6C52A02E"/>
    <w:rsid w:val="6C52A0D0"/>
    <w:rsid w:val="6C534043"/>
    <w:rsid w:val="6C53A894"/>
    <w:rsid w:val="6C53BDF2"/>
    <w:rsid w:val="6C53F4A8"/>
    <w:rsid w:val="6C5408B7"/>
    <w:rsid w:val="6C551B11"/>
    <w:rsid w:val="6C5552FB"/>
    <w:rsid w:val="6C568080"/>
    <w:rsid w:val="6C5681B6"/>
    <w:rsid w:val="6C5748EE"/>
    <w:rsid w:val="6C57749A"/>
    <w:rsid w:val="6C59E39B"/>
    <w:rsid w:val="6C5A60FD"/>
    <w:rsid w:val="6C5AC459"/>
    <w:rsid w:val="6C5BBBBA"/>
    <w:rsid w:val="6C5C861B"/>
    <w:rsid w:val="6C5CD2C4"/>
    <w:rsid w:val="6C5CD8EB"/>
    <w:rsid w:val="6C5D7DD5"/>
    <w:rsid w:val="6C5D82CE"/>
    <w:rsid w:val="6C5DF5D7"/>
    <w:rsid w:val="6C5E4430"/>
    <w:rsid w:val="6C5E50F4"/>
    <w:rsid w:val="6C5F2C8A"/>
    <w:rsid w:val="6C5F9FB8"/>
    <w:rsid w:val="6C5FBDC1"/>
    <w:rsid w:val="6C5FEC67"/>
    <w:rsid w:val="6C601D25"/>
    <w:rsid w:val="6C60A71E"/>
    <w:rsid w:val="6C60CE1D"/>
    <w:rsid w:val="6C610693"/>
    <w:rsid w:val="6C61AC15"/>
    <w:rsid w:val="6C6318E8"/>
    <w:rsid w:val="6C632340"/>
    <w:rsid w:val="6C63E533"/>
    <w:rsid w:val="6C64091D"/>
    <w:rsid w:val="6C649AAD"/>
    <w:rsid w:val="6C64C6CE"/>
    <w:rsid w:val="6C64E3B4"/>
    <w:rsid w:val="6C66273C"/>
    <w:rsid w:val="6C66CA99"/>
    <w:rsid w:val="6C67228A"/>
    <w:rsid w:val="6C67966E"/>
    <w:rsid w:val="6C67FA7C"/>
    <w:rsid w:val="6C68803D"/>
    <w:rsid w:val="6C68D369"/>
    <w:rsid w:val="6C6A4803"/>
    <w:rsid w:val="6C6AA169"/>
    <w:rsid w:val="6C6B3F39"/>
    <w:rsid w:val="6C6BAE71"/>
    <w:rsid w:val="6C6C0E45"/>
    <w:rsid w:val="6C6C73D6"/>
    <w:rsid w:val="6C6DED0A"/>
    <w:rsid w:val="6C6DEEF8"/>
    <w:rsid w:val="6C6F2692"/>
    <w:rsid w:val="6C6F9580"/>
    <w:rsid w:val="6C70D814"/>
    <w:rsid w:val="6C710219"/>
    <w:rsid w:val="6C721169"/>
    <w:rsid w:val="6C7317FA"/>
    <w:rsid w:val="6C731C8A"/>
    <w:rsid w:val="6C731D4B"/>
    <w:rsid w:val="6C73BC64"/>
    <w:rsid w:val="6C73D470"/>
    <w:rsid w:val="6C741B85"/>
    <w:rsid w:val="6C74C893"/>
    <w:rsid w:val="6C74E01A"/>
    <w:rsid w:val="6C74E5AA"/>
    <w:rsid w:val="6C75D4E4"/>
    <w:rsid w:val="6C77F042"/>
    <w:rsid w:val="6C799396"/>
    <w:rsid w:val="6C7A5145"/>
    <w:rsid w:val="6C7C2F83"/>
    <w:rsid w:val="6C7D44E5"/>
    <w:rsid w:val="6C7FA012"/>
    <w:rsid w:val="6C7FC1C2"/>
    <w:rsid w:val="6C7FE63D"/>
    <w:rsid w:val="6C80E260"/>
    <w:rsid w:val="6C818B54"/>
    <w:rsid w:val="6C82A315"/>
    <w:rsid w:val="6C833577"/>
    <w:rsid w:val="6C8391E2"/>
    <w:rsid w:val="6C849654"/>
    <w:rsid w:val="6C849A68"/>
    <w:rsid w:val="6C84C453"/>
    <w:rsid w:val="6C851C88"/>
    <w:rsid w:val="6C853C7A"/>
    <w:rsid w:val="6C8551CD"/>
    <w:rsid w:val="6C8609A7"/>
    <w:rsid w:val="6C8625AA"/>
    <w:rsid w:val="6C8640B0"/>
    <w:rsid w:val="6C876BCF"/>
    <w:rsid w:val="6C8811A8"/>
    <w:rsid w:val="6C88805D"/>
    <w:rsid w:val="6C89D488"/>
    <w:rsid w:val="6C89E1E8"/>
    <w:rsid w:val="6C8A6BF9"/>
    <w:rsid w:val="6C8ABD4B"/>
    <w:rsid w:val="6C8B36F6"/>
    <w:rsid w:val="6C8BA4DB"/>
    <w:rsid w:val="6C8E1AC7"/>
    <w:rsid w:val="6C8EB75D"/>
    <w:rsid w:val="6C8EF000"/>
    <w:rsid w:val="6C90F55A"/>
    <w:rsid w:val="6C90FB09"/>
    <w:rsid w:val="6C9128EB"/>
    <w:rsid w:val="6C917EC7"/>
    <w:rsid w:val="6C91E969"/>
    <w:rsid w:val="6C924606"/>
    <w:rsid w:val="6C92836E"/>
    <w:rsid w:val="6C928ACA"/>
    <w:rsid w:val="6C9290E4"/>
    <w:rsid w:val="6C931634"/>
    <w:rsid w:val="6C942B55"/>
    <w:rsid w:val="6C95C3FF"/>
    <w:rsid w:val="6C95DED4"/>
    <w:rsid w:val="6C9616A5"/>
    <w:rsid w:val="6C963AE7"/>
    <w:rsid w:val="6C976FB6"/>
    <w:rsid w:val="6C978E96"/>
    <w:rsid w:val="6C97C17E"/>
    <w:rsid w:val="6C97D4B6"/>
    <w:rsid w:val="6C97E51A"/>
    <w:rsid w:val="6C98DDE1"/>
    <w:rsid w:val="6C993CEE"/>
    <w:rsid w:val="6C998232"/>
    <w:rsid w:val="6C9AF013"/>
    <w:rsid w:val="6C9B7FE9"/>
    <w:rsid w:val="6C9BC23D"/>
    <w:rsid w:val="6C9D9004"/>
    <w:rsid w:val="6C9E21E4"/>
    <w:rsid w:val="6C9E9AE0"/>
    <w:rsid w:val="6C9F9298"/>
    <w:rsid w:val="6C9FA7BB"/>
    <w:rsid w:val="6C9FF0D3"/>
    <w:rsid w:val="6CA07618"/>
    <w:rsid w:val="6CA10B53"/>
    <w:rsid w:val="6CA11C73"/>
    <w:rsid w:val="6CA19675"/>
    <w:rsid w:val="6CA28A7A"/>
    <w:rsid w:val="6CA28B82"/>
    <w:rsid w:val="6CA29D77"/>
    <w:rsid w:val="6CA2FEF0"/>
    <w:rsid w:val="6CA3DE09"/>
    <w:rsid w:val="6CA4735D"/>
    <w:rsid w:val="6CA50717"/>
    <w:rsid w:val="6CA579A3"/>
    <w:rsid w:val="6CA61DBB"/>
    <w:rsid w:val="6CA683CF"/>
    <w:rsid w:val="6CA77034"/>
    <w:rsid w:val="6CA7A754"/>
    <w:rsid w:val="6CA80CC9"/>
    <w:rsid w:val="6CA81E60"/>
    <w:rsid w:val="6CA8E068"/>
    <w:rsid w:val="6CA9C289"/>
    <w:rsid w:val="6CA9F088"/>
    <w:rsid w:val="6CAA3958"/>
    <w:rsid w:val="6CAAE2D8"/>
    <w:rsid w:val="6CAAFD9D"/>
    <w:rsid w:val="6CAB3F6F"/>
    <w:rsid w:val="6CABB776"/>
    <w:rsid w:val="6CABF7F6"/>
    <w:rsid w:val="6CAC5979"/>
    <w:rsid w:val="6CAC6C6E"/>
    <w:rsid w:val="6CAD33F6"/>
    <w:rsid w:val="6CAE4A97"/>
    <w:rsid w:val="6CAE516E"/>
    <w:rsid w:val="6CAF3670"/>
    <w:rsid w:val="6CAF6E36"/>
    <w:rsid w:val="6CAF8519"/>
    <w:rsid w:val="6CAFBD0E"/>
    <w:rsid w:val="6CB04955"/>
    <w:rsid w:val="6CB04B32"/>
    <w:rsid w:val="6CB0E37A"/>
    <w:rsid w:val="6CB178AE"/>
    <w:rsid w:val="6CB21CDC"/>
    <w:rsid w:val="6CB3D3DD"/>
    <w:rsid w:val="6CB3FCC1"/>
    <w:rsid w:val="6CB40947"/>
    <w:rsid w:val="6CB42741"/>
    <w:rsid w:val="6CB42BA3"/>
    <w:rsid w:val="6CB5B3AF"/>
    <w:rsid w:val="6CB5F482"/>
    <w:rsid w:val="6CB611CD"/>
    <w:rsid w:val="6CB63F21"/>
    <w:rsid w:val="6CB7094B"/>
    <w:rsid w:val="6CB726D0"/>
    <w:rsid w:val="6CB7352E"/>
    <w:rsid w:val="6CB79C55"/>
    <w:rsid w:val="6CB85042"/>
    <w:rsid w:val="6CBAAD7F"/>
    <w:rsid w:val="6CBAB53B"/>
    <w:rsid w:val="6CBADA4D"/>
    <w:rsid w:val="6CBCACD7"/>
    <w:rsid w:val="6CBCC593"/>
    <w:rsid w:val="6CBCCB52"/>
    <w:rsid w:val="6CBCFE37"/>
    <w:rsid w:val="6CBD5377"/>
    <w:rsid w:val="6CBE0F37"/>
    <w:rsid w:val="6CBE478D"/>
    <w:rsid w:val="6CBE65A5"/>
    <w:rsid w:val="6CBEE6C4"/>
    <w:rsid w:val="6CBF61CC"/>
    <w:rsid w:val="6CBFD663"/>
    <w:rsid w:val="6CC036E8"/>
    <w:rsid w:val="6CC21BA7"/>
    <w:rsid w:val="6CC34579"/>
    <w:rsid w:val="6CC3B2D6"/>
    <w:rsid w:val="6CC45E93"/>
    <w:rsid w:val="6CC4BB6A"/>
    <w:rsid w:val="6CC557E7"/>
    <w:rsid w:val="6CC5FAF1"/>
    <w:rsid w:val="6CC7934E"/>
    <w:rsid w:val="6CC905EB"/>
    <w:rsid w:val="6CC97B76"/>
    <w:rsid w:val="6CC9B1ED"/>
    <w:rsid w:val="6CC9B588"/>
    <w:rsid w:val="6CCA4BEB"/>
    <w:rsid w:val="6CCA8DC3"/>
    <w:rsid w:val="6CCAEF32"/>
    <w:rsid w:val="6CCB2283"/>
    <w:rsid w:val="6CCD541D"/>
    <w:rsid w:val="6CCDDBEE"/>
    <w:rsid w:val="6CCF3E03"/>
    <w:rsid w:val="6CCFB891"/>
    <w:rsid w:val="6CD020E5"/>
    <w:rsid w:val="6CD0C0B1"/>
    <w:rsid w:val="6CD0C57A"/>
    <w:rsid w:val="6CD0E767"/>
    <w:rsid w:val="6CD124C1"/>
    <w:rsid w:val="6CD2134B"/>
    <w:rsid w:val="6CD272DA"/>
    <w:rsid w:val="6CD28501"/>
    <w:rsid w:val="6CD352D9"/>
    <w:rsid w:val="6CD429DA"/>
    <w:rsid w:val="6CD5BEAD"/>
    <w:rsid w:val="6CD5F773"/>
    <w:rsid w:val="6CD6C0E9"/>
    <w:rsid w:val="6CD75420"/>
    <w:rsid w:val="6CD7C460"/>
    <w:rsid w:val="6CD7E726"/>
    <w:rsid w:val="6CD8817E"/>
    <w:rsid w:val="6CD94EF0"/>
    <w:rsid w:val="6CD99DF0"/>
    <w:rsid w:val="6CDA6264"/>
    <w:rsid w:val="6CDACC57"/>
    <w:rsid w:val="6CDB65A7"/>
    <w:rsid w:val="6CDB951B"/>
    <w:rsid w:val="6CDBBBF5"/>
    <w:rsid w:val="6CDC34E6"/>
    <w:rsid w:val="6CDC5CEA"/>
    <w:rsid w:val="6CDCDACB"/>
    <w:rsid w:val="6CDD0709"/>
    <w:rsid w:val="6CDD8917"/>
    <w:rsid w:val="6CDE3B51"/>
    <w:rsid w:val="6CDEEA6A"/>
    <w:rsid w:val="6CDF1434"/>
    <w:rsid w:val="6CE33FDA"/>
    <w:rsid w:val="6CE37C31"/>
    <w:rsid w:val="6CE3B867"/>
    <w:rsid w:val="6CE4AD1B"/>
    <w:rsid w:val="6CE5B098"/>
    <w:rsid w:val="6CE5D545"/>
    <w:rsid w:val="6CE65237"/>
    <w:rsid w:val="6CE78B10"/>
    <w:rsid w:val="6CE7B2BC"/>
    <w:rsid w:val="6CE7BDC2"/>
    <w:rsid w:val="6CE8C586"/>
    <w:rsid w:val="6CE9E2D6"/>
    <w:rsid w:val="6CEA2F28"/>
    <w:rsid w:val="6CEB309E"/>
    <w:rsid w:val="6CEDC76E"/>
    <w:rsid w:val="6CEE12F2"/>
    <w:rsid w:val="6CEE6E57"/>
    <w:rsid w:val="6CEED62E"/>
    <w:rsid w:val="6CEF954D"/>
    <w:rsid w:val="6CEFB9E2"/>
    <w:rsid w:val="6CEFCA8E"/>
    <w:rsid w:val="6CEFEC93"/>
    <w:rsid w:val="6CF08EC6"/>
    <w:rsid w:val="6CF0998C"/>
    <w:rsid w:val="6CF25BD5"/>
    <w:rsid w:val="6CF374C7"/>
    <w:rsid w:val="6CF3B040"/>
    <w:rsid w:val="6CF3B78D"/>
    <w:rsid w:val="6CF438E2"/>
    <w:rsid w:val="6CF45B71"/>
    <w:rsid w:val="6CF619AC"/>
    <w:rsid w:val="6CF6266F"/>
    <w:rsid w:val="6CF67291"/>
    <w:rsid w:val="6CF6AD45"/>
    <w:rsid w:val="6CF711C8"/>
    <w:rsid w:val="6CF7CD2A"/>
    <w:rsid w:val="6CF8AA8F"/>
    <w:rsid w:val="6CF90E00"/>
    <w:rsid w:val="6CF9E147"/>
    <w:rsid w:val="6CFA405F"/>
    <w:rsid w:val="6CFC2FF7"/>
    <w:rsid w:val="6CFDE93D"/>
    <w:rsid w:val="6CFE616F"/>
    <w:rsid w:val="6CFF422B"/>
    <w:rsid w:val="6D0010A2"/>
    <w:rsid w:val="6D011191"/>
    <w:rsid w:val="6D01D994"/>
    <w:rsid w:val="6D01ED28"/>
    <w:rsid w:val="6D033C6E"/>
    <w:rsid w:val="6D040109"/>
    <w:rsid w:val="6D0402CE"/>
    <w:rsid w:val="6D048946"/>
    <w:rsid w:val="6D0571A4"/>
    <w:rsid w:val="6D05E290"/>
    <w:rsid w:val="6D05F6B0"/>
    <w:rsid w:val="6D062158"/>
    <w:rsid w:val="6D0661DE"/>
    <w:rsid w:val="6D06AF91"/>
    <w:rsid w:val="6D08A132"/>
    <w:rsid w:val="6D08F8F3"/>
    <w:rsid w:val="6D09071D"/>
    <w:rsid w:val="6D0AB44D"/>
    <w:rsid w:val="6D0B58FB"/>
    <w:rsid w:val="6D0C1A7F"/>
    <w:rsid w:val="6D0D258F"/>
    <w:rsid w:val="6D0DAA49"/>
    <w:rsid w:val="6D0E3CE5"/>
    <w:rsid w:val="6D0F62EB"/>
    <w:rsid w:val="6D0F7F16"/>
    <w:rsid w:val="6D0F8239"/>
    <w:rsid w:val="6D0FDE69"/>
    <w:rsid w:val="6D113AD3"/>
    <w:rsid w:val="6D11A7A5"/>
    <w:rsid w:val="6D11DFB7"/>
    <w:rsid w:val="6D124463"/>
    <w:rsid w:val="6D1286DF"/>
    <w:rsid w:val="6D1352CF"/>
    <w:rsid w:val="6D138364"/>
    <w:rsid w:val="6D1671BF"/>
    <w:rsid w:val="6D16720B"/>
    <w:rsid w:val="6D16A685"/>
    <w:rsid w:val="6D16C58D"/>
    <w:rsid w:val="6D18585E"/>
    <w:rsid w:val="6D186710"/>
    <w:rsid w:val="6D1895C1"/>
    <w:rsid w:val="6D18ECE6"/>
    <w:rsid w:val="6D1A2958"/>
    <w:rsid w:val="6D1A4A8C"/>
    <w:rsid w:val="6D1A6466"/>
    <w:rsid w:val="6D1A67B0"/>
    <w:rsid w:val="6D1B111B"/>
    <w:rsid w:val="6D1B1D80"/>
    <w:rsid w:val="6D1B7D2B"/>
    <w:rsid w:val="6D1C751B"/>
    <w:rsid w:val="6D1C9413"/>
    <w:rsid w:val="6D1CFAFA"/>
    <w:rsid w:val="6D1E4F55"/>
    <w:rsid w:val="6D1E9FC9"/>
    <w:rsid w:val="6D1F8170"/>
    <w:rsid w:val="6D1FA882"/>
    <w:rsid w:val="6D20AF0D"/>
    <w:rsid w:val="6D213AAF"/>
    <w:rsid w:val="6D2162E1"/>
    <w:rsid w:val="6D216ED4"/>
    <w:rsid w:val="6D21CEC4"/>
    <w:rsid w:val="6D21E4A7"/>
    <w:rsid w:val="6D21F12F"/>
    <w:rsid w:val="6D22AEE9"/>
    <w:rsid w:val="6D22C595"/>
    <w:rsid w:val="6D232DB9"/>
    <w:rsid w:val="6D23574E"/>
    <w:rsid w:val="6D239320"/>
    <w:rsid w:val="6D23DEE4"/>
    <w:rsid w:val="6D23E956"/>
    <w:rsid w:val="6D2411BC"/>
    <w:rsid w:val="6D25B210"/>
    <w:rsid w:val="6D25E704"/>
    <w:rsid w:val="6D26E41F"/>
    <w:rsid w:val="6D27283B"/>
    <w:rsid w:val="6D272FCB"/>
    <w:rsid w:val="6D2771CF"/>
    <w:rsid w:val="6D283CF1"/>
    <w:rsid w:val="6D287BC4"/>
    <w:rsid w:val="6D28FCB1"/>
    <w:rsid w:val="6D295AFB"/>
    <w:rsid w:val="6D29FD60"/>
    <w:rsid w:val="6D2A9758"/>
    <w:rsid w:val="6D2AB956"/>
    <w:rsid w:val="6D2B1696"/>
    <w:rsid w:val="6D2B17DF"/>
    <w:rsid w:val="6D2C5F22"/>
    <w:rsid w:val="6D2D109C"/>
    <w:rsid w:val="6D2D4B7B"/>
    <w:rsid w:val="6D2DB473"/>
    <w:rsid w:val="6D2DBCD4"/>
    <w:rsid w:val="6D2E2C94"/>
    <w:rsid w:val="6D2F3F38"/>
    <w:rsid w:val="6D3303CC"/>
    <w:rsid w:val="6D331446"/>
    <w:rsid w:val="6D33B4A5"/>
    <w:rsid w:val="6D3534EA"/>
    <w:rsid w:val="6D35EC2D"/>
    <w:rsid w:val="6D35EF78"/>
    <w:rsid w:val="6D368BF2"/>
    <w:rsid w:val="6D36DDCB"/>
    <w:rsid w:val="6D378CA6"/>
    <w:rsid w:val="6D382AB5"/>
    <w:rsid w:val="6D382EA0"/>
    <w:rsid w:val="6D38D99C"/>
    <w:rsid w:val="6D39B2E0"/>
    <w:rsid w:val="6D39CEE4"/>
    <w:rsid w:val="6D39F5CA"/>
    <w:rsid w:val="6D3A226B"/>
    <w:rsid w:val="6D3B318D"/>
    <w:rsid w:val="6D3B79DA"/>
    <w:rsid w:val="6D3BEB51"/>
    <w:rsid w:val="6D3D42F0"/>
    <w:rsid w:val="6D3D9CA6"/>
    <w:rsid w:val="6D3E0B1A"/>
    <w:rsid w:val="6D405EFE"/>
    <w:rsid w:val="6D406088"/>
    <w:rsid w:val="6D40E93A"/>
    <w:rsid w:val="6D4107BD"/>
    <w:rsid w:val="6D418DA9"/>
    <w:rsid w:val="6D44021C"/>
    <w:rsid w:val="6D441A0A"/>
    <w:rsid w:val="6D456E23"/>
    <w:rsid w:val="6D46329C"/>
    <w:rsid w:val="6D46ED69"/>
    <w:rsid w:val="6D47CCC7"/>
    <w:rsid w:val="6D48F16E"/>
    <w:rsid w:val="6D494CF3"/>
    <w:rsid w:val="6D4A94DB"/>
    <w:rsid w:val="6D4C1586"/>
    <w:rsid w:val="6D4C5BA8"/>
    <w:rsid w:val="6D4C8187"/>
    <w:rsid w:val="6D4D1C8E"/>
    <w:rsid w:val="6D4D2D74"/>
    <w:rsid w:val="6D4D5478"/>
    <w:rsid w:val="6D4E0541"/>
    <w:rsid w:val="6D4ED918"/>
    <w:rsid w:val="6D4F0E31"/>
    <w:rsid w:val="6D50209F"/>
    <w:rsid w:val="6D506F92"/>
    <w:rsid w:val="6D508A5D"/>
    <w:rsid w:val="6D535837"/>
    <w:rsid w:val="6D537275"/>
    <w:rsid w:val="6D5433E7"/>
    <w:rsid w:val="6D54B586"/>
    <w:rsid w:val="6D54FB70"/>
    <w:rsid w:val="6D55B606"/>
    <w:rsid w:val="6D56D620"/>
    <w:rsid w:val="6D58180E"/>
    <w:rsid w:val="6D58219F"/>
    <w:rsid w:val="6D58667A"/>
    <w:rsid w:val="6D5B4208"/>
    <w:rsid w:val="6D5B4EB4"/>
    <w:rsid w:val="6D5C320E"/>
    <w:rsid w:val="6D5DF4AB"/>
    <w:rsid w:val="6D5FE336"/>
    <w:rsid w:val="6D60357E"/>
    <w:rsid w:val="6D608A42"/>
    <w:rsid w:val="6D61DE04"/>
    <w:rsid w:val="6D625A22"/>
    <w:rsid w:val="6D62A492"/>
    <w:rsid w:val="6D632966"/>
    <w:rsid w:val="6D653950"/>
    <w:rsid w:val="6D66D44F"/>
    <w:rsid w:val="6D66E832"/>
    <w:rsid w:val="6D66EAF3"/>
    <w:rsid w:val="6D6810C7"/>
    <w:rsid w:val="6D68643D"/>
    <w:rsid w:val="6D68806F"/>
    <w:rsid w:val="6D6A01A8"/>
    <w:rsid w:val="6D6A6438"/>
    <w:rsid w:val="6D6AD0DF"/>
    <w:rsid w:val="6D6B15F0"/>
    <w:rsid w:val="6D6C0AB5"/>
    <w:rsid w:val="6D6C4EB6"/>
    <w:rsid w:val="6D6CD0C9"/>
    <w:rsid w:val="6D6D609A"/>
    <w:rsid w:val="6D6DF95D"/>
    <w:rsid w:val="6D6EAC9B"/>
    <w:rsid w:val="6D704106"/>
    <w:rsid w:val="6D7240B4"/>
    <w:rsid w:val="6D7323B5"/>
    <w:rsid w:val="6D7324AD"/>
    <w:rsid w:val="6D736375"/>
    <w:rsid w:val="6D741AA5"/>
    <w:rsid w:val="6D74BAEC"/>
    <w:rsid w:val="6D7636BC"/>
    <w:rsid w:val="6D765898"/>
    <w:rsid w:val="6D770A48"/>
    <w:rsid w:val="6D779566"/>
    <w:rsid w:val="6D7920C3"/>
    <w:rsid w:val="6D798AFF"/>
    <w:rsid w:val="6D79BA4E"/>
    <w:rsid w:val="6D79F142"/>
    <w:rsid w:val="6D7A7AC3"/>
    <w:rsid w:val="6D7B1CC4"/>
    <w:rsid w:val="6D7BFAA8"/>
    <w:rsid w:val="6D7C0805"/>
    <w:rsid w:val="6D7C0F45"/>
    <w:rsid w:val="6D7C18BE"/>
    <w:rsid w:val="6D7C22BD"/>
    <w:rsid w:val="6D7C8C74"/>
    <w:rsid w:val="6D7E35F0"/>
    <w:rsid w:val="6D7E8CA6"/>
    <w:rsid w:val="6D7E979B"/>
    <w:rsid w:val="6D7EE2A2"/>
    <w:rsid w:val="6D7F22B5"/>
    <w:rsid w:val="6D7F6A99"/>
    <w:rsid w:val="6D80E9E7"/>
    <w:rsid w:val="6D814EA5"/>
    <w:rsid w:val="6D829E9E"/>
    <w:rsid w:val="6D82BDF5"/>
    <w:rsid w:val="6D82C5EC"/>
    <w:rsid w:val="6D838482"/>
    <w:rsid w:val="6D844834"/>
    <w:rsid w:val="6D84D443"/>
    <w:rsid w:val="6D85A5CE"/>
    <w:rsid w:val="6D86BE3E"/>
    <w:rsid w:val="6D879D9D"/>
    <w:rsid w:val="6D87FA7C"/>
    <w:rsid w:val="6D8824B7"/>
    <w:rsid w:val="6D8AEB7F"/>
    <w:rsid w:val="6D8B45F8"/>
    <w:rsid w:val="6D8D125E"/>
    <w:rsid w:val="6D8E1EF4"/>
    <w:rsid w:val="6D90ED0B"/>
    <w:rsid w:val="6D916150"/>
    <w:rsid w:val="6D921863"/>
    <w:rsid w:val="6D924620"/>
    <w:rsid w:val="6D926095"/>
    <w:rsid w:val="6D92B251"/>
    <w:rsid w:val="6D92B3AA"/>
    <w:rsid w:val="6D92FA4F"/>
    <w:rsid w:val="6D93A3A5"/>
    <w:rsid w:val="6D96D5B0"/>
    <w:rsid w:val="6D98034A"/>
    <w:rsid w:val="6D989D3F"/>
    <w:rsid w:val="6D98CFBB"/>
    <w:rsid w:val="6D9A41D5"/>
    <w:rsid w:val="6D9A44C6"/>
    <w:rsid w:val="6D9ABC88"/>
    <w:rsid w:val="6D9B1AB9"/>
    <w:rsid w:val="6D9B2FAF"/>
    <w:rsid w:val="6D9B3B71"/>
    <w:rsid w:val="6D9B5042"/>
    <w:rsid w:val="6D9C2A7C"/>
    <w:rsid w:val="6D9C6236"/>
    <w:rsid w:val="6D9CBAA4"/>
    <w:rsid w:val="6D9D4090"/>
    <w:rsid w:val="6D9E85FB"/>
    <w:rsid w:val="6D9F3AC4"/>
    <w:rsid w:val="6D9FC102"/>
    <w:rsid w:val="6DA0000B"/>
    <w:rsid w:val="6DA01B31"/>
    <w:rsid w:val="6DA39F8D"/>
    <w:rsid w:val="6DA3B6FA"/>
    <w:rsid w:val="6DA4C156"/>
    <w:rsid w:val="6DA4D52A"/>
    <w:rsid w:val="6DA6712B"/>
    <w:rsid w:val="6DA6CEDF"/>
    <w:rsid w:val="6DA6E1CA"/>
    <w:rsid w:val="6DA7FACF"/>
    <w:rsid w:val="6DA83F90"/>
    <w:rsid w:val="6DAA9835"/>
    <w:rsid w:val="6DAAEB48"/>
    <w:rsid w:val="6DAAF242"/>
    <w:rsid w:val="6DAB0465"/>
    <w:rsid w:val="6DAB0A2A"/>
    <w:rsid w:val="6DACBC8B"/>
    <w:rsid w:val="6DADBAD5"/>
    <w:rsid w:val="6DAF1256"/>
    <w:rsid w:val="6DAFB749"/>
    <w:rsid w:val="6DAFBF83"/>
    <w:rsid w:val="6DB14F07"/>
    <w:rsid w:val="6DB18997"/>
    <w:rsid w:val="6DB20A1F"/>
    <w:rsid w:val="6DB3F887"/>
    <w:rsid w:val="6DB40422"/>
    <w:rsid w:val="6DB49CB1"/>
    <w:rsid w:val="6DB4D4BC"/>
    <w:rsid w:val="6DB56187"/>
    <w:rsid w:val="6DB5DAE0"/>
    <w:rsid w:val="6DB6CB1C"/>
    <w:rsid w:val="6DB75406"/>
    <w:rsid w:val="6DB79B4D"/>
    <w:rsid w:val="6DB7C401"/>
    <w:rsid w:val="6DB88B00"/>
    <w:rsid w:val="6DB968E8"/>
    <w:rsid w:val="6DB97151"/>
    <w:rsid w:val="6DB9A2CF"/>
    <w:rsid w:val="6DBBC0FA"/>
    <w:rsid w:val="6DBC9B79"/>
    <w:rsid w:val="6DBDC25C"/>
    <w:rsid w:val="6DBDD088"/>
    <w:rsid w:val="6DBE7199"/>
    <w:rsid w:val="6DBFEA72"/>
    <w:rsid w:val="6DC00A68"/>
    <w:rsid w:val="6DC11221"/>
    <w:rsid w:val="6DC17DC1"/>
    <w:rsid w:val="6DC1C678"/>
    <w:rsid w:val="6DC1C906"/>
    <w:rsid w:val="6DC2F81C"/>
    <w:rsid w:val="6DC3CEC9"/>
    <w:rsid w:val="6DC4E0E3"/>
    <w:rsid w:val="6DC512E1"/>
    <w:rsid w:val="6DC584D3"/>
    <w:rsid w:val="6DC69F58"/>
    <w:rsid w:val="6DC6EEAB"/>
    <w:rsid w:val="6DC7B04C"/>
    <w:rsid w:val="6DC8A966"/>
    <w:rsid w:val="6DC9CA52"/>
    <w:rsid w:val="6DCA0E43"/>
    <w:rsid w:val="6DCAD744"/>
    <w:rsid w:val="6DCB71A2"/>
    <w:rsid w:val="6DCBD984"/>
    <w:rsid w:val="6DCD0BDA"/>
    <w:rsid w:val="6DCF6FF5"/>
    <w:rsid w:val="6DD2355C"/>
    <w:rsid w:val="6DD31FF9"/>
    <w:rsid w:val="6DD4206D"/>
    <w:rsid w:val="6DD432F4"/>
    <w:rsid w:val="6DD47A3B"/>
    <w:rsid w:val="6DD4A2AD"/>
    <w:rsid w:val="6DD4F55A"/>
    <w:rsid w:val="6DD5D56C"/>
    <w:rsid w:val="6DD5E34F"/>
    <w:rsid w:val="6DD6159F"/>
    <w:rsid w:val="6DD68063"/>
    <w:rsid w:val="6DD99D7B"/>
    <w:rsid w:val="6DDA42EF"/>
    <w:rsid w:val="6DDA5142"/>
    <w:rsid w:val="6DDB27F1"/>
    <w:rsid w:val="6DDBC6CF"/>
    <w:rsid w:val="6DDBDB8E"/>
    <w:rsid w:val="6DDC7287"/>
    <w:rsid w:val="6DDD049A"/>
    <w:rsid w:val="6DDD5D3D"/>
    <w:rsid w:val="6DDDB79B"/>
    <w:rsid w:val="6DDDBE60"/>
    <w:rsid w:val="6DDE1ABE"/>
    <w:rsid w:val="6DDE84B8"/>
    <w:rsid w:val="6DDEECED"/>
    <w:rsid w:val="6DDF7189"/>
    <w:rsid w:val="6DDF8EB7"/>
    <w:rsid w:val="6DDF933D"/>
    <w:rsid w:val="6DDFF6F0"/>
    <w:rsid w:val="6DE04836"/>
    <w:rsid w:val="6DE08C6A"/>
    <w:rsid w:val="6DE1A0B8"/>
    <w:rsid w:val="6DE20FE5"/>
    <w:rsid w:val="6DE2C75B"/>
    <w:rsid w:val="6DE2CA9C"/>
    <w:rsid w:val="6DE30C5E"/>
    <w:rsid w:val="6DE32693"/>
    <w:rsid w:val="6DE3DBFD"/>
    <w:rsid w:val="6DE403DA"/>
    <w:rsid w:val="6DE47F79"/>
    <w:rsid w:val="6DE4D136"/>
    <w:rsid w:val="6DE5FF13"/>
    <w:rsid w:val="6DE6602C"/>
    <w:rsid w:val="6DE74FA0"/>
    <w:rsid w:val="6DE7F95A"/>
    <w:rsid w:val="6DE8A890"/>
    <w:rsid w:val="6DE8BC6B"/>
    <w:rsid w:val="6DE9700C"/>
    <w:rsid w:val="6DE97A31"/>
    <w:rsid w:val="6DE9BE7E"/>
    <w:rsid w:val="6DE9D4B1"/>
    <w:rsid w:val="6DE9F852"/>
    <w:rsid w:val="6DEA1896"/>
    <w:rsid w:val="6DEAC1F9"/>
    <w:rsid w:val="6DEB692E"/>
    <w:rsid w:val="6DEC5E94"/>
    <w:rsid w:val="6DEC8EC5"/>
    <w:rsid w:val="6DECA6B0"/>
    <w:rsid w:val="6DECB571"/>
    <w:rsid w:val="6DECD278"/>
    <w:rsid w:val="6DED8A26"/>
    <w:rsid w:val="6DEDA613"/>
    <w:rsid w:val="6DEDB975"/>
    <w:rsid w:val="6DEE6185"/>
    <w:rsid w:val="6DEEC272"/>
    <w:rsid w:val="6DEF2C65"/>
    <w:rsid w:val="6DEF4CAE"/>
    <w:rsid w:val="6DF03464"/>
    <w:rsid w:val="6DF0867F"/>
    <w:rsid w:val="6DF1495B"/>
    <w:rsid w:val="6DF1D267"/>
    <w:rsid w:val="6DF1D42B"/>
    <w:rsid w:val="6DF21B2C"/>
    <w:rsid w:val="6DF2A938"/>
    <w:rsid w:val="6DF4698B"/>
    <w:rsid w:val="6DF4B2CC"/>
    <w:rsid w:val="6DF528F4"/>
    <w:rsid w:val="6DF543E6"/>
    <w:rsid w:val="6DF54CBC"/>
    <w:rsid w:val="6DF57DBB"/>
    <w:rsid w:val="6DF5B526"/>
    <w:rsid w:val="6DF64E83"/>
    <w:rsid w:val="6DF66C8D"/>
    <w:rsid w:val="6DF7B30E"/>
    <w:rsid w:val="6DF822AC"/>
    <w:rsid w:val="6DF97D16"/>
    <w:rsid w:val="6DFA6BE1"/>
    <w:rsid w:val="6DFB580D"/>
    <w:rsid w:val="6DFBCB4D"/>
    <w:rsid w:val="6DFDE1E0"/>
    <w:rsid w:val="6DFEA591"/>
    <w:rsid w:val="6E000DFB"/>
    <w:rsid w:val="6E00A86B"/>
    <w:rsid w:val="6E019D43"/>
    <w:rsid w:val="6E01BCB8"/>
    <w:rsid w:val="6E023B23"/>
    <w:rsid w:val="6E02F0E9"/>
    <w:rsid w:val="6E05BABA"/>
    <w:rsid w:val="6E072DB4"/>
    <w:rsid w:val="6E07BCD8"/>
    <w:rsid w:val="6E087C42"/>
    <w:rsid w:val="6E09AF66"/>
    <w:rsid w:val="6E09B991"/>
    <w:rsid w:val="6E09FD6E"/>
    <w:rsid w:val="6E0B3EE0"/>
    <w:rsid w:val="6E0C2503"/>
    <w:rsid w:val="6E0D8F5F"/>
    <w:rsid w:val="6E0E8D4C"/>
    <w:rsid w:val="6E0EDCDA"/>
    <w:rsid w:val="6E1000B6"/>
    <w:rsid w:val="6E10728C"/>
    <w:rsid w:val="6E10763F"/>
    <w:rsid w:val="6E126913"/>
    <w:rsid w:val="6E12EFBC"/>
    <w:rsid w:val="6E13173A"/>
    <w:rsid w:val="6E132B61"/>
    <w:rsid w:val="6E14270E"/>
    <w:rsid w:val="6E14BD11"/>
    <w:rsid w:val="6E15A675"/>
    <w:rsid w:val="6E15D7D1"/>
    <w:rsid w:val="6E165238"/>
    <w:rsid w:val="6E16B734"/>
    <w:rsid w:val="6E177112"/>
    <w:rsid w:val="6E1867A4"/>
    <w:rsid w:val="6E1886C3"/>
    <w:rsid w:val="6E19894D"/>
    <w:rsid w:val="6E19F058"/>
    <w:rsid w:val="6E1A5282"/>
    <w:rsid w:val="6E1B5254"/>
    <w:rsid w:val="6E1CB6C2"/>
    <w:rsid w:val="6E1D8231"/>
    <w:rsid w:val="6E1F4851"/>
    <w:rsid w:val="6E1F631C"/>
    <w:rsid w:val="6E1FA5A3"/>
    <w:rsid w:val="6E1FADDF"/>
    <w:rsid w:val="6E1FE61B"/>
    <w:rsid w:val="6E1FEA41"/>
    <w:rsid w:val="6E20E5ED"/>
    <w:rsid w:val="6E211CC2"/>
    <w:rsid w:val="6E21FF84"/>
    <w:rsid w:val="6E2243FD"/>
    <w:rsid w:val="6E22FA88"/>
    <w:rsid w:val="6E2336ED"/>
    <w:rsid w:val="6E2376AC"/>
    <w:rsid w:val="6E24650D"/>
    <w:rsid w:val="6E247A37"/>
    <w:rsid w:val="6E24E697"/>
    <w:rsid w:val="6E25DEBD"/>
    <w:rsid w:val="6E265201"/>
    <w:rsid w:val="6E265B11"/>
    <w:rsid w:val="6E267C38"/>
    <w:rsid w:val="6E278D03"/>
    <w:rsid w:val="6E289159"/>
    <w:rsid w:val="6E2897BC"/>
    <w:rsid w:val="6E2897EF"/>
    <w:rsid w:val="6E293C20"/>
    <w:rsid w:val="6E2A2221"/>
    <w:rsid w:val="6E2AC0BD"/>
    <w:rsid w:val="6E2AFAD1"/>
    <w:rsid w:val="6E2B62F4"/>
    <w:rsid w:val="6E2C0082"/>
    <w:rsid w:val="6E2C1EC4"/>
    <w:rsid w:val="6E2DBE57"/>
    <w:rsid w:val="6E2EE0CC"/>
    <w:rsid w:val="6E2F945C"/>
    <w:rsid w:val="6E327EEC"/>
    <w:rsid w:val="6E32B396"/>
    <w:rsid w:val="6E33C1F6"/>
    <w:rsid w:val="6E33F13F"/>
    <w:rsid w:val="6E342899"/>
    <w:rsid w:val="6E345F84"/>
    <w:rsid w:val="6E34949B"/>
    <w:rsid w:val="6E34DF55"/>
    <w:rsid w:val="6E3537F9"/>
    <w:rsid w:val="6E35D981"/>
    <w:rsid w:val="6E36A41A"/>
    <w:rsid w:val="6E36B046"/>
    <w:rsid w:val="6E370551"/>
    <w:rsid w:val="6E3712BA"/>
    <w:rsid w:val="6E3727B9"/>
    <w:rsid w:val="6E37798B"/>
    <w:rsid w:val="6E3791B7"/>
    <w:rsid w:val="6E385E01"/>
    <w:rsid w:val="6E39181F"/>
    <w:rsid w:val="6E39CD53"/>
    <w:rsid w:val="6E39FBB8"/>
    <w:rsid w:val="6E3A56E3"/>
    <w:rsid w:val="6E3A7F42"/>
    <w:rsid w:val="6E3AF0C3"/>
    <w:rsid w:val="6E3B2073"/>
    <w:rsid w:val="6E3B3EEB"/>
    <w:rsid w:val="6E3B8EC1"/>
    <w:rsid w:val="6E3CD4BE"/>
    <w:rsid w:val="6E3E0AC2"/>
    <w:rsid w:val="6E3E5BE3"/>
    <w:rsid w:val="6E3FB9AE"/>
    <w:rsid w:val="6E4007EC"/>
    <w:rsid w:val="6E406519"/>
    <w:rsid w:val="6E415E6F"/>
    <w:rsid w:val="6E4227FF"/>
    <w:rsid w:val="6E425687"/>
    <w:rsid w:val="6E42B726"/>
    <w:rsid w:val="6E42CE24"/>
    <w:rsid w:val="6E42EB98"/>
    <w:rsid w:val="6E43A934"/>
    <w:rsid w:val="6E43C99B"/>
    <w:rsid w:val="6E45314A"/>
    <w:rsid w:val="6E468B4D"/>
    <w:rsid w:val="6E480B01"/>
    <w:rsid w:val="6E48DBD8"/>
    <w:rsid w:val="6E4962E1"/>
    <w:rsid w:val="6E49AEB3"/>
    <w:rsid w:val="6E4A66A5"/>
    <w:rsid w:val="6E4AB9B9"/>
    <w:rsid w:val="6E4B3270"/>
    <w:rsid w:val="6E4B52F4"/>
    <w:rsid w:val="6E4C301C"/>
    <w:rsid w:val="6E4CF200"/>
    <w:rsid w:val="6E4D1969"/>
    <w:rsid w:val="6E4ED005"/>
    <w:rsid w:val="6E4EFD85"/>
    <w:rsid w:val="6E4F1904"/>
    <w:rsid w:val="6E4F84E7"/>
    <w:rsid w:val="6E50667D"/>
    <w:rsid w:val="6E50DDDD"/>
    <w:rsid w:val="6E511F22"/>
    <w:rsid w:val="6E513F9C"/>
    <w:rsid w:val="6E5325FA"/>
    <w:rsid w:val="6E54A6EF"/>
    <w:rsid w:val="6E55303E"/>
    <w:rsid w:val="6E570C84"/>
    <w:rsid w:val="6E5789CE"/>
    <w:rsid w:val="6E584E7A"/>
    <w:rsid w:val="6E58865C"/>
    <w:rsid w:val="6E5B317C"/>
    <w:rsid w:val="6E5B4C4F"/>
    <w:rsid w:val="6E5B652E"/>
    <w:rsid w:val="6E5B9CCB"/>
    <w:rsid w:val="6E5BAEDB"/>
    <w:rsid w:val="6E5BCB5E"/>
    <w:rsid w:val="6E5C73C2"/>
    <w:rsid w:val="6E5CF8EC"/>
    <w:rsid w:val="6E5D1DD0"/>
    <w:rsid w:val="6E5DB4CE"/>
    <w:rsid w:val="6E5DC7C2"/>
    <w:rsid w:val="6E5E23A5"/>
    <w:rsid w:val="6E5E37CB"/>
    <w:rsid w:val="6E5EB202"/>
    <w:rsid w:val="6E5FA7EE"/>
    <w:rsid w:val="6E5FBAFD"/>
    <w:rsid w:val="6E603000"/>
    <w:rsid w:val="6E605894"/>
    <w:rsid w:val="6E6073FA"/>
    <w:rsid w:val="6E6080E2"/>
    <w:rsid w:val="6E60B5FA"/>
    <w:rsid w:val="6E60C5C4"/>
    <w:rsid w:val="6E6124D4"/>
    <w:rsid w:val="6E61AAAA"/>
    <w:rsid w:val="6E62D02B"/>
    <w:rsid w:val="6E62DEB0"/>
    <w:rsid w:val="6E642672"/>
    <w:rsid w:val="6E659F26"/>
    <w:rsid w:val="6E65C0D4"/>
    <w:rsid w:val="6E65DC85"/>
    <w:rsid w:val="6E664453"/>
    <w:rsid w:val="6E66CC00"/>
    <w:rsid w:val="6E675D5F"/>
    <w:rsid w:val="6E67CDDB"/>
    <w:rsid w:val="6E67E752"/>
    <w:rsid w:val="6E686B9F"/>
    <w:rsid w:val="6E688F2E"/>
    <w:rsid w:val="6E696BF6"/>
    <w:rsid w:val="6E69B1E8"/>
    <w:rsid w:val="6E6A0E52"/>
    <w:rsid w:val="6E6A3F9C"/>
    <w:rsid w:val="6E6A428A"/>
    <w:rsid w:val="6E6B2391"/>
    <w:rsid w:val="6E6B9696"/>
    <w:rsid w:val="6E6C2E0A"/>
    <w:rsid w:val="6E6D4950"/>
    <w:rsid w:val="6E6DB075"/>
    <w:rsid w:val="6E6EA4C4"/>
    <w:rsid w:val="6E6EA9C7"/>
    <w:rsid w:val="6E6F71B7"/>
    <w:rsid w:val="6E700BA7"/>
    <w:rsid w:val="6E70F370"/>
    <w:rsid w:val="6E716662"/>
    <w:rsid w:val="6E72082C"/>
    <w:rsid w:val="6E725389"/>
    <w:rsid w:val="6E728B1C"/>
    <w:rsid w:val="6E732D33"/>
    <w:rsid w:val="6E734469"/>
    <w:rsid w:val="6E73CEDD"/>
    <w:rsid w:val="6E74B80C"/>
    <w:rsid w:val="6E780660"/>
    <w:rsid w:val="6E7888D9"/>
    <w:rsid w:val="6E78A864"/>
    <w:rsid w:val="6E7993AF"/>
    <w:rsid w:val="6E7A484F"/>
    <w:rsid w:val="6E7B4A76"/>
    <w:rsid w:val="6E7BC178"/>
    <w:rsid w:val="6E7BD62D"/>
    <w:rsid w:val="6E7C074B"/>
    <w:rsid w:val="6E7C3469"/>
    <w:rsid w:val="6E7C884D"/>
    <w:rsid w:val="6E7C8977"/>
    <w:rsid w:val="6E7CE883"/>
    <w:rsid w:val="6E7D2B6F"/>
    <w:rsid w:val="6E7DB6A1"/>
    <w:rsid w:val="6E7DF01C"/>
    <w:rsid w:val="6E7EA63C"/>
    <w:rsid w:val="6E7F10FF"/>
    <w:rsid w:val="6E801D6B"/>
    <w:rsid w:val="6E80438B"/>
    <w:rsid w:val="6E8077D9"/>
    <w:rsid w:val="6E81023D"/>
    <w:rsid w:val="6E8186FB"/>
    <w:rsid w:val="6E820256"/>
    <w:rsid w:val="6E826F85"/>
    <w:rsid w:val="6E827F0B"/>
    <w:rsid w:val="6E82AE1E"/>
    <w:rsid w:val="6E82FEAF"/>
    <w:rsid w:val="6E838786"/>
    <w:rsid w:val="6E845F4B"/>
    <w:rsid w:val="6E846F0E"/>
    <w:rsid w:val="6E84B5AC"/>
    <w:rsid w:val="6E859A8F"/>
    <w:rsid w:val="6E85ADE7"/>
    <w:rsid w:val="6E85D8F9"/>
    <w:rsid w:val="6E869D9D"/>
    <w:rsid w:val="6E871567"/>
    <w:rsid w:val="6E875F61"/>
    <w:rsid w:val="6E879511"/>
    <w:rsid w:val="6E88BE69"/>
    <w:rsid w:val="6E89362C"/>
    <w:rsid w:val="6E897835"/>
    <w:rsid w:val="6E8A0426"/>
    <w:rsid w:val="6E8A4C87"/>
    <w:rsid w:val="6E8B5289"/>
    <w:rsid w:val="6E8B874D"/>
    <w:rsid w:val="6E8C6207"/>
    <w:rsid w:val="6E8C8B0A"/>
    <w:rsid w:val="6E8CF6A3"/>
    <w:rsid w:val="6E8D4197"/>
    <w:rsid w:val="6E8DBC07"/>
    <w:rsid w:val="6E8E91D1"/>
    <w:rsid w:val="6E8EED86"/>
    <w:rsid w:val="6E8F4909"/>
    <w:rsid w:val="6E8F58D8"/>
    <w:rsid w:val="6E903ED1"/>
    <w:rsid w:val="6E90EF94"/>
    <w:rsid w:val="6E91C3CE"/>
    <w:rsid w:val="6E9218A5"/>
    <w:rsid w:val="6E928DDD"/>
    <w:rsid w:val="6E933ACC"/>
    <w:rsid w:val="6E93F42C"/>
    <w:rsid w:val="6E956621"/>
    <w:rsid w:val="6E95E3D5"/>
    <w:rsid w:val="6E96099D"/>
    <w:rsid w:val="6E961E5E"/>
    <w:rsid w:val="6E967090"/>
    <w:rsid w:val="6E96CF22"/>
    <w:rsid w:val="6E979C57"/>
    <w:rsid w:val="6E982E48"/>
    <w:rsid w:val="6E98B896"/>
    <w:rsid w:val="6E9A376F"/>
    <w:rsid w:val="6E9A5C07"/>
    <w:rsid w:val="6E9A7A54"/>
    <w:rsid w:val="6E9AEC15"/>
    <w:rsid w:val="6E9B0637"/>
    <w:rsid w:val="6E9B09E8"/>
    <w:rsid w:val="6E9B4B63"/>
    <w:rsid w:val="6E9C8EE3"/>
    <w:rsid w:val="6E9CDBA1"/>
    <w:rsid w:val="6E9D2C87"/>
    <w:rsid w:val="6E9D632D"/>
    <w:rsid w:val="6E9F343B"/>
    <w:rsid w:val="6E9F774D"/>
    <w:rsid w:val="6E9FF9CA"/>
    <w:rsid w:val="6EA04E40"/>
    <w:rsid w:val="6EA07577"/>
    <w:rsid w:val="6EA191EE"/>
    <w:rsid w:val="6EA27E76"/>
    <w:rsid w:val="6EA29C6C"/>
    <w:rsid w:val="6EA34344"/>
    <w:rsid w:val="6EA518CC"/>
    <w:rsid w:val="6EA54427"/>
    <w:rsid w:val="6EA5EC1F"/>
    <w:rsid w:val="6EA67522"/>
    <w:rsid w:val="6EA77646"/>
    <w:rsid w:val="6EA85E01"/>
    <w:rsid w:val="6EA861AB"/>
    <w:rsid w:val="6EA8E668"/>
    <w:rsid w:val="6EA8E6C6"/>
    <w:rsid w:val="6EA9A1DD"/>
    <w:rsid w:val="6EAA8B41"/>
    <w:rsid w:val="6EAA90E4"/>
    <w:rsid w:val="6EAAF328"/>
    <w:rsid w:val="6EAC3327"/>
    <w:rsid w:val="6EAC6E1F"/>
    <w:rsid w:val="6EACD522"/>
    <w:rsid w:val="6EAD8B2B"/>
    <w:rsid w:val="6EAE327A"/>
    <w:rsid w:val="6EAE596E"/>
    <w:rsid w:val="6EAEC795"/>
    <w:rsid w:val="6EAFCD8E"/>
    <w:rsid w:val="6EB0172D"/>
    <w:rsid w:val="6EB022C5"/>
    <w:rsid w:val="6EB075FA"/>
    <w:rsid w:val="6EB0FE55"/>
    <w:rsid w:val="6EB1011B"/>
    <w:rsid w:val="6EB13162"/>
    <w:rsid w:val="6EB24F47"/>
    <w:rsid w:val="6EB38242"/>
    <w:rsid w:val="6EB3E82C"/>
    <w:rsid w:val="6EB46DBF"/>
    <w:rsid w:val="6EB55DE4"/>
    <w:rsid w:val="6EB59111"/>
    <w:rsid w:val="6EB5F070"/>
    <w:rsid w:val="6EB6C214"/>
    <w:rsid w:val="6EB706D7"/>
    <w:rsid w:val="6EB8C5BA"/>
    <w:rsid w:val="6EB95D89"/>
    <w:rsid w:val="6EB993EC"/>
    <w:rsid w:val="6EB9C788"/>
    <w:rsid w:val="6EBA431B"/>
    <w:rsid w:val="6EBA81B0"/>
    <w:rsid w:val="6EBBE66A"/>
    <w:rsid w:val="6EBCFC36"/>
    <w:rsid w:val="6EBD0807"/>
    <w:rsid w:val="6EBD5E45"/>
    <w:rsid w:val="6EBEA4D0"/>
    <w:rsid w:val="6EC074DA"/>
    <w:rsid w:val="6EC1C1E7"/>
    <w:rsid w:val="6EC26A29"/>
    <w:rsid w:val="6EC29E0A"/>
    <w:rsid w:val="6EC2CCC3"/>
    <w:rsid w:val="6EC3638B"/>
    <w:rsid w:val="6EC42F07"/>
    <w:rsid w:val="6EC6206F"/>
    <w:rsid w:val="6EC6ABBD"/>
    <w:rsid w:val="6EC86178"/>
    <w:rsid w:val="6EC99D60"/>
    <w:rsid w:val="6EC9C64B"/>
    <w:rsid w:val="6ECA3095"/>
    <w:rsid w:val="6ECAB448"/>
    <w:rsid w:val="6ECB916C"/>
    <w:rsid w:val="6ECC8379"/>
    <w:rsid w:val="6ECCCA2C"/>
    <w:rsid w:val="6ECD05D8"/>
    <w:rsid w:val="6ECD4B23"/>
    <w:rsid w:val="6ECD4D77"/>
    <w:rsid w:val="6ECD59D6"/>
    <w:rsid w:val="6ECD5AFA"/>
    <w:rsid w:val="6ECE1DFB"/>
    <w:rsid w:val="6ECE3175"/>
    <w:rsid w:val="6ECE64E6"/>
    <w:rsid w:val="6ECE829A"/>
    <w:rsid w:val="6ECE87A4"/>
    <w:rsid w:val="6ED1666B"/>
    <w:rsid w:val="6ED17FEE"/>
    <w:rsid w:val="6ED22FA7"/>
    <w:rsid w:val="6ED4A1C2"/>
    <w:rsid w:val="6ED4C012"/>
    <w:rsid w:val="6ED4D0D7"/>
    <w:rsid w:val="6ED4E22E"/>
    <w:rsid w:val="6ED4F90E"/>
    <w:rsid w:val="6ED5A366"/>
    <w:rsid w:val="6ED690E2"/>
    <w:rsid w:val="6ED697EF"/>
    <w:rsid w:val="6ED7FF7D"/>
    <w:rsid w:val="6ED824A6"/>
    <w:rsid w:val="6ED8D5A5"/>
    <w:rsid w:val="6ED9563F"/>
    <w:rsid w:val="6EDA87F2"/>
    <w:rsid w:val="6EDAEB20"/>
    <w:rsid w:val="6EDAEC53"/>
    <w:rsid w:val="6EDC2051"/>
    <w:rsid w:val="6EDC6EC8"/>
    <w:rsid w:val="6EDC78E4"/>
    <w:rsid w:val="6EDCD66E"/>
    <w:rsid w:val="6EDD98A8"/>
    <w:rsid w:val="6EDDBC62"/>
    <w:rsid w:val="6EDEB2FA"/>
    <w:rsid w:val="6EDF46DF"/>
    <w:rsid w:val="6EDF82B2"/>
    <w:rsid w:val="6EDFFB84"/>
    <w:rsid w:val="6EE0144D"/>
    <w:rsid w:val="6EE03CBA"/>
    <w:rsid w:val="6EE0B4E1"/>
    <w:rsid w:val="6EE234EE"/>
    <w:rsid w:val="6EE28128"/>
    <w:rsid w:val="6EE3DAED"/>
    <w:rsid w:val="6EE54DE1"/>
    <w:rsid w:val="6EE57524"/>
    <w:rsid w:val="6EE672DE"/>
    <w:rsid w:val="6EE71599"/>
    <w:rsid w:val="6EE735DC"/>
    <w:rsid w:val="6EE75387"/>
    <w:rsid w:val="6EE7FAFF"/>
    <w:rsid w:val="6EE811C9"/>
    <w:rsid w:val="6EE86EF0"/>
    <w:rsid w:val="6EE87EA9"/>
    <w:rsid w:val="6EE8CEB1"/>
    <w:rsid w:val="6EE9BCC1"/>
    <w:rsid w:val="6EEA99D1"/>
    <w:rsid w:val="6EEB4F1F"/>
    <w:rsid w:val="6EEB7AB8"/>
    <w:rsid w:val="6EEC93D1"/>
    <w:rsid w:val="6EED78D4"/>
    <w:rsid w:val="6EEEB430"/>
    <w:rsid w:val="6EEF234D"/>
    <w:rsid w:val="6EEF8F7F"/>
    <w:rsid w:val="6EF0C829"/>
    <w:rsid w:val="6EF138A8"/>
    <w:rsid w:val="6EF15262"/>
    <w:rsid w:val="6EF168AF"/>
    <w:rsid w:val="6EF279AB"/>
    <w:rsid w:val="6EF29D51"/>
    <w:rsid w:val="6EF33A08"/>
    <w:rsid w:val="6EF3A6E1"/>
    <w:rsid w:val="6EF41270"/>
    <w:rsid w:val="6EF43C2F"/>
    <w:rsid w:val="6EF4BB8C"/>
    <w:rsid w:val="6EF54979"/>
    <w:rsid w:val="6EF5BE0C"/>
    <w:rsid w:val="6EF6C9C4"/>
    <w:rsid w:val="6EF715DF"/>
    <w:rsid w:val="6EF79B93"/>
    <w:rsid w:val="6EF7B8BB"/>
    <w:rsid w:val="6EF8A4FF"/>
    <w:rsid w:val="6EF91CAE"/>
    <w:rsid w:val="6EFA384B"/>
    <w:rsid w:val="6EFB261F"/>
    <w:rsid w:val="6EFB6F36"/>
    <w:rsid w:val="6EFBF3FD"/>
    <w:rsid w:val="6EFC626D"/>
    <w:rsid w:val="6EFE3274"/>
    <w:rsid w:val="6EFE4F90"/>
    <w:rsid w:val="6EFE632B"/>
    <w:rsid w:val="6EFEFEA4"/>
    <w:rsid w:val="6EFF0F5C"/>
    <w:rsid w:val="6F01747F"/>
    <w:rsid w:val="6F01C07A"/>
    <w:rsid w:val="6F026139"/>
    <w:rsid w:val="6F0278B8"/>
    <w:rsid w:val="6F032FD9"/>
    <w:rsid w:val="6F039E0E"/>
    <w:rsid w:val="6F0419B8"/>
    <w:rsid w:val="6F041AF4"/>
    <w:rsid w:val="6F0436CA"/>
    <w:rsid w:val="6F055122"/>
    <w:rsid w:val="6F057DC7"/>
    <w:rsid w:val="6F0638F3"/>
    <w:rsid w:val="6F0671D6"/>
    <w:rsid w:val="6F07920F"/>
    <w:rsid w:val="6F0889AF"/>
    <w:rsid w:val="6F0940AB"/>
    <w:rsid w:val="6F095366"/>
    <w:rsid w:val="6F09B589"/>
    <w:rsid w:val="6F0A7616"/>
    <w:rsid w:val="6F0ACA46"/>
    <w:rsid w:val="6F0BAEA0"/>
    <w:rsid w:val="6F0C4418"/>
    <w:rsid w:val="6F0C514A"/>
    <w:rsid w:val="6F0CB644"/>
    <w:rsid w:val="6F0D5DB0"/>
    <w:rsid w:val="6F0E4E3A"/>
    <w:rsid w:val="6F0ECDA3"/>
    <w:rsid w:val="6F0F3729"/>
    <w:rsid w:val="6F113D3A"/>
    <w:rsid w:val="6F118CBB"/>
    <w:rsid w:val="6F11994E"/>
    <w:rsid w:val="6F119953"/>
    <w:rsid w:val="6F124DCC"/>
    <w:rsid w:val="6F129653"/>
    <w:rsid w:val="6F134BBE"/>
    <w:rsid w:val="6F1381DD"/>
    <w:rsid w:val="6F13BF5B"/>
    <w:rsid w:val="6F13D0EB"/>
    <w:rsid w:val="6F1463C8"/>
    <w:rsid w:val="6F1528C7"/>
    <w:rsid w:val="6F157602"/>
    <w:rsid w:val="6F161CFC"/>
    <w:rsid w:val="6F16369D"/>
    <w:rsid w:val="6F1648A0"/>
    <w:rsid w:val="6F173F0D"/>
    <w:rsid w:val="6F1878C0"/>
    <w:rsid w:val="6F18AAF5"/>
    <w:rsid w:val="6F18E2C2"/>
    <w:rsid w:val="6F1975AB"/>
    <w:rsid w:val="6F19BF91"/>
    <w:rsid w:val="6F1C6F66"/>
    <w:rsid w:val="6F1E0A81"/>
    <w:rsid w:val="6F1E905B"/>
    <w:rsid w:val="6F1E9B6C"/>
    <w:rsid w:val="6F1F406D"/>
    <w:rsid w:val="6F2025E3"/>
    <w:rsid w:val="6F20E99F"/>
    <w:rsid w:val="6F21737B"/>
    <w:rsid w:val="6F218627"/>
    <w:rsid w:val="6F218894"/>
    <w:rsid w:val="6F219536"/>
    <w:rsid w:val="6F221802"/>
    <w:rsid w:val="6F22B634"/>
    <w:rsid w:val="6F230712"/>
    <w:rsid w:val="6F23F168"/>
    <w:rsid w:val="6F248DA9"/>
    <w:rsid w:val="6F24D1C2"/>
    <w:rsid w:val="6F24DD54"/>
    <w:rsid w:val="6F250B56"/>
    <w:rsid w:val="6F251ED4"/>
    <w:rsid w:val="6F257F3E"/>
    <w:rsid w:val="6F25A462"/>
    <w:rsid w:val="6F25A8DF"/>
    <w:rsid w:val="6F263663"/>
    <w:rsid w:val="6F265538"/>
    <w:rsid w:val="6F265CB0"/>
    <w:rsid w:val="6F26A54E"/>
    <w:rsid w:val="6F26C3FC"/>
    <w:rsid w:val="6F26CECA"/>
    <w:rsid w:val="6F29E2EE"/>
    <w:rsid w:val="6F2A4A27"/>
    <w:rsid w:val="6F2B3A54"/>
    <w:rsid w:val="6F2B978A"/>
    <w:rsid w:val="6F2BA268"/>
    <w:rsid w:val="6F2CC4AE"/>
    <w:rsid w:val="6F2CE35E"/>
    <w:rsid w:val="6F2CF1DA"/>
    <w:rsid w:val="6F2D2011"/>
    <w:rsid w:val="6F2E3AB6"/>
    <w:rsid w:val="6F2E56F2"/>
    <w:rsid w:val="6F2E5BDF"/>
    <w:rsid w:val="6F2F1329"/>
    <w:rsid w:val="6F2F6FAD"/>
    <w:rsid w:val="6F2FBCD1"/>
    <w:rsid w:val="6F308D42"/>
    <w:rsid w:val="6F309D74"/>
    <w:rsid w:val="6F31188C"/>
    <w:rsid w:val="6F32656C"/>
    <w:rsid w:val="6F330A04"/>
    <w:rsid w:val="6F338506"/>
    <w:rsid w:val="6F33B4A6"/>
    <w:rsid w:val="6F33C2AA"/>
    <w:rsid w:val="6F3448AD"/>
    <w:rsid w:val="6F34B53D"/>
    <w:rsid w:val="6F34C9D0"/>
    <w:rsid w:val="6F34DBBB"/>
    <w:rsid w:val="6F34E36F"/>
    <w:rsid w:val="6F34E62C"/>
    <w:rsid w:val="6F351ED7"/>
    <w:rsid w:val="6F355826"/>
    <w:rsid w:val="6F35EF85"/>
    <w:rsid w:val="6F362712"/>
    <w:rsid w:val="6F363C12"/>
    <w:rsid w:val="6F36CB5C"/>
    <w:rsid w:val="6F37B145"/>
    <w:rsid w:val="6F3896B2"/>
    <w:rsid w:val="6F394F66"/>
    <w:rsid w:val="6F39F0A9"/>
    <w:rsid w:val="6F3A4D13"/>
    <w:rsid w:val="6F3BF8A1"/>
    <w:rsid w:val="6F3D4B34"/>
    <w:rsid w:val="6F3D78D8"/>
    <w:rsid w:val="6F3DFA7E"/>
    <w:rsid w:val="6F3E4200"/>
    <w:rsid w:val="6F3F4F2D"/>
    <w:rsid w:val="6F3FA63E"/>
    <w:rsid w:val="6F411677"/>
    <w:rsid w:val="6F417BEC"/>
    <w:rsid w:val="6F41A7CE"/>
    <w:rsid w:val="6F41B8F2"/>
    <w:rsid w:val="6F424A8A"/>
    <w:rsid w:val="6F4260BA"/>
    <w:rsid w:val="6F438667"/>
    <w:rsid w:val="6F44DDF0"/>
    <w:rsid w:val="6F45274C"/>
    <w:rsid w:val="6F4542DC"/>
    <w:rsid w:val="6F466447"/>
    <w:rsid w:val="6F47175C"/>
    <w:rsid w:val="6F471E48"/>
    <w:rsid w:val="6F478EB4"/>
    <w:rsid w:val="6F47B35F"/>
    <w:rsid w:val="6F482748"/>
    <w:rsid w:val="6F485999"/>
    <w:rsid w:val="6F487593"/>
    <w:rsid w:val="6F48FB75"/>
    <w:rsid w:val="6F498B36"/>
    <w:rsid w:val="6F4997E9"/>
    <w:rsid w:val="6F49CAD2"/>
    <w:rsid w:val="6F4A2D5D"/>
    <w:rsid w:val="6F4A54BC"/>
    <w:rsid w:val="6F4B7164"/>
    <w:rsid w:val="6F4C16D3"/>
    <w:rsid w:val="6F4C6F1D"/>
    <w:rsid w:val="6F4CDADE"/>
    <w:rsid w:val="6F4DF6C4"/>
    <w:rsid w:val="6F4EDB73"/>
    <w:rsid w:val="6F4F1766"/>
    <w:rsid w:val="6F4F53D4"/>
    <w:rsid w:val="6F5020E1"/>
    <w:rsid w:val="6F502190"/>
    <w:rsid w:val="6F511D21"/>
    <w:rsid w:val="6F511F82"/>
    <w:rsid w:val="6F518AF3"/>
    <w:rsid w:val="6F538277"/>
    <w:rsid w:val="6F53A380"/>
    <w:rsid w:val="6F540009"/>
    <w:rsid w:val="6F54872A"/>
    <w:rsid w:val="6F54C5EE"/>
    <w:rsid w:val="6F558301"/>
    <w:rsid w:val="6F55D87A"/>
    <w:rsid w:val="6F56534C"/>
    <w:rsid w:val="6F56C631"/>
    <w:rsid w:val="6F56CED2"/>
    <w:rsid w:val="6F56F381"/>
    <w:rsid w:val="6F57B4BF"/>
    <w:rsid w:val="6F5886AF"/>
    <w:rsid w:val="6F588963"/>
    <w:rsid w:val="6F5963DC"/>
    <w:rsid w:val="6F5A159C"/>
    <w:rsid w:val="6F5B0838"/>
    <w:rsid w:val="6F5B6AB8"/>
    <w:rsid w:val="6F5C3B93"/>
    <w:rsid w:val="6F5C5A88"/>
    <w:rsid w:val="6F5CCD9B"/>
    <w:rsid w:val="6F5D749D"/>
    <w:rsid w:val="6F5DC829"/>
    <w:rsid w:val="6F5E6D7E"/>
    <w:rsid w:val="6F5F7BE9"/>
    <w:rsid w:val="6F5F9208"/>
    <w:rsid w:val="6F5FAC51"/>
    <w:rsid w:val="6F603FB3"/>
    <w:rsid w:val="6F611D8B"/>
    <w:rsid w:val="6F6235D8"/>
    <w:rsid w:val="6F6363FC"/>
    <w:rsid w:val="6F64082A"/>
    <w:rsid w:val="6F64E646"/>
    <w:rsid w:val="6F67D528"/>
    <w:rsid w:val="6F680B29"/>
    <w:rsid w:val="6F681BC9"/>
    <w:rsid w:val="6F691B8F"/>
    <w:rsid w:val="6F6A3480"/>
    <w:rsid w:val="6F6A9821"/>
    <w:rsid w:val="6F6C3EBA"/>
    <w:rsid w:val="6F6C43EA"/>
    <w:rsid w:val="6F6CE4B6"/>
    <w:rsid w:val="6F6D03B6"/>
    <w:rsid w:val="6F6D6867"/>
    <w:rsid w:val="6F6E4413"/>
    <w:rsid w:val="6F6F34DA"/>
    <w:rsid w:val="6F6F7068"/>
    <w:rsid w:val="6F70D642"/>
    <w:rsid w:val="6F71022E"/>
    <w:rsid w:val="6F71310E"/>
    <w:rsid w:val="6F72DF9B"/>
    <w:rsid w:val="6F733047"/>
    <w:rsid w:val="6F733253"/>
    <w:rsid w:val="6F733583"/>
    <w:rsid w:val="6F73B6FB"/>
    <w:rsid w:val="6F756A20"/>
    <w:rsid w:val="6F763C28"/>
    <w:rsid w:val="6F774D5E"/>
    <w:rsid w:val="6F780EE4"/>
    <w:rsid w:val="6F78EA78"/>
    <w:rsid w:val="6F798E59"/>
    <w:rsid w:val="6F7A0411"/>
    <w:rsid w:val="6F7B7922"/>
    <w:rsid w:val="6F7B83F9"/>
    <w:rsid w:val="6F7C31A5"/>
    <w:rsid w:val="6F7D1D34"/>
    <w:rsid w:val="6F7DC6C8"/>
    <w:rsid w:val="6F7E9FE4"/>
    <w:rsid w:val="6F7F13A3"/>
    <w:rsid w:val="6F7FB371"/>
    <w:rsid w:val="6F8049AD"/>
    <w:rsid w:val="6F8091A6"/>
    <w:rsid w:val="6F8247B4"/>
    <w:rsid w:val="6F82E3D9"/>
    <w:rsid w:val="6F84DD8E"/>
    <w:rsid w:val="6F85296A"/>
    <w:rsid w:val="6F8574EF"/>
    <w:rsid w:val="6F865713"/>
    <w:rsid w:val="6F8665BE"/>
    <w:rsid w:val="6F86AA3D"/>
    <w:rsid w:val="6F86C505"/>
    <w:rsid w:val="6F86D0A5"/>
    <w:rsid w:val="6F86FC64"/>
    <w:rsid w:val="6F87437B"/>
    <w:rsid w:val="6F87E66D"/>
    <w:rsid w:val="6F89188C"/>
    <w:rsid w:val="6F8AA359"/>
    <w:rsid w:val="6F8C2580"/>
    <w:rsid w:val="6F8C8E24"/>
    <w:rsid w:val="6F8CF835"/>
    <w:rsid w:val="6F8D3AEA"/>
    <w:rsid w:val="6F8E0E5A"/>
    <w:rsid w:val="6F8E4A8D"/>
    <w:rsid w:val="6F8EA3A2"/>
    <w:rsid w:val="6F8EAF6F"/>
    <w:rsid w:val="6F8EDECC"/>
    <w:rsid w:val="6F8FAD40"/>
    <w:rsid w:val="6F9155A9"/>
    <w:rsid w:val="6F91DDB4"/>
    <w:rsid w:val="6F925014"/>
    <w:rsid w:val="6F92A037"/>
    <w:rsid w:val="6F92D589"/>
    <w:rsid w:val="6F93B0FC"/>
    <w:rsid w:val="6F94E081"/>
    <w:rsid w:val="6F955989"/>
    <w:rsid w:val="6F967911"/>
    <w:rsid w:val="6F96C923"/>
    <w:rsid w:val="6F96E838"/>
    <w:rsid w:val="6F980CDA"/>
    <w:rsid w:val="6F984EEB"/>
    <w:rsid w:val="6F995561"/>
    <w:rsid w:val="6F9A05E9"/>
    <w:rsid w:val="6F9DA294"/>
    <w:rsid w:val="6F9E930B"/>
    <w:rsid w:val="6F9FE72C"/>
    <w:rsid w:val="6FA0893E"/>
    <w:rsid w:val="6FA0C513"/>
    <w:rsid w:val="6FA135AF"/>
    <w:rsid w:val="6FA22D5A"/>
    <w:rsid w:val="6FA279AF"/>
    <w:rsid w:val="6FA28FB9"/>
    <w:rsid w:val="6FA2AB31"/>
    <w:rsid w:val="6FA3B25A"/>
    <w:rsid w:val="6FA3B651"/>
    <w:rsid w:val="6FA4DA19"/>
    <w:rsid w:val="6FA54A9F"/>
    <w:rsid w:val="6FA655E1"/>
    <w:rsid w:val="6FA658E1"/>
    <w:rsid w:val="6FA6C861"/>
    <w:rsid w:val="6FA6FA40"/>
    <w:rsid w:val="6FA8FA11"/>
    <w:rsid w:val="6FAA086A"/>
    <w:rsid w:val="6FAA1A02"/>
    <w:rsid w:val="6FAA80CA"/>
    <w:rsid w:val="6FAAB55D"/>
    <w:rsid w:val="6FAB322C"/>
    <w:rsid w:val="6FAB4C0D"/>
    <w:rsid w:val="6FABD84B"/>
    <w:rsid w:val="6FACF898"/>
    <w:rsid w:val="6FAD3018"/>
    <w:rsid w:val="6FAD37DE"/>
    <w:rsid w:val="6FAE67CB"/>
    <w:rsid w:val="6FAF19F6"/>
    <w:rsid w:val="6FAF28EE"/>
    <w:rsid w:val="6FAFFD46"/>
    <w:rsid w:val="6FB0A7B1"/>
    <w:rsid w:val="6FB2F1E7"/>
    <w:rsid w:val="6FB300F5"/>
    <w:rsid w:val="6FB3674C"/>
    <w:rsid w:val="6FB39D3E"/>
    <w:rsid w:val="6FB5FD4B"/>
    <w:rsid w:val="6FB60E86"/>
    <w:rsid w:val="6FB65438"/>
    <w:rsid w:val="6FB700E0"/>
    <w:rsid w:val="6FB7C4E7"/>
    <w:rsid w:val="6FB98641"/>
    <w:rsid w:val="6FB98A98"/>
    <w:rsid w:val="6FB9AE25"/>
    <w:rsid w:val="6FBA9D77"/>
    <w:rsid w:val="6FBBB197"/>
    <w:rsid w:val="6FBBBE3C"/>
    <w:rsid w:val="6FBBF31C"/>
    <w:rsid w:val="6FBC0774"/>
    <w:rsid w:val="6FBDB58E"/>
    <w:rsid w:val="6FBDFDC6"/>
    <w:rsid w:val="6FBE6E92"/>
    <w:rsid w:val="6FBEF434"/>
    <w:rsid w:val="6FC05938"/>
    <w:rsid w:val="6FC0789E"/>
    <w:rsid w:val="6FC15DC7"/>
    <w:rsid w:val="6FC18B28"/>
    <w:rsid w:val="6FC1F983"/>
    <w:rsid w:val="6FC2458C"/>
    <w:rsid w:val="6FC2D455"/>
    <w:rsid w:val="6FC37211"/>
    <w:rsid w:val="6FC3DF21"/>
    <w:rsid w:val="6FC3F9F2"/>
    <w:rsid w:val="6FC47B17"/>
    <w:rsid w:val="6FC553AC"/>
    <w:rsid w:val="6FC5B0D7"/>
    <w:rsid w:val="6FC6E819"/>
    <w:rsid w:val="6FC75325"/>
    <w:rsid w:val="6FC787BB"/>
    <w:rsid w:val="6FC7AED7"/>
    <w:rsid w:val="6FC8688C"/>
    <w:rsid w:val="6FC94F11"/>
    <w:rsid w:val="6FCA4DCB"/>
    <w:rsid w:val="6FCA6468"/>
    <w:rsid w:val="6FCA6CBE"/>
    <w:rsid w:val="6FCB4048"/>
    <w:rsid w:val="6FCB5158"/>
    <w:rsid w:val="6FCCDD7C"/>
    <w:rsid w:val="6FCCE136"/>
    <w:rsid w:val="6FCD0B10"/>
    <w:rsid w:val="6FCD1194"/>
    <w:rsid w:val="6FCD9F38"/>
    <w:rsid w:val="6FCDA260"/>
    <w:rsid w:val="6FCDB2A1"/>
    <w:rsid w:val="6FCE2D28"/>
    <w:rsid w:val="6FCF6D6B"/>
    <w:rsid w:val="6FCF7B7C"/>
    <w:rsid w:val="6FCFFCBC"/>
    <w:rsid w:val="6FD09DB4"/>
    <w:rsid w:val="6FD0F9B8"/>
    <w:rsid w:val="6FD14811"/>
    <w:rsid w:val="6FD163B1"/>
    <w:rsid w:val="6FD17CD7"/>
    <w:rsid w:val="6FD1A9E6"/>
    <w:rsid w:val="6FD26C2B"/>
    <w:rsid w:val="6FD2B9A0"/>
    <w:rsid w:val="6FD2E7A3"/>
    <w:rsid w:val="6FD2E9D9"/>
    <w:rsid w:val="6FD2F566"/>
    <w:rsid w:val="6FD3524F"/>
    <w:rsid w:val="6FD3C301"/>
    <w:rsid w:val="6FD4C3D1"/>
    <w:rsid w:val="6FD56295"/>
    <w:rsid w:val="6FD64FA3"/>
    <w:rsid w:val="6FD82BC5"/>
    <w:rsid w:val="6FDA2C44"/>
    <w:rsid w:val="6FDAF745"/>
    <w:rsid w:val="6FDB0C95"/>
    <w:rsid w:val="6FDC8413"/>
    <w:rsid w:val="6FDC8A91"/>
    <w:rsid w:val="6FDCD119"/>
    <w:rsid w:val="6FDD1EAA"/>
    <w:rsid w:val="6FDD4084"/>
    <w:rsid w:val="6FDDEC34"/>
    <w:rsid w:val="6FDE0DE3"/>
    <w:rsid w:val="6FDF2128"/>
    <w:rsid w:val="6FDF5D79"/>
    <w:rsid w:val="6FDFB051"/>
    <w:rsid w:val="6FDFB97A"/>
    <w:rsid w:val="6FE06E50"/>
    <w:rsid w:val="6FE0B5B3"/>
    <w:rsid w:val="6FE288B2"/>
    <w:rsid w:val="6FE28E64"/>
    <w:rsid w:val="6FE327CA"/>
    <w:rsid w:val="6FE32887"/>
    <w:rsid w:val="6FE39BF5"/>
    <w:rsid w:val="6FE3E497"/>
    <w:rsid w:val="6FE3ED4F"/>
    <w:rsid w:val="6FE40C55"/>
    <w:rsid w:val="6FE47F29"/>
    <w:rsid w:val="6FE53529"/>
    <w:rsid w:val="6FE5F37D"/>
    <w:rsid w:val="6FE62847"/>
    <w:rsid w:val="6FE650AF"/>
    <w:rsid w:val="6FE66FD0"/>
    <w:rsid w:val="6FE70EF8"/>
    <w:rsid w:val="6FE74060"/>
    <w:rsid w:val="6FE82A9A"/>
    <w:rsid w:val="6FE8417C"/>
    <w:rsid w:val="6FE94697"/>
    <w:rsid w:val="6FE947C6"/>
    <w:rsid w:val="6FE9EF5E"/>
    <w:rsid w:val="6FEA33FD"/>
    <w:rsid w:val="6FEB9B7A"/>
    <w:rsid w:val="6FEBE66F"/>
    <w:rsid w:val="6FEC96EC"/>
    <w:rsid w:val="6FECC3C1"/>
    <w:rsid w:val="6FEDBE24"/>
    <w:rsid w:val="6FEE8552"/>
    <w:rsid w:val="6FEEC42D"/>
    <w:rsid w:val="6FEF76CF"/>
    <w:rsid w:val="6FEFE42D"/>
    <w:rsid w:val="6FF01C18"/>
    <w:rsid w:val="6FF03FA7"/>
    <w:rsid w:val="6FF05EB3"/>
    <w:rsid w:val="6FF0892A"/>
    <w:rsid w:val="6FF0B7EE"/>
    <w:rsid w:val="6FF3080B"/>
    <w:rsid w:val="6FF39BB1"/>
    <w:rsid w:val="6FF3D871"/>
    <w:rsid w:val="6FF41BB2"/>
    <w:rsid w:val="6FF45FFD"/>
    <w:rsid w:val="6FF471C3"/>
    <w:rsid w:val="6FF4862D"/>
    <w:rsid w:val="6FF55D29"/>
    <w:rsid w:val="6FF60BD8"/>
    <w:rsid w:val="6FF63CD8"/>
    <w:rsid w:val="6FF68DBA"/>
    <w:rsid w:val="6FF6B95F"/>
    <w:rsid w:val="6FF72391"/>
    <w:rsid w:val="6FF8AFA6"/>
    <w:rsid w:val="6FF9AB61"/>
    <w:rsid w:val="6FFA7A63"/>
    <w:rsid w:val="6FFC2E61"/>
    <w:rsid w:val="6FFC6CCC"/>
    <w:rsid w:val="6FFC9BB8"/>
    <w:rsid w:val="6FFCA529"/>
    <w:rsid w:val="6FFCE4F0"/>
    <w:rsid w:val="6FFF049F"/>
    <w:rsid w:val="6FFF5525"/>
    <w:rsid w:val="70008C57"/>
    <w:rsid w:val="7000C018"/>
    <w:rsid w:val="7000EF71"/>
    <w:rsid w:val="7000F736"/>
    <w:rsid w:val="70015F7D"/>
    <w:rsid w:val="70022DDE"/>
    <w:rsid w:val="700247F3"/>
    <w:rsid w:val="70038928"/>
    <w:rsid w:val="70040106"/>
    <w:rsid w:val="700458CA"/>
    <w:rsid w:val="7004D2E3"/>
    <w:rsid w:val="7004DAD5"/>
    <w:rsid w:val="7005188C"/>
    <w:rsid w:val="70066317"/>
    <w:rsid w:val="70068428"/>
    <w:rsid w:val="7006E5F8"/>
    <w:rsid w:val="7006E976"/>
    <w:rsid w:val="7007A4B1"/>
    <w:rsid w:val="7008D9CC"/>
    <w:rsid w:val="700962DE"/>
    <w:rsid w:val="7009681F"/>
    <w:rsid w:val="70096B96"/>
    <w:rsid w:val="700A9885"/>
    <w:rsid w:val="700A9EBD"/>
    <w:rsid w:val="700AD323"/>
    <w:rsid w:val="700B25EB"/>
    <w:rsid w:val="700B3E3A"/>
    <w:rsid w:val="700BD841"/>
    <w:rsid w:val="700BE52A"/>
    <w:rsid w:val="700DCDF1"/>
    <w:rsid w:val="700DEFF8"/>
    <w:rsid w:val="700E9844"/>
    <w:rsid w:val="700EFE45"/>
    <w:rsid w:val="700F0518"/>
    <w:rsid w:val="700F5274"/>
    <w:rsid w:val="7010DF08"/>
    <w:rsid w:val="7011C713"/>
    <w:rsid w:val="7012B07D"/>
    <w:rsid w:val="7012F538"/>
    <w:rsid w:val="7013C8FC"/>
    <w:rsid w:val="701615C8"/>
    <w:rsid w:val="70183DAB"/>
    <w:rsid w:val="7018CAFD"/>
    <w:rsid w:val="70193EFB"/>
    <w:rsid w:val="7019F96D"/>
    <w:rsid w:val="701A995C"/>
    <w:rsid w:val="701B1DF7"/>
    <w:rsid w:val="701B75C0"/>
    <w:rsid w:val="701BC6E7"/>
    <w:rsid w:val="701CC54A"/>
    <w:rsid w:val="701D0E36"/>
    <w:rsid w:val="701D8700"/>
    <w:rsid w:val="701E0AD8"/>
    <w:rsid w:val="701E4048"/>
    <w:rsid w:val="701EABCB"/>
    <w:rsid w:val="701EF266"/>
    <w:rsid w:val="701FC1F4"/>
    <w:rsid w:val="70209A64"/>
    <w:rsid w:val="70226EF0"/>
    <w:rsid w:val="7022BE3A"/>
    <w:rsid w:val="70234D93"/>
    <w:rsid w:val="7023C869"/>
    <w:rsid w:val="702492D3"/>
    <w:rsid w:val="70265DE4"/>
    <w:rsid w:val="70268160"/>
    <w:rsid w:val="7026B011"/>
    <w:rsid w:val="7026E808"/>
    <w:rsid w:val="70270508"/>
    <w:rsid w:val="7028070D"/>
    <w:rsid w:val="70281059"/>
    <w:rsid w:val="70287A71"/>
    <w:rsid w:val="7028981E"/>
    <w:rsid w:val="702903BB"/>
    <w:rsid w:val="7029255B"/>
    <w:rsid w:val="7029B381"/>
    <w:rsid w:val="702AB205"/>
    <w:rsid w:val="702B4D05"/>
    <w:rsid w:val="702B5B47"/>
    <w:rsid w:val="702B8E07"/>
    <w:rsid w:val="702BF0C8"/>
    <w:rsid w:val="702C8A51"/>
    <w:rsid w:val="702C8BEC"/>
    <w:rsid w:val="702CC045"/>
    <w:rsid w:val="702CCA92"/>
    <w:rsid w:val="702E1866"/>
    <w:rsid w:val="702E7E7C"/>
    <w:rsid w:val="702EC290"/>
    <w:rsid w:val="7031188F"/>
    <w:rsid w:val="7031AF4F"/>
    <w:rsid w:val="70327EFC"/>
    <w:rsid w:val="70331EDF"/>
    <w:rsid w:val="7033E98E"/>
    <w:rsid w:val="7035E4D2"/>
    <w:rsid w:val="7037F334"/>
    <w:rsid w:val="7037FDEF"/>
    <w:rsid w:val="7038C45B"/>
    <w:rsid w:val="703951CB"/>
    <w:rsid w:val="703A9072"/>
    <w:rsid w:val="703BA853"/>
    <w:rsid w:val="703EBF9D"/>
    <w:rsid w:val="703F5482"/>
    <w:rsid w:val="70407240"/>
    <w:rsid w:val="70423C33"/>
    <w:rsid w:val="7042F9BD"/>
    <w:rsid w:val="704322F7"/>
    <w:rsid w:val="7043C1F9"/>
    <w:rsid w:val="7043EC4B"/>
    <w:rsid w:val="70447062"/>
    <w:rsid w:val="7044884F"/>
    <w:rsid w:val="704511B3"/>
    <w:rsid w:val="70455793"/>
    <w:rsid w:val="7045FF4F"/>
    <w:rsid w:val="70467C38"/>
    <w:rsid w:val="7046A5FE"/>
    <w:rsid w:val="7046C606"/>
    <w:rsid w:val="7046E367"/>
    <w:rsid w:val="7047B280"/>
    <w:rsid w:val="70483581"/>
    <w:rsid w:val="7048A2A3"/>
    <w:rsid w:val="7048A38F"/>
    <w:rsid w:val="704A5537"/>
    <w:rsid w:val="704A59DD"/>
    <w:rsid w:val="704AA2DC"/>
    <w:rsid w:val="704D0B27"/>
    <w:rsid w:val="704D2B46"/>
    <w:rsid w:val="704DEB87"/>
    <w:rsid w:val="704E2C94"/>
    <w:rsid w:val="704E31A3"/>
    <w:rsid w:val="704E32B5"/>
    <w:rsid w:val="704E4DC3"/>
    <w:rsid w:val="704F1892"/>
    <w:rsid w:val="704F6CBB"/>
    <w:rsid w:val="70500D89"/>
    <w:rsid w:val="705097F3"/>
    <w:rsid w:val="70510E77"/>
    <w:rsid w:val="705208FF"/>
    <w:rsid w:val="7053B63C"/>
    <w:rsid w:val="7055EBF9"/>
    <w:rsid w:val="70563B64"/>
    <w:rsid w:val="70583731"/>
    <w:rsid w:val="7058707C"/>
    <w:rsid w:val="70591C8A"/>
    <w:rsid w:val="7059DA24"/>
    <w:rsid w:val="7059DE0A"/>
    <w:rsid w:val="705AC05C"/>
    <w:rsid w:val="705B4B43"/>
    <w:rsid w:val="705BEED4"/>
    <w:rsid w:val="705C221A"/>
    <w:rsid w:val="705D2EF0"/>
    <w:rsid w:val="705D9072"/>
    <w:rsid w:val="705DA95A"/>
    <w:rsid w:val="705DD7E5"/>
    <w:rsid w:val="705E893C"/>
    <w:rsid w:val="705EB127"/>
    <w:rsid w:val="705ECA6D"/>
    <w:rsid w:val="705F3EB6"/>
    <w:rsid w:val="7061222E"/>
    <w:rsid w:val="7062DB1C"/>
    <w:rsid w:val="7062EB01"/>
    <w:rsid w:val="7063BC60"/>
    <w:rsid w:val="7063E22A"/>
    <w:rsid w:val="70644743"/>
    <w:rsid w:val="70649B2C"/>
    <w:rsid w:val="7065FE69"/>
    <w:rsid w:val="70666F80"/>
    <w:rsid w:val="70669CA5"/>
    <w:rsid w:val="7066A681"/>
    <w:rsid w:val="7068DB6F"/>
    <w:rsid w:val="706A7A47"/>
    <w:rsid w:val="706A9058"/>
    <w:rsid w:val="706ADA68"/>
    <w:rsid w:val="706C0BD0"/>
    <w:rsid w:val="706C4A97"/>
    <w:rsid w:val="706CC1F9"/>
    <w:rsid w:val="706CF89C"/>
    <w:rsid w:val="706DEF2D"/>
    <w:rsid w:val="706F3C53"/>
    <w:rsid w:val="70707242"/>
    <w:rsid w:val="7071A719"/>
    <w:rsid w:val="7071AE32"/>
    <w:rsid w:val="70737D1E"/>
    <w:rsid w:val="7073B7CD"/>
    <w:rsid w:val="7073D33B"/>
    <w:rsid w:val="7073FB00"/>
    <w:rsid w:val="7074218D"/>
    <w:rsid w:val="7074C577"/>
    <w:rsid w:val="7075BC3D"/>
    <w:rsid w:val="7075DA1D"/>
    <w:rsid w:val="707697F6"/>
    <w:rsid w:val="7076E067"/>
    <w:rsid w:val="70775058"/>
    <w:rsid w:val="70785463"/>
    <w:rsid w:val="7079C4EC"/>
    <w:rsid w:val="7079F64B"/>
    <w:rsid w:val="707A1CC8"/>
    <w:rsid w:val="707A4B4D"/>
    <w:rsid w:val="707A6A28"/>
    <w:rsid w:val="707D31A4"/>
    <w:rsid w:val="707F4E21"/>
    <w:rsid w:val="70805B3A"/>
    <w:rsid w:val="7080F4C9"/>
    <w:rsid w:val="7082F605"/>
    <w:rsid w:val="7083A6A1"/>
    <w:rsid w:val="7083D446"/>
    <w:rsid w:val="7083D8F2"/>
    <w:rsid w:val="70842E60"/>
    <w:rsid w:val="70843682"/>
    <w:rsid w:val="7084ADD3"/>
    <w:rsid w:val="7084E71A"/>
    <w:rsid w:val="7084FA12"/>
    <w:rsid w:val="70854655"/>
    <w:rsid w:val="70855F5B"/>
    <w:rsid w:val="70864BAA"/>
    <w:rsid w:val="7086B732"/>
    <w:rsid w:val="7086D4EF"/>
    <w:rsid w:val="708737D5"/>
    <w:rsid w:val="708B7463"/>
    <w:rsid w:val="708B8A4F"/>
    <w:rsid w:val="708C0F13"/>
    <w:rsid w:val="708CBD03"/>
    <w:rsid w:val="708D1063"/>
    <w:rsid w:val="708DAE5A"/>
    <w:rsid w:val="708DB058"/>
    <w:rsid w:val="708DB83D"/>
    <w:rsid w:val="708DDD0B"/>
    <w:rsid w:val="708E2BA8"/>
    <w:rsid w:val="708F09B4"/>
    <w:rsid w:val="708F47BA"/>
    <w:rsid w:val="7091E023"/>
    <w:rsid w:val="7091EF4D"/>
    <w:rsid w:val="70928411"/>
    <w:rsid w:val="70929DF8"/>
    <w:rsid w:val="7092F2B1"/>
    <w:rsid w:val="7093690F"/>
    <w:rsid w:val="70953708"/>
    <w:rsid w:val="70955074"/>
    <w:rsid w:val="7095614F"/>
    <w:rsid w:val="7095B193"/>
    <w:rsid w:val="70960187"/>
    <w:rsid w:val="70960C21"/>
    <w:rsid w:val="7096BA3E"/>
    <w:rsid w:val="7097DE7E"/>
    <w:rsid w:val="70987781"/>
    <w:rsid w:val="7098D9A4"/>
    <w:rsid w:val="70991441"/>
    <w:rsid w:val="709984A6"/>
    <w:rsid w:val="7099B524"/>
    <w:rsid w:val="709A0A3B"/>
    <w:rsid w:val="709BB0BF"/>
    <w:rsid w:val="709D2587"/>
    <w:rsid w:val="709F73C3"/>
    <w:rsid w:val="709FA828"/>
    <w:rsid w:val="709FFC0C"/>
    <w:rsid w:val="70A023AF"/>
    <w:rsid w:val="70A0A023"/>
    <w:rsid w:val="70A16147"/>
    <w:rsid w:val="70A173FF"/>
    <w:rsid w:val="70A1D130"/>
    <w:rsid w:val="70A215DB"/>
    <w:rsid w:val="70A24077"/>
    <w:rsid w:val="70A28432"/>
    <w:rsid w:val="70A2B97B"/>
    <w:rsid w:val="70A3022B"/>
    <w:rsid w:val="70A37B56"/>
    <w:rsid w:val="70A49B5D"/>
    <w:rsid w:val="70A4A524"/>
    <w:rsid w:val="70A4D2BE"/>
    <w:rsid w:val="70A5EDB1"/>
    <w:rsid w:val="70A63FB9"/>
    <w:rsid w:val="70A7AD78"/>
    <w:rsid w:val="70A80C7E"/>
    <w:rsid w:val="70A96280"/>
    <w:rsid w:val="70A96FD9"/>
    <w:rsid w:val="70AA8A8A"/>
    <w:rsid w:val="70AAA274"/>
    <w:rsid w:val="70AAA72D"/>
    <w:rsid w:val="70AC9C1D"/>
    <w:rsid w:val="70AD8EF1"/>
    <w:rsid w:val="70AE0C1E"/>
    <w:rsid w:val="70AED6E1"/>
    <w:rsid w:val="70AEF039"/>
    <w:rsid w:val="70AF65E2"/>
    <w:rsid w:val="70AFF90D"/>
    <w:rsid w:val="70B0AA04"/>
    <w:rsid w:val="70B241E4"/>
    <w:rsid w:val="70B3030A"/>
    <w:rsid w:val="70B31E8C"/>
    <w:rsid w:val="70B4077B"/>
    <w:rsid w:val="70B464BC"/>
    <w:rsid w:val="70B495E4"/>
    <w:rsid w:val="70B4DB2E"/>
    <w:rsid w:val="70B50DD0"/>
    <w:rsid w:val="70B5E452"/>
    <w:rsid w:val="70B691C7"/>
    <w:rsid w:val="70B72D2C"/>
    <w:rsid w:val="70B77280"/>
    <w:rsid w:val="70B7E018"/>
    <w:rsid w:val="70BA4072"/>
    <w:rsid w:val="70BB2627"/>
    <w:rsid w:val="70BB5CDA"/>
    <w:rsid w:val="70BB7A32"/>
    <w:rsid w:val="70BBE313"/>
    <w:rsid w:val="70BC5C68"/>
    <w:rsid w:val="70BC742E"/>
    <w:rsid w:val="70BCBE6C"/>
    <w:rsid w:val="70BD5035"/>
    <w:rsid w:val="70BE0A05"/>
    <w:rsid w:val="70BE11F4"/>
    <w:rsid w:val="70BE12F2"/>
    <w:rsid w:val="70BE1BE6"/>
    <w:rsid w:val="70BF9A00"/>
    <w:rsid w:val="70C021F7"/>
    <w:rsid w:val="70C07C49"/>
    <w:rsid w:val="70C198F2"/>
    <w:rsid w:val="70C1D392"/>
    <w:rsid w:val="70C22DE4"/>
    <w:rsid w:val="70C2E492"/>
    <w:rsid w:val="70C3C2F1"/>
    <w:rsid w:val="70C47E5D"/>
    <w:rsid w:val="70C502AB"/>
    <w:rsid w:val="70C55681"/>
    <w:rsid w:val="70C66232"/>
    <w:rsid w:val="70C7A7DC"/>
    <w:rsid w:val="70C7F88C"/>
    <w:rsid w:val="70C88338"/>
    <w:rsid w:val="70C9B19F"/>
    <w:rsid w:val="70CB05C7"/>
    <w:rsid w:val="70CB761D"/>
    <w:rsid w:val="70CB9C2F"/>
    <w:rsid w:val="70CBFAFA"/>
    <w:rsid w:val="70CC38D8"/>
    <w:rsid w:val="70CCA801"/>
    <w:rsid w:val="70CD136E"/>
    <w:rsid w:val="70CDA7CA"/>
    <w:rsid w:val="70CDF7BC"/>
    <w:rsid w:val="70CE703C"/>
    <w:rsid w:val="70CF294C"/>
    <w:rsid w:val="70CF4B43"/>
    <w:rsid w:val="70CF85B8"/>
    <w:rsid w:val="70CFEB76"/>
    <w:rsid w:val="70CFF0A4"/>
    <w:rsid w:val="70D01AFE"/>
    <w:rsid w:val="70D02A90"/>
    <w:rsid w:val="70D03F32"/>
    <w:rsid w:val="70D08353"/>
    <w:rsid w:val="70D0DD01"/>
    <w:rsid w:val="70D164AF"/>
    <w:rsid w:val="70D1BA12"/>
    <w:rsid w:val="70D1E318"/>
    <w:rsid w:val="70D3A626"/>
    <w:rsid w:val="70D3CB3E"/>
    <w:rsid w:val="70D3FBC8"/>
    <w:rsid w:val="70D4BDC0"/>
    <w:rsid w:val="70D58151"/>
    <w:rsid w:val="70D5C10A"/>
    <w:rsid w:val="70D5C8BB"/>
    <w:rsid w:val="70D610AB"/>
    <w:rsid w:val="70D65492"/>
    <w:rsid w:val="70D880A6"/>
    <w:rsid w:val="70D88783"/>
    <w:rsid w:val="70D9913B"/>
    <w:rsid w:val="70DBC724"/>
    <w:rsid w:val="70DCA6BA"/>
    <w:rsid w:val="70DD111C"/>
    <w:rsid w:val="70DD2259"/>
    <w:rsid w:val="70DD7260"/>
    <w:rsid w:val="70DD9004"/>
    <w:rsid w:val="70DDC228"/>
    <w:rsid w:val="70DE0942"/>
    <w:rsid w:val="70DEE99A"/>
    <w:rsid w:val="70DF2A11"/>
    <w:rsid w:val="70DFA286"/>
    <w:rsid w:val="70DFBBCD"/>
    <w:rsid w:val="70DFD0A6"/>
    <w:rsid w:val="70E058DA"/>
    <w:rsid w:val="70E1B5A9"/>
    <w:rsid w:val="70E1CB54"/>
    <w:rsid w:val="70E25777"/>
    <w:rsid w:val="70E311E9"/>
    <w:rsid w:val="70E40D9D"/>
    <w:rsid w:val="70E44EA3"/>
    <w:rsid w:val="70E46466"/>
    <w:rsid w:val="70E4F49A"/>
    <w:rsid w:val="70E62311"/>
    <w:rsid w:val="70E6D4F2"/>
    <w:rsid w:val="70E6D6C3"/>
    <w:rsid w:val="70E73D67"/>
    <w:rsid w:val="70E77B69"/>
    <w:rsid w:val="70E82DF9"/>
    <w:rsid w:val="70E992B3"/>
    <w:rsid w:val="70E9E7A3"/>
    <w:rsid w:val="70EB05CB"/>
    <w:rsid w:val="70EC13C3"/>
    <w:rsid w:val="70EC1C6F"/>
    <w:rsid w:val="70EC31FB"/>
    <w:rsid w:val="70EC7693"/>
    <w:rsid w:val="70EDD6D9"/>
    <w:rsid w:val="70EEBD54"/>
    <w:rsid w:val="70EF25FE"/>
    <w:rsid w:val="70EF4A69"/>
    <w:rsid w:val="70F02386"/>
    <w:rsid w:val="70F1F70B"/>
    <w:rsid w:val="70F21459"/>
    <w:rsid w:val="70F2B4D5"/>
    <w:rsid w:val="70F32C3C"/>
    <w:rsid w:val="70F40A25"/>
    <w:rsid w:val="70F4156D"/>
    <w:rsid w:val="70F5969E"/>
    <w:rsid w:val="70F79F22"/>
    <w:rsid w:val="70F7CD7F"/>
    <w:rsid w:val="70F7EE3B"/>
    <w:rsid w:val="70F7F660"/>
    <w:rsid w:val="70F85500"/>
    <w:rsid w:val="70F8C1BC"/>
    <w:rsid w:val="70F95590"/>
    <w:rsid w:val="70F9C226"/>
    <w:rsid w:val="70FB02ED"/>
    <w:rsid w:val="70FB2CD8"/>
    <w:rsid w:val="70FBCCF5"/>
    <w:rsid w:val="70FC0753"/>
    <w:rsid w:val="70FD2DE5"/>
    <w:rsid w:val="70FD99A6"/>
    <w:rsid w:val="70FDC162"/>
    <w:rsid w:val="70FE3C81"/>
    <w:rsid w:val="70FE9A49"/>
    <w:rsid w:val="70FEEBCC"/>
    <w:rsid w:val="70FFA59D"/>
    <w:rsid w:val="710020FB"/>
    <w:rsid w:val="7100B81E"/>
    <w:rsid w:val="7100D1E1"/>
    <w:rsid w:val="7100FA5F"/>
    <w:rsid w:val="71019943"/>
    <w:rsid w:val="7101A55C"/>
    <w:rsid w:val="710212EE"/>
    <w:rsid w:val="710289A6"/>
    <w:rsid w:val="7102F0C6"/>
    <w:rsid w:val="710369B7"/>
    <w:rsid w:val="710373DE"/>
    <w:rsid w:val="71039E06"/>
    <w:rsid w:val="71057E13"/>
    <w:rsid w:val="71059612"/>
    <w:rsid w:val="71059ED2"/>
    <w:rsid w:val="71061D35"/>
    <w:rsid w:val="710646BE"/>
    <w:rsid w:val="71068C89"/>
    <w:rsid w:val="7106A3EA"/>
    <w:rsid w:val="7106FFF3"/>
    <w:rsid w:val="7107DAAC"/>
    <w:rsid w:val="710809B4"/>
    <w:rsid w:val="71090C52"/>
    <w:rsid w:val="710956CA"/>
    <w:rsid w:val="71096480"/>
    <w:rsid w:val="710A8E71"/>
    <w:rsid w:val="710B5C52"/>
    <w:rsid w:val="710C786C"/>
    <w:rsid w:val="710D5BB1"/>
    <w:rsid w:val="710ED323"/>
    <w:rsid w:val="710EFB2A"/>
    <w:rsid w:val="710F62FE"/>
    <w:rsid w:val="710FB29C"/>
    <w:rsid w:val="710FD4EE"/>
    <w:rsid w:val="71104A4A"/>
    <w:rsid w:val="7111163E"/>
    <w:rsid w:val="7111DD3B"/>
    <w:rsid w:val="71126E60"/>
    <w:rsid w:val="7114282E"/>
    <w:rsid w:val="7114A728"/>
    <w:rsid w:val="71152BED"/>
    <w:rsid w:val="711562A2"/>
    <w:rsid w:val="7115A418"/>
    <w:rsid w:val="711763D9"/>
    <w:rsid w:val="7117933D"/>
    <w:rsid w:val="7118719A"/>
    <w:rsid w:val="711A61DA"/>
    <w:rsid w:val="711AAD36"/>
    <w:rsid w:val="711B3210"/>
    <w:rsid w:val="711BB863"/>
    <w:rsid w:val="711BEBCF"/>
    <w:rsid w:val="711BED61"/>
    <w:rsid w:val="711C646C"/>
    <w:rsid w:val="711C8418"/>
    <w:rsid w:val="711D180E"/>
    <w:rsid w:val="711D32D1"/>
    <w:rsid w:val="711F4EF6"/>
    <w:rsid w:val="7120607F"/>
    <w:rsid w:val="71207383"/>
    <w:rsid w:val="71207765"/>
    <w:rsid w:val="7120791D"/>
    <w:rsid w:val="71213FB5"/>
    <w:rsid w:val="71215B2D"/>
    <w:rsid w:val="7121D49C"/>
    <w:rsid w:val="7122290B"/>
    <w:rsid w:val="71224373"/>
    <w:rsid w:val="7122B594"/>
    <w:rsid w:val="71232FA9"/>
    <w:rsid w:val="71233148"/>
    <w:rsid w:val="71239D4B"/>
    <w:rsid w:val="71244094"/>
    <w:rsid w:val="7125C2AC"/>
    <w:rsid w:val="7125DA53"/>
    <w:rsid w:val="71262849"/>
    <w:rsid w:val="712628E0"/>
    <w:rsid w:val="712741A7"/>
    <w:rsid w:val="71294592"/>
    <w:rsid w:val="712A015E"/>
    <w:rsid w:val="712A1A2B"/>
    <w:rsid w:val="712B5FDA"/>
    <w:rsid w:val="712D341A"/>
    <w:rsid w:val="712EF20F"/>
    <w:rsid w:val="712F7777"/>
    <w:rsid w:val="712FFBC1"/>
    <w:rsid w:val="71305808"/>
    <w:rsid w:val="713137BA"/>
    <w:rsid w:val="7131D366"/>
    <w:rsid w:val="7131FC13"/>
    <w:rsid w:val="71324881"/>
    <w:rsid w:val="71333069"/>
    <w:rsid w:val="71337657"/>
    <w:rsid w:val="713427A2"/>
    <w:rsid w:val="713566C0"/>
    <w:rsid w:val="7135ECD4"/>
    <w:rsid w:val="71362719"/>
    <w:rsid w:val="71362FE1"/>
    <w:rsid w:val="71364F70"/>
    <w:rsid w:val="7136523E"/>
    <w:rsid w:val="713785A6"/>
    <w:rsid w:val="7137EA58"/>
    <w:rsid w:val="7137F4FF"/>
    <w:rsid w:val="713807AB"/>
    <w:rsid w:val="71382451"/>
    <w:rsid w:val="71387D0A"/>
    <w:rsid w:val="7138CEC6"/>
    <w:rsid w:val="713A684A"/>
    <w:rsid w:val="713A85AB"/>
    <w:rsid w:val="713B2ACF"/>
    <w:rsid w:val="713B3B5E"/>
    <w:rsid w:val="713B606B"/>
    <w:rsid w:val="713BE982"/>
    <w:rsid w:val="713BF7E3"/>
    <w:rsid w:val="713C11B5"/>
    <w:rsid w:val="713CD87A"/>
    <w:rsid w:val="713E6B35"/>
    <w:rsid w:val="713E8121"/>
    <w:rsid w:val="713EDF70"/>
    <w:rsid w:val="713F2D6C"/>
    <w:rsid w:val="713F9D0D"/>
    <w:rsid w:val="713FDDDF"/>
    <w:rsid w:val="71407948"/>
    <w:rsid w:val="71416C72"/>
    <w:rsid w:val="71417EB3"/>
    <w:rsid w:val="714200E3"/>
    <w:rsid w:val="7142119F"/>
    <w:rsid w:val="71427260"/>
    <w:rsid w:val="714340D7"/>
    <w:rsid w:val="714384DA"/>
    <w:rsid w:val="7143E3C7"/>
    <w:rsid w:val="714472A1"/>
    <w:rsid w:val="7144D59E"/>
    <w:rsid w:val="714664BE"/>
    <w:rsid w:val="71477B41"/>
    <w:rsid w:val="7147B92D"/>
    <w:rsid w:val="714820BE"/>
    <w:rsid w:val="714888B8"/>
    <w:rsid w:val="7148A0AF"/>
    <w:rsid w:val="7148C209"/>
    <w:rsid w:val="7149D3A9"/>
    <w:rsid w:val="714A3F5C"/>
    <w:rsid w:val="714ADCD6"/>
    <w:rsid w:val="714AF28D"/>
    <w:rsid w:val="714C3CCF"/>
    <w:rsid w:val="714CB467"/>
    <w:rsid w:val="714CC21B"/>
    <w:rsid w:val="714DF763"/>
    <w:rsid w:val="714E6E3B"/>
    <w:rsid w:val="714E7344"/>
    <w:rsid w:val="714F8BA8"/>
    <w:rsid w:val="71501E6D"/>
    <w:rsid w:val="715186DE"/>
    <w:rsid w:val="71534815"/>
    <w:rsid w:val="7154FF7D"/>
    <w:rsid w:val="71553290"/>
    <w:rsid w:val="71554D3A"/>
    <w:rsid w:val="71574DAA"/>
    <w:rsid w:val="7158767C"/>
    <w:rsid w:val="7159093A"/>
    <w:rsid w:val="715A0DB2"/>
    <w:rsid w:val="715AAE28"/>
    <w:rsid w:val="715B8420"/>
    <w:rsid w:val="715F443C"/>
    <w:rsid w:val="715FBF0A"/>
    <w:rsid w:val="715FD446"/>
    <w:rsid w:val="71602EE1"/>
    <w:rsid w:val="71604567"/>
    <w:rsid w:val="71615BA8"/>
    <w:rsid w:val="7161830C"/>
    <w:rsid w:val="7161962D"/>
    <w:rsid w:val="7161E774"/>
    <w:rsid w:val="71639036"/>
    <w:rsid w:val="7163E738"/>
    <w:rsid w:val="7167E434"/>
    <w:rsid w:val="71684613"/>
    <w:rsid w:val="7168AEAE"/>
    <w:rsid w:val="7168C200"/>
    <w:rsid w:val="71697215"/>
    <w:rsid w:val="71697973"/>
    <w:rsid w:val="7169A686"/>
    <w:rsid w:val="716A1BC6"/>
    <w:rsid w:val="716AA799"/>
    <w:rsid w:val="716B976C"/>
    <w:rsid w:val="716BA7B1"/>
    <w:rsid w:val="716BC507"/>
    <w:rsid w:val="716C8304"/>
    <w:rsid w:val="716CF197"/>
    <w:rsid w:val="716DFF2D"/>
    <w:rsid w:val="716F1E6A"/>
    <w:rsid w:val="716F4E8D"/>
    <w:rsid w:val="716FBE66"/>
    <w:rsid w:val="71710434"/>
    <w:rsid w:val="71712A5D"/>
    <w:rsid w:val="7171DA46"/>
    <w:rsid w:val="71729B13"/>
    <w:rsid w:val="7172C293"/>
    <w:rsid w:val="7173AC55"/>
    <w:rsid w:val="7173F152"/>
    <w:rsid w:val="717408C4"/>
    <w:rsid w:val="717542AB"/>
    <w:rsid w:val="7175CE80"/>
    <w:rsid w:val="7175F54C"/>
    <w:rsid w:val="717852B9"/>
    <w:rsid w:val="7179278D"/>
    <w:rsid w:val="717978C8"/>
    <w:rsid w:val="7179E4A1"/>
    <w:rsid w:val="717A663B"/>
    <w:rsid w:val="717ACCF6"/>
    <w:rsid w:val="717D096B"/>
    <w:rsid w:val="717F23B0"/>
    <w:rsid w:val="717F5BCA"/>
    <w:rsid w:val="71805652"/>
    <w:rsid w:val="7181051A"/>
    <w:rsid w:val="718109B2"/>
    <w:rsid w:val="7181ECF8"/>
    <w:rsid w:val="7181F538"/>
    <w:rsid w:val="7182131B"/>
    <w:rsid w:val="71823568"/>
    <w:rsid w:val="718257FE"/>
    <w:rsid w:val="7182E0FE"/>
    <w:rsid w:val="7182E58C"/>
    <w:rsid w:val="7184AC8A"/>
    <w:rsid w:val="71853973"/>
    <w:rsid w:val="7185AC53"/>
    <w:rsid w:val="7186BBC4"/>
    <w:rsid w:val="71871E43"/>
    <w:rsid w:val="7187279E"/>
    <w:rsid w:val="71876CD2"/>
    <w:rsid w:val="718780CF"/>
    <w:rsid w:val="7187DA9B"/>
    <w:rsid w:val="71882FBE"/>
    <w:rsid w:val="7188A7C2"/>
    <w:rsid w:val="7189114B"/>
    <w:rsid w:val="718946B9"/>
    <w:rsid w:val="71896229"/>
    <w:rsid w:val="7189F24D"/>
    <w:rsid w:val="718A33B7"/>
    <w:rsid w:val="718A5640"/>
    <w:rsid w:val="718A56A4"/>
    <w:rsid w:val="718AF576"/>
    <w:rsid w:val="718C07E4"/>
    <w:rsid w:val="718C4295"/>
    <w:rsid w:val="718C9835"/>
    <w:rsid w:val="718CA0DC"/>
    <w:rsid w:val="718CB484"/>
    <w:rsid w:val="718D85D1"/>
    <w:rsid w:val="718E178F"/>
    <w:rsid w:val="718E34CA"/>
    <w:rsid w:val="718F8E09"/>
    <w:rsid w:val="718FE319"/>
    <w:rsid w:val="71906CFC"/>
    <w:rsid w:val="71909330"/>
    <w:rsid w:val="7190F4D4"/>
    <w:rsid w:val="7191C95E"/>
    <w:rsid w:val="719259EC"/>
    <w:rsid w:val="7192BB6E"/>
    <w:rsid w:val="7192EDCF"/>
    <w:rsid w:val="71934AD4"/>
    <w:rsid w:val="7193A6BD"/>
    <w:rsid w:val="71940B62"/>
    <w:rsid w:val="7194C25F"/>
    <w:rsid w:val="7194D005"/>
    <w:rsid w:val="71956F21"/>
    <w:rsid w:val="7195921B"/>
    <w:rsid w:val="7195EBE6"/>
    <w:rsid w:val="71961241"/>
    <w:rsid w:val="7196B714"/>
    <w:rsid w:val="7196E0DE"/>
    <w:rsid w:val="7197485F"/>
    <w:rsid w:val="7197921E"/>
    <w:rsid w:val="71987066"/>
    <w:rsid w:val="71989532"/>
    <w:rsid w:val="719A2386"/>
    <w:rsid w:val="719A8A4E"/>
    <w:rsid w:val="719B2F6B"/>
    <w:rsid w:val="719B55AB"/>
    <w:rsid w:val="719BF656"/>
    <w:rsid w:val="719E7D32"/>
    <w:rsid w:val="719E9686"/>
    <w:rsid w:val="719F0F03"/>
    <w:rsid w:val="719F2BCA"/>
    <w:rsid w:val="719F674E"/>
    <w:rsid w:val="719F6FFD"/>
    <w:rsid w:val="719F7FCC"/>
    <w:rsid w:val="719FD98E"/>
    <w:rsid w:val="71A0909F"/>
    <w:rsid w:val="71A0D7A1"/>
    <w:rsid w:val="71A1529D"/>
    <w:rsid w:val="71A23851"/>
    <w:rsid w:val="71A25936"/>
    <w:rsid w:val="71A2EA5B"/>
    <w:rsid w:val="71A395BD"/>
    <w:rsid w:val="71A428D4"/>
    <w:rsid w:val="71A49CE8"/>
    <w:rsid w:val="71A4A095"/>
    <w:rsid w:val="71A539D1"/>
    <w:rsid w:val="71A61560"/>
    <w:rsid w:val="71A65033"/>
    <w:rsid w:val="71A80207"/>
    <w:rsid w:val="71A84BA2"/>
    <w:rsid w:val="71A9A275"/>
    <w:rsid w:val="71AA146E"/>
    <w:rsid w:val="71AB1FFE"/>
    <w:rsid w:val="71ABBD28"/>
    <w:rsid w:val="71AC4D9C"/>
    <w:rsid w:val="71AD23CF"/>
    <w:rsid w:val="71B01C70"/>
    <w:rsid w:val="71B087D3"/>
    <w:rsid w:val="71B0FB8A"/>
    <w:rsid w:val="71B16FA5"/>
    <w:rsid w:val="71B1EF9B"/>
    <w:rsid w:val="71B206D3"/>
    <w:rsid w:val="71B20ED1"/>
    <w:rsid w:val="71B25945"/>
    <w:rsid w:val="71B3771E"/>
    <w:rsid w:val="71B3D6F3"/>
    <w:rsid w:val="71B3E615"/>
    <w:rsid w:val="71B41E90"/>
    <w:rsid w:val="71B429B0"/>
    <w:rsid w:val="71B61BEC"/>
    <w:rsid w:val="71B7B4F1"/>
    <w:rsid w:val="71B807C9"/>
    <w:rsid w:val="71B903A3"/>
    <w:rsid w:val="71B93B44"/>
    <w:rsid w:val="71B983B2"/>
    <w:rsid w:val="71B9E3C1"/>
    <w:rsid w:val="71B9FD60"/>
    <w:rsid w:val="71BA7053"/>
    <w:rsid w:val="71BA84C2"/>
    <w:rsid w:val="71BB1E69"/>
    <w:rsid w:val="71BB3828"/>
    <w:rsid w:val="71BB7C39"/>
    <w:rsid w:val="71BB816A"/>
    <w:rsid w:val="71BC310C"/>
    <w:rsid w:val="71BC9734"/>
    <w:rsid w:val="71BD8B37"/>
    <w:rsid w:val="71BD9CAA"/>
    <w:rsid w:val="71BDD27B"/>
    <w:rsid w:val="71BE65BA"/>
    <w:rsid w:val="71BEB69A"/>
    <w:rsid w:val="71BEDBBD"/>
    <w:rsid w:val="71BF5B4E"/>
    <w:rsid w:val="71BF920A"/>
    <w:rsid w:val="71C031C6"/>
    <w:rsid w:val="71C03AAE"/>
    <w:rsid w:val="71C044DC"/>
    <w:rsid w:val="71C0C625"/>
    <w:rsid w:val="71C0E6D5"/>
    <w:rsid w:val="71C1A122"/>
    <w:rsid w:val="71C27108"/>
    <w:rsid w:val="71C2AD9D"/>
    <w:rsid w:val="71C3068B"/>
    <w:rsid w:val="71C3B3C7"/>
    <w:rsid w:val="71C3D922"/>
    <w:rsid w:val="71C46528"/>
    <w:rsid w:val="71C4E0E2"/>
    <w:rsid w:val="71C596A3"/>
    <w:rsid w:val="71C61ACC"/>
    <w:rsid w:val="71C64A68"/>
    <w:rsid w:val="71C704D9"/>
    <w:rsid w:val="71C84F49"/>
    <w:rsid w:val="71C985A6"/>
    <w:rsid w:val="71C9ED39"/>
    <w:rsid w:val="71CA8C46"/>
    <w:rsid w:val="71CB2150"/>
    <w:rsid w:val="71CB806E"/>
    <w:rsid w:val="71CBA1B2"/>
    <w:rsid w:val="71CBDE59"/>
    <w:rsid w:val="71CD323B"/>
    <w:rsid w:val="71CDF6D5"/>
    <w:rsid w:val="71CF09A5"/>
    <w:rsid w:val="71CF1D4F"/>
    <w:rsid w:val="71D06778"/>
    <w:rsid w:val="71D11719"/>
    <w:rsid w:val="71D15300"/>
    <w:rsid w:val="71D21F08"/>
    <w:rsid w:val="71D2C7CD"/>
    <w:rsid w:val="71D32C9D"/>
    <w:rsid w:val="71D39E38"/>
    <w:rsid w:val="71D3BDDE"/>
    <w:rsid w:val="71D43CAC"/>
    <w:rsid w:val="71D5DBC3"/>
    <w:rsid w:val="71D75778"/>
    <w:rsid w:val="71D89194"/>
    <w:rsid w:val="71D8F1FC"/>
    <w:rsid w:val="71DAD119"/>
    <w:rsid w:val="71DC1B80"/>
    <w:rsid w:val="71DD6E3E"/>
    <w:rsid w:val="71DD7BFC"/>
    <w:rsid w:val="71DE2CDD"/>
    <w:rsid w:val="71DE3619"/>
    <w:rsid w:val="71DE7A97"/>
    <w:rsid w:val="71DEA0A8"/>
    <w:rsid w:val="71DEE8EF"/>
    <w:rsid w:val="71E026D2"/>
    <w:rsid w:val="71E0F40B"/>
    <w:rsid w:val="71E0F43E"/>
    <w:rsid w:val="71E10441"/>
    <w:rsid w:val="71E11AAC"/>
    <w:rsid w:val="71E17CF5"/>
    <w:rsid w:val="71E1EBB6"/>
    <w:rsid w:val="71E32086"/>
    <w:rsid w:val="71E3E9C3"/>
    <w:rsid w:val="71E4CD3D"/>
    <w:rsid w:val="71E61766"/>
    <w:rsid w:val="71E656F0"/>
    <w:rsid w:val="71E73C88"/>
    <w:rsid w:val="71E96DAE"/>
    <w:rsid w:val="71E9B85C"/>
    <w:rsid w:val="71E9C5DE"/>
    <w:rsid w:val="71EABCD3"/>
    <w:rsid w:val="71EB5891"/>
    <w:rsid w:val="71EC896A"/>
    <w:rsid w:val="71ECE0B2"/>
    <w:rsid w:val="71ECFCEC"/>
    <w:rsid w:val="71EF94AD"/>
    <w:rsid w:val="71F15A86"/>
    <w:rsid w:val="71F1ADA0"/>
    <w:rsid w:val="71F22FAF"/>
    <w:rsid w:val="71F2423F"/>
    <w:rsid w:val="71F37087"/>
    <w:rsid w:val="71F39A37"/>
    <w:rsid w:val="71F46716"/>
    <w:rsid w:val="71F4A898"/>
    <w:rsid w:val="71F4D094"/>
    <w:rsid w:val="71F529A3"/>
    <w:rsid w:val="71F5740D"/>
    <w:rsid w:val="71F72400"/>
    <w:rsid w:val="71F73A85"/>
    <w:rsid w:val="71F85E2B"/>
    <w:rsid w:val="71F86919"/>
    <w:rsid w:val="71F8AE8D"/>
    <w:rsid w:val="71F8F3EB"/>
    <w:rsid w:val="71F9E9AF"/>
    <w:rsid w:val="71FB3BEB"/>
    <w:rsid w:val="71FB9ED3"/>
    <w:rsid w:val="71FC0942"/>
    <w:rsid w:val="71FCC1BD"/>
    <w:rsid w:val="71FD2EE7"/>
    <w:rsid w:val="71FD3D96"/>
    <w:rsid w:val="71FD54EF"/>
    <w:rsid w:val="71FDB2B1"/>
    <w:rsid w:val="71FE63F8"/>
    <w:rsid w:val="71FECFC0"/>
    <w:rsid w:val="71FED4B6"/>
    <w:rsid w:val="71FF2F64"/>
    <w:rsid w:val="71FF4AD0"/>
    <w:rsid w:val="71FFF8B2"/>
    <w:rsid w:val="7201A610"/>
    <w:rsid w:val="7202D3F9"/>
    <w:rsid w:val="7202DA5C"/>
    <w:rsid w:val="72040675"/>
    <w:rsid w:val="720502D4"/>
    <w:rsid w:val="72050F5A"/>
    <w:rsid w:val="7206D95B"/>
    <w:rsid w:val="7206E992"/>
    <w:rsid w:val="7207C073"/>
    <w:rsid w:val="72087108"/>
    <w:rsid w:val="7208F95F"/>
    <w:rsid w:val="7209795E"/>
    <w:rsid w:val="7209A166"/>
    <w:rsid w:val="720A1181"/>
    <w:rsid w:val="720BAD29"/>
    <w:rsid w:val="720CDC8E"/>
    <w:rsid w:val="720CFA4C"/>
    <w:rsid w:val="720DC864"/>
    <w:rsid w:val="720DE686"/>
    <w:rsid w:val="720E4692"/>
    <w:rsid w:val="720EFAC4"/>
    <w:rsid w:val="720FADE0"/>
    <w:rsid w:val="72109E16"/>
    <w:rsid w:val="7211B588"/>
    <w:rsid w:val="7211BAD7"/>
    <w:rsid w:val="72124424"/>
    <w:rsid w:val="721293BB"/>
    <w:rsid w:val="72139C01"/>
    <w:rsid w:val="7213B031"/>
    <w:rsid w:val="7214EECF"/>
    <w:rsid w:val="72156ACF"/>
    <w:rsid w:val="7215F052"/>
    <w:rsid w:val="7216107B"/>
    <w:rsid w:val="72161A7A"/>
    <w:rsid w:val="72194B57"/>
    <w:rsid w:val="721A0246"/>
    <w:rsid w:val="721AD457"/>
    <w:rsid w:val="721BA6F6"/>
    <w:rsid w:val="721C0926"/>
    <w:rsid w:val="721C1D76"/>
    <w:rsid w:val="721C77C7"/>
    <w:rsid w:val="721DB1E1"/>
    <w:rsid w:val="721DD609"/>
    <w:rsid w:val="721E577F"/>
    <w:rsid w:val="721FD3FD"/>
    <w:rsid w:val="72202C93"/>
    <w:rsid w:val="72209344"/>
    <w:rsid w:val="7220EF40"/>
    <w:rsid w:val="7222B7DA"/>
    <w:rsid w:val="7222D402"/>
    <w:rsid w:val="722392B5"/>
    <w:rsid w:val="7223D982"/>
    <w:rsid w:val="7224638C"/>
    <w:rsid w:val="72250A12"/>
    <w:rsid w:val="722522FB"/>
    <w:rsid w:val="72253AE1"/>
    <w:rsid w:val="72254510"/>
    <w:rsid w:val="72257C4C"/>
    <w:rsid w:val="72258187"/>
    <w:rsid w:val="7225E91F"/>
    <w:rsid w:val="7226DB38"/>
    <w:rsid w:val="72273EF3"/>
    <w:rsid w:val="72277CF5"/>
    <w:rsid w:val="7228987B"/>
    <w:rsid w:val="72293737"/>
    <w:rsid w:val="72296FAF"/>
    <w:rsid w:val="72298975"/>
    <w:rsid w:val="72298E3E"/>
    <w:rsid w:val="7229AFD5"/>
    <w:rsid w:val="7229CF05"/>
    <w:rsid w:val="722AAC37"/>
    <w:rsid w:val="722B2FB8"/>
    <w:rsid w:val="722B8B5F"/>
    <w:rsid w:val="722C64AC"/>
    <w:rsid w:val="722DF43E"/>
    <w:rsid w:val="722E75B6"/>
    <w:rsid w:val="722E8222"/>
    <w:rsid w:val="722FC8AC"/>
    <w:rsid w:val="722FECE1"/>
    <w:rsid w:val="72300B03"/>
    <w:rsid w:val="723067CC"/>
    <w:rsid w:val="7230AB0B"/>
    <w:rsid w:val="72319B8A"/>
    <w:rsid w:val="7231F2DE"/>
    <w:rsid w:val="7234D139"/>
    <w:rsid w:val="7234E7B0"/>
    <w:rsid w:val="72359F27"/>
    <w:rsid w:val="7235ECE8"/>
    <w:rsid w:val="723632A4"/>
    <w:rsid w:val="72375A6C"/>
    <w:rsid w:val="72379E39"/>
    <w:rsid w:val="7238A9CE"/>
    <w:rsid w:val="7238E442"/>
    <w:rsid w:val="723953CF"/>
    <w:rsid w:val="72395583"/>
    <w:rsid w:val="72395C62"/>
    <w:rsid w:val="7239F82D"/>
    <w:rsid w:val="723B3A66"/>
    <w:rsid w:val="723B5FC6"/>
    <w:rsid w:val="723BD083"/>
    <w:rsid w:val="723C763C"/>
    <w:rsid w:val="723D291B"/>
    <w:rsid w:val="723D42D8"/>
    <w:rsid w:val="723E724E"/>
    <w:rsid w:val="723EF5A3"/>
    <w:rsid w:val="723FC7D9"/>
    <w:rsid w:val="724079D8"/>
    <w:rsid w:val="7240AD8F"/>
    <w:rsid w:val="72422495"/>
    <w:rsid w:val="7242EEB6"/>
    <w:rsid w:val="72433D3E"/>
    <w:rsid w:val="72434261"/>
    <w:rsid w:val="7243532A"/>
    <w:rsid w:val="7245127F"/>
    <w:rsid w:val="72451C6D"/>
    <w:rsid w:val="72452EF5"/>
    <w:rsid w:val="7245C03F"/>
    <w:rsid w:val="7246B26A"/>
    <w:rsid w:val="7247342C"/>
    <w:rsid w:val="72475918"/>
    <w:rsid w:val="72477C99"/>
    <w:rsid w:val="724780CE"/>
    <w:rsid w:val="72484990"/>
    <w:rsid w:val="7248B3C3"/>
    <w:rsid w:val="7249528C"/>
    <w:rsid w:val="724966F5"/>
    <w:rsid w:val="7249D62F"/>
    <w:rsid w:val="724ACE24"/>
    <w:rsid w:val="724CF422"/>
    <w:rsid w:val="724E2005"/>
    <w:rsid w:val="724EEE15"/>
    <w:rsid w:val="724F4C26"/>
    <w:rsid w:val="72506BE0"/>
    <w:rsid w:val="7250833E"/>
    <w:rsid w:val="7250A606"/>
    <w:rsid w:val="7250D668"/>
    <w:rsid w:val="72515A32"/>
    <w:rsid w:val="72521685"/>
    <w:rsid w:val="7252C0A1"/>
    <w:rsid w:val="72537539"/>
    <w:rsid w:val="72548AF4"/>
    <w:rsid w:val="7254DC4F"/>
    <w:rsid w:val="7255B38A"/>
    <w:rsid w:val="7256711B"/>
    <w:rsid w:val="72572E11"/>
    <w:rsid w:val="7257EAEC"/>
    <w:rsid w:val="7258184A"/>
    <w:rsid w:val="72587918"/>
    <w:rsid w:val="7258ECD0"/>
    <w:rsid w:val="72595E15"/>
    <w:rsid w:val="72599253"/>
    <w:rsid w:val="725A509F"/>
    <w:rsid w:val="725C6DC9"/>
    <w:rsid w:val="725DC371"/>
    <w:rsid w:val="725E6FBD"/>
    <w:rsid w:val="7260E482"/>
    <w:rsid w:val="7263C131"/>
    <w:rsid w:val="7264240D"/>
    <w:rsid w:val="72647EBB"/>
    <w:rsid w:val="72662C53"/>
    <w:rsid w:val="72664425"/>
    <w:rsid w:val="7266C02D"/>
    <w:rsid w:val="72670668"/>
    <w:rsid w:val="7267552C"/>
    <w:rsid w:val="7268FBDD"/>
    <w:rsid w:val="7269774D"/>
    <w:rsid w:val="7269A8E7"/>
    <w:rsid w:val="726A3650"/>
    <w:rsid w:val="726AA228"/>
    <w:rsid w:val="726B11F7"/>
    <w:rsid w:val="726B38DD"/>
    <w:rsid w:val="726C14B3"/>
    <w:rsid w:val="726CB10F"/>
    <w:rsid w:val="726CEB49"/>
    <w:rsid w:val="726EC0DE"/>
    <w:rsid w:val="726ECD72"/>
    <w:rsid w:val="726ED57D"/>
    <w:rsid w:val="726EF1EF"/>
    <w:rsid w:val="726F3C0A"/>
    <w:rsid w:val="727061A6"/>
    <w:rsid w:val="727127D8"/>
    <w:rsid w:val="72716105"/>
    <w:rsid w:val="72719FA3"/>
    <w:rsid w:val="7271BCE9"/>
    <w:rsid w:val="727237A8"/>
    <w:rsid w:val="72725146"/>
    <w:rsid w:val="72725F00"/>
    <w:rsid w:val="72726DB9"/>
    <w:rsid w:val="72729BAB"/>
    <w:rsid w:val="727316BD"/>
    <w:rsid w:val="7273D3AE"/>
    <w:rsid w:val="7274B821"/>
    <w:rsid w:val="727612D5"/>
    <w:rsid w:val="72767BF0"/>
    <w:rsid w:val="7276D724"/>
    <w:rsid w:val="72772E84"/>
    <w:rsid w:val="72773E63"/>
    <w:rsid w:val="727758D5"/>
    <w:rsid w:val="72795A26"/>
    <w:rsid w:val="72798EAF"/>
    <w:rsid w:val="7279F395"/>
    <w:rsid w:val="727AFE71"/>
    <w:rsid w:val="727BC84F"/>
    <w:rsid w:val="727BF3DE"/>
    <w:rsid w:val="727C5C52"/>
    <w:rsid w:val="727C7225"/>
    <w:rsid w:val="727CCA35"/>
    <w:rsid w:val="727DE36B"/>
    <w:rsid w:val="727DEE03"/>
    <w:rsid w:val="727E806F"/>
    <w:rsid w:val="728015FB"/>
    <w:rsid w:val="7280C15A"/>
    <w:rsid w:val="728354DC"/>
    <w:rsid w:val="7283C4B1"/>
    <w:rsid w:val="7283C808"/>
    <w:rsid w:val="7283F113"/>
    <w:rsid w:val="72846F7E"/>
    <w:rsid w:val="72849206"/>
    <w:rsid w:val="7284932C"/>
    <w:rsid w:val="7286EDFB"/>
    <w:rsid w:val="7287156A"/>
    <w:rsid w:val="728729B4"/>
    <w:rsid w:val="72881126"/>
    <w:rsid w:val="7288BFF5"/>
    <w:rsid w:val="72895AFA"/>
    <w:rsid w:val="7289A96F"/>
    <w:rsid w:val="7289D82D"/>
    <w:rsid w:val="7289F373"/>
    <w:rsid w:val="728A562A"/>
    <w:rsid w:val="728AE6A4"/>
    <w:rsid w:val="728B2203"/>
    <w:rsid w:val="728C27A2"/>
    <w:rsid w:val="728C2F7F"/>
    <w:rsid w:val="728E0DA3"/>
    <w:rsid w:val="728E40F5"/>
    <w:rsid w:val="728E42D7"/>
    <w:rsid w:val="728EBC2A"/>
    <w:rsid w:val="728EDA0E"/>
    <w:rsid w:val="7290B112"/>
    <w:rsid w:val="7290FE19"/>
    <w:rsid w:val="7292639E"/>
    <w:rsid w:val="72926778"/>
    <w:rsid w:val="72943C3A"/>
    <w:rsid w:val="72945027"/>
    <w:rsid w:val="729458B4"/>
    <w:rsid w:val="7294AB41"/>
    <w:rsid w:val="729511BB"/>
    <w:rsid w:val="72955097"/>
    <w:rsid w:val="7296B689"/>
    <w:rsid w:val="72971B9C"/>
    <w:rsid w:val="7297BF22"/>
    <w:rsid w:val="7297C02A"/>
    <w:rsid w:val="7299133E"/>
    <w:rsid w:val="7299BA86"/>
    <w:rsid w:val="7299FC3B"/>
    <w:rsid w:val="729B63CF"/>
    <w:rsid w:val="729B6CE8"/>
    <w:rsid w:val="729BA820"/>
    <w:rsid w:val="729BF368"/>
    <w:rsid w:val="729C76C6"/>
    <w:rsid w:val="729DB660"/>
    <w:rsid w:val="729DC9BC"/>
    <w:rsid w:val="729E5F39"/>
    <w:rsid w:val="729F58C6"/>
    <w:rsid w:val="729FA22F"/>
    <w:rsid w:val="729FBEA8"/>
    <w:rsid w:val="72A10073"/>
    <w:rsid w:val="72A33C36"/>
    <w:rsid w:val="72A359AD"/>
    <w:rsid w:val="72A53562"/>
    <w:rsid w:val="72A56E34"/>
    <w:rsid w:val="72A59F08"/>
    <w:rsid w:val="72A6ABC4"/>
    <w:rsid w:val="72A76A8B"/>
    <w:rsid w:val="72A76F47"/>
    <w:rsid w:val="72A7BDEC"/>
    <w:rsid w:val="72A7FF89"/>
    <w:rsid w:val="72A890E8"/>
    <w:rsid w:val="72A8A379"/>
    <w:rsid w:val="72A9BF65"/>
    <w:rsid w:val="72AAA9BE"/>
    <w:rsid w:val="72AB1A29"/>
    <w:rsid w:val="72ADDB90"/>
    <w:rsid w:val="72AE54E3"/>
    <w:rsid w:val="72AEA32C"/>
    <w:rsid w:val="72AF16B0"/>
    <w:rsid w:val="72AF9754"/>
    <w:rsid w:val="72AFE86F"/>
    <w:rsid w:val="72B00BEC"/>
    <w:rsid w:val="72B0AE24"/>
    <w:rsid w:val="72B16F93"/>
    <w:rsid w:val="72B2961D"/>
    <w:rsid w:val="72B3DCDE"/>
    <w:rsid w:val="72B4839E"/>
    <w:rsid w:val="72B4BDFF"/>
    <w:rsid w:val="72B4E193"/>
    <w:rsid w:val="72B637AA"/>
    <w:rsid w:val="72B6AAC1"/>
    <w:rsid w:val="72B8FAEA"/>
    <w:rsid w:val="72B90648"/>
    <w:rsid w:val="72B969E0"/>
    <w:rsid w:val="72BA72B3"/>
    <w:rsid w:val="72BB0880"/>
    <w:rsid w:val="72BBABA8"/>
    <w:rsid w:val="72BC3AC6"/>
    <w:rsid w:val="72BCD4FB"/>
    <w:rsid w:val="72BCD9DD"/>
    <w:rsid w:val="72BD2158"/>
    <w:rsid w:val="72BD2CE4"/>
    <w:rsid w:val="72BE11D0"/>
    <w:rsid w:val="72BE858A"/>
    <w:rsid w:val="72BFD543"/>
    <w:rsid w:val="72C0887C"/>
    <w:rsid w:val="72C0AE0F"/>
    <w:rsid w:val="72C0D943"/>
    <w:rsid w:val="72C21DFF"/>
    <w:rsid w:val="72C2BF77"/>
    <w:rsid w:val="72C325ED"/>
    <w:rsid w:val="72C43FAF"/>
    <w:rsid w:val="72C45459"/>
    <w:rsid w:val="72C49A27"/>
    <w:rsid w:val="72C5CDC3"/>
    <w:rsid w:val="72C69487"/>
    <w:rsid w:val="72C6D90A"/>
    <w:rsid w:val="72C7438A"/>
    <w:rsid w:val="72CA3F3E"/>
    <w:rsid w:val="72CABABD"/>
    <w:rsid w:val="72CB1A04"/>
    <w:rsid w:val="72CBEF6C"/>
    <w:rsid w:val="72CC1893"/>
    <w:rsid w:val="72CC4583"/>
    <w:rsid w:val="72CC7064"/>
    <w:rsid w:val="72CD24DF"/>
    <w:rsid w:val="72CDBC20"/>
    <w:rsid w:val="72CE5197"/>
    <w:rsid w:val="72CFE6C2"/>
    <w:rsid w:val="72D02F0A"/>
    <w:rsid w:val="72D0B9E0"/>
    <w:rsid w:val="72D12B32"/>
    <w:rsid w:val="72D1C626"/>
    <w:rsid w:val="72D27A8E"/>
    <w:rsid w:val="72D2A97E"/>
    <w:rsid w:val="72D32BE8"/>
    <w:rsid w:val="72D3946B"/>
    <w:rsid w:val="72D4F3BC"/>
    <w:rsid w:val="72D5061A"/>
    <w:rsid w:val="72D55DEC"/>
    <w:rsid w:val="72D568BE"/>
    <w:rsid w:val="72D6A25B"/>
    <w:rsid w:val="72D6DE48"/>
    <w:rsid w:val="72D749F6"/>
    <w:rsid w:val="72D7E3FF"/>
    <w:rsid w:val="72D884C8"/>
    <w:rsid w:val="72D8DEC6"/>
    <w:rsid w:val="72D93C9D"/>
    <w:rsid w:val="72D9C39B"/>
    <w:rsid w:val="72DA0539"/>
    <w:rsid w:val="72DB27A8"/>
    <w:rsid w:val="72DBBCC6"/>
    <w:rsid w:val="72DDA327"/>
    <w:rsid w:val="72DDE8FD"/>
    <w:rsid w:val="72DE99FD"/>
    <w:rsid w:val="72DF7281"/>
    <w:rsid w:val="72DF9223"/>
    <w:rsid w:val="72DFC595"/>
    <w:rsid w:val="72E024C3"/>
    <w:rsid w:val="72E14250"/>
    <w:rsid w:val="72E171FC"/>
    <w:rsid w:val="72E1791C"/>
    <w:rsid w:val="72E1AD65"/>
    <w:rsid w:val="72E1F2DA"/>
    <w:rsid w:val="72E20490"/>
    <w:rsid w:val="72E21C67"/>
    <w:rsid w:val="72E23BDB"/>
    <w:rsid w:val="72E29C07"/>
    <w:rsid w:val="72E32224"/>
    <w:rsid w:val="72E32289"/>
    <w:rsid w:val="72E33E6F"/>
    <w:rsid w:val="72E4325A"/>
    <w:rsid w:val="72E44C6B"/>
    <w:rsid w:val="72E5D654"/>
    <w:rsid w:val="72E5F664"/>
    <w:rsid w:val="72E60275"/>
    <w:rsid w:val="72E67F98"/>
    <w:rsid w:val="72E699ED"/>
    <w:rsid w:val="72E71403"/>
    <w:rsid w:val="72E7C24C"/>
    <w:rsid w:val="72E7FB05"/>
    <w:rsid w:val="72E878F5"/>
    <w:rsid w:val="72E8934E"/>
    <w:rsid w:val="72E8A6F6"/>
    <w:rsid w:val="72E91EB4"/>
    <w:rsid w:val="72EA41B5"/>
    <w:rsid w:val="72EAA196"/>
    <w:rsid w:val="72EAAA7B"/>
    <w:rsid w:val="72EB05C2"/>
    <w:rsid w:val="72EB71FA"/>
    <w:rsid w:val="72EBA8A7"/>
    <w:rsid w:val="72EC60B1"/>
    <w:rsid w:val="72ED7670"/>
    <w:rsid w:val="72ED9B9A"/>
    <w:rsid w:val="72EE3AA6"/>
    <w:rsid w:val="72EEDA3A"/>
    <w:rsid w:val="72EF01EC"/>
    <w:rsid w:val="72EFC753"/>
    <w:rsid w:val="72EFFD85"/>
    <w:rsid w:val="72F0D005"/>
    <w:rsid w:val="72F0E7A2"/>
    <w:rsid w:val="72F2205E"/>
    <w:rsid w:val="72F259B5"/>
    <w:rsid w:val="72F26868"/>
    <w:rsid w:val="72F282FC"/>
    <w:rsid w:val="72F3AD27"/>
    <w:rsid w:val="72F42EF5"/>
    <w:rsid w:val="72F7775E"/>
    <w:rsid w:val="72F7CF58"/>
    <w:rsid w:val="72F7E5E6"/>
    <w:rsid w:val="72F8972A"/>
    <w:rsid w:val="72F8F8CB"/>
    <w:rsid w:val="72F9266E"/>
    <w:rsid w:val="72F97729"/>
    <w:rsid w:val="72F9EC49"/>
    <w:rsid w:val="72FA22F5"/>
    <w:rsid w:val="72FA6F56"/>
    <w:rsid w:val="72FAAFE3"/>
    <w:rsid w:val="72FBAF63"/>
    <w:rsid w:val="72FBDC3B"/>
    <w:rsid w:val="72FC0944"/>
    <w:rsid w:val="72FD0949"/>
    <w:rsid w:val="72FD1CD0"/>
    <w:rsid w:val="72FD572A"/>
    <w:rsid w:val="72FDCC92"/>
    <w:rsid w:val="72FE2CA0"/>
    <w:rsid w:val="72FE52AA"/>
    <w:rsid w:val="730083FD"/>
    <w:rsid w:val="73009531"/>
    <w:rsid w:val="7300B92C"/>
    <w:rsid w:val="7301A989"/>
    <w:rsid w:val="7301FB48"/>
    <w:rsid w:val="73032A7F"/>
    <w:rsid w:val="73039D96"/>
    <w:rsid w:val="7304956B"/>
    <w:rsid w:val="7304D75D"/>
    <w:rsid w:val="73054832"/>
    <w:rsid w:val="73058DF7"/>
    <w:rsid w:val="7305B3EB"/>
    <w:rsid w:val="7306D1A9"/>
    <w:rsid w:val="730895C1"/>
    <w:rsid w:val="7309B19D"/>
    <w:rsid w:val="730D6C91"/>
    <w:rsid w:val="730FB2BD"/>
    <w:rsid w:val="730FD8F6"/>
    <w:rsid w:val="73102129"/>
    <w:rsid w:val="7310F80B"/>
    <w:rsid w:val="7311776A"/>
    <w:rsid w:val="7312707D"/>
    <w:rsid w:val="731298DC"/>
    <w:rsid w:val="73130D25"/>
    <w:rsid w:val="731401DD"/>
    <w:rsid w:val="7314318B"/>
    <w:rsid w:val="7314FD7D"/>
    <w:rsid w:val="7316789B"/>
    <w:rsid w:val="73173F24"/>
    <w:rsid w:val="7317869A"/>
    <w:rsid w:val="73184B52"/>
    <w:rsid w:val="73198AC3"/>
    <w:rsid w:val="731AC106"/>
    <w:rsid w:val="731AE90B"/>
    <w:rsid w:val="731C42D6"/>
    <w:rsid w:val="731C451B"/>
    <w:rsid w:val="731C472D"/>
    <w:rsid w:val="731C7448"/>
    <w:rsid w:val="731C83EA"/>
    <w:rsid w:val="731C8BCF"/>
    <w:rsid w:val="731CC8AB"/>
    <w:rsid w:val="731D41A5"/>
    <w:rsid w:val="731D7B77"/>
    <w:rsid w:val="731FC056"/>
    <w:rsid w:val="7320CD29"/>
    <w:rsid w:val="7320E888"/>
    <w:rsid w:val="732210FB"/>
    <w:rsid w:val="73224E4F"/>
    <w:rsid w:val="73234CE7"/>
    <w:rsid w:val="73236EB8"/>
    <w:rsid w:val="73245F82"/>
    <w:rsid w:val="7325739D"/>
    <w:rsid w:val="73273597"/>
    <w:rsid w:val="732769FC"/>
    <w:rsid w:val="73279D88"/>
    <w:rsid w:val="7328FD72"/>
    <w:rsid w:val="73290167"/>
    <w:rsid w:val="73293B81"/>
    <w:rsid w:val="732AE8C7"/>
    <w:rsid w:val="732B4AB6"/>
    <w:rsid w:val="732B8624"/>
    <w:rsid w:val="732C6734"/>
    <w:rsid w:val="732D9D2A"/>
    <w:rsid w:val="732E3541"/>
    <w:rsid w:val="732E98AD"/>
    <w:rsid w:val="732F3040"/>
    <w:rsid w:val="7330169A"/>
    <w:rsid w:val="73323ED0"/>
    <w:rsid w:val="7332BE14"/>
    <w:rsid w:val="7333DAAE"/>
    <w:rsid w:val="73350B90"/>
    <w:rsid w:val="733571CC"/>
    <w:rsid w:val="73358053"/>
    <w:rsid w:val="7335E2EA"/>
    <w:rsid w:val="7336065D"/>
    <w:rsid w:val="7336D120"/>
    <w:rsid w:val="7336F155"/>
    <w:rsid w:val="73376EB5"/>
    <w:rsid w:val="733785DC"/>
    <w:rsid w:val="7337A32B"/>
    <w:rsid w:val="7337A6EE"/>
    <w:rsid w:val="7337ACC3"/>
    <w:rsid w:val="733824C0"/>
    <w:rsid w:val="73395B1F"/>
    <w:rsid w:val="733A84CA"/>
    <w:rsid w:val="733B36BB"/>
    <w:rsid w:val="733B58C9"/>
    <w:rsid w:val="733BF818"/>
    <w:rsid w:val="733C17ED"/>
    <w:rsid w:val="733C4357"/>
    <w:rsid w:val="733D6B0F"/>
    <w:rsid w:val="733EA469"/>
    <w:rsid w:val="733ED7D9"/>
    <w:rsid w:val="733F3F38"/>
    <w:rsid w:val="7340C9AC"/>
    <w:rsid w:val="7340CCEE"/>
    <w:rsid w:val="7340ED42"/>
    <w:rsid w:val="73415E2D"/>
    <w:rsid w:val="734250DA"/>
    <w:rsid w:val="73429DAB"/>
    <w:rsid w:val="7342D46F"/>
    <w:rsid w:val="7342DB58"/>
    <w:rsid w:val="73431891"/>
    <w:rsid w:val="734325AA"/>
    <w:rsid w:val="73436B5E"/>
    <w:rsid w:val="734380DA"/>
    <w:rsid w:val="73459CC7"/>
    <w:rsid w:val="73474701"/>
    <w:rsid w:val="73480045"/>
    <w:rsid w:val="734848CD"/>
    <w:rsid w:val="7348C7B0"/>
    <w:rsid w:val="7349510D"/>
    <w:rsid w:val="734A97E8"/>
    <w:rsid w:val="734B6AB9"/>
    <w:rsid w:val="734C5E69"/>
    <w:rsid w:val="734D0CB1"/>
    <w:rsid w:val="734E2467"/>
    <w:rsid w:val="734E90B2"/>
    <w:rsid w:val="734EB623"/>
    <w:rsid w:val="734EF01A"/>
    <w:rsid w:val="734F9F58"/>
    <w:rsid w:val="735043E6"/>
    <w:rsid w:val="73520AA8"/>
    <w:rsid w:val="7352C383"/>
    <w:rsid w:val="73534829"/>
    <w:rsid w:val="7353AD27"/>
    <w:rsid w:val="735430FF"/>
    <w:rsid w:val="73543308"/>
    <w:rsid w:val="73548BC9"/>
    <w:rsid w:val="7354F92A"/>
    <w:rsid w:val="7355B09B"/>
    <w:rsid w:val="7355B782"/>
    <w:rsid w:val="7355C6F1"/>
    <w:rsid w:val="7355CD8F"/>
    <w:rsid w:val="7355D5EE"/>
    <w:rsid w:val="7355D727"/>
    <w:rsid w:val="73561A73"/>
    <w:rsid w:val="73577B7B"/>
    <w:rsid w:val="73577D82"/>
    <w:rsid w:val="7357A434"/>
    <w:rsid w:val="73582A6B"/>
    <w:rsid w:val="73588F2D"/>
    <w:rsid w:val="7358C349"/>
    <w:rsid w:val="735A5A30"/>
    <w:rsid w:val="735A8186"/>
    <w:rsid w:val="735B6692"/>
    <w:rsid w:val="735BDD30"/>
    <w:rsid w:val="735C81AF"/>
    <w:rsid w:val="735C823D"/>
    <w:rsid w:val="735C98CD"/>
    <w:rsid w:val="735CF724"/>
    <w:rsid w:val="735D0E57"/>
    <w:rsid w:val="735DC307"/>
    <w:rsid w:val="735E06B0"/>
    <w:rsid w:val="735E545B"/>
    <w:rsid w:val="735F21BE"/>
    <w:rsid w:val="735F4878"/>
    <w:rsid w:val="735FC7BC"/>
    <w:rsid w:val="735FE266"/>
    <w:rsid w:val="736068C4"/>
    <w:rsid w:val="7360C29A"/>
    <w:rsid w:val="73610391"/>
    <w:rsid w:val="7361A1CF"/>
    <w:rsid w:val="73620ACE"/>
    <w:rsid w:val="73629FA0"/>
    <w:rsid w:val="736426E1"/>
    <w:rsid w:val="73653A9A"/>
    <w:rsid w:val="73663FB7"/>
    <w:rsid w:val="7368D744"/>
    <w:rsid w:val="73696A9F"/>
    <w:rsid w:val="7369BDF2"/>
    <w:rsid w:val="736A685A"/>
    <w:rsid w:val="736A8A78"/>
    <w:rsid w:val="736C09DB"/>
    <w:rsid w:val="736C8B3E"/>
    <w:rsid w:val="736CD41A"/>
    <w:rsid w:val="736DFA95"/>
    <w:rsid w:val="736E3E1E"/>
    <w:rsid w:val="736E5BB3"/>
    <w:rsid w:val="736ECA9E"/>
    <w:rsid w:val="737095F2"/>
    <w:rsid w:val="73723028"/>
    <w:rsid w:val="7372A27D"/>
    <w:rsid w:val="73739EE6"/>
    <w:rsid w:val="737475DB"/>
    <w:rsid w:val="7375B0E7"/>
    <w:rsid w:val="73761966"/>
    <w:rsid w:val="73762D61"/>
    <w:rsid w:val="7376C478"/>
    <w:rsid w:val="73772CB9"/>
    <w:rsid w:val="7378190D"/>
    <w:rsid w:val="737841A1"/>
    <w:rsid w:val="7379407A"/>
    <w:rsid w:val="73796C50"/>
    <w:rsid w:val="73797D67"/>
    <w:rsid w:val="737A06E4"/>
    <w:rsid w:val="737A094F"/>
    <w:rsid w:val="737AE29B"/>
    <w:rsid w:val="737B81C5"/>
    <w:rsid w:val="737BF26F"/>
    <w:rsid w:val="737C171E"/>
    <w:rsid w:val="737C4CDA"/>
    <w:rsid w:val="737C8FAB"/>
    <w:rsid w:val="737CA8A2"/>
    <w:rsid w:val="737D0B2B"/>
    <w:rsid w:val="737D2F1B"/>
    <w:rsid w:val="737DA0C1"/>
    <w:rsid w:val="737E6064"/>
    <w:rsid w:val="737EC02A"/>
    <w:rsid w:val="737F12F8"/>
    <w:rsid w:val="7381435A"/>
    <w:rsid w:val="7381BFBB"/>
    <w:rsid w:val="7381F652"/>
    <w:rsid w:val="7382777F"/>
    <w:rsid w:val="738360B4"/>
    <w:rsid w:val="7383E450"/>
    <w:rsid w:val="738457A7"/>
    <w:rsid w:val="738476CE"/>
    <w:rsid w:val="73855867"/>
    <w:rsid w:val="738586C2"/>
    <w:rsid w:val="7385BBAA"/>
    <w:rsid w:val="7385D265"/>
    <w:rsid w:val="73875747"/>
    <w:rsid w:val="73876BB1"/>
    <w:rsid w:val="7387BE50"/>
    <w:rsid w:val="738964F8"/>
    <w:rsid w:val="73899709"/>
    <w:rsid w:val="738B594B"/>
    <w:rsid w:val="738B9119"/>
    <w:rsid w:val="738CD04D"/>
    <w:rsid w:val="738E7CE2"/>
    <w:rsid w:val="73901FB7"/>
    <w:rsid w:val="73908DB8"/>
    <w:rsid w:val="7390C438"/>
    <w:rsid w:val="73910D13"/>
    <w:rsid w:val="73915BA0"/>
    <w:rsid w:val="7393D45E"/>
    <w:rsid w:val="73944F28"/>
    <w:rsid w:val="73947B86"/>
    <w:rsid w:val="7394A63E"/>
    <w:rsid w:val="7394E604"/>
    <w:rsid w:val="73950B78"/>
    <w:rsid w:val="73952341"/>
    <w:rsid w:val="739542EA"/>
    <w:rsid w:val="73956475"/>
    <w:rsid w:val="7395754F"/>
    <w:rsid w:val="73965FEB"/>
    <w:rsid w:val="739719DE"/>
    <w:rsid w:val="7397377E"/>
    <w:rsid w:val="73980AE5"/>
    <w:rsid w:val="73983188"/>
    <w:rsid w:val="7398DA94"/>
    <w:rsid w:val="73998383"/>
    <w:rsid w:val="739A5E7A"/>
    <w:rsid w:val="739B2260"/>
    <w:rsid w:val="739C3873"/>
    <w:rsid w:val="739D0523"/>
    <w:rsid w:val="739F075C"/>
    <w:rsid w:val="739F42D3"/>
    <w:rsid w:val="739FD4FE"/>
    <w:rsid w:val="73A04BF2"/>
    <w:rsid w:val="73A05B88"/>
    <w:rsid w:val="73A0BFF2"/>
    <w:rsid w:val="73A1A8F8"/>
    <w:rsid w:val="73A1E921"/>
    <w:rsid w:val="73A201E3"/>
    <w:rsid w:val="73A2B824"/>
    <w:rsid w:val="73A2E3B5"/>
    <w:rsid w:val="73A3EA20"/>
    <w:rsid w:val="73A3F2E9"/>
    <w:rsid w:val="73A42DDE"/>
    <w:rsid w:val="73A7B00E"/>
    <w:rsid w:val="73AB074C"/>
    <w:rsid w:val="73AC3838"/>
    <w:rsid w:val="73AD2C59"/>
    <w:rsid w:val="73AD687A"/>
    <w:rsid w:val="73AD9396"/>
    <w:rsid w:val="73AEC9CA"/>
    <w:rsid w:val="73AF8C2E"/>
    <w:rsid w:val="73AFF7E0"/>
    <w:rsid w:val="73B1379D"/>
    <w:rsid w:val="73B251D4"/>
    <w:rsid w:val="73B29C1B"/>
    <w:rsid w:val="73B2A915"/>
    <w:rsid w:val="73B3B236"/>
    <w:rsid w:val="73B46E8B"/>
    <w:rsid w:val="73B51977"/>
    <w:rsid w:val="73B5468E"/>
    <w:rsid w:val="73B5A83A"/>
    <w:rsid w:val="73B67A6C"/>
    <w:rsid w:val="73B8628A"/>
    <w:rsid w:val="73B8E9E1"/>
    <w:rsid w:val="73BA402F"/>
    <w:rsid w:val="73BB10EC"/>
    <w:rsid w:val="73BB3114"/>
    <w:rsid w:val="73BBF3A3"/>
    <w:rsid w:val="73BCB1C3"/>
    <w:rsid w:val="73BD3D78"/>
    <w:rsid w:val="73BD67A9"/>
    <w:rsid w:val="73BE3C26"/>
    <w:rsid w:val="73BE686D"/>
    <w:rsid w:val="73BED8CC"/>
    <w:rsid w:val="73BEDD73"/>
    <w:rsid w:val="73BF4FB7"/>
    <w:rsid w:val="73BF7846"/>
    <w:rsid w:val="73BFBF33"/>
    <w:rsid w:val="73C0238C"/>
    <w:rsid w:val="73C04358"/>
    <w:rsid w:val="73C228B7"/>
    <w:rsid w:val="73C2644B"/>
    <w:rsid w:val="73C32D79"/>
    <w:rsid w:val="73C399FE"/>
    <w:rsid w:val="73C40250"/>
    <w:rsid w:val="73C5A7A1"/>
    <w:rsid w:val="73C5C518"/>
    <w:rsid w:val="73C6C516"/>
    <w:rsid w:val="73C6D441"/>
    <w:rsid w:val="73C70648"/>
    <w:rsid w:val="73C7A71B"/>
    <w:rsid w:val="73C7DE92"/>
    <w:rsid w:val="73C8C901"/>
    <w:rsid w:val="73C95130"/>
    <w:rsid w:val="73C970FA"/>
    <w:rsid w:val="73C99D61"/>
    <w:rsid w:val="73C9B72A"/>
    <w:rsid w:val="73CA57B7"/>
    <w:rsid w:val="73CAB1D5"/>
    <w:rsid w:val="73CB1E36"/>
    <w:rsid w:val="73CB41BF"/>
    <w:rsid w:val="73CB465D"/>
    <w:rsid w:val="73CCE74B"/>
    <w:rsid w:val="73CF301B"/>
    <w:rsid w:val="73D0060C"/>
    <w:rsid w:val="73D0D7AD"/>
    <w:rsid w:val="73D0DD33"/>
    <w:rsid w:val="73D327E2"/>
    <w:rsid w:val="73D3834F"/>
    <w:rsid w:val="73D38899"/>
    <w:rsid w:val="73D3A431"/>
    <w:rsid w:val="73D4C328"/>
    <w:rsid w:val="73D50BF2"/>
    <w:rsid w:val="73D55736"/>
    <w:rsid w:val="73D55E52"/>
    <w:rsid w:val="73D642A4"/>
    <w:rsid w:val="73D98D2E"/>
    <w:rsid w:val="73D9911B"/>
    <w:rsid w:val="73D99A1A"/>
    <w:rsid w:val="73D9E2D7"/>
    <w:rsid w:val="73DAA55E"/>
    <w:rsid w:val="73DB1D4C"/>
    <w:rsid w:val="73DB5354"/>
    <w:rsid w:val="73DBA0CB"/>
    <w:rsid w:val="73DC03A8"/>
    <w:rsid w:val="73DC5063"/>
    <w:rsid w:val="73DE0E77"/>
    <w:rsid w:val="73DE1A1E"/>
    <w:rsid w:val="73DE4E6C"/>
    <w:rsid w:val="73DF1044"/>
    <w:rsid w:val="73DF9CA5"/>
    <w:rsid w:val="73DFAE65"/>
    <w:rsid w:val="73E13D66"/>
    <w:rsid w:val="73E1B94B"/>
    <w:rsid w:val="73E33718"/>
    <w:rsid w:val="73E3BEE6"/>
    <w:rsid w:val="73E3D769"/>
    <w:rsid w:val="73E3DB94"/>
    <w:rsid w:val="73E5A2F0"/>
    <w:rsid w:val="73E6E74E"/>
    <w:rsid w:val="73E754D0"/>
    <w:rsid w:val="73E756D1"/>
    <w:rsid w:val="73E7BAA6"/>
    <w:rsid w:val="73E822E0"/>
    <w:rsid w:val="73E8DE84"/>
    <w:rsid w:val="73EA524B"/>
    <w:rsid w:val="73EA8578"/>
    <w:rsid w:val="73EAB2D4"/>
    <w:rsid w:val="73EAF576"/>
    <w:rsid w:val="73EAF900"/>
    <w:rsid w:val="73EBBCD7"/>
    <w:rsid w:val="73EC6FF2"/>
    <w:rsid w:val="73ECB696"/>
    <w:rsid w:val="73ED2325"/>
    <w:rsid w:val="73EE3EC2"/>
    <w:rsid w:val="73EE45A8"/>
    <w:rsid w:val="73EEA6BB"/>
    <w:rsid w:val="73F0328A"/>
    <w:rsid w:val="73F0FC3C"/>
    <w:rsid w:val="73F1D0E4"/>
    <w:rsid w:val="73F334F0"/>
    <w:rsid w:val="73F44941"/>
    <w:rsid w:val="73F46D9B"/>
    <w:rsid w:val="73F491D8"/>
    <w:rsid w:val="73F65AF5"/>
    <w:rsid w:val="73F8D9CA"/>
    <w:rsid w:val="73F94F8D"/>
    <w:rsid w:val="73F97C31"/>
    <w:rsid w:val="73FA20FD"/>
    <w:rsid w:val="73FA5989"/>
    <w:rsid w:val="73FB2C37"/>
    <w:rsid w:val="73FBABA6"/>
    <w:rsid w:val="73FCBE23"/>
    <w:rsid w:val="73FD3F0C"/>
    <w:rsid w:val="73FD6E69"/>
    <w:rsid w:val="73FDAFA7"/>
    <w:rsid w:val="73FDB004"/>
    <w:rsid w:val="73FE13BF"/>
    <w:rsid w:val="73FEBE7C"/>
    <w:rsid w:val="73FFA4F5"/>
    <w:rsid w:val="740016E1"/>
    <w:rsid w:val="74004113"/>
    <w:rsid w:val="74004E24"/>
    <w:rsid w:val="7400675F"/>
    <w:rsid w:val="740101A1"/>
    <w:rsid w:val="74017CF6"/>
    <w:rsid w:val="7402BE44"/>
    <w:rsid w:val="74034430"/>
    <w:rsid w:val="740349A9"/>
    <w:rsid w:val="740705AE"/>
    <w:rsid w:val="74077D25"/>
    <w:rsid w:val="7408B8B9"/>
    <w:rsid w:val="7408D722"/>
    <w:rsid w:val="7409AAFA"/>
    <w:rsid w:val="7409B99B"/>
    <w:rsid w:val="7409BF56"/>
    <w:rsid w:val="740A3720"/>
    <w:rsid w:val="740B3CA5"/>
    <w:rsid w:val="740CA35B"/>
    <w:rsid w:val="740F295D"/>
    <w:rsid w:val="7410074F"/>
    <w:rsid w:val="741014E6"/>
    <w:rsid w:val="74101C47"/>
    <w:rsid w:val="741108A7"/>
    <w:rsid w:val="74112204"/>
    <w:rsid w:val="741126E7"/>
    <w:rsid w:val="741152EA"/>
    <w:rsid w:val="7411DAD0"/>
    <w:rsid w:val="74121EFA"/>
    <w:rsid w:val="7413E725"/>
    <w:rsid w:val="7414B141"/>
    <w:rsid w:val="74151274"/>
    <w:rsid w:val="74157EB0"/>
    <w:rsid w:val="7415C457"/>
    <w:rsid w:val="7416E8CD"/>
    <w:rsid w:val="74178705"/>
    <w:rsid w:val="74184E8A"/>
    <w:rsid w:val="74186C05"/>
    <w:rsid w:val="7418DCE5"/>
    <w:rsid w:val="7419E003"/>
    <w:rsid w:val="741A1A88"/>
    <w:rsid w:val="741AE692"/>
    <w:rsid w:val="741BE6AC"/>
    <w:rsid w:val="741C8214"/>
    <w:rsid w:val="741CAB44"/>
    <w:rsid w:val="741D971E"/>
    <w:rsid w:val="741DA188"/>
    <w:rsid w:val="741EB162"/>
    <w:rsid w:val="741F3E6D"/>
    <w:rsid w:val="741F62A9"/>
    <w:rsid w:val="742014C6"/>
    <w:rsid w:val="74216489"/>
    <w:rsid w:val="7421B2BE"/>
    <w:rsid w:val="7421C7F1"/>
    <w:rsid w:val="74222333"/>
    <w:rsid w:val="74246642"/>
    <w:rsid w:val="74249CBF"/>
    <w:rsid w:val="7424C38A"/>
    <w:rsid w:val="74254C67"/>
    <w:rsid w:val="742600C3"/>
    <w:rsid w:val="74262FC3"/>
    <w:rsid w:val="74265471"/>
    <w:rsid w:val="7426B670"/>
    <w:rsid w:val="7426BF6C"/>
    <w:rsid w:val="74271473"/>
    <w:rsid w:val="742777DD"/>
    <w:rsid w:val="7428D55C"/>
    <w:rsid w:val="7428F277"/>
    <w:rsid w:val="742953AF"/>
    <w:rsid w:val="742991E1"/>
    <w:rsid w:val="742A31B0"/>
    <w:rsid w:val="742A6C23"/>
    <w:rsid w:val="742BD528"/>
    <w:rsid w:val="742BD91A"/>
    <w:rsid w:val="742D3278"/>
    <w:rsid w:val="742D7583"/>
    <w:rsid w:val="742F0C10"/>
    <w:rsid w:val="742FFD02"/>
    <w:rsid w:val="74312C0B"/>
    <w:rsid w:val="7431F114"/>
    <w:rsid w:val="74321C35"/>
    <w:rsid w:val="74323E97"/>
    <w:rsid w:val="7432F7A3"/>
    <w:rsid w:val="74330801"/>
    <w:rsid w:val="74354B22"/>
    <w:rsid w:val="74354BB0"/>
    <w:rsid w:val="7436BB45"/>
    <w:rsid w:val="7437FDF3"/>
    <w:rsid w:val="74381D12"/>
    <w:rsid w:val="74387D2A"/>
    <w:rsid w:val="7438B1E6"/>
    <w:rsid w:val="7439655F"/>
    <w:rsid w:val="743A80A4"/>
    <w:rsid w:val="743B144C"/>
    <w:rsid w:val="743B541D"/>
    <w:rsid w:val="743B7198"/>
    <w:rsid w:val="743B8A4B"/>
    <w:rsid w:val="743D3831"/>
    <w:rsid w:val="743D7C0E"/>
    <w:rsid w:val="743D8559"/>
    <w:rsid w:val="743E8051"/>
    <w:rsid w:val="743EDABC"/>
    <w:rsid w:val="743F71C2"/>
    <w:rsid w:val="743FC423"/>
    <w:rsid w:val="744062EF"/>
    <w:rsid w:val="7440AB77"/>
    <w:rsid w:val="74411608"/>
    <w:rsid w:val="7441A096"/>
    <w:rsid w:val="74422F33"/>
    <w:rsid w:val="7443D382"/>
    <w:rsid w:val="7444A3C0"/>
    <w:rsid w:val="74452CA7"/>
    <w:rsid w:val="74458EE1"/>
    <w:rsid w:val="7445CB3F"/>
    <w:rsid w:val="7445D44E"/>
    <w:rsid w:val="7447474B"/>
    <w:rsid w:val="74475B9B"/>
    <w:rsid w:val="7447F300"/>
    <w:rsid w:val="74489219"/>
    <w:rsid w:val="7448DA82"/>
    <w:rsid w:val="7449605E"/>
    <w:rsid w:val="7449F673"/>
    <w:rsid w:val="744A99FE"/>
    <w:rsid w:val="744AEC5D"/>
    <w:rsid w:val="744BD778"/>
    <w:rsid w:val="744BEB45"/>
    <w:rsid w:val="744CF8F1"/>
    <w:rsid w:val="744E3550"/>
    <w:rsid w:val="744E6040"/>
    <w:rsid w:val="744ED7A1"/>
    <w:rsid w:val="744F0E42"/>
    <w:rsid w:val="744FF990"/>
    <w:rsid w:val="7450171D"/>
    <w:rsid w:val="74504524"/>
    <w:rsid w:val="7450E7F4"/>
    <w:rsid w:val="745169B3"/>
    <w:rsid w:val="7451C631"/>
    <w:rsid w:val="74523263"/>
    <w:rsid w:val="74526948"/>
    <w:rsid w:val="74530E82"/>
    <w:rsid w:val="745478F6"/>
    <w:rsid w:val="745690E3"/>
    <w:rsid w:val="74575817"/>
    <w:rsid w:val="74577B91"/>
    <w:rsid w:val="7459C783"/>
    <w:rsid w:val="745AA1BC"/>
    <w:rsid w:val="745B1139"/>
    <w:rsid w:val="745BAE35"/>
    <w:rsid w:val="745C822B"/>
    <w:rsid w:val="745C9D6C"/>
    <w:rsid w:val="745CFB6D"/>
    <w:rsid w:val="745E81F5"/>
    <w:rsid w:val="745E9CF6"/>
    <w:rsid w:val="745FA448"/>
    <w:rsid w:val="7460A1A7"/>
    <w:rsid w:val="746212D0"/>
    <w:rsid w:val="7462B378"/>
    <w:rsid w:val="7462B9C8"/>
    <w:rsid w:val="7462D538"/>
    <w:rsid w:val="746356A1"/>
    <w:rsid w:val="74651039"/>
    <w:rsid w:val="7465F183"/>
    <w:rsid w:val="7465F817"/>
    <w:rsid w:val="7465FDB0"/>
    <w:rsid w:val="74661398"/>
    <w:rsid w:val="746695A4"/>
    <w:rsid w:val="7467AC1B"/>
    <w:rsid w:val="7468761B"/>
    <w:rsid w:val="74697D0D"/>
    <w:rsid w:val="746A2069"/>
    <w:rsid w:val="746A88BD"/>
    <w:rsid w:val="746AE6AB"/>
    <w:rsid w:val="746BF19B"/>
    <w:rsid w:val="746C029C"/>
    <w:rsid w:val="746DEA27"/>
    <w:rsid w:val="746EA504"/>
    <w:rsid w:val="746F3C20"/>
    <w:rsid w:val="74702B75"/>
    <w:rsid w:val="7470455C"/>
    <w:rsid w:val="7470A4E4"/>
    <w:rsid w:val="7470DB8B"/>
    <w:rsid w:val="747139EE"/>
    <w:rsid w:val="74718AFE"/>
    <w:rsid w:val="7471B72D"/>
    <w:rsid w:val="74727BB8"/>
    <w:rsid w:val="74739B93"/>
    <w:rsid w:val="7474898E"/>
    <w:rsid w:val="7474E265"/>
    <w:rsid w:val="74756FDF"/>
    <w:rsid w:val="747597F6"/>
    <w:rsid w:val="7475FF42"/>
    <w:rsid w:val="7476AABA"/>
    <w:rsid w:val="7476D349"/>
    <w:rsid w:val="74788202"/>
    <w:rsid w:val="7478D6A5"/>
    <w:rsid w:val="7479C704"/>
    <w:rsid w:val="7479D618"/>
    <w:rsid w:val="7479DC1E"/>
    <w:rsid w:val="747A0A62"/>
    <w:rsid w:val="747A93AC"/>
    <w:rsid w:val="747C0A84"/>
    <w:rsid w:val="747CD9E0"/>
    <w:rsid w:val="747E395C"/>
    <w:rsid w:val="747F0683"/>
    <w:rsid w:val="747F0F35"/>
    <w:rsid w:val="74803B95"/>
    <w:rsid w:val="748096C6"/>
    <w:rsid w:val="7480DCD5"/>
    <w:rsid w:val="748124FF"/>
    <w:rsid w:val="7481BA19"/>
    <w:rsid w:val="7482AF97"/>
    <w:rsid w:val="7482EC24"/>
    <w:rsid w:val="74839587"/>
    <w:rsid w:val="74848A97"/>
    <w:rsid w:val="74853547"/>
    <w:rsid w:val="74881D47"/>
    <w:rsid w:val="74883E4D"/>
    <w:rsid w:val="7488A24F"/>
    <w:rsid w:val="7489B8BC"/>
    <w:rsid w:val="748A00D9"/>
    <w:rsid w:val="748A1089"/>
    <w:rsid w:val="748A13DB"/>
    <w:rsid w:val="748A4ACD"/>
    <w:rsid w:val="748A88AD"/>
    <w:rsid w:val="748B0419"/>
    <w:rsid w:val="748B379D"/>
    <w:rsid w:val="748B5830"/>
    <w:rsid w:val="748BD312"/>
    <w:rsid w:val="748C3911"/>
    <w:rsid w:val="748CC2E4"/>
    <w:rsid w:val="748E097D"/>
    <w:rsid w:val="74905B75"/>
    <w:rsid w:val="749072B3"/>
    <w:rsid w:val="7490AF59"/>
    <w:rsid w:val="749284EC"/>
    <w:rsid w:val="7494160D"/>
    <w:rsid w:val="74946983"/>
    <w:rsid w:val="74947334"/>
    <w:rsid w:val="74947592"/>
    <w:rsid w:val="749540D0"/>
    <w:rsid w:val="7495753C"/>
    <w:rsid w:val="7495DD70"/>
    <w:rsid w:val="74963608"/>
    <w:rsid w:val="7496CF40"/>
    <w:rsid w:val="7496DD03"/>
    <w:rsid w:val="7497FA6D"/>
    <w:rsid w:val="74986E4C"/>
    <w:rsid w:val="7499E4A5"/>
    <w:rsid w:val="7499F752"/>
    <w:rsid w:val="749A1EFC"/>
    <w:rsid w:val="749A5294"/>
    <w:rsid w:val="749A8F16"/>
    <w:rsid w:val="749B0288"/>
    <w:rsid w:val="749B45F6"/>
    <w:rsid w:val="749C2D95"/>
    <w:rsid w:val="749CBD95"/>
    <w:rsid w:val="749EBD2D"/>
    <w:rsid w:val="749F12C0"/>
    <w:rsid w:val="749F3B29"/>
    <w:rsid w:val="749F8223"/>
    <w:rsid w:val="749FD3E2"/>
    <w:rsid w:val="74A0DE2A"/>
    <w:rsid w:val="74A10E11"/>
    <w:rsid w:val="74A23075"/>
    <w:rsid w:val="74A320BB"/>
    <w:rsid w:val="74A3BB23"/>
    <w:rsid w:val="74A45CC6"/>
    <w:rsid w:val="74A4F491"/>
    <w:rsid w:val="74A714C1"/>
    <w:rsid w:val="74A81833"/>
    <w:rsid w:val="74A821A5"/>
    <w:rsid w:val="74A90E02"/>
    <w:rsid w:val="74AA4CAD"/>
    <w:rsid w:val="74AA63A5"/>
    <w:rsid w:val="74ABA537"/>
    <w:rsid w:val="74ABF18A"/>
    <w:rsid w:val="74AC0197"/>
    <w:rsid w:val="74AD179E"/>
    <w:rsid w:val="74AE4365"/>
    <w:rsid w:val="74AF4AAA"/>
    <w:rsid w:val="74AF8C5F"/>
    <w:rsid w:val="74B02335"/>
    <w:rsid w:val="74B142E7"/>
    <w:rsid w:val="74B1CE42"/>
    <w:rsid w:val="74B218A6"/>
    <w:rsid w:val="74B29D3F"/>
    <w:rsid w:val="74B429BA"/>
    <w:rsid w:val="74B4FE0A"/>
    <w:rsid w:val="74B4FE7D"/>
    <w:rsid w:val="74B530A8"/>
    <w:rsid w:val="74B5845D"/>
    <w:rsid w:val="74B86540"/>
    <w:rsid w:val="74B8C044"/>
    <w:rsid w:val="74B8E54D"/>
    <w:rsid w:val="74B90896"/>
    <w:rsid w:val="74B9780C"/>
    <w:rsid w:val="74BA093F"/>
    <w:rsid w:val="74BAE4C7"/>
    <w:rsid w:val="74BB8399"/>
    <w:rsid w:val="74BC5A0A"/>
    <w:rsid w:val="74BCDEED"/>
    <w:rsid w:val="74BCFC4A"/>
    <w:rsid w:val="74BE0F01"/>
    <w:rsid w:val="74BE8711"/>
    <w:rsid w:val="74BF0A56"/>
    <w:rsid w:val="74BFB26B"/>
    <w:rsid w:val="74BFBD7B"/>
    <w:rsid w:val="74C00E45"/>
    <w:rsid w:val="74C05EFD"/>
    <w:rsid w:val="74C09E63"/>
    <w:rsid w:val="74C0C6AA"/>
    <w:rsid w:val="74C0D383"/>
    <w:rsid w:val="74C2E1DF"/>
    <w:rsid w:val="74C53D74"/>
    <w:rsid w:val="74C5F81A"/>
    <w:rsid w:val="74C7F222"/>
    <w:rsid w:val="74C83BEF"/>
    <w:rsid w:val="74C87F2E"/>
    <w:rsid w:val="74C9166D"/>
    <w:rsid w:val="74C948A0"/>
    <w:rsid w:val="74CA3506"/>
    <w:rsid w:val="74CA87FE"/>
    <w:rsid w:val="74CAE77C"/>
    <w:rsid w:val="74CC0ECC"/>
    <w:rsid w:val="74CC1A71"/>
    <w:rsid w:val="74CC5798"/>
    <w:rsid w:val="74CD0C65"/>
    <w:rsid w:val="74CD760F"/>
    <w:rsid w:val="74CD7F1F"/>
    <w:rsid w:val="74CDEA4E"/>
    <w:rsid w:val="74CDFDC9"/>
    <w:rsid w:val="74CF24E3"/>
    <w:rsid w:val="74CFAA9C"/>
    <w:rsid w:val="74D0CCCB"/>
    <w:rsid w:val="74D0EC94"/>
    <w:rsid w:val="74D1110A"/>
    <w:rsid w:val="74D11731"/>
    <w:rsid w:val="74D16B0C"/>
    <w:rsid w:val="74D251CE"/>
    <w:rsid w:val="74D2E18F"/>
    <w:rsid w:val="74D4B081"/>
    <w:rsid w:val="74D50BF0"/>
    <w:rsid w:val="74D525D6"/>
    <w:rsid w:val="74D5624B"/>
    <w:rsid w:val="74D57566"/>
    <w:rsid w:val="74D5DEF9"/>
    <w:rsid w:val="74D6757E"/>
    <w:rsid w:val="74D6BF35"/>
    <w:rsid w:val="74D7BE86"/>
    <w:rsid w:val="74D90118"/>
    <w:rsid w:val="74D9812B"/>
    <w:rsid w:val="74DA3943"/>
    <w:rsid w:val="74DA5F98"/>
    <w:rsid w:val="74DAD6FD"/>
    <w:rsid w:val="74DBF3C3"/>
    <w:rsid w:val="74DC2C7C"/>
    <w:rsid w:val="74DC2E2B"/>
    <w:rsid w:val="74DCBAE4"/>
    <w:rsid w:val="74DD3285"/>
    <w:rsid w:val="74DD9C17"/>
    <w:rsid w:val="74DDC8D8"/>
    <w:rsid w:val="74DDF1FE"/>
    <w:rsid w:val="74DECA98"/>
    <w:rsid w:val="74DF5F96"/>
    <w:rsid w:val="74DF6B7C"/>
    <w:rsid w:val="74DFB54B"/>
    <w:rsid w:val="74E0B7DC"/>
    <w:rsid w:val="74E10BC3"/>
    <w:rsid w:val="74E14BF7"/>
    <w:rsid w:val="74E32F83"/>
    <w:rsid w:val="74E3647B"/>
    <w:rsid w:val="74E4D464"/>
    <w:rsid w:val="74E4F175"/>
    <w:rsid w:val="74E51CAC"/>
    <w:rsid w:val="74E55B21"/>
    <w:rsid w:val="74E6218B"/>
    <w:rsid w:val="74E85CDD"/>
    <w:rsid w:val="74E86339"/>
    <w:rsid w:val="74E8D4C7"/>
    <w:rsid w:val="74E9AFC1"/>
    <w:rsid w:val="74E9D763"/>
    <w:rsid w:val="74EA795F"/>
    <w:rsid w:val="74EAABEB"/>
    <w:rsid w:val="74ED0844"/>
    <w:rsid w:val="74EEC886"/>
    <w:rsid w:val="74EF7B57"/>
    <w:rsid w:val="74EF7D88"/>
    <w:rsid w:val="74F043EB"/>
    <w:rsid w:val="74F0943B"/>
    <w:rsid w:val="74F0AF47"/>
    <w:rsid w:val="74F0D57B"/>
    <w:rsid w:val="74F1812E"/>
    <w:rsid w:val="74F24917"/>
    <w:rsid w:val="74F3166A"/>
    <w:rsid w:val="74F37DC7"/>
    <w:rsid w:val="74F3A986"/>
    <w:rsid w:val="74F3DDC9"/>
    <w:rsid w:val="74F42EAB"/>
    <w:rsid w:val="74F4543C"/>
    <w:rsid w:val="74F5EB2E"/>
    <w:rsid w:val="74F605B9"/>
    <w:rsid w:val="74F70BCE"/>
    <w:rsid w:val="74F7EEBA"/>
    <w:rsid w:val="74F84993"/>
    <w:rsid w:val="74F9B481"/>
    <w:rsid w:val="74F9C645"/>
    <w:rsid w:val="74F9CC49"/>
    <w:rsid w:val="74F9CF50"/>
    <w:rsid w:val="74FE6A5F"/>
    <w:rsid w:val="74FFD326"/>
    <w:rsid w:val="75003C2A"/>
    <w:rsid w:val="7501B0C5"/>
    <w:rsid w:val="75028462"/>
    <w:rsid w:val="75036161"/>
    <w:rsid w:val="75043204"/>
    <w:rsid w:val="7505893E"/>
    <w:rsid w:val="7505DF23"/>
    <w:rsid w:val="7505E189"/>
    <w:rsid w:val="7506668A"/>
    <w:rsid w:val="75069EC1"/>
    <w:rsid w:val="7506A00F"/>
    <w:rsid w:val="7506CCC0"/>
    <w:rsid w:val="75077594"/>
    <w:rsid w:val="75079921"/>
    <w:rsid w:val="750956F8"/>
    <w:rsid w:val="750957CF"/>
    <w:rsid w:val="750A2597"/>
    <w:rsid w:val="750A2876"/>
    <w:rsid w:val="750AA14A"/>
    <w:rsid w:val="750AF18A"/>
    <w:rsid w:val="750B3A8D"/>
    <w:rsid w:val="750B3ACA"/>
    <w:rsid w:val="750BAF32"/>
    <w:rsid w:val="750C1FD1"/>
    <w:rsid w:val="750C6925"/>
    <w:rsid w:val="750DAC39"/>
    <w:rsid w:val="750DCBB7"/>
    <w:rsid w:val="750DD913"/>
    <w:rsid w:val="750E2128"/>
    <w:rsid w:val="750E507D"/>
    <w:rsid w:val="750F45CB"/>
    <w:rsid w:val="750F9CB5"/>
    <w:rsid w:val="751117ED"/>
    <w:rsid w:val="7511291F"/>
    <w:rsid w:val="751167D7"/>
    <w:rsid w:val="751167F2"/>
    <w:rsid w:val="75118D27"/>
    <w:rsid w:val="7512F913"/>
    <w:rsid w:val="75132393"/>
    <w:rsid w:val="75136A84"/>
    <w:rsid w:val="7513D737"/>
    <w:rsid w:val="751576FC"/>
    <w:rsid w:val="7515ED12"/>
    <w:rsid w:val="75166AE0"/>
    <w:rsid w:val="7516704F"/>
    <w:rsid w:val="751688D1"/>
    <w:rsid w:val="751704CA"/>
    <w:rsid w:val="751706A0"/>
    <w:rsid w:val="7517251F"/>
    <w:rsid w:val="7517BC33"/>
    <w:rsid w:val="751991A7"/>
    <w:rsid w:val="751C13E2"/>
    <w:rsid w:val="751D3175"/>
    <w:rsid w:val="751E2ECD"/>
    <w:rsid w:val="751E7389"/>
    <w:rsid w:val="751F7C4D"/>
    <w:rsid w:val="751FA97C"/>
    <w:rsid w:val="751FF94E"/>
    <w:rsid w:val="75202274"/>
    <w:rsid w:val="75202CE7"/>
    <w:rsid w:val="752062C3"/>
    <w:rsid w:val="752072E6"/>
    <w:rsid w:val="7520BD07"/>
    <w:rsid w:val="7521CEF9"/>
    <w:rsid w:val="752256C3"/>
    <w:rsid w:val="7522B76E"/>
    <w:rsid w:val="752332A2"/>
    <w:rsid w:val="75237690"/>
    <w:rsid w:val="75243D00"/>
    <w:rsid w:val="752494C3"/>
    <w:rsid w:val="752575FC"/>
    <w:rsid w:val="7525A02C"/>
    <w:rsid w:val="7525EB8C"/>
    <w:rsid w:val="75279C71"/>
    <w:rsid w:val="752879B9"/>
    <w:rsid w:val="7528DF5B"/>
    <w:rsid w:val="7528EAF1"/>
    <w:rsid w:val="7528F6AF"/>
    <w:rsid w:val="75290828"/>
    <w:rsid w:val="752A4574"/>
    <w:rsid w:val="752A9CEF"/>
    <w:rsid w:val="752AD170"/>
    <w:rsid w:val="752BC7FA"/>
    <w:rsid w:val="752C0407"/>
    <w:rsid w:val="752D4471"/>
    <w:rsid w:val="752EFA2A"/>
    <w:rsid w:val="752F82B2"/>
    <w:rsid w:val="75301A6F"/>
    <w:rsid w:val="75309E66"/>
    <w:rsid w:val="7530AB74"/>
    <w:rsid w:val="753134D6"/>
    <w:rsid w:val="75315415"/>
    <w:rsid w:val="75316E6A"/>
    <w:rsid w:val="7531DF08"/>
    <w:rsid w:val="75326B0D"/>
    <w:rsid w:val="75334FF2"/>
    <w:rsid w:val="75345058"/>
    <w:rsid w:val="7534AB02"/>
    <w:rsid w:val="7535FD30"/>
    <w:rsid w:val="75363F5A"/>
    <w:rsid w:val="7536C7AA"/>
    <w:rsid w:val="75375245"/>
    <w:rsid w:val="7537ECBD"/>
    <w:rsid w:val="7539855D"/>
    <w:rsid w:val="753BB23B"/>
    <w:rsid w:val="753CABE8"/>
    <w:rsid w:val="753CC5F3"/>
    <w:rsid w:val="753D5AB0"/>
    <w:rsid w:val="753E19D8"/>
    <w:rsid w:val="753E1B54"/>
    <w:rsid w:val="753EB295"/>
    <w:rsid w:val="753F0485"/>
    <w:rsid w:val="753FF677"/>
    <w:rsid w:val="753FF8AD"/>
    <w:rsid w:val="7541493B"/>
    <w:rsid w:val="754201BD"/>
    <w:rsid w:val="75422E1B"/>
    <w:rsid w:val="754274D9"/>
    <w:rsid w:val="754377A3"/>
    <w:rsid w:val="7543798E"/>
    <w:rsid w:val="7545C199"/>
    <w:rsid w:val="7545C98A"/>
    <w:rsid w:val="7546CD1F"/>
    <w:rsid w:val="7547C2A2"/>
    <w:rsid w:val="7547CE1B"/>
    <w:rsid w:val="7547DCBB"/>
    <w:rsid w:val="7549CDA7"/>
    <w:rsid w:val="754A714C"/>
    <w:rsid w:val="754ACE99"/>
    <w:rsid w:val="754B3BFF"/>
    <w:rsid w:val="754C3FD2"/>
    <w:rsid w:val="754D33E9"/>
    <w:rsid w:val="754DD540"/>
    <w:rsid w:val="754DDA27"/>
    <w:rsid w:val="754DE867"/>
    <w:rsid w:val="754E7EBF"/>
    <w:rsid w:val="754F6761"/>
    <w:rsid w:val="7550F3A7"/>
    <w:rsid w:val="75510AA3"/>
    <w:rsid w:val="75510C56"/>
    <w:rsid w:val="75516784"/>
    <w:rsid w:val="75516F92"/>
    <w:rsid w:val="7551BB94"/>
    <w:rsid w:val="75528DE0"/>
    <w:rsid w:val="755310AB"/>
    <w:rsid w:val="755325CE"/>
    <w:rsid w:val="7553302B"/>
    <w:rsid w:val="7553FDD7"/>
    <w:rsid w:val="7554BFD5"/>
    <w:rsid w:val="75553729"/>
    <w:rsid w:val="755756B5"/>
    <w:rsid w:val="7558BB58"/>
    <w:rsid w:val="7559924E"/>
    <w:rsid w:val="755A0444"/>
    <w:rsid w:val="755A2210"/>
    <w:rsid w:val="755A5FE5"/>
    <w:rsid w:val="755A99E1"/>
    <w:rsid w:val="755B038A"/>
    <w:rsid w:val="755B1CA8"/>
    <w:rsid w:val="755C2342"/>
    <w:rsid w:val="755CC1FF"/>
    <w:rsid w:val="755CF0C2"/>
    <w:rsid w:val="755F2CC4"/>
    <w:rsid w:val="755FFDEF"/>
    <w:rsid w:val="75618F1E"/>
    <w:rsid w:val="7562014B"/>
    <w:rsid w:val="756433C7"/>
    <w:rsid w:val="75646F6C"/>
    <w:rsid w:val="7564DEA9"/>
    <w:rsid w:val="75650BC2"/>
    <w:rsid w:val="75659547"/>
    <w:rsid w:val="7565A6CE"/>
    <w:rsid w:val="7566C992"/>
    <w:rsid w:val="75672104"/>
    <w:rsid w:val="7567B7C5"/>
    <w:rsid w:val="7567F748"/>
    <w:rsid w:val="7568321B"/>
    <w:rsid w:val="7568B52D"/>
    <w:rsid w:val="7569B4A4"/>
    <w:rsid w:val="756B2A75"/>
    <w:rsid w:val="756BF79D"/>
    <w:rsid w:val="756D0DE9"/>
    <w:rsid w:val="756D177C"/>
    <w:rsid w:val="756D9C19"/>
    <w:rsid w:val="756DA26A"/>
    <w:rsid w:val="756DEC6E"/>
    <w:rsid w:val="756DFA50"/>
    <w:rsid w:val="756E49A6"/>
    <w:rsid w:val="756EC724"/>
    <w:rsid w:val="756EE562"/>
    <w:rsid w:val="756F111E"/>
    <w:rsid w:val="756F29EB"/>
    <w:rsid w:val="756FAB7B"/>
    <w:rsid w:val="75707C99"/>
    <w:rsid w:val="7570A541"/>
    <w:rsid w:val="75711A14"/>
    <w:rsid w:val="75717B98"/>
    <w:rsid w:val="7571974C"/>
    <w:rsid w:val="75723672"/>
    <w:rsid w:val="75730B37"/>
    <w:rsid w:val="75732483"/>
    <w:rsid w:val="7573D95E"/>
    <w:rsid w:val="7573EB46"/>
    <w:rsid w:val="75760E13"/>
    <w:rsid w:val="75779E05"/>
    <w:rsid w:val="7577EC0F"/>
    <w:rsid w:val="757807F1"/>
    <w:rsid w:val="7579BA3E"/>
    <w:rsid w:val="7579D552"/>
    <w:rsid w:val="757AA2BA"/>
    <w:rsid w:val="757AEBC8"/>
    <w:rsid w:val="757B240A"/>
    <w:rsid w:val="757B5920"/>
    <w:rsid w:val="757BD227"/>
    <w:rsid w:val="757CEA6F"/>
    <w:rsid w:val="757CF688"/>
    <w:rsid w:val="757D54AE"/>
    <w:rsid w:val="757DEEF9"/>
    <w:rsid w:val="757ED754"/>
    <w:rsid w:val="757EEB6A"/>
    <w:rsid w:val="757EF634"/>
    <w:rsid w:val="757F4298"/>
    <w:rsid w:val="757F735C"/>
    <w:rsid w:val="757FE979"/>
    <w:rsid w:val="7580059A"/>
    <w:rsid w:val="758035C1"/>
    <w:rsid w:val="7580A20A"/>
    <w:rsid w:val="7581B889"/>
    <w:rsid w:val="75826B8C"/>
    <w:rsid w:val="758277B7"/>
    <w:rsid w:val="75837822"/>
    <w:rsid w:val="758470BB"/>
    <w:rsid w:val="7584BB4F"/>
    <w:rsid w:val="7584FB24"/>
    <w:rsid w:val="75851F76"/>
    <w:rsid w:val="75858621"/>
    <w:rsid w:val="75858999"/>
    <w:rsid w:val="7585D448"/>
    <w:rsid w:val="7585E6E9"/>
    <w:rsid w:val="75867108"/>
    <w:rsid w:val="75867FF1"/>
    <w:rsid w:val="75872965"/>
    <w:rsid w:val="75876C35"/>
    <w:rsid w:val="75878B29"/>
    <w:rsid w:val="7587ADC5"/>
    <w:rsid w:val="758802A1"/>
    <w:rsid w:val="758873CE"/>
    <w:rsid w:val="758A7B4B"/>
    <w:rsid w:val="758BC014"/>
    <w:rsid w:val="758C6C0D"/>
    <w:rsid w:val="758DFD97"/>
    <w:rsid w:val="758E7262"/>
    <w:rsid w:val="758EE621"/>
    <w:rsid w:val="758F2B69"/>
    <w:rsid w:val="758F31B4"/>
    <w:rsid w:val="758FC563"/>
    <w:rsid w:val="758FF017"/>
    <w:rsid w:val="75900399"/>
    <w:rsid w:val="75900E8F"/>
    <w:rsid w:val="75905F8D"/>
    <w:rsid w:val="7590FEF8"/>
    <w:rsid w:val="7591C16B"/>
    <w:rsid w:val="7592299A"/>
    <w:rsid w:val="7593824A"/>
    <w:rsid w:val="7593837A"/>
    <w:rsid w:val="759407A2"/>
    <w:rsid w:val="7595494C"/>
    <w:rsid w:val="759551CB"/>
    <w:rsid w:val="75958199"/>
    <w:rsid w:val="7596C9F8"/>
    <w:rsid w:val="759815BE"/>
    <w:rsid w:val="7598A867"/>
    <w:rsid w:val="7598BFDF"/>
    <w:rsid w:val="7599F64B"/>
    <w:rsid w:val="759A6933"/>
    <w:rsid w:val="759B84CA"/>
    <w:rsid w:val="759BBA46"/>
    <w:rsid w:val="759C5F9C"/>
    <w:rsid w:val="759C624B"/>
    <w:rsid w:val="759C8AAF"/>
    <w:rsid w:val="759D80D8"/>
    <w:rsid w:val="759D8AA9"/>
    <w:rsid w:val="759DB2E3"/>
    <w:rsid w:val="759E091B"/>
    <w:rsid w:val="759E3822"/>
    <w:rsid w:val="759F3DC5"/>
    <w:rsid w:val="759F8815"/>
    <w:rsid w:val="759F8CD2"/>
    <w:rsid w:val="75A00475"/>
    <w:rsid w:val="75A1D12E"/>
    <w:rsid w:val="75A226F8"/>
    <w:rsid w:val="75A33242"/>
    <w:rsid w:val="75A40556"/>
    <w:rsid w:val="75A52C83"/>
    <w:rsid w:val="75A53E14"/>
    <w:rsid w:val="75A630D0"/>
    <w:rsid w:val="75A69593"/>
    <w:rsid w:val="75A6E184"/>
    <w:rsid w:val="75A70655"/>
    <w:rsid w:val="75A7C766"/>
    <w:rsid w:val="75A7F0F3"/>
    <w:rsid w:val="75A8781C"/>
    <w:rsid w:val="75A9958D"/>
    <w:rsid w:val="75AA9402"/>
    <w:rsid w:val="75AACD59"/>
    <w:rsid w:val="75AAE728"/>
    <w:rsid w:val="75AB6461"/>
    <w:rsid w:val="75AB987F"/>
    <w:rsid w:val="75AD9584"/>
    <w:rsid w:val="75AE16A5"/>
    <w:rsid w:val="75AE7232"/>
    <w:rsid w:val="75AF0F1F"/>
    <w:rsid w:val="75B229C8"/>
    <w:rsid w:val="75B23368"/>
    <w:rsid w:val="75B338AE"/>
    <w:rsid w:val="75B3D6B8"/>
    <w:rsid w:val="75B3F63C"/>
    <w:rsid w:val="75B54223"/>
    <w:rsid w:val="75B5AC73"/>
    <w:rsid w:val="75B7EEF0"/>
    <w:rsid w:val="75B85B4B"/>
    <w:rsid w:val="75B8BB9F"/>
    <w:rsid w:val="75B8E25F"/>
    <w:rsid w:val="75B9AD3C"/>
    <w:rsid w:val="75B9CB48"/>
    <w:rsid w:val="75BBC292"/>
    <w:rsid w:val="75BD1D11"/>
    <w:rsid w:val="75BD82F0"/>
    <w:rsid w:val="75BDC130"/>
    <w:rsid w:val="75BDDA92"/>
    <w:rsid w:val="75BECC3C"/>
    <w:rsid w:val="75BF5555"/>
    <w:rsid w:val="75BF8D8C"/>
    <w:rsid w:val="75BFFFAA"/>
    <w:rsid w:val="75C08A67"/>
    <w:rsid w:val="75C0F815"/>
    <w:rsid w:val="75C1DCA9"/>
    <w:rsid w:val="75C3C4EB"/>
    <w:rsid w:val="75C3FABB"/>
    <w:rsid w:val="75C43A73"/>
    <w:rsid w:val="75C54FEB"/>
    <w:rsid w:val="75C57C04"/>
    <w:rsid w:val="75C59179"/>
    <w:rsid w:val="75C69F59"/>
    <w:rsid w:val="75C6AEC4"/>
    <w:rsid w:val="75C8274C"/>
    <w:rsid w:val="75C833B0"/>
    <w:rsid w:val="75C934FE"/>
    <w:rsid w:val="75C96727"/>
    <w:rsid w:val="75C9A529"/>
    <w:rsid w:val="75CA86B8"/>
    <w:rsid w:val="75CAD7C0"/>
    <w:rsid w:val="75CD9A84"/>
    <w:rsid w:val="75CDE31E"/>
    <w:rsid w:val="75CDEC96"/>
    <w:rsid w:val="75CEADAA"/>
    <w:rsid w:val="75CEDE9C"/>
    <w:rsid w:val="75CF38D3"/>
    <w:rsid w:val="75CFCD44"/>
    <w:rsid w:val="75CFE7A1"/>
    <w:rsid w:val="75D037E7"/>
    <w:rsid w:val="75D09467"/>
    <w:rsid w:val="75D11A74"/>
    <w:rsid w:val="75D1A5F7"/>
    <w:rsid w:val="75D1C2B7"/>
    <w:rsid w:val="75D32D34"/>
    <w:rsid w:val="75D3B424"/>
    <w:rsid w:val="75D3B691"/>
    <w:rsid w:val="75D4A95E"/>
    <w:rsid w:val="75D4EF47"/>
    <w:rsid w:val="75D4FCF2"/>
    <w:rsid w:val="75D534FF"/>
    <w:rsid w:val="75D677F6"/>
    <w:rsid w:val="75D6E04A"/>
    <w:rsid w:val="75D8C1FB"/>
    <w:rsid w:val="75D941D0"/>
    <w:rsid w:val="75DA1542"/>
    <w:rsid w:val="75DA3951"/>
    <w:rsid w:val="75DB3955"/>
    <w:rsid w:val="75DD7E11"/>
    <w:rsid w:val="75DE66DC"/>
    <w:rsid w:val="75DEE6FD"/>
    <w:rsid w:val="75E04685"/>
    <w:rsid w:val="75E0CBC6"/>
    <w:rsid w:val="75E0D898"/>
    <w:rsid w:val="75E0ED26"/>
    <w:rsid w:val="75E123B4"/>
    <w:rsid w:val="75E24119"/>
    <w:rsid w:val="75E2B275"/>
    <w:rsid w:val="75E33B4D"/>
    <w:rsid w:val="75E363A0"/>
    <w:rsid w:val="75E4061F"/>
    <w:rsid w:val="75E4D684"/>
    <w:rsid w:val="75E4DBFB"/>
    <w:rsid w:val="75E4FC71"/>
    <w:rsid w:val="75E5341C"/>
    <w:rsid w:val="75E5A478"/>
    <w:rsid w:val="75E5DD03"/>
    <w:rsid w:val="75E62CC4"/>
    <w:rsid w:val="75E6A836"/>
    <w:rsid w:val="75E73725"/>
    <w:rsid w:val="75E7C525"/>
    <w:rsid w:val="75E82BE0"/>
    <w:rsid w:val="75E83F00"/>
    <w:rsid w:val="75E88186"/>
    <w:rsid w:val="75E8D54F"/>
    <w:rsid w:val="75E8DFB4"/>
    <w:rsid w:val="75E8ED34"/>
    <w:rsid w:val="75E903E8"/>
    <w:rsid w:val="75EA5A80"/>
    <w:rsid w:val="75EA6E4B"/>
    <w:rsid w:val="75EAE4F0"/>
    <w:rsid w:val="75ECBB27"/>
    <w:rsid w:val="75ECCF84"/>
    <w:rsid w:val="75EEAC12"/>
    <w:rsid w:val="75EFDBFE"/>
    <w:rsid w:val="75F09FF0"/>
    <w:rsid w:val="75F12A20"/>
    <w:rsid w:val="75F136F9"/>
    <w:rsid w:val="75F23DC5"/>
    <w:rsid w:val="75F27711"/>
    <w:rsid w:val="75F288A8"/>
    <w:rsid w:val="75F36F11"/>
    <w:rsid w:val="75F39C8C"/>
    <w:rsid w:val="75F51470"/>
    <w:rsid w:val="75F583CD"/>
    <w:rsid w:val="75F66185"/>
    <w:rsid w:val="75F6CC37"/>
    <w:rsid w:val="75F727F1"/>
    <w:rsid w:val="75F73261"/>
    <w:rsid w:val="75F955B6"/>
    <w:rsid w:val="75FA5B4C"/>
    <w:rsid w:val="75FACF8A"/>
    <w:rsid w:val="75FCD04D"/>
    <w:rsid w:val="75FCD6F6"/>
    <w:rsid w:val="75FCDA2F"/>
    <w:rsid w:val="75FEFC65"/>
    <w:rsid w:val="75FF2186"/>
    <w:rsid w:val="76006652"/>
    <w:rsid w:val="76010E7B"/>
    <w:rsid w:val="76013C8F"/>
    <w:rsid w:val="760147B1"/>
    <w:rsid w:val="76016051"/>
    <w:rsid w:val="76017333"/>
    <w:rsid w:val="7601FF09"/>
    <w:rsid w:val="76026D99"/>
    <w:rsid w:val="7603225B"/>
    <w:rsid w:val="7603B010"/>
    <w:rsid w:val="7603FE22"/>
    <w:rsid w:val="7604624A"/>
    <w:rsid w:val="7604684B"/>
    <w:rsid w:val="76050B8A"/>
    <w:rsid w:val="7605E640"/>
    <w:rsid w:val="76061EF0"/>
    <w:rsid w:val="7606643C"/>
    <w:rsid w:val="76069B51"/>
    <w:rsid w:val="760702B5"/>
    <w:rsid w:val="76076D2F"/>
    <w:rsid w:val="7607AE10"/>
    <w:rsid w:val="76085D1A"/>
    <w:rsid w:val="7608DC7C"/>
    <w:rsid w:val="7608E893"/>
    <w:rsid w:val="76091A6B"/>
    <w:rsid w:val="760933C5"/>
    <w:rsid w:val="760B045E"/>
    <w:rsid w:val="760B14EB"/>
    <w:rsid w:val="760C30B7"/>
    <w:rsid w:val="760C7479"/>
    <w:rsid w:val="760CA444"/>
    <w:rsid w:val="760D30AB"/>
    <w:rsid w:val="760E1635"/>
    <w:rsid w:val="760E9283"/>
    <w:rsid w:val="760EE0A6"/>
    <w:rsid w:val="76100093"/>
    <w:rsid w:val="76119C7B"/>
    <w:rsid w:val="76120F18"/>
    <w:rsid w:val="7612A269"/>
    <w:rsid w:val="7612B66C"/>
    <w:rsid w:val="7612C691"/>
    <w:rsid w:val="7612DAEB"/>
    <w:rsid w:val="76144073"/>
    <w:rsid w:val="7614A73A"/>
    <w:rsid w:val="7614ACEB"/>
    <w:rsid w:val="761519EE"/>
    <w:rsid w:val="761570DA"/>
    <w:rsid w:val="76157AEC"/>
    <w:rsid w:val="7617A4F2"/>
    <w:rsid w:val="76181422"/>
    <w:rsid w:val="7619A845"/>
    <w:rsid w:val="7619ACB3"/>
    <w:rsid w:val="761B4BCD"/>
    <w:rsid w:val="761B6C5C"/>
    <w:rsid w:val="761C55A6"/>
    <w:rsid w:val="761C8624"/>
    <w:rsid w:val="761D0950"/>
    <w:rsid w:val="761D9E6D"/>
    <w:rsid w:val="761DD169"/>
    <w:rsid w:val="761E1E09"/>
    <w:rsid w:val="761E3EBB"/>
    <w:rsid w:val="761E986E"/>
    <w:rsid w:val="761EBDF5"/>
    <w:rsid w:val="761F554F"/>
    <w:rsid w:val="761F793D"/>
    <w:rsid w:val="7620BE2B"/>
    <w:rsid w:val="76221F9C"/>
    <w:rsid w:val="76223139"/>
    <w:rsid w:val="7622FA2A"/>
    <w:rsid w:val="7623999F"/>
    <w:rsid w:val="7625E549"/>
    <w:rsid w:val="76263DDB"/>
    <w:rsid w:val="76268258"/>
    <w:rsid w:val="7626F794"/>
    <w:rsid w:val="762703E8"/>
    <w:rsid w:val="76274233"/>
    <w:rsid w:val="76279AF5"/>
    <w:rsid w:val="762AA50D"/>
    <w:rsid w:val="762AC39F"/>
    <w:rsid w:val="762B4BFC"/>
    <w:rsid w:val="762BC5D4"/>
    <w:rsid w:val="762C68E8"/>
    <w:rsid w:val="762D0E98"/>
    <w:rsid w:val="762D112A"/>
    <w:rsid w:val="762D8BC8"/>
    <w:rsid w:val="762E3609"/>
    <w:rsid w:val="762E42D3"/>
    <w:rsid w:val="762FAB84"/>
    <w:rsid w:val="762FACD0"/>
    <w:rsid w:val="762FB847"/>
    <w:rsid w:val="762FC181"/>
    <w:rsid w:val="763043CA"/>
    <w:rsid w:val="76319CEF"/>
    <w:rsid w:val="76325D96"/>
    <w:rsid w:val="763320EE"/>
    <w:rsid w:val="7633278C"/>
    <w:rsid w:val="76340063"/>
    <w:rsid w:val="76354820"/>
    <w:rsid w:val="76354EAE"/>
    <w:rsid w:val="76359D08"/>
    <w:rsid w:val="76359DCE"/>
    <w:rsid w:val="76362600"/>
    <w:rsid w:val="76364A41"/>
    <w:rsid w:val="7636B8F1"/>
    <w:rsid w:val="763772A3"/>
    <w:rsid w:val="76377CB8"/>
    <w:rsid w:val="7637B0DB"/>
    <w:rsid w:val="7638F320"/>
    <w:rsid w:val="763A31C5"/>
    <w:rsid w:val="763A9CF1"/>
    <w:rsid w:val="763AB692"/>
    <w:rsid w:val="763AF70A"/>
    <w:rsid w:val="763B4F8D"/>
    <w:rsid w:val="763B70B3"/>
    <w:rsid w:val="763C5F22"/>
    <w:rsid w:val="763CE1E8"/>
    <w:rsid w:val="763D275E"/>
    <w:rsid w:val="763D37D4"/>
    <w:rsid w:val="763D9371"/>
    <w:rsid w:val="763DE2DD"/>
    <w:rsid w:val="763E77B8"/>
    <w:rsid w:val="763EE320"/>
    <w:rsid w:val="763F07DF"/>
    <w:rsid w:val="763F208F"/>
    <w:rsid w:val="763FF4B4"/>
    <w:rsid w:val="7642632C"/>
    <w:rsid w:val="7642AD06"/>
    <w:rsid w:val="7642F303"/>
    <w:rsid w:val="76438885"/>
    <w:rsid w:val="764395DE"/>
    <w:rsid w:val="7643D4C6"/>
    <w:rsid w:val="76444D68"/>
    <w:rsid w:val="76451A59"/>
    <w:rsid w:val="76461072"/>
    <w:rsid w:val="76461178"/>
    <w:rsid w:val="764691F1"/>
    <w:rsid w:val="76478634"/>
    <w:rsid w:val="76479F6A"/>
    <w:rsid w:val="7648AA8D"/>
    <w:rsid w:val="7649FDF9"/>
    <w:rsid w:val="764A50CC"/>
    <w:rsid w:val="764ACF3A"/>
    <w:rsid w:val="764AFCEA"/>
    <w:rsid w:val="764B36BB"/>
    <w:rsid w:val="764B3940"/>
    <w:rsid w:val="764B776A"/>
    <w:rsid w:val="764BAB2C"/>
    <w:rsid w:val="764BD064"/>
    <w:rsid w:val="764C2AE0"/>
    <w:rsid w:val="764C9AF0"/>
    <w:rsid w:val="764D0A57"/>
    <w:rsid w:val="764E8C6B"/>
    <w:rsid w:val="764FCAD2"/>
    <w:rsid w:val="765017E8"/>
    <w:rsid w:val="76505AE5"/>
    <w:rsid w:val="76511E10"/>
    <w:rsid w:val="76512BDB"/>
    <w:rsid w:val="7652D173"/>
    <w:rsid w:val="7653082D"/>
    <w:rsid w:val="7653B0D0"/>
    <w:rsid w:val="7653B952"/>
    <w:rsid w:val="76546C49"/>
    <w:rsid w:val="76554FFB"/>
    <w:rsid w:val="76566F80"/>
    <w:rsid w:val="7656C5C9"/>
    <w:rsid w:val="76581C54"/>
    <w:rsid w:val="7658978B"/>
    <w:rsid w:val="7659067D"/>
    <w:rsid w:val="765AA816"/>
    <w:rsid w:val="765AF661"/>
    <w:rsid w:val="765B4802"/>
    <w:rsid w:val="765C501C"/>
    <w:rsid w:val="765C6EC4"/>
    <w:rsid w:val="765CC7F8"/>
    <w:rsid w:val="765D97D5"/>
    <w:rsid w:val="765EADCD"/>
    <w:rsid w:val="765F1047"/>
    <w:rsid w:val="766051C6"/>
    <w:rsid w:val="7660FBA8"/>
    <w:rsid w:val="7661C591"/>
    <w:rsid w:val="76635D59"/>
    <w:rsid w:val="7664B16B"/>
    <w:rsid w:val="76662187"/>
    <w:rsid w:val="7666A62A"/>
    <w:rsid w:val="7667433C"/>
    <w:rsid w:val="76680CC3"/>
    <w:rsid w:val="76682FB4"/>
    <w:rsid w:val="766861A2"/>
    <w:rsid w:val="766913B2"/>
    <w:rsid w:val="76696E0E"/>
    <w:rsid w:val="7669A973"/>
    <w:rsid w:val="766A15F3"/>
    <w:rsid w:val="766A3E3E"/>
    <w:rsid w:val="766C1CEB"/>
    <w:rsid w:val="766CF76B"/>
    <w:rsid w:val="766E0FC7"/>
    <w:rsid w:val="766E1125"/>
    <w:rsid w:val="766E47F9"/>
    <w:rsid w:val="766EC6A9"/>
    <w:rsid w:val="766EC70D"/>
    <w:rsid w:val="766F5BF9"/>
    <w:rsid w:val="766FB275"/>
    <w:rsid w:val="76706FAA"/>
    <w:rsid w:val="76709787"/>
    <w:rsid w:val="76714B0C"/>
    <w:rsid w:val="7671B1EA"/>
    <w:rsid w:val="7671EABB"/>
    <w:rsid w:val="7673B9D8"/>
    <w:rsid w:val="7674C859"/>
    <w:rsid w:val="76759233"/>
    <w:rsid w:val="7675EB60"/>
    <w:rsid w:val="767669F5"/>
    <w:rsid w:val="7677F777"/>
    <w:rsid w:val="7678427F"/>
    <w:rsid w:val="76785A23"/>
    <w:rsid w:val="76793D02"/>
    <w:rsid w:val="76796529"/>
    <w:rsid w:val="7679AEE6"/>
    <w:rsid w:val="767A117A"/>
    <w:rsid w:val="767A8769"/>
    <w:rsid w:val="767A92F8"/>
    <w:rsid w:val="767B5078"/>
    <w:rsid w:val="767BB7F0"/>
    <w:rsid w:val="767BCFDE"/>
    <w:rsid w:val="767D2875"/>
    <w:rsid w:val="767D3C1E"/>
    <w:rsid w:val="767D9247"/>
    <w:rsid w:val="767DFD3C"/>
    <w:rsid w:val="767F67DA"/>
    <w:rsid w:val="768122FE"/>
    <w:rsid w:val="7681266C"/>
    <w:rsid w:val="7681352A"/>
    <w:rsid w:val="768204DB"/>
    <w:rsid w:val="76820B4C"/>
    <w:rsid w:val="768231AE"/>
    <w:rsid w:val="76823D69"/>
    <w:rsid w:val="768318C3"/>
    <w:rsid w:val="7683C0ED"/>
    <w:rsid w:val="7683E58F"/>
    <w:rsid w:val="768444FF"/>
    <w:rsid w:val="7684CDFF"/>
    <w:rsid w:val="7684D123"/>
    <w:rsid w:val="76850F30"/>
    <w:rsid w:val="7685901F"/>
    <w:rsid w:val="7685AAC6"/>
    <w:rsid w:val="7685B5B8"/>
    <w:rsid w:val="7687AAE8"/>
    <w:rsid w:val="7688412B"/>
    <w:rsid w:val="7688434B"/>
    <w:rsid w:val="7688DBCB"/>
    <w:rsid w:val="76892B0E"/>
    <w:rsid w:val="7689AED9"/>
    <w:rsid w:val="768ADB3A"/>
    <w:rsid w:val="768B8127"/>
    <w:rsid w:val="768C458F"/>
    <w:rsid w:val="768CAE8C"/>
    <w:rsid w:val="768F021B"/>
    <w:rsid w:val="768F0F48"/>
    <w:rsid w:val="768F15F1"/>
    <w:rsid w:val="768F7DD7"/>
    <w:rsid w:val="769095CC"/>
    <w:rsid w:val="7690CE81"/>
    <w:rsid w:val="7690D05A"/>
    <w:rsid w:val="7692543A"/>
    <w:rsid w:val="76926F48"/>
    <w:rsid w:val="769309FC"/>
    <w:rsid w:val="76940F72"/>
    <w:rsid w:val="7694B52B"/>
    <w:rsid w:val="76956516"/>
    <w:rsid w:val="76959742"/>
    <w:rsid w:val="7695C910"/>
    <w:rsid w:val="7695D53E"/>
    <w:rsid w:val="7696D638"/>
    <w:rsid w:val="7697A961"/>
    <w:rsid w:val="769858AA"/>
    <w:rsid w:val="7699AA53"/>
    <w:rsid w:val="769A36F1"/>
    <w:rsid w:val="769AB142"/>
    <w:rsid w:val="769B2774"/>
    <w:rsid w:val="769BA0C7"/>
    <w:rsid w:val="769CA629"/>
    <w:rsid w:val="769D7B28"/>
    <w:rsid w:val="769DDEA8"/>
    <w:rsid w:val="769DEE50"/>
    <w:rsid w:val="769EA171"/>
    <w:rsid w:val="769EBABA"/>
    <w:rsid w:val="769EF25C"/>
    <w:rsid w:val="769F58B5"/>
    <w:rsid w:val="76A0F00D"/>
    <w:rsid w:val="76A0FACF"/>
    <w:rsid w:val="76A18609"/>
    <w:rsid w:val="76A194E8"/>
    <w:rsid w:val="76A1D115"/>
    <w:rsid w:val="76A411D5"/>
    <w:rsid w:val="76A4787F"/>
    <w:rsid w:val="76A4A521"/>
    <w:rsid w:val="76A67545"/>
    <w:rsid w:val="76A6C44B"/>
    <w:rsid w:val="76A77A99"/>
    <w:rsid w:val="76AA4A18"/>
    <w:rsid w:val="76AAC7DF"/>
    <w:rsid w:val="76ABE49E"/>
    <w:rsid w:val="76AC43D9"/>
    <w:rsid w:val="76ACA607"/>
    <w:rsid w:val="76ACA862"/>
    <w:rsid w:val="76ADA030"/>
    <w:rsid w:val="76B0BDF6"/>
    <w:rsid w:val="76B0FE39"/>
    <w:rsid w:val="76B1366A"/>
    <w:rsid w:val="76B178C2"/>
    <w:rsid w:val="76B1ABD2"/>
    <w:rsid w:val="76B1F046"/>
    <w:rsid w:val="76B2B882"/>
    <w:rsid w:val="76B317D8"/>
    <w:rsid w:val="76B37390"/>
    <w:rsid w:val="76B457C7"/>
    <w:rsid w:val="76B4BFA4"/>
    <w:rsid w:val="76B6B542"/>
    <w:rsid w:val="76B6D6C2"/>
    <w:rsid w:val="76B70C1B"/>
    <w:rsid w:val="76B8426C"/>
    <w:rsid w:val="76B8826B"/>
    <w:rsid w:val="76B936F5"/>
    <w:rsid w:val="76B96BFA"/>
    <w:rsid w:val="76B98936"/>
    <w:rsid w:val="76B9CFAA"/>
    <w:rsid w:val="76BC7A05"/>
    <w:rsid w:val="76BC824C"/>
    <w:rsid w:val="76BD1942"/>
    <w:rsid w:val="76BDC873"/>
    <w:rsid w:val="76BE146B"/>
    <w:rsid w:val="76BE3A62"/>
    <w:rsid w:val="76BEB570"/>
    <w:rsid w:val="76BEF1E3"/>
    <w:rsid w:val="76BF2051"/>
    <w:rsid w:val="76BF6A3A"/>
    <w:rsid w:val="76BF876F"/>
    <w:rsid w:val="76BFAF38"/>
    <w:rsid w:val="76C0C182"/>
    <w:rsid w:val="76C0CBC8"/>
    <w:rsid w:val="76C0FF70"/>
    <w:rsid w:val="76C233D0"/>
    <w:rsid w:val="76C24F38"/>
    <w:rsid w:val="76C279A4"/>
    <w:rsid w:val="76C2978E"/>
    <w:rsid w:val="76C36623"/>
    <w:rsid w:val="76C3DF86"/>
    <w:rsid w:val="76C48491"/>
    <w:rsid w:val="76C4A3D5"/>
    <w:rsid w:val="76C558A0"/>
    <w:rsid w:val="76C7C079"/>
    <w:rsid w:val="76C832FF"/>
    <w:rsid w:val="76C8A6F4"/>
    <w:rsid w:val="76C8C01D"/>
    <w:rsid w:val="76CB639E"/>
    <w:rsid w:val="76CC96ED"/>
    <w:rsid w:val="76CCEC6E"/>
    <w:rsid w:val="76CD2EDE"/>
    <w:rsid w:val="76CD97F2"/>
    <w:rsid w:val="76CE1675"/>
    <w:rsid w:val="76CEB04B"/>
    <w:rsid w:val="76CF626C"/>
    <w:rsid w:val="76CF7F21"/>
    <w:rsid w:val="76CFE5D0"/>
    <w:rsid w:val="76D00C4E"/>
    <w:rsid w:val="76D02F13"/>
    <w:rsid w:val="76D03A4F"/>
    <w:rsid w:val="76D060DF"/>
    <w:rsid w:val="76D0EF38"/>
    <w:rsid w:val="76D114CB"/>
    <w:rsid w:val="76D115F7"/>
    <w:rsid w:val="76D22F3E"/>
    <w:rsid w:val="76D3347F"/>
    <w:rsid w:val="76D491D1"/>
    <w:rsid w:val="76D4D473"/>
    <w:rsid w:val="76D58861"/>
    <w:rsid w:val="76D59B06"/>
    <w:rsid w:val="76D5ECBD"/>
    <w:rsid w:val="76D68668"/>
    <w:rsid w:val="76D6E494"/>
    <w:rsid w:val="76D83D7D"/>
    <w:rsid w:val="76D9E8E4"/>
    <w:rsid w:val="76DA1D78"/>
    <w:rsid w:val="76DBACC7"/>
    <w:rsid w:val="76DC314E"/>
    <w:rsid w:val="76DCC143"/>
    <w:rsid w:val="76DD52AF"/>
    <w:rsid w:val="76DE102D"/>
    <w:rsid w:val="76DF7AC4"/>
    <w:rsid w:val="76E10CA7"/>
    <w:rsid w:val="76E16E0E"/>
    <w:rsid w:val="76E17CCC"/>
    <w:rsid w:val="76E2DF22"/>
    <w:rsid w:val="76E2E5FD"/>
    <w:rsid w:val="76E39FD8"/>
    <w:rsid w:val="76E3A016"/>
    <w:rsid w:val="76E3E827"/>
    <w:rsid w:val="76E3EC90"/>
    <w:rsid w:val="76E3ED7D"/>
    <w:rsid w:val="76E40DA9"/>
    <w:rsid w:val="76E44B98"/>
    <w:rsid w:val="76E4563D"/>
    <w:rsid w:val="76E48221"/>
    <w:rsid w:val="76E49406"/>
    <w:rsid w:val="76E5B99D"/>
    <w:rsid w:val="76E6BA88"/>
    <w:rsid w:val="76E6D742"/>
    <w:rsid w:val="76E71CD7"/>
    <w:rsid w:val="76E7BCC3"/>
    <w:rsid w:val="76E7C1D1"/>
    <w:rsid w:val="76E8F6C3"/>
    <w:rsid w:val="76E98FC4"/>
    <w:rsid w:val="76E9A17C"/>
    <w:rsid w:val="76EB27D2"/>
    <w:rsid w:val="76EB5939"/>
    <w:rsid w:val="76ECF0D0"/>
    <w:rsid w:val="76EEAAEF"/>
    <w:rsid w:val="76EEB8A3"/>
    <w:rsid w:val="76EF5FA5"/>
    <w:rsid w:val="76EF94F0"/>
    <w:rsid w:val="76EF95B9"/>
    <w:rsid w:val="76F10699"/>
    <w:rsid w:val="76F1D14F"/>
    <w:rsid w:val="76F27DF3"/>
    <w:rsid w:val="76F28E7F"/>
    <w:rsid w:val="76F42C78"/>
    <w:rsid w:val="76F483B9"/>
    <w:rsid w:val="76F4E252"/>
    <w:rsid w:val="76F5DCA8"/>
    <w:rsid w:val="76F664E3"/>
    <w:rsid w:val="76F77290"/>
    <w:rsid w:val="76F7CFC7"/>
    <w:rsid w:val="76F88204"/>
    <w:rsid w:val="76F9ED42"/>
    <w:rsid w:val="76F9F338"/>
    <w:rsid w:val="76FA5502"/>
    <w:rsid w:val="76FA8C38"/>
    <w:rsid w:val="76FB5FC2"/>
    <w:rsid w:val="76FBE045"/>
    <w:rsid w:val="76FC7B94"/>
    <w:rsid w:val="76FCE3CB"/>
    <w:rsid w:val="76FCE5CD"/>
    <w:rsid w:val="76FDB1CC"/>
    <w:rsid w:val="76FE3C1B"/>
    <w:rsid w:val="76FEC74B"/>
    <w:rsid w:val="76FEE39B"/>
    <w:rsid w:val="7700933A"/>
    <w:rsid w:val="7700EABF"/>
    <w:rsid w:val="7700F130"/>
    <w:rsid w:val="77010DB2"/>
    <w:rsid w:val="77017B1A"/>
    <w:rsid w:val="7701B77F"/>
    <w:rsid w:val="77023FBE"/>
    <w:rsid w:val="77035AFF"/>
    <w:rsid w:val="770383ED"/>
    <w:rsid w:val="7705D356"/>
    <w:rsid w:val="77060A0D"/>
    <w:rsid w:val="77067981"/>
    <w:rsid w:val="77069D4C"/>
    <w:rsid w:val="770724D3"/>
    <w:rsid w:val="77075B04"/>
    <w:rsid w:val="770854F3"/>
    <w:rsid w:val="77087FBB"/>
    <w:rsid w:val="770C6099"/>
    <w:rsid w:val="770CAA22"/>
    <w:rsid w:val="770CC6A6"/>
    <w:rsid w:val="770D5EAE"/>
    <w:rsid w:val="770DBEE7"/>
    <w:rsid w:val="770F002C"/>
    <w:rsid w:val="7710BA2C"/>
    <w:rsid w:val="7711AA75"/>
    <w:rsid w:val="77126CE8"/>
    <w:rsid w:val="7713C0A6"/>
    <w:rsid w:val="7713C636"/>
    <w:rsid w:val="771451A7"/>
    <w:rsid w:val="77154BDE"/>
    <w:rsid w:val="7715AF6C"/>
    <w:rsid w:val="771639EF"/>
    <w:rsid w:val="771644AE"/>
    <w:rsid w:val="7716D837"/>
    <w:rsid w:val="77180E28"/>
    <w:rsid w:val="77182B4C"/>
    <w:rsid w:val="77185430"/>
    <w:rsid w:val="77186059"/>
    <w:rsid w:val="771A2780"/>
    <w:rsid w:val="771A98E2"/>
    <w:rsid w:val="771B29A9"/>
    <w:rsid w:val="771B2F05"/>
    <w:rsid w:val="771BE11C"/>
    <w:rsid w:val="771C24C7"/>
    <w:rsid w:val="771C873A"/>
    <w:rsid w:val="771D0C78"/>
    <w:rsid w:val="771D608A"/>
    <w:rsid w:val="771EBF3D"/>
    <w:rsid w:val="771F68BE"/>
    <w:rsid w:val="771F96E1"/>
    <w:rsid w:val="772029BB"/>
    <w:rsid w:val="77218E78"/>
    <w:rsid w:val="77219CF9"/>
    <w:rsid w:val="7721EC53"/>
    <w:rsid w:val="7722121F"/>
    <w:rsid w:val="772249E3"/>
    <w:rsid w:val="7722AA17"/>
    <w:rsid w:val="77234357"/>
    <w:rsid w:val="77244DD7"/>
    <w:rsid w:val="77245114"/>
    <w:rsid w:val="77246400"/>
    <w:rsid w:val="7724F1A8"/>
    <w:rsid w:val="77256DA5"/>
    <w:rsid w:val="77263AD2"/>
    <w:rsid w:val="7726EE7A"/>
    <w:rsid w:val="7726F53E"/>
    <w:rsid w:val="7727D783"/>
    <w:rsid w:val="77280D70"/>
    <w:rsid w:val="77281395"/>
    <w:rsid w:val="7728AE04"/>
    <w:rsid w:val="7728C6F1"/>
    <w:rsid w:val="7728F935"/>
    <w:rsid w:val="7729173E"/>
    <w:rsid w:val="77299985"/>
    <w:rsid w:val="772A707C"/>
    <w:rsid w:val="772B1CA0"/>
    <w:rsid w:val="772C54CB"/>
    <w:rsid w:val="77315BEE"/>
    <w:rsid w:val="77328C63"/>
    <w:rsid w:val="77329B9C"/>
    <w:rsid w:val="7733BC24"/>
    <w:rsid w:val="7734B412"/>
    <w:rsid w:val="7735C5F7"/>
    <w:rsid w:val="7736C778"/>
    <w:rsid w:val="773853A9"/>
    <w:rsid w:val="77394A75"/>
    <w:rsid w:val="77394FAE"/>
    <w:rsid w:val="773A8BC7"/>
    <w:rsid w:val="773AD594"/>
    <w:rsid w:val="773B2C04"/>
    <w:rsid w:val="773B2F02"/>
    <w:rsid w:val="773B8D0C"/>
    <w:rsid w:val="773B9066"/>
    <w:rsid w:val="773BB37E"/>
    <w:rsid w:val="773C32C8"/>
    <w:rsid w:val="773CC1ED"/>
    <w:rsid w:val="773D19F2"/>
    <w:rsid w:val="773D4A16"/>
    <w:rsid w:val="773DEB56"/>
    <w:rsid w:val="773E149E"/>
    <w:rsid w:val="773F3FAE"/>
    <w:rsid w:val="773F8C6C"/>
    <w:rsid w:val="77402622"/>
    <w:rsid w:val="77403AE7"/>
    <w:rsid w:val="7741568D"/>
    <w:rsid w:val="774174C4"/>
    <w:rsid w:val="77421A83"/>
    <w:rsid w:val="77421B64"/>
    <w:rsid w:val="77427973"/>
    <w:rsid w:val="7742B5DC"/>
    <w:rsid w:val="774328D3"/>
    <w:rsid w:val="77435769"/>
    <w:rsid w:val="77441414"/>
    <w:rsid w:val="77444A6B"/>
    <w:rsid w:val="77444EA0"/>
    <w:rsid w:val="77445653"/>
    <w:rsid w:val="77448103"/>
    <w:rsid w:val="7744B4CA"/>
    <w:rsid w:val="7744D6EE"/>
    <w:rsid w:val="7744E982"/>
    <w:rsid w:val="77452B3A"/>
    <w:rsid w:val="77458811"/>
    <w:rsid w:val="7746135C"/>
    <w:rsid w:val="77461BC3"/>
    <w:rsid w:val="77466133"/>
    <w:rsid w:val="7746C484"/>
    <w:rsid w:val="7746F86E"/>
    <w:rsid w:val="7747DF6B"/>
    <w:rsid w:val="77485CE1"/>
    <w:rsid w:val="7748E4A5"/>
    <w:rsid w:val="77494662"/>
    <w:rsid w:val="77496024"/>
    <w:rsid w:val="7749C2A9"/>
    <w:rsid w:val="774A09FB"/>
    <w:rsid w:val="774A0F82"/>
    <w:rsid w:val="774A82BF"/>
    <w:rsid w:val="774ABEC8"/>
    <w:rsid w:val="774C2ED1"/>
    <w:rsid w:val="774CC67D"/>
    <w:rsid w:val="774E946F"/>
    <w:rsid w:val="774F1F8F"/>
    <w:rsid w:val="774F44D3"/>
    <w:rsid w:val="774FE87B"/>
    <w:rsid w:val="77508C28"/>
    <w:rsid w:val="7750A27D"/>
    <w:rsid w:val="7750BFDA"/>
    <w:rsid w:val="775165E1"/>
    <w:rsid w:val="7754FFAA"/>
    <w:rsid w:val="775693D2"/>
    <w:rsid w:val="7756AA43"/>
    <w:rsid w:val="7756FB7F"/>
    <w:rsid w:val="7757D872"/>
    <w:rsid w:val="7757F94D"/>
    <w:rsid w:val="7758FA91"/>
    <w:rsid w:val="7759423E"/>
    <w:rsid w:val="77596E07"/>
    <w:rsid w:val="77599EBA"/>
    <w:rsid w:val="775AD18D"/>
    <w:rsid w:val="775B9491"/>
    <w:rsid w:val="775BBC74"/>
    <w:rsid w:val="775C8E99"/>
    <w:rsid w:val="775E3554"/>
    <w:rsid w:val="776067EC"/>
    <w:rsid w:val="77610543"/>
    <w:rsid w:val="7761C6D3"/>
    <w:rsid w:val="776245C5"/>
    <w:rsid w:val="77632EBD"/>
    <w:rsid w:val="77647301"/>
    <w:rsid w:val="77649AC2"/>
    <w:rsid w:val="7764A03C"/>
    <w:rsid w:val="7764EB27"/>
    <w:rsid w:val="7766200C"/>
    <w:rsid w:val="7766238A"/>
    <w:rsid w:val="776653BB"/>
    <w:rsid w:val="77673970"/>
    <w:rsid w:val="77689AC6"/>
    <w:rsid w:val="77691E4D"/>
    <w:rsid w:val="776945A4"/>
    <w:rsid w:val="7769B0E6"/>
    <w:rsid w:val="776B7A72"/>
    <w:rsid w:val="776B9EDD"/>
    <w:rsid w:val="776CADD3"/>
    <w:rsid w:val="776E336C"/>
    <w:rsid w:val="776F4E24"/>
    <w:rsid w:val="776FC69D"/>
    <w:rsid w:val="776FF488"/>
    <w:rsid w:val="7770EF77"/>
    <w:rsid w:val="77713603"/>
    <w:rsid w:val="777140CB"/>
    <w:rsid w:val="77718D8E"/>
    <w:rsid w:val="7772FC46"/>
    <w:rsid w:val="7773219F"/>
    <w:rsid w:val="7773A169"/>
    <w:rsid w:val="77740D02"/>
    <w:rsid w:val="7775A18A"/>
    <w:rsid w:val="7776A74E"/>
    <w:rsid w:val="77775C5B"/>
    <w:rsid w:val="77775DB1"/>
    <w:rsid w:val="7777B5AF"/>
    <w:rsid w:val="77784B1B"/>
    <w:rsid w:val="7779405F"/>
    <w:rsid w:val="777D469D"/>
    <w:rsid w:val="777D4F63"/>
    <w:rsid w:val="777E4B1A"/>
    <w:rsid w:val="777EB76C"/>
    <w:rsid w:val="777F0A17"/>
    <w:rsid w:val="777F2BAE"/>
    <w:rsid w:val="777F2ECD"/>
    <w:rsid w:val="777F4B00"/>
    <w:rsid w:val="777F876E"/>
    <w:rsid w:val="777FA957"/>
    <w:rsid w:val="77802DEE"/>
    <w:rsid w:val="778050B3"/>
    <w:rsid w:val="778151A7"/>
    <w:rsid w:val="7781C16C"/>
    <w:rsid w:val="7781F652"/>
    <w:rsid w:val="7784FA44"/>
    <w:rsid w:val="77852A17"/>
    <w:rsid w:val="77855D0B"/>
    <w:rsid w:val="7785764A"/>
    <w:rsid w:val="7785B3B6"/>
    <w:rsid w:val="77862B11"/>
    <w:rsid w:val="77863BE6"/>
    <w:rsid w:val="7787027D"/>
    <w:rsid w:val="77878759"/>
    <w:rsid w:val="7787E01E"/>
    <w:rsid w:val="7787E99F"/>
    <w:rsid w:val="77892781"/>
    <w:rsid w:val="778BEBC9"/>
    <w:rsid w:val="778C7092"/>
    <w:rsid w:val="778DFA5F"/>
    <w:rsid w:val="778EFC29"/>
    <w:rsid w:val="778FBA46"/>
    <w:rsid w:val="778FC5C2"/>
    <w:rsid w:val="77917E73"/>
    <w:rsid w:val="7791C020"/>
    <w:rsid w:val="77924900"/>
    <w:rsid w:val="7792FBBD"/>
    <w:rsid w:val="7793FCDA"/>
    <w:rsid w:val="77943965"/>
    <w:rsid w:val="77945255"/>
    <w:rsid w:val="77949DDC"/>
    <w:rsid w:val="7794CDA8"/>
    <w:rsid w:val="77953D0A"/>
    <w:rsid w:val="7795AA8D"/>
    <w:rsid w:val="77969FEB"/>
    <w:rsid w:val="7796B4F7"/>
    <w:rsid w:val="77975AA3"/>
    <w:rsid w:val="7797804A"/>
    <w:rsid w:val="77991242"/>
    <w:rsid w:val="77991478"/>
    <w:rsid w:val="779A007D"/>
    <w:rsid w:val="779B6D41"/>
    <w:rsid w:val="779BA634"/>
    <w:rsid w:val="779C34F7"/>
    <w:rsid w:val="779CD526"/>
    <w:rsid w:val="779D7156"/>
    <w:rsid w:val="779E10AE"/>
    <w:rsid w:val="779E33F3"/>
    <w:rsid w:val="779E4B07"/>
    <w:rsid w:val="77A019F0"/>
    <w:rsid w:val="77A15DD7"/>
    <w:rsid w:val="77A2507A"/>
    <w:rsid w:val="77A44695"/>
    <w:rsid w:val="77A46D05"/>
    <w:rsid w:val="77A4810B"/>
    <w:rsid w:val="77A4884F"/>
    <w:rsid w:val="77A50443"/>
    <w:rsid w:val="77A5E74B"/>
    <w:rsid w:val="77A62E33"/>
    <w:rsid w:val="77A68C29"/>
    <w:rsid w:val="77A7F298"/>
    <w:rsid w:val="77A8961F"/>
    <w:rsid w:val="77AA6995"/>
    <w:rsid w:val="77AB2936"/>
    <w:rsid w:val="77ACC08B"/>
    <w:rsid w:val="77ACC5C8"/>
    <w:rsid w:val="77ACCB32"/>
    <w:rsid w:val="77AD2754"/>
    <w:rsid w:val="77AE7D0D"/>
    <w:rsid w:val="77AEFCBE"/>
    <w:rsid w:val="77AF3761"/>
    <w:rsid w:val="77B0F400"/>
    <w:rsid w:val="77B1928A"/>
    <w:rsid w:val="77B1AF73"/>
    <w:rsid w:val="77B2FD1B"/>
    <w:rsid w:val="77B32C2A"/>
    <w:rsid w:val="77B356B2"/>
    <w:rsid w:val="77B36128"/>
    <w:rsid w:val="77B4A039"/>
    <w:rsid w:val="77B5298D"/>
    <w:rsid w:val="77B590D0"/>
    <w:rsid w:val="77B723B5"/>
    <w:rsid w:val="77B75E47"/>
    <w:rsid w:val="77B7F45A"/>
    <w:rsid w:val="77B8149F"/>
    <w:rsid w:val="77B8C3BE"/>
    <w:rsid w:val="77B95430"/>
    <w:rsid w:val="77B9B03F"/>
    <w:rsid w:val="77BAF4B4"/>
    <w:rsid w:val="77BB618B"/>
    <w:rsid w:val="77BBAEF9"/>
    <w:rsid w:val="77BC58BA"/>
    <w:rsid w:val="77BC929D"/>
    <w:rsid w:val="77BE2392"/>
    <w:rsid w:val="77BECABE"/>
    <w:rsid w:val="77BF01F7"/>
    <w:rsid w:val="77C02AC1"/>
    <w:rsid w:val="77C27681"/>
    <w:rsid w:val="77C33C31"/>
    <w:rsid w:val="77C38EE2"/>
    <w:rsid w:val="77C48D15"/>
    <w:rsid w:val="77C49588"/>
    <w:rsid w:val="77C4B22B"/>
    <w:rsid w:val="77C51F14"/>
    <w:rsid w:val="77C5240F"/>
    <w:rsid w:val="77C525DB"/>
    <w:rsid w:val="77C54DF0"/>
    <w:rsid w:val="77C5FDD8"/>
    <w:rsid w:val="77C61155"/>
    <w:rsid w:val="77C6EF1D"/>
    <w:rsid w:val="77C7FC37"/>
    <w:rsid w:val="77C8444F"/>
    <w:rsid w:val="77C8BB5D"/>
    <w:rsid w:val="77C90A95"/>
    <w:rsid w:val="77C9465F"/>
    <w:rsid w:val="77CA1C5A"/>
    <w:rsid w:val="77CB1604"/>
    <w:rsid w:val="77CC4028"/>
    <w:rsid w:val="77CC571A"/>
    <w:rsid w:val="77CD94CC"/>
    <w:rsid w:val="77CDA6E6"/>
    <w:rsid w:val="77CEBBF3"/>
    <w:rsid w:val="77CFCEC1"/>
    <w:rsid w:val="77CFDFEE"/>
    <w:rsid w:val="77D0A6B7"/>
    <w:rsid w:val="77D1D23D"/>
    <w:rsid w:val="77D1E93E"/>
    <w:rsid w:val="77D21E45"/>
    <w:rsid w:val="77D26940"/>
    <w:rsid w:val="77D2878C"/>
    <w:rsid w:val="77D33D58"/>
    <w:rsid w:val="77D410A1"/>
    <w:rsid w:val="77D5679C"/>
    <w:rsid w:val="77D5A4A5"/>
    <w:rsid w:val="77D5D9CF"/>
    <w:rsid w:val="77D6AA8A"/>
    <w:rsid w:val="77D6EC46"/>
    <w:rsid w:val="77D73125"/>
    <w:rsid w:val="77D86338"/>
    <w:rsid w:val="77D8B6D7"/>
    <w:rsid w:val="77D8D28A"/>
    <w:rsid w:val="77D8FD80"/>
    <w:rsid w:val="77D9171A"/>
    <w:rsid w:val="77D93373"/>
    <w:rsid w:val="77D9C6A0"/>
    <w:rsid w:val="77D9D7EB"/>
    <w:rsid w:val="77DA19F4"/>
    <w:rsid w:val="77DC3B5E"/>
    <w:rsid w:val="77DDB55C"/>
    <w:rsid w:val="77DE5F7D"/>
    <w:rsid w:val="77DFB203"/>
    <w:rsid w:val="77DFE31C"/>
    <w:rsid w:val="77E1B203"/>
    <w:rsid w:val="77E2E1EF"/>
    <w:rsid w:val="77E2E62D"/>
    <w:rsid w:val="77E2F5F9"/>
    <w:rsid w:val="77E34439"/>
    <w:rsid w:val="77E366E6"/>
    <w:rsid w:val="77E37677"/>
    <w:rsid w:val="77E3C33D"/>
    <w:rsid w:val="77E44E96"/>
    <w:rsid w:val="77E48769"/>
    <w:rsid w:val="77E5DABC"/>
    <w:rsid w:val="77E64005"/>
    <w:rsid w:val="77E661C9"/>
    <w:rsid w:val="77E69BF4"/>
    <w:rsid w:val="77E73022"/>
    <w:rsid w:val="77E849CD"/>
    <w:rsid w:val="77E946CB"/>
    <w:rsid w:val="77E97812"/>
    <w:rsid w:val="77EC7143"/>
    <w:rsid w:val="77ED205F"/>
    <w:rsid w:val="77ED4737"/>
    <w:rsid w:val="77ED5CC6"/>
    <w:rsid w:val="77EDDA10"/>
    <w:rsid w:val="77EE0E75"/>
    <w:rsid w:val="77EEF212"/>
    <w:rsid w:val="77EF5D19"/>
    <w:rsid w:val="77EF8008"/>
    <w:rsid w:val="77F01DD6"/>
    <w:rsid w:val="77F02E3B"/>
    <w:rsid w:val="77F06DBF"/>
    <w:rsid w:val="77F07D56"/>
    <w:rsid w:val="77F1D362"/>
    <w:rsid w:val="77F27C45"/>
    <w:rsid w:val="77F29D0D"/>
    <w:rsid w:val="77F2FD8B"/>
    <w:rsid w:val="77F37753"/>
    <w:rsid w:val="77F3B5A8"/>
    <w:rsid w:val="77F484E7"/>
    <w:rsid w:val="77F50EBF"/>
    <w:rsid w:val="77F727FA"/>
    <w:rsid w:val="77F7E150"/>
    <w:rsid w:val="77F821D9"/>
    <w:rsid w:val="77F8F5F0"/>
    <w:rsid w:val="77F90525"/>
    <w:rsid w:val="77F9987D"/>
    <w:rsid w:val="77F9B0F7"/>
    <w:rsid w:val="77FA4FC8"/>
    <w:rsid w:val="77FA6212"/>
    <w:rsid w:val="77FABFC6"/>
    <w:rsid w:val="77FB2057"/>
    <w:rsid w:val="77FB5096"/>
    <w:rsid w:val="77FC60F6"/>
    <w:rsid w:val="77FC76C5"/>
    <w:rsid w:val="77FC7BDE"/>
    <w:rsid w:val="77FCD8A8"/>
    <w:rsid w:val="77FD7E4C"/>
    <w:rsid w:val="77FE24C9"/>
    <w:rsid w:val="77FE7EA6"/>
    <w:rsid w:val="78007625"/>
    <w:rsid w:val="7800B2EA"/>
    <w:rsid w:val="780121D7"/>
    <w:rsid w:val="7801B344"/>
    <w:rsid w:val="7801E566"/>
    <w:rsid w:val="78025E57"/>
    <w:rsid w:val="78028C2C"/>
    <w:rsid w:val="7803DA7A"/>
    <w:rsid w:val="78049897"/>
    <w:rsid w:val="7806B46E"/>
    <w:rsid w:val="78075016"/>
    <w:rsid w:val="78075945"/>
    <w:rsid w:val="7808CD37"/>
    <w:rsid w:val="7808D6B8"/>
    <w:rsid w:val="7808FC2A"/>
    <w:rsid w:val="7809B946"/>
    <w:rsid w:val="780AC528"/>
    <w:rsid w:val="780B3113"/>
    <w:rsid w:val="780C600E"/>
    <w:rsid w:val="780CB3E5"/>
    <w:rsid w:val="780DE6DF"/>
    <w:rsid w:val="780E4C17"/>
    <w:rsid w:val="780F1BC3"/>
    <w:rsid w:val="780F860D"/>
    <w:rsid w:val="780FCFD0"/>
    <w:rsid w:val="7811401A"/>
    <w:rsid w:val="78114FA6"/>
    <w:rsid w:val="78116504"/>
    <w:rsid w:val="78119D93"/>
    <w:rsid w:val="7811A85C"/>
    <w:rsid w:val="78123F96"/>
    <w:rsid w:val="78124B9E"/>
    <w:rsid w:val="78125FDA"/>
    <w:rsid w:val="7812A0F1"/>
    <w:rsid w:val="78139196"/>
    <w:rsid w:val="7813A933"/>
    <w:rsid w:val="7813D768"/>
    <w:rsid w:val="7813F7E4"/>
    <w:rsid w:val="781538CA"/>
    <w:rsid w:val="7815A68A"/>
    <w:rsid w:val="7815AE04"/>
    <w:rsid w:val="7815B977"/>
    <w:rsid w:val="7815C485"/>
    <w:rsid w:val="78169BD3"/>
    <w:rsid w:val="781719EE"/>
    <w:rsid w:val="78177B60"/>
    <w:rsid w:val="781879E5"/>
    <w:rsid w:val="78191E82"/>
    <w:rsid w:val="7819F693"/>
    <w:rsid w:val="7819FDB4"/>
    <w:rsid w:val="781AA6BD"/>
    <w:rsid w:val="781C7A72"/>
    <w:rsid w:val="781D40A0"/>
    <w:rsid w:val="781DA79C"/>
    <w:rsid w:val="781DCCAE"/>
    <w:rsid w:val="781DE80B"/>
    <w:rsid w:val="781F30C2"/>
    <w:rsid w:val="781F32FA"/>
    <w:rsid w:val="781F7BF6"/>
    <w:rsid w:val="781FA760"/>
    <w:rsid w:val="781FC8DB"/>
    <w:rsid w:val="781FD2F0"/>
    <w:rsid w:val="7820DB94"/>
    <w:rsid w:val="7820DF19"/>
    <w:rsid w:val="7821F14A"/>
    <w:rsid w:val="782264A3"/>
    <w:rsid w:val="7822D971"/>
    <w:rsid w:val="7823995D"/>
    <w:rsid w:val="78240305"/>
    <w:rsid w:val="7824103C"/>
    <w:rsid w:val="78244163"/>
    <w:rsid w:val="78247933"/>
    <w:rsid w:val="7826213B"/>
    <w:rsid w:val="78266C16"/>
    <w:rsid w:val="78289BCC"/>
    <w:rsid w:val="7828E8B0"/>
    <w:rsid w:val="7829E971"/>
    <w:rsid w:val="782B4E9A"/>
    <w:rsid w:val="782C2077"/>
    <w:rsid w:val="782C7335"/>
    <w:rsid w:val="782D195A"/>
    <w:rsid w:val="782E2FD2"/>
    <w:rsid w:val="782EB7F3"/>
    <w:rsid w:val="782FA292"/>
    <w:rsid w:val="7830EA70"/>
    <w:rsid w:val="78321FCA"/>
    <w:rsid w:val="7832274A"/>
    <w:rsid w:val="7834ECD6"/>
    <w:rsid w:val="78350BAB"/>
    <w:rsid w:val="78353D90"/>
    <w:rsid w:val="78360622"/>
    <w:rsid w:val="78373F26"/>
    <w:rsid w:val="78376CDF"/>
    <w:rsid w:val="7837EE57"/>
    <w:rsid w:val="783807BE"/>
    <w:rsid w:val="7838B23D"/>
    <w:rsid w:val="78390C7E"/>
    <w:rsid w:val="783A35A4"/>
    <w:rsid w:val="783A4AFA"/>
    <w:rsid w:val="783B906F"/>
    <w:rsid w:val="783B96A6"/>
    <w:rsid w:val="783CCDEF"/>
    <w:rsid w:val="783D2B48"/>
    <w:rsid w:val="783FB6C8"/>
    <w:rsid w:val="78401E5A"/>
    <w:rsid w:val="78419FEA"/>
    <w:rsid w:val="7841F08E"/>
    <w:rsid w:val="7841F8E5"/>
    <w:rsid w:val="7843888A"/>
    <w:rsid w:val="784692F7"/>
    <w:rsid w:val="7846A016"/>
    <w:rsid w:val="7846AD01"/>
    <w:rsid w:val="78472A7C"/>
    <w:rsid w:val="7847796E"/>
    <w:rsid w:val="78479903"/>
    <w:rsid w:val="7847AC0E"/>
    <w:rsid w:val="784824A9"/>
    <w:rsid w:val="7848385D"/>
    <w:rsid w:val="78492980"/>
    <w:rsid w:val="78494B2F"/>
    <w:rsid w:val="7849AD97"/>
    <w:rsid w:val="784A5286"/>
    <w:rsid w:val="784A98A0"/>
    <w:rsid w:val="784ABE72"/>
    <w:rsid w:val="784B051F"/>
    <w:rsid w:val="784B1047"/>
    <w:rsid w:val="784B860B"/>
    <w:rsid w:val="784C9D8A"/>
    <w:rsid w:val="784DC0A7"/>
    <w:rsid w:val="784DE6C0"/>
    <w:rsid w:val="784E55BF"/>
    <w:rsid w:val="784E6408"/>
    <w:rsid w:val="784E95ED"/>
    <w:rsid w:val="784E963D"/>
    <w:rsid w:val="784EC1EA"/>
    <w:rsid w:val="784F471B"/>
    <w:rsid w:val="7850AEA5"/>
    <w:rsid w:val="78513ACA"/>
    <w:rsid w:val="7851B85D"/>
    <w:rsid w:val="7851F595"/>
    <w:rsid w:val="785206D2"/>
    <w:rsid w:val="78531FF6"/>
    <w:rsid w:val="78534783"/>
    <w:rsid w:val="7854CAED"/>
    <w:rsid w:val="7855173D"/>
    <w:rsid w:val="785660D3"/>
    <w:rsid w:val="78568E9D"/>
    <w:rsid w:val="78583F15"/>
    <w:rsid w:val="785856D3"/>
    <w:rsid w:val="78585EA3"/>
    <w:rsid w:val="78594AE8"/>
    <w:rsid w:val="7859528A"/>
    <w:rsid w:val="785B1469"/>
    <w:rsid w:val="785C5486"/>
    <w:rsid w:val="785CB404"/>
    <w:rsid w:val="785CC972"/>
    <w:rsid w:val="785D70F5"/>
    <w:rsid w:val="785E7112"/>
    <w:rsid w:val="785EACA9"/>
    <w:rsid w:val="785F9BD8"/>
    <w:rsid w:val="7860B106"/>
    <w:rsid w:val="786280D1"/>
    <w:rsid w:val="7862A34E"/>
    <w:rsid w:val="7862C4E2"/>
    <w:rsid w:val="7862DB05"/>
    <w:rsid w:val="786322BA"/>
    <w:rsid w:val="78634510"/>
    <w:rsid w:val="78634C38"/>
    <w:rsid w:val="7863F10B"/>
    <w:rsid w:val="78657FFD"/>
    <w:rsid w:val="7866006E"/>
    <w:rsid w:val="78668BB4"/>
    <w:rsid w:val="78668C24"/>
    <w:rsid w:val="7866CB8C"/>
    <w:rsid w:val="786746AD"/>
    <w:rsid w:val="7867A496"/>
    <w:rsid w:val="7867B140"/>
    <w:rsid w:val="78688E00"/>
    <w:rsid w:val="7868D598"/>
    <w:rsid w:val="786909CF"/>
    <w:rsid w:val="78692130"/>
    <w:rsid w:val="7869474A"/>
    <w:rsid w:val="78698392"/>
    <w:rsid w:val="786985EF"/>
    <w:rsid w:val="786A00E8"/>
    <w:rsid w:val="786A0A33"/>
    <w:rsid w:val="786B5C08"/>
    <w:rsid w:val="786BF9B2"/>
    <w:rsid w:val="786DB7C2"/>
    <w:rsid w:val="786E7203"/>
    <w:rsid w:val="786F5D41"/>
    <w:rsid w:val="78700796"/>
    <w:rsid w:val="78702AEE"/>
    <w:rsid w:val="78705E8B"/>
    <w:rsid w:val="7870D84F"/>
    <w:rsid w:val="787102A6"/>
    <w:rsid w:val="7871F139"/>
    <w:rsid w:val="78727521"/>
    <w:rsid w:val="7872BB80"/>
    <w:rsid w:val="7872F892"/>
    <w:rsid w:val="7873D197"/>
    <w:rsid w:val="78741E5A"/>
    <w:rsid w:val="787536AF"/>
    <w:rsid w:val="787557BD"/>
    <w:rsid w:val="78759D58"/>
    <w:rsid w:val="78759DAB"/>
    <w:rsid w:val="7875A188"/>
    <w:rsid w:val="787632B8"/>
    <w:rsid w:val="7876B9DB"/>
    <w:rsid w:val="78776B05"/>
    <w:rsid w:val="78783B48"/>
    <w:rsid w:val="7878C9B8"/>
    <w:rsid w:val="78796BE2"/>
    <w:rsid w:val="7879B181"/>
    <w:rsid w:val="7879B94A"/>
    <w:rsid w:val="7879FE5C"/>
    <w:rsid w:val="787A4F5A"/>
    <w:rsid w:val="787A6A14"/>
    <w:rsid w:val="787AC014"/>
    <w:rsid w:val="787D60D9"/>
    <w:rsid w:val="787D7D85"/>
    <w:rsid w:val="787E2E40"/>
    <w:rsid w:val="787E77E3"/>
    <w:rsid w:val="787EF714"/>
    <w:rsid w:val="787F0A78"/>
    <w:rsid w:val="7880352F"/>
    <w:rsid w:val="7880524A"/>
    <w:rsid w:val="788096E5"/>
    <w:rsid w:val="788149E5"/>
    <w:rsid w:val="78819A72"/>
    <w:rsid w:val="7881B9FB"/>
    <w:rsid w:val="7881CC32"/>
    <w:rsid w:val="788256A8"/>
    <w:rsid w:val="788272AC"/>
    <w:rsid w:val="7882C0B2"/>
    <w:rsid w:val="78851511"/>
    <w:rsid w:val="7885738F"/>
    <w:rsid w:val="7885E1AB"/>
    <w:rsid w:val="78861F9D"/>
    <w:rsid w:val="78862C5A"/>
    <w:rsid w:val="78872D2B"/>
    <w:rsid w:val="7887EFE4"/>
    <w:rsid w:val="78883EFC"/>
    <w:rsid w:val="788971ED"/>
    <w:rsid w:val="788E8D23"/>
    <w:rsid w:val="788F56B1"/>
    <w:rsid w:val="788F5F71"/>
    <w:rsid w:val="788F61AB"/>
    <w:rsid w:val="78908AAF"/>
    <w:rsid w:val="7891D4DD"/>
    <w:rsid w:val="7891DC03"/>
    <w:rsid w:val="78924EF9"/>
    <w:rsid w:val="789283BE"/>
    <w:rsid w:val="78936291"/>
    <w:rsid w:val="789524A3"/>
    <w:rsid w:val="7895638C"/>
    <w:rsid w:val="78959A89"/>
    <w:rsid w:val="7895B2E3"/>
    <w:rsid w:val="7895D63F"/>
    <w:rsid w:val="78973F6B"/>
    <w:rsid w:val="7897C298"/>
    <w:rsid w:val="7897F0AE"/>
    <w:rsid w:val="78984153"/>
    <w:rsid w:val="7898C4D8"/>
    <w:rsid w:val="789B0480"/>
    <w:rsid w:val="789B1BF1"/>
    <w:rsid w:val="789B677C"/>
    <w:rsid w:val="789B76D3"/>
    <w:rsid w:val="789B92B9"/>
    <w:rsid w:val="789BAF14"/>
    <w:rsid w:val="789E9350"/>
    <w:rsid w:val="789EFBEA"/>
    <w:rsid w:val="789F6141"/>
    <w:rsid w:val="789F8154"/>
    <w:rsid w:val="78A16433"/>
    <w:rsid w:val="78A189CA"/>
    <w:rsid w:val="78A27183"/>
    <w:rsid w:val="78A2941C"/>
    <w:rsid w:val="78A2AA8E"/>
    <w:rsid w:val="78A3FF40"/>
    <w:rsid w:val="78A46CB9"/>
    <w:rsid w:val="78A561D4"/>
    <w:rsid w:val="78A5DB11"/>
    <w:rsid w:val="78A5DFB3"/>
    <w:rsid w:val="78A6D17A"/>
    <w:rsid w:val="78AA2681"/>
    <w:rsid w:val="78AA3DF8"/>
    <w:rsid w:val="78AB1C5D"/>
    <w:rsid w:val="78AB8DD3"/>
    <w:rsid w:val="78ABC9D9"/>
    <w:rsid w:val="78AC1544"/>
    <w:rsid w:val="78AC5739"/>
    <w:rsid w:val="78AC69C5"/>
    <w:rsid w:val="78ACD369"/>
    <w:rsid w:val="78AD10E5"/>
    <w:rsid w:val="78AE9F8C"/>
    <w:rsid w:val="78B08F5F"/>
    <w:rsid w:val="78B0D7FE"/>
    <w:rsid w:val="78B19AF8"/>
    <w:rsid w:val="78B28634"/>
    <w:rsid w:val="78B2A04D"/>
    <w:rsid w:val="78B2F4D0"/>
    <w:rsid w:val="78B59AC9"/>
    <w:rsid w:val="78B624D3"/>
    <w:rsid w:val="78B6CFB0"/>
    <w:rsid w:val="78B7060A"/>
    <w:rsid w:val="78B7C97D"/>
    <w:rsid w:val="78B80E3D"/>
    <w:rsid w:val="78B98966"/>
    <w:rsid w:val="78B9A5BA"/>
    <w:rsid w:val="78B9B856"/>
    <w:rsid w:val="78B9EC2D"/>
    <w:rsid w:val="78BA8B54"/>
    <w:rsid w:val="78BD5B42"/>
    <w:rsid w:val="78BEAB69"/>
    <w:rsid w:val="78BEC31A"/>
    <w:rsid w:val="78BEF7BD"/>
    <w:rsid w:val="78BF2364"/>
    <w:rsid w:val="78C04001"/>
    <w:rsid w:val="78C137E0"/>
    <w:rsid w:val="78C15808"/>
    <w:rsid w:val="78C16310"/>
    <w:rsid w:val="78C274EA"/>
    <w:rsid w:val="78C2A049"/>
    <w:rsid w:val="78C31222"/>
    <w:rsid w:val="78C52AA3"/>
    <w:rsid w:val="78C535E2"/>
    <w:rsid w:val="78C5DBB7"/>
    <w:rsid w:val="78C6275E"/>
    <w:rsid w:val="78C6680B"/>
    <w:rsid w:val="78C6B08E"/>
    <w:rsid w:val="78C6FBF7"/>
    <w:rsid w:val="78C70BA9"/>
    <w:rsid w:val="78C738E3"/>
    <w:rsid w:val="78C7C4F6"/>
    <w:rsid w:val="78C91235"/>
    <w:rsid w:val="78C937F7"/>
    <w:rsid w:val="78C9E690"/>
    <w:rsid w:val="78CA23FB"/>
    <w:rsid w:val="78CA98E6"/>
    <w:rsid w:val="78CAECBC"/>
    <w:rsid w:val="78CC607E"/>
    <w:rsid w:val="78CD8166"/>
    <w:rsid w:val="78CDE6A3"/>
    <w:rsid w:val="78CDEA4A"/>
    <w:rsid w:val="78CDFB96"/>
    <w:rsid w:val="78CF087F"/>
    <w:rsid w:val="78D1467E"/>
    <w:rsid w:val="78D185B2"/>
    <w:rsid w:val="78D2EBAF"/>
    <w:rsid w:val="78D34773"/>
    <w:rsid w:val="78D3DEC9"/>
    <w:rsid w:val="78D53DAF"/>
    <w:rsid w:val="78D577A0"/>
    <w:rsid w:val="78D5CD53"/>
    <w:rsid w:val="78D6C722"/>
    <w:rsid w:val="78D7C5FE"/>
    <w:rsid w:val="78D84A1A"/>
    <w:rsid w:val="78DA1497"/>
    <w:rsid w:val="78DAD94F"/>
    <w:rsid w:val="78DB953A"/>
    <w:rsid w:val="78DC5726"/>
    <w:rsid w:val="78DC6C4E"/>
    <w:rsid w:val="78DEE4CF"/>
    <w:rsid w:val="78DF14BA"/>
    <w:rsid w:val="78DF370D"/>
    <w:rsid w:val="78DFFAAF"/>
    <w:rsid w:val="78E0EBA1"/>
    <w:rsid w:val="78E0F07D"/>
    <w:rsid w:val="78E1D36C"/>
    <w:rsid w:val="78E26BD9"/>
    <w:rsid w:val="78E2B3F7"/>
    <w:rsid w:val="78E2B97D"/>
    <w:rsid w:val="78E2D4B6"/>
    <w:rsid w:val="78E4AB41"/>
    <w:rsid w:val="78E51E86"/>
    <w:rsid w:val="78E68F29"/>
    <w:rsid w:val="78E78E8B"/>
    <w:rsid w:val="78E804BC"/>
    <w:rsid w:val="78E81C9E"/>
    <w:rsid w:val="78E93CB4"/>
    <w:rsid w:val="78E98991"/>
    <w:rsid w:val="78E9BD91"/>
    <w:rsid w:val="78E9C3D4"/>
    <w:rsid w:val="78EA3BE7"/>
    <w:rsid w:val="78EA3CA4"/>
    <w:rsid w:val="78EA6225"/>
    <w:rsid w:val="78EAAA25"/>
    <w:rsid w:val="78EB1CA9"/>
    <w:rsid w:val="78EBCDA8"/>
    <w:rsid w:val="78ECDE47"/>
    <w:rsid w:val="78ECEC51"/>
    <w:rsid w:val="78ED16FD"/>
    <w:rsid w:val="78EE5443"/>
    <w:rsid w:val="78EFDB5F"/>
    <w:rsid w:val="78F02CA1"/>
    <w:rsid w:val="78F0B1FB"/>
    <w:rsid w:val="78F14D69"/>
    <w:rsid w:val="78F16594"/>
    <w:rsid w:val="78F1769F"/>
    <w:rsid w:val="78F1B655"/>
    <w:rsid w:val="78F1F263"/>
    <w:rsid w:val="78F21B5C"/>
    <w:rsid w:val="78F2544E"/>
    <w:rsid w:val="78F2DCA4"/>
    <w:rsid w:val="78F3299C"/>
    <w:rsid w:val="78F35B45"/>
    <w:rsid w:val="78F37FFE"/>
    <w:rsid w:val="78F39445"/>
    <w:rsid w:val="78F4688A"/>
    <w:rsid w:val="78F4CAF2"/>
    <w:rsid w:val="78F4FF4B"/>
    <w:rsid w:val="78F57909"/>
    <w:rsid w:val="78F5A305"/>
    <w:rsid w:val="78F6F92B"/>
    <w:rsid w:val="78F6FEB4"/>
    <w:rsid w:val="78F798C2"/>
    <w:rsid w:val="78F89F52"/>
    <w:rsid w:val="78F8A185"/>
    <w:rsid w:val="78F8DF7B"/>
    <w:rsid w:val="78F9311D"/>
    <w:rsid w:val="78F9EBAB"/>
    <w:rsid w:val="78FB8ADA"/>
    <w:rsid w:val="78FC3F89"/>
    <w:rsid w:val="78FDA2C2"/>
    <w:rsid w:val="78FE0C10"/>
    <w:rsid w:val="78FE33E2"/>
    <w:rsid w:val="78FFC9D2"/>
    <w:rsid w:val="7900C93D"/>
    <w:rsid w:val="7900E003"/>
    <w:rsid w:val="7902D40B"/>
    <w:rsid w:val="7902DA33"/>
    <w:rsid w:val="79044F53"/>
    <w:rsid w:val="79049305"/>
    <w:rsid w:val="79049C4F"/>
    <w:rsid w:val="7904E62A"/>
    <w:rsid w:val="7904EAAB"/>
    <w:rsid w:val="79055635"/>
    <w:rsid w:val="7905596B"/>
    <w:rsid w:val="79055D84"/>
    <w:rsid w:val="79057650"/>
    <w:rsid w:val="7907208B"/>
    <w:rsid w:val="7907234C"/>
    <w:rsid w:val="7907BF18"/>
    <w:rsid w:val="79084593"/>
    <w:rsid w:val="79089AAC"/>
    <w:rsid w:val="7908DD13"/>
    <w:rsid w:val="7908F571"/>
    <w:rsid w:val="7909734F"/>
    <w:rsid w:val="790A1D0F"/>
    <w:rsid w:val="790A2696"/>
    <w:rsid w:val="790AB351"/>
    <w:rsid w:val="790B451C"/>
    <w:rsid w:val="790BE402"/>
    <w:rsid w:val="790C55D0"/>
    <w:rsid w:val="790C649E"/>
    <w:rsid w:val="790C902B"/>
    <w:rsid w:val="790CE959"/>
    <w:rsid w:val="790CEFBD"/>
    <w:rsid w:val="790D2086"/>
    <w:rsid w:val="790D7AC5"/>
    <w:rsid w:val="790DB97D"/>
    <w:rsid w:val="790DF7BD"/>
    <w:rsid w:val="790E5E7B"/>
    <w:rsid w:val="790E6519"/>
    <w:rsid w:val="790EB978"/>
    <w:rsid w:val="790F6A72"/>
    <w:rsid w:val="790FAAA1"/>
    <w:rsid w:val="79106A3C"/>
    <w:rsid w:val="79111E4A"/>
    <w:rsid w:val="79115B4C"/>
    <w:rsid w:val="791252B9"/>
    <w:rsid w:val="7912F94D"/>
    <w:rsid w:val="7912FEFA"/>
    <w:rsid w:val="7913B6F4"/>
    <w:rsid w:val="79144381"/>
    <w:rsid w:val="791445F4"/>
    <w:rsid w:val="7914DCE6"/>
    <w:rsid w:val="79157810"/>
    <w:rsid w:val="7916D4F5"/>
    <w:rsid w:val="7916DDE4"/>
    <w:rsid w:val="79180C28"/>
    <w:rsid w:val="79180D3E"/>
    <w:rsid w:val="7918731C"/>
    <w:rsid w:val="791910F5"/>
    <w:rsid w:val="7919160A"/>
    <w:rsid w:val="79197D34"/>
    <w:rsid w:val="7919F2C0"/>
    <w:rsid w:val="791A2193"/>
    <w:rsid w:val="791AB630"/>
    <w:rsid w:val="791C76E1"/>
    <w:rsid w:val="791C84B1"/>
    <w:rsid w:val="791E130D"/>
    <w:rsid w:val="791E404C"/>
    <w:rsid w:val="791E5BBA"/>
    <w:rsid w:val="791E7567"/>
    <w:rsid w:val="792081B0"/>
    <w:rsid w:val="7920E238"/>
    <w:rsid w:val="79212B23"/>
    <w:rsid w:val="7921F42B"/>
    <w:rsid w:val="7923864C"/>
    <w:rsid w:val="79246050"/>
    <w:rsid w:val="79249D2C"/>
    <w:rsid w:val="7924EE26"/>
    <w:rsid w:val="792508B1"/>
    <w:rsid w:val="79256792"/>
    <w:rsid w:val="79256CE2"/>
    <w:rsid w:val="7925C5E4"/>
    <w:rsid w:val="7926026B"/>
    <w:rsid w:val="79260EFB"/>
    <w:rsid w:val="792611FD"/>
    <w:rsid w:val="7926AF87"/>
    <w:rsid w:val="7926F1E4"/>
    <w:rsid w:val="7927F778"/>
    <w:rsid w:val="79280EAD"/>
    <w:rsid w:val="79280FE5"/>
    <w:rsid w:val="792A3CA1"/>
    <w:rsid w:val="792B5928"/>
    <w:rsid w:val="792CB18E"/>
    <w:rsid w:val="792D75A8"/>
    <w:rsid w:val="792DC4FB"/>
    <w:rsid w:val="792E2EF3"/>
    <w:rsid w:val="792F5B7E"/>
    <w:rsid w:val="792F7871"/>
    <w:rsid w:val="792FABE8"/>
    <w:rsid w:val="792FB14B"/>
    <w:rsid w:val="792FD093"/>
    <w:rsid w:val="792FFB05"/>
    <w:rsid w:val="7930E498"/>
    <w:rsid w:val="7930F912"/>
    <w:rsid w:val="79313CBE"/>
    <w:rsid w:val="793172F6"/>
    <w:rsid w:val="793174DB"/>
    <w:rsid w:val="7931E541"/>
    <w:rsid w:val="7931F861"/>
    <w:rsid w:val="79326EAD"/>
    <w:rsid w:val="7932B356"/>
    <w:rsid w:val="79330838"/>
    <w:rsid w:val="79332887"/>
    <w:rsid w:val="79339FDC"/>
    <w:rsid w:val="79346CC8"/>
    <w:rsid w:val="79353A76"/>
    <w:rsid w:val="79355B67"/>
    <w:rsid w:val="79356FF9"/>
    <w:rsid w:val="7935C448"/>
    <w:rsid w:val="7935DC37"/>
    <w:rsid w:val="7938A086"/>
    <w:rsid w:val="7939178E"/>
    <w:rsid w:val="793ACE1B"/>
    <w:rsid w:val="793B1832"/>
    <w:rsid w:val="793B2FCC"/>
    <w:rsid w:val="793BF6FB"/>
    <w:rsid w:val="793C62D9"/>
    <w:rsid w:val="793CF9F5"/>
    <w:rsid w:val="793DE19A"/>
    <w:rsid w:val="793E8AEB"/>
    <w:rsid w:val="793F63C4"/>
    <w:rsid w:val="7940DE5B"/>
    <w:rsid w:val="7941CAFA"/>
    <w:rsid w:val="7942304E"/>
    <w:rsid w:val="7942A951"/>
    <w:rsid w:val="794306E4"/>
    <w:rsid w:val="79430BED"/>
    <w:rsid w:val="79437A93"/>
    <w:rsid w:val="7943A316"/>
    <w:rsid w:val="7943ADBA"/>
    <w:rsid w:val="79446662"/>
    <w:rsid w:val="794509E5"/>
    <w:rsid w:val="7945867C"/>
    <w:rsid w:val="79458EB5"/>
    <w:rsid w:val="7946EB89"/>
    <w:rsid w:val="79473E68"/>
    <w:rsid w:val="79481928"/>
    <w:rsid w:val="79486CE4"/>
    <w:rsid w:val="79488540"/>
    <w:rsid w:val="7948D6AB"/>
    <w:rsid w:val="79495057"/>
    <w:rsid w:val="794B03D0"/>
    <w:rsid w:val="794B201F"/>
    <w:rsid w:val="794B924A"/>
    <w:rsid w:val="794BAD90"/>
    <w:rsid w:val="794CF3C3"/>
    <w:rsid w:val="794D2AFF"/>
    <w:rsid w:val="794D6286"/>
    <w:rsid w:val="794DD77E"/>
    <w:rsid w:val="794DF85E"/>
    <w:rsid w:val="794F659B"/>
    <w:rsid w:val="7950F402"/>
    <w:rsid w:val="7951319D"/>
    <w:rsid w:val="79527997"/>
    <w:rsid w:val="7954AD50"/>
    <w:rsid w:val="7954AF6B"/>
    <w:rsid w:val="7955EC41"/>
    <w:rsid w:val="79569F40"/>
    <w:rsid w:val="7956BEDC"/>
    <w:rsid w:val="795799C6"/>
    <w:rsid w:val="7957F801"/>
    <w:rsid w:val="79586CF8"/>
    <w:rsid w:val="7958A0A1"/>
    <w:rsid w:val="7958B9AE"/>
    <w:rsid w:val="7958FD23"/>
    <w:rsid w:val="79592EF2"/>
    <w:rsid w:val="795AB86C"/>
    <w:rsid w:val="795B02AF"/>
    <w:rsid w:val="795B3AEA"/>
    <w:rsid w:val="795BA507"/>
    <w:rsid w:val="795D3B02"/>
    <w:rsid w:val="795E2B24"/>
    <w:rsid w:val="795E6408"/>
    <w:rsid w:val="795EA01C"/>
    <w:rsid w:val="795EE861"/>
    <w:rsid w:val="795F0278"/>
    <w:rsid w:val="795F72F7"/>
    <w:rsid w:val="7960FB60"/>
    <w:rsid w:val="79618383"/>
    <w:rsid w:val="7962C917"/>
    <w:rsid w:val="796304B1"/>
    <w:rsid w:val="7963B041"/>
    <w:rsid w:val="79648A97"/>
    <w:rsid w:val="7964B2A6"/>
    <w:rsid w:val="79658962"/>
    <w:rsid w:val="796717DD"/>
    <w:rsid w:val="7967BCFA"/>
    <w:rsid w:val="796810EB"/>
    <w:rsid w:val="7968F56B"/>
    <w:rsid w:val="7968FCD1"/>
    <w:rsid w:val="796ABE2F"/>
    <w:rsid w:val="796B94AD"/>
    <w:rsid w:val="796BEC7A"/>
    <w:rsid w:val="796C0DD3"/>
    <w:rsid w:val="796E6D60"/>
    <w:rsid w:val="796E9541"/>
    <w:rsid w:val="796FA3DB"/>
    <w:rsid w:val="7970CBAB"/>
    <w:rsid w:val="79715026"/>
    <w:rsid w:val="7971ACA0"/>
    <w:rsid w:val="797256DC"/>
    <w:rsid w:val="7972780F"/>
    <w:rsid w:val="79728C21"/>
    <w:rsid w:val="79729353"/>
    <w:rsid w:val="79736DB4"/>
    <w:rsid w:val="79739C29"/>
    <w:rsid w:val="79748D6B"/>
    <w:rsid w:val="79762473"/>
    <w:rsid w:val="7976CD7E"/>
    <w:rsid w:val="79791A2F"/>
    <w:rsid w:val="7979EC3E"/>
    <w:rsid w:val="7979FE0B"/>
    <w:rsid w:val="797A7308"/>
    <w:rsid w:val="797A91F1"/>
    <w:rsid w:val="797A95CA"/>
    <w:rsid w:val="797CEE7B"/>
    <w:rsid w:val="797CEEB3"/>
    <w:rsid w:val="797F0202"/>
    <w:rsid w:val="797FDFE3"/>
    <w:rsid w:val="7980BACE"/>
    <w:rsid w:val="7981204B"/>
    <w:rsid w:val="79812D75"/>
    <w:rsid w:val="7981E06A"/>
    <w:rsid w:val="7981E80B"/>
    <w:rsid w:val="7982353E"/>
    <w:rsid w:val="79823567"/>
    <w:rsid w:val="79823C53"/>
    <w:rsid w:val="7982BB71"/>
    <w:rsid w:val="7982C66C"/>
    <w:rsid w:val="7983719F"/>
    <w:rsid w:val="798381DE"/>
    <w:rsid w:val="79849603"/>
    <w:rsid w:val="7984C2DA"/>
    <w:rsid w:val="7984CA49"/>
    <w:rsid w:val="7988D6B4"/>
    <w:rsid w:val="79892AE2"/>
    <w:rsid w:val="7989A8BC"/>
    <w:rsid w:val="798B370F"/>
    <w:rsid w:val="798C53DB"/>
    <w:rsid w:val="798D59DF"/>
    <w:rsid w:val="798DC2F2"/>
    <w:rsid w:val="798E806D"/>
    <w:rsid w:val="798F33DC"/>
    <w:rsid w:val="79901156"/>
    <w:rsid w:val="7990844B"/>
    <w:rsid w:val="7990974C"/>
    <w:rsid w:val="7990DF20"/>
    <w:rsid w:val="7990F3AA"/>
    <w:rsid w:val="79919C93"/>
    <w:rsid w:val="7991A928"/>
    <w:rsid w:val="7991B33B"/>
    <w:rsid w:val="7991DE23"/>
    <w:rsid w:val="7992F4C3"/>
    <w:rsid w:val="7993CDB6"/>
    <w:rsid w:val="799457F1"/>
    <w:rsid w:val="7994D588"/>
    <w:rsid w:val="79965F2F"/>
    <w:rsid w:val="79966DA9"/>
    <w:rsid w:val="79983970"/>
    <w:rsid w:val="7998961B"/>
    <w:rsid w:val="7999B37C"/>
    <w:rsid w:val="799A64C7"/>
    <w:rsid w:val="799A79F0"/>
    <w:rsid w:val="799C3FAE"/>
    <w:rsid w:val="799CB17E"/>
    <w:rsid w:val="799CC6A5"/>
    <w:rsid w:val="799E7FF3"/>
    <w:rsid w:val="799E8666"/>
    <w:rsid w:val="799F1CF3"/>
    <w:rsid w:val="79A1696C"/>
    <w:rsid w:val="79A19ECA"/>
    <w:rsid w:val="79A1E217"/>
    <w:rsid w:val="79A2D16C"/>
    <w:rsid w:val="79A33450"/>
    <w:rsid w:val="79A3B69C"/>
    <w:rsid w:val="79A4FDAA"/>
    <w:rsid w:val="79A5A8EC"/>
    <w:rsid w:val="79A67165"/>
    <w:rsid w:val="79A6A7A2"/>
    <w:rsid w:val="79A6D71D"/>
    <w:rsid w:val="79A76680"/>
    <w:rsid w:val="79A7A728"/>
    <w:rsid w:val="79A80A6E"/>
    <w:rsid w:val="79A8711E"/>
    <w:rsid w:val="79A94050"/>
    <w:rsid w:val="79A9505C"/>
    <w:rsid w:val="79A96CF0"/>
    <w:rsid w:val="79AA313C"/>
    <w:rsid w:val="79AB34FC"/>
    <w:rsid w:val="79AB6675"/>
    <w:rsid w:val="79ACF909"/>
    <w:rsid w:val="79AD2BCA"/>
    <w:rsid w:val="79AD821B"/>
    <w:rsid w:val="79AD8E56"/>
    <w:rsid w:val="79AED67B"/>
    <w:rsid w:val="79AF3964"/>
    <w:rsid w:val="79AFF032"/>
    <w:rsid w:val="79B06597"/>
    <w:rsid w:val="79B26DDF"/>
    <w:rsid w:val="79B382A0"/>
    <w:rsid w:val="79B47AFE"/>
    <w:rsid w:val="79B4C90A"/>
    <w:rsid w:val="79B5C535"/>
    <w:rsid w:val="79B64F4E"/>
    <w:rsid w:val="79B68CB4"/>
    <w:rsid w:val="79B7E499"/>
    <w:rsid w:val="79B863F8"/>
    <w:rsid w:val="79B8C8A2"/>
    <w:rsid w:val="79B8CC5E"/>
    <w:rsid w:val="79B8CE3B"/>
    <w:rsid w:val="79B8DEAF"/>
    <w:rsid w:val="79B988D2"/>
    <w:rsid w:val="79B9E631"/>
    <w:rsid w:val="79B9EBA9"/>
    <w:rsid w:val="79B9F0E5"/>
    <w:rsid w:val="79B9FAD6"/>
    <w:rsid w:val="79BB7C6C"/>
    <w:rsid w:val="79BC250D"/>
    <w:rsid w:val="79BCEB99"/>
    <w:rsid w:val="79BD6B1C"/>
    <w:rsid w:val="79BDA091"/>
    <w:rsid w:val="79BDD49E"/>
    <w:rsid w:val="79BE7360"/>
    <w:rsid w:val="79C018EF"/>
    <w:rsid w:val="79C0626D"/>
    <w:rsid w:val="79C1AEE1"/>
    <w:rsid w:val="79C2FC66"/>
    <w:rsid w:val="79C3D690"/>
    <w:rsid w:val="79C3EC46"/>
    <w:rsid w:val="79C61EAC"/>
    <w:rsid w:val="79C620F7"/>
    <w:rsid w:val="79C74898"/>
    <w:rsid w:val="79C791ED"/>
    <w:rsid w:val="79C834E3"/>
    <w:rsid w:val="79C845DC"/>
    <w:rsid w:val="79C93914"/>
    <w:rsid w:val="79C9E49D"/>
    <w:rsid w:val="79C9EA37"/>
    <w:rsid w:val="79CA0AAB"/>
    <w:rsid w:val="79CA744D"/>
    <w:rsid w:val="79CA76D5"/>
    <w:rsid w:val="79CA94D4"/>
    <w:rsid w:val="79CBB3EA"/>
    <w:rsid w:val="79CC8432"/>
    <w:rsid w:val="79CD01BF"/>
    <w:rsid w:val="79CD0D6A"/>
    <w:rsid w:val="79CD99C4"/>
    <w:rsid w:val="79CE37A7"/>
    <w:rsid w:val="79CEA06C"/>
    <w:rsid w:val="79CFC5D7"/>
    <w:rsid w:val="79D067A0"/>
    <w:rsid w:val="79D1788E"/>
    <w:rsid w:val="79D2B0F5"/>
    <w:rsid w:val="79D30774"/>
    <w:rsid w:val="79D32392"/>
    <w:rsid w:val="79D32EE4"/>
    <w:rsid w:val="79D38783"/>
    <w:rsid w:val="79D3FCBE"/>
    <w:rsid w:val="79D432CF"/>
    <w:rsid w:val="79D573FF"/>
    <w:rsid w:val="79D6C028"/>
    <w:rsid w:val="79D7FB10"/>
    <w:rsid w:val="79DA272E"/>
    <w:rsid w:val="79DA36BE"/>
    <w:rsid w:val="79DAAA9B"/>
    <w:rsid w:val="79DAE674"/>
    <w:rsid w:val="79DBB6AD"/>
    <w:rsid w:val="79DBC54C"/>
    <w:rsid w:val="79DDECF3"/>
    <w:rsid w:val="79DE5947"/>
    <w:rsid w:val="79DE6F97"/>
    <w:rsid w:val="79DECE37"/>
    <w:rsid w:val="79DEFAA0"/>
    <w:rsid w:val="79E03824"/>
    <w:rsid w:val="79E07924"/>
    <w:rsid w:val="79E149FB"/>
    <w:rsid w:val="79E1F675"/>
    <w:rsid w:val="79E224B8"/>
    <w:rsid w:val="79E242FA"/>
    <w:rsid w:val="79E24CAD"/>
    <w:rsid w:val="79E24E1F"/>
    <w:rsid w:val="79E2D5BA"/>
    <w:rsid w:val="79E39731"/>
    <w:rsid w:val="79E43953"/>
    <w:rsid w:val="79E4985F"/>
    <w:rsid w:val="79E4B9FE"/>
    <w:rsid w:val="79E4CD4E"/>
    <w:rsid w:val="79E53473"/>
    <w:rsid w:val="79E5828F"/>
    <w:rsid w:val="79E6F390"/>
    <w:rsid w:val="79E86480"/>
    <w:rsid w:val="79E89DEC"/>
    <w:rsid w:val="79E8CD99"/>
    <w:rsid w:val="79E939D5"/>
    <w:rsid w:val="79E93B3D"/>
    <w:rsid w:val="79E95F41"/>
    <w:rsid w:val="79E96CC4"/>
    <w:rsid w:val="79EB1B40"/>
    <w:rsid w:val="79EB5770"/>
    <w:rsid w:val="79EB6517"/>
    <w:rsid w:val="79EB703C"/>
    <w:rsid w:val="79EC5DCD"/>
    <w:rsid w:val="79EF4B1D"/>
    <w:rsid w:val="79EF5CC8"/>
    <w:rsid w:val="79EF70D5"/>
    <w:rsid w:val="79F083F0"/>
    <w:rsid w:val="79F12552"/>
    <w:rsid w:val="79F1D843"/>
    <w:rsid w:val="79F22F31"/>
    <w:rsid w:val="79F24923"/>
    <w:rsid w:val="79F265C9"/>
    <w:rsid w:val="79F2B437"/>
    <w:rsid w:val="79F4AB52"/>
    <w:rsid w:val="79F4D5A8"/>
    <w:rsid w:val="79F51622"/>
    <w:rsid w:val="79F5543F"/>
    <w:rsid w:val="79F606E1"/>
    <w:rsid w:val="79F6F4A9"/>
    <w:rsid w:val="79F6FAF9"/>
    <w:rsid w:val="79F77EF1"/>
    <w:rsid w:val="79F87ADB"/>
    <w:rsid w:val="79FA2E68"/>
    <w:rsid w:val="79FA3A45"/>
    <w:rsid w:val="79FABAFB"/>
    <w:rsid w:val="79FAE5C7"/>
    <w:rsid w:val="79FAEFF6"/>
    <w:rsid w:val="79FBFDC3"/>
    <w:rsid w:val="79FD8D3D"/>
    <w:rsid w:val="79FE5DCF"/>
    <w:rsid w:val="79FF5955"/>
    <w:rsid w:val="7A009A68"/>
    <w:rsid w:val="7A00FFEB"/>
    <w:rsid w:val="7A011D46"/>
    <w:rsid w:val="7A01EB4C"/>
    <w:rsid w:val="7A02984A"/>
    <w:rsid w:val="7A036F60"/>
    <w:rsid w:val="7A049A03"/>
    <w:rsid w:val="7A0574A2"/>
    <w:rsid w:val="7A058AD3"/>
    <w:rsid w:val="7A07F9A5"/>
    <w:rsid w:val="7A08187E"/>
    <w:rsid w:val="7A08E834"/>
    <w:rsid w:val="7A0975DD"/>
    <w:rsid w:val="7A09DB5A"/>
    <w:rsid w:val="7A0AF799"/>
    <w:rsid w:val="7A0BD1B6"/>
    <w:rsid w:val="7A0C47DF"/>
    <w:rsid w:val="7A0C77E8"/>
    <w:rsid w:val="7A0C895A"/>
    <w:rsid w:val="7A0DFBA1"/>
    <w:rsid w:val="7A0E3BCB"/>
    <w:rsid w:val="7A0FD2E9"/>
    <w:rsid w:val="7A11E514"/>
    <w:rsid w:val="7A121E7D"/>
    <w:rsid w:val="7A122CC2"/>
    <w:rsid w:val="7A12499E"/>
    <w:rsid w:val="7A1386BC"/>
    <w:rsid w:val="7A13F2FF"/>
    <w:rsid w:val="7A15B833"/>
    <w:rsid w:val="7A162E64"/>
    <w:rsid w:val="7A1713C2"/>
    <w:rsid w:val="7A17BA15"/>
    <w:rsid w:val="7A1A3E1F"/>
    <w:rsid w:val="7A1B99B9"/>
    <w:rsid w:val="7A1C27EC"/>
    <w:rsid w:val="7A1C49C6"/>
    <w:rsid w:val="7A1D4E93"/>
    <w:rsid w:val="7A1DA0B1"/>
    <w:rsid w:val="7A1DCCAF"/>
    <w:rsid w:val="7A1DEF73"/>
    <w:rsid w:val="7A1EC168"/>
    <w:rsid w:val="7A1F38A7"/>
    <w:rsid w:val="7A1F4951"/>
    <w:rsid w:val="7A1F5376"/>
    <w:rsid w:val="7A20811B"/>
    <w:rsid w:val="7A21636B"/>
    <w:rsid w:val="7A224B83"/>
    <w:rsid w:val="7A230A05"/>
    <w:rsid w:val="7A2323A4"/>
    <w:rsid w:val="7A235466"/>
    <w:rsid w:val="7A23920D"/>
    <w:rsid w:val="7A2398A6"/>
    <w:rsid w:val="7A23AF93"/>
    <w:rsid w:val="7A244F69"/>
    <w:rsid w:val="7A24D2FB"/>
    <w:rsid w:val="7A24DFEC"/>
    <w:rsid w:val="7A24FB00"/>
    <w:rsid w:val="7A251C26"/>
    <w:rsid w:val="7A256BF9"/>
    <w:rsid w:val="7A267411"/>
    <w:rsid w:val="7A26BE8C"/>
    <w:rsid w:val="7A272EB7"/>
    <w:rsid w:val="7A278315"/>
    <w:rsid w:val="7A2794B9"/>
    <w:rsid w:val="7A27AA1C"/>
    <w:rsid w:val="7A284162"/>
    <w:rsid w:val="7A29693B"/>
    <w:rsid w:val="7A2A16DE"/>
    <w:rsid w:val="7A2C1966"/>
    <w:rsid w:val="7A2C433D"/>
    <w:rsid w:val="7A2CDA50"/>
    <w:rsid w:val="7A2D3610"/>
    <w:rsid w:val="7A2D51B5"/>
    <w:rsid w:val="7A2EF040"/>
    <w:rsid w:val="7A32098D"/>
    <w:rsid w:val="7A32B35D"/>
    <w:rsid w:val="7A34104C"/>
    <w:rsid w:val="7A3461DE"/>
    <w:rsid w:val="7A34B374"/>
    <w:rsid w:val="7A34C572"/>
    <w:rsid w:val="7A34D434"/>
    <w:rsid w:val="7A354709"/>
    <w:rsid w:val="7A35BA45"/>
    <w:rsid w:val="7A361070"/>
    <w:rsid w:val="7A3696BA"/>
    <w:rsid w:val="7A36B7EC"/>
    <w:rsid w:val="7A385D0E"/>
    <w:rsid w:val="7A38DAD5"/>
    <w:rsid w:val="7A3916ED"/>
    <w:rsid w:val="7A39438B"/>
    <w:rsid w:val="7A39837B"/>
    <w:rsid w:val="7A3A1017"/>
    <w:rsid w:val="7A3AEDE4"/>
    <w:rsid w:val="7A3B5006"/>
    <w:rsid w:val="7A3CD624"/>
    <w:rsid w:val="7A3D34F7"/>
    <w:rsid w:val="7A3DD6B5"/>
    <w:rsid w:val="7A3E828B"/>
    <w:rsid w:val="7A3F9F97"/>
    <w:rsid w:val="7A404C56"/>
    <w:rsid w:val="7A40E6FE"/>
    <w:rsid w:val="7A42898B"/>
    <w:rsid w:val="7A43F6C7"/>
    <w:rsid w:val="7A448984"/>
    <w:rsid w:val="7A449C82"/>
    <w:rsid w:val="7A44D10B"/>
    <w:rsid w:val="7A44FAEF"/>
    <w:rsid w:val="7A455264"/>
    <w:rsid w:val="7A461877"/>
    <w:rsid w:val="7A466CD7"/>
    <w:rsid w:val="7A46B373"/>
    <w:rsid w:val="7A46BEDA"/>
    <w:rsid w:val="7A46C020"/>
    <w:rsid w:val="7A46FC5D"/>
    <w:rsid w:val="7A476FAB"/>
    <w:rsid w:val="7A47FE18"/>
    <w:rsid w:val="7A480614"/>
    <w:rsid w:val="7A4811BB"/>
    <w:rsid w:val="7A496411"/>
    <w:rsid w:val="7A496BC9"/>
    <w:rsid w:val="7A49B1AE"/>
    <w:rsid w:val="7A4A41F6"/>
    <w:rsid w:val="7A4A6995"/>
    <w:rsid w:val="7A4B4555"/>
    <w:rsid w:val="7A4B899E"/>
    <w:rsid w:val="7A4CC4BF"/>
    <w:rsid w:val="7A4CD36B"/>
    <w:rsid w:val="7A4E3502"/>
    <w:rsid w:val="7A4E7D3D"/>
    <w:rsid w:val="7A4F2AA0"/>
    <w:rsid w:val="7A4F3B54"/>
    <w:rsid w:val="7A4F9BAC"/>
    <w:rsid w:val="7A4FD199"/>
    <w:rsid w:val="7A504B70"/>
    <w:rsid w:val="7A50D3C8"/>
    <w:rsid w:val="7A515866"/>
    <w:rsid w:val="7A518F64"/>
    <w:rsid w:val="7A51F534"/>
    <w:rsid w:val="7A520865"/>
    <w:rsid w:val="7A527310"/>
    <w:rsid w:val="7A541409"/>
    <w:rsid w:val="7A547DD7"/>
    <w:rsid w:val="7A552950"/>
    <w:rsid w:val="7A55C562"/>
    <w:rsid w:val="7A56007D"/>
    <w:rsid w:val="7A5782BE"/>
    <w:rsid w:val="7A57F2AB"/>
    <w:rsid w:val="7A580774"/>
    <w:rsid w:val="7A581C09"/>
    <w:rsid w:val="7A58685E"/>
    <w:rsid w:val="7A58C41C"/>
    <w:rsid w:val="7A58EA71"/>
    <w:rsid w:val="7A59D19B"/>
    <w:rsid w:val="7A5A1045"/>
    <w:rsid w:val="7A5ABE0A"/>
    <w:rsid w:val="7A5B63FB"/>
    <w:rsid w:val="7A5B9C21"/>
    <w:rsid w:val="7A5BD0F4"/>
    <w:rsid w:val="7A5CC717"/>
    <w:rsid w:val="7A5D8EF2"/>
    <w:rsid w:val="7A5DA304"/>
    <w:rsid w:val="7A5E09A1"/>
    <w:rsid w:val="7A5E53DE"/>
    <w:rsid w:val="7A5E64A3"/>
    <w:rsid w:val="7A5F7A00"/>
    <w:rsid w:val="7A5FB9F1"/>
    <w:rsid w:val="7A60C0EB"/>
    <w:rsid w:val="7A6231E5"/>
    <w:rsid w:val="7A628E71"/>
    <w:rsid w:val="7A6411D2"/>
    <w:rsid w:val="7A64B1B0"/>
    <w:rsid w:val="7A64F771"/>
    <w:rsid w:val="7A6541B5"/>
    <w:rsid w:val="7A65BBC6"/>
    <w:rsid w:val="7A66CFAD"/>
    <w:rsid w:val="7A6713ED"/>
    <w:rsid w:val="7A676BCB"/>
    <w:rsid w:val="7A677858"/>
    <w:rsid w:val="7A685893"/>
    <w:rsid w:val="7A68817F"/>
    <w:rsid w:val="7A6A2A9A"/>
    <w:rsid w:val="7A6B2FC5"/>
    <w:rsid w:val="7A6B7A2B"/>
    <w:rsid w:val="7A6B7AB4"/>
    <w:rsid w:val="7A6C2725"/>
    <w:rsid w:val="7A6D0B24"/>
    <w:rsid w:val="7A6D11E7"/>
    <w:rsid w:val="7A6E373E"/>
    <w:rsid w:val="7A6E4EFB"/>
    <w:rsid w:val="7A6EBEE7"/>
    <w:rsid w:val="7A6F41BE"/>
    <w:rsid w:val="7A6F8D29"/>
    <w:rsid w:val="7A70DD4C"/>
    <w:rsid w:val="7A70F3DF"/>
    <w:rsid w:val="7A71B9A6"/>
    <w:rsid w:val="7A729823"/>
    <w:rsid w:val="7A7561AE"/>
    <w:rsid w:val="7A7723C3"/>
    <w:rsid w:val="7A77C841"/>
    <w:rsid w:val="7A78CEE2"/>
    <w:rsid w:val="7A7A2B67"/>
    <w:rsid w:val="7A7A5A1F"/>
    <w:rsid w:val="7A7A862D"/>
    <w:rsid w:val="7A7AEC48"/>
    <w:rsid w:val="7A7B7D94"/>
    <w:rsid w:val="7A7B8290"/>
    <w:rsid w:val="7A7BAF81"/>
    <w:rsid w:val="7A7C2659"/>
    <w:rsid w:val="7A7C284D"/>
    <w:rsid w:val="7A7C3595"/>
    <w:rsid w:val="7A7C6E80"/>
    <w:rsid w:val="7A7D7153"/>
    <w:rsid w:val="7A7E5144"/>
    <w:rsid w:val="7A7EA24C"/>
    <w:rsid w:val="7A7EC97F"/>
    <w:rsid w:val="7A7F2A17"/>
    <w:rsid w:val="7A7F872D"/>
    <w:rsid w:val="7A809CC0"/>
    <w:rsid w:val="7A81618D"/>
    <w:rsid w:val="7A83DA8D"/>
    <w:rsid w:val="7A842F97"/>
    <w:rsid w:val="7A84344A"/>
    <w:rsid w:val="7A844570"/>
    <w:rsid w:val="7A87BF1F"/>
    <w:rsid w:val="7A87CAB0"/>
    <w:rsid w:val="7A8920EE"/>
    <w:rsid w:val="7A89E95F"/>
    <w:rsid w:val="7A89EA68"/>
    <w:rsid w:val="7A8A5BDE"/>
    <w:rsid w:val="7A8ACCCD"/>
    <w:rsid w:val="7A8C1E39"/>
    <w:rsid w:val="7A8C3CF5"/>
    <w:rsid w:val="7A8DBE27"/>
    <w:rsid w:val="7A8F60FF"/>
    <w:rsid w:val="7A8FAA4A"/>
    <w:rsid w:val="7A8FE30E"/>
    <w:rsid w:val="7A90384D"/>
    <w:rsid w:val="7A903BAC"/>
    <w:rsid w:val="7A90A602"/>
    <w:rsid w:val="7A90EC0F"/>
    <w:rsid w:val="7A9237DE"/>
    <w:rsid w:val="7A924AD4"/>
    <w:rsid w:val="7A942A28"/>
    <w:rsid w:val="7A95176D"/>
    <w:rsid w:val="7A9638EE"/>
    <w:rsid w:val="7A98D92D"/>
    <w:rsid w:val="7A98E7B9"/>
    <w:rsid w:val="7A98FE5A"/>
    <w:rsid w:val="7A99CDD6"/>
    <w:rsid w:val="7A99F58B"/>
    <w:rsid w:val="7A9A524F"/>
    <w:rsid w:val="7A9A7C89"/>
    <w:rsid w:val="7A9A8822"/>
    <w:rsid w:val="7A9A8F8A"/>
    <w:rsid w:val="7A9B0A45"/>
    <w:rsid w:val="7A9DD710"/>
    <w:rsid w:val="7A9ECF48"/>
    <w:rsid w:val="7A9F31A2"/>
    <w:rsid w:val="7A9F41A5"/>
    <w:rsid w:val="7AA00693"/>
    <w:rsid w:val="7AA0A2A9"/>
    <w:rsid w:val="7AA15DB9"/>
    <w:rsid w:val="7AA1E5BC"/>
    <w:rsid w:val="7AA22453"/>
    <w:rsid w:val="7AA23958"/>
    <w:rsid w:val="7AA24D65"/>
    <w:rsid w:val="7AA3D370"/>
    <w:rsid w:val="7AA531A5"/>
    <w:rsid w:val="7AA80203"/>
    <w:rsid w:val="7AA8360B"/>
    <w:rsid w:val="7AA989B1"/>
    <w:rsid w:val="7AAA446D"/>
    <w:rsid w:val="7AAA8B2E"/>
    <w:rsid w:val="7AAAA1B1"/>
    <w:rsid w:val="7AAB8BDF"/>
    <w:rsid w:val="7AAD07BA"/>
    <w:rsid w:val="7AAD4DBE"/>
    <w:rsid w:val="7AAD746C"/>
    <w:rsid w:val="7AADE5C7"/>
    <w:rsid w:val="7AAE82AF"/>
    <w:rsid w:val="7AAE8F0B"/>
    <w:rsid w:val="7AAF1DB8"/>
    <w:rsid w:val="7AB0871B"/>
    <w:rsid w:val="7AB0C51D"/>
    <w:rsid w:val="7AB0CA1C"/>
    <w:rsid w:val="7AB18A3F"/>
    <w:rsid w:val="7AB18B15"/>
    <w:rsid w:val="7AB1AFAD"/>
    <w:rsid w:val="7AB1C4FE"/>
    <w:rsid w:val="7AB200C0"/>
    <w:rsid w:val="7AB2277C"/>
    <w:rsid w:val="7AB280B2"/>
    <w:rsid w:val="7AB2D259"/>
    <w:rsid w:val="7AB2F29E"/>
    <w:rsid w:val="7AB4103F"/>
    <w:rsid w:val="7AB4D813"/>
    <w:rsid w:val="7AB52C0E"/>
    <w:rsid w:val="7AB60F9A"/>
    <w:rsid w:val="7AB61681"/>
    <w:rsid w:val="7AB6DA6F"/>
    <w:rsid w:val="7AB729D1"/>
    <w:rsid w:val="7AB77372"/>
    <w:rsid w:val="7AB796F8"/>
    <w:rsid w:val="7AB834C7"/>
    <w:rsid w:val="7AB84B43"/>
    <w:rsid w:val="7AB8711B"/>
    <w:rsid w:val="7AB92A73"/>
    <w:rsid w:val="7AB965B0"/>
    <w:rsid w:val="7ABA7974"/>
    <w:rsid w:val="7ABB48BD"/>
    <w:rsid w:val="7ABC0B73"/>
    <w:rsid w:val="7ABCAC0D"/>
    <w:rsid w:val="7ABEE81B"/>
    <w:rsid w:val="7ABF6C29"/>
    <w:rsid w:val="7AC01723"/>
    <w:rsid w:val="7AC38C8B"/>
    <w:rsid w:val="7AC3CF1C"/>
    <w:rsid w:val="7AC3E046"/>
    <w:rsid w:val="7AC41476"/>
    <w:rsid w:val="7AC43DDC"/>
    <w:rsid w:val="7AC4DC6C"/>
    <w:rsid w:val="7AC5AEE8"/>
    <w:rsid w:val="7AC5E8AB"/>
    <w:rsid w:val="7AC69349"/>
    <w:rsid w:val="7AC6C244"/>
    <w:rsid w:val="7AC71C96"/>
    <w:rsid w:val="7AC72753"/>
    <w:rsid w:val="7AC79245"/>
    <w:rsid w:val="7AC7C34D"/>
    <w:rsid w:val="7AC83595"/>
    <w:rsid w:val="7AC857F1"/>
    <w:rsid w:val="7AC8597F"/>
    <w:rsid w:val="7AC8B383"/>
    <w:rsid w:val="7AC9116F"/>
    <w:rsid w:val="7AC923B5"/>
    <w:rsid w:val="7ACA88B7"/>
    <w:rsid w:val="7ACB1632"/>
    <w:rsid w:val="7ACB1C2C"/>
    <w:rsid w:val="7ACB41E2"/>
    <w:rsid w:val="7ACC89E0"/>
    <w:rsid w:val="7ACD572F"/>
    <w:rsid w:val="7ACDEADF"/>
    <w:rsid w:val="7ACDFDE2"/>
    <w:rsid w:val="7ACE34BB"/>
    <w:rsid w:val="7ACF2941"/>
    <w:rsid w:val="7ACF4D9B"/>
    <w:rsid w:val="7AD06125"/>
    <w:rsid w:val="7AD063FA"/>
    <w:rsid w:val="7AD0CA6C"/>
    <w:rsid w:val="7AD16C02"/>
    <w:rsid w:val="7AD1D0E6"/>
    <w:rsid w:val="7AD36DE5"/>
    <w:rsid w:val="7AD4D8B9"/>
    <w:rsid w:val="7AD55301"/>
    <w:rsid w:val="7AD5A0BF"/>
    <w:rsid w:val="7AD60358"/>
    <w:rsid w:val="7AD7048D"/>
    <w:rsid w:val="7AD7236A"/>
    <w:rsid w:val="7AD76950"/>
    <w:rsid w:val="7AD77E8A"/>
    <w:rsid w:val="7AD8C2A5"/>
    <w:rsid w:val="7AD94DFA"/>
    <w:rsid w:val="7AD9EA35"/>
    <w:rsid w:val="7ADA276A"/>
    <w:rsid w:val="7ADA9F08"/>
    <w:rsid w:val="7ADB123B"/>
    <w:rsid w:val="7ADB190D"/>
    <w:rsid w:val="7ADBE1A8"/>
    <w:rsid w:val="7ADC9454"/>
    <w:rsid w:val="7ADF41B6"/>
    <w:rsid w:val="7AE01AC0"/>
    <w:rsid w:val="7AE01EBC"/>
    <w:rsid w:val="7AE04013"/>
    <w:rsid w:val="7AE09DD7"/>
    <w:rsid w:val="7AE139D4"/>
    <w:rsid w:val="7AE3154A"/>
    <w:rsid w:val="7AE39203"/>
    <w:rsid w:val="7AE44966"/>
    <w:rsid w:val="7AE4A18C"/>
    <w:rsid w:val="7AE540C6"/>
    <w:rsid w:val="7AE609E3"/>
    <w:rsid w:val="7AE6BFBC"/>
    <w:rsid w:val="7AE72D1D"/>
    <w:rsid w:val="7AE86A3B"/>
    <w:rsid w:val="7AE919B4"/>
    <w:rsid w:val="7AE9AB8E"/>
    <w:rsid w:val="7AEA3127"/>
    <w:rsid w:val="7AEAB0B5"/>
    <w:rsid w:val="7AEADA41"/>
    <w:rsid w:val="7AEB0818"/>
    <w:rsid w:val="7AEBF880"/>
    <w:rsid w:val="7AEC61B0"/>
    <w:rsid w:val="7AEC8EC2"/>
    <w:rsid w:val="7AECD116"/>
    <w:rsid w:val="7AED853A"/>
    <w:rsid w:val="7AEDB9B7"/>
    <w:rsid w:val="7AF13E7C"/>
    <w:rsid w:val="7AF1D8A9"/>
    <w:rsid w:val="7AF1E977"/>
    <w:rsid w:val="7AF1FC18"/>
    <w:rsid w:val="7AF2802E"/>
    <w:rsid w:val="7AF2F116"/>
    <w:rsid w:val="7AF3222D"/>
    <w:rsid w:val="7AF39AC2"/>
    <w:rsid w:val="7AF3CC2E"/>
    <w:rsid w:val="7AF48B22"/>
    <w:rsid w:val="7AF4B088"/>
    <w:rsid w:val="7AF4C743"/>
    <w:rsid w:val="7AF59ED6"/>
    <w:rsid w:val="7AF64309"/>
    <w:rsid w:val="7AF6C88F"/>
    <w:rsid w:val="7AF72C68"/>
    <w:rsid w:val="7AF7B53D"/>
    <w:rsid w:val="7AF7F6D0"/>
    <w:rsid w:val="7AF8FA69"/>
    <w:rsid w:val="7AF8FA87"/>
    <w:rsid w:val="7AFA690B"/>
    <w:rsid w:val="7AFAD00C"/>
    <w:rsid w:val="7AFB0C0A"/>
    <w:rsid w:val="7AFB9ECE"/>
    <w:rsid w:val="7AFBA9F9"/>
    <w:rsid w:val="7AFD6F49"/>
    <w:rsid w:val="7AFDBF68"/>
    <w:rsid w:val="7AFDD277"/>
    <w:rsid w:val="7AFDD730"/>
    <w:rsid w:val="7AFE4C20"/>
    <w:rsid w:val="7AFF3CB2"/>
    <w:rsid w:val="7AFF9CF9"/>
    <w:rsid w:val="7B00000E"/>
    <w:rsid w:val="7B004955"/>
    <w:rsid w:val="7B015BD8"/>
    <w:rsid w:val="7B018B05"/>
    <w:rsid w:val="7B01F00B"/>
    <w:rsid w:val="7B0247B3"/>
    <w:rsid w:val="7B02C518"/>
    <w:rsid w:val="7B02D92E"/>
    <w:rsid w:val="7B02DD7C"/>
    <w:rsid w:val="7B038FEB"/>
    <w:rsid w:val="7B03AC6E"/>
    <w:rsid w:val="7B03B6BD"/>
    <w:rsid w:val="7B03BA89"/>
    <w:rsid w:val="7B041599"/>
    <w:rsid w:val="7B043883"/>
    <w:rsid w:val="7B04A1F8"/>
    <w:rsid w:val="7B050C1F"/>
    <w:rsid w:val="7B0622F6"/>
    <w:rsid w:val="7B078E9E"/>
    <w:rsid w:val="7B0887CB"/>
    <w:rsid w:val="7B08BC03"/>
    <w:rsid w:val="7B08E82C"/>
    <w:rsid w:val="7B09ACCC"/>
    <w:rsid w:val="7B0A50D2"/>
    <w:rsid w:val="7B0A7FDF"/>
    <w:rsid w:val="7B0B2FA4"/>
    <w:rsid w:val="7B0B373F"/>
    <w:rsid w:val="7B0B3CB3"/>
    <w:rsid w:val="7B0BEF95"/>
    <w:rsid w:val="7B0CA1AC"/>
    <w:rsid w:val="7B0DEBB1"/>
    <w:rsid w:val="7B0E641B"/>
    <w:rsid w:val="7B0EE7A5"/>
    <w:rsid w:val="7B0F361D"/>
    <w:rsid w:val="7B0F64FF"/>
    <w:rsid w:val="7B0F8798"/>
    <w:rsid w:val="7B0FE66A"/>
    <w:rsid w:val="7B10872A"/>
    <w:rsid w:val="7B112A8D"/>
    <w:rsid w:val="7B11A9BA"/>
    <w:rsid w:val="7B11C957"/>
    <w:rsid w:val="7B123FFD"/>
    <w:rsid w:val="7B129283"/>
    <w:rsid w:val="7B13A2D7"/>
    <w:rsid w:val="7B1404E5"/>
    <w:rsid w:val="7B142246"/>
    <w:rsid w:val="7B1547FB"/>
    <w:rsid w:val="7B157A80"/>
    <w:rsid w:val="7B1646D8"/>
    <w:rsid w:val="7B173984"/>
    <w:rsid w:val="7B17A9BA"/>
    <w:rsid w:val="7B188888"/>
    <w:rsid w:val="7B18D589"/>
    <w:rsid w:val="7B194855"/>
    <w:rsid w:val="7B1982BD"/>
    <w:rsid w:val="7B1A28FB"/>
    <w:rsid w:val="7B1A8BC6"/>
    <w:rsid w:val="7B1AF230"/>
    <w:rsid w:val="7B1C63E0"/>
    <w:rsid w:val="7B1C7FF6"/>
    <w:rsid w:val="7B1D1F7E"/>
    <w:rsid w:val="7B1D7338"/>
    <w:rsid w:val="7B1D8FBB"/>
    <w:rsid w:val="7B1E1A08"/>
    <w:rsid w:val="7B1EABF5"/>
    <w:rsid w:val="7B218C31"/>
    <w:rsid w:val="7B22AA70"/>
    <w:rsid w:val="7B250E89"/>
    <w:rsid w:val="7B2534AF"/>
    <w:rsid w:val="7B25C855"/>
    <w:rsid w:val="7B2660EF"/>
    <w:rsid w:val="7B267551"/>
    <w:rsid w:val="7B26A228"/>
    <w:rsid w:val="7B27006D"/>
    <w:rsid w:val="7B2799D0"/>
    <w:rsid w:val="7B291EF8"/>
    <w:rsid w:val="7B2A06D9"/>
    <w:rsid w:val="7B2A6AE8"/>
    <w:rsid w:val="7B2AA3CB"/>
    <w:rsid w:val="7B2C81D2"/>
    <w:rsid w:val="7B2E5027"/>
    <w:rsid w:val="7B2E9937"/>
    <w:rsid w:val="7B2F33C5"/>
    <w:rsid w:val="7B2F99CF"/>
    <w:rsid w:val="7B3107D4"/>
    <w:rsid w:val="7B31D98D"/>
    <w:rsid w:val="7B32E14E"/>
    <w:rsid w:val="7B33FDAE"/>
    <w:rsid w:val="7B34BD04"/>
    <w:rsid w:val="7B34CC31"/>
    <w:rsid w:val="7B36734D"/>
    <w:rsid w:val="7B377656"/>
    <w:rsid w:val="7B38C95A"/>
    <w:rsid w:val="7B390A9D"/>
    <w:rsid w:val="7B3931D3"/>
    <w:rsid w:val="7B394DD7"/>
    <w:rsid w:val="7B397E7E"/>
    <w:rsid w:val="7B3B7197"/>
    <w:rsid w:val="7B3D4CA5"/>
    <w:rsid w:val="7B3D72D0"/>
    <w:rsid w:val="7B3E2038"/>
    <w:rsid w:val="7B3E263E"/>
    <w:rsid w:val="7B3F2249"/>
    <w:rsid w:val="7B3FC867"/>
    <w:rsid w:val="7B403A4A"/>
    <w:rsid w:val="7B40765F"/>
    <w:rsid w:val="7B423DA6"/>
    <w:rsid w:val="7B4372DA"/>
    <w:rsid w:val="7B44F171"/>
    <w:rsid w:val="7B451E97"/>
    <w:rsid w:val="7B45E148"/>
    <w:rsid w:val="7B47E294"/>
    <w:rsid w:val="7B482DC5"/>
    <w:rsid w:val="7B492F71"/>
    <w:rsid w:val="7B4938C9"/>
    <w:rsid w:val="7B499FFA"/>
    <w:rsid w:val="7B49C0E9"/>
    <w:rsid w:val="7B4D995F"/>
    <w:rsid w:val="7B500D37"/>
    <w:rsid w:val="7B512CC6"/>
    <w:rsid w:val="7B51648B"/>
    <w:rsid w:val="7B52A582"/>
    <w:rsid w:val="7B5438E0"/>
    <w:rsid w:val="7B550E36"/>
    <w:rsid w:val="7B559E3A"/>
    <w:rsid w:val="7B566E41"/>
    <w:rsid w:val="7B569E8B"/>
    <w:rsid w:val="7B576B8E"/>
    <w:rsid w:val="7B57E5FB"/>
    <w:rsid w:val="7B585E05"/>
    <w:rsid w:val="7B589E8C"/>
    <w:rsid w:val="7B58D628"/>
    <w:rsid w:val="7B592FD1"/>
    <w:rsid w:val="7B59928E"/>
    <w:rsid w:val="7B59BC48"/>
    <w:rsid w:val="7B5A3C65"/>
    <w:rsid w:val="7B5A42E2"/>
    <w:rsid w:val="7B5ACA4A"/>
    <w:rsid w:val="7B5ADCF9"/>
    <w:rsid w:val="7B5B5062"/>
    <w:rsid w:val="7B5B90FA"/>
    <w:rsid w:val="7B5C4D59"/>
    <w:rsid w:val="7B5CA217"/>
    <w:rsid w:val="7B5D5F41"/>
    <w:rsid w:val="7B5F12A1"/>
    <w:rsid w:val="7B5F898A"/>
    <w:rsid w:val="7B603095"/>
    <w:rsid w:val="7B604DE7"/>
    <w:rsid w:val="7B60B0E5"/>
    <w:rsid w:val="7B61B869"/>
    <w:rsid w:val="7B639C1F"/>
    <w:rsid w:val="7B63A6BA"/>
    <w:rsid w:val="7B64E4DC"/>
    <w:rsid w:val="7B6607B2"/>
    <w:rsid w:val="7B66823E"/>
    <w:rsid w:val="7B68D639"/>
    <w:rsid w:val="7B69F268"/>
    <w:rsid w:val="7B6A354C"/>
    <w:rsid w:val="7B6BC554"/>
    <w:rsid w:val="7B6C1BDA"/>
    <w:rsid w:val="7B6E5B00"/>
    <w:rsid w:val="7B6EE64A"/>
    <w:rsid w:val="7B70A5EC"/>
    <w:rsid w:val="7B70DE65"/>
    <w:rsid w:val="7B711060"/>
    <w:rsid w:val="7B712CBB"/>
    <w:rsid w:val="7B720C7F"/>
    <w:rsid w:val="7B739223"/>
    <w:rsid w:val="7B740A38"/>
    <w:rsid w:val="7B7453AE"/>
    <w:rsid w:val="7B7589CA"/>
    <w:rsid w:val="7B7790EA"/>
    <w:rsid w:val="7B78DF0F"/>
    <w:rsid w:val="7B7940CF"/>
    <w:rsid w:val="7B7952B5"/>
    <w:rsid w:val="7B79872D"/>
    <w:rsid w:val="7B7A1553"/>
    <w:rsid w:val="7B7A20DD"/>
    <w:rsid w:val="7B7B4052"/>
    <w:rsid w:val="7B7C5B63"/>
    <w:rsid w:val="7B7D1CD0"/>
    <w:rsid w:val="7B7EC790"/>
    <w:rsid w:val="7B7ECC46"/>
    <w:rsid w:val="7B7FBFA9"/>
    <w:rsid w:val="7B809512"/>
    <w:rsid w:val="7B8192FF"/>
    <w:rsid w:val="7B81C661"/>
    <w:rsid w:val="7B820C2E"/>
    <w:rsid w:val="7B835A1D"/>
    <w:rsid w:val="7B83666A"/>
    <w:rsid w:val="7B8494DC"/>
    <w:rsid w:val="7B84BB39"/>
    <w:rsid w:val="7B858F7C"/>
    <w:rsid w:val="7B869875"/>
    <w:rsid w:val="7B86FF81"/>
    <w:rsid w:val="7B876C4C"/>
    <w:rsid w:val="7B87E02F"/>
    <w:rsid w:val="7B885F43"/>
    <w:rsid w:val="7B88EBFF"/>
    <w:rsid w:val="7B890246"/>
    <w:rsid w:val="7B895EEE"/>
    <w:rsid w:val="7B89DD38"/>
    <w:rsid w:val="7B89E4FE"/>
    <w:rsid w:val="7B8A110D"/>
    <w:rsid w:val="7B8AF8C2"/>
    <w:rsid w:val="7B8B81F9"/>
    <w:rsid w:val="7B8D476B"/>
    <w:rsid w:val="7B8DC6B0"/>
    <w:rsid w:val="7B8F1E0F"/>
    <w:rsid w:val="7B8F6C26"/>
    <w:rsid w:val="7B8FFEFE"/>
    <w:rsid w:val="7B903898"/>
    <w:rsid w:val="7B910B79"/>
    <w:rsid w:val="7B913CD3"/>
    <w:rsid w:val="7B915256"/>
    <w:rsid w:val="7B917726"/>
    <w:rsid w:val="7B91B3B1"/>
    <w:rsid w:val="7B9241A0"/>
    <w:rsid w:val="7B927FAE"/>
    <w:rsid w:val="7B94B85D"/>
    <w:rsid w:val="7B9503E8"/>
    <w:rsid w:val="7B950C5F"/>
    <w:rsid w:val="7B9594A9"/>
    <w:rsid w:val="7B95A14B"/>
    <w:rsid w:val="7B96205E"/>
    <w:rsid w:val="7B962D38"/>
    <w:rsid w:val="7B96DAA4"/>
    <w:rsid w:val="7B96EBE9"/>
    <w:rsid w:val="7B978224"/>
    <w:rsid w:val="7B9790C4"/>
    <w:rsid w:val="7B988ED8"/>
    <w:rsid w:val="7B9BC564"/>
    <w:rsid w:val="7B9BD92A"/>
    <w:rsid w:val="7B9C29E6"/>
    <w:rsid w:val="7B9D936F"/>
    <w:rsid w:val="7B9DBD0E"/>
    <w:rsid w:val="7B9E3906"/>
    <w:rsid w:val="7B9E905A"/>
    <w:rsid w:val="7B9FDFBC"/>
    <w:rsid w:val="7B9FE40E"/>
    <w:rsid w:val="7BA025D7"/>
    <w:rsid w:val="7BA1223E"/>
    <w:rsid w:val="7BA207C3"/>
    <w:rsid w:val="7BA23119"/>
    <w:rsid w:val="7BA235F4"/>
    <w:rsid w:val="7BA23CCD"/>
    <w:rsid w:val="7BA28668"/>
    <w:rsid w:val="7BA461B5"/>
    <w:rsid w:val="7BA4A8CB"/>
    <w:rsid w:val="7BA5120E"/>
    <w:rsid w:val="7BA53F82"/>
    <w:rsid w:val="7BA5B9B6"/>
    <w:rsid w:val="7BA5EC55"/>
    <w:rsid w:val="7BA73BA7"/>
    <w:rsid w:val="7BA762FD"/>
    <w:rsid w:val="7BA79D8E"/>
    <w:rsid w:val="7BA7D396"/>
    <w:rsid w:val="7BA8308E"/>
    <w:rsid w:val="7BA86680"/>
    <w:rsid w:val="7BA8B3CD"/>
    <w:rsid w:val="7BA8FDD7"/>
    <w:rsid w:val="7BA95257"/>
    <w:rsid w:val="7BA96088"/>
    <w:rsid w:val="7BAB4C40"/>
    <w:rsid w:val="7BAB57F8"/>
    <w:rsid w:val="7BAC9E43"/>
    <w:rsid w:val="7BB080FF"/>
    <w:rsid w:val="7BB14EBC"/>
    <w:rsid w:val="7BB15426"/>
    <w:rsid w:val="7BB1BE60"/>
    <w:rsid w:val="7BB209E9"/>
    <w:rsid w:val="7BB2A062"/>
    <w:rsid w:val="7BB3B527"/>
    <w:rsid w:val="7BB3CF61"/>
    <w:rsid w:val="7BB41262"/>
    <w:rsid w:val="7BB5A560"/>
    <w:rsid w:val="7BB6B906"/>
    <w:rsid w:val="7BB82BDF"/>
    <w:rsid w:val="7BB88AF7"/>
    <w:rsid w:val="7BB89599"/>
    <w:rsid w:val="7BBA56F1"/>
    <w:rsid w:val="7BBB1686"/>
    <w:rsid w:val="7BBB7DF5"/>
    <w:rsid w:val="7BBBAFB6"/>
    <w:rsid w:val="7BBBB62D"/>
    <w:rsid w:val="7BBC2E83"/>
    <w:rsid w:val="7BBD00D2"/>
    <w:rsid w:val="7BBE4FEB"/>
    <w:rsid w:val="7BBEEFE6"/>
    <w:rsid w:val="7BBF0464"/>
    <w:rsid w:val="7BBF2F3A"/>
    <w:rsid w:val="7BC02A93"/>
    <w:rsid w:val="7BC05550"/>
    <w:rsid w:val="7BC073C2"/>
    <w:rsid w:val="7BC085EF"/>
    <w:rsid w:val="7BC11DA2"/>
    <w:rsid w:val="7BC298B1"/>
    <w:rsid w:val="7BC33B44"/>
    <w:rsid w:val="7BC356AF"/>
    <w:rsid w:val="7BC3DA18"/>
    <w:rsid w:val="7BC4510A"/>
    <w:rsid w:val="7BC50B99"/>
    <w:rsid w:val="7BC51E93"/>
    <w:rsid w:val="7BC533E9"/>
    <w:rsid w:val="7BC55C77"/>
    <w:rsid w:val="7BC63AFD"/>
    <w:rsid w:val="7BC63DFB"/>
    <w:rsid w:val="7BC7C81A"/>
    <w:rsid w:val="7BC89986"/>
    <w:rsid w:val="7BC96EAE"/>
    <w:rsid w:val="7BC9EDC3"/>
    <w:rsid w:val="7BCA0266"/>
    <w:rsid w:val="7BCA25F3"/>
    <w:rsid w:val="7BCA3FB8"/>
    <w:rsid w:val="7BCA42EA"/>
    <w:rsid w:val="7BCA64BD"/>
    <w:rsid w:val="7BCB1020"/>
    <w:rsid w:val="7BCB6654"/>
    <w:rsid w:val="7BCBB146"/>
    <w:rsid w:val="7BCC3C72"/>
    <w:rsid w:val="7BCC92B8"/>
    <w:rsid w:val="7BCE14FC"/>
    <w:rsid w:val="7BCE3BE2"/>
    <w:rsid w:val="7BCEC1BA"/>
    <w:rsid w:val="7BCF18EB"/>
    <w:rsid w:val="7BCF2038"/>
    <w:rsid w:val="7BCF3B24"/>
    <w:rsid w:val="7BCF9B9C"/>
    <w:rsid w:val="7BCFA73E"/>
    <w:rsid w:val="7BD019BD"/>
    <w:rsid w:val="7BD07740"/>
    <w:rsid w:val="7BD18F2F"/>
    <w:rsid w:val="7BD2915E"/>
    <w:rsid w:val="7BD4F57B"/>
    <w:rsid w:val="7BD540A1"/>
    <w:rsid w:val="7BD57D6E"/>
    <w:rsid w:val="7BD66928"/>
    <w:rsid w:val="7BD6B20E"/>
    <w:rsid w:val="7BD80801"/>
    <w:rsid w:val="7BD82912"/>
    <w:rsid w:val="7BDA3F32"/>
    <w:rsid w:val="7BDB7A1C"/>
    <w:rsid w:val="7BDCAFB7"/>
    <w:rsid w:val="7BDD3F23"/>
    <w:rsid w:val="7BDD755B"/>
    <w:rsid w:val="7BDE1BC7"/>
    <w:rsid w:val="7BDED08D"/>
    <w:rsid w:val="7BDFF19F"/>
    <w:rsid w:val="7BE01B96"/>
    <w:rsid w:val="7BE03909"/>
    <w:rsid w:val="7BE06BBC"/>
    <w:rsid w:val="7BE2332A"/>
    <w:rsid w:val="7BE29633"/>
    <w:rsid w:val="7BE29A33"/>
    <w:rsid w:val="7BE2B9D5"/>
    <w:rsid w:val="7BE315B9"/>
    <w:rsid w:val="7BE3225B"/>
    <w:rsid w:val="7BE5DC24"/>
    <w:rsid w:val="7BE67648"/>
    <w:rsid w:val="7BE68777"/>
    <w:rsid w:val="7BE72C5B"/>
    <w:rsid w:val="7BE74B16"/>
    <w:rsid w:val="7BE83883"/>
    <w:rsid w:val="7BE86E9C"/>
    <w:rsid w:val="7BE896FA"/>
    <w:rsid w:val="7BE89BE4"/>
    <w:rsid w:val="7BE8C7B9"/>
    <w:rsid w:val="7BE8CBD4"/>
    <w:rsid w:val="7BE98FEF"/>
    <w:rsid w:val="7BEA45DF"/>
    <w:rsid w:val="7BEAF0C7"/>
    <w:rsid w:val="7BEB158C"/>
    <w:rsid w:val="7BEB882A"/>
    <w:rsid w:val="7BECFCC1"/>
    <w:rsid w:val="7BED9A3A"/>
    <w:rsid w:val="7BEDBB31"/>
    <w:rsid w:val="7BEE50D1"/>
    <w:rsid w:val="7BEE6EAB"/>
    <w:rsid w:val="7BEECF8A"/>
    <w:rsid w:val="7BEF0E31"/>
    <w:rsid w:val="7BEF23EB"/>
    <w:rsid w:val="7BF07198"/>
    <w:rsid w:val="7BF09E34"/>
    <w:rsid w:val="7BF09FB7"/>
    <w:rsid w:val="7BF10900"/>
    <w:rsid w:val="7BF25949"/>
    <w:rsid w:val="7BF34079"/>
    <w:rsid w:val="7BF40FBA"/>
    <w:rsid w:val="7BF4E055"/>
    <w:rsid w:val="7BF505A8"/>
    <w:rsid w:val="7BF52EB3"/>
    <w:rsid w:val="7BF57DD7"/>
    <w:rsid w:val="7BF7EC0B"/>
    <w:rsid w:val="7BF81C3C"/>
    <w:rsid w:val="7BF8AC64"/>
    <w:rsid w:val="7BF9CB0E"/>
    <w:rsid w:val="7BFA8342"/>
    <w:rsid w:val="7BFAFA17"/>
    <w:rsid w:val="7BFBA98C"/>
    <w:rsid w:val="7BFCB4DD"/>
    <w:rsid w:val="7BFD22CE"/>
    <w:rsid w:val="7BFD5A97"/>
    <w:rsid w:val="7BFD9A10"/>
    <w:rsid w:val="7BFDA1C1"/>
    <w:rsid w:val="7BFEA6DF"/>
    <w:rsid w:val="7BFF965B"/>
    <w:rsid w:val="7C00AB40"/>
    <w:rsid w:val="7C017F0E"/>
    <w:rsid w:val="7C022770"/>
    <w:rsid w:val="7C0281FC"/>
    <w:rsid w:val="7C02E8DB"/>
    <w:rsid w:val="7C031021"/>
    <w:rsid w:val="7C03D50C"/>
    <w:rsid w:val="7C043806"/>
    <w:rsid w:val="7C048AD0"/>
    <w:rsid w:val="7C04C7E8"/>
    <w:rsid w:val="7C04D2A6"/>
    <w:rsid w:val="7C059FAA"/>
    <w:rsid w:val="7C07346A"/>
    <w:rsid w:val="7C0A4E07"/>
    <w:rsid w:val="7C0A5770"/>
    <w:rsid w:val="7C0A5F6E"/>
    <w:rsid w:val="7C0AD9FF"/>
    <w:rsid w:val="7C0B3500"/>
    <w:rsid w:val="7C0B8CD5"/>
    <w:rsid w:val="7C0BCB87"/>
    <w:rsid w:val="7C0D2BF6"/>
    <w:rsid w:val="7C0D9CF5"/>
    <w:rsid w:val="7C0E34EA"/>
    <w:rsid w:val="7C0EC401"/>
    <w:rsid w:val="7C0EDEE7"/>
    <w:rsid w:val="7C0F1B61"/>
    <w:rsid w:val="7C101D84"/>
    <w:rsid w:val="7C10A95B"/>
    <w:rsid w:val="7C10D591"/>
    <w:rsid w:val="7C124EEC"/>
    <w:rsid w:val="7C146F19"/>
    <w:rsid w:val="7C14AD75"/>
    <w:rsid w:val="7C150ADA"/>
    <w:rsid w:val="7C15625C"/>
    <w:rsid w:val="7C15698B"/>
    <w:rsid w:val="7C15CB29"/>
    <w:rsid w:val="7C1673BA"/>
    <w:rsid w:val="7C180A91"/>
    <w:rsid w:val="7C184840"/>
    <w:rsid w:val="7C19000A"/>
    <w:rsid w:val="7C190C7D"/>
    <w:rsid w:val="7C1A711F"/>
    <w:rsid w:val="7C1B55B1"/>
    <w:rsid w:val="7C1BC14D"/>
    <w:rsid w:val="7C1BD1C0"/>
    <w:rsid w:val="7C1C42D7"/>
    <w:rsid w:val="7C1C7B8E"/>
    <w:rsid w:val="7C1C8C74"/>
    <w:rsid w:val="7C1CCD2D"/>
    <w:rsid w:val="7C1E1E26"/>
    <w:rsid w:val="7C1E2D39"/>
    <w:rsid w:val="7C1F108C"/>
    <w:rsid w:val="7C202C73"/>
    <w:rsid w:val="7C203CEE"/>
    <w:rsid w:val="7C205158"/>
    <w:rsid w:val="7C20B87E"/>
    <w:rsid w:val="7C20E879"/>
    <w:rsid w:val="7C21370E"/>
    <w:rsid w:val="7C2166C5"/>
    <w:rsid w:val="7C21EFAA"/>
    <w:rsid w:val="7C227B0B"/>
    <w:rsid w:val="7C2369B4"/>
    <w:rsid w:val="7C23A2F9"/>
    <w:rsid w:val="7C23B7FF"/>
    <w:rsid w:val="7C24A59B"/>
    <w:rsid w:val="7C24A969"/>
    <w:rsid w:val="7C263701"/>
    <w:rsid w:val="7C2675B0"/>
    <w:rsid w:val="7C26F699"/>
    <w:rsid w:val="7C27E566"/>
    <w:rsid w:val="7C2809D1"/>
    <w:rsid w:val="7C282A8D"/>
    <w:rsid w:val="7C298F09"/>
    <w:rsid w:val="7C2AB839"/>
    <w:rsid w:val="7C2B75D3"/>
    <w:rsid w:val="7C2BF8A7"/>
    <w:rsid w:val="7C2CBCA7"/>
    <w:rsid w:val="7C2DAC31"/>
    <w:rsid w:val="7C2E2993"/>
    <w:rsid w:val="7C2F34FC"/>
    <w:rsid w:val="7C2F9E25"/>
    <w:rsid w:val="7C300D17"/>
    <w:rsid w:val="7C306A3C"/>
    <w:rsid w:val="7C319152"/>
    <w:rsid w:val="7C31CF0A"/>
    <w:rsid w:val="7C320446"/>
    <w:rsid w:val="7C32F634"/>
    <w:rsid w:val="7C341A85"/>
    <w:rsid w:val="7C3579C9"/>
    <w:rsid w:val="7C35E39F"/>
    <w:rsid w:val="7C360BE1"/>
    <w:rsid w:val="7C3816CC"/>
    <w:rsid w:val="7C382185"/>
    <w:rsid w:val="7C383B2B"/>
    <w:rsid w:val="7C392F39"/>
    <w:rsid w:val="7C399D13"/>
    <w:rsid w:val="7C39FB5B"/>
    <w:rsid w:val="7C3A5F20"/>
    <w:rsid w:val="7C3A7B86"/>
    <w:rsid w:val="7C3A9831"/>
    <w:rsid w:val="7C3AF3C4"/>
    <w:rsid w:val="7C3B4E0B"/>
    <w:rsid w:val="7C3CC0DE"/>
    <w:rsid w:val="7C3D6BC6"/>
    <w:rsid w:val="7C3DB25A"/>
    <w:rsid w:val="7C3F1D0F"/>
    <w:rsid w:val="7C3F946F"/>
    <w:rsid w:val="7C3FC6FB"/>
    <w:rsid w:val="7C416970"/>
    <w:rsid w:val="7C42C84C"/>
    <w:rsid w:val="7C43EF62"/>
    <w:rsid w:val="7C44202D"/>
    <w:rsid w:val="7C448A02"/>
    <w:rsid w:val="7C44F7AB"/>
    <w:rsid w:val="7C476513"/>
    <w:rsid w:val="7C476557"/>
    <w:rsid w:val="7C47F48B"/>
    <w:rsid w:val="7C481E59"/>
    <w:rsid w:val="7C4851FC"/>
    <w:rsid w:val="7C487492"/>
    <w:rsid w:val="7C48B885"/>
    <w:rsid w:val="7C491D3A"/>
    <w:rsid w:val="7C497B2E"/>
    <w:rsid w:val="7C4B590C"/>
    <w:rsid w:val="7C4B7F85"/>
    <w:rsid w:val="7C4BD3CB"/>
    <w:rsid w:val="7C4CE0DD"/>
    <w:rsid w:val="7C4D3A73"/>
    <w:rsid w:val="7C4DDA22"/>
    <w:rsid w:val="7C4EA69D"/>
    <w:rsid w:val="7C4F908C"/>
    <w:rsid w:val="7C50096D"/>
    <w:rsid w:val="7C51F3E8"/>
    <w:rsid w:val="7C525A7B"/>
    <w:rsid w:val="7C5269C5"/>
    <w:rsid w:val="7C527555"/>
    <w:rsid w:val="7C52C013"/>
    <w:rsid w:val="7C54DFDE"/>
    <w:rsid w:val="7C5546E4"/>
    <w:rsid w:val="7C55C7BC"/>
    <w:rsid w:val="7C56850F"/>
    <w:rsid w:val="7C56AADD"/>
    <w:rsid w:val="7C578906"/>
    <w:rsid w:val="7C580C70"/>
    <w:rsid w:val="7C588174"/>
    <w:rsid w:val="7C5A6812"/>
    <w:rsid w:val="7C5A7172"/>
    <w:rsid w:val="7C5A73DA"/>
    <w:rsid w:val="7C5B1E41"/>
    <w:rsid w:val="7C5B7090"/>
    <w:rsid w:val="7C5B9622"/>
    <w:rsid w:val="7C5B98F0"/>
    <w:rsid w:val="7C5D1A10"/>
    <w:rsid w:val="7C5DB505"/>
    <w:rsid w:val="7C5DDCC5"/>
    <w:rsid w:val="7C5E2C3A"/>
    <w:rsid w:val="7C5F4246"/>
    <w:rsid w:val="7C61017F"/>
    <w:rsid w:val="7C61DE6D"/>
    <w:rsid w:val="7C6221E7"/>
    <w:rsid w:val="7C62D09A"/>
    <w:rsid w:val="7C63CE2F"/>
    <w:rsid w:val="7C63E956"/>
    <w:rsid w:val="7C64F599"/>
    <w:rsid w:val="7C65A3D7"/>
    <w:rsid w:val="7C6643B2"/>
    <w:rsid w:val="7C6750FB"/>
    <w:rsid w:val="7C6791FB"/>
    <w:rsid w:val="7C680DF4"/>
    <w:rsid w:val="7C68C485"/>
    <w:rsid w:val="7C6950AF"/>
    <w:rsid w:val="7C697356"/>
    <w:rsid w:val="7C699AD3"/>
    <w:rsid w:val="7C69D66D"/>
    <w:rsid w:val="7C6ADC16"/>
    <w:rsid w:val="7C6AEBAB"/>
    <w:rsid w:val="7C6BF839"/>
    <w:rsid w:val="7C6D3AB0"/>
    <w:rsid w:val="7C6D4774"/>
    <w:rsid w:val="7C6D4D53"/>
    <w:rsid w:val="7C6D5521"/>
    <w:rsid w:val="7C6EF6FE"/>
    <w:rsid w:val="7C6F879C"/>
    <w:rsid w:val="7C6F993A"/>
    <w:rsid w:val="7C6FF2EC"/>
    <w:rsid w:val="7C705A1F"/>
    <w:rsid w:val="7C70AC0A"/>
    <w:rsid w:val="7C7215CB"/>
    <w:rsid w:val="7C721849"/>
    <w:rsid w:val="7C722EE2"/>
    <w:rsid w:val="7C725C9B"/>
    <w:rsid w:val="7C72D4EE"/>
    <w:rsid w:val="7C72E3C6"/>
    <w:rsid w:val="7C734379"/>
    <w:rsid w:val="7C73D0E3"/>
    <w:rsid w:val="7C742D7D"/>
    <w:rsid w:val="7C7432FD"/>
    <w:rsid w:val="7C76C67F"/>
    <w:rsid w:val="7C76F209"/>
    <w:rsid w:val="7C76FD6A"/>
    <w:rsid w:val="7C77B984"/>
    <w:rsid w:val="7C78333C"/>
    <w:rsid w:val="7C787BB1"/>
    <w:rsid w:val="7C78A540"/>
    <w:rsid w:val="7C78DB96"/>
    <w:rsid w:val="7C78E3E4"/>
    <w:rsid w:val="7C7A5073"/>
    <w:rsid w:val="7C7A83E3"/>
    <w:rsid w:val="7C7A9C46"/>
    <w:rsid w:val="7C7B8525"/>
    <w:rsid w:val="7C7C20E2"/>
    <w:rsid w:val="7C7C222E"/>
    <w:rsid w:val="7C7CCBB0"/>
    <w:rsid w:val="7C7DC3E0"/>
    <w:rsid w:val="7C7DC967"/>
    <w:rsid w:val="7C7DCD6D"/>
    <w:rsid w:val="7C7FDBBA"/>
    <w:rsid w:val="7C80073B"/>
    <w:rsid w:val="7C814C4E"/>
    <w:rsid w:val="7C81D68D"/>
    <w:rsid w:val="7C822D08"/>
    <w:rsid w:val="7C823F4E"/>
    <w:rsid w:val="7C825962"/>
    <w:rsid w:val="7C82D7FF"/>
    <w:rsid w:val="7C8386DF"/>
    <w:rsid w:val="7C83C3EF"/>
    <w:rsid w:val="7C83DA88"/>
    <w:rsid w:val="7C83F178"/>
    <w:rsid w:val="7C84D8E9"/>
    <w:rsid w:val="7C8598FF"/>
    <w:rsid w:val="7C85E7E3"/>
    <w:rsid w:val="7C861F80"/>
    <w:rsid w:val="7C865D1F"/>
    <w:rsid w:val="7C86A968"/>
    <w:rsid w:val="7C8749E0"/>
    <w:rsid w:val="7C886E20"/>
    <w:rsid w:val="7C88908B"/>
    <w:rsid w:val="7C890D09"/>
    <w:rsid w:val="7C8A99FA"/>
    <w:rsid w:val="7C8AD3A9"/>
    <w:rsid w:val="7C8BCE57"/>
    <w:rsid w:val="7C8D61E4"/>
    <w:rsid w:val="7C8DB6BB"/>
    <w:rsid w:val="7C8E120C"/>
    <w:rsid w:val="7C8EBA45"/>
    <w:rsid w:val="7C8F41F4"/>
    <w:rsid w:val="7C8F5F13"/>
    <w:rsid w:val="7C8F71E4"/>
    <w:rsid w:val="7C90871F"/>
    <w:rsid w:val="7C91D9F7"/>
    <w:rsid w:val="7C920E88"/>
    <w:rsid w:val="7C92124D"/>
    <w:rsid w:val="7C921DE0"/>
    <w:rsid w:val="7C9377DD"/>
    <w:rsid w:val="7C93F580"/>
    <w:rsid w:val="7C94CA1E"/>
    <w:rsid w:val="7C954D2F"/>
    <w:rsid w:val="7C95B03E"/>
    <w:rsid w:val="7C95F9DF"/>
    <w:rsid w:val="7C96E7A2"/>
    <w:rsid w:val="7C9765EF"/>
    <w:rsid w:val="7C981008"/>
    <w:rsid w:val="7C981CF7"/>
    <w:rsid w:val="7C984EDB"/>
    <w:rsid w:val="7C9A270C"/>
    <w:rsid w:val="7C9B2691"/>
    <w:rsid w:val="7C9BE74A"/>
    <w:rsid w:val="7C9C0746"/>
    <w:rsid w:val="7C9C1BAA"/>
    <w:rsid w:val="7C9C2A15"/>
    <w:rsid w:val="7C9CA539"/>
    <w:rsid w:val="7C9CD256"/>
    <w:rsid w:val="7C9CD9F6"/>
    <w:rsid w:val="7C9DED85"/>
    <w:rsid w:val="7C9DF61F"/>
    <w:rsid w:val="7C9E807B"/>
    <w:rsid w:val="7C9EB815"/>
    <w:rsid w:val="7C9F86EF"/>
    <w:rsid w:val="7CA052E3"/>
    <w:rsid w:val="7CA05A95"/>
    <w:rsid w:val="7CA070EF"/>
    <w:rsid w:val="7CA0C38D"/>
    <w:rsid w:val="7CA0E781"/>
    <w:rsid w:val="7CA116C2"/>
    <w:rsid w:val="7CA21B37"/>
    <w:rsid w:val="7CA2692D"/>
    <w:rsid w:val="7CA365FE"/>
    <w:rsid w:val="7CA3947E"/>
    <w:rsid w:val="7CA3B71E"/>
    <w:rsid w:val="7CA47EE0"/>
    <w:rsid w:val="7CA5E62D"/>
    <w:rsid w:val="7CA62F2B"/>
    <w:rsid w:val="7CA78C73"/>
    <w:rsid w:val="7CA80B2E"/>
    <w:rsid w:val="7CA84546"/>
    <w:rsid w:val="7CA8A091"/>
    <w:rsid w:val="7CA8C736"/>
    <w:rsid w:val="7CA8DD52"/>
    <w:rsid w:val="7CA90FC0"/>
    <w:rsid w:val="7CA9C3DC"/>
    <w:rsid w:val="7CAAFB8E"/>
    <w:rsid w:val="7CAB31A7"/>
    <w:rsid w:val="7CAB5614"/>
    <w:rsid w:val="7CAC299B"/>
    <w:rsid w:val="7CACD787"/>
    <w:rsid w:val="7CAE769F"/>
    <w:rsid w:val="7CAFB955"/>
    <w:rsid w:val="7CAFFE83"/>
    <w:rsid w:val="7CB067F1"/>
    <w:rsid w:val="7CB0C4EB"/>
    <w:rsid w:val="7CB12F19"/>
    <w:rsid w:val="7CB48E38"/>
    <w:rsid w:val="7CB526EC"/>
    <w:rsid w:val="7CB54523"/>
    <w:rsid w:val="7CB5D116"/>
    <w:rsid w:val="7CB720F8"/>
    <w:rsid w:val="7CB8F5E6"/>
    <w:rsid w:val="7CBA5901"/>
    <w:rsid w:val="7CBA9B3B"/>
    <w:rsid w:val="7CBBC43A"/>
    <w:rsid w:val="7CBC7F5D"/>
    <w:rsid w:val="7CBC89CF"/>
    <w:rsid w:val="7CBD1315"/>
    <w:rsid w:val="7CBDF58F"/>
    <w:rsid w:val="7CBE29C7"/>
    <w:rsid w:val="7CBE4947"/>
    <w:rsid w:val="7CBFC3D9"/>
    <w:rsid w:val="7CC04178"/>
    <w:rsid w:val="7CC09B65"/>
    <w:rsid w:val="7CC0FDBF"/>
    <w:rsid w:val="7CC1EFA9"/>
    <w:rsid w:val="7CC21F1F"/>
    <w:rsid w:val="7CC2CAEF"/>
    <w:rsid w:val="7CC31E0E"/>
    <w:rsid w:val="7CC32DE4"/>
    <w:rsid w:val="7CC36A31"/>
    <w:rsid w:val="7CC37CAB"/>
    <w:rsid w:val="7CC3CE58"/>
    <w:rsid w:val="7CC4406A"/>
    <w:rsid w:val="7CC5F1B6"/>
    <w:rsid w:val="7CC5FF67"/>
    <w:rsid w:val="7CC68169"/>
    <w:rsid w:val="7CC6AB17"/>
    <w:rsid w:val="7CC6EDF6"/>
    <w:rsid w:val="7CC766FA"/>
    <w:rsid w:val="7CC7F767"/>
    <w:rsid w:val="7CC8C199"/>
    <w:rsid w:val="7CC9673E"/>
    <w:rsid w:val="7CCA0A86"/>
    <w:rsid w:val="7CCADA9E"/>
    <w:rsid w:val="7CCB898D"/>
    <w:rsid w:val="7CCC8662"/>
    <w:rsid w:val="7CCCB48E"/>
    <w:rsid w:val="7CCE21B5"/>
    <w:rsid w:val="7CCEB0FF"/>
    <w:rsid w:val="7CD03429"/>
    <w:rsid w:val="7CD0FC10"/>
    <w:rsid w:val="7CD179A4"/>
    <w:rsid w:val="7CD21E2D"/>
    <w:rsid w:val="7CD356AF"/>
    <w:rsid w:val="7CD3C318"/>
    <w:rsid w:val="7CD40C6A"/>
    <w:rsid w:val="7CD46B7C"/>
    <w:rsid w:val="7CD5CCB8"/>
    <w:rsid w:val="7CD61209"/>
    <w:rsid w:val="7CD6821C"/>
    <w:rsid w:val="7CD79C8E"/>
    <w:rsid w:val="7CD7E704"/>
    <w:rsid w:val="7CD83F30"/>
    <w:rsid w:val="7CD92934"/>
    <w:rsid w:val="7CDC167A"/>
    <w:rsid w:val="7CDC1D23"/>
    <w:rsid w:val="7CDCD483"/>
    <w:rsid w:val="7CDDED33"/>
    <w:rsid w:val="7CDF454C"/>
    <w:rsid w:val="7CDF5AFE"/>
    <w:rsid w:val="7CE11C60"/>
    <w:rsid w:val="7CE2F559"/>
    <w:rsid w:val="7CE31AF7"/>
    <w:rsid w:val="7CE327CF"/>
    <w:rsid w:val="7CE39EC5"/>
    <w:rsid w:val="7CE4AFE6"/>
    <w:rsid w:val="7CE51060"/>
    <w:rsid w:val="7CE5957C"/>
    <w:rsid w:val="7CE5AC73"/>
    <w:rsid w:val="7CE64A1D"/>
    <w:rsid w:val="7CE65A95"/>
    <w:rsid w:val="7CE69B44"/>
    <w:rsid w:val="7CE6E7A8"/>
    <w:rsid w:val="7CE726EB"/>
    <w:rsid w:val="7CE79E24"/>
    <w:rsid w:val="7CE7EF14"/>
    <w:rsid w:val="7CE87AEE"/>
    <w:rsid w:val="7CE8F06A"/>
    <w:rsid w:val="7CE90038"/>
    <w:rsid w:val="7CE930D3"/>
    <w:rsid w:val="7CE931DA"/>
    <w:rsid w:val="7CE972A2"/>
    <w:rsid w:val="7CE9FF75"/>
    <w:rsid w:val="7CEA39C6"/>
    <w:rsid w:val="7CEA90BF"/>
    <w:rsid w:val="7CEAF550"/>
    <w:rsid w:val="7CEB535C"/>
    <w:rsid w:val="7CEC69A6"/>
    <w:rsid w:val="7CECF99C"/>
    <w:rsid w:val="7CEDB31B"/>
    <w:rsid w:val="7CEF32BB"/>
    <w:rsid w:val="7CEFF5E3"/>
    <w:rsid w:val="7CF00C32"/>
    <w:rsid w:val="7CF093EF"/>
    <w:rsid w:val="7CF0A203"/>
    <w:rsid w:val="7CF14209"/>
    <w:rsid w:val="7CF167A0"/>
    <w:rsid w:val="7CF16F7E"/>
    <w:rsid w:val="7CF1A492"/>
    <w:rsid w:val="7CF1C503"/>
    <w:rsid w:val="7CF25F69"/>
    <w:rsid w:val="7CF286EC"/>
    <w:rsid w:val="7CF2C397"/>
    <w:rsid w:val="7CF346F7"/>
    <w:rsid w:val="7CF4591E"/>
    <w:rsid w:val="7CF46D9F"/>
    <w:rsid w:val="7CF4EEFD"/>
    <w:rsid w:val="7CF545B0"/>
    <w:rsid w:val="7CF5E981"/>
    <w:rsid w:val="7CF6032A"/>
    <w:rsid w:val="7CF64268"/>
    <w:rsid w:val="7CF67106"/>
    <w:rsid w:val="7CF729BD"/>
    <w:rsid w:val="7CF8A6F0"/>
    <w:rsid w:val="7CF8BC3D"/>
    <w:rsid w:val="7CF8F381"/>
    <w:rsid w:val="7CF8F693"/>
    <w:rsid w:val="7CF999CE"/>
    <w:rsid w:val="7CF9A5C9"/>
    <w:rsid w:val="7CF9AB2A"/>
    <w:rsid w:val="7CFA0825"/>
    <w:rsid w:val="7CFAAED0"/>
    <w:rsid w:val="7CFAC6B9"/>
    <w:rsid w:val="7CFC31CF"/>
    <w:rsid w:val="7CFC5FFC"/>
    <w:rsid w:val="7CFC8543"/>
    <w:rsid w:val="7CFC87F2"/>
    <w:rsid w:val="7CFCB5FD"/>
    <w:rsid w:val="7CFDCFB7"/>
    <w:rsid w:val="7CFE63F7"/>
    <w:rsid w:val="7CFF4DA2"/>
    <w:rsid w:val="7CFF69F6"/>
    <w:rsid w:val="7CFF826F"/>
    <w:rsid w:val="7D001E54"/>
    <w:rsid w:val="7D01C4ED"/>
    <w:rsid w:val="7D01FEA1"/>
    <w:rsid w:val="7D0266D2"/>
    <w:rsid w:val="7D02B9F7"/>
    <w:rsid w:val="7D02D3B8"/>
    <w:rsid w:val="7D03EB38"/>
    <w:rsid w:val="7D04BE49"/>
    <w:rsid w:val="7D054DB5"/>
    <w:rsid w:val="7D06001C"/>
    <w:rsid w:val="7D065070"/>
    <w:rsid w:val="7D06A02A"/>
    <w:rsid w:val="7D078235"/>
    <w:rsid w:val="7D07D03A"/>
    <w:rsid w:val="7D07E275"/>
    <w:rsid w:val="7D07FAC8"/>
    <w:rsid w:val="7D081CC7"/>
    <w:rsid w:val="7D0846D0"/>
    <w:rsid w:val="7D08E2EC"/>
    <w:rsid w:val="7D0900C6"/>
    <w:rsid w:val="7D09AF52"/>
    <w:rsid w:val="7D0A40D8"/>
    <w:rsid w:val="7D0AD07F"/>
    <w:rsid w:val="7D0BF5A5"/>
    <w:rsid w:val="7D0C3E55"/>
    <w:rsid w:val="7D0C48AD"/>
    <w:rsid w:val="7D0CFD1C"/>
    <w:rsid w:val="7D0DD25C"/>
    <w:rsid w:val="7D0E168F"/>
    <w:rsid w:val="7D0FB45B"/>
    <w:rsid w:val="7D11B77A"/>
    <w:rsid w:val="7D1281CC"/>
    <w:rsid w:val="7D1339B5"/>
    <w:rsid w:val="7D13AABE"/>
    <w:rsid w:val="7D168FC7"/>
    <w:rsid w:val="7D17F45C"/>
    <w:rsid w:val="7D189379"/>
    <w:rsid w:val="7D19442D"/>
    <w:rsid w:val="7D19B715"/>
    <w:rsid w:val="7D19C2C8"/>
    <w:rsid w:val="7D1A62D9"/>
    <w:rsid w:val="7D1A8608"/>
    <w:rsid w:val="7D1B53A7"/>
    <w:rsid w:val="7D1B6D57"/>
    <w:rsid w:val="7D1BAE66"/>
    <w:rsid w:val="7D1C7789"/>
    <w:rsid w:val="7D1D2286"/>
    <w:rsid w:val="7D1E7CCE"/>
    <w:rsid w:val="7D1F1909"/>
    <w:rsid w:val="7D1F4F1D"/>
    <w:rsid w:val="7D1FABE1"/>
    <w:rsid w:val="7D20307D"/>
    <w:rsid w:val="7D21D2FD"/>
    <w:rsid w:val="7D229088"/>
    <w:rsid w:val="7D2292DD"/>
    <w:rsid w:val="7D22F174"/>
    <w:rsid w:val="7D237C20"/>
    <w:rsid w:val="7D244FD9"/>
    <w:rsid w:val="7D247232"/>
    <w:rsid w:val="7D24B982"/>
    <w:rsid w:val="7D258F73"/>
    <w:rsid w:val="7D2665D1"/>
    <w:rsid w:val="7D287BAD"/>
    <w:rsid w:val="7D290E76"/>
    <w:rsid w:val="7D29DC74"/>
    <w:rsid w:val="7D2A5688"/>
    <w:rsid w:val="7D2AA87B"/>
    <w:rsid w:val="7D2CC473"/>
    <w:rsid w:val="7D2D6FF8"/>
    <w:rsid w:val="7D2E78C2"/>
    <w:rsid w:val="7D2FA798"/>
    <w:rsid w:val="7D30C06A"/>
    <w:rsid w:val="7D30CD49"/>
    <w:rsid w:val="7D30E34B"/>
    <w:rsid w:val="7D3104A1"/>
    <w:rsid w:val="7D3110AF"/>
    <w:rsid w:val="7D318707"/>
    <w:rsid w:val="7D3237AE"/>
    <w:rsid w:val="7D32CEEF"/>
    <w:rsid w:val="7D333D7E"/>
    <w:rsid w:val="7D33FB52"/>
    <w:rsid w:val="7D340E42"/>
    <w:rsid w:val="7D347F01"/>
    <w:rsid w:val="7D348C06"/>
    <w:rsid w:val="7D358F90"/>
    <w:rsid w:val="7D35B834"/>
    <w:rsid w:val="7D3642EB"/>
    <w:rsid w:val="7D36A41B"/>
    <w:rsid w:val="7D378165"/>
    <w:rsid w:val="7D380B33"/>
    <w:rsid w:val="7D39A98F"/>
    <w:rsid w:val="7D3A59E0"/>
    <w:rsid w:val="7D3A877E"/>
    <w:rsid w:val="7D3A95B8"/>
    <w:rsid w:val="7D3C75A6"/>
    <w:rsid w:val="7D3D6DC8"/>
    <w:rsid w:val="7D3D9F8D"/>
    <w:rsid w:val="7D3DEAB8"/>
    <w:rsid w:val="7D3EA027"/>
    <w:rsid w:val="7D3F09DD"/>
    <w:rsid w:val="7D3F5D69"/>
    <w:rsid w:val="7D3F7031"/>
    <w:rsid w:val="7D3FB025"/>
    <w:rsid w:val="7D3FC25D"/>
    <w:rsid w:val="7D4068BE"/>
    <w:rsid w:val="7D407D9E"/>
    <w:rsid w:val="7D40BA5C"/>
    <w:rsid w:val="7D40F92D"/>
    <w:rsid w:val="7D410DF3"/>
    <w:rsid w:val="7D41C538"/>
    <w:rsid w:val="7D4207F7"/>
    <w:rsid w:val="7D42687E"/>
    <w:rsid w:val="7D43369D"/>
    <w:rsid w:val="7D43B735"/>
    <w:rsid w:val="7D4423FD"/>
    <w:rsid w:val="7D443C7A"/>
    <w:rsid w:val="7D447768"/>
    <w:rsid w:val="7D456B9B"/>
    <w:rsid w:val="7D4637A3"/>
    <w:rsid w:val="7D463DA2"/>
    <w:rsid w:val="7D470461"/>
    <w:rsid w:val="7D471A34"/>
    <w:rsid w:val="7D47A876"/>
    <w:rsid w:val="7D47F976"/>
    <w:rsid w:val="7D499A59"/>
    <w:rsid w:val="7D4A2C33"/>
    <w:rsid w:val="7D4B3057"/>
    <w:rsid w:val="7D4BB342"/>
    <w:rsid w:val="7D4BB797"/>
    <w:rsid w:val="7D4D3C6D"/>
    <w:rsid w:val="7D4DEE7B"/>
    <w:rsid w:val="7D4E0D37"/>
    <w:rsid w:val="7D4EBB12"/>
    <w:rsid w:val="7D4EE3BE"/>
    <w:rsid w:val="7D508E1C"/>
    <w:rsid w:val="7D50F9D5"/>
    <w:rsid w:val="7D52EA18"/>
    <w:rsid w:val="7D537383"/>
    <w:rsid w:val="7D538DAA"/>
    <w:rsid w:val="7D54EA3A"/>
    <w:rsid w:val="7D554D2F"/>
    <w:rsid w:val="7D5560E5"/>
    <w:rsid w:val="7D567C59"/>
    <w:rsid w:val="7D578144"/>
    <w:rsid w:val="7D57A316"/>
    <w:rsid w:val="7D589D34"/>
    <w:rsid w:val="7D59C090"/>
    <w:rsid w:val="7D59E136"/>
    <w:rsid w:val="7D5BC624"/>
    <w:rsid w:val="7D5CA785"/>
    <w:rsid w:val="7D5CF723"/>
    <w:rsid w:val="7D5D7C50"/>
    <w:rsid w:val="7D5D9EB5"/>
    <w:rsid w:val="7D5F0653"/>
    <w:rsid w:val="7D5F9EDF"/>
    <w:rsid w:val="7D5FB746"/>
    <w:rsid w:val="7D5FE795"/>
    <w:rsid w:val="7D603EAA"/>
    <w:rsid w:val="7D604DE3"/>
    <w:rsid w:val="7D608ACD"/>
    <w:rsid w:val="7D6108C4"/>
    <w:rsid w:val="7D61BC78"/>
    <w:rsid w:val="7D628D98"/>
    <w:rsid w:val="7D631604"/>
    <w:rsid w:val="7D634F1E"/>
    <w:rsid w:val="7D642214"/>
    <w:rsid w:val="7D64DCE5"/>
    <w:rsid w:val="7D65BA7E"/>
    <w:rsid w:val="7D67E610"/>
    <w:rsid w:val="7D688991"/>
    <w:rsid w:val="7D68A9F2"/>
    <w:rsid w:val="7D6B510C"/>
    <w:rsid w:val="7D6B721A"/>
    <w:rsid w:val="7D6CA4E4"/>
    <w:rsid w:val="7D6CE939"/>
    <w:rsid w:val="7D6D00BA"/>
    <w:rsid w:val="7D6D07BE"/>
    <w:rsid w:val="7D6EBFA3"/>
    <w:rsid w:val="7D6F9C92"/>
    <w:rsid w:val="7D6FA622"/>
    <w:rsid w:val="7D6FE67D"/>
    <w:rsid w:val="7D70F101"/>
    <w:rsid w:val="7D70F708"/>
    <w:rsid w:val="7D712C8F"/>
    <w:rsid w:val="7D719970"/>
    <w:rsid w:val="7D725067"/>
    <w:rsid w:val="7D727945"/>
    <w:rsid w:val="7D72AB22"/>
    <w:rsid w:val="7D7309F3"/>
    <w:rsid w:val="7D733DB1"/>
    <w:rsid w:val="7D73B2A3"/>
    <w:rsid w:val="7D73DA5C"/>
    <w:rsid w:val="7D73E38A"/>
    <w:rsid w:val="7D741521"/>
    <w:rsid w:val="7D7508CF"/>
    <w:rsid w:val="7D753193"/>
    <w:rsid w:val="7D76A7F6"/>
    <w:rsid w:val="7D771554"/>
    <w:rsid w:val="7D778CFD"/>
    <w:rsid w:val="7D787C1B"/>
    <w:rsid w:val="7D78A6B4"/>
    <w:rsid w:val="7D78ADFE"/>
    <w:rsid w:val="7D78C396"/>
    <w:rsid w:val="7D796E81"/>
    <w:rsid w:val="7D79A067"/>
    <w:rsid w:val="7D79A553"/>
    <w:rsid w:val="7D79AD04"/>
    <w:rsid w:val="7D79DC8D"/>
    <w:rsid w:val="7D7A5205"/>
    <w:rsid w:val="7D7B09D8"/>
    <w:rsid w:val="7D7C6780"/>
    <w:rsid w:val="7D7DDD0B"/>
    <w:rsid w:val="7D7DE988"/>
    <w:rsid w:val="7D7E425D"/>
    <w:rsid w:val="7D7EB99E"/>
    <w:rsid w:val="7D7F78E8"/>
    <w:rsid w:val="7D800EBA"/>
    <w:rsid w:val="7D8022FA"/>
    <w:rsid w:val="7D8024FC"/>
    <w:rsid w:val="7D81D932"/>
    <w:rsid w:val="7D822D03"/>
    <w:rsid w:val="7D8265DF"/>
    <w:rsid w:val="7D8403AF"/>
    <w:rsid w:val="7D84F4B8"/>
    <w:rsid w:val="7D85255E"/>
    <w:rsid w:val="7D856931"/>
    <w:rsid w:val="7D856A43"/>
    <w:rsid w:val="7D85A7EC"/>
    <w:rsid w:val="7D85BC75"/>
    <w:rsid w:val="7D863C0D"/>
    <w:rsid w:val="7D86A388"/>
    <w:rsid w:val="7D86F732"/>
    <w:rsid w:val="7D8700F7"/>
    <w:rsid w:val="7D8818FD"/>
    <w:rsid w:val="7D88C391"/>
    <w:rsid w:val="7D88DF1A"/>
    <w:rsid w:val="7D894AF8"/>
    <w:rsid w:val="7D895ECE"/>
    <w:rsid w:val="7D8989A7"/>
    <w:rsid w:val="7D89A90F"/>
    <w:rsid w:val="7D89E0E1"/>
    <w:rsid w:val="7D89EB55"/>
    <w:rsid w:val="7D8A3E60"/>
    <w:rsid w:val="7D8A7406"/>
    <w:rsid w:val="7D8AB9AF"/>
    <w:rsid w:val="7D8ACE9A"/>
    <w:rsid w:val="7D8BD3D4"/>
    <w:rsid w:val="7D8C5A04"/>
    <w:rsid w:val="7D8DE3F9"/>
    <w:rsid w:val="7D8E438F"/>
    <w:rsid w:val="7D8E7E72"/>
    <w:rsid w:val="7D8F6F14"/>
    <w:rsid w:val="7D8FA917"/>
    <w:rsid w:val="7D9032CE"/>
    <w:rsid w:val="7D90EDF3"/>
    <w:rsid w:val="7D915975"/>
    <w:rsid w:val="7D91EBF9"/>
    <w:rsid w:val="7D920747"/>
    <w:rsid w:val="7D920D33"/>
    <w:rsid w:val="7D92AEA9"/>
    <w:rsid w:val="7D92E7A3"/>
    <w:rsid w:val="7D930CBC"/>
    <w:rsid w:val="7D93BA39"/>
    <w:rsid w:val="7D93DD67"/>
    <w:rsid w:val="7D948621"/>
    <w:rsid w:val="7D94A35E"/>
    <w:rsid w:val="7D95539E"/>
    <w:rsid w:val="7D966B88"/>
    <w:rsid w:val="7D990204"/>
    <w:rsid w:val="7D9941C7"/>
    <w:rsid w:val="7D997222"/>
    <w:rsid w:val="7D99A687"/>
    <w:rsid w:val="7D9A3718"/>
    <w:rsid w:val="7D9B391F"/>
    <w:rsid w:val="7D9C8E93"/>
    <w:rsid w:val="7D9CA1FA"/>
    <w:rsid w:val="7D9CF696"/>
    <w:rsid w:val="7D9CFEAC"/>
    <w:rsid w:val="7D9DAE30"/>
    <w:rsid w:val="7D9DD1B0"/>
    <w:rsid w:val="7D9EB40E"/>
    <w:rsid w:val="7D9EB4AE"/>
    <w:rsid w:val="7D9EF853"/>
    <w:rsid w:val="7D9F54EA"/>
    <w:rsid w:val="7D9FAD00"/>
    <w:rsid w:val="7D9FF66B"/>
    <w:rsid w:val="7DA03853"/>
    <w:rsid w:val="7DA06AB4"/>
    <w:rsid w:val="7DA0DEF6"/>
    <w:rsid w:val="7DA17EA8"/>
    <w:rsid w:val="7DA26DF8"/>
    <w:rsid w:val="7DA2E128"/>
    <w:rsid w:val="7DA33A32"/>
    <w:rsid w:val="7DA39F61"/>
    <w:rsid w:val="7DA3EA4C"/>
    <w:rsid w:val="7DA5B5BC"/>
    <w:rsid w:val="7DA7B9E8"/>
    <w:rsid w:val="7DA81EE9"/>
    <w:rsid w:val="7DA8CD5B"/>
    <w:rsid w:val="7DA98A17"/>
    <w:rsid w:val="7DA9FF56"/>
    <w:rsid w:val="7DAAEBB0"/>
    <w:rsid w:val="7DACA05D"/>
    <w:rsid w:val="7DAD2A5F"/>
    <w:rsid w:val="7DAD4718"/>
    <w:rsid w:val="7DAD724E"/>
    <w:rsid w:val="7DAD86A2"/>
    <w:rsid w:val="7DAE958B"/>
    <w:rsid w:val="7DAEE5FF"/>
    <w:rsid w:val="7DAFFE44"/>
    <w:rsid w:val="7DB15B6A"/>
    <w:rsid w:val="7DB2D122"/>
    <w:rsid w:val="7DB2E2AF"/>
    <w:rsid w:val="7DB356F8"/>
    <w:rsid w:val="7DB393A4"/>
    <w:rsid w:val="7DB3C81F"/>
    <w:rsid w:val="7DB3E7F3"/>
    <w:rsid w:val="7DB418A1"/>
    <w:rsid w:val="7DB42DCC"/>
    <w:rsid w:val="7DB60C90"/>
    <w:rsid w:val="7DB771A2"/>
    <w:rsid w:val="7DB7C2CC"/>
    <w:rsid w:val="7DB8A455"/>
    <w:rsid w:val="7DB8A6E8"/>
    <w:rsid w:val="7DB960B0"/>
    <w:rsid w:val="7DBAE983"/>
    <w:rsid w:val="7DBB8648"/>
    <w:rsid w:val="7DBC2D50"/>
    <w:rsid w:val="7DBC5F5C"/>
    <w:rsid w:val="7DBCC73D"/>
    <w:rsid w:val="7DBD8053"/>
    <w:rsid w:val="7DBF462F"/>
    <w:rsid w:val="7DBF7A2C"/>
    <w:rsid w:val="7DBF7E8A"/>
    <w:rsid w:val="7DC07705"/>
    <w:rsid w:val="7DC25F90"/>
    <w:rsid w:val="7DC2B1ED"/>
    <w:rsid w:val="7DC30381"/>
    <w:rsid w:val="7DC306BD"/>
    <w:rsid w:val="7DC30CF0"/>
    <w:rsid w:val="7DC4DFDE"/>
    <w:rsid w:val="7DC56112"/>
    <w:rsid w:val="7DC653BF"/>
    <w:rsid w:val="7DC66C32"/>
    <w:rsid w:val="7DC6ED30"/>
    <w:rsid w:val="7DC869A9"/>
    <w:rsid w:val="7DC8CF86"/>
    <w:rsid w:val="7DC917CE"/>
    <w:rsid w:val="7DCA976A"/>
    <w:rsid w:val="7DCB055D"/>
    <w:rsid w:val="7DCB09EC"/>
    <w:rsid w:val="7DCBA43F"/>
    <w:rsid w:val="7DCC20C3"/>
    <w:rsid w:val="7DCC295B"/>
    <w:rsid w:val="7DCC3AC6"/>
    <w:rsid w:val="7DCCD686"/>
    <w:rsid w:val="7DCE8661"/>
    <w:rsid w:val="7DCEBE5E"/>
    <w:rsid w:val="7DCF3480"/>
    <w:rsid w:val="7DCF54A7"/>
    <w:rsid w:val="7DCF82F8"/>
    <w:rsid w:val="7DCFB86B"/>
    <w:rsid w:val="7DD08EBA"/>
    <w:rsid w:val="7DD0B9EB"/>
    <w:rsid w:val="7DD15725"/>
    <w:rsid w:val="7DD1A10A"/>
    <w:rsid w:val="7DD1A2CD"/>
    <w:rsid w:val="7DD1C0DF"/>
    <w:rsid w:val="7DD2D3F5"/>
    <w:rsid w:val="7DD36282"/>
    <w:rsid w:val="7DD44C45"/>
    <w:rsid w:val="7DD475C0"/>
    <w:rsid w:val="7DD73ECA"/>
    <w:rsid w:val="7DD76124"/>
    <w:rsid w:val="7DD7DCD0"/>
    <w:rsid w:val="7DD81664"/>
    <w:rsid w:val="7DD93FC8"/>
    <w:rsid w:val="7DD98BA2"/>
    <w:rsid w:val="7DD9F699"/>
    <w:rsid w:val="7DDA2314"/>
    <w:rsid w:val="7DDA4C3F"/>
    <w:rsid w:val="7DDB6E7A"/>
    <w:rsid w:val="7DDB7729"/>
    <w:rsid w:val="7DDBB008"/>
    <w:rsid w:val="7DDBDE22"/>
    <w:rsid w:val="7DDC0171"/>
    <w:rsid w:val="7DDC1997"/>
    <w:rsid w:val="7DDD9A92"/>
    <w:rsid w:val="7DDF1894"/>
    <w:rsid w:val="7DDF326C"/>
    <w:rsid w:val="7DDF6CB7"/>
    <w:rsid w:val="7DE050F8"/>
    <w:rsid w:val="7DE07905"/>
    <w:rsid w:val="7DE1D7E6"/>
    <w:rsid w:val="7DE3CE0E"/>
    <w:rsid w:val="7DE437C8"/>
    <w:rsid w:val="7DE4507C"/>
    <w:rsid w:val="7DE50C74"/>
    <w:rsid w:val="7DE5E4D5"/>
    <w:rsid w:val="7DE5FB85"/>
    <w:rsid w:val="7DE62256"/>
    <w:rsid w:val="7DE66351"/>
    <w:rsid w:val="7DE7FD30"/>
    <w:rsid w:val="7DE8D6B9"/>
    <w:rsid w:val="7DEAE446"/>
    <w:rsid w:val="7DEAF8CE"/>
    <w:rsid w:val="7DEB9FB6"/>
    <w:rsid w:val="7DEBC0A0"/>
    <w:rsid w:val="7DEBD83C"/>
    <w:rsid w:val="7DEC4335"/>
    <w:rsid w:val="7DECC98E"/>
    <w:rsid w:val="7DECD3BF"/>
    <w:rsid w:val="7DED006D"/>
    <w:rsid w:val="7DED259F"/>
    <w:rsid w:val="7DEEB366"/>
    <w:rsid w:val="7DF00F93"/>
    <w:rsid w:val="7DF0724D"/>
    <w:rsid w:val="7DF0B308"/>
    <w:rsid w:val="7DF0E9C1"/>
    <w:rsid w:val="7DF0FE8D"/>
    <w:rsid w:val="7DF16C52"/>
    <w:rsid w:val="7DF2DA5B"/>
    <w:rsid w:val="7DF41A33"/>
    <w:rsid w:val="7DF49D38"/>
    <w:rsid w:val="7DF51C17"/>
    <w:rsid w:val="7DF53931"/>
    <w:rsid w:val="7DF5A773"/>
    <w:rsid w:val="7DF6D581"/>
    <w:rsid w:val="7DF7B1B0"/>
    <w:rsid w:val="7DF98C21"/>
    <w:rsid w:val="7DF9DC88"/>
    <w:rsid w:val="7DF9FB49"/>
    <w:rsid w:val="7DFA25BD"/>
    <w:rsid w:val="7DFA2FC9"/>
    <w:rsid w:val="7DFA8469"/>
    <w:rsid w:val="7DFCC2E3"/>
    <w:rsid w:val="7DFCC5C4"/>
    <w:rsid w:val="7DFCFCC3"/>
    <w:rsid w:val="7DFD8F0E"/>
    <w:rsid w:val="7DFEBBA2"/>
    <w:rsid w:val="7DFF535E"/>
    <w:rsid w:val="7DFF88C1"/>
    <w:rsid w:val="7E0068D6"/>
    <w:rsid w:val="7E008321"/>
    <w:rsid w:val="7E00990E"/>
    <w:rsid w:val="7E01343F"/>
    <w:rsid w:val="7E01FDA8"/>
    <w:rsid w:val="7E02100F"/>
    <w:rsid w:val="7E022DC5"/>
    <w:rsid w:val="7E03BDA4"/>
    <w:rsid w:val="7E0721CB"/>
    <w:rsid w:val="7E085773"/>
    <w:rsid w:val="7E088AF8"/>
    <w:rsid w:val="7E088E1B"/>
    <w:rsid w:val="7E088E88"/>
    <w:rsid w:val="7E08EA70"/>
    <w:rsid w:val="7E097582"/>
    <w:rsid w:val="7E0A2FDE"/>
    <w:rsid w:val="7E0A5110"/>
    <w:rsid w:val="7E0A58F7"/>
    <w:rsid w:val="7E0AEC4B"/>
    <w:rsid w:val="7E0C367E"/>
    <w:rsid w:val="7E0C5C2E"/>
    <w:rsid w:val="7E0CD600"/>
    <w:rsid w:val="7E0D54FD"/>
    <w:rsid w:val="7E0DC74C"/>
    <w:rsid w:val="7E0F6D80"/>
    <w:rsid w:val="7E0F9315"/>
    <w:rsid w:val="7E0FAA4C"/>
    <w:rsid w:val="7E105969"/>
    <w:rsid w:val="7E1113D0"/>
    <w:rsid w:val="7E11E427"/>
    <w:rsid w:val="7E12CDCB"/>
    <w:rsid w:val="7E13E479"/>
    <w:rsid w:val="7E147A47"/>
    <w:rsid w:val="7E153725"/>
    <w:rsid w:val="7E157362"/>
    <w:rsid w:val="7E159EB7"/>
    <w:rsid w:val="7E1610FE"/>
    <w:rsid w:val="7E17A17F"/>
    <w:rsid w:val="7E17EA5E"/>
    <w:rsid w:val="7E18DB49"/>
    <w:rsid w:val="7E191632"/>
    <w:rsid w:val="7E19ADBF"/>
    <w:rsid w:val="7E1A0EFA"/>
    <w:rsid w:val="7E1A5056"/>
    <w:rsid w:val="7E1A7FC0"/>
    <w:rsid w:val="7E1C923F"/>
    <w:rsid w:val="7E1CA654"/>
    <w:rsid w:val="7E1CC792"/>
    <w:rsid w:val="7E1D5F7D"/>
    <w:rsid w:val="7E1DBA5F"/>
    <w:rsid w:val="7E1DE6B4"/>
    <w:rsid w:val="7E1E2436"/>
    <w:rsid w:val="7E1E75B3"/>
    <w:rsid w:val="7E1FB6FD"/>
    <w:rsid w:val="7E2040FC"/>
    <w:rsid w:val="7E227C7E"/>
    <w:rsid w:val="7E22C942"/>
    <w:rsid w:val="7E233E5E"/>
    <w:rsid w:val="7E2454D4"/>
    <w:rsid w:val="7E24EEC5"/>
    <w:rsid w:val="7E255F28"/>
    <w:rsid w:val="7E285157"/>
    <w:rsid w:val="7E293A8C"/>
    <w:rsid w:val="7E29F656"/>
    <w:rsid w:val="7E2B1D55"/>
    <w:rsid w:val="7E2C2C6B"/>
    <w:rsid w:val="7E2CC961"/>
    <w:rsid w:val="7E2EF996"/>
    <w:rsid w:val="7E30E234"/>
    <w:rsid w:val="7E321239"/>
    <w:rsid w:val="7E322D4A"/>
    <w:rsid w:val="7E32D52E"/>
    <w:rsid w:val="7E33488F"/>
    <w:rsid w:val="7E3479AA"/>
    <w:rsid w:val="7E34C6C0"/>
    <w:rsid w:val="7E3521E6"/>
    <w:rsid w:val="7E3557FF"/>
    <w:rsid w:val="7E362986"/>
    <w:rsid w:val="7E36A056"/>
    <w:rsid w:val="7E36E05B"/>
    <w:rsid w:val="7E382D6A"/>
    <w:rsid w:val="7E38B289"/>
    <w:rsid w:val="7E39F135"/>
    <w:rsid w:val="7E3A4CBD"/>
    <w:rsid w:val="7E3A9845"/>
    <w:rsid w:val="7E3AADBB"/>
    <w:rsid w:val="7E3BD08C"/>
    <w:rsid w:val="7E3CD0ED"/>
    <w:rsid w:val="7E3CED7F"/>
    <w:rsid w:val="7E3CF6A2"/>
    <w:rsid w:val="7E3D250B"/>
    <w:rsid w:val="7E3D8E35"/>
    <w:rsid w:val="7E3E29E0"/>
    <w:rsid w:val="7E3F05B1"/>
    <w:rsid w:val="7E3F8EBD"/>
    <w:rsid w:val="7E40660B"/>
    <w:rsid w:val="7E412AE1"/>
    <w:rsid w:val="7E426F85"/>
    <w:rsid w:val="7E431E8C"/>
    <w:rsid w:val="7E432BF7"/>
    <w:rsid w:val="7E4361DD"/>
    <w:rsid w:val="7E43ACF2"/>
    <w:rsid w:val="7E43AF88"/>
    <w:rsid w:val="7E45BE49"/>
    <w:rsid w:val="7E45D8C9"/>
    <w:rsid w:val="7E45E62B"/>
    <w:rsid w:val="7E465D07"/>
    <w:rsid w:val="7E46C51A"/>
    <w:rsid w:val="7E47E2A6"/>
    <w:rsid w:val="7E4970EA"/>
    <w:rsid w:val="7E4975D9"/>
    <w:rsid w:val="7E4A3110"/>
    <w:rsid w:val="7E4AF32C"/>
    <w:rsid w:val="7E4B7261"/>
    <w:rsid w:val="7E4C80F3"/>
    <w:rsid w:val="7E4E59EC"/>
    <w:rsid w:val="7E4E60B5"/>
    <w:rsid w:val="7E4F50BC"/>
    <w:rsid w:val="7E4FB280"/>
    <w:rsid w:val="7E4FB928"/>
    <w:rsid w:val="7E4FEE34"/>
    <w:rsid w:val="7E5000A8"/>
    <w:rsid w:val="7E501501"/>
    <w:rsid w:val="7E50F7D9"/>
    <w:rsid w:val="7E5123A0"/>
    <w:rsid w:val="7E51722C"/>
    <w:rsid w:val="7E536DBF"/>
    <w:rsid w:val="7E542AB0"/>
    <w:rsid w:val="7E54AE4E"/>
    <w:rsid w:val="7E54BAF8"/>
    <w:rsid w:val="7E55B1CD"/>
    <w:rsid w:val="7E55E512"/>
    <w:rsid w:val="7E55E5DC"/>
    <w:rsid w:val="7E564450"/>
    <w:rsid w:val="7E564F67"/>
    <w:rsid w:val="7E576AA0"/>
    <w:rsid w:val="7E579447"/>
    <w:rsid w:val="7E58D91C"/>
    <w:rsid w:val="7E58F63D"/>
    <w:rsid w:val="7E5906EE"/>
    <w:rsid w:val="7E595C2B"/>
    <w:rsid w:val="7E59D53B"/>
    <w:rsid w:val="7E5A8B1D"/>
    <w:rsid w:val="7E5B4E5D"/>
    <w:rsid w:val="7E5D956F"/>
    <w:rsid w:val="7E5EB145"/>
    <w:rsid w:val="7E611B0F"/>
    <w:rsid w:val="7E6210BA"/>
    <w:rsid w:val="7E62906F"/>
    <w:rsid w:val="7E62A869"/>
    <w:rsid w:val="7E62C179"/>
    <w:rsid w:val="7E638C41"/>
    <w:rsid w:val="7E63F934"/>
    <w:rsid w:val="7E643CB6"/>
    <w:rsid w:val="7E65891B"/>
    <w:rsid w:val="7E658DDF"/>
    <w:rsid w:val="7E65CF17"/>
    <w:rsid w:val="7E672486"/>
    <w:rsid w:val="7E694962"/>
    <w:rsid w:val="7E6A28A6"/>
    <w:rsid w:val="7E6A3330"/>
    <w:rsid w:val="7E6AB8B3"/>
    <w:rsid w:val="7E6AC42B"/>
    <w:rsid w:val="7E6B5CD5"/>
    <w:rsid w:val="7E6BA4FF"/>
    <w:rsid w:val="7E6BC2E1"/>
    <w:rsid w:val="7E6C836B"/>
    <w:rsid w:val="7E6D6BC1"/>
    <w:rsid w:val="7E6E2D5E"/>
    <w:rsid w:val="7E6F2E6E"/>
    <w:rsid w:val="7E6F5F67"/>
    <w:rsid w:val="7E6FA7A9"/>
    <w:rsid w:val="7E6FAA18"/>
    <w:rsid w:val="7E709275"/>
    <w:rsid w:val="7E71AA3D"/>
    <w:rsid w:val="7E72AAD0"/>
    <w:rsid w:val="7E72C8F7"/>
    <w:rsid w:val="7E73A0DE"/>
    <w:rsid w:val="7E757609"/>
    <w:rsid w:val="7E757A8D"/>
    <w:rsid w:val="7E765333"/>
    <w:rsid w:val="7E7685C1"/>
    <w:rsid w:val="7E76AE88"/>
    <w:rsid w:val="7E76DAEC"/>
    <w:rsid w:val="7E76ED08"/>
    <w:rsid w:val="7E77D834"/>
    <w:rsid w:val="7E783E0D"/>
    <w:rsid w:val="7E7875EC"/>
    <w:rsid w:val="7E79B7EB"/>
    <w:rsid w:val="7E79FB08"/>
    <w:rsid w:val="7E7A27D1"/>
    <w:rsid w:val="7E7AD844"/>
    <w:rsid w:val="7E7B994B"/>
    <w:rsid w:val="7E7C7DCF"/>
    <w:rsid w:val="7E7E04E3"/>
    <w:rsid w:val="7E7E984B"/>
    <w:rsid w:val="7E7EE8B6"/>
    <w:rsid w:val="7E7F1991"/>
    <w:rsid w:val="7E7F72AE"/>
    <w:rsid w:val="7E7FC1CA"/>
    <w:rsid w:val="7E800FF5"/>
    <w:rsid w:val="7E801718"/>
    <w:rsid w:val="7E802853"/>
    <w:rsid w:val="7E80C263"/>
    <w:rsid w:val="7E812B66"/>
    <w:rsid w:val="7E81DAD5"/>
    <w:rsid w:val="7E82517F"/>
    <w:rsid w:val="7E82654A"/>
    <w:rsid w:val="7E844767"/>
    <w:rsid w:val="7E84F226"/>
    <w:rsid w:val="7E8524F7"/>
    <w:rsid w:val="7E8538D9"/>
    <w:rsid w:val="7E861291"/>
    <w:rsid w:val="7E862814"/>
    <w:rsid w:val="7E8706CB"/>
    <w:rsid w:val="7E882710"/>
    <w:rsid w:val="7E883A2D"/>
    <w:rsid w:val="7E88763F"/>
    <w:rsid w:val="7E88C6C2"/>
    <w:rsid w:val="7E88EFE7"/>
    <w:rsid w:val="7E89159F"/>
    <w:rsid w:val="7E8A06C8"/>
    <w:rsid w:val="7E8A1B2F"/>
    <w:rsid w:val="7E8A35C5"/>
    <w:rsid w:val="7E8A4625"/>
    <w:rsid w:val="7E8AFB33"/>
    <w:rsid w:val="7E8C0AB5"/>
    <w:rsid w:val="7E8C1B97"/>
    <w:rsid w:val="7E8C7FD1"/>
    <w:rsid w:val="7E8D5B74"/>
    <w:rsid w:val="7E8FD183"/>
    <w:rsid w:val="7E90782B"/>
    <w:rsid w:val="7E90D878"/>
    <w:rsid w:val="7E91F1AC"/>
    <w:rsid w:val="7E91F6A3"/>
    <w:rsid w:val="7E91FE19"/>
    <w:rsid w:val="7E92520E"/>
    <w:rsid w:val="7E92657E"/>
    <w:rsid w:val="7E929B71"/>
    <w:rsid w:val="7E93C0F8"/>
    <w:rsid w:val="7E94C2FC"/>
    <w:rsid w:val="7E950FD5"/>
    <w:rsid w:val="7E9785BB"/>
    <w:rsid w:val="7E97CDA0"/>
    <w:rsid w:val="7E98489D"/>
    <w:rsid w:val="7E98E0BB"/>
    <w:rsid w:val="7E991DC1"/>
    <w:rsid w:val="7E9996B0"/>
    <w:rsid w:val="7E9AEF06"/>
    <w:rsid w:val="7E9B1402"/>
    <w:rsid w:val="7E9B9F2B"/>
    <w:rsid w:val="7E9BF548"/>
    <w:rsid w:val="7E9DF154"/>
    <w:rsid w:val="7E9F5908"/>
    <w:rsid w:val="7E9FF94A"/>
    <w:rsid w:val="7EA11664"/>
    <w:rsid w:val="7EA2176D"/>
    <w:rsid w:val="7EA22E73"/>
    <w:rsid w:val="7EA2C87F"/>
    <w:rsid w:val="7EA2F67F"/>
    <w:rsid w:val="7EA3BB7F"/>
    <w:rsid w:val="7EA47CD6"/>
    <w:rsid w:val="7EA64B9E"/>
    <w:rsid w:val="7EA65233"/>
    <w:rsid w:val="7EA73AB0"/>
    <w:rsid w:val="7EA79ACC"/>
    <w:rsid w:val="7EA89813"/>
    <w:rsid w:val="7EA9AC81"/>
    <w:rsid w:val="7EAA6018"/>
    <w:rsid w:val="7EAAF2BE"/>
    <w:rsid w:val="7EAB0554"/>
    <w:rsid w:val="7EAB715B"/>
    <w:rsid w:val="7EABA7F6"/>
    <w:rsid w:val="7EABC642"/>
    <w:rsid w:val="7EAE4380"/>
    <w:rsid w:val="7EAE45F4"/>
    <w:rsid w:val="7EAEA444"/>
    <w:rsid w:val="7EAECF51"/>
    <w:rsid w:val="7EAF1F00"/>
    <w:rsid w:val="7EB1A62B"/>
    <w:rsid w:val="7EB1E6FA"/>
    <w:rsid w:val="7EB20411"/>
    <w:rsid w:val="7EB28393"/>
    <w:rsid w:val="7EB3CBE4"/>
    <w:rsid w:val="7EB4E51D"/>
    <w:rsid w:val="7EB4FA6C"/>
    <w:rsid w:val="7EB53E4E"/>
    <w:rsid w:val="7EB58959"/>
    <w:rsid w:val="7EB7227A"/>
    <w:rsid w:val="7EB733B1"/>
    <w:rsid w:val="7EB84672"/>
    <w:rsid w:val="7EB94D5B"/>
    <w:rsid w:val="7EBA8A13"/>
    <w:rsid w:val="7EBC7698"/>
    <w:rsid w:val="7EBC8B62"/>
    <w:rsid w:val="7EBD0A88"/>
    <w:rsid w:val="7EBD931A"/>
    <w:rsid w:val="7EBE0088"/>
    <w:rsid w:val="7EBE7A61"/>
    <w:rsid w:val="7EBFA51D"/>
    <w:rsid w:val="7EC00C46"/>
    <w:rsid w:val="7EC1460F"/>
    <w:rsid w:val="7EC17742"/>
    <w:rsid w:val="7EC1DEAE"/>
    <w:rsid w:val="7EC33A50"/>
    <w:rsid w:val="7EC3BEA3"/>
    <w:rsid w:val="7EC3CC67"/>
    <w:rsid w:val="7EC3DB06"/>
    <w:rsid w:val="7EC40206"/>
    <w:rsid w:val="7EC4807A"/>
    <w:rsid w:val="7EC52244"/>
    <w:rsid w:val="7EC583EC"/>
    <w:rsid w:val="7EC5A315"/>
    <w:rsid w:val="7EC5D7BE"/>
    <w:rsid w:val="7EC69AD1"/>
    <w:rsid w:val="7EC70E1B"/>
    <w:rsid w:val="7EC763E7"/>
    <w:rsid w:val="7EC76EFA"/>
    <w:rsid w:val="7EC84412"/>
    <w:rsid w:val="7EC8850C"/>
    <w:rsid w:val="7ECB76B7"/>
    <w:rsid w:val="7ECC7588"/>
    <w:rsid w:val="7ECC93FE"/>
    <w:rsid w:val="7ECD764B"/>
    <w:rsid w:val="7ECE1885"/>
    <w:rsid w:val="7ECEC636"/>
    <w:rsid w:val="7ECFA273"/>
    <w:rsid w:val="7ECFCB62"/>
    <w:rsid w:val="7ECFCD35"/>
    <w:rsid w:val="7ECFD48C"/>
    <w:rsid w:val="7ED035E0"/>
    <w:rsid w:val="7ED07850"/>
    <w:rsid w:val="7ED10A37"/>
    <w:rsid w:val="7ED164A9"/>
    <w:rsid w:val="7ED1D57A"/>
    <w:rsid w:val="7ED1F660"/>
    <w:rsid w:val="7ED1F7E4"/>
    <w:rsid w:val="7ED29DC7"/>
    <w:rsid w:val="7ED2BB68"/>
    <w:rsid w:val="7ED2D93B"/>
    <w:rsid w:val="7ED2E125"/>
    <w:rsid w:val="7ED3BB4E"/>
    <w:rsid w:val="7ED48303"/>
    <w:rsid w:val="7ED520ED"/>
    <w:rsid w:val="7ED65F6D"/>
    <w:rsid w:val="7ED6A008"/>
    <w:rsid w:val="7ED6BAB6"/>
    <w:rsid w:val="7ED6D8E8"/>
    <w:rsid w:val="7ED73947"/>
    <w:rsid w:val="7ED7840E"/>
    <w:rsid w:val="7ED7A172"/>
    <w:rsid w:val="7ED7C6CC"/>
    <w:rsid w:val="7ED7CE20"/>
    <w:rsid w:val="7ED7D2B9"/>
    <w:rsid w:val="7ED7E49C"/>
    <w:rsid w:val="7ED8CAB8"/>
    <w:rsid w:val="7ED94C44"/>
    <w:rsid w:val="7ED9E3CF"/>
    <w:rsid w:val="7ED9FE63"/>
    <w:rsid w:val="7EDAB268"/>
    <w:rsid w:val="7EDB3DD1"/>
    <w:rsid w:val="7EDC4EBF"/>
    <w:rsid w:val="7EDD2680"/>
    <w:rsid w:val="7EDD65AB"/>
    <w:rsid w:val="7EDEECB9"/>
    <w:rsid w:val="7EDF0E3D"/>
    <w:rsid w:val="7EE01AF1"/>
    <w:rsid w:val="7EE08B4D"/>
    <w:rsid w:val="7EE29772"/>
    <w:rsid w:val="7EE29D17"/>
    <w:rsid w:val="7EE316B2"/>
    <w:rsid w:val="7EE4AAD0"/>
    <w:rsid w:val="7EE59209"/>
    <w:rsid w:val="7EE65211"/>
    <w:rsid w:val="7EE6AF24"/>
    <w:rsid w:val="7EE83A61"/>
    <w:rsid w:val="7EEA5278"/>
    <w:rsid w:val="7EEA7DA6"/>
    <w:rsid w:val="7EEA874D"/>
    <w:rsid w:val="7EEA8B02"/>
    <w:rsid w:val="7EEADC6D"/>
    <w:rsid w:val="7EEAF062"/>
    <w:rsid w:val="7EEB3AF2"/>
    <w:rsid w:val="7EEB6B38"/>
    <w:rsid w:val="7EEB92BB"/>
    <w:rsid w:val="7EEB92BE"/>
    <w:rsid w:val="7EEB99D5"/>
    <w:rsid w:val="7EEBE812"/>
    <w:rsid w:val="7EEC3E4F"/>
    <w:rsid w:val="7EED2028"/>
    <w:rsid w:val="7EEDDE6E"/>
    <w:rsid w:val="7EEDEF28"/>
    <w:rsid w:val="7EEE1FA3"/>
    <w:rsid w:val="7EEE7E81"/>
    <w:rsid w:val="7EEE86EF"/>
    <w:rsid w:val="7EEF0438"/>
    <w:rsid w:val="7EEF132F"/>
    <w:rsid w:val="7EEF61C2"/>
    <w:rsid w:val="7EEFA074"/>
    <w:rsid w:val="7EEFDF7A"/>
    <w:rsid w:val="7EF178DE"/>
    <w:rsid w:val="7EF1EB6A"/>
    <w:rsid w:val="7EF216E4"/>
    <w:rsid w:val="7EF29145"/>
    <w:rsid w:val="7EF2CDD7"/>
    <w:rsid w:val="7EF2DC84"/>
    <w:rsid w:val="7EF3F31C"/>
    <w:rsid w:val="7EF45225"/>
    <w:rsid w:val="7EF54650"/>
    <w:rsid w:val="7EF5A463"/>
    <w:rsid w:val="7EF621DE"/>
    <w:rsid w:val="7EF738F0"/>
    <w:rsid w:val="7EF8C9A8"/>
    <w:rsid w:val="7EF8D473"/>
    <w:rsid w:val="7EFA6D52"/>
    <w:rsid w:val="7EFABFE4"/>
    <w:rsid w:val="7EFB89E1"/>
    <w:rsid w:val="7EFC0336"/>
    <w:rsid w:val="7EFC4143"/>
    <w:rsid w:val="7EFC7C39"/>
    <w:rsid w:val="7EFCB4A9"/>
    <w:rsid w:val="7EFCE87C"/>
    <w:rsid w:val="7EFD309E"/>
    <w:rsid w:val="7EFD81C6"/>
    <w:rsid w:val="7EFE3178"/>
    <w:rsid w:val="7EFE6C1B"/>
    <w:rsid w:val="7EFE95C0"/>
    <w:rsid w:val="7EFECF28"/>
    <w:rsid w:val="7F0029C4"/>
    <w:rsid w:val="7F0112D1"/>
    <w:rsid w:val="7F01EE5A"/>
    <w:rsid w:val="7F01FCDD"/>
    <w:rsid w:val="7F029CC4"/>
    <w:rsid w:val="7F030511"/>
    <w:rsid w:val="7F05073B"/>
    <w:rsid w:val="7F0526B6"/>
    <w:rsid w:val="7F053144"/>
    <w:rsid w:val="7F056CFC"/>
    <w:rsid w:val="7F06F254"/>
    <w:rsid w:val="7F08B12E"/>
    <w:rsid w:val="7F08B6F4"/>
    <w:rsid w:val="7F09F7B9"/>
    <w:rsid w:val="7F0A8E75"/>
    <w:rsid w:val="7F0AB071"/>
    <w:rsid w:val="7F0B2390"/>
    <w:rsid w:val="7F0B4696"/>
    <w:rsid w:val="7F0BC1FC"/>
    <w:rsid w:val="7F0BCCC8"/>
    <w:rsid w:val="7F0BDAC3"/>
    <w:rsid w:val="7F0C54C3"/>
    <w:rsid w:val="7F0E45BD"/>
    <w:rsid w:val="7F0EC301"/>
    <w:rsid w:val="7F0ECB41"/>
    <w:rsid w:val="7F0F0D78"/>
    <w:rsid w:val="7F0FE417"/>
    <w:rsid w:val="7F100751"/>
    <w:rsid w:val="7F104EB6"/>
    <w:rsid w:val="7F105887"/>
    <w:rsid w:val="7F117328"/>
    <w:rsid w:val="7F12FFFC"/>
    <w:rsid w:val="7F133301"/>
    <w:rsid w:val="7F145566"/>
    <w:rsid w:val="7F156C7A"/>
    <w:rsid w:val="7F158504"/>
    <w:rsid w:val="7F164372"/>
    <w:rsid w:val="7F16469E"/>
    <w:rsid w:val="7F17A26F"/>
    <w:rsid w:val="7F17BAF8"/>
    <w:rsid w:val="7F17BD0A"/>
    <w:rsid w:val="7F187C5F"/>
    <w:rsid w:val="7F19647A"/>
    <w:rsid w:val="7F19728F"/>
    <w:rsid w:val="7F19DB74"/>
    <w:rsid w:val="7F1A9BCF"/>
    <w:rsid w:val="7F1B685C"/>
    <w:rsid w:val="7F1C1D3A"/>
    <w:rsid w:val="7F1C38D2"/>
    <w:rsid w:val="7F1CBC43"/>
    <w:rsid w:val="7F1CEB6C"/>
    <w:rsid w:val="7F1CFC43"/>
    <w:rsid w:val="7F1D1366"/>
    <w:rsid w:val="7F1DB080"/>
    <w:rsid w:val="7F1E08CD"/>
    <w:rsid w:val="7F1E2A27"/>
    <w:rsid w:val="7F1EC212"/>
    <w:rsid w:val="7F1F141C"/>
    <w:rsid w:val="7F1F24F1"/>
    <w:rsid w:val="7F201460"/>
    <w:rsid w:val="7F201C35"/>
    <w:rsid w:val="7F206A1D"/>
    <w:rsid w:val="7F223D5C"/>
    <w:rsid w:val="7F23A755"/>
    <w:rsid w:val="7F243FEF"/>
    <w:rsid w:val="7F2473CC"/>
    <w:rsid w:val="7F26E85B"/>
    <w:rsid w:val="7F2721C7"/>
    <w:rsid w:val="7F27663B"/>
    <w:rsid w:val="7F281250"/>
    <w:rsid w:val="7F281C58"/>
    <w:rsid w:val="7F287464"/>
    <w:rsid w:val="7F28919C"/>
    <w:rsid w:val="7F28C588"/>
    <w:rsid w:val="7F29DD1C"/>
    <w:rsid w:val="7F2AF904"/>
    <w:rsid w:val="7F2AFDD2"/>
    <w:rsid w:val="7F2B5F77"/>
    <w:rsid w:val="7F2BA870"/>
    <w:rsid w:val="7F2C5B1F"/>
    <w:rsid w:val="7F2D1E9B"/>
    <w:rsid w:val="7F2D501A"/>
    <w:rsid w:val="7F2E5A81"/>
    <w:rsid w:val="7F2F5F79"/>
    <w:rsid w:val="7F303BC0"/>
    <w:rsid w:val="7F32752C"/>
    <w:rsid w:val="7F336C52"/>
    <w:rsid w:val="7F3397DD"/>
    <w:rsid w:val="7F34A4B9"/>
    <w:rsid w:val="7F34BC1E"/>
    <w:rsid w:val="7F354717"/>
    <w:rsid w:val="7F361D9D"/>
    <w:rsid w:val="7F36C40D"/>
    <w:rsid w:val="7F37B3F3"/>
    <w:rsid w:val="7F38D384"/>
    <w:rsid w:val="7F3AF118"/>
    <w:rsid w:val="7F3BC611"/>
    <w:rsid w:val="7F3BC82D"/>
    <w:rsid w:val="7F3BFCF7"/>
    <w:rsid w:val="7F3C2FDA"/>
    <w:rsid w:val="7F3D16A6"/>
    <w:rsid w:val="7F3DDF9A"/>
    <w:rsid w:val="7F3F61AB"/>
    <w:rsid w:val="7F3FBD6D"/>
    <w:rsid w:val="7F3FBE3F"/>
    <w:rsid w:val="7F40464C"/>
    <w:rsid w:val="7F406E76"/>
    <w:rsid w:val="7F40F8D5"/>
    <w:rsid w:val="7F417CE8"/>
    <w:rsid w:val="7F417EB2"/>
    <w:rsid w:val="7F41954C"/>
    <w:rsid w:val="7F41D95D"/>
    <w:rsid w:val="7F4204CE"/>
    <w:rsid w:val="7F430E9A"/>
    <w:rsid w:val="7F43E76A"/>
    <w:rsid w:val="7F43EFD7"/>
    <w:rsid w:val="7F440429"/>
    <w:rsid w:val="7F44CE6D"/>
    <w:rsid w:val="7F4517F6"/>
    <w:rsid w:val="7F457403"/>
    <w:rsid w:val="7F4650B4"/>
    <w:rsid w:val="7F46ACA7"/>
    <w:rsid w:val="7F471340"/>
    <w:rsid w:val="7F471A8F"/>
    <w:rsid w:val="7F479BB7"/>
    <w:rsid w:val="7F485377"/>
    <w:rsid w:val="7F4A3B4B"/>
    <w:rsid w:val="7F4B0EF1"/>
    <w:rsid w:val="7F4C73D9"/>
    <w:rsid w:val="7F4CD059"/>
    <w:rsid w:val="7F4CE069"/>
    <w:rsid w:val="7F4E5EA2"/>
    <w:rsid w:val="7F4EA405"/>
    <w:rsid w:val="7F4ECABC"/>
    <w:rsid w:val="7F4F2B64"/>
    <w:rsid w:val="7F4FE902"/>
    <w:rsid w:val="7F5073C9"/>
    <w:rsid w:val="7F521944"/>
    <w:rsid w:val="7F5294BF"/>
    <w:rsid w:val="7F536A66"/>
    <w:rsid w:val="7F537D7B"/>
    <w:rsid w:val="7F538CC1"/>
    <w:rsid w:val="7F54362B"/>
    <w:rsid w:val="7F54910A"/>
    <w:rsid w:val="7F559EF2"/>
    <w:rsid w:val="7F5605C6"/>
    <w:rsid w:val="7F572A24"/>
    <w:rsid w:val="7F585BAD"/>
    <w:rsid w:val="7F587C4B"/>
    <w:rsid w:val="7F5A7EA9"/>
    <w:rsid w:val="7F5ACE08"/>
    <w:rsid w:val="7F5B573E"/>
    <w:rsid w:val="7F5BD47D"/>
    <w:rsid w:val="7F5BFC1C"/>
    <w:rsid w:val="7F5C4C42"/>
    <w:rsid w:val="7F5F1046"/>
    <w:rsid w:val="7F5F5BDC"/>
    <w:rsid w:val="7F5F89FA"/>
    <w:rsid w:val="7F5FD5ED"/>
    <w:rsid w:val="7F604213"/>
    <w:rsid w:val="7F605DA4"/>
    <w:rsid w:val="7F623648"/>
    <w:rsid w:val="7F62545B"/>
    <w:rsid w:val="7F62B50F"/>
    <w:rsid w:val="7F64E8E2"/>
    <w:rsid w:val="7F67C1BD"/>
    <w:rsid w:val="7F67E535"/>
    <w:rsid w:val="7F682656"/>
    <w:rsid w:val="7F689CF2"/>
    <w:rsid w:val="7F68C965"/>
    <w:rsid w:val="7F6939C9"/>
    <w:rsid w:val="7F69472D"/>
    <w:rsid w:val="7F6A443D"/>
    <w:rsid w:val="7F6A6F84"/>
    <w:rsid w:val="7F6B9221"/>
    <w:rsid w:val="7F6C62F6"/>
    <w:rsid w:val="7F6CE7F2"/>
    <w:rsid w:val="7F6D46BA"/>
    <w:rsid w:val="7F6D9D0F"/>
    <w:rsid w:val="7F6F22BC"/>
    <w:rsid w:val="7F6FB4CB"/>
    <w:rsid w:val="7F703F85"/>
    <w:rsid w:val="7F70769B"/>
    <w:rsid w:val="7F70B608"/>
    <w:rsid w:val="7F70E8D1"/>
    <w:rsid w:val="7F711786"/>
    <w:rsid w:val="7F713CF9"/>
    <w:rsid w:val="7F7175BE"/>
    <w:rsid w:val="7F719838"/>
    <w:rsid w:val="7F71DA18"/>
    <w:rsid w:val="7F72400F"/>
    <w:rsid w:val="7F72985F"/>
    <w:rsid w:val="7F734AF6"/>
    <w:rsid w:val="7F73BF59"/>
    <w:rsid w:val="7F73D0D3"/>
    <w:rsid w:val="7F741522"/>
    <w:rsid w:val="7F7513A4"/>
    <w:rsid w:val="7F753E1D"/>
    <w:rsid w:val="7F76BC33"/>
    <w:rsid w:val="7F78039C"/>
    <w:rsid w:val="7F781979"/>
    <w:rsid w:val="7F786E41"/>
    <w:rsid w:val="7F7955B6"/>
    <w:rsid w:val="7F79C8EB"/>
    <w:rsid w:val="7F79D827"/>
    <w:rsid w:val="7F7A0315"/>
    <w:rsid w:val="7F7AA644"/>
    <w:rsid w:val="7F7D6729"/>
    <w:rsid w:val="7F7D7CDA"/>
    <w:rsid w:val="7F7DA8A6"/>
    <w:rsid w:val="7F7DF7BC"/>
    <w:rsid w:val="7F7E4630"/>
    <w:rsid w:val="7F7FD196"/>
    <w:rsid w:val="7F81333F"/>
    <w:rsid w:val="7F8208B6"/>
    <w:rsid w:val="7F824512"/>
    <w:rsid w:val="7F83C445"/>
    <w:rsid w:val="7F864D58"/>
    <w:rsid w:val="7F887125"/>
    <w:rsid w:val="7F8A27D1"/>
    <w:rsid w:val="7F8A88C6"/>
    <w:rsid w:val="7F8ADF46"/>
    <w:rsid w:val="7F8B29DE"/>
    <w:rsid w:val="7F8B6AAF"/>
    <w:rsid w:val="7F8BA772"/>
    <w:rsid w:val="7F8C054B"/>
    <w:rsid w:val="7F8C523C"/>
    <w:rsid w:val="7F8D455B"/>
    <w:rsid w:val="7F8DC7FB"/>
    <w:rsid w:val="7F8EC42D"/>
    <w:rsid w:val="7F8F4B6E"/>
    <w:rsid w:val="7F8FA925"/>
    <w:rsid w:val="7F918246"/>
    <w:rsid w:val="7F9212F9"/>
    <w:rsid w:val="7F92CCEB"/>
    <w:rsid w:val="7F942028"/>
    <w:rsid w:val="7F94942C"/>
    <w:rsid w:val="7F954AE4"/>
    <w:rsid w:val="7F95CBAA"/>
    <w:rsid w:val="7F97BC1C"/>
    <w:rsid w:val="7F98442B"/>
    <w:rsid w:val="7F98C993"/>
    <w:rsid w:val="7F991A03"/>
    <w:rsid w:val="7F9972F2"/>
    <w:rsid w:val="7F9B906A"/>
    <w:rsid w:val="7F9C11F9"/>
    <w:rsid w:val="7F9C3B90"/>
    <w:rsid w:val="7F9C77D2"/>
    <w:rsid w:val="7F9CEC21"/>
    <w:rsid w:val="7F9D04A0"/>
    <w:rsid w:val="7F9DD76B"/>
    <w:rsid w:val="7F9F2DFE"/>
    <w:rsid w:val="7F9F9409"/>
    <w:rsid w:val="7F9F9920"/>
    <w:rsid w:val="7F9FFD8C"/>
    <w:rsid w:val="7FA0301A"/>
    <w:rsid w:val="7FA1E609"/>
    <w:rsid w:val="7FA254FB"/>
    <w:rsid w:val="7FA2661B"/>
    <w:rsid w:val="7FA3B07A"/>
    <w:rsid w:val="7FA3B237"/>
    <w:rsid w:val="7FA3D1F7"/>
    <w:rsid w:val="7FA3E255"/>
    <w:rsid w:val="7FA442C4"/>
    <w:rsid w:val="7FA4AFD1"/>
    <w:rsid w:val="7FA5644E"/>
    <w:rsid w:val="7FA5A69B"/>
    <w:rsid w:val="7FA64408"/>
    <w:rsid w:val="7FA649D1"/>
    <w:rsid w:val="7FA6B1F4"/>
    <w:rsid w:val="7FA7FBB2"/>
    <w:rsid w:val="7FA969E1"/>
    <w:rsid w:val="7FA96A2E"/>
    <w:rsid w:val="7FA9EA5B"/>
    <w:rsid w:val="7FAA7C4F"/>
    <w:rsid w:val="7FAACD9E"/>
    <w:rsid w:val="7FAB201A"/>
    <w:rsid w:val="7FABC9D4"/>
    <w:rsid w:val="7FAC194C"/>
    <w:rsid w:val="7FAC4D37"/>
    <w:rsid w:val="7FAC6085"/>
    <w:rsid w:val="7FACE65F"/>
    <w:rsid w:val="7FAD7215"/>
    <w:rsid w:val="7FAD768B"/>
    <w:rsid w:val="7FAE2A8A"/>
    <w:rsid w:val="7FAFBD47"/>
    <w:rsid w:val="7FAFCB87"/>
    <w:rsid w:val="7FB0C2B1"/>
    <w:rsid w:val="7FB0FCEA"/>
    <w:rsid w:val="7FB19699"/>
    <w:rsid w:val="7FB1D782"/>
    <w:rsid w:val="7FB1D90E"/>
    <w:rsid w:val="7FB26E14"/>
    <w:rsid w:val="7FB2976A"/>
    <w:rsid w:val="7FB31158"/>
    <w:rsid w:val="7FB34E1F"/>
    <w:rsid w:val="7FB35F5B"/>
    <w:rsid w:val="7FB4DC27"/>
    <w:rsid w:val="7FB59200"/>
    <w:rsid w:val="7FB5F8C7"/>
    <w:rsid w:val="7FB7B210"/>
    <w:rsid w:val="7FB7D36B"/>
    <w:rsid w:val="7FB7FB5F"/>
    <w:rsid w:val="7FB82CB3"/>
    <w:rsid w:val="7FB88F51"/>
    <w:rsid w:val="7FB9D926"/>
    <w:rsid w:val="7FBBB08A"/>
    <w:rsid w:val="7FBD365B"/>
    <w:rsid w:val="7FBDBE79"/>
    <w:rsid w:val="7FBE0D4B"/>
    <w:rsid w:val="7FBF88AB"/>
    <w:rsid w:val="7FC1289F"/>
    <w:rsid w:val="7FC1855B"/>
    <w:rsid w:val="7FC19786"/>
    <w:rsid w:val="7FC1C20D"/>
    <w:rsid w:val="7FC2EF1D"/>
    <w:rsid w:val="7FC326A3"/>
    <w:rsid w:val="7FC339B0"/>
    <w:rsid w:val="7FC3FCEA"/>
    <w:rsid w:val="7FC4AF78"/>
    <w:rsid w:val="7FC526E0"/>
    <w:rsid w:val="7FC53B44"/>
    <w:rsid w:val="7FC5EC20"/>
    <w:rsid w:val="7FC62949"/>
    <w:rsid w:val="7FC7BE5B"/>
    <w:rsid w:val="7FCA1F51"/>
    <w:rsid w:val="7FCAE8D9"/>
    <w:rsid w:val="7FCBA6CE"/>
    <w:rsid w:val="7FCC17D7"/>
    <w:rsid w:val="7FCDCDE2"/>
    <w:rsid w:val="7FCE335F"/>
    <w:rsid w:val="7FD29AB9"/>
    <w:rsid w:val="7FD3C058"/>
    <w:rsid w:val="7FD4983B"/>
    <w:rsid w:val="7FD523A1"/>
    <w:rsid w:val="7FD5AC50"/>
    <w:rsid w:val="7FD63782"/>
    <w:rsid w:val="7FD64320"/>
    <w:rsid w:val="7FD829A6"/>
    <w:rsid w:val="7FD8CC1D"/>
    <w:rsid w:val="7FD8F165"/>
    <w:rsid w:val="7FD993A9"/>
    <w:rsid w:val="7FDA39A3"/>
    <w:rsid w:val="7FDB094B"/>
    <w:rsid w:val="7FDD12F8"/>
    <w:rsid w:val="7FDE29AF"/>
    <w:rsid w:val="7FDE633E"/>
    <w:rsid w:val="7FE00F50"/>
    <w:rsid w:val="7FE09637"/>
    <w:rsid w:val="7FE23486"/>
    <w:rsid w:val="7FE27FDE"/>
    <w:rsid w:val="7FE2934A"/>
    <w:rsid w:val="7FE32ABA"/>
    <w:rsid w:val="7FE4108F"/>
    <w:rsid w:val="7FE47AEA"/>
    <w:rsid w:val="7FE4A4A9"/>
    <w:rsid w:val="7FE5FB44"/>
    <w:rsid w:val="7FE6999A"/>
    <w:rsid w:val="7FE6B427"/>
    <w:rsid w:val="7FE85B27"/>
    <w:rsid w:val="7FE89D66"/>
    <w:rsid w:val="7FE8A585"/>
    <w:rsid w:val="7FE9B0B2"/>
    <w:rsid w:val="7FEA185C"/>
    <w:rsid w:val="7FEBA3D4"/>
    <w:rsid w:val="7FEBD0F7"/>
    <w:rsid w:val="7FEBD1ED"/>
    <w:rsid w:val="7FEC26C8"/>
    <w:rsid w:val="7FEFDDBE"/>
    <w:rsid w:val="7FEFF7B2"/>
    <w:rsid w:val="7FF05776"/>
    <w:rsid w:val="7FF067CB"/>
    <w:rsid w:val="7FF151B4"/>
    <w:rsid w:val="7FF16916"/>
    <w:rsid w:val="7FF26B17"/>
    <w:rsid w:val="7FF28D35"/>
    <w:rsid w:val="7FF32554"/>
    <w:rsid w:val="7FF376C4"/>
    <w:rsid w:val="7FF40680"/>
    <w:rsid w:val="7FF42E30"/>
    <w:rsid w:val="7FF4D74F"/>
    <w:rsid w:val="7FF589D7"/>
    <w:rsid w:val="7FF65D04"/>
    <w:rsid w:val="7FF6CAEA"/>
    <w:rsid w:val="7FF8F626"/>
    <w:rsid w:val="7FF98D68"/>
    <w:rsid w:val="7FF9A768"/>
    <w:rsid w:val="7FF9AC89"/>
    <w:rsid w:val="7FFD0919"/>
    <w:rsid w:val="7FFE22E2"/>
    <w:rsid w:val="7FFEC1D1"/>
    <w:rsid w:val="7FFF2313"/>
    <w:rsid w:val="7FFF452A"/>
    <w:rsid w:val="7FFF8A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0021D7"/>
  <w15:chartTrackingRefBased/>
  <w15:docId w15:val="{5DA8E72D-AD06-4A45-B7B5-CF84C4FF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AB"/>
    <w:pPr>
      <w:spacing w:after="240" w:line="240" w:lineRule="auto"/>
      <w:jc w:val="both"/>
    </w:pPr>
    <w:rPr>
      <w:rFonts w:ascii="Times New Roman" w:hAnsi="Times New Roman" w:cs="Times New Roman"/>
      <w:sz w:val="24"/>
      <w:szCs w:val="24"/>
    </w:rPr>
  </w:style>
  <w:style w:type="paragraph" w:styleId="Heading1">
    <w:name w:val="heading 1"/>
    <w:aliases w:val="Lev 1"/>
    <w:basedOn w:val="Normal"/>
    <w:next w:val="Text1"/>
    <w:link w:val="Heading1Char"/>
    <w:uiPriority w:val="1"/>
    <w:qFormat/>
    <w:rsid w:val="006B087E"/>
    <w:pPr>
      <w:keepNext/>
      <w:spacing w:before="240"/>
      <w:ind w:left="502" w:hanging="360"/>
      <w:outlineLvl w:val="0"/>
    </w:pPr>
    <w:rPr>
      <w:rFonts w:eastAsia="Times New Roman"/>
      <w:b/>
      <w:smallCaps/>
      <w:szCs w:val="20"/>
    </w:rPr>
  </w:style>
  <w:style w:type="paragraph" w:styleId="Heading2">
    <w:name w:val="heading 2"/>
    <w:aliases w:val="Lev 2"/>
    <w:basedOn w:val="Normal"/>
    <w:next w:val="Text2"/>
    <w:link w:val="Heading2Char"/>
    <w:uiPriority w:val="9"/>
    <w:qFormat/>
    <w:rsid w:val="006B087E"/>
    <w:pPr>
      <w:keepNext/>
      <w:ind w:left="792" w:hanging="432"/>
      <w:outlineLvl w:val="1"/>
    </w:pPr>
    <w:rPr>
      <w:rFonts w:eastAsia="Times New Roman"/>
      <w:b/>
      <w:szCs w:val="20"/>
    </w:rPr>
  </w:style>
  <w:style w:type="paragraph" w:styleId="Heading3">
    <w:name w:val="heading 3"/>
    <w:aliases w:val="Lev 3"/>
    <w:basedOn w:val="Normal"/>
    <w:next w:val="Normal"/>
    <w:link w:val="Heading3Char"/>
    <w:uiPriority w:val="9"/>
    <w:qFormat/>
    <w:rsid w:val="006B087E"/>
    <w:pPr>
      <w:keepNext/>
      <w:tabs>
        <w:tab w:val="num" w:pos="1920"/>
      </w:tabs>
      <w:ind w:left="1920" w:hanging="720"/>
      <w:outlineLvl w:val="2"/>
    </w:pPr>
    <w:rPr>
      <w:rFonts w:eastAsia="Times New Roman"/>
      <w:i/>
      <w:szCs w:val="20"/>
    </w:rPr>
  </w:style>
  <w:style w:type="paragraph" w:styleId="Heading4">
    <w:name w:val="heading 4"/>
    <w:aliases w:val="Lev 4"/>
    <w:basedOn w:val="Normal"/>
    <w:next w:val="Normal"/>
    <w:link w:val="Heading4Char"/>
    <w:uiPriority w:val="9"/>
    <w:qFormat/>
    <w:rsid w:val="006B087E"/>
    <w:pPr>
      <w:keepNext/>
      <w:tabs>
        <w:tab w:val="num" w:pos="1920"/>
      </w:tabs>
      <w:ind w:left="1920" w:hanging="720"/>
      <w:outlineLvl w:val="3"/>
    </w:pPr>
    <w:rPr>
      <w:rFonts w:eastAsia="Times New Roman"/>
      <w:szCs w:val="20"/>
    </w:rPr>
  </w:style>
  <w:style w:type="paragraph" w:styleId="Heading5">
    <w:name w:val="heading 5"/>
    <w:aliases w:val="Lev 5"/>
    <w:basedOn w:val="Normal"/>
    <w:next w:val="Normal"/>
    <w:link w:val="Heading5Char"/>
    <w:uiPriority w:val="9"/>
    <w:unhideWhenUsed/>
    <w:qFormat/>
    <w:rsid w:val="005331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Lev 6"/>
    <w:basedOn w:val="Heading5"/>
    <w:next w:val="WDBody"/>
    <w:link w:val="Heading6Char"/>
    <w:uiPriority w:val="9"/>
    <w:qFormat/>
    <w:rsid w:val="008E0762"/>
    <w:pPr>
      <w:numPr>
        <w:ilvl w:val="4"/>
      </w:numPr>
      <w:spacing w:before="360" w:after="120"/>
      <w:jc w:val="left"/>
      <w:outlineLvl w:val="5"/>
    </w:pPr>
    <w:rPr>
      <w:rFonts w:ascii="Segoe UI" w:hAnsi="Segoe UI"/>
      <w:i/>
      <w:iCs/>
      <w:color w:val="8064A2" w:themeColor="accent4"/>
      <w:sz w:val="20"/>
      <w:szCs w:val="26"/>
    </w:rPr>
  </w:style>
  <w:style w:type="paragraph" w:styleId="Heading7">
    <w:name w:val="heading 7"/>
    <w:basedOn w:val="Normal"/>
    <w:next w:val="Normal"/>
    <w:link w:val="Heading7Char"/>
    <w:uiPriority w:val="9"/>
    <w:qFormat/>
    <w:rsid w:val="00F302A9"/>
    <w:pPr>
      <w:keepNext/>
      <w:keepLines/>
      <w:numPr>
        <w:ilvl w:val="6"/>
        <w:numId w:val="29"/>
      </w:numPr>
      <w:spacing w:before="200" w:after="0"/>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F302A9"/>
    <w:pPr>
      <w:keepNext/>
      <w:keepLines/>
      <w:numPr>
        <w:ilvl w:val="7"/>
        <w:numId w:val="29"/>
      </w:numPr>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302A9"/>
    <w:pPr>
      <w:keepNext/>
      <w:keepLines/>
      <w:numPr>
        <w:ilvl w:val="8"/>
        <w:numId w:val="29"/>
      </w:numPr>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uiPriority w:val="9"/>
    <w:rsid w:val="006B087E"/>
    <w:rPr>
      <w:rFonts w:ascii="Times New Roman" w:eastAsia="Times New Roman" w:hAnsi="Times New Roman" w:cs="Times New Roman"/>
      <w:b/>
      <w:smallCaps/>
      <w:sz w:val="24"/>
      <w:szCs w:val="20"/>
    </w:rPr>
  </w:style>
  <w:style w:type="character" w:customStyle="1" w:styleId="Heading2Char">
    <w:name w:val="Heading 2 Char"/>
    <w:aliases w:val="Lev 2 Char"/>
    <w:basedOn w:val="DefaultParagraphFont"/>
    <w:link w:val="Heading2"/>
    <w:uiPriority w:val="9"/>
    <w:rsid w:val="006B087E"/>
    <w:rPr>
      <w:rFonts w:ascii="Times New Roman" w:eastAsia="Times New Roman" w:hAnsi="Times New Roman" w:cs="Times New Roman"/>
      <w:b/>
      <w:sz w:val="24"/>
      <w:szCs w:val="20"/>
    </w:rPr>
  </w:style>
  <w:style w:type="character" w:customStyle="1" w:styleId="Heading3Char">
    <w:name w:val="Heading 3 Char"/>
    <w:aliases w:val="Lev 3 Char"/>
    <w:basedOn w:val="DefaultParagraphFont"/>
    <w:link w:val="Heading3"/>
    <w:uiPriority w:val="9"/>
    <w:rsid w:val="006B087E"/>
    <w:rPr>
      <w:rFonts w:ascii="Times New Roman" w:eastAsia="Times New Roman" w:hAnsi="Times New Roman" w:cs="Times New Roman"/>
      <w:i/>
      <w:sz w:val="24"/>
      <w:szCs w:val="20"/>
    </w:rPr>
  </w:style>
  <w:style w:type="character" w:customStyle="1" w:styleId="Heading4Char">
    <w:name w:val="Heading 4 Char"/>
    <w:aliases w:val="Lev 4 Char"/>
    <w:basedOn w:val="DefaultParagraphFont"/>
    <w:link w:val="Heading4"/>
    <w:uiPriority w:val="9"/>
    <w:rsid w:val="006B087E"/>
    <w:rPr>
      <w:rFonts w:ascii="Times New Roman" w:eastAsia="Times New Roman" w:hAnsi="Times New Roman" w:cs="Times New Roman"/>
      <w:sz w:val="24"/>
      <w:szCs w:val="20"/>
    </w:rPr>
  </w:style>
  <w:style w:type="character" w:customStyle="1" w:styleId="Marker">
    <w:name w:val="Marker"/>
    <w:basedOn w:val="DefaultParagraphFont"/>
    <w:rsid w:val="00641A5B"/>
    <w:rPr>
      <w:color w:val="0000FF"/>
      <w:bdr w:val="none" w:sz="0" w:space="0" w:color="auto"/>
      <w:shd w:val="clear" w:color="auto" w:fill="auto"/>
    </w:rPr>
  </w:style>
  <w:style w:type="paragraph" w:customStyle="1" w:styleId="Pagedecouverture">
    <w:name w:val="Page de couverture"/>
    <w:basedOn w:val="Normal"/>
    <w:next w:val="Normal"/>
    <w:rsid w:val="006B087E"/>
    <w:pPr>
      <w:spacing w:after="0"/>
    </w:pPr>
  </w:style>
  <w:style w:type="paragraph" w:styleId="Header">
    <w:name w:val="header"/>
    <w:basedOn w:val="Normal"/>
    <w:link w:val="HeaderChar"/>
    <w:uiPriority w:val="99"/>
    <w:unhideWhenUsed/>
    <w:rsid w:val="006B087E"/>
    <w:pPr>
      <w:tabs>
        <w:tab w:val="center" w:pos="4535"/>
        <w:tab w:val="right" w:pos="9071"/>
      </w:tabs>
      <w:spacing w:after="120"/>
    </w:p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cs="Times New Roman"/>
      <w:sz w:val="24"/>
      <w:szCs w:val="24"/>
    </w:rPr>
  </w:style>
  <w:style w:type="paragraph" w:customStyle="1" w:styleId="HeaderCoverPage">
    <w:name w:val="Header Cover Page"/>
    <w:basedOn w:val="Normal"/>
    <w:link w:val="HeaderCoverPageChar"/>
    <w:rsid w:val="006B087E"/>
    <w:pPr>
      <w:numPr>
        <w:ilvl w:val="2"/>
        <w:numId w:val="29"/>
      </w:numPr>
      <w:tabs>
        <w:tab w:val="center" w:pos="4535"/>
        <w:tab w:val="right" w:pos="9071"/>
      </w:tabs>
      <w:spacing w:after="120"/>
      <w:ind w:left="0"/>
    </w:pPr>
  </w:style>
  <w:style w:type="character" w:customStyle="1" w:styleId="HeaderCoverPageChar">
    <w:name w:val="Header Cover Page Char"/>
    <w:basedOn w:val="DefaultParagraphFont"/>
    <w:link w:val="HeaderCoverPage"/>
    <w:rsid w:val="006B087E"/>
    <w:rPr>
      <w:rFonts w:ascii="Times New Roman" w:hAnsi="Times New Roman" w:cs="Times New Roman"/>
      <w:sz w:val="24"/>
      <w:szCs w:val="24"/>
    </w:rPr>
  </w:style>
  <w:style w:type="paragraph" w:customStyle="1" w:styleId="Text1">
    <w:name w:val="Text 1"/>
    <w:basedOn w:val="Normal"/>
    <w:uiPriority w:val="1"/>
    <w:qFormat/>
    <w:rsid w:val="006B087E"/>
    <w:pPr>
      <w:ind w:left="482"/>
    </w:pPr>
    <w:rPr>
      <w:rFonts w:eastAsia="Times New Roman"/>
      <w:szCs w:val="20"/>
    </w:rPr>
  </w:style>
  <w:style w:type="paragraph" w:customStyle="1" w:styleId="Text2">
    <w:name w:val="Text 2"/>
    <w:basedOn w:val="Normal"/>
    <w:rsid w:val="006B087E"/>
    <w:pPr>
      <w:tabs>
        <w:tab w:val="left" w:pos="2302"/>
      </w:tabs>
      <w:ind w:left="1202"/>
    </w:pPr>
    <w:rPr>
      <w:rFonts w:eastAsia="Times New Roman"/>
      <w:szCs w:val="20"/>
    </w:rPr>
  </w:style>
  <w:style w:type="paragraph" w:styleId="ListBullet">
    <w:name w:val="List Bullet"/>
    <w:aliases w:val="def. Aufzählungszeichen"/>
    <w:basedOn w:val="Normal"/>
    <w:qFormat/>
    <w:rsid w:val="006B087E"/>
    <w:pPr>
      <w:numPr>
        <w:numId w:val="20"/>
      </w:numPr>
    </w:pPr>
    <w:rPr>
      <w:rFonts w:eastAsia="Times New Roman"/>
      <w:szCs w:val="20"/>
    </w:rPr>
  </w:style>
  <w:style w:type="paragraph" w:customStyle="1" w:styleId="ListDash1">
    <w:name w:val="List Dash 1"/>
    <w:basedOn w:val="Text1"/>
    <w:rsid w:val="006B087E"/>
    <w:pPr>
      <w:tabs>
        <w:tab w:val="num" w:pos="765"/>
      </w:tabs>
      <w:ind w:left="765" w:hanging="283"/>
    </w:pPr>
  </w:style>
  <w:style w:type="table" w:styleId="TableGrid">
    <w:name w:val="Table Grid"/>
    <w:aliases w:val="Document Table,CV1,Tabellengitternetz,Gena,Deloitte,HTG"/>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4A0ACC"/>
    <w:pPr>
      <w:spacing w:after="480"/>
      <w:ind w:left="0" w:firstLine="0"/>
      <w:jc w:val="center"/>
    </w:pPr>
    <w:rPr>
      <w:rFonts w:ascii="Times New Roman Bold" w:hAnsi="Times New Roman Bold"/>
      <w:sz w:val="32"/>
    </w:rPr>
  </w:style>
  <w:style w:type="character" w:customStyle="1" w:styleId="AnnexTitleChar">
    <w:name w:val="Annex Title Char"/>
    <w:basedOn w:val="DefaultParagraphFont"/>
    <w:link w:val="AnnexTitle"/>
    <w:rsid w:val="004A0ACC"/>
    <w:rPr>
      <w:rFonts w:ascii="Times New Roman Bold" w:eastAsia="Times New Roman" w:hAnsi="Times New Roman Bold" w:cs="Times New Roman"/>
      <w:b/>
      <w:smallCaps/>
      <w:sz w:val="32"/>
      <w:szCs w:val="20"/>
    </w:rPr>
  </w:style>
  <w:style w:type="table" w:customStyle="1" w:styleId="CV11">
    <w:name w:val="CV11"/>
    <w:basedOn w:val="TableNormal"/>
    <w:next w:val="TableGrid"/>
    <w:uiPriority w:val="5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ind w:left="482" w:right="720" w:hanging="482"/>
    </w:pPr>
    <w:rPr>
      <w:rFonts w:eastAsia="Times New Roman"/>
      <w:caps/>
      <w:sz w:val="20"/>
      <w:szCs w:val="20"/>
    </w:rPr>
  </w:style>
  <w:style w:type="paragraph" w:styleId="TOC2">
    <w:name w:val="toc 2"/>
    <w:basedOn w:val="Normal"/>
    <w:next w:val="Normal"/>
    <w:uiPriority w:val="39"/>
    <w:rsid w:val="006B087E"/>
    <w:pPr>
      <w:tabs>
        <w:tab w:val="right" w:leader="dot" w:pos="8640"/>
      </w:tabs>
      <w:spacing w:before="60" w:after="60"/>
      <w:ind w:left="1077" w:right="720" w:hanging="595"/>
    </w:pPr>
    <w:rPr>
      <w:rFonts w:eastAsia="Times New Roman"/>
      <w:szCs w:val="20"/>
    </w:rPr>
  </w:style>
  <w:style w:type="paragraph" w:styleId="TOCHeading">
    <w:name w:val="TOC Heading"/>
    <w:basedOn w:val="Normal"/>
    <w:next w:val="Normal"/>
    <w:uiPriority w:val="39"/>
    <w:qFormat/>
    <w:rsid w:val="006B087E"/>
    <w:pPr>
      <w:keepNext/>
      <w:spacing w:before="240"/>
      <w:jc w:val="center"/>
    </w:pPr>
    <w:rPr>
      <w:rFonts w:eastAsia="Times New Roman"/>
      <w:b/>
      <w:szCs w:val="20"/>
    </w:rPr>
  </w:style>
  <w:style w:type="character" w:styleId="Hyperlink">
    <w:name w:val="Hyperlink"/>
    <w:aliases w:val=" Znak Znak Znak,Znak Znak Zna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pPr>
  </w:style>
  <w:style w:type="paragraph" w:customStyle="1" w:styleId="HeaderLandscape">
    <w:name w:val="HeaderLandscape"/>
    <w:basedOn w:val="Normal"/>
    <w:rsid w:val="006B087E"/>
    <w:pPr>
      <w:tabs>
        <w:tab w:val="center" w:pos="7285"/>
        <w:tab w:val="right" w:pos="14003"/>
      </w:tabs>
      <w:spacing w:after="120"/>
    </w:p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6B087E"/>
    <w:pPr>
      <w:spacing w:after="120"/>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szCs w:val="24"/>
    </w:rPr>
  </w:style>
  <w:style w:type="character" w:customStyle="1" w:styleId="Heading5Char">
    <w:name w:val="Heading 5 Char"/>
    <w:aliases w:val="Lev 5 Char"/>
    <w:basedOn w:val="DefaultParagraphFont"/>
    <w:link w:val="Heading5"/>
    <w:uiPriority w:val="9"/>
    <w:rsid w:val="0053316B"/>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
    <w:qFormat/>
    <w:rsid w:val="005331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3316B"/>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FB0D73"/>
    <w:pPr>
      <w:spacing w:after="0" w:line="240" w:lineRule="auto"/>
    </w:pPr>
    <w:rPr>
      <w:rFonts w:eastAsiaTheme="minorEastAsia"/>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FB0D7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FB0D73"/>
    <w:rPr>
      <w:rFonts w:ascii="Times New Roman" w:eastAsiaTheme="minorEastAsia" w:hAnsi="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FB0D73"/>
    <w:rPr>
      <w:vertAlign w:val="superscript"/>
    </w:rPr>
  </w:style>
  <w:style w:type="paragraph" w:customStyle="1" w:styleId="CharCharChar1">
    <w:name w:val="Char Char Char1"/>
    <w:basedOn w:val="Normal"/>
    <w:link w:val="FootnoteReference"/>
    <w:uiPriority w:val="99"/>
    <w:rsid w:val="00FB0D73"/>
    <w:pPr>
      <w:spacing w:after="160" w:line="240" w:lineRule="exact"/>
    </w:pPr>
    <w:rPr>
      <w:vertAlign w:val="superscript"/>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rsid w:val="00281573"/>
    <w:pPr>
      <w:ind w:left="720"/>
      <w:contextualSpacing/>
    </w:pPr>
  </w:style>
  <w:style w:type="character" w:styleId="CommentReference">
    <w:name w:val="annotation reference"/>
    <w:basedOn w:val="DefaultParagraphFont"/>
    <w:uiPriority w:val="99"/>
    <w:unhideWhenUsed/>
    <w:rsid w:val="002252CF"/>
    <w:rPr>
      <w:sz w:val="16"/>
      <w:szCs w:val="16"/>
    </w:rPr>
  </w:style>
  <w:style w:type="paragraph" w:styleId="CommentText">
    <w:name w:val="annotation text"/>
    <w:basedOn w:val="Normal"/>
    <w:link w:val="CommentTextChar"/>
    <w:uiPriority w:val="99"/>
    <w:unhideWhenUsed/>
    <w:rsid w:val="002252CF"/>
    <w:rPr>
      <w:sz w:val="20"/>
      <w:szCs w:val="20"/>
    </w:rPr>
  </w:style>
  <w:style w:type="character" w:customStyle="1" w:styleId="CommentTextChar">
    <w:name w:val="Comment Text Char"/>
    <w:basedOn w:val="DefaultParagraphFont"/>
    <w:link w:val="CommentText"/>
    <w:uiPriority w:val="99"/>
    <w:rsid w:val="002252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52CF"/>
    <w:rPr>
      <w:b/>
      <w:bCs/>
    </w:rPr>
  </w:style>
  <w:style w:type="character" w:customStyle="1" w:styleId="CommentSubjectChar">
    <w:name w:val="Comment Subject Char"/>
    <w:basedOn w:val="CommentTextChar"/>
    <w:link w:val="CommentSubject"/>
    <w:uiPriority w:val="99"/>
    <w:semiHidden/>
    <w:rsid w:val="002252CF"/>
    <w:rPr>
      <w:rFonts w:ascii="Times New Roman" w:hAnsi="Times New Roman" w:cs="Times New Roman"/>
      <w:b/>
      <w:bCs/>
      <w:sz w:val="20"/>
      <w:szCs w:val="20"/>
    </w:rPr>
  </w:style>
  <w:style w:type="paragraph" w:styleId="Revision">
    <w:name w:val="Revision"/>
    <w:hidden/>
    <w:uiPriority w:val="99"/>
    <w:semiHidden/>
    <w:rsid w:val="002252CF"/>
    <w:pPr>
      <w:numPr>
        <w:numId w:val="97"/>
      </w:numPr>
      <w:spacing w:after="0" w:line="240" w:lineRule="auto"/>
    </w:pPr>
    <w:rPr>
      <w:rFonts w:ascii="Times New Roman" w:hAnsi="Times New Roman" w:cs="Times New Roman"/>
      <w:sz w:val="24"/>
      <w:szCs w:val="24"/>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sid w:val="004623DA"/>
    <w:rPr>
      <w:rFonts w:ascii="Times New Roman" w:hAnsi="Times New Roman" w:cs="Times New Roman"/>
      <w:sz w:val="24"/>
      <w:szCs w:val="24"/>
    </w:rPr>
  </w:style>
  <w:style w:type="paragraph" w:customStyle="1" w:styleId="Default">
    <w:name w:val="Default"/>
    <w:rsid w:val="004623DA"/>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GridTable5Dark-Accent1">
    <w:name w:val="Grid Table 5 Dark Accent 1"/>
    <w:basedOn w:val="TableNormal"/>
    <w:uiPriority w:val="50"/>
    <w:rsid w:val="004623DA"/>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AEATableStyle811">
    <w:name w:val="AEA Table Style811"/>
    <w:basedOn w:val="TableNormal"/>
    <w:uiPriority w:val="99"/>
    <w:qFormat/>
    <w:rsid w:val="004623DA"/>
    <w:pPr>
      <w:spacing w:before="20" w:after="20" w:line="240" w:lineRule="auto"/>
    </w:pPr>
    <w:rPr>
      <w:rFonts w:ascii="Arial" w:eastAsia="Times New Roman" w:hAnsi="Arial" w:cs="Times New Roman"/>
      <w:sz w:val="20"/>
      <w:szCs w:val="20"/>
      <w:lang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742953AF"/>
    <w:pPr>
      <w:spacing w:after="160"/>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C17A06"/>
    <w:pPr>
      <w:spacing w:after="0"/>
    </w:pPr>
    <w:rPr>
      <w:rFonts w:eastAsia="Times New Roman"/>
      <w:sz w:val="20"/>
      <w:szCs w:val="20"/>
      <w:vertAlign w:val="superscript"/>
      <w:lang w:val="nl-BE" w:eastAsia="nl-BE"/>
    </w:rPr>
  </w:style>
  <w:style w:type="character" w:styleId="FollowedHyperlink">
    <w:name w:val="FollowedHyperlink"/>
    <w:basedOn w:val="DefaultParagraphFont"/>
    <w:uiPriority w:val="99"/>
    <w:semiHidden/>
    <w:unhideWhenUsed/>
    <w:rsid w:val="00665AB7"/>
    <w:rPr>
      <w:color w:val="800080" w:themeColor="followedHyperlink"/>
      <w:u w:val="single"/>
    </w:rPr>
  </w:style>
  <w:style w:type="character" w:customStyle="1" w:styleId="Mention1">
    <w:name w:val="Mention1"/>
    <w:basedOn w:val="DefaultParagraphFont"/>
    <w:uiPriority w:val="99"/>
    <w:unhideWhenUsed/>
    <w:rsid w:val="0030470F"/>
    <w:rPr>
      <w:color w:val="2B579A"/>
      <w:shd w:val="clear" w:color="auto" w:fill="E6E6E6"/>
    </w:rPr>
  </w:style>
  <w:style w:type="character" w:customStyle="1" w:styleId="UnresolvedMention1">
    <w:name w:val="Unresolved Mention1"/>
    <w:basedOn w:val="DefaultParagraphFont"/>
    <w:uiPriority w:val="99"/>
    <w:unhideWhenUsed/>
    <w:rsid w:val="0030470F"/>
    <w:rPr>
      <w:color w:val="605E5C"/>
      <w:shd w:val="clear" w:color="auto" w:fill="E1DFDD"/>
    </w:rPr>
  </w:style>
  <w:style w:type="character" w:customStyle="1" w:styleId="Mention2">
    <w:name w:val="Mention2"/>
    <w:basedOn w:val="DefaultParagraphFont"/>
    <w:uiPriority w:val="99"/>
    <w:unhideWhenUsed/>
    <w:rPr>
      <w:color w:val="2B579A"/>
      <w:shd w:val="clear" w:color="auto" w:fill="E6E6E6"/>
    </w:rPr>
  </w:style>
  <w:style w:type="character" w:customStyle="1" w:styleId="normaltextrun">
    <w:name w:val="normaltextrun"/>
    <w:basedOn w:val="DefaultParagraphFont"/>
    <w:rsid w:val="00F1528D"/>
  </w:style>
  <w:style w:type="character" w:customStyle="1" w:styleId="UnresolvedMention2">
    <w:name w:val="Unresolved Mention2"/>
    <w:basedOn w:val="DefaultParagraphFont"/>
    <w:uiPriority w:val="99"/>
    <w:unhideWhenUsed/>
    <w:rsid w:val="009C07F2"/>
    <w:rPr>
      <w:color w:val="605E5C"/>
      <w:shd w:val="clear" w:color="auto" w:fill="E1DFDD"/>
    </w:rPr>
  </w:style>
  <w:style w:type="paragraph" w:customStyle="1" w:styleId="WDBody">
    <w:name w:val="WD Body"/>
    <w:aliases w:val="Body,AFW Body,Normal Arial,AFW Memo Body,AFW Mins,NuGen Body Numbered,AMEC Body,Body (IACC),NG Body Numbered,Infin Body Numbered,Vat Body Numbered,Body (DIO PSP),38058 11pt Body,AFW Capability Body 9pt,AFW Profile Body 9pt,36380  Body,WD Mins"/>
    <w:link w:val="AFWBodyChar"/>
    <w:qFormat/>
    <w:rsid w:val="00AF674F"/>
    <w:pPr>
      <w:spacing w:after="160" w:line="240" w:lineRule="atLeast"/>
    </w:pPr>
    <w:rPr>
      <w:rFonts w:ascii="Segoe UI" w:hAnsi="Segoe UI"/>
      <w:color w:val="000000"/>
      <w:sz w:val="20"/>
    </w:rPr>
  </w:style>
  <w:style w:type="character" w:customStyle="1" w:styleId="AFWBodyChar">
    <w:name w:val="AFW Body Char"/>
    <w:aliases w:val="Body Char"/>
    <w:link w:val="WDBody"/>
    <w:locked/>
    <w:rsid w:val="00AF674F"/>
    <w:rPr>
      <w:rFonts w:ascii="Segoe UI" w:hAnsi="Segoe UI"/>
      <w:color w:val="000000"/>
      <w:sz w:val="20"/>
    </w:rPr>
  </w:style>
  <w:style w:type="table" w:styleId="ListTable3-Accent2">
    <w:name w:val="List Table 3 Accent 2"/>
    <w:basedOn w:val="TableNormal"/>
    <w:uiPriority w:val="48"/>
    <w:rsid w:val="00CD34B2"/>
    <w:pPr>
      <w:spacing w:after="0" w:line="240" w:lineRule="auto"/>
    </w:pPr>
    <w:tblPr>
      <w:tblStyleRowBandSize w:val="1"/>
      <w:tblStyleColBandSize w:val="1"/>
      <w:tblInd w:w="0" w:type="nil"/>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Mention3">
    <w:name w:val="Mention3"/>
    <w:basedOn w:val="DefaultParagraphFont"/>
    <w:uiPriority w:val="99"/>
    <w:unhideWhenUsed/>
    <w:rsid w:val="00B31804"/>
    <w:rPr>
      <w:color w:val="2B579A"/>
      <w:shd w:val="clear" w:color="auto" w:fill="E6E6E6"/>
    </w:rPr>
  </w:style>
  <w:style w:type="paragraph" w:styleId="Caption">
    <w:name w:val="caption"/>
    <w:aliases w:val="Caption (RMC),Caption-tables,Tasks,Beschriftung Char2,Beschriftung Char1 Char1,Beschriftung Char Char Char1,Beschriftung Char1 Char Char,Beschriftung Char Char Char Char,Beschriftung Char Char1 Char,Beschriftung Char Char2,Eco,Legend,Tabelkop,Ta"/>
    <w:basedOn w:val="Normal"/>
    <w:next w:val="Normal"/>
    <w:link w:val="CaptionChar"/>
    <w:uiPriority w:val="35"/>
    <w:unhideWhenUsed/>
    <w:qFormat/>
    <w:rsid w:val="00EB0049"/>
    <w:pPr>
      <w:spacing w:after="200"/>
    </w:pPr>
    <w:rPr>
      <w:i/>
      <w:iCs/>
      <w:color w:val="1F497D" w:themeColor="text2"/>
      <w:sz w:val="18"/>
      <w:szCs w:val="18"/>
    </w:rPr>
  </w:style>
  <w:style w:type="character" w:customStyle="1" w:styleId="findhit">
    <w:name w:val="findhit"/>
    <w:basedOn w:val="DefaultParagraphFont"/>
    <w:rsid w:val="00AD03C8"/>
  </w:style>
  <w:style w:type="character" w:customStyle="1" w:styleId="eop">
    <w:name w:val="eop"/>
    <w:basedOn w:val="DefaultParagraphFont"/>
    <w:rsid w:val="00AD03C8"/>
  </w:style>
  <w:style w:type="character" w:customStyle="1" w:styleId="UnresolvedMention3">
    <w:name w:val="Unresolved Mention3"/>
    <w:basedOn w:val="DefaultParagraphFont"/>
    <w:uiPriority w:val="99"/>
    <w:unhideWhenUsed/>
    <w:rsid w:val="00B31804"/>
    <w:rPr>
      <w:color w:val="605E5C"/>
      <w:shd w:val="clear" w:color="auto" w:fill="E1DFDD"/>
    </w:rPr>
  </w:style>
  <w:style w:type="character" w:customStyle="1" w:styleId="CaptionChar">
    <w:name w:val="Caption Char"/>
    <w:aliases w:val="Caption (RMC) Char,Caption-tables Char,Tasks Char,Beschriftung Char2 Char,Beschriftung Char1 Char1 Char,Beschriftung Char Char Char1 Char,Beschriftung Char1 Char Char Char,Beschriftung Char Char Char Char Char,Beschriftung Char Char2 Char"/>
    <w:link w:val="Caption"/>
    <w:uiPriority w:val="35"/>
    <w:qFormat/>
    <w:locked/>
    <w:rsid w:val="00026378"/>
    <w:rPr>
      <w:rFonts w:ascii="Times New Roman" w:hAnsi="Times New Roman" w:cs="Times New Roman"/>
      <w:i/>
      <w:iCs/>
      <w:color w:val="1F497D" w:themeColor="text2"/>
      <w:sz w:val="18"/>
      <w:szCs w:val="18"/>
    </w:rPr>
  </w:style>
  <w:style w:type="paragraph" w:customStyle="1" w:styleId="TextRMC">
    <w:name w:val="Text (RMC)"/>
    <w:link w:val="TextRMCChar"/>
    <w:qFormat/>
    <w:rsid w:val="00026378"/>
    <w:pPr>
      <w:spacing w:before="120" w:after="120" w:line="288" w:lineRule="auto"/>
      <w:jc w:val="both"/>
    </w:pPr>
    <w:rPr>
      <w:rFonts w:ascii="Verdana" w:hAnsi="Verdana"/>
      <w:sz w:val="18"/>
      <w:szCs w:val="18"/>
    </w:rPr>
  </w:style>
  <w:style w:type="character" w:customStyle="1" w:styleId="Highlight1RMCChar">
    <w:name w:val="Highlight 1 (RMC) Char"/>
    <w:basedOn w:val="DefaultParagraphFont"/>
    <w:link w:val="Highlight1RMC"/>
    <w:locked/>
    <w:rsid w:val="00026378"/>
    <w:rPr>
      <w:rFonts w:ascii="Times New Roman" w:eastAsia="Times New Roman" w:hAnsi="Times New Roman" w:cs="Times New Roman"/>
      <w:b/>
      <w:color w:val="009DF0"/>
      <w:szCs w:val="17"/>
      <w:lang w:eastAsia="da-DK"/>
    </w:rPr>
  </w:style>
  <w:style w:type="paragraph" w:customStyle="1" w:styleId="Highlight1RMC">
    <w:name w:val="Highlight 1 (RMC)"/>
    <w:next w:val="TextRMC"/>
    <w:link w:val="Highlight1RMCChar"/>
    <w:qFormat/>
    <w:rsid w:val="00026378"/>
    <w:pPr>
      <w:keepNext/>
      <w:spacing w:before="360" w:after="0" w:line="288" w:lineRule="auto"/>
      <w:jc w:val="both"/>
    </w:pPr>
    <w:rPr>
      <w:rFonts w:ascii="Times New Roman" w:eastAsia="Times New Roman" w:hAnsi="Times New Roman" w:cs="Times New Roman"/>
      <w:b/>
      <w:color w:val="009DF0"/>
      <w:szCs w:val="17"/>
      <w:lang w:eastAsia="da-DK"/>
    </w:rPr>
  </w:style>
  <w:style w:type="character" w:customStyle="1" w:styleId="TextRMCChar">
    <w:name w:val="Text (RMC) Char"/>
    <w:basedOn w:val="DefaultParagraphFont"/>
    <w:link w:val="TextRMC"/>
    <w:qFormat/>
    <w:locked/>
    <w:rsid w:val="00026378"/>
    <w:rPr>
      <w:rFonts w:ascii="Verdana" w:hAnsi="Verdana"/>
      <w:sz w:val="18"/>
      <w:szCs w:val="18"/>
    </w:rPr>
  </w:style>
  <w:style w:type="character" w:customStyle="1" w:styleId="Highlight2RMCChar">
    <w:name w:val="Highlight 2 (RMC) Char"/>
    <w:basedOn w:val="DefaultParagraphFont"/>
    <w:link w:val="Highlight2RMC"/>
    <w:locked/>
    <w:rsid w:val="00026378"/>
    <w:rPr>
      <w:b/>
      <w:i/>
      <w:sz w:val="17"/>
    </w:rPr>
  </w:style>
  <w:style w:type="paragraph" w:customStyle="1" w:styleId="Highlight2RMC">
    <w:name w:val="Highlight 2 (RMC)"/>
    <w:next w:val="TextRMC"/>
    <w:link w:val="Highlight2RMCChar"/>
    <w:qFormat/>
    <w:rsid w:val="00026378"/>
    <w:pPr>
      <w:keepNext/>
      <w:spacing w:before="240" w:after="0" w:line="288" w:lineRule="auto"/>
    </w:pPr>
    <w:rPr>
      <w:b/>
      <w:i/>
      <w:sz w:val="17"/>
    </w:rPr>
  </w:style>
  <w:style w:type="character" w:customStyle="1" w:styleId="Heading6Char">
    <w:name w:val="Heading 6 Char"/>
    <w:aliases w:val="Lev 6 Char"/>
    <w:basedOn w:val="DefaultParagraphFont"/>
    <w:link w:val="Heading6"/>
    <w:uiPriority w:val="9"/>
    <w:rsid w:val="008E0762"/>
    <w:rPr>
      <w:rFonts w:ascii="Segoe UI" w:eastAsiaTheme="majorEastAsia" w:hAnsi="Segoe UI" w:cstheme="majorBidi"/>
      <w:i/>
      <w:iCs/>
      <w:color w:val="8064A2" w:themeColor="accent4"/>
      <w:sz w:val="20"/>
      <w:szCs w:val="26"/>
    </w:rPr>
  </w:style>
  <w:style w:type="character" w:customStyle="1" w:styleId="Heading7Char">
    <w:name w:val="Heading 7 Char"/>
    <w:basedOn w:val="DefaultParagraphFont"/>
    <w:link w:val="Heading7"/>
    <w:uiPriority w:val="9"/>
    <w:rsid w:val="008E07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E076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E0762"/>
    <w:rPr>
      <w:rFonts w:asciiTheme="majorHAnsi" w:eastAsiaTheme="majorEastAsia" w:hAnsiTheme="majorHAnsi" w:cstheme="majorBidi"/>
      <w:i/>
      <w:iCs/>
      <w:color w:val="404040" w:themeColor="text1" w:themeTint="BF"/>
      <w:sz w:val="20"/>
      <w:szCs w:val="20"/>
    </w:rPr>
  </w:style>
  <w:style w:type="numbering" w:customStyle="1" w:styleId="AMECHeadings">
    <w:name w:val="AMEC_Headings"/>
    <w:uiPriority w:val="99"/>
    <w:rsid w:val="008E0762"/>
    <w:pPr>
      <w:numPr>
        <w:numId w:val="26"/>
      </w:numPr>
    </w:pPr>
  </w:style>
  <w:style w:type="paragraph" w:customStyle="1" w:styleId="WDBodyNumbered">
    <w:name w:val="WD Body Numbered"/>
    <w:aliases w:val="Paranums"/>
    <w:basedOn w:val="WDBody"/>
    <w:qFormat/>
    <w:rsid w:val="008E0762"/>
    <w:pPr>
      <w:ind w:left="1224" w:hanging="504"/>
    </w:pPr>
  </w:style>
  <w:style w:type="paragraph" w:customStyle="1" w:styleId="WDBullets">
    <w:name w:val="WD Bullets"/>
    <w:aliases w:val="Bullets 1,AFW Bullets,AFW Memo Bullets,WD Bullet Ps,AFW Bullet Ps"/>
    <w:basedOn w:val="WDBody"/>
    <w:qFormat/>
    <w:rsid w:val="008E0762"/>
    <w:pPr>
      <w:ind w:left="1760" w:hanging="360"/>
    </w:pPr>
  </w:style>
  <w:style w:type="paragraph" w:customStyle="1" w:styleId="WDBullets2">
    <w:name w:val="WD Bullets 2"/>
    <w:aliases w:val="Bullets 2,AFW Bullets 2,AFW Bullets (second level)"/>
    <w:basedOn w:val="WDBullets"/>
    <w:qFormat/>
    <w:rsid w:val="00F302A9"/>
    <w:pPr>
      <w:tabs>
        <w:tab w:val="num" w:pos="360"/>
      </w:tabs>
      <w:ind w:left="720"/>
    </w:pPr>
  </w:style>
  <w:style w:type="paragraph" w:customStyle="1" w:styleId="WDRoman">
    <w:name w:val="WD Roman"/>
    <w:aliases w:val="Roman"/>
    <w:basedOn w:val="WDBullets"/>
    <w:qFormat/>
    <w:rsid w:val="00F302A9"/>
    <w:pPr>
      <w:numPr>
        <w:numId w:val="26"/>
      </w:numPr>
      <w:tabs>
        <w:tab w:val="num" w:pos="360"/>
      </w:tabs>
    </w:pPr>
  </w:style>
  <w:style w:type="paragraph" w:customStyle="1" w:styleId="WDIntro">
    <w:name w:val="WD Intro"/>
    <w:aliases w:val="Intro"/>
    <w:basedOn w:val="WDBody"/>
    <w:next w:val="WDBody"/>
    <w:qFormat/>
    <w:rsid w:val="008E0762"/>
    <w:pPr>
      <w:spacing w:after="240" w:line="320" w:lineRule="atLeast"/>
    </w:pPr>
    <w:rPr>
      <w:color w:val="2DBDB6"/>
      <w:sz w:val="24"/>
    </w:rPr>
  </w:style>
  <w:style w:type="paragraph" w:customStyle="1" w:styleId="WDTable">
    <w:name w:val="WD Table"/>
    <w:aliases w:val="Table Content,AFW Table"/>
    <w:basedOn w:val="WDBody"/>
    <w:qFormat/>
    <w:rsid w:val="008E0762"/>
    <w:pPr>
      <w:spacing w:after="0" w:line="240" w:lineRule="auto"/>
    </w:pPr>
    <w:rPr>
      <w:sz w:val="16"/>
    </w:rPr>
  </w:style>
  <w:style w:type="table" w:customStyle="1" w:styleId="WoodEISUKReportTable">
    <w:name w:val="Wood E&amp;IS UK Report Table"/>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WDTableTitle">
    <w:name w:val="WD Table Title"/>
    <w:basedOn w:val="Heading4"/>
    <w:rsid w:val="008E0762"/>
    <w:pPr>
      <w:keepLines/>
      <w:tabs>
        <w:tab w:val="clear" w:pos="1920"/>
        <w:tab w:val="left" w:pos="1134"/>
      </w:tabs>
      <w:spacing w:before="360" w:after="160"/>
      <w:ind w:left="0" w:firstLine="0"/>
      <w:jc w:val="left"/>
    </w:pPr>
    <w:rPr>
      <w:rFonts w:ascii="Segoe UI" w:hAnsi="Segoe UI" w:cstheme="majorBidi"/>
      <w:iCs/>
      <w:color w:val="884C91"/>
      <w:sz w:val="20"/>
      <w:szCs w:val="26"/>
      <w:lang w:eastAsia="en-GB"/>
    </w:rPr>
  </w:style>
  <w:style w:type="table" w:styleId="LightList-Accent2">
    <w:name w:val="Light List Accent 2"/>
    <w:basedOn w:val="TableNormal"/>
    <w:uiPriority w:val="61"/>
    <w:rsid w:val="008E07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WDFigureTitle">
    <w:name w:val="WD Figure Title"/>
    <w:basedOn w:val="WDTableTitle"/>
    <w:next w:val="WDBody"/>
    <w:rsid w:val="008E0762"/>
  </w:style>
  <w:style w:type="paragraph" w:customStyle="1" w:styleId="WDBodySmall">
    <w:name w:val="WD Body Small"/>
    <w:aliases w:val="Body Small,AFW Body Small"/>
    <w:basedOn w:val="WDBody"/>
    <w:qFormat/>
    <w:rsid w:val="008E0762"/>
    <w:pPr>
      <w:spacing w:after="0" w:line="240" w:lineRule="auto"/>
    </w:pPr>
    <w:rPr>
      <w:sz w:val="16"/>
    </w:rPr>
  </w:style>
  <w:style w:type="paragraph" w:customStyle="1" w:styleId="WDReleaseHeadings">
    <w:name w:val="WD Release Headings"/>
    <w:basedOn w:val="WDBody"/>
    <w:next w:val="WDBodySmall"/>
    <w:rsid w:val="008E0762"/>
    <w:pPr>
      <w:pBdr>
        <w:top w:val="single" w:sz="2" w:space="1" w:color="000000" w:themeColor="text1"/>
      </w:pBdr>
      <w:spacing w:before="480" w:after="80" w:line="240" w:lineRule="auto"/>
    </w:pPr>
    <w:rPr>
      <w:b/>
      <w:color w:val="1F497D" w:themeColor="text2"/>
    </w:rPr>
  </w:style>
  <w:style w:type="paragraph" w:customStyle="1" w:styleId="Heading1NoNumber">
    <w:name w:val="Heading 1 No Number"/>
    <w:next w:val="WDBody"/>
    <w:rsid w:val="008E0762"/>
    <w:pPr>
      <w:pageBreakBefore/>
      <w:spacing w:after="480" w:line="240" w:lineRule="auto"/>
    </w:pPr>
    <w:rPr>
      <w:rFonts w:ascii="Segoe UI" w:eastAsiaTheme="majorEastAsia" w:hAnsi="Segoe UI" w:cstheme="majorBidi"/>
      <w:b/>
      <w:bCs/>
      <w:color w:val="884C91"/>
      <w:sz w:val="40"/>
      <w:szCs w:val="28"/>
    </w:rPr>
  </w:style>
  <w:style w:type="paragraph" w:styleId="TOC3">
    <w:name w:val="toc 3"/>
    <w:basedOn w:val="WDBody"/>
    <w:next w:val="WDBody"/>
    <w:autoRedefine/>
    <w:uiPriority w:val="39"/>
    <w:unhideWhenUsed/>
    <w:rsid w:val="0070741A"/>
    <w:pPr>
      <w:tabs>
        <w:tab w:val="right" w:leader="dot" w:pos="8647"/>
        <w:tab w:val="right" w:pos="9639"/>
      </w:tabs>
      <w:spacing w:after="0" w:line="240" w:lineRule="auto"/>
      <w:ind w:left="1134" w:right="965"/>
    </w:pPr>
    <w:rPr>
      <w:sz w:val="16"/>
    </w:rPr>
  </w:style>
  <w:style w:type="paragraph" w:customStyle="1" w:styleId="WDAppendixTitle">
    <w:name w:val="WD Appendix Title"/>
    <w:basedOn w:val="WDBody"/>
    <w:next w:val="WDBody"/>
    <w:rsid w:val="008E0762"/>
    <w:pPr>
      <w:keepNext/>
      <w:pageBreakBefore/>
      <w:tabs>
        <w:tab w:val="num" w:pos="360"/>
      </w:tabs>
      <w:spacing w:after="520" w:line="240" w:lineRule="auto"/>
      <w:ind w:left="360" w:hanging="360"/>
      <w:outlineLvl w:val="0"/>
    </w:pPr>
    <w:rPr>
      <w:rFonts w:eastAsia="Times New Roman" w:cs="Arial"/>
      <w:b/>
      <w:bCs/>
      <w:color w:val="884C91"/>
      <w:kern w:val="32"/>
      <w:sz w:val="40"/>
      <w:szCs w:val="40"/>
      <w:lang w:eastAsia="en-GB"/>
    </w:rPr>
  </w:style>
  <w:style w:type="paragraph" w:customStyle="1" w:styleId="WDCoverDate">
    <w:name w:val="WD Cover Date"/>
    <w:basedOn w:val="Normal"/>
    <w:rsid w:val="008E0762"/>
    <w:pPr>
      <w:spacing w:after="0"/>
      <w:jc w:val="left"/>
    </w:pPr>
    <w:rPr>
      <w:rFonts w:ascii="Segoe UI" w:hAnsi="Segoe UI" w:cstheme="minorBidi"/>
      <w:color w:val="393C71"/>
      <w:sz w:val="20"/>
      <w:szCs w:val="22"/>
    </w:rPr>
  </w:style>
  <w:style w:type="paragraph" w:customStyle="1" w:styleId="WDCoverClient">
    <w:name w:val="WD Cover Client"/>
    <w:basedOn w:val="WDBody"/>
    <w:next w:val="WDCoverProject"/>
    <w:rsid w:val="008E0762"/>
    <w:pPr>
      <w:spacing w:after="240" w:line="240" w:lineRule="auto"/>
    </w:pPr>
    <w:rPr>
      <w:color w:val="233845"/>
      <w:sz w:val="28"/>
    </w:rPr>
  </w:style>
  <w:style w:type="paragraph" w:customStyle="1" w:styleId="WDCoverProject">
    <w:name w:val="WD Cover Project"/>
    <w:basedOn w:val="WDBody"/>
    <w:next w:val="WDDocTitle"/>
    <w:rsid w:val="008E0762"/>
    <w:pPr>
      <w:spacing w:after="240" w:line="240" w:lineRule="auto"/>
    </w:pPr>
    <w:rPr>
      <w:b/>
      <w:color w:val="1F497D" w:themeColor="text2"/>
      <w:sz w:val="40"/>
      <w:szCs w:val="40"/>
    </w:rPr>
  </w:style>
  <w:style w:type="paragraph" w:customStyle="1" w:styleId="WDDocTitle">
    <w:name w:val="WD Doc Title"/>
    <w:basedOn w:val="WDBody"/>
    <w:next w:val="WDBody"/>
    <w:rsid w:val="008E0762"/>
    <w:pPr>
      <w:spacing w:line="240" w:lineRule="auto"/>
      <w:ind w:left="5670"/>
    </w:pPr>
    <w:rPr>
      <w:color w:val="233845"/>
      <w:sz w:val="28"/>
    </w:rPr>
  </w:style>
  <w:style w:type="paragraph" w:styleId="TableofFigures">
    <w:name w:val="table of figures"/>
    <w:basedOn w:val="WDBody"/>
    <w:next w:val="Normal"/>
    <w:uiPriority w:val="99"/>
    <w:unhideWhenUsed/>
    <w:rsid w:val="008E0762"/>
    <w:pPr>
      <w:tabs>
        <w:tab w:val="left" w:pos="1985"/>
        <w:tab w:val="right" w:pos="9639"/>
      </w:tabs>
      <w:spacing w:after="0" w:line="240" w:lineRule="auto"/>
      <w:ind w:left="851"/>
    </w:pPr>
    <w:rPr>
      <w:sz w:val="16"/>
    </w:rPr>
  </w:style>
  <w:style w:type="character" w:styleId="PageNumber">
    <w:name w:val="page number"/>
    <w:basedOn w:val="DefaultParagraphFont"/>
    <w:rsid w:val="008E0762"/>
    <w:rPr>
      <w:rFonts w:ascii="Segoe UI" w:hAnsi="Segoe UI"/>
      <w:b/>
      <w:color w:val="FFFFFF" w:themeColor="background1"/>
      <w:sz w:val="20"/>
    </w:rPr>
  </w:style>
  <w:style w:type="paragraph" w:customStyle="1" w:styleId="WDDocRef">
    <w:name w:val="WD Doc Ref"/>
    <w:basedOn w:val="WDBodySmall"/>
    <w:rsid w:val="008E0762"/>
  </w:style>
  <w:style w:type="table" w:styleId="TableGridLight">
    <w:name w:val="Grid Table Light"/>
    <w:aliases w:val="Wood E&amp;IS UK Table Simple"/>
    <w:basedOn w:val="TableNormal"/>
    <w:uiPriority w:val="40"/>
    <w:rsid w:val="008E0762"/>
    <w:pPr>
      <w:spacing w:after="0" w:line="240" w:lineRule="auto"/>
    </w:p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paragraph" w:customStyle="1" w:styleId="WDBiblioTitle">
    <w:name w:val="WD Biblio Title"/>
    <w:rsid w:val="008E0762"/>
    <w:pPr>
      <w:spacing w:after="520" w:line="240" w:lineRule="auto"/>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8E0762"/>
  </w:style>
  <w:style w:type="character" w:styleId="Emphasis">
    <w:name w:val="Emphasis"/>
    <w:basedOn w:val="DefaultParagraphFont"/>
    <w:uiPriority w:val="20"/>
    <w:qFormat/>
    <w:rsid w:val="008E0762"/>
    <w:rPr>
      <w:i/>
      <w:iCs/>
    </w:rPr>
  </w:style>
  <w:style w:type="paragraph" w:customStyle="1" w:styleId="WDBiblioSubtitle">
    <w:name w:val="WD Biblio Subtitle"/>
    <w:rsid w:val="008E0762"/>
    <w:pPr>
      <w:spacing w:before="360" w:after="120" w:line="240" w:lineRule="auto"/>
    </w:pPr>
    <w:rPr>
      <w:rFonts w:ascii="Segoe UI" w:eastAsiaTheme="majorEastAsia" w:hAnsi="Segoe UI" w:cstheme="majorBidi"/>
      <w:b/>
      <w:bCs/>
      <w:color w:val="884C91"/>
      <w:szCs w:val="26"/>
    </w:rPr>
  </w:style>
  <w:style w:type="paragraph" w:customStyle="1" w:styleId="AFWReleaseHeadings">
    <w:name w:val="AFW Release Headings"/>
    <w:basedOn w:val="Normal"/>
    <w:next w:val="WDBodySmall"/>
    <w:rsid w:val="008E0762"/>
    <w:pPr>
      <w:pBdr>
        <w:top w:val="single" w:sz="6" w:space="1" w:color="C0504D" w:themeColor="accent2"/>
      </w:pBdr>
      <w:spacing w:before="480" w:after="80"/>
      <w:jc w:val="left"/>
    </w:pPr>
    <w:rPr>
      <w:rFonts w:ascii="Arial" w:hAnsi="Arial" w:cstheme="minorBidi"/>
      <w:color w:val="1F497D" w:themeColor="text2"/>
      <w:sz w:val="20"/>
      <w:szCs w:val="22"/>
    </w:rPr>
  </w:style>
  <w:style w:type="table" w:styleId="PlainTable1">
    <w:name w:val="Plain Table 1"/>
    <w:basedOn w:val="TableNormal"/>
    <w:uiPriority w:val="41"/>
    <w:rsid w:val="008E07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
    <w:name w:val="Table 1"/>
    <w:basedOn w:val="TableNormal"/>
    <w:uiPriority w:val="5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11">
    <w:name w:val="Table 1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sz w:val="16"/>
      </w:rPr>
      <w:tblPr/>
      <w:tcPr>
        <w:shd w:val="clear" w:color="auto" w:fill="005962"/>
      </w:tcPr>
    </w:tblStylePr>
    <w:tblStylePr w:type="firstCol">
      <w:pPr>
        <w:wordWrap/>
        <w:jc w:val="left"/>
        <w:outlineLvl w:val="9"/>
      </w:pPr>
    </w:tblStylePr>
  </w:style>
  <w:style w:type="paragraph" w:customStyle="1" w:styleId="Table-ContentsCT">
    <w:name w:val="Table - Contents (CT)"/>
    <w:link w:val="Table-ContentsCTChar"/>
    <w:qFormat/>
    <w:rsid w:val="008E0762"/>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sid w:val="008E0762"/>
    <w:rPr>
      <w:rFonts w:ascii="Arial" w:eastAsia="Times New Roman" w:hAnsi="Arial" w:cs="Times New Roman"/>
      <w:sz w:val="16"/>
      <w:szCs w:val="20"/>
    </w:rPr>
  </w:style>
  <w:style w:type="table" w:customStyle="1" w:styleId="TableGridLight31">
    <w:name w:val="Table Grid Light31"/>
    <w:basedOn w:val="TableNormal"/>
    <w:uiPriority w:val="40"/>
    <w:rsid w:val="008E07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
    <w:name w:val="Amec Foster Wheeler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C0504D" w:themeColor="accent2"/>
          <w:left w:val="nil"/>
          <w:bottom w:val="single" w:sz="4" w:space="0" w:color="C0504D"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styleId="TOC4">
    <w:name w:val="toc 4"/>
    <w:basedOn w:val="Normal"/>
    <w:next w:val="Normal"/>
    <w:autoRedefine/>
    <w:uiPriority w:val="39"/>
    <w:unhideWhenUsed/>
    <w:rsid w:val="00AB58D1"/>
    <w:pPr>
      <w:tabs>
        <w:tab w:val="left" w:pos="1760"/>
        <w:tab w:val="right" w:leader="dot" w:pos="9602"/>
      </w:tabs>
      <w:spacing w:after="100" w:line="259" w:lineRule="auto"/>
      <w:ind w:left="660"/>
      <w:jc w:val="left"/>
    </w:pPr>
    <w:rPr>
      <w:rFonts w:asciiTheme="minorHAnsi" w:eastAsiaTheme="minorEastAsia" w:hAnsiTheme="minorHAnsi" w:cstheme="minorBidi"/>
      <w:sz w:val="22"/>
      <w:szCs w:val="22"/>
      <w:lang w:val="en-US" w:eastAsia="ja-JP"/>
    </w:rPr>
  </w:style>
  <w:style w:type="paragraph" w:styleId="TOC5">
    <w:name w:val="toc 5"/>
    <w:basedOn w:val="Normal"/>
    <w:next w:val="Normal"/>
    <w:autoRedefine/>
    <w:uiPriority w:val="39"/>
    <w:unhideWhenUsed/>
    <w:rsid w:val="008E0762"/>
    <w:pPr>
      <w:spacing w:after="100" w:line="259" w:lineRule="auto"/>
      <w:ind w:left="880"/>
      <w:jc w:val="left"/>
    </w:pPr>
    <w:rPr>
      <w:rFonts w:asciiTheme="minorHAnsi" w:eastAsiaTheme="minorEastAsia" w:hAnsiTheme="minorHAnsi" w:cstheme="minorBidi"/>
      <w:sz w:val="22"/>
      <w:szCs w:val="22"/>
      <w:lang w:val="en-US" w:eastAsia="ja-JP"/>
    </w:rPr>
  </w:style>
  <w:style w:type="paragraph" w:styleId="TOC6">
    <w:name w:val="toc 6"/>
    <w:basedOn w:val="Normal"/>
    <w:next w:val="Normal"/>
    <w:autoRedefine/>
    <w:uiPriority w:val="39"/>
    <w:unhideWhenUsed/>
    <w:rsid w:val="008E0762"/>
    <w:pPr>
      <w:spacing w:after="100" w:line="259" w:lineRule="auto"/>
      <w:ind w:left="1100"/>
      <w:jc w:val="left"/>
    </w:pPr>
    <w:rPr>
      <w:rFonts w:asciiTheme="minorHAnsi" w:eastAsiaTheme="minorEastAsia" w:hAnsiTheme="minorHAnsi" w:cstheme="minorBidi"/>
      <w:sz w:val="22"/>
      <w:szCs w:val="22"/>
      <w:lang w:val="en-US" w:eastAsia="ja-JP"/>
    </w:rPr>
  </w:style>
  <w:style w:type="paragraph" w:styleId="TOC7">
    <w:name w:val="toc 7"/>
    <w:basedOn w:val="Normal"/>
    <w:next w:val="Normal"/>
    <w:autoRedefine/>
    <w:uiPriority w:val="39"/>
    <w:unhideWhenUsed/>
    <w:rsid w:val="008E0762"/>
    <w:pPr>
      <w:spacing w:after="100" w:line="259" w:lineRule="auto"/>
      <w:ind w:left="1320"/>
      <w:jc w:val="left"/>
    </w:pPr>
    <w:rPr>
      <w:rFonts w:asciiTheme="minorHAnsi" w:eastAsiaTheme="minorEastAsia" w:hAnsiTheme="minorHAnsi" w:cstheme="minorBidi"/>
      <w:sz w:val="22"/>
      <w:szCs w:val="22"/>
      <w:lang w:val="en-US" w:eastAsia="ja-JP"/>
    </w:rPr>
  </w:style>
  <w:style w:type="paragraph" w:styleId="TOC8">
    <w:name w:val="toc 8"/>
    <w:basedOn w:val="Normal"/>
    <w:next w:val="Normal"/>
    <w:autoRedefine/>
    <w:uiPriority w:val="39"/>
    <w:unhideWhenUsed/>
    <w:rsid w:val="008E0762"/>
    <w:pPr>
      <w:spacing w:after="100" w:line="259" w:lineRule="auto"/>
      <w:ind w:left="1540"/>
      <w:jc w:val="left"/>
    </w:pPr>
    <w:rPr>
      <w:rFonts w:asciiTheme="minorHAnsi" w:eastAsiaTheme="minorEastAsia" w:hAnsiTheme="minorHAnsi" w:cstheme="minorBidi"/>
      <w:sz w:val="22"/>
      <w:szCs w:val="22"/>
      <w:lang w:val="en-US" w:eastAsia="ja-JP"/>
    </w:rPr>
  </w:style>
  <w:style w:type="paragraph" w:styleId="TOC9">
    <w:name w:val="toc 9"/>
    <w:basedOn w:val="Normal"/>
    <w:next w:val="Normal"/>
    <w:autoRedefine/>
    <w:uiPriority w:val="39"/>
    <w:unhideWhenUsed/>
    <w:rsid w:val="008E0762"/>
    <w:pPr>
      <w:spacing w:after="100" w:line="259" w:lineRule="auto"/>
      <w:ind w:left="1760"/>
      <w:jc w:val="left"/>
    </w:pPr>
    <w:rPr>
      <w:rFonts w:asciiTheme="minorHAnsi" w:eastAsiaTheme="minorEastAsia" w:hAnsiTheme="minorHAnsi" w:cstheme="minorBidi"/>
      <w:sz w:val="22"/>
      <w:szCs w:val="22"/>
      <w:lang w:val="en-US" w:eastAsia="ja-JP"/>
    </w:rPr>
  </w:style>
  <w:style w:type="table" w:customStyle="1" w:styleId="WoodEISUKReportTable1">
    <w:name w:val="Wood E&amp;IS UK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character" w:customStyle="1" w:styleId="FootnotesCar">
    <w:name w:val="Footnotes Car"/>
    <w:basedOn w:val="DefaultParagraphFont"/>
    <w:rsid w:val="008E0762"/>
    <w:rPr>
      <w:rFonts w:ascii="Segoe UI" w:hAnsi="Segoe UI" w:cstheme="minorHAnsi"/>
      <w:sz w:val="16"/>
      <w:szCs w:val="20"/>
    </w:rPr>
  </w:style>
  <w:style w:type="table" w:customStyle="1" w:styleId="Table12">
    <w:name w:val="Table 12"/>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rsid w:val="008E0762"/>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Open Sans" w:hAnsi="Open Sans" w:hint="default"/>
        <w:b/>
        <w:color w:val="FFFFFF"/>
        <w:sz w:val="16"/>
        <w:szCs w:val="16"/>
      </w:rPr>
      <w:tblPr/>
      <w:tcPr>
        <w:shd w:val="clear" w:color="auto" w:fill="005962"/>
      </w:tcPr>
    </w:tblStylePr>
  </w:style>
  <w:style w:type="paragraph" w:customStyle="1" w:styleId="foonote">
    <w:name w:val="foonote"/>
    <w:basedOn w:val="FootnoteText"/>
    <w:link w:val="foonoteChar"/>
    <w:qFormat/>
    <w:rsid w:val="008E0762"/>
    <w:pPr>
      <w:ind w:left="567"/>
      <w:jc w:val="left"/>
    </w:pPr>
    <w:rPr>
      <w:rFonts w:ascii="Arial" w:eastAsiaTheme="minorHAnsi" w:hAnsi="Arial" w:cs="Arial"/>
      <w:sz w:val="16"/>
      <w:szCs w:val="16"/>
    </w:rPr>
  </w:style>
  <w:style w:type="character" w:customStyle="1" w:styleId="foonoteChar">
    <w:name w:val="foonote Char"/>
    <w:basedOn w:val="DefaultParagraphFont"/>
    <w:link w:val="foonote"/>
    <w:rsid w:val="008E0762"/>
    <w:rPr>
      <w:rFonts w:ascii="Arial" w:hAnsi="Arial" w:cs="Arial"/>
      <w:sz w:val="16"/>
      <w:szCs w:val="16"/>
    </w:rPr>
  </w:style>
  <w:style w:type="table" w:customStyle="1" w:styleId="LightList-Accent14">
    <w:name w:val="Light List - Accent 14"/>
    <w:basedOn w:val="TableNormal"/>
    <w:next w:val="LightList-Accent1"/>
    <w:uiPriority w:val="61"/>
    <w:rsid w:val="008E076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semiHidden/>
    <w:unhideWhenUsed/>
    <w:rsid w:val="008E07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8E0762"/>
    <w:rPr>
      <w:color w:val="808080"/>
    </w:rPr>
  </w:style>
  <w:style w:type="paragraph" w:customStyle="1" w:styleId="CitaviBibliographyEntry">
    <w:name w:val="Citavi Bibliography Entry"/>
    <w:basedOn w:val="Normal"/>
    <w:link w:val="CitaviBibliographyEntryZchn"/>
    <w:uiPriority w:val="99"/>
    <w:rsid w:val="008E0762"/>
    <w:pPr>
      <w:spacing w:after="0"/>
      <w:jc w:val="left"/>
    </w:pPr>
    <w:rPr>
      <w:rFonts w:ascii="Segoe UI" w:hAnsi="Segoe UI" w:cstheme="minorBidi"/>
      <w:color w:val="000000"/>
      <w:sz w:val="20"/>
      <w:szCs w:val="22"/>
    </w:rPr>
  </w:style>
  <w:style w:type="character" w:customStyle="1" w:styleId="CitaviBibliographyEntryZchn">
    <w:name w:val="Citavi Bibliography Entry Zchn"/>
    <w:basedOn w:val="AFWBodyChar"/>
    <w:link w:val="CitaviBibliographyEntry"/>
    <w:uiPriority w:val="99"/>
    <w:rsid w:val="008E0762"/>
    <w:rPr>
      <w:rFonts w:ascii="Segoe UI" w:hAnsi="Segoe UI"/>
      <w:color w:val="000000"/>
      <w:sz w:val="20"/>
    </w:rPr>
  </w:style>
  <w:style w:type="paragraph" w:customStyle="1" w:styleId="CitaviBibliographyHeading">
    <w:name w:val="Citavi Bibliography Heading"/>
    <w:basedOn w:val="Heading1"/>
    <w:link w:val="CitaviBibliographyHeadingZchn"/>
    <w:uiPriority w:val="99"/>
    <w:rsid w:val="00F302A9"/>
    <w:pPr>
      <w:keepLines/>
      <w:pageBreakBefore/>
      <w:numPr>
        <w:numId w:val="23"/>
      </w:numPr>
      <w:spacing w:before="0" w:after="520"/>
      <w:jc w:val="left"/>
    </w:pPr>
    <w:rPr>
      <w:rFonts w:ascii="Segoe UI" w:eastAsiaTheme="majorEastAsia" w:hAnsi="Segoe UI" w:cstheme="majorBidi"/>
      <w:bCs/>
      <w:smallCaps w:val="0"/>
      <w:color w:val="884C91"/>
      <w:sz w:val="40"/>
      <w:szCs w:val="28"/>
    </w:rPr>
  </w:style>
  <w:style w:type="character" w:customStyle="1" w:styleId="CitaviBibliographyHeadingZchn">
    <w:name w:val="Citavi Bibliography Heading Zchn"/>
    <w:basedOn w:val="AFWBodyChar"/>
    <w:link w:val="CitaviBibliographyHeading"/>
    <w:uiPriority w:val="99"/>
    <w:rsid w:val="008E0762"/>
    <w:rPr>
      <w:rFonts w:ascii="Segoe UI" w:eastAsiaTheme="majorEastAsia" w:hAnsi="Segoe UI" w:cstheme="majorBidi"/>
      <w:b/>
      <w:bCs/>
      <w:color w:val="884C91"/>
      <w:sz w:val="40"/>
      <w:szCs w:val="28"/>
    </w:rPr>
  </w:style>
  <w:style w:type="paragraph" w:customStyle="1" w:styleId="CitaviChapterBibliographyHeading">
    <w:name w:val="Citavi Chapter Bibliography Heading"/>
    <w:basedOn w:val="Heading2"/>
    <w:link w:val="CitaviChapterBibliographyHeadingZchn"/>
    <w:uiPriority w:val="99"/>
    <w:rsid w:val="00F302A9"/>
    <w:pPr>
      <w:keepLines/>
      <w:numPr>
        <w:ilvl w:val="1"/>
        <w:numId w:val="23"/>
      </w:numPr>
      <w:spacing w:before="360"/>
      <w:jc w:val="left"/>
    </w:pPr>
    <w:rPr>
      <w:rFonts w:ascii="Segoe UI" w:eastAsiaTheme="majorEastAsia" w:hAnsi="Segoe UI" w:cstheme="majorBidi"/>
      <w:color w:val="884C91"/>
      <w:sz w:val="28"/>
      <w:szCs w:val="26"/>
    </w:rPr>
  </w:style>
  <w:style w:type="character" w:customStyle="1" w:styleId="CitaviChapterBibliographyHeadingZchn">
    <w:name w:val="Citavi Chapter Bibliography Heading Zchn"/>
    <w:basedOn w:val="AFWBodyChar"/>
    <w:link w:val="CitaviChapterBibliographyHeading"/>
    <w:uiPriority w:val="99"/>
    <w:rsid w:val="008E0762"/>
    <w:rPr>
      <w:rFonts w:ascii="Segoe UI" w:eastAsiaTheme="majorEastAsia" w:hAnsi="Segoe UI" w:cstheme="majorBidi"/>
      <w:b/>
      <w:color w:val="884C91"/>
      <w:sz w:val="28"/>
      <w:szCs w:val="26"/>
    </w:rPr>
  </w:style>
  <w:style w:type="paragraph" w:customStyle="1" w:styleId="CitaviBibliographySubheading1">
    <w:name w:val="Citavi Bibliography Subheading 1"/>
    <w:basedOn w:val="Heading2"/>
    <w:link w:val="CitaviBibliographySubheading1Zchn"/>
    <w:uiPriority w:val="99"/>
    <w:rsid w:val="00F302A9"/>
    <w:pPr>
      <w:keepLines/>
      <w:spacing w:before="360"/>
      <w:ind w:left="1440" w:hanging="360"/>
      <w:jc w:val="left"/>
      <w:outlineLvl w:val="9"/>
    </w:pPr>
    <w:rPr>
      <w:rFonts w:ascii="Segoe UI" w:eastAsiaTheme="majorEastAsia" w:hAnsi="Segoe UI" w:cstheme="majorBidi"/>
      <w:color w:val="884C91"/>
      <w:sz w:val="28"/>
      <w:szCs w:val="26"/>
    </w:rPr>
  </w:style>
  <w:style w:type="character" w:customStyle="1" w:styleId="CitaviBibliographySubheading1Zchn">
    <w:name w:val="Citavi Bibliography Subheading 1 Zchn"/>
    <w:basedOn w:val="AFWBodyChar"/>
    <w:link w:val="CitaviBibliographySubheading1"/>
    <w:uiPriority w:val="99"/>
    <w:rsid w:val="008E0762"/>
    <w:rPr>
      <w:rFonts w:ascii="Segoe UI" w:eastAsiaTheme="majorEastAsia" w:hAnsi="Segoe UI" w:cstheme="majorBidi"/>
      <w:b/>
      <w:color w:val="884C91"/>
      <w:sz w:val="28"/>
      <w:szCs w:val="26"/>
    </w:rPr>
  </w:style>
  <w:style w:type="paragraph" w:customStyle="1" w:styleId="CitaviBibliographySubheading2">
    <w:name w:val="Citavi Bibliography Subheading 2"/>
    <w:basedOn w:val="Heading3"/>
    <w:link w:val="CitaviBibliographySubheading2Zchn"/>
    <w:uiPriority w:val="99"/>
    <w:rsid w:val="008E0762"/>
    <w:pPr>
      <w:keepLines/>
      <w:tabs>
        <w:tab w:val="clear" w:pos="1920"/>
      </w:tabs>
      <w:spacing w:before="360" w:after="120"/>
      <w:ind w:left="0" w:firstLine="0"/>
      <w:jc w:val="left"/>
      <w:outlineLvl w:val="9"/>
    </w:pPr>
    <w:rPr>
      <w:rFonts w:ascii="Segoe UI" w:eastAsiaTheme="majorEastAsia" w:hAnsi="Segoe UI" w:cstheme="majorBidi"/>
      <w:b/>
      <w:bCs/>
      <w:i w:val="0"/>
      <w:color w:val="884C91"/>
      <w:sz w:val="20"/>
      <w:szCs w:val="26"/>
    </w:rPr>
  </w:style>
  <w:style w:type="character" w:customStyle="1" w:styleId="CitaviBibliographySubheading2Zchn">
    <w:name w:val="Citavi Bibliography Subheading 2 Zchn"/>
    <w:basedOn w:val="AFWBodyChar"/>
    <w:link w:val="CitaviBibliographySubheading2"/>
    <w:uiPriority w:val="99"/>
    <w:rsid w:val="008E0762"/>
    <w:rPr>
      <w:rFonts w:ascii="Segoe UI" w:eastAsiaTheme="majorEastAsia" w:hAnsi="Segoe UI" w:cstheme="majorBidi"/>
      <w:b/>
      <w:bCs/>
      <w:color w:val="884C91"/>
      <w:sz w:val="20"/>
      <w:szCs w:val="26"/>
    </w:rPr>
  </w:style>
  <w:style w:type="paragraph" w:customStyle="1" w:styleId="CitaviBibliographySubheading3">
    <w:name w:val="Citavi Bibliography Subheading 3"/>
    <w:basedOn w:val="Heading4"/>
    <w:link w:val="CitaviBibliographySubheading3Zchn"/>
    <w:uiPriority w:val="99"/>
    <w:rsid w:val="00F302A9"/>
    <w:pPr>
      <w:keepLines/>
      <w:tabs>
        <w:tab w:val="clear" w:pos="1920"/>
      </w:tabs>
      <w:spacing w:before="360" w:after="120"/>
      <w:ind w:left="0" w:firstLine="0"/>
      <w:jc w:val="left"/>
      <w:outlineLvl w:val="9"/>
    </w:pPr>
    <w:rPr>
      <w:rFonts w:ascii="Segoe UI" w:eastAsiaTheme="majorEastAsia" w:hAnsi="Segoe UI" w:cstheme="majorBidi"/>
      <w:iCs/>
      <w:color w:val="884C91"/>
      <w:sz w:val="20"/>
      <w:szCs w:val="26"/>
    </w:rPr>
  </w:style>
  <w:style w:type="character" w:customStyle="1" w:styleId="CitaviBibliographySubheading3Zchn">
    <w:name w:val="Citavi Bibliography Subheading 3 Zchn"/>
    <w:basedOn w:val="AFWBodyChar"/>
    <w:link w:val="CitaviBibliographySubheading3"/>
    <w:uiPriority w:val="99"/>
    <w:rsid w:val="008E0762"/>
    <w:rPr>
      <w:rFonts w:ascii="Segoe UI" w:eastAsiaTheme="majorEastAsia" w:hAnsi="Segoe UI" w:cstheme="majorBidi"/>
      <w:iCs/>
      <w:color w:val="884C91"/>
      <w:sz w:val="20"/>
      <w:szCs w:val="26"/>
    </w:rPr>
  </w:style>
  <w:style w:type="paragraph" w:customStyle="1" w:styleId="CitaviBibliographySubheading4">
    <w:name w:val="Citavi Bibliography Subheading 4"/>
    <w:basedOn w:val="Heading5"/>
    <w:link w:val="CitaviBibliographySubheading4Zchn"/>
    <w:uiPriority w:val="99"/>
    <w:rsid w:val="008E0762"/>
    <w:pPr>
      <w:numPr>
        <w:ilvl w:val="4"/>
      </w:numPr>
      <w:spacing w:before="360" w:after="120"/>
      <w:jc w:val="left"/>
      <w:outlineLvl w:val="9"/>
    </w:pPr>
    <w:rPr>
      <w:rFonts w:ascii="Segoe UI" w:hAnsi="Segoe UI"/>
      <w:i/>
      <w:iCs/>
      <w:color w:val="1F497D" w:themeColor="text2"/>
      <w:sz w:val="20"/>
      <w:szCs w:val="26"/>
    </w:rPr>
  </w:style>
  <w:style w:type="character" w:customStyle="1" w:styleId="CitaviBibliographySubheading4Zchn">
    <w:name w:val="Citavi Bibliography Subheading 4 Zchn"/>
    <w:basedOn w:val="AFWBodyChar"/>
    <w:link w:val="CitaviBibliographySubheading4"/>
    <w:uiPriority w:val="99"/>
    <w:rsid w:val="008E0762"/>
    <w:rPr>
      <w:rFonts w:ascii="Segoe UI" w:eastAsiaTheme="majorEastAsia" w:hAnsi="Segoe UI" w:cstheme="majorBidi"/>
      <w:i/>
      <w:iCs/>
      <w:color w:val="1F497D" w:themeColor="text2"/>
      <w:sz w:val="20"/>
      <w:szCs w:val="26"/>
    </w:rPr>
  </w:style>
  <w:style w:type="paragraph" w:customStyle="1" w:styleId="CitaviBibliographySubheading5">
    <w:name w:val="Citavi Bibliography Subheading 5"/>
    <w:basedOn w:val="Heading6"/>
    <w:link w:val="CitaviBibliographySubheading5Zchn"/>
    <w:uiPriority w:val="99"/>
    <w:rsid w:val="008E0762"/>
    <w:pPr>
      <w:outlineLvl w:val="9"/>
    </w:pPr>
  </w:style>
  <w:style w:type="character" w:customStyle="1" w:styleId="CitaviBibliographySubheading5Zchn">
    <w:name w:val="Citavi Bibliography Subheading 5 Zchn"/>
    <w:basedOn w:val="AFWBodyChar"/>
    <w:link w:val="CitaviBibliographySubheading5"/>
    <w:uiPriority w:val="99"/>
    <w:rsid w:val="008E0762"/>
    <w:rPr>
      <w:rFonts w:ascii="Segoe UI" w:eastAsiaTheme="majorEastAsia" w:hAnsi="Segoe UI" w:cstheme="majorBidi"/>
      <w:i/>
      <w:iCs/>
      <w:color w:val="8064A2" w:themeColor="accent4"/>
      <w:sz w:val="20"/>
      <w:szCs w:val="26"/>
    </w:rPr>
  </w:style>
  <w:style w:type="paragraph" w:customStyle="1" w:styleId="CitaviBibliographySubheading6">
    <w:name w:val="Citavi Bibliography Subheading 6"/>
    <w:basedOn w:val="Heading7"/>
    <w:link w:val="CitaviBibliographySubheading6Zchn"/>
    <w:uiPriority w:val="99"/>
    <w:rsid w:val="008E0762"/>
    <w:pPr>
      <w:outlineLvl w:val="9"/>
    </w:pPr>
    <w:rPr>
      <w:sz w:val="20"/>
    </w:rPr>
  </w:style>
  <w:style w:type="character" w:customStyle="1" w:styleId="CitaviBibliographySubheading6Zchn">
    <w:name w:val="Citavi Bibliography Subheading 6 Zchn"/>
    <w:basedOn w:val="AFWBodyChar"/>
    <w:link w:val="CitaviBibliographySubheading6"/>
    <w:uiPriority w:val="99"/>
    <w:rsid w:val="008E0762"/>
    <w:rPr>
      <w:rFonts w:asciiTheme="majorHAnsi" w:eastAsiaTheme="majorEastAsia" w:hAnsiTheme="majorHAnsi" w:cstheme="majorBidi"/>
      <w:i/>
      <w:iCs/>
      <w:color w:val="404040" w:themeColor="text1" w:themeTint="BF"/>
      <w:sz w:val="20"/>
    </w:rPr>
  </w:style>
  <w:style w:type="paragraph" w:customStyle="1" w:styleId="CitaviBibliographySubheading7">
    <w:name w:val="Citavi Bibliography Subheading 7"/>
    <w:basedOn w:val="Heading8"/>
    <w:link w:val="CitaviBibliographySubheading7Zchn"/>
    <w:uiPriority w:val="99"/>
    <w:rsid w:val="008E0762"/>
    <w:pPr>
      <w:outlineLvl w:val="9"/>
    </w:pPr>
  </w:style>
  <w:style w:type="character" w:customStyle="1" w:styleId="CitaviBibliographySubheading7Zchn">
    <w:name w:val="Citavi Bibliography Subheading 7 Zchn"/>
    <w:basedOn w:val="AFWBodyChar"/>
    <w:link w:val="CitaviBibliographySubheading7"/>
    <w:uiPriority w:val="99"/>
    <w:rsid w:val="008E0762"/>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Heading9"/>
    <w:link w:val="CitaviBibliographySubheading8Zchn"/>
    <w:uiPriority w:val="99"/>
    <w:rsid w:val="008E0762"/>
    <w:pPr>
      <w:outlineLvl w:val="9"/>
    </w:pPr>
  </w:style>
  <w:style w:type="character" w:customStyle="1" w:styleId="CitaviBibliographySubheading8Zchn">
    <w:name w:val="Citavi Bibliography Subheading 8 Zchn"/>
    <w:basedOn w:val="AFWBodyChar"/>
    <w:link w:val="CitaviBibliographySubheading8"/>
    <w:uiPriority w:val="99"/>
    <w:rsid w:val="008E0762"/>
    <w:rPr>
      <w:rFonts w:asciiTheme="majorHAnsi" w:eastAsiaTheme="majorEastAsia" w:hAnsiTheme="majorHAnsi" w:cstheme="majorBidi"/>
      <w:i/>
      <w:iCs/>
      <w:color w:val="404040" w:themeColor="text1" w:themeTint="BF"/>
      <w:sz w:val="20"/>
      <w:szCs w:val="20"/>
    </w:rPr>
  </w:style>
  <w:style w:type="paragraph" w:customStyle="1" w:styleId="CM1">
    <w:name w:val="CM1"/>
    <w:basedOn w:val="Default"/>
    <w:next w:val="Default"/>
    <w:uiPriority w:val="99"/>
    <w:rsid w:val="008E0762"/>
    <w:rPr>
      <w:color w:val="auto"/>
      <w:lang w:val="de-DE"/>
    </w:rPr>
  </w:style>
  <w:style w:type="paragraph" w:customStyle="1" w:styleId="CM3">
    <w:name w:val="CM3"/>
    <w:basedOn w:val="Default"/>
    <w:next w:val="Default"/>
    <w:uiPriority w:val="99"/>
    <w:rsid w:val="008E0762"/>
    <w:rPr>
      <w:color w:val="auto"/>
      <w:lang w:val="de-DE"/>
    </w:rPr>
  </w:style>
  <w:style w:type="character" w:customStyle="1" w:styleId="markedcontent">
    <w:name w:val="markedcontent"/>
    <w:basedOn w:val="DefaultParagraphFont"/>
    <w:rsid w:val="008E0762"/>
  </w:style>
  <w:style w:type="paragraph" w:customStyle="1" w:styleId="Pa13">
    <w:name w:val="Pa13"/>
    <w:basedOn w:val="Default"/>
    <w:next w:val="Default"/>
    <w:uiPriority w:val="99"/>
    <w:rsid w:val="008E0762"/>
    <w:pPr>
      <w:spacing w:line="141" w:lineRule="atLeast"/>
    </w:pPr>
    <w:rPr>
      <w:rFonts w:ascii="Open Sans" w:hAnsi="Open Sans" w:cstheme="minorBidi"/>
      <w:color w:val="auto"/>
      <w:lang w:val="en-GB"/>
    </w:rPr>
  </w:style>
  <w:style w:type="character" w:customStyle="1" w:styleId="A6">
    <w:name w:val="A6"/>
    <w:uiPriority w:val="99"/>
    <w:rsid w:val="008E0762"/>
    <w:rPr>
      <w:rFonts w:cs="Open Sans"/>
      <w:color w:val="211D1E"/>
      <w:sz w:val="8"/>
      <w:szCs w:val="8"/>
    </w:rPr>
  </w:style>
  <w:style w:type="table" w:styleId="ListTable4-Accent1">
    <w:name w:val="List Table 4 Accent 1"/>
    <w:basedOn w:val="TableNormal"/>
    <w:uiPriority w:val="49"/>
    <w:rsid w:val="008E0762"/>
    <w:pPr>
      <w:spacing w:after="0" w:line="240" w:lineRule="auto"/>
    </w:pPr>
    <w:rPr>
      <w:rFonts w:ascii="Verdana" w:hAnsi="Verdana"/>
      <w:sz w:val="18"/>
      <w:szCs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2">
    <w:name w:val="Style2"/>
    <w:uiPriority w:val="99"/>
    <w:rsid w:val="008E0762"/>
    <w:pPr>
      <w:numPr>
        <w:numId w:val="25"/>
      </w:numPr>
    </w:pPr>
  </w:style>
  <w:style w:type="character" w:customStyle="1" w:styleId="1stlevelgreenChar">
    <w:name w:val="1st level green Char"/>
    <w:basedOn w:val="DefaultParagraphFont"/>
    <w:link w:val="1stlevelgreen"/>
    <w:uiPriority w:val="3"/>
    <w:locked/>
    <w:rsid w:val="008E0762"/>
    <w:rPr>
      <w:rFonts w:ascii="Trebuchet MS" w:hAnsi="Trebuchet MS"/>
      <w:sz w:val="18"/>
      <w:szCs w:val="18"/>
    </w:rPr>
  </w:style>
  <w:style w:type="paragraph" w:customStyle="1" w:styleId="1stlevelgreen">
    <w:name w:val="1st level green"/>
    <w:basedOn w:val="Normal"/>
    <w:link w:val="1stlevelgreenChar"/>
    <w:uiPriority w:val="3"/>
    <w:qFormat/>
    <w:rsid w:val="008E0762"/>
    <w:pPr>
      <w:tabs>
        <w:tab w:val="left" w:pos="851"/>
      </w:tabs>
      <w:spacing w:after="0" w:line="300" w:lineRule="atLeast"/>
      <w:contextualSpacing/>
      <w:jc w:val="left"/>
    </w:pPr>
    <w:rPr>
      <w:rFonts w:ascii="Trebuchet MS" w:hAnsi="Trebuchet MS" w:cstheme="minorBidi"/>
      <w:sz w:val="18"/>
      <w:szCs w:val="18"/>
    </w:rPr>
  </w:style>
  <w:style w:type="paragraph" w:customStyle="1" w:styleId="Details">
    <w:name w:val="Details"/>
    <w:basedOn w:val="Normal"/>
    <w:rsid w:val="008E0762"/>
    <w:pPr>
      <w:spacing w:after="0" w:line="240" w:lineRule="atLeast"/>
      <w:jc w:val="left"/>
    </w:pPr>
    <w:rPr>
      <w:rFonts w:ascii="Segoe UI" w:hAnsi="Segoe UI" w:cstheme="minorBidi"/>
      <w:color w:val="000000"/>
      <w:sz w:val="20"/>
      <w:szCs w:val="22"/>
    </w:rPr>
  </w:style>
  <w:style w:type="paragraph" w:customStyle="1" w:styleId="DocumentType">
    <w:name w:val="Document Type"/>
    <w:basedOn w:val="Normal"/>
    <w:rsid w:val="008E0762"/>
    <w:pPr>
      <w:spacing w:after="360" w:line="260" w:lineRule="atLeast"/>
      <w:jc w:val="left"/>
    </w:pPr>
    <w:rPr>
      <w:rFonts w:ascii="Segoe UI" w:hAnsi="Segoe UI" w:cstheme="minorBidi"/>
      <w:b/>
      <w:sz w:val="40"/>
      <w:szCs w:val="22"/>
    </w:rPr>
  </w:style>
  <w:style w:type="paragraph" w:styleId="HTMLPreformatted">
    <w:name w:val="HTML Preformatted"/>
    <w:basedOn w:val="Normal"/>
    <w:link w:val="HTMLPreformattedChar"/>
    <w:uiPriority w:val="99"/>
    <w:semiHidden/>
    <w:unhideWhenUsed/>
    <w:rsid w:val="008E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E0762"/>
    <w:rPr>
      <w:rFonts w:ascii="Courier New" w:eastAsia="Times New Roman" w:hAnsi="Courier New" w:cs="Courier New"/>
      <w:sz w:val="20"/>
      <w:szCs w:val="20"/>
      <w:lang w:eastAsia="en-GB"/>
    </w:rPr>
  </w:style>
  <w:style w:type="character" w:customStyle="1" w:styleId="y2iqfc">
    <w:name w:val="y2iqfc"/>
    <w:basedOn w:val="DefaultParagraphFont"/>
    <w:rsid w:val="008E0762"/>
  </w:style>
  <w:style w:type="character" w:customStyle="1" w:styleId="NoSpacingChar">
    <w:name w:val="No Spacing Char"/>
    <w:basedOn w:val="DefaultParagraphFont"/>
    <w:link w:val="NoSpacing"/>
    <w:uiPriority w:val="1"/>
    <w:rsid w:val="008E0762"/>
    <w:rPr>
      <w:rFonts w:eastAsiaTheme="minorEastAsia"/>
    </w:rPr>
  </w:style>
  <w:style w:type="paragraph" w:customStyle="1" w:styleId="Orangetabletext">
    <w:name w:val="Orange table text"/>
    <w:basedOn w:val="Normal"/>
    <w:rsid w:val="008E0762"/>
    <w:pPr>
      <w:tabs>
        <w:tab w:val="num" w:pos="720"/>
      </w:tabs>
      <w:spacing w:after="0" w:line="260" w:lineRule="atLeast"/>
      <w:ind w:left="720" w:hanging="720"/>
      <w:jc w:val="left"/>
    </w:pPr>
    <w:rPr>
      <w:rFonts w:ascii="Trebuchet MS" w:hAnsi="Trebuchet MS" w:cstheme="minorBidi"/>
      <w:b/>
      <w:bCs/>
      <w:color w:val="FFFFFF"/>
      <w:sz w:val="16"/>
      <w:szCs w:val="14"/>
      <w:lang w:eastAsia="nl-NL"/>
    </w:rPr>
  </w:style>
  <w:style w:type="paragraph" w:customStyle="1" w:styleId="FooterDate">
    <w:name w:val="Footer Date"/>
    <w:basedOn w:val="Footer"/>
    <w:link w:val="FooterDateChar"/>
    <w:rsid w:val="008E0762"/>
    <w:pPr>
      <w:tabs>
        <w:tab w:val="clear" w:pos="4535"/>
        <w:tab w:val="clear" w:pos="9071"/>
        <w:tab w:val="clear" w:pos="9921"/>
        <w:tab w:val="right" w:pos="9240"/>
      </w:tabs>
      <w:spacing w:before="0"/>
      <w:ind w:left="0" w:right="-567"/>
      <w:jc w:val="left"/>
    </w:pPr>
    <w:rPr>
      <w:rFonts w:ascii="Verdana" w:eastAsia="Times New Roman" w:hAnsi="Verdana"/>
      <w:sz w:val="16"/>
      <w:szCs w:val="20"/>
      <w:lang w:val="it-IT"/>
    </w:rPr>
  </w:style>
  <w:style w:type="character" w:customStyle="1" w:styleId="FooterDateChar">
    <w:name w:val="Footer Date Char"/>
    <w:link w:val="FooterDate"/>
    <w:rsid w:val="008E0762"/>
    <w:rPr>
      <w:rFonts w:ascii="Verdana" w:eastAsia="Times New Roman" w:hAnsi="Verdana" w:cs="Times New Roman"/>
      <w:sz w:val="16"/>
      <w:szCs w:val="20"/>
      <w:lang w:val="it-IT"/>
    </w:rPr>
  </w:style>
  <w:style w:type="paragraph" w:customStyle="1" w:styleId="DocumentSubtitle">
    <w:name w:val="Document Subtitle"/>
    <w:basedOn w:val="Normal"/>
    <w:link w:val="DocumentSubtitleChar"/>
    <w:qFormat/>
    <w:rsid w:val="008E0762"/>
    <w:pPr>
      <w:jc w:val="center"/>
    </w:pPr>
    <w:rPr>
      <w:rFonts w:ascii="Verdana" w:eastAsia="Times New Roman" w:hAnsi="Verdana"/>
      <w:sz w:val="32"/>
      <w:szCs w:val="36"/>
    </w:rPr>
  </w:style>
  <w:style w:type="character" w:customStyle="1" w:styleId="DocumentSubtitleChar">
    <w:name w:val="Document Subtitle Char"/>
    <w:link w:val="DocumentSubtitle"/>
    <w:rsid w:val="008E0762"/>
    <w:rPr>
      <w:rFonts w:ascii="Verdana" w:eastAsia="Times New Roman" w:hAnsi="Verdana" w:cs="Times New Roman"/>
      <w:sz w:val="32"/>
      <w:szCs w:val="36"/>
    </w:rPr>
  </w:style>
  <w:style w:type="table" w:styleId="TableGrid1">
    <w:name w:val="Table Grid 1"/>
    <w:basedOn w:val="TableNormal"/>
    <w:rsid w:val="008E076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ndlevelbulletpoint">
    <w:name w:val="2nd level bulletpoint"/>
    <w:basedOn w:val="ListParagraph"/>
    <w:next w:val="Normal"/>
    <w:link w:val="2ndlevelbulletpointChar"/>
    <w:rsid w:val="008E0762"/>
    <w:pPr>
      <w:numPr>
        <w:ilvl w:val="1"/>
      </w:numPr>
      <w:tabs>
        <w:tab w:val="left" w:pos="851"/>
      </w:tabs>
      <w:spacing w:after="0" w:line="300" w:lineRule="atLeast"/>
      <w:ind w:left="1661" w:hanging="357"/>
      <w:jc w:val="left"/>
    </w:pPr>
    <w:rPr>
      <w:rFonts w:ascii="Trebuchet MS" w:hAnsi="Trebuchet MS" w:cstheme="minorBidi"/>
      <w:sz w:val="18"/>
      <w:szCs w:val="22"/>
    </w:rPr>
  </w:style>
  <w:style w:type="character" w:customStyle="1" w:styleId="2ndlevelbulletpointChar">
    <w:name w:val="2nd level bulletpoint Char"/>
    <w:basedOn w:val="DefaultParagraphFont"/>
    <w:link w:val="2ndlevelbulletpoint"/>
    <w:rsid w:val="008E0762"/>
    <w:rPr>
      <w:rFonts w:ascii="Trebuchet MS" w:hAnsi="Trebuchet MS"/>
      <w:sz w:val="18"/>
    </w:rPr>
  </w:style>
  <w:style w:type="paragraph" w:customStyle="1" w:styleId="Bulletpoint">
    <w:name w:val="Bulletpoint"/>
    <w:basedOn w:val="2ndlevelbulletpoint"/>
    <w:next w:val="2ndlevelbulletpoint"/>
    <w:link w:val="BulletpointChar"/>
    <w:qFormat/>
    <w:rsid w:val="008E0762"/>
    <w:pPr>
      <w:numPr>
        <w:ilvl w:val="0"/>
      </w:numPr>
      <w:tabs>
        <w:tab w:val="num" w:pos="720"/>
      </w:tabs>
      <w:ind w:left="1264" w:hanging="720"/>
    </w:pPr>
  </w:style>
  <w:style w:type="character" w:customStyle="1" w:styleId="BulletpointChar">
    <w:name w:val="Bulletpoint Char"/>
    <w:basedOn w:val="DefaultParagraphFont"/>
    <w:link w:val="Bulletpoint"/>
    <w:rsid w:val="008E0762"/>
    <w:rPr>
      <w:rFonts w:ascii="Trebuchet MS" w:hAnsi="Trebuchet MS"/>
      <w:sz w:val="18"/>
    </w:rPr>
  </w:style>
  <w:style w:type="paragraph" w:customStyle="1" w:styleId="paragraph">
    <w:name w:val="paragraph"/>
    <w:basedOn w:val="Normal"/>
    <w:rsid w:val="008E0762"/>
    <w:pPr>
      <w:spacing w:before="100" w:beforeAutospacing="1" w:after="100" w:afterAutospacing="1"/>
      <w:jc w:val="left"/>
    </w:pPr>
    <w:rPr>
      <w:rFonts w:eastAsia="Times New Roman"/>
      <w:lang w:eastAsia="en-GB"/>
    </w:rPr>
  </w:style>
  <w:style w:type="character" w:customStyle="1" w:styleId="CaptionNotesCharChar">
    <w:name w:val="Caption Notes Char Char"/>
    <w:link w:val="CaptionNotes"/>
    <w:locked/>
    <w:rsid w:val="008E0762"/>
    <w:rPr>
      <w:i/>
      <w:iCs/>
    </w:rPr>
  </w:style>
  <w:style w:type="paragraph" w:customStyle="1" w:styleId="CaptionNotes">
    <w:name w:val="Caption Notes"/>
    <w:basedOn w:val="Normal"/>
    <w:next w:val="Normal"/>
    <w:link w:val="CaptionNotesCharChar"/>
    <w:qFormat/>
    <w:rsid w:val="008E0762"/>
    <w:pPr>
      <w:spacing w:before="60" w:line="256" w:lineRule="auto"/>
      <w:jc w:val="left"/>
    </w:pPr>
    <w:rPr>
      <w:rFonts w:asciiTheme="minorHAnsi" w:hAnsiTheme="minorHAnsi" w:cstheme="minorBidi"/>
      <w:i/>
      <w:iCs/>
      <w:sz w:val="22"/>
      <w:szCs w:val="22"/>
    </w:rPr>
  </w:style>
  <w:style w:type="character" w:customStyle="1" w:styleId="BTBullet1Zchn">
    <w:name w:val="BTBullet1 Zchn"/>
    <w:link w:val="BTBullet1"/>
    <w:uiPriority w:val="6"/>
    <w:locked/>
    <w:rsid w:val="008E0762"/>
  </w:style>
  <w:style w:type="paragraph" w:customStyle="1" w:styleId="BTBullet1">
    <w:name w:val="BTBullet1"/>
    <w:basedOn w:val="Normal"/>
    <w:link w:val="BTBullet1Zchn"/>
    <w:uiPriority w:val="6"/>
    <w:qFormat/>
    <w:rsid w:val="00F302A9"/>
    <w:pPr>
      <w:spacing w:after="160" w:line="256" w:lineRule="auto"/>
      <w:ind w:left="1760" w:hanging="360"/>
      <w:contextualSpacing/>
      <w:jc w:val="left"/>
    </w:pPr>
    <w:rPr>
      <w:rFonts w:asciiTheme="minorHAnsi" w:hAnsiTheme="minorHAnsi" w:cstheme="minorBidi"/>
      <w:sz w:val="22"/>
      <w:szCs w:val="22"/>
    </w:rPr>
  </w:style>
  <w:style w:type="character" w:styleId="Strong">
    <w:name w:val="Strong"/>
    <w:basedOn w:val="DefaultParagraphFont"/>
    <w:uiPriority w:val="22"/>
    <w:qFormat/>
    <w:rsid w:val="008E0762"/>
    <w:rPr>
      <w:b/>
      <w:bCs/>
    </w:rPr>
  </w:style>
  <w:style w:type="table" w:customStyle="1" w:styleId="Eunomia-NoTotals">
    <w:name w:val="Eunomia - No Totals"/>
    <w:basedOn w:val="TableNormal"/>
    <w:uiPriority w:val="99"/>
    <w:rsid w:val="008E0762"/>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9BBB59"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character" w:customStyle="1" w:styleId="ListenabsatzZchn8">
    <w:name w:val="Listenabsatz Zchn8"/>
    <w:aliases w:val="Style Bullet Zchn8,List_Paragraph Zchn7,Multilevel para_II Zchn7,ADB Normal Zchn7,Bullet Points Zchn7,Liste Paragraf Zchn7,List Paragraph1 Zchn7,Colorful List - Accent 11 Zchn7,Numbered Para 1 Zchn7,Dot pt Zchn7,No Spacing1 Zchn7"/>
    <w:basedOn w:val="DefaultParagraphFont"/>
    <w:uiPriority w:val="34"/>
    <w:rsid w:val="008E0762"/>
    <w:rPr>
      <w:rFonts w:asciiTheme="minorHAnsi" w:hAnsiTheme="minorHAnsi" w:cs="Arial"/>
      <w:sz w:val="24"/>
      <w:szCs w:val="24"/>
    </w:rPr>
  </w:style>
  <w:style w:type="paragraph" w:customStyle="1" w:styleId="TabelleninhaltAufzhlungszeichen">
    <w:name w:val="Tabelleninhalt Aufzählungszeichen"/>
    <w:basedOn w:val="Normal"/>
    <w:rsid w:val="008E0762"/>
    <w:pPr>
      <w:numPr>
        <w:ilvl w:val="1"/>
        <w:numId w:val="27"/>
      </w:numPr>
      <w:spacing w:after="0"/>
      <w:ind w:left="792" w:hanging="432"/>
      <w:jc w:val="left"/>
    </w:pPr>
    <w:rPr>
      <w:rFonts w:asciiTheme="minorHAnsi" w:hAnsiTheme="minorHAnsi" w:cstheme="minorBidi"/>
      <w:sz w:val="22"/>
      <w:szCs w:val="22"/>
    </w:rPr>
  </w:style>
  <w:style w:type="table" w:customStyle="1" w:styleId="WoodREIUKReportTable">
    <w:name w:val="Wood REI UK Report Table"/>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WoodREIUKReportTable1">
    <w:name w:val="Wood REI UK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styleId="GridTable2">
    <w:name w:val="Grid Table 2"/>
    <w:basedOn w:val="TableNormal"/>
    <w:uiPriority w:val="47"/>
    <w:rsid w:val="008E07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E0762"/>
    <w:pPr>
      <w:spacing w:before="100" w:beforeAutospacing="1" w:after="100" w:afterAutospacing="1"/>
      <w:jc w:val="left"/>
    </w:pPr>
    <w:rPr>
      <w:rFonts w:eastAsia="Times New Roman"/>
      <w:lang w:val="fr-FR" w:eastAsia="fr-FR"/>
    </w:rPr>
  </w:style>
  <w:style w:type="character" w:customStyle="1" w:styleId="sup">
    <w:name w:val="sup"/>
    <w:basedOn w:val="DefaultParagraphFont"/>
    <w:rsid w:val="008E0762"/>
  </w:style>
  <w:style w:type="table" w:customStyle="1" w:styleId="WoodEISUKReportTable2">
    <w:name w:val="Wood E&amp;IS UK Report Table2"/>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Listeclaire-Accent21">
    <w:name w:val="Liste claire - Accent 21"/>
    <w:basedOn w:val="TableNormal"/>
    <w:next w:val="LightList-Accent2"/>
    <w:uiPriority w:val="61"/>
    <w:rsid w:val="008E07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WoodEISUKTableSimple1">
    <w:name w:val="Wood E&amp;IS UK Table Simple1"/>
    <w:basedOn w:val="TableNormal"/>
    <w:next w:val="TableGridLight"/>
    <w:uiPriority w:val="40"/>
    <w:rsid w:val="008E0762"/>
    <w:pPr>
      <w:spacing w:after="0" w:line="240" w:lineRule="auto"/>
    </w:p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table" w:customStyle="1" w:styleId="Tableausimple11">
    <w:name w:val="Tableau simple 11"/>
    <w:basedOn w:val="TableNormal"/>
    <w:next w:val="PlainTable1"/>
    <w:uiPriority w:val="41"/>
    <w:rsid w:val="008E07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1">
    <w:name w:val="Table 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sz w:val="16"/>
      </w:rPr>
      <w:tblPr/>
      <w:tcPr>
        <w:shd w:val="clear" w:color="auto" w:fill="005962"/>
      </w:tcPr>
    </w:tblStylePr>
    <w:tblStylePr w:type="firstCol">
      <w:pPr>
        <w:wordWrap/>
        <w:jc w:val="left"/>
        <w:outlineLvl w:val="9"/>
      </w:pPr>
    </w:tblStylePr>
  </w:style>
  <w:style w:type="table" w:customStyle="1" w:styleId="TableGridLight311">
    <w:name w:val="Table Grid Light311"/>
    <w:basedOn w:val="TableNormal"/>
    <w:uiPriority w:val="40"/>
    <w:rsid w:val="008E07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1">
    <w:name w:val="Amec Foster Wheeler Report Table1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C0504D" w:themeColor="accent2"/>
          <w:left w:val="nil"/>
          <w:bottom w:val="single" w:sz="4" w:space="0" w:color="C0504D"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WoodEISUKReportTable11">
    <w:name w:val="Wood E&amp;IS UK Report Table1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Table121">
    <w:name w:val="Table 12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61">
    <w:name w:val="Table 161"/>
    <w:basedOn w:val="TableNormal"/>
    <w:uiPriority w:val="99"/>
    <w:rsid w:val="008E0762"/>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Open Sans" w:hAnsi="Open Sans" w:hint="default"/>
        <w:b/>
        <w:color w:val="FFFFFF"/>
        <w:sz w:val="16"/>
        <w:szCs w:val="16"/>
      </w:rPr>
      <w:tblPr/>
      <w:tcPr>
        <w:shd w:val="clear" w:color="auto" w:fill="005962"/>
      </w:tcPr>
    </w:tblStylePr>
  </w:style>
  <w:style w:type="table" w:customStyle="1" w:styleId="LightList-Accent141">
    <w:name w:val="Light List - Accent 141"/>
    <w:basedOn w:val="TableNormal"/>
    <w:next w:val="LightList-Accent1"/>
    <w:uiPriority w:val="61"/>
    <w:rsid w:val="008E076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eclaire-Accent11">
    <w:name w:val="Liste claire - Accent 11"/>
    <w:basedOn w:val="TableNormal"/>
    <w:next w:val="LightList-Accent1"/>
    <w:uiPriority w:val="61"/>
    <w:semiHidden/>
    <w:unhideWhenUsed/>
    <w:rsid w:val="008E07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auListe4-Accentuation11">
    <w:name w:val="Tableau Liste 4 - Accentuation 11"/>
    <w:basedOn w:val="TableNormal"/>
    <w:next w:val="ListTable4-Accent1"/>
    <w:uiPriority w:val="49"/>
    <w:rsid w:val="008E0762"/>
    <w:pPr>
      <w:spacing w:after="0" w:line="240" w:lineRule="auto"/>
    </w:pPr>
    <w:rPr>
      <w:rFonts w:ascii="Verdana" w:hAnsi="Verdana"/>
      <w:sz w:val="18"/>
      <w:szCs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lledetableau11">
    <w:name w:val="Grille de tableau 11"/>
    <w:basedOn w:val="TableNormal"/>
    <w:next w:val="TableGrid1"/>
    <w:rsid w:val="008E076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Grille21">
    <w:name w:val="Tableau Grille 21"/>
    <w:basedOn w:val="TableNormal"/>
    <w:next w:val="GridTable2"/>
    <w:uiPriority w:val="47"/>
    <w:rsid w:val="008E07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8E07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2-Accent1">
    <w:name w:val="Grid Table 2 Accent 1"/>
    <w:basedOn w:val="TableNormal"/>
    <w:uiPriority w:val="47"/>
    <w:rsid w:val="008E076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8E076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31">
    <w:name w:val="A3_1"/>
    <w:uiPriority w:val="99"/>
    <w:rsid w:val="008E0762"/>
    <w:rPr>
      <w:rFonts w:cs="Muli Light"/>
      <w:color w:val="000000"/>
      <w:sz w:val="20"/>
      <w:szCs w:val="20"/>
    </w:rPr>
  </w:style>
  <w:style w:type="table" w:styleId="GridTable6Colorful-Accent6">
    <w:name w:val="Grid Table 6 Colorful Accent 6"/>
    <w:basedOn w:val="TableNormal"/>
    <w:uiPriority w:val="51"/>
    <w:rsid w:val="008E0762"/>
    <w:pPr>
      <w:spacing w:after="0" w:line="240" w:lineRule="auto"/>
    </w:pPr>
    <w:rPr>
      <w:color w:val="E36C0A" w:themeColor="accent6" w:themeShade="BF"/>
      <w:lang w:val="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4">
    <w:name w:val="Grid Table 6 Colorful Accent 4"/>
    <w:basedOn w:val="TableNormal"/>
    <w:uiPriority w:val="51"/>
    <w:rsid w:val="008E076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4">
    <w:name w:val="Grid Table 4 Accent 4"/>
    <w:basedOn w:val="TableNormal"/>
    <w:uiPriority w:val="49"/>
    <w:rsid w:val="008E076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4">
    <w:name w:val="Grid Table 5 Dark Accent 4"/>
    <w:basedOn w:val="TableNormal"/>
    <w:uiPriority w:val="50"/>
    <w:rsid w:val="008E07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Lev11">
    <w:name w:val="Lev 11"/>
    <w:next w:val="Normal"/>
    <w:uiPriority w:val="9"/>
    <w:qFormat/>
    <w:rsid w:val="008E0762"/>
    <w:pPr>
      <w:keepNext/>
      <w:keepLines/>
      <w:pageBreakBefore/>
      <w:spacing w:after="520" w:line="240" w:lineRule="auto"/>
      <w:ind w:left="502" w:hanging="360"/>
      <w:outlineLvl w:val="0"/>
    </w:pPr>
    <w:rPr>
      <w:rFonts w:ascii="Segoe UI" w:eastAsia="MS Gothic" w:hAnsi="Segoe UI" w:cs="Times New Roman"/>
      <w:b/>
      <w:bCs/>
      <w:color w:val="884C91"/>
      <w:sz w:val="40"/>
      <w:szCs w:val="28"/>
    </w:rPr>
  </w:style>
  <w:style w:type="paragraph" w:customStyle="1" w:styleId="Lev21">
    <w:name w:val="Lev 21"/>
    <w:basedOn w:val="Heading1"/>
    <w:next w:val="Normal"/>
    <w:uiPriority w:val="9"/>
    <w:qFormat/>
    <w:rsid w:val="00F302A9"/>
    <w:pPr>
      <w:keepLines/>
      <w:spacing w:before="360"/>
      <w:ind w:left="792" w:hanging="432"/>
      <w:jc w:val="left"/>
      <w:outlineLvl w:val="1"/>
    </w:pPr>
    <w:rPr>
      <w:rFonts w:ascii="Segoe UI" w:eastAsiaTheme="majorEastAsia" w:hAnsi="Segoe UI" w:cstheme="majorBidi"/>
      <w:smallCaps w:val="0"/>
      <w:color w:val="884C91"/>
      <w:sz w:val="28"/>
      <w:szCs w:val="26"/>
    </w:rPr>
  </w:style>
  <w:style w:type="paragraph" w:customStyle="1" w:styleId="berschrift71">
    <w:name w:val="Überschrift 71"/>
    <w:basedOn w:val="Normal"/>
    <w:next w:val="Normal"/>
    <w:uiPriority w:val="9"/>
    <w:semiHidden/>
    <w:rsid w:val="008E0762"/>
    <w:pPr>
      <w:keepNext/>
      <w:keepLines/>
      <w:spacing w:before="200" w:after="0"/>
      <w:ind w:left="3240" w:hanging="1080"/>
      <w:jc w:val="left"/>
      <w:outlineLvl w:val="6"/>
    </w:pPr>
    <w:rPr>
      <w:rFonts w:ascii="Cambria" w:eastAsia="MS Gothic" w:hAnsi="Cambria"/>
      <w:i/>
      <w:iCs/>
      <w:color w:val="636274"/>
      <w:sz w:val="22"/>
      <w:szCs w:val="22"/>
    </w:rPr>
  </w:style>
  <w:style w:type="paragraph" w:customStyle="1" w:styleId="berschrift81">
    <w:name w:val="Überschrift 81"/>
    <w:basedOn w:val="Normal"/>
    <w:next w:val="Normal"/>
    <w:uiPriority w:val="9"/>
    <w:semiHidden/>
    <w:unhideWhenUsed/>
    <w:qFormat/>
    <w:rsid w:val="008E0762"/>
    <w:pPr>
      <w:keepNext/>
      <w:keepLines/>
      <w:spacing w:before="200" w:after="0"/>
      <w:ind w:left="3744" w:hanging="1224"/>
      <w:jc w:val="left"/>
      <w:outlineLvl w:val="7"/>
    </w:pPr>
    <w:rPr>
      <w:rFonts w:ascii="Cambria" w:eastAsia="MS Gothic" w:hAnsi="Cambria"/>
      <w:color w:val="636274"/>
      <w:sz w:val="20"/>
      <w:szCs w:val="20"/>
    </w:rPr>
  </w:style>
  <w:style w:type="paragraph" w:customStyle="1" w:styleId="berschrift91">
    <w:name w:val="Überschrift 91"/>
    <w:basedOn w:val="Normal"/>
    <w:next w:val="Normal"/>
    <w:uiPriority w:val="9"/>
    <w:semiHidden/>
    <w:unhideWhenUsed/>
    <w:qFormat/>
    <w:rsid w:val="008E0762"/>
    <w:pPr>
      <w:keepNext/>
      <w:keepLines/>
      <w:spacing w:before="200" w:after="0"/>
      <w:ind w:left="4320" w:hanging="1440"/>
      <w:jc w:val="left"/>
      <w:outlineLvl w:val="8"/>
    </w:pPr>
    <w:rPr>
      <w:rFonts w:ascii="Cambria" w:eastAsia="MS Gothic" w:hAnsi="Cambria"/>
      <w:i/>
      <w:iCs/>
      <w:color w:val="636274"/>
      <w:sz w:val="20"/>
      <w:szCs w:val="20"/>
    </w:rPr>
  </w:style>
  <w:style w:type="character" w:customStyle="1" w:styleId="Seitenzahl1">
    <w:name w:val="Seitenzahl1"/>
    <w:basedOn w:val="DefaultParagraphFont"/>
    <w:rsid w:val="008E0762"/>
    <w:rPr>
      <w:rFonts w:ascii="Segoe UI" w:hAnsi="Segoe UI"/>
      <w:b/>
      <w:color w:val="FFFFFF"/>
      <w:sz w:val="20"/>
    </w:rPr>
  </w:style>
  <w:style w:type="paragraph" w:customStyle="1" w:styleId="Kommentartext1">
    <w:name w:val="Kommentartext1"/>
    <w:basedOn w:val="Normal"/>
    <w:next w:val="CommentText"/>
    <w:link w:val="KommentartextZchn"/>
    <w:uiPriority w:val="99"/>
    <w:unhideWhenUsed/>
    <w:rsid w:val="008E0762"/>
    <w:pPr>
      <w:spacing w:after="0"/>
      <w:jc w:val="left"/>
    </w:pPr>
    <w:rPr>
      <w:rFonts w:asciiTheme="minorHAnsi" w:hAnsiTheme="minorHAnsi" w:cstheme="minorBidi"/>
      <w:sz w:val="20"/>
      <w:szCs w:val="20"/>
      <w:lang w:val="de-DE"/>
    </w:rPr>
  </w:style>
  <w:style w:type="character" w:customStyle="1" w:styleId="KommentartextZchn">
    <w:name w:val="Kommentartext Zchn"/>
    <w:basedOn w:val="DefaultParagraphFont"/>
    <w:link w:val="Kommentartext1"/>
    <w:uiPriority w:val="99"/>
    <w:rsid w:val="008E0762"/>
    <w:rPr>
      <w:sz w:val="20"/>
      <w:szCs w:val="20"/>
      <w:lang w:val="de-DE"/>
    </w:rPr>
  </w:style>
  <w:style w:type="table" w:styleId="PlainTable4">
    <w:name w:val="Plain Table 4"/>
    <w:basedOn w:val="TableNormal"/>
    <w:uiPriority w:val="44"/>
    <w:rsid w:val="008E07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VIfnrCarCarCarCarCharCharCharChar">
    <w:name w:val="BVI fnr Car Car Car Car Char Char Char Char"/>
    <w:basedOn w:val="Normal"/>
    <w:uiPriority w:val="99"/>
    <w:rsid w:val="008E0762"/>
    <w:pPr>
      <w:spacing w:before="200" w:after="160" w:line="240" w:lineRule="exact"/>
    </w:pPr>
    <w:rPr>
      <w:rFonts w:ascii="Verdana" w:hAnsi="Verdana" w:cstheme="majorBidi"/>
      <w:sz w:val="18"/>
      <w:szCs w:val="26"/>
      <w:vertAlign w:val="superscript"/>
      <w:lang w:val="nl-BE"/>
    </w:rPr>
  </w:style>
  <w:style w:type="character" w:customStyle="1" w:styleId="Mention30">
    <w:name w:val="Mention30"/>
    <w:basedOn w:val="DefaultParagraphFont"/>
    <w:uiPriority w:val="99"/>
    <w:unhideWhenUsed/>
    <w:rsid w:val="00BB30D2"/>
    <w:rPr>
      <w:color w:val="2B579A"/>
      <w:shd w:val="clear" w:color="auto" w:fill="E1DFDD"/>
    </w:rPr>
  </w:style>
  <w:style w:type="character" w:customStyle="1" w:styleId="UnresolvedMention30">
    <w:name w:val="Unresolved Mention30"/>
    <w:basedOn w:val="DefaultParagraphFont"/>
    <w:uiPriority w:val="99"/>
    <w:unhideWhenUsed/>
    <w:rsid w:val="009D3AAB"/>
    <w:rPr>
      <w:color w:val="605E5C"/>
      <w:shd w:val="clear" w:color="auto" w:fill="E1DFDD"/>
    </w:rPr>
  </w:style>
  <w:style w:type="paragraph" w:styleId="Subtitle">
    <w:name w:val="Subtitle"/>
    <w:basedOn w:val="Normal"/>
    <w:next w:val="Normal"/>
    <w:link w:val="SubtitleChar"/>
    <w:uiPriority w:val="11"/>
    <w:qFormat/>
    <w:rsid w:val="00096212"/>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096212"/>
    <w:rPr>
      <w:rFonts w:eastAsiaTheme="minorEastAsia"/>
      <w:color w:val="5A5A5A" w:themeColor="text1" w:themeTint="A5"/>
      <w:spacing w:val="15"/>
      <w:lang w:val="en-US"/>
    </w:rPr>
  </w:style>
  <w:style w:type="table" w:styleId="GridTable4-Accent6">
    <w:name w:val="Grid Table 4 Accent 6"/>
    <w:basedOn w:val="TableNormal"/>
    <w:uiPriority w:val="49"/>
    <w:rsid w:val="00096212"/>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4">
    <w:name w:val="Unresolved Mention4"/>
    <w:basedOn w:val="DefaultParagraphFont"/>
    <w:uiPriority w:val="99"/>
    <w:unhideWhenUsed/>
    <w:rsid w:val="009D1AE7"/>
    <w:rPr>
      <w:color w:val="605E5C"/>
      <w:shd w:val="clear" w:color="auto" w:fill="E1DFDD"/>
    </w:rPr>
  </w:style>
  <w:style w:type="character" w:customStyle="1" w:styleId="Mention4">
    <w:name w:val="Mention4"/>
    <w:basedOn w:val="DefaultParagraphFont"/>
    <w:uiPriority w:val="99"/>
    <w:unhideWhenUsed/>
    <w:rsid w:val="003D6427"/>
    <w:rPr>
      <w:color w:val="2B579A"/>
      <w:shd w:val="clear" w:color="auto" w:fill="E6E6E6"/>
    </w:rPr>
  </w:style>
  <w:style w:type="character" w:customStyle="1" w:styleId="Mention40">
    <w:name w:val="Mention40"/>
    <w:basedOn w:val="DefaultParagraphFont"/>
    <w:uiPriority w:val="99"/>
    <w:unhideWhenUsed/>
    <w:rsid w:val="00D529DE"/>
    <w:rPr>
      <w:color w:val="2B579A"/>
      <w:shd w:val="clear" w:color="auto" w:fill="E1DFDD"/>
    </w:rPr>
  </w:style>
  <w:style w:type="character" w:customStyle="1" w:styleId="UnresolvedMention5">
    <w:name w:val="Unresolved Mention5"/>
    <w:basedOn w:val="DefaultParagraphFont"/>
    <w:uiPriority w:val="99"/>
    <w:unhideWhenUsed/>
    <w:rsid w:val="00D529DE"/>
    <w:rPr>
      <w:color w:val="605E5C"/>
      <w:shd w:val="clear" w:color="auto" w:fill="E1DFDD"/>
    </w:rPr>
  </w:style>
  <w:style w:type="character" w:customStyle="1" w:styleId="Mention5">
    <w:name w:val="Mention5"/>
    <w:basedOn w:val="DefaultParagraphFont"/>
    <w:uiPriority w:val="99"/>
    <w:unhideWhenUsed/>
    <w:rsid w:val="00D529DE"/>
    <w:rPr>
      <w:color w:val="2B579A"/>
      <w:shd w:val="clear" w:color="auto" w:fill="E1DFDD"/>
    </w:rPr>
  </w:style>
  <w:style w:type="character" w:customStyle="1" w:styleId="UnresolvedMention6">
    <w:name w:val="Unresolved Mention6"/>
    <w:basedOn w:val="DefaultParagraphFont"/>
    <w:uiPriority w:val="99"/>
    <w:unhideWhenUsed/>
    <w:rsid w:val="00AD7B3E"/>
    <w:rPr>
      <w:color w:val="605E5C"/>
      <w:shd w:val="clear" w:color="auto" w:fill="E1DFDD"/>
    </w:rPr>
  </w:style>
  <w:style w:type="character" w:customStyle="1" w:styleId="Mention6">
    <w:name w:val="Mention6"/>
    <w:basedOn w:val="DefaultParagraphFont"/>
    <w:uiPriority w:val="99"/>
    <w:unhideWhenUsed/>
    <w:rsid w:val="00AD7B3E"/>
    <w:rPr>
      <w:color w:val="2B579A"/>
      <w:shd w:val="clear" w:color="auto" w:fill="E1DFDD"/>
    </w:rPr>
  </w:style>
  <w:style w:type="character" w:customStyle="1" w:styleId="Mention7">
    <w:name w:val="Mention7"/>
    <w:basedOn w:val="DefaultParagraphFont"/>
    <w:uiPriority w:val="99"/>
    <w:unhideWhenUsed/>
    <w:rsid w:val="0009314C"/>
    <w:rPr>
      <w:color w:val="2B579A"/>
      <w:shd w:val="clear" w:color="auto" w:fill="E6E6E6"/>
    </w:rPr>
  </w:style>
  <w:style w:type="character" w:customStyle="1" w:styleId="UnresolvedMention7">
    <w:name w:val="Unresolved Mention7"/>
    <w:basedOn w:val="DefaultParagraphFont"/>
    <w:uiPriority w:val="99"/>
    <w:unhideWhenUsed/>
    <w:rsid w:val="00307E93"/>
    <w:rPr>
      <w:color w:val="605E5C"/>
      <w:shd w:val="clear" w:color="auto" w:fill="E1DFDD"/>
    </w:rPr>
  </w:style>
  <w:style w:type="character" w:customStyle="1" w:styleId="UnresolvedMention8">
    <w:name w:val="Unresolved Mention8"/>
    <w:basedOn w:val="DefaultParagraphFont"/>
    <w:uiPriority w:val="99"/>
    <w:semiHidden/>
    <w:unhideWhenUsed/>
    <w:rsid w:val="00D35E74"/>
    <w:rPr>
      <w:color w:val="605E5C"/>
      <w:shd w:val="clear" w:color="auto" w:fill="E1DFDD"/>
    </w:rPr>
  </w:style>
  <w:style w:type="character" w:customStyle="1" w:styleId="Mention8">
    <w:name w:val="Mention8"/>
    <w:basedOn w:val="DefaultParagraphFont"/>
    <w:uiPriority w:val="99"/>
    <w:unhideWhenUsed/>
    <w:rsid w:val="00990A72"/>
    <w:rPr>
      <w:color w:val="2B579A"/>
      <w:shd w:val="clear" w:color="auto" w:fill="E1DFDD"/>
    </w:rPr>
  </w:style>
  <w:style w:type="character" w:customStyle="1" w:styleId="UnresolvedMention9">
    <w:name w:val="Unresolved Mention9"/>
    <w:basedOn w:val="DefaultParagraphFont"/>
    <w:uiPriority w:val="99"/>
    <w:unhideWhenUsed/>
    <w:rsid w:val="00A44438"/>
    <w:rPr>
      <w:color w:val="605E5C"/>
      <w:shd w:val="clear" w:color="auto" w:fill="E1DFDD"/>
    </w:rPr>
  </w:style>
  <w:style w:type="character" w:customStyle="1" w:styleId="Mention9">
    <w:name w:val="Mention9"/>
    <w:basedOn w:val="DefaultParagraphFont"/>
    <w:uiPriority w:val="99"/>
    <w:unhideWhenUsed/>
    <w:rsid w:val="00A44438"/>
    <w:rPr>
      <w:color w:val="2B579A"/>
      <w:shd w:val="clear" w:color="auto" w:fill="E1DFDD"/>
    </w:rPr>
  </w:style>
  <w:style w:type="character" w:customStyle="1" w:styleId="UnresolvedMention90">
    <w:name w:val="Unresolved Mention90"/>
    <w:basedOn w:val="DefaultParagraphFont"/>
    <w:uiPriority w:val="99"/>
    <w:unhideWhenUsed/>
    <w:rsid w:val="00C57370"/>
    <w:rPr>
      <w:color w:val="605E5C"/>
      <w:shd w:val="clear" w:color="auto" w:fill="E1DFDD"/>
    </w:rPr>
  </w:style>
  <w:style w:type="character" w:customStyle="1" w:styleId="Mention90">
    <w:name w:val="Mention90"/>
    <w:basedOn w:val="DefaultParagraphFont"/>
    <w:uiPriority w:val="99"/>
    <w:unhideWhenUsed/>
    <w:rsid w:val="00C57370"/>
    <w:rPr>
      <w:color w:val="2B579A"/>
      <w:shd w:val="clear" w:color="auto" w:fill="E1DFDD"/>
    </w:rPr>
  </w:style>
  <w:style w:type="character" w:customStyle="1" w:styleId="UnresolvedMention10">
    <w:name w:val="Unresolved Mention10"/>
    <w:basedOn w:val="DefaultParagraphFont"/>
    <w:uiPriority w:val="99"/>
    <w:unhideWhenUsed/>
    <w:rsid w:val="00514503"/>
    <w:rPr>
      <w:color w:val="605E5C"/>
      <w:shd w:val="clear" w:color="auto" w:fill="E1DFDD"/>
    </w:rPr>
  </w:style>
  <w:style w:type="character" w:customStyle="1" w:styleId="Mention10">
    <w:name w:val="Mention10"/>
    <w:basedOn w:val="DefaultParagraphFont"/>
    <w:uiPriority w:val="99"/>
    <w:unhideWhenUsed/>
    <w:rsid w:val="00514503"/>
    <w:rPr>
      <w:color w:val="2B579A"/>
      <w:shd w:val="clear" w:color="auto" w:fill="E1DFDD"/>
    </w:rPr>
  </w:style>
  <w:style w:type="table" w:customStyle="1" w:styleId="CV14">
    <w:name w:val="CV14"/>
    <w:basedOn w:val="TableNormal"/>
    <w:next w:val="TableGrid"/>
    <w:uiPriority w:val="39"/>
    <w:rsid w:val="005B4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rsid w:val="005B4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unhideWhenUsed/>
    <w:rsid w:val="00D14442"/>
    <w:rPr>
      <w:color w:val="605E5C"/>
      <w:shd w:val="clear" w:color="auto" w:fill="E1DFDD"/>
    </w:rPr>
  </w:style>
  <w:style w:type="character" w:customStyle="1" w:styleId="Mention11">
    <w:name w:val="Mention11"/>
    <w:basedOn w:val="DefaultParagraphFont"/>
    <w:uiPriority w:val="99"/>
    <w:unhideWhenUsed/>
    <w:rsid w:val="00D14442"/>
    <w:rPr>
      <w:color w:val="2B579A"/>
      <w:shd w:val="clear" w:color="auto" w:fill="E1DFDD"/>
    </w:rPr>
  </w:style>
  <w:style w:type="paragraph" w:styleId="BodyText">
    <w:name w:val="Body Text"/>
    <w:basedOn w:val="Normal"/>
    <w:link w:val="BodyTextChar"/>
    <w:unhideWhenUsed/>
    <w:qFormat/>
    <w:rsid w:val="00FA3E04"/>
    <w:pPr>
      <w:spacing w:after="120"/>
      <w:jc w:val="left"/>
    </w:pPr>
    <w:rPr>
      <w:rFonts w:asciiTheme="minorHAnsi" w:hAnsiTheme="minorHAnsi" w:cstheme="minorBidi"/>
      <w:sz w:val="22"/>
      <w:szCs w:val="22"/>
    </w:rPr>
  </w:style>
  <w:style w:type="character" w:customStyle="1" w:styleId="UnresolvedMention150">
    <w:name w:val="Unresolved Mention150"/>
    <w:basedOn w:val="DefaultParagraphFont"/>
    <w:uiPriority w:val="99"/>
    <w:unhideWhenUsed/>
    <w:rsid w:val="00FC10ED"/>
    <w:rPr>
      <w:color w:val="605E5C"/>
      <w:shd w:val="clear" w:color="auto" w:fill="E1DFDD"/>
    </w:rPr>
  </w:style>
  <w:style w:type="character" w:customStyle="1" w:styleId="Mention12">
    <w:name w:val="Mention12"/>
    <w:basedOn w:val="DefaultParagraphFont"/>
    <w:uiPriority w:val="99"/>
    <w:unhideWhenUsed/>
    <w:rsid w:val="00BC1872"/>
    <w:rPr>
      <w:color w:val="2B579A"/>
      <w:shd w:val="clear" w:color="auto" w:fill="E6E6E6"/>
    </w:rPr>
  </w:style>
  <w:style w:type="character" w:customStyle="1" w:styleId="UnresolvedMention12">
    <w:name w:val="Unresolved Mention12"/>
    <w:basedOn w:val="DefaultParagraphFont"/>
    <w:uiPriority w:val="99"/>
    <w:unhideWhenUsed/>
    <w:rsid w:val="00BC1872"/>
    <w:rPr>
      <w:color w:val="605E5C"/>
      <w:shd w:val="clear" w:color="auto" w:fill="E1DFDD"/>
    </w:rPr>
  </w:style>
  <w:style w:type="character" w:customStyle="1" w:styleId="UnresolvedMention13">
    <w:name w:val="Unresolved Mention13"/>
    <w:basedOn w:val="DefaultParagraphFont"/>
    <w:uiPriority w:val="99"/>
    <w:semiHidden/>
    <w:unhideWhenUsed/>
    <w:rsid w:val="00BC1872"/>
    <w:rPr>
      <w:color w:val="605E5C"/>
      <w:shd w:val="clear" w:color="auto" w:fill="E1DFDD"/>
    </w:rPr>
  </w:style>
  <w:style w:type="character" w:customStyle="1" w:styleId="Mention13">
    <w:name w:val="Mention13"/>
    <w:basedOn w:val="DefaultParagraphFont"/>
    <w:uiPriority w:val="99"/>
    <w:unhideWhenUsed/>
    <w:rsid w:val="00BC1872"/>
    <w:rPr>
      <w:color w:val="2B579A"/>
      <w:shd w:val="clear" w:color="auto" w:fill="E6E6E6"/>
    </w:rPr>
  </w:style>
  <w:style w:type="table" w:customStyle="1" w:styleId="AmecFosterWheelerReportTableBW">
    <w:name w:val="Amec Foster Wheeler Report Table B+W"/>
    <w:basedOn w:val="TableNormal"/>
    <w:uiPriority w:val="99"/>
    <w:qFormat/>
    <w:rsid w:val="00BC1872"/>
    <w:pPr>
      <w:spacing w:after="0" w:line="240" w:lineRule="auto"/>
    </w:pPr>
    <w:rPr>
      <w:rFonts w:ascii="Arial" w:hAnsi="Arial"/>
      <w:color w:val="28272F"/>
      <w:sz w:val="20"/>
    </w:rPr>
    <w:tblPr>
      <w:tblStyleRowBandSize w:val="1"/>
      <w:tblStyleColBandSize w:val="1"/>
      <w:tblInd w:w="113" w:type="dxa"/>
      <w:tblBorders>
        <w:bottom w:val="single" w:sz="4" w:space="0" w:color="auto"/>
      </w:tblBorders>
      <w:tblCellMar>
        <w:top w:w="113" w:type="dxa"/>
        <w:bottom w:w="113" w:type="dxa"/>
      </w:tblCellMar>
    </w:tblPr>
    <w:tblStylePr w:type="firstRow">
      <w:pPr>
        <w:spacing w:before="0" w:after="0" w:line="240" w:lineRule="auto"/>
      </w:pPr>
      <w:rPr>
        <w:rFonts w:ascii="Arial" w:hAnsi="Arial"/>
        <w:b/>
        <w:bCs/>
        <w:color w:val="auto"/>
        <w:sz w:val="20"/>
      </w:rPr>
      <w:tblPr/>
      <w:tcPr>
        <w:tcBorders>
          <w:top w:val="single" w:sz="4" w:space="0" w:color="auto"/>
          <w:left w:val="nil"/>
          <w:bottom w:val="single" w:sz="4" w:space="0" w:color="auto"/>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AEAEA"/>
      </w:tcPr>
    </w:tblStylePr>
    <w:tblStylePr w:type="band2Horz">
      <w:tblPr/>
      <w:tcPr>
        <w:shd w:val="clear" w:color="auto" w:fill="FFFFFF"/>
      </w:tcPr>
    </w:tblStylePr>
  </w:style>
  <w:style w:type="character" w:customStyle="1" w:styleId="Mention14">
    <w:name w:val="Mention14"/>
    <w:basedOn w:val="DefaultParagraphFont"/>
    <w:uiPriority w:val="99"/>
    <w:unhideWhenUsed/>
    <w:rsid w:val="00BC1872"/>
    <w:rPr>
      <w:color w:val="2B579A"/>
      <w:shd w:val="clear" w:color="auto" w:fill="E1DFDD"/>
    </w:rPr>
  </w:style>
  <w:style w:type="character" w:customStyle="1" w:styleId="UnresolvedMention14">
    <w:name w:val="Unresolved Mention14"/>
    <w:basedOn w:val="DefaultParagraphFont"/>
    <w:uiPriority w:val="99"/>
    <w:unhideWhenUsed/>
    <w:rsid w:val="00BC1872"/>
    <w:rPr>
      <w:color w:val="605E5C"/>
      <w:shd w:val="clear" w:color="auto" w:fill="E1DFDD"/>
    </w:rPr>
  </w:style>
  <w:style w:type="character" w:customStyle="1" w:styleId="UnresolvedMention140">
    <w:name w:val="Unresolved Mention140"/>
    <w:basedOn w:val="DefaultParagraphFont"/>
    <w:uiPriority w:val="99"/>
    <w:unhideWhenUsed/>
    <w:rsid w:val="00BC1872"/>
    <w:rPr>
      <w:color w:val="605E5C"/>
      <w:shd w:val="clear" w:color="auto" w:fill="E1DFDD"/>
    </w:rPr>
  </w:style>
  <w:style w:type="character" w:customStyle="1" w:styleId="Mention140">
    <w:name w:val="Mention140"/>
    <w:basedOn w:val="DefaultParagraphFont"/>
    <w:uiPriority w:val="99"/>
    <w:unhideWhenUsed/>
    <w:rsid w:val="00BC1872"/>
    <w:rPr>
      <w:color w:val="2B579A"/>
      <w:shd w:val="clear" w:color="auto" w:fill="E1DFDD"/>
    </w:rPr>
  </w:style>
  <w:style w:type="character" w:customStyle="1" w:styleId="UnresolvedMention15">
    <w:name w:val="Unresolved Mention15"/>
    <w:basedOn w:val="DefaultParagraphFont"/>
    <w:uiPriority w:val="99"/>
    <w:semiHidden/>
    <w:unhideWhenUsed/>
    <w:rsid w:val="00E40997"/>
    <w:rPr>
      <w:color w:val="605E5C"/>
      <w:shd w:val="clear" w:color="auto" w:fill="E1DFDD"/>
    </w:rPr>
  </w:style>
  <w:style w:type="paragraph" w:customStyle="1" w:styleId="JRCText">
    <w:name w:val="JRC_Text"/>
    <w:basedOn w:val="Normal"/>
    <w:link w:val="JRCTextChar"/>
    <w:qFormat/>
    <w:rsid w:val="00BC1872"/>
    <w:pPr>
      <w:spacing w:before="120" w:after="120"/>
    </w:pPr>
    <w:rPr>
      <w:rFonts w:ascii="EC Square Sans Pro" w:eastAsia="Calibri" w:hAnsi="EC Square Sans Pro"/>
      <w:sz w:val="20"/>
      <w:szCs w:val="22"/>
    </w:rPr>
  </w:style>
  <w:style w:type="paragraph" w:customStyle="1" w:styleId="JRCLevel-2title">
    <w:name w:val="JRC_Level-2_title"/>
    <w:basedOn w:val="Heading2"/>
    <w:next w:val="JRCText"/>
    <w:qFormat/>
    <w:rsid w:val="00BC1872"/>
    <w:pPr>
      <w:keepLines/>
      <w:spacing w:before="240" w:after="120"/>
      <w:ind w:left="576" w:hanging="576"/>
    </w:pPr>
    <w:rPr>
      <w:rFonts w:ascii="EC Square Sans Pro" w:hAnsi="EC Square Sans Pro"/>
      <w:bCs/>
      <w:iCs/>
      <w:szCs w:val="26"/>
    </w:rPr>
  </w:style>
  <w:style w:type="paragraph" w:customStyle="1" w:styleId="JRCLevel-1title">
    <w:name w:val="JRC_Level-1_title"/>
    <w:basedOn w:val="Heading1"/>
    <w:next w:val="JRCText"/>
    <w:qFormat/>
    <w:rsid w:val="00B74F3E"/>
    <w:pPr>
      <w:keepLines/>
      <w:pageBreakBefore/>
      <w:spacing w:before="0" w:after="120"/>
      <w:ind w:left="432" w:hanging="432"/>
      <w:jc w:val="left"/>
    </w:pPr>
    <w:rPr>
      <w:rFonts w:ascii="EC Square Sans Pro" w:eastAsia="Tahoma" w:hAnsi="EC Square Sans Pro"/>
      <w:smallCaps w:val="0"/>
      <w:sz w:val="26"/>
      <w:szCs w:val="24"/>
    </w:rPr>
  </w:style>
  <w:style w:type="paragraph" w:customStyle="1" w:styleId="JRCLevel-4title">
    <w:name w:val="JRC_Level-4_title"/>
    <w:basedOn w:val="Normal"/>
    <w:next w:val="JRCText"/>
    <w:qFormat/>
    <w:rsid w:val="00BC1872"/>
    <w:pPr>
      <w:keepNext/>
      <w:keepLines/>
      <w:spacing w:before="240" w:after="120"/>
      <w:ind w:left="1572" w:hanging="864"/>
      <w:jc w:val="left"/>
    </w:pPr>
    <w:rPr>
      <w:rFonts w:ascii="EC Square Sans Pro" w:eastAsia="Times New Roman" w:hAnsi="EC Square Sans Pro"/>
      <w:b/>
      <w:i/>
      <w:sz w:val="20"/>
      <w:szCs w:val="22"/>
      <w:lang w:eastAsia="en-GB"/>
    </w:rPr>
  </w:style>
  <w:style w:type="paragraph" w:customStyle="1" w:styleId="JRCLevel-3title">
    <w:name w:val="JRC_Level-3_title"/>
    <w:basedOn w:val="Heading3"/>
    <w:next w:val="JRCText"/>
    <w:qFormat/>
    <w:rsid w:val="00BC1872"/>
    <w:pPr>
      <w:keepLines/>
      <w:tabs>
        <w:tab w:val="clear" w:pos="1920"/>
      </w:tabs>
      <w:spacing w:before="240" w:after="120"/>
      <w:ind w:left="720"/>
    </w:pPr>
    <w:rPr>
      <w:rFonts w:ascii="EC Square Sans Pro" w:hAnsi="EC Square Sans Pro"/>
      <w:b/>
      <w:bCs/>
      <w:i w:val="0"/>
      <w:sz w:val="22"/>
      <w:szCs w:val="24"/>
    </w:rPr>
  </w:style>
  <w:style w:type="paragraph" w:customStyle="1" w:styleId="JRCLevel-5title">
    <w:name w:val="JRC_Level-5_title"/>
    <w:basedOn w:val="Normal"/>
    <w:next w:val="JRCText"/>
    <w:qFormat/>
    <w:rsid w:val="00BC1872"/>
    <w:pPr>
      <w:keepNext/>
      <w:keepLines/>
      <w:spacing w:before="200" w:after="0"/>
      <w:ind w:left="1008" w:hanging="1008"/>
      <w:jc w:val="left"/>
      <w:outlineLvl w:val="4"/>
    </w:pPr>
    <w:rPr>
      <w:rFonts w:ascii="EC Square Sans Pro" w:eastAsia="Times New Roman" w:hAnsi="EC Square Sans Pro"/>
      <w:sz w:val="20"/>
      <w:szCs w:val="22"/>
      <w:lang w:eastAsia="en-GB"/>
    </w:rPr>
  </w:style>
  <w:style w:type="paragraph" w:customStyle="1" w:styleId="JRCLevel-2Backtitle">
    <w:name w:val="JRC_Level-2_Back_title"/>
    <w:basedOn w:val="Normal"/>
    <w:next w:val="JRCText"/>
    <w:link w:val="JRCLevel-2BacktitleChar"/>
    <w:qFormat/>
    <w:rsid w:val="00BC1872"/>
    <w:pPr>
      <w:keepNext/>
      <w:spacing w:before="120" w:after="120"/>
      <w:jc w:val="left"/>
      <w:outlineLvl w:val="1"/>
    </w:pPr>
    <w:rPr>
      <w:rFonts w:ascii="EC Square Sans Pro" w:eastAsia="Calibri" w:hAnsi="EC Square Sans Pro"/>
      <w:b/>
      <w:sz w:val="20"/>
      <w:szCs w:val="22"/>
    </w:rPr>
  </w:style>
  <w:style w:type="character" w:customStyle="1" w:styleId="JRCLevel-2BacktitleChar">
    <w:name w:val="JRC_Level-2_Back_title Char"/>
    <w:link w:val="JRCLevel-2Backtitle"/>
    <w:rsid w:val="00BC1872"/>
    <w:rPr>
      <w:rFonts w:ascii="EC Square Sans Pro" w:eastAsia="Calibri" w:hAnsi="EC Square Sans Pro" w:cs="Times New Roman"/>
      <w:b/>
      <w:sz w:val="20"/>
    </w:rPr>
  </w:style>
  <w:style w:type="paragraph" w:customStyle="1" w:styleId="JRCBoxtitle">
    <w:name w:val="JRC_Box_title"/>
    <w:basedOn w:val="Normal"/>
    <w:qFormat/>
    <w:rsid w:val="00BC1872"/>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EC Square Sans Pro" w:eastAsia="Times New Roman" w:hAnsi="EC Square Sans Pro"/>
      <w:sz w:val="18"/>
      <w:szCs w:val="22"/>
      <w:lang w:eastAsia="en-GB"/>
    </w:rPr>
  </w:style>
  <w:style w:type="table" w:customStyle="1" w:styleId="TableGrid4">
    <w:name w:val="Table Grid4"/>
    <w:basedOn w:val="TableNormal"/>
    <w:next w:val="TableGrid"/>
    <w:rsid w:val="00BC18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A3E04"/>
  </w:style>
  <w:style w:type="paragraph" w:customStyle="1" w:styleId="pf0">
    <w:name w:val="pf0"/>
    <w:basedOn w:val="Normal"/>
    <w:rsid w:val="00FA3E04"/>
    <w:pPr>
      <w:spacing w:before="100" w:beforeAutospacing="1" w:after="100" w:afterAutospacing="1"/>
      <w:jc w:val="left"/>
    </w:pPr>
    <w:rPr>
      <w:rFonts w:eastAsia="Times New Roman"/>
      <w:lang w:eastAsia="en-GB"/>
    </w:rPr>
  </w:style>
  <w:style w:type="character" w:customStyle="1" w:styleId="cf01">
    <w:name w:val="cf01"/>
    <w:basedOn w:val="DefaultParagraphFont"/>
    <w:rsid w:val="00FA3E04"/>
    <w:rPr>
      <w:rFonts w:ascii="Segoe UI" w:hAnsi="Segoe UI" w:cs="Segoe UI" w:hint="default"/>
      <w:sz w:val="18"/>
      <w:szCs w:val="18"/>
    </w:rPr>
  </w:style>
  <w:style w:type="character" w:customStyle="1" w:styleId="Mention15">
    <w:name w:val="Mention15"/>
    <w:basedOn w:val="DefaultParagraphFont"/>
    <w:uiPriority w:val="99"/>
    <w:unhideWhenUsed/>
    <w:rsid w:val="00E013A0"/>
    <w:rPr>
      <w:color w:val="2B579A"/>
      <w:shd w:val="clear" w:color="auto" w:fill="E1DFDD"/>
    </w:rPr>
  </w:style>
  <w:style w:type="character" w:customStyle="1" w:styleId="UnresolvedMention16">
    <w:name w:val="Unresolved Mention16"/>
    <w:basedOn w:val="DefaultParagraphFont"/>
    <w:uiPriority w:val="99"/>
    <w:unhideWhenUsed/>
    <w:rsid w:val="00E013A0"/>
    <w:rPr>
      <w:color w:val="605E5C"/>
      <w:shd w:val="clear" w:color="auto" w:fill="E1DFDD"/>
    </w:rPr>
  </w:style>
  <w:style w:type="character" w:customStyle="1" w:styleId="Mention16">
    <w:name w:val="Mention16"/>
    <w:basedOn w:val="DefaultParagraphFont"/>
    <w:uiPriority w:val="99"/>
    <w:unhideWhenUsed/>
    <w:rsid w:val="00D072DF"/>
    <w:rPr>
      <w:color w:val="2B579A"/>
      <w:shd w:val="clear" w:color="auto" w:fill="E1DFDD"/>
    </w:rPr>
  </w:style>
  <w:style w:type="character" w:customStyle="1" w:styleId="UnresolvedMention17">
    <w:name w:val="Unresolved Mention17"/>
    <w:basedOn w:val="DefaultParagraphFont"/>
    <w:uiPriority w:val="99"/>
    <w:unhideWhenUsed/>
    <w:rsid w:val="00BE5511"/>
    <w:rPr>
      <w:color w:val="605E5C"/>
      <w:shd w:val="clear" w:color="auto" w:fill="E1DFDD"/>
    </w:rPr>
  </w:style>
  <w:style w:type="character" w:customStyle="1" w:styleId="Mention160">
    <w:name w:val="Mention160"/>
    <w:basedOn w:val="DefaultParagraphFont"/>
    <w:uiPriority w:val="99"/>
    <w:unhideWhenUsed/>
    <w:rsid w:val="00983BC2"/>
    <w:rPr>
      <w:color w:val="2B579A"/>
      <w:shd w:val="clear" w:color="auto" w:fill="E1DFDD"/>
    </w:rPr>
  </w:style>
  <w:style w:type="character" w:customStyle="1" w:styleId="UnresolvedMention170">
    <w:name w:val="Unresolved Mention170"/>
    <w:basedOn w:val="DefaultParagraphFont"/>
    <w:uiPriority w:val="99"/>
    <w:unhideWhenUsed/>
    <w:rsid w:val="00983BC2"/>
    <w:rPr>
      <w:color w:val="605E5C"/>
      <w:shd w:val="clear" w:color="auto" w:fill="E1DFDD"/>
    </w:rPr>
  </w:style>
  <w:style w:type="character" w:customStyle="1" w:styleId="Mention17">
    <w:name w:val="Mention17"/>
    <w:basedOn w:val="DefaultParagraphFont"/>
    <w:uiPriority w:val="99"/>
    <w:unhideWhenUsed/>
    <w:rsid w:val="00FD63DE"/>
    <w:rPr>
      <w:color w:val="2B579A"/>
      <w:shd w:val="clear" w:color="auto" w:fill="E6E6E6"/>
    </w:rPr>
  </w:style>
  <w:style w:type="character" w:customStyle="1" w:styleId="UnresolvedMention18">
    <w:name w:val="Unresolved Mention18"/>
    <w:basedOn w:val="DefaultParagraphFont"/>
    <w:uiPriority w:val="99"/>
    <w:unhideWhenUsed/>
    <w:rsid w:val="0020790D"/>
    <w:rPr>
      <w:color w:val="605E5C"/>
      <w:shd w:val="clear" w:color="auto" w:fill="E1DFDD"/>
    </w:rPr>
  </w:style>
  <w:style w:type="character" w:customStyle="1" w:styleId="UnresolvedMention19">
    <w:name w:val="Unresolved Mention19"/>
    <w:basedOn w:val="DefaultParagraphFont"/>
    <w:uiPriority w:val="99"/>
    <w:semiHidden/>
    <w:unhideWhenUsed/>
    <w:rsid w:val="0068463B"/>
    <w:rPr>
      <w:color w:val="605E5C"/>
      <w:shd w:val="clear" w:color="auto" w:fill="E1DFDD"/>
    </w:rPr>
  </w:style>
  <w:style w:type="character" w:customStyle="1" w:styleId="UnresolvedMention20">
    <w:name w:val="Unresolved Mention20"/>
    <w:basedOn w:val="DefaultParagraphFont"/>
    <w:uiPriority w:val="99"/>
    <w:semiHidden/>
    <w:unhideWhenUsed/>
    <w:rsid w:val="00534624"/>
    <w:rPr>
      <w:color w:val="605E5C"/>
      <w:shd w:val="clear" w:color="auto" w:fill="E1DFDD"/>
    </w:rPr>
  </w:style>
  <w:style w:type="character" w:customStyle="1" w:styleId="Mention18">
    <w:name w:val="Mention18"/>
    <w:basedOn w:val="DefaultParagraphFont"/>
    <w:uiPriority w:val="99"/>
    <w:unhideWhenUsed/>
    <w:rsid w:val="00534624"/>
    <w:rPr>
      <w:color w:val="2B579A"/>
      <w:shd w:val="clear" w:color="auto" w:fill="E6E6E6"/>
    </w:rPr>
  </w:style>
  <w:style w:type="paragraph" w:customStyle="1" w:styleId="JRCFigurecaption">
    <w:name w:val="JRC_Figure_caption"/>
    <w:basedOn w:val="Normal"/>
    <w:next w:val="JRCText"/>
    <w:autoRedefine/>
    <w:qFormat/>
    <w:rsid w:val="003B6050"/>
    <w:pPr>
      <w:spacing w:before="120" w:after="120"/>
    </w:pPr>
    <w:rPr>
      <w:rFonts w:eastAsia="Calibri"/>
      <w:i/>
    </w:rPr>
  </w:style>
  <w:style w:type="paragraph" w:customStyle="1" w:styleId="JRCFiguresource">
    <w:name w:val="JRC_Figure_source"/>
    <w:basedOn w:val="Normal"/>
    <w:next w:val="JRCText"/>
    <w:autoRedefine/>
    <w:qFormat/>
    <w:rsid w:val="00F54798"/>
    <w:pPr>
      <w:spacing w:after="360"/>
      <w:jc w:val="center"/>
    </w:pPr>
    <w:rPr>
      <w:rFonts w:eastAsia="Times New Roman"/>
      <w:sz w:val="22"/>
      <w:szCs w:val="22"/>
    </w:rPr>
  </w:style>
  <w:style w:type="paragraph" w:customStyle="1" w:styleId="JRCTablesource">
    <w:name w:val="JRC_Table_source"/>
    <w:basedOn w:val="Normal"/>
    <w:next w:val="JRCText"/>
    <w:autoRedefine/>
    <w:qFormat/>
    <w:rsid w:val="00017476"/>
    <w:pPr>
      <w:spacing w:after="120"/>
    </w:pPr>
    <w:rPr>
      <w:rFonts w:ascii="EC Square Sans Pro" w:eastAsia="Times New Roman" w:hAnsi="EC Square Sans Pro"/>
      <w:sz w:val="20"/>
      <w:szCs w:val="28"/>
      <w:lang w:eastAsia="en-GB"/>
    </w:rPr>
  </w:style>
  <w:style w:type="paragraph" w:customStyle="1" w:styleId="JRCTabletitle">
    <w:name w:val="JRC_Table_title"/>
    <w:basedOn w:val="Normal"/>
    <w:autoRedefine/>
    <w:qFormat/>
    <w:rsid w:val="00A626F9"/>
    <w:pPr>
      <w:keepNext/>
      <w:spacing w:before="240" w:after="120"/>
      <w:jc w:val="center"/>
    </w:pPr>
    <w:rPr>
      <w:rFonts w:ascii="EC Square Sans Pro" w:eastAsia="Calibri" w:hAnsi="EC Square Sans Pro"/>
      <w:b/>
      <w:bCs/>
      <w:color w:val="000000"/>
      <w:sz w:val="18"/>
      <w:szCs w:val="22"/>
      <w:lang w:val="en-AU"/>
    </w:rPr>
  </w:style>
  <w:style w:type="character" w:customStyle="1" w:styleId="superscript">
    <w:name w:val="superscript"/>
    <w:basedOn w:val="DefaultParagraphFont"/>
    <w:rsid w:val="00A626F9"/>
  </w:style>
  <w:style w:type="table" w:styleId="GridTable1Light-Accent2">
    <w:name w:val="Grid Table 1 Light Accent 2"/>
    <w:basedOn w:val="TableNormal"/>
    <w:uiPriority w:val="46"/>
    <w:rsid w:val="00FC7F41"/>
    <w:pPr>
      <w:spacing w:after="0" w:line="240" w:lineRule="auto"/>
    </w:pPr>
    <w:rPr>
      <w:lang w:val="fr-CA" w:eastAsia="fr-C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EndnoteTextChar1">
    <w:name w:val="Endnote Text Char1"/>
    <w:basedOn w:val="DefaultParagraphFont"/>
    <w:uiPriority w:val="99"/>
    <w:semiHidden/>
    <w:rsid w:val="00FC7F41"/>
    <w:rPr>
      <w:sz w:val="20"/>
      <w:szCs w:val="20"/>
    </w:rPr>
  </w:style>
  <w:style w:type="paragraph" w:customStyle="1" w:styleId="StyleNumbering">
    <w:name w:val="Style Numbering"/>
    <w:basedOn w:val="ListParagraph"/>
    <w:qFormat/>
    <w:rsid w:val="00FC7F41"/>
    <w:pPr>
      <w:numPr>
        <w:numId w:val="43"/>
      </w:numPr>
      <w:tabs>
        <w:tab w:val="left" w:pos="357"/>
        <w:tab w:val="left" w:pos="720"/>
      </w:tabs>
      <w:spacing w:before="120" w:after="120"/>
      <w:jc w:val="left"/>
    </w:pPr>
    <w:rPr>
      <w:rFonts w:asciiTheme="minorHAnsi" w:eastAsia="Times New Roman" w:hAnsiTheme="minorHAnsi" w:cs="Arial"/>
      <w:lang w:eastAsia="en-GB"/>
    </w:rPr>
  </w:style>
  <w:style w:type="character" w:styleId="IntenseEmphasis">
    <w:name w:val="Intense Emphasis"/>
    <w:basedOn w:val="DefaultParagraphFont"/>
    <w:uiPriority w:val="21"/>
    <w:qFormat/>
    <w:rsid w:val="00FC7F41"/>
    <w:rPr>
      <w:i/>
      <w:iCs/>
      <w:color w:val="4F81BD" w:themeColor="accent1"/>
    </w:rPr>
  </w:style>
  <w:style w:type="character" w:customStyle="1" w:styleId="UnresolvedMention21">
    <w:name w:val="Unresolved Mention21"/>
    <w:basedOn w:val="DefaultParagraphFont"/>
    <w:uiPriority w:val="99"/>
    <w:unhideWhenUsed/>
    <w:rsid w:val="00A847E0"/>
    <w:rPr>
      <w:color w:val="605E5C"/>
      <w:shd w:val="clear" w:color="auto" w:fill="E1DFDD"/>
    </w:rPr>
  </w:style>
  <w:style w:type="character" w:customStyle="1" w:styleId="Mention19">
    <w:name w:val="Mention19"/>
    <w:basedOn w:val="DefaultParagraphFont"/>
    <w:uiPriority w:val="99"/>
    <w:unhideWhenUsed/>
    <w:rsid w:val="00A847E0"/>
    <w:rPr>
      <w:color w:val="2B579A"/>
      <w:shd w:val="clear" w:color="auto" w:fill="E1DFDD"/>
    </w:rPr>
  </w:style>
  <w:style w:type="character" w:customStyle="1" w:styleId="Mention20">
    <w:name w:val="Mention20"/>
    <w:basedOn w:val="DefaultParagraphFont"/>
    <w:uiPriority w:val="99"/>
    <w:unhideWhenUsed/>
    <w:rsid w:val="008B7BBA"/>
    <w:rPr>
      <w:color w:val="2B579A"/>
      <w:shd w:val="clear" w:color="auto" w:fill="E1DFDD"/>
    </w:rPr>
  </w:style>
  <w:style w:type="character" w:customStyle="1" w:styleId="Mention200">
    <w:name w:val="Mention200"/>
    <w:basedOn w:val="DefaultParagraphFont"/>
    <w:uiPriority w:val="99"/>
    <w:unhideWhenUsed/>
    <w:rsid w:val="00F33072"/>
    <w:rPr>
      <w:color w:val="2B579A"/>
      <w:shd w:val="clear" w:color="auto" w:fill="E6E6E6"/>
    </w:rPr>
  </w:style>
  <w:style w:type="character" w:customStyle="1" w:styleId="UnresolvedMention22">
    <w:name w:val="Unresolved Mention22"/>
    <w:basedOn w:val="DefaultParagraphFont"/>
    <w:uiPriority w:val="99"/>
    <w:unhideWhenUsed/>
    <w:rsid w:val="00845D72"/>
    <w:rPr>
      <w:color w:val="605E5C"/>
      <w:shd w:val="clear" w:color="auto" w:fill="E1DFDD"/>
    </w:rPr>
  </w:style>
  <w:style w:type="character" w:customStyle="1" w:styleId="Mention21">
    <w:name w:val="Mention21"/>
    <w:basedOn w:val="DefaultParagraphFont"/>
    <w:uiPriority w:val="99"/>
    <w:unhideWhenUsed/>
    <w:rsid w:val="00845D72"/>
    <w:rPr>
      <w:color w:val="2B579A"/>
      <w:shd w:val="clear" w:color="auto" w:fill="E1DFDD"/>
    </w:rPr>
  </w:style>
  <w:style w:type="character" w:customStyle="1" w:styleId="UnresolvedMention23">
    <w:name w:val="Unresolved Mention23"/>
    <w:basedOn w:val="DefaultParagraphFont"/>
    <w:uiPriority w:val="99"/>
    <w:unhideWhenUsed/>
    <w:rsid w:val="00E9737E"/>
    <w:rPr>
      <w:color w:val="605E5C"/>
      <w:shd w:val="clear" w:color="auto" w:fill="E1DFDD"/>
    </w:rPr>
  </w:style>
  <w:style w:type="character" w:customStyle="1" w:styleId="Mention22">
    <w:name w:val="Mention22"/>
    <w:basedOn w:val="DefaultParagraphFont"/>
    <w:uiPriority w:val="99"/>
    <w:unhideWhenUsed/>
    <w:rsid w:val="00E9737E"/>
    <w:rPr>
      <w:color w:val="2B579A"/>
      <w:shd w:val="clear" w:color="auto" w:fill="E1DFDD"/>
    </w:rPr>
  </w:style>
  <w:style w:type="character" w:customStyle="1" w:styleId="UnresolvedMention24">
    <w:name w:val="Unresolved Mention24"/>
    <w:basedOn w:val="DefaultParagraphFont"/>
    <w:uiPriority w:val="99"/>
    <w:unhideWhenUsed/>
    <w:rsid w:val="00B11888"/>
    <w:rPr>
      <w:color w:val="605E5C"/>
      <w:shd w:val="clear" w:color="auto" w:fill="E1DFDD"/>
    </w:rPr>
  </w:style>
  <w:style w:type="character" w:customStyle="1" w:styleId="Mention23">
    <w:name w:val="Mention23"/>
    <w:basedOn w:val="DefaultParagraphFont"/>
    <w:uiPriority w:val="99"/>
    <w:unhideWhenUsed/>
    <w:rsid w:val="00B11888"/>
    <w:rPr>
      <w:color w:val="2B579A"/>
      <w:shd w:val="clear" w:color="auto" w:fill="E1DFDD"/>
    </w:rPr>
  </w:style>
  <w:style w:type="character" w:customStyle="1" w:styleId="UnresolvedMention25">
    <w:name w:val="Unresolved Mention25"/>
    <w:basedOn w:val="DefaultParagraphFont"/>
    <w:uiPriority w:val="99"/>
    <w:unhideWhenUsed/>
    <w:rsid w:val="00140502"/>
    <w:rPr>
      <w:color w:val="605E5C"/>
      <w:shd w:val="clear" w:color="auto" w:fill="E1DFDD"/>
    </w:rPr>
  </w:style>
  <w:style w:type="character" w:customStyle="1" w:styleId="Mention24">
    <w:name w:val="Mention24"/>
    <w:basedOn w:val="DefaultParagraphFont"/>
    <w:uiPriority w:val="99"/>
    <w:unhideWhenUsed/>
    <w:rsid w:val="00140502"/>
    <w:rPr>
      <w:color w:val="2B579A"/>
      <w:shd w:val="clear" w:color="auto" w:fill="E1DFDD"/>
    </w:rPr>
  </w:style>
  <w:style w:type="character" w:customStyle="1" w:styleId="UnresolvedMention26">
    <w:name w:val="Unresolved Mention26"/>
    <w:basedOn w:val="DefaultParagraphFont"/>
    <w:uiPriority w:val="99"/>
    <w:unhideWhenUsed/>
    <w:rsid w:val="00AF6115"/>
    <w:rPr>
      <w:color w:val="605E5C"/>
      <w:shd w:val="clear" w:color="auto" w:fill="E1DFDD"/>
    </w:rPr>
  </w:style>
  <w:style w:type="character" w:customStyle="1" w:styleId="Mention25">
    <w:name w:val="Mention25"/>
    <w:basedOn w:val="DefaultParagraphFont"/>
    <w:uiPriority w:val="99"/>
    <w:unhideWhenUsed/>
    <w:rsid w:val="00AF6115"/>
    <w:rPr>
      <w:color w:val="2B579A"/>
      <w:shd w:val="clear" w:color="auto" w:fill="E1DFDD"/>
    </w:rPr>
  </w:style>
  <w:style w:type="character" w:customStyle="1" w:styleId="Mention26">
    <w:name w:val="Mention26"/>
    <w:basedOn w:val="DefaultParagraphFont"/>
    <w:uiPriority w:val="99"/>
    <w:unhideWhenUsed/>
    <w:rsid w:val="00AB2F8D"/>
    <w:rPr>
      <w:color w:val="2B579A"/>
      <w:shd w:val="clear" w:color="auto" w:fill="E6E6E6"/>
    </w:rPr>
  </w:style>
  <w:style w:type="character" w:customStyle="1" w:styleId="UnresolvedMention27">
    <w:name w:val="Unresolved Mention27"/>
    <w:basedOn w:val="DefaultParagraphFont"/>
    <w:uiPriority w:val="99"/>
    <w:unhideWhenUsed/>
    <w:rsid w:val="00AB2F8D"/>
    <w:rPr>
      <w:color w:val="605E5C"/>
      <w:shd w:val="clear" w:color="auto" w:fill="E1DFDD"/>
    </w:rPr>
  </w:style>
  <w:style w:type="character" w:customStyle="1" w:styleId="Mention270">
    <w:name w:val="Mention270"/>
    <w:basedOn w:val="DefaultParagraphFont"/>
    <w:uiPriority w:val="99"/>
    <w:unhideWhenUsed/>
    <w:rsid w:val="00E61A39"/>
    <w:rPr>
      <w:color w:val="2B579A"/>
      <w:shd w:val="clear" w:color="auto" w:fill="E1DFDD"/>
    </w:rPr>
  </w:style>
  <w:style w:type="character" w:customStyle="1" w:styleId="JRCTextChar">
    <w:name w:val="JRC_Text Char"/>
    <w:basedOn w:val="DefaultParagraphFont"/>
    <w:link w:val="JRCText"/>
    <w:rsid w:val="001111FA"/>
    <w:rPr>
      <w:rFonts w:ascii="EC Square Sans Pro" w:eastAsia="Calibri" w:hAnsi="EC Square Sans Pro" w:cs="Times New Roman"/>
      <w:sz w:val="20"/>
    </w:rPr>
  </w:style>
  <w:style w:type="character" w:customStyle="1" w:styleId="UnresolvedMention280">
    <w:name w:val="Unresolved Mention280"/>
    <w:basedOn w:val="DefaultParagraphFont"/>
    <w:uiPriority w:val="99"/>
    <w:unhideWhenUsed/>
    <w:rsid w:val="00E61A39"/>
    <w:rPr>
      <w:color w:val="605E5C"/>
      <w:shd w:val="clear" w:color="auto" w:fill="E1DFDD"/>
    </w:rPr>
  </w:style>
  <w:style w:type="character" w:customStyle="1" w:styleId="UnresolvedMention28">
    <w:name w:val="Unresolved Mention28"/>
    <w:basedOn w:val="DefaultParagraphFont"/>
    <w:uiPriority w:val="99"/>
    <w:unhideWhenUsed/>
    <w:rsid w:val="002D0669"/>
    <w:rPr>
      <w:color w:val="605E5C"/>
      <w:shd w:val="clear" w:color="auto" w:fill="E1DFDD"/>
    </w:rPr>
  </w:style>
  <w:style w:type="character" w:customStyle="1" w:styleId="Mention27">
    <w:name w:val="Mention27"/>
    <w:basedOn w:val="DefaultParagraphFont"/>
    <w:uiPriority w:val="99"/>
    <w:unhideWhenUsed/>
    <w:rsid w:val="002D0669"/>
    <w:rPr>
      <w:color w:val="2B579A"/>
      <w:shd w:val="clear" w:color="auto" w:fill="E1DFDD"/>
    </w:rPr>
  </w:style>
  <w:style w:type="table" w:customStyle="1" w:styleId="PlainTable11">
    <w:name w:val="Plain Table 11"/>
    <w:basedOn w:val="TableNormal"/>
    <w:next w:val="PlainTable1"/>
    <w:uiPriority w:val="41"/>
    <w:rsid w:val="002D0669"/>
    <w:pPr>
      <w:spacing w:after="0" w:line="240" w:lineRule="auto"/>
    </w:pPr>
    <w:rPr>
      <w:rFonts w:ascii="Calibri" w:eastAsia="Calibri" w:hAnsi="Calibri" w:cs="Arial"/>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2700">
    <w:name w:val="Mention2700"/>
    <w:basedOn w:val="DefaultParagraphFont"/>
    <w:uiPriority w:val="99"/>
    <w:unhideWhenUsed/>
    <w:rsid w:val="008C0783"/>
    <w:rPr>
      <w:color w:val="2B579A"/>
      <w:shd w:val="clear" w:color="auto" w:fill="E1DFDD"/>
    </w:rPr>
  </w:style>
  <w:style w:type="character" w:customStyle="1" w:styleId="UnresolvedMention2800">
    <w:name w:val="Unresolved Mention2800"/>
    <w:basedOn w:val="DefaultParagraphFont"/>
    <w:uiPriority w:val="99"/>
    <w:unhideWhenUsed/>
    <w:rsid w:val="008C0783"/>
    <w:rPr>
      <w:color w:val="605E5C"/>
      <w:shd w:val="clear" w:color="auto" w:fill="E1DFDD"/>
    </w:rPr>
  </w:style>
  <w:style w:type="character" w:customStyle="1" w:styleId="Mention28">
    <w:name w:val="Mention28"/>
    <w:basedOn w:val="DefaultParagraphFont"/>
    <w:uiPriority w:val="99"/>
    <w:unhideWhenUsed/>
    <w:rsid w:val="00416C46"/>
    <w:rPr>
      <w:color w:val="2B579A"/>
      <w:shd w:val="clear" w:color="auto" w:fill="E6E6E6"/>
    </w:rPr>
  </w:style>
  <w:style w:type="character" w:customStyle="1" w:styleId="UnresolvedMention29">
    <w:name w:val="Unresolved Mention29"/>
    <w:basedOn w:val="DefaultParagraphFont"/>
    <w:uiPriority w:val="99"/>
    <w:unhideWhenUsed/>
    <w:rsid w:val="005442D1"/>
    <w:rPr>
      <w:color w:val="605E5C"/>
      <w:shd w:val="clear" w:color="auto" w:fill="E1DFDD"/>
    </w:rPr>
  </w:style>
  <w:style w:type="character" w:customStyle="1" w:styleId="Mention29">
    <w:name w:val="Mention29"/>
    <w:basedOn w:val="DefaultParagraphFont"/>
    <w:uiPriority w:val="99"/>
    <w:unhideWhenUsed/>
    <w:rsid w:val="00A34E71"/>
    <w:rPr>
      <w:color w:val="2B579A"/>
      <w:shd w:val="clear" w:color="auto" w:fill="E6E6E6"/>
    </w:rPr>
  </w:style>
  <w:style w:type="character" w:customStyle="1" w:styleId="UnresolvedMention31">
    <w:name w:val="Unresolved Mention31"/>
    <w:basedOn w:val="DefaultParagraphFont"/>
    <w:uiPriority w:val="99"/>
    <w:unhideWhenUsed/>
    <w:rsid w:val="009A27C5"/>
    <w:rPr>
      <w:color w:val="605E5C"/>
      <w:shd w:val="clear" w:color="auto" w:fill="E1DFDD"/>
    </w:rPr>
  </w:style>
  <w:style w:type="character" w:customStyle="1" w:styleId="Mention31">
    <w:name w:val="Mention31"/>
    <w:basedOn w:val="DefaultParagraphFont"/>
    <w:uiPriority w:val="99"/>
    <w:unhideWhenUsed/>
    <w:rsid w:val="00BB17FC"/>
    <w:rPr>
      <w:color w:val="2B579A"/>
      <w:shd w:val="clear" w:color="auto" w:fill="E6E6E6"/>
    </w:rPr>
  </w:style>
  <w:style w:type="character" w:customStyle="1" w:styleId="Hyperlink1">
    <w:name w:val="Hyperlink1"/>
    <w:basedOn w:val="DefaultParagraphFont"/>
    <w:uiPriority w:val="99"/>
    <w:unhideWhenUsed/>
    <w:rsid w:val="00794505"/>
    <w:rPr>
      <w:color w:val="0000FF"/>
      <w:u w:val="single"/>
    </w:rPr>
  </w:style>
  <w:style w:type="paragraph" w:customStyle="1" w:styleId="FootnoteTextEP-LC1">
    <w:name w:val="Footnote Text_EP-LC1"/>
    <w:basedOn w:val="Normal"/>
    <w:next w:val="FootnoteText"/>
    <w:uiPriority w:val="99"/>
    <w:unhideWhenUsed/>
    <w:qFormat/>
    <w:rsid w:val="00794505"/>
    <w:pPr>
      <w:spacing w:after="0"/>
    </w:pPr>
    <w:rPr>
      <w:rFonts w:eastAsia="MS Mincho" w:cstheme="minorBidi"/>
      <w:sz w:val="20"/>
      <w:szCs w:val="20"/>
    </w:rPr>
  </w:style>
  <w:style w:type="paragraph" w:customStyle="1" w:styleId="JRCAbbreviations">
    <w:name w:val="JRC_Abbreviations"/>
    <w:basedOn w:val="Normal"/>
    <w:autoRedefine/>
    <w:qFormat/>
    <w:rsid w:val="00794505"/>
    <w:pPr>
      <w:tabs>
        <w:tab w:val="left" w:pos="851"/>
      </w:tabs>
      <w:spacing w:before="120" w:after="120"/>
      <w:ind w:left="851" w:hanging="851"/>
    </w:pPr>
    <w:rPr>
      <w:rFonts w:ascii="EC Square Sans Pro" w:eastAsia="Calibri" w:hAnsi="EC Square Sans Pro"/>
      <w:sz w:val="20"/>
      <w:szCs w:val="22"/>
      <w:lang w:val="en-IE"/>
    </w:rPr>
  </w:style>
  <w:style w:type="paragraph" w:customStyle="1" w:styleId="JRCCoversubtitle">
    <w:name w:val="JRC_Cover_subtitle"/>
    <w:basedOn w:val="Normal"/>
    <w:autoRedefine/>
    <w:qFormat/>
    <w:rsid w:val="00794505"/>
    <w:pPr>
      <w:spacing w:before="120" w:after="600" w:line="400" w:lineRule="exact"/>
      <w:ind w:left="5103"/>
      <w:jc w:val="left"/>
    </w:pPr>
    <w:rPr>
      <w:rFonts w:ascii="EC Square Sans Pro" w:eastAsia="Calibri" w:hAnsi="EC Square Sans Pro"/>
      <w:i/>
      <w:sz w:val="32"/>
      <w:szCs w:val="32"/>
    </w:rPr>
  </w:style>
  <w:style w:type="paragraph" w:customStyle="1" w:styleId="JRCCovertitle">
    <w:name w:val="JRC_Cover_title"/>
    <w:basedOn w:val="Normal"/>
    <w:autoRedefine/>
    <w:qFormat/>
    <w:rsid w:val="00794505"/>
    <w:pPr>
      <w:spacing w:before="600" w:after="600" w:line="640" w:lineRule="exact"/>
      <w:ind w:left="-567"/>
      <w:jc w:val="left"/>
    </w:pPr>
    <w:rPr>
      <w:rFonts w:ascii="EC Square Sans Pro" w:eastAsia="Calibri" w:hAnsi="EC Square Sans Pro"/>
      <w:b/>
      <w:noProof/>
      <w:sz w:val="56"/>
      <w:szCs w:val="56"/>
      <w:lang w:eastAsia="en-GB"/>
    </w:rPr>
  </w:style>
  <w:style w:type="paragraph" w:customStyle="1" w:styleId="JRCEquation">
    <w:name w:val="JRC_Equation"/>
    <w:basedOn w:val="Normal"/>
    <w:next w:val="Normal"/>
    <w:autoRedefine/>
    <w:qFormat/>
    <w:rsid w:val="00794505"/>
    <w:pPr>
      <w:spacing w:before="360" w:after="360"/>
      <w:jc w:val="center"/>
    </w:pPr>
    <w:rPr>
      <w:rFonts w:ascii="EC Square Sans Pro" w:eastAsia="Calibri" w:hAnsi="EC Square Sans Pro"/>
      <w:sz w:val="20"/>
      <w:szCs w:val="22"/>
    </w:rPr>
  </w:style>
  <w:style w:type="paragraph" w:customStyle="1" w:styleId="JRCLevel-1Fronttitle">
    <w:name w:val="JRC_Level-1_Front_title"/>
    <w:basedOn w:val="Normal"/>
    <w:next w:val="Normal"/>
    <w:link w:val="JRCLevel-1FronttitleChar"/>
    <w:autoRedefine/>
    <w:qFormat/>
    <w:rsid w:val="00794505"/>
    <w:pPr>
      <w:keepNext/>
      <w:pageBreakBefore/>
      <w:spacing w:after="120"/>
      <w:jc w:val="left"/>
    </w:pPr>
    <w:rPr>
      <w:rFonts w:ascii="EC Square Sans Pro" w:eastAsia="Times New Roman" w:hAnsi="EC Square Sans Pro"/>
      <w:b/>
      <w:szCs w:val="22"/>
      <w:lang w:eastAsia="en-GB"/>
    </w:rPr>
  </w:style>
  <w:style w:type="character" w:customStyle="1" w:styleId="JRCLevel-1FronttitleChar">
    <w:name w:val="JRC_Level-1_Front_title Char"/>
    <w:link w:val="JRCLevel-1Fronttitle"/>
    <w:rsid w:val="00794505"/>
    <w:rPr>
      <w:rFonts w:ascii="EC Square Sans Pro" w:eastAsia="Times New Roman" w:hAnsi="EC Square Sans Pro" w:cs="Times New Roman"/>
      <w:b/>
      <w:sz w:val="24"/>
      <w:lang w:eastAsia="en-GB"/>
    </w:rPr>
  </w:style>
  <w:style w:type="paragraph" w:customStyle="1" w:styleId="JRCLevel-2Frontsmalltitle">
    <w:name w:val="JRC_Level-2_Front_small_title"/>
    <w:basedOn w:val="Normal"/>
    <w:next w:val="JRCText"/>
    <w:autoRedefine/>
    <w:qFormat/>
    <w:rsid w:val="00794505"/>
    <w:pPr>
      <w:keepNext/>
      <w:spacing w:before="240" w:after="120"/>
      <w:jc w:val="left"/>
    </w:pPr>
    <w:rPr>
      <w:rFonts w:ascii="EC Square Sans Pro" w:eastAsia="Calibri" w:hAnsi="EC Square Sans Pro"/>
      <w:b/>
      <w:i/>
      <w:sz w:val="20"/>
      <w:szCs w:val="22"/>
    </w:rPr>
  </w:style>
  <w:style w:type="paragraph" w:customStyle="1" w:styleId="JRCTextbulletedlist1">
    <w:name w:val="JRC_Text_bulleted_list1"/>
    <w:basedOn w:val="Normal"/>
    <w:autoRedefine/>
    <w:qFormat/>
    <w:rsid w:val="00794505"/>
    <w:pPr>
      <w:spacing w:before="120" w:after="120"/>
      <w:ind w:left="360" w:hanging="360"/>
    </w:pPr>
    <w:rPr>
      <w:rFonts w:ascii="EC Square Sans Pro" w:eastAsia="Calibri" w:hAnsi="EC Square Sans Pro"/>
      <w:sz w:val="20"/>
      <w:szCs w:val="22"/>
      <w:lang w:eastAsia="en-GB"/>
    </w:rPr>
  </w:style>
  <w:style w:type="paragraph" w:customStyle="1" w:styleId="JRCTextbulletedlist2">
    <w:name w:val="JRC_Text_bulleted_list2"/>
    <w:basedOn w:val="Normal"/>
    <w:autoRedefine/>
    <w:qFormat/>
    <w:rsid w:val="00794505"/>
    <w:pPr>
      <w:spacing w:before="120" w:after="120"/>
      <w:ind w:left="1080" w:hanging="360"/>
    </w:pPr>
    <w:rPr>
      <w:rFonts w:ascii="EC Square Sans Pro" w:eastAsia="Times New Roman" w:hAnsi="EC Square Sans Pro"/>
      <w:sz w:val="20"/>
      <w:szCs w:val="22"/>
      <w:lang w:eastAsia="en-GB"/>
    </w:rPr>
  </w:style>
  <w:style w:type="paragraph" w:customStyle="1" w:styleId="JRCLevel-1Backtitle">
    <w:name w:val="JRC_Level-1_Back_title"/>
    <w:basedOn w:val="Normal"/>
    <w:next w:val="JRCText"/>
    <w:autoRedefine/>
    <w:qFormat/>
    <w:rsid w:val="00794505"/>
    <w:pPr>
      <w:keepNext/>
      <w:pageBreakBefore/>
      <w:spacing w:after="120"/>
      <w:ind w:left="432" w:hanging="432"/>
      <w:jc w:val="left"/>
      <w:outlineLvl w:val="0"/>
    </w:pPr>
    <w:rPr>
      <w:rFonts w:ascii="EC Square Sans Pro" w:eastAsia="Verdana" w:hAnsi="EC Square Sans Pro" w:cs="Verdana"/>
      <w:b/>
      <w:szCs w:val="20"/>
      <w:lang w:val="en-IE" w:eastAsia="en-GB"/>
    </w:rPr>
  </w:style>
  <w:style w:type="paragraph" w:customStyle="1" w:styleId="JRCBoxtext">
    <w:name w:val="JRC_Box_text"/>
    <w:basedOn w:val="Normal"/>
    <w:autoRedefine/>
    <w:qFormat/>
    <w:rsid w:val="00794505"/>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pPr>
    <w:rPr>
      <w:rFonts w:ascii="EC Square Sans Pro" w:eastAsia="Times New Roman" w:hAnsi="EC Square Sans Pro"/>
      <w:sz w:val="20"/>
      <w:szCs w:val="22"/>
      <w:lang w:eastAsia="en-GB"/>
    </w:rPr>
  </w:style>
  <w:style w:type="paragraph" w:customStyle="1" w:styleId="JRCBoxbulletlist">
    <w:name w:val="JRC_Box_bullet_list"/>
    <w:basedOn w:val="Normal"/>
    <w:autoRedefine/>
    <w:qFormat/>
    <w:rsid w:val="00794505"/>
    <w:pPr>
      <w:numPr>
        <w:numId w:val="9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pPr>
    <w:rPr>
      <w:rFonts w:ascii="EC Square Sans Pro" w:eastAsia="Times New Roman" w:hAnsi="EC Square Sans Pro"/>
      <w:sz w:val="20"/>
      <w:szCs w:val="22"/>
      <w:lang w:eastAsia="en-GB"/>
    </w:rPr>
  </w:style>
  <w:style w:type="paragraph" w:customStyle="1" w:styleId="JRCTextnumberedlist1">
    <w:name w:val="JRC_Text_numbered_list1"/>
    <w:basedOn w:val="Normal"/>
    <w:autoRedefine/>
    <w:qFormat/>
    <w:rsid w:val="00794505"/>
    <w:pPr>
      <w:numPr>
        <w:numId w:val="96"/>
      </w:numPr>
      <w:spacing w:before="120" w:after="120"/>
    </w:pPr>
    <w:rPr>
      <w:rFonts w:ascii="EC Square Sans Pro" w:eastAsia="Times New Roman" w:hAnsi="EC Square Sans Pro"/>
      <w:sz w:val="20"/>
      <w:szCs w:val="22"/>
      <w:lang w:eastAsia="en-GB"/>
    </w:rPr>
  </w:style>
  <w:style w:type="paragraph" w:customStyle="1" w:styleId="JRCCoverauthor">
    <w:name w:val="JRC_Cover_author"/>
    <w:basedOn w:val="Normal"/>
    <w:autoRedefine/>
    <w:qFormat/>
    <w:rsid w:val="00794505"/>
    <w:pPr>
      <w:spacing w:before="120" w:after="120"/>
      <w:jc w:val="left"/>
    </w:pPr>
    <w:rPr>
      <w:rFonts w:ascii="EC Square Sans Pro" w:eastAsia="Times New Roman" w:hAnsi="EC Square Sans Pro"/>
      <w:sz w:val="20"/>
      <w:szCs w:val="22"/>
      <w:lang w:eastAsia="en-GB"/>
    </w:rPr>
  </w:style>
  <w:style w:type="paragraph" w:customStyle="1" w:styleId="JRCCoveryear">
    <w:name w:val="JRC_Cover_year"/>
    <w:basedOn w:val="Normal"/>
    <w:rsid w:val="00794505"/>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rsid w:val="00794505"/>
    <w:pPr>
      <w:spacing w:before="120" w:after="120"/>
    </w:pPr>
    <w:rPr>
      <w:rFonts w:ascii="Verdana" w:eastAsia="Times New Roman" w:hAnsi="Verdana"/>
      <w:color w:val="FF0000"/>
      <w:sz w:val="20"/>
      <w:szCs w:val="22"/>
      <w:lang w:eastAsia="en-GB"/>
    </w:rPr>
  </w:style>
  <w:style w:type="paragraph" w:customStyle="1" w:styleId="JRCCoverEUR">
    <w:name w:val="JRC_Cover_EUR"/>
    <w:basedOn w:val="Normal"/>
    <w:rsid w:val="00794505"/>
    <w:pPr>
      <w:spacing w:after="0"/>
      <w:jc w:val="right"/>
    </w:pPr>
    <w:rPr>
      <w:rFonts w:ascii="Verdana" w:eastAsia="Times New Roman" w:hAnsi="Verdana"/>
      <w:sz w:val="18"/>
      <w:szCs w:val="22"/>
      <w:lang w:eastAsia="en-GB"/>
    </w:rPr>
  </w:style>
  <w:style w:type="paragraph" w:customStyle="1" w:styleId="JRCCovertext">
    <w:name w:val="JRC_Cover_text"/>
    <w:basedOn w:val="Normal"/>
    <w:autoRedefine/>
    <w:qFormat/>
    <w:rsid w:val="00794505"/>
    <w:pPr>
      <w:widowControl w:val="0"/>
      <w:spacing w:after="0" w:line="200" w:lineRule="exact"/>
      <w:jc w:val="left"/>
    </w:pPr>
    <w:rPr>
      <w:rFonts w:ascii="EC Square Sans Pro" w:eastAsia="Times New Roman" w:hAnsi="EC Square Sans Pro"/>
      <w:sz w:val="16"/>
      <w:szCs w:val="14"/>
      <w:lang w:eastAsia="en-GB"/>
    </w:rPr>
  </w:style>
  <w:style w:type="paragraph" w:customStyle="1" w:styleId="JRCTablenote">
    <w:name w:val="JRC_Table_note"/>
    <w:basedOn w:val="Normal"/>
    <w:autoRedefine/>
    <w:qFormat/>
    <w:rsid w:val="00DB401B"/>
    <w:pPr>
      <w:spacing w:after="120"/>
      <w:ind w:left="357" w:hanging="357"/>
      <w:contextualSpacing/>
    </w:pPr>
    <w:rPr>
      <w:rFonts w:ascii="EC Square Sans Pro" w:eastAsia="Times New Roman" w:hAnsi="EC Square Sans Pro"/>
      <w:sz w:val="16"/>
      <w:szCs w:val="22"/>
      <w:lang w:eastAsia="en-GB"/>
    </w:rPr>
  </w:style>
  <w:style w:type="paragraph" w:customStyle="1" w:styleId="JRCTextnumberedlist2">
    <w:name w:val="JRC_Text_numbered_list2"/>
    <w:basedOn w:val="Normal"/>
    <w:autoRedefine/>
    <w:qFormat/>
    <w:rsid w:val="00794505"/>
    <w:pPr>
      <w:numPr>
        <w:ilvl w:val="1"/>
        <w:numId w:val="96"/>
      </w:numPr>
      <w:spacing w:before="120" w:after="120"/>
    </w:pPr>
    <w:rPr>
      <w:rFonts w:ascii="EC Square Sans Pro" w:eastAsia="Times New Roman" w:hAnsi="EC Square Sans Pro"/>
      <w:sz w:val="20"/>
      <w:szCs w:val="22"/>
      <w:lang w:eastAsia="en-GB"/>
    </w:rPr>
  </w:style>
  <w:style w:type="table" w:styleId="PlainTable5">
    <w:name w:val="Plain Table 5"/>
    <w:basedOn w:val="TableNormal"/>
    <w:uiPriority w:val="45"/>
    <w:rsid w:val="00794505"/>
    <w:pPr>
      <w:spacing w:after="0" w:line="240" w:lineRule="auto"/>
    </w:pPr>
    <w:rPr>
      <w:rFonts w:ascii="Calibri" w:eastAsia="Times New Roman" w:hAnsi="Calibri" w:cs="Times New Roman"/>
      <w:sz w:val="20"/>
      <w:szCs w:val="20"/>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roupname">
    <w:name w:val="groupname"/>
    <w:basedOn w:val="DefaultParagraphFont"/>
    <w:rsid w:val="00794505"/>
  </w:style>
  <w:style w:type="character" w:customStyle="1" w:styleId="pubyear">
    <w:name w:val="pubyear"/>
    <w:basedOn w:val="DefaultParagraphFont"/>
    <w:rsid w:val="00794505"/>
  </w:style>
  <w:style w:type="character" w:customStyle="1" w:styleId="cf11">
    <w:name w:val="cf11"/>
    <w:basedOn w:val="DefaultParagraphFont"/>
    <w:rsid w:val="00794505"/>
    <w:rPr>
      <w:rFonts w:ascii="Segoe UI" w:hAnsi="Segoe UI" w:cs="Segoe UI" w:hint="default"/>
      <w:sz w:val="18"/>
      <w:szCs w:val="18"/>
    </w:rPr>
  </w:style>
  <w:style w:type="character" w:customStyle="1" w:styleId="cf21">
    <w:name w:val="cf21"/>
    <w:basedOn w:val="DefaultParagraphFont"/>
    <w:rsid w:val="00794505"/>
    <w:rPr>
      <w:rFonts w:ascii="Segoe UI" w:hAnsi="Segoe UI" w:cs="Segoe UI" w:hint="default"/>
      <w:i/>
      <w:iCs/>
      <w:sz w:val="18"/>
      <w:szCs w:val="18"/>
    </w:rPr>
  </w:style>
  <w:style w:type="character" w:customStyle="1" w:styleId="italic">
    <w:name w:val="italic"/>
    <w:basedOn w:val="DefaultParagraphFont"/>
    <w:rsid w:val="00794505"/>
  </w:style>
  <w:style w:type="paragraph" w:customStyle="1" w:styleId="chart">
    <w:name w:val="chart"/>
    <w:basedOn w:val="JRCText"/>
    <w:rsid w:val="00794505"/>
    <w:pPr>
      <w:keepNext/>
      <w:spacing w:before="0"/>
    </w:pPr>
    <w:rPr>
      <w:rFonts w:cs="Calibri"/>
      <w:bCs/>
      <w:color w:val="000000" w:themeColor="text1"/>
      <w:szCs w:val="20"/>
      <w:shd w:val="clear" w:color="auto" w:fill="FFFFFF"/>
    </w:rPr>
  </w:style>
  <w:style w:type="character" w:customStyle="1" w:styleId="wtoffscreen">
    <w:name w:val="wtoffscreen"/>
    <w:basedOn w:val="DefaultParagraphFont"/>
    <w:rsid w:val="00794505"/>
  </w:style>
  <w:style w:type="table" w:styleId="GridTable1Light">
    <w:name w:val="Grid Table 1 Light"/>
    <w:basedOn w:val="TableNormal"/>
    <w:uiPriority w:val="46"/>
    <w:rsid w:val="00794505"/>
    <w:pPr>
      <w:spacing w:after="0" w:line="240" w:lineRule="auto"/>
    </w:pPr>
    <w:rPr>
      <w:rFonts w:ascii="Calibri" w:eastAsia="Times New Roman" w:hAnsi="Calibri"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0000">
    <w:name w:val="Mention10000"/>
    <w:basedOn w:val="DefaultParagraphFont"/>
    <w:uiPriority w:val="99"/>
    <w:unhideWhenUsed/>
    <w:rsid w:val="00794505"/>
    <w:rPr>
      <w:color w:val="2B579A"/>
      <w:shd w:val="clear" w:color="auto" w:fill="E6E6E6"/>
    </w:rPr>
  </w:style>
  <w:style w:type="character" w:customStyle="1" w:styleId="Mention100">
    <w:name w:val="Mention100"/>
    <w:basedOn w:val="DefaultParagraphFont"/>
    <w:uiPriority w:val="99"/>
    <w:unhideWhenUsed/>
    <w:rsid w:val="00794505"/>
    <w:rPr>
      <w:color w:val="2B579A"/>
      <w:shd w:val="clear" w:color="auto" w:fill="E6E6E6"/>
    </w:rPr>
  </w:style>
  <w:style w:type="character" w:customStyle="1" w:styleId="Mention1000">
    <w:name w:val="Mention1000"/>
    <w:basedOn w:val="DefaultParagraphFont"/>
    <w:uiPriority w:val="99"/>
    <w:unhideWhenUsed/>
    <w:rsid w:val="00794505"/>
    <w:rPr>
      <w:color w:val="2B579A"/>
      <w:shd w:val="clear" w:color="auto" w:fill="E6E6E6"/>
    </w:rPr>
  </w:style>
  <w:style w:type="character" w:customStyle="1" w:styleId="Mention300">
    <w:name w:val="Mention300"/>
    <w:basedOn w:val="DefaultParagraphFont"/>
    <w:uiPriority w:val="99"/>
    <w:unhideWhenUsed/>
    <w:rsid w:val="00794505"/>
    <w:rPr>
      <w:color w:val="2B579A"/>
      <w:shd w:val="clear" w:color="auto" w:fill="E6E6E6"/>
    </w:rPr>
  </w:style>
  <w:style w:type="character" w:customStyle="1" w:styleId="Mention3000">
    <w:name w:val="Mention3000"/>
    <w:basedOn w:val="DefaultParagraphFont"/>
    <w:uiPriority w:val="99"/>
    <w:unhideWhenUsed/>
    <w:rsid w:val="00794505"/>
    <w:rPr>
      <w:color w:val="2B579A"/>
      <w:shd w:val="clear" w:color="auto" w:fill="E6E6E6"/>
    </w:rPr>
  </w:style>
  <w:style w:type="character" w:customStyle="1" w:styleId="Mention30000">
    <w:name w:val="Mention30000"/>
    <w:basedOn w:val="DefaultParagraphFont"/>
    <w:uiPriority w:val="99"/>
    <w:unhideWhenUsed/>
    <w:rsid w:val="00794505"/>
    <w:rPr>
      <w:color w:val="2B579A"/>
      <w:shd w:val="clear" w:color="auto" w:fill="E6E6E6"/>
    </w:rPr>
  </w:style>
  <w:style w:type="character" w:customStyle="1" w:styleId="Mention300000">
    <w:name w:val="Mention300000"/>
    <w:basedOn w:val="DefaultParagraphFont"/>
    <w:uiPriority w:val="99"/>
    <w:unhideWhenUsed/>
    <w:rsid w:val="00794505"/>
    <w:rPr>
      <w:color w:val="2B579A"/>
      <w:shd w:val="clear" w:color="auto" w:fill="E6E6E6"/>
    </w:rPr>
  </w:style>
  <w:style w:type="character" w:styleId="EndnoteReference">
    <w:name w:val="endnote reference"/>
    <w:basedOn w:val="DefaultParagraphFont"/>
    <w:uiPriority w:val="99"/>
    <w:semiHidden/>
    <w:unhideWhenUsed/>
    <w:rsid w:val="00794505"/>
    <w:rPr>
      <w:vertAlign w:val="superscript"/>
    </w:rPr>
  </w:style>
  <w:style w:type="character" w:customStyle="1" w:styleId="UnresolvedMention32">
    <w:name w:val="Unresolved Mention32"/>
    <w:basedOn w:val="DefaultParagraphFont"/>
    <w:uiPriority w:val="99"/>
    <w:unhideWhenUsed/>
    <w:rsid w:val="007766C7"/>
    <w:rPr>
      <w:color w:val="605E5C"/>
      <w:shd w:val="clear" w:color="auto" w:fill="E1DFDD"/>
    </w:rPr>
  </w:style>
  <w:style w:type="character" w:customStyle="1" w:styleId="Mention32">
    <w:name w:val="Mention32"/>
    <w:basedOn w:val="DefaultParagraphFont"/>
    <w:uiPriority w:val="99"/>
    <w:unhideWhenUsed/>
    <w:rsid w:val="007766C7"/>
    <w:rPr>
      <w:color w:val="2B579A"/>
      <w:shd w:val="clear" w:color="auto" w:fill="E1DFDD"/>
    </w:rPr>
  </w:style>
  <w:style w:type="character" w:customStyle="1" w:styleId="UnresolvedMention33">
    <w:name w:val="Unresolved Mention33"/>
    <w:basedOn w:val="DefaultParagraphFont"/>
    <w:uiPriority w:val="99"/>
    <w:unhideWhenUsed/>
    <w:rsid w:val="00237208"/>
    <w:rPr>
      <w:color w:val="605E5C"/>
      <w:shd w:val="clear" w:color="auto" w:fill="E1DFDD"/>
    </w:rPr>
  </w:style>
  <w:style w:type="character" w:customStyle="1" w:styleId="Mention33">
    <w:name w:val="Mention33"/>
    <w:basedOn w:val="DefaultParagraphFont"/>
    <w:uiPriority w:val="99"/>
    <w:unhideWhenUsed/>
    <w:rsid w:val="00237208"/>
    <w:rPr>
      <w:color w:val="2B579A"/>
      <w:shd w:val="clear" w:color="auto" w:fill="E1DFDD"/>
    </w:rPr>
  </w:style>
  <w:style w:type="character" w:customStyle="1" w:styleId="ui-provider">
    <w:name w:val="ui-provider"/>
    <w:basedOn w:val="DefaultParagraphFont"/>
    <w:rsid w:val="00152CDA"/>
  </w:style>
  <w:style w:type="character" w:customStyle="1" w:styleId="UnresolvedMention34">
    <w:name w:val="Unresolved Mention34"/>
    <w:basedOn w:val="DefaultParagraphFont"/>
    <w:uiPriority w:val="99"/>
    <w:unhideWhenUsed/>
    <w:rsid w:val="00E44E5E"/>
    <w:rPr>
      <w:color w:val="605E5C"/>
      <w:shd w:val="clear" w:color="auto" w:fill="E1DFDD"/>
    </w:rPr>
  </w:style>
  <w:style w:type="character" w:customStyle="1" w:styleId="Mention34">
    <w:name w:val="Mention34"/>
    <w:basedOn w:val="DefaultParagraphFont"/>
    <w:uiPriority w:val="99"/>
    <w:unhideWhenUsed/>
    <w:rsid w:val="00E44E5E"/>
    <w:rPr>
      <w:color w:val="2B579A"/>
      <w:shd w:val="clear" w:color="auto" w:fill="E1DFDD"/>
    </w:rPr>
  </w:style>
  <w:style w:type="character" w:customStyle="1" w:styleId="UnresolvedMention35">
    <w:name w:val="Unresolved Mention35"/>
    <w:basedOn w:val="DefaultParagraphFont"/>
    <w:uiPriority w:val="99"/>
    <w:unhideWhenUsed/>
    <w:rsid w:val="00A34C01"/>
    <w:rPr>
      <w:color w:val="605E5C"/>
      <w:shd w:val="clear" w:color="auto" w:fill="E1DFDD"/>
    </w:rPr>
  </w:style>
  <w:style w:type="character" w:customStyle="1" w:styleId="Mention35">
    <w:name w:val="Mention35"/>
    <w:basedOn w:val="DefaultParagraphFont"/>
    <w:uiPriority w:val="99"/>
    <w:unhideWhenUsed/>
    <w:rsid w:val="00A34C01"/>
    <w:rPr>
      <w:color w:val="2B579A"/>
      <w:shd w:val="clear" w:color="auto" w:fill="E1DFDD"/>
    </w:rPr>
  </w:style>
  <w:style w:type="character" w:customStyle="1" w:styleId="UnresolvedMention36">
    <w:name w:val="Unresolved Mention36"/>
    <w:basedOn w:val="DefaultParagraphFont"/>
    <w:uiPriority w:val="99"/>
    <w:unhideWhenUsed/>
    <w:rsid w:val="00A5177F"/>
    <w:rPr>
      <w:color w:val="605E5C"/>
      <w:shd w:val="clear" w:color="auto" w:fill="E1DFDD"/>
    </w:rPr>
  </w:style>
  <w:style w:type="character" w:customStyle="1" w:styleId="Mention36">
    <w:name w:val="Mention36"/>
    <w:basedOn w:val="DefaultParagraphFont"/>
    <w:uiPriority w:val="99"/>
    <w:unhideWhenUsed/>
    <w:rsid w:val="00A5177F"/>
    <w:rPr>
      <w:color w:val="2B579A"/>
      <w:shd w:val="clear" w:color="auto" w:fill="E1DFDD"/>
    </w:rPr>
  </w:style>
  <w:style w:type="character" w:customStyle="1" w:styleId="UnresolvedMention37">
    <w:name w:val="Unresolved Mention37"/>
    <w:basedOn w:val="DefaultParagraphFont"/>
    <w:uiPriority w:val="99"/>
    <w:unhideWhenUsed/>
    <w:rsid w:val="001C02CD"/>
    <w:rPr>
      <w:color w:val="605E5C"/>
      <w:shd w:val="clear" w:color="auto" w:fill="E1DFDD"/>
    </w:rPr>
  </w:style>
  <w:style w:type="character" w:customStyle="1" w:styleId="Mention37">
    <w:name w:val="Mention37"/>
    <w:basedOn w:val="DefaultParagraphFont"/>
    <w:uiPriority w:val="99"/>
    <w:unhideWhenUsed/>
    <w:rsid w:val="001C02CD"/>
    <w:rPr>
      <w:color w:val="2B579A"/>
      <w:shd w:val="clear" w:color="auto" w:fill="E1DFDD"/>
    </w:rPr>
  </w:style>
  <w:style w:type="character" w:customStyle="1" w:styleId="UnresolvedMention38">
    <w:name w:val="Unresolved Mention38"/>
    <w:basedOn w:val="DefaultParagraphFont"/>
    <w:uiPriority w:val="99"/>
    <w:unhideWhenUsed/>
    <w:rsid w:val="008F1F15"/>
    <w:rPr>
      <w:color w:val="605E5C"/>
      <w:shd w:val="clear" w:color="auto" w:fill="E1DFDD"/>
    </w:rPr>
  </w:style>
  <w:style w:type="character" w:customStyle="1" w:styleId="Mention38">
    <w:name w:val="Mention38"/>
    <w:basedOn w:val="DefaultParagraphFont"/>
    <w:uiPriority w:val="99"/>
    <w:unhideWhenUsed/>
    <w:rsid w:val="008F1F15"/>
    <w:rPr>
      <w:color w:val="2B579A"/>
      <w:shd w:val="clear" w:color="auto" w:fill="E1DFDD"/>
    </w:rPr>
  </w:style>
  <w:style w:type="character" w:customStyle="1" w:styleId="UnresolvedMention39">
    <w:name w:val="Unresolved Mention39"/>
    <w:basedOn w:val="DefaultParagraphFont"/>
    <w:uiPriority w:val="99"/>
    <w:unhideWhenUsed/>
    <w:rsid w:val="00A97ED9"/>
    <w:rPr>
      <w:color w:val="605E5C"/>
      <w:shd w:val="clear" w:color="auto" w:fill="E1DFDD"/>
    </w:rPr>
  </w:style>
  <w:style w:type="character" w:customStyle="1" w:styleId="Mention39">
    <w:name w:val="Mention39"/>
    <w:basedOn w:val="DefaultParagraphFont"/>
    <w:uiPriority w:val="99"/>
    <w:unhideWhenUsed/>
    <w:rsid w:val="00A97ED9"/>
    <w:rPr>
      <w:color w:val="2B579A"/>
      <w:shd w:val="clear" w:color="auto" w:fill="E1DFDD"/>
    </w:rPr>
  </w:style>
  <w:style w:type="character" w:customStyle="1" w:styleId="UnresolvedMention390">
    <w:name w:val="Unresolved Mention390"/>
    <w:basedOn w:val="DefaultParagraphFont"/>
    <w:uiPriority w:val="99"/>
    <w:unhideWhenUsed/>
    <w:rsid w:val="007730B1"/>
    <w:rPr>
      <w:color w:val="605E5C"/>
      <w:shd w:val="clear" w:color="auto" w:fill="E1DFDD"/>
    </w:rPr>
  </w:style>
  <w:style w:type="character" w:customStyle="1" w:styleId="Mention390">
    <w:name w:val="Mention390"/>
    <w:basedOn w:val="DefaultParagraphFont"/>
    <w:uiPriority w:val="99"/>
    <w:unhideWhenUsed/>
    <w:rsid w:val="007730B1"/>
    <w:rPr>
      <w:color w:val="2B579A"/>
      <w:shd w:val="clear" w:color="auto" w:fill="E1DFDD"/>
    </w:rPr>
  </w:style>
  <w:style w:type="character" w:customStyle="1" w:styleId="Mention41">
    <w:name w:val="Mention41"/>
    <w:basedOn w:val="DefaultParagraphFont"/>
    <w:uiPriority w:val="99"/>
    <w:unhideWhenUsed/>
    <w:rsid w:val="005B74C4"/>
    <w:rPr>
      <w:color w:val="2B579A"/>
      <w:shd w:val="clear" w:color="auto" w:fill="E6E6E6"/>
    </w:rPr>
  </w:style>
  <w:style w:type="character" w:customStyle="1" w:styleId="UnresolvedMention3900">
    <w:name w:val="Unresolved Mention3900"/>
    <w:basedOn w:val="DefaultParagraphFont"/>
    <w:uiPriority w:val="99"/>
    <w:unhideWhenUsed/>
    <w:rsid w:val="003F5EF8"/>
    <w:rPr>
      <w:color w:val="605E5C"/>
      <w:shd w:val="clear" w:color="auto" w:fill="E1DFDD"/>
    </w:rPr>
  </w:style>
  <w:style w:type="character" w:customStyle="1" w:styleId="Mention42">
    <w:name w:val="Mention42"/>
    <w:basedOn w:val="DefaultParagraphFont"/>
    <w:uiPriority w:val="99"/>
    <w:unhideWhenUsed/>
    <w:rsid w:val="003F5EF8"/>
    <w:rPr>
      <w:color w:val="2B579A"/>
      <w:shd w:val="clear" w:color="auto" w:fill="E1DFDD"/>
    </w:rPr>
  </w:style>
  <w:style w:type="character" w:customStyle="1" w:styleId="UnresolvedMention39000">
    <w:name w:val="Unresolved Mention39000"/>
    <w:basedOn w:val="DefaultParagraphFont"/>
    <w:uiPriority w:val="99"/>
    <w:unhideWhenUsed/>
    <w:rsid w:val="003F5EF8"/>
    <w:rPr>
      <w:color w:val="605E5C"/>
      <w:shd w:val="clear" w:color="auto" w:fill="E1DFDD"/>
    </w:rPr>
  </w:style>
  <w:style w:type="character" w:customStyle="1" w:styleId="UnresolvedMention390000">
    <w:name w:val="Unresolved Mention390000"/>
    <w:basedOn w:val="DefaultParagraphFont"/>
    <w:uiPriority w:val="99"/>
    <w:unhideWhenUsed/>
    <w:rsid w:val="003F5EF8"/>
    <w:rPr>
      <w:color w:val="605E5C"/>
      <w:shd w:val="clear" w:color="auto" w:fill="E1DFDD"/>
    </w:rPr>
  </w:style>
  <w:style w:type="character" w:customStyle="1" w:styleId="UnresolvedMention3900000">
    <w:name w:val="Unresolved Mention3900000"/>
    <w:basedOn w:val="DefaultParagraphFont"/>
    <w:uiPriority w:val="99"/>
    <w:unhideWhenUsed/>
    <w:rsid w:val="003F5EF8"/>
    <w:rPr>
      <w:color w:val="605E5C"/>
      <w:shd w:val="clear" w:color="auto" w:fill="E1DFDD"/>
    </w:rPr>
  </w:style>
  <w:style w:type="character" w:customStyle="1" w:styleId="UnresolvedMention39000000">
    <w:name w:val="Unresolved Mention39000000"/>
    <w:basedOn w:val="DefaultParagraphFont"/>
    <w:uiPriority w:val="99"/>
    <w:unhideWhenUsed/>
    <w:rsid w:val="003F5EF8"/>
    <w:rPr>
      <w:color w:val="605E5C"/>
      <w:shd w:val="clear" w:color="auto" w:fill="E1DFDD"/>
    </w:rPr>
  </w:style>
  <w:style w:type="character" w:customStyle="1" w:styleId="Mention43">
    <w:name w:val="Mention43"/>
    <w:basedOn w:val="DefaultParagraphFont"/>
    <w:uiPriority w:val="99"/>
    <w:unhideWhenUsed/>
    <w:rsid w:val="00B609A9"/>
    <w:rPr>
      <w:color w:val="2B579A"/>
      <w:shd w:val="clear" w:color="auto" w:fill="E6E6E6"/>
    </w:rPr>
  </w:style>
  <w:style w:type="character" w:customStyle="1" w:styleId="UnresolvedMention40">
    <w:name w:val="Unresolved Mention40"/>
    <w:basedOn w:val="DefaultParagraphFont"/>
    <w:uiPriority w:val="99"/>
    <w:unhideWhenUsed/>
    <w:rsid w:val="00E86F2D"/>
    <w:rPr>
      <w:color w:val="605E5C"/>
      <w:shd w:val="clear" w:color="auto" w:fill="E1DFDD"/>
    </w:rPr>
  </w:style>
  <w:style w:type="character" w:customStyle="1" w:styleId="Mention44">
    <w:name w:val="Mention44"/>
    <w:basedOn w:val="DefaultParagraphFont"/>
    <w:uiPriority w:val="99"/>
    <w:unhideWhenUsed/>
    <w:rsid w:val="00E86F2D"/>
    <w:rPr>
      <w:color w:val="2B579A"/>
      <w:shd w:val="clear" w:color="auto" w:fill="E1DFDD"/>
    </w:rPr>
  </w:style>
  <w:style w:type="character" w:customStyle="1" w:styleId="Mention45">
    <w:name w:val="Mention45"/>
    <w:basedOn w:val="DefaultParagraphFont"/>
    <w:uiPriority w:val="99"/>
    <w:unhideWhenUsed/>
    <w:rsid w:val="00410D9F"/>
    <w:rPr>
      <w:color w:val="2B579A"/>
      <w:shd w:val="clear" w:color="auto" w:fill="E6E6E6"/>
    </w:rPr>
  </w:style>
  <w:style w:type="character" w:customStyle="1" w:styleId="UnresolvedMention400">
    <w:name w:val="Unresolved Mention400"/>
    <w:basedOn w:val="DefaultParagraphFont"/>
    <w:uiPriority w:val="99"/>
    <w:unhideWhenUsed/>
    <w:rsid w:val="00F4683C"/>
    <w:rPr>
      <w:color w:val="605E5C"/>
      <w:shd w:val="clear" w:color="auto" w:fill="E1DFDD"/>
    </w:rPr>
  </w:style>
  <w:style w:type="character" w:customStyle="1" w:styleId="UnresolvedMention41">
    <w:name w:val="Unresolved Mention41"/>
    <w:basedOn w:val="DefaultParagraphFont"/>
    <w:uiPriority w:val="99"/>
    <w:semiHidden/>
    <w:unhideWhenUsed/>
    <w:rsid w:val="00600540"/>
    <w:rPr>
      <w:color w:val="605E5C"/>
      <w:shd w:val="clear" w:color="auto" w:fill="E1DFDD"/>
    </w:rPr>
  </w:style>
  <w:style w:type="character" w:customStyle="1" w:styleId="UnresolvedMention4000000010">
    <w:name w:val="Unresolved Mention4000000010"/>
    <w:basedOn w:val="DefaultParagraphFont"/>
    <w:uiPriority w:val="99"/>
    <w:unhideWhenUsed/>
    <w:rsid w:val="00DF4870"/>
    <w:rPr>
      <w:color w:val="605E5C"/>
      <w:shd w:val="clear" w:color="auto" w:fill="E1DFDD"/>
    </w:rPr>
  </w:style>
  <w:style w:type="character" w:customStyle="1" w:styleId="Mention46">
    <w:name w:val="Mention46"/>
    <w:basedOn w:val="DefaultParagraphFont"/>
    <w:uiPriority w:val="99"/>
    <w:unhideWhenUsed/>
    <w:rsid w:val="008B4F85"/>
    <w:rPr>
      <w:color w:val="2B579A"/>
      <w:shd w:val="clear" w:color="auto" w:fill="E1DFDD"/>
    </w:rPr>
  </w:style>
  <w:style w:type="character" w:customStyle="1" w:styleId="UnresolvedMention4000">
    <w:name w:val="Unresolved Mention4000"/>
    <w:basedOn w:val="DefaultParagraphFont"/>
    <w:uiPriority w:val="99"/>
    <w:unhideWhenUsed/>
    <w:rsid w:val="00F84D3F"/>
    <w:rPr>
      <w:color w:val="605E5C"/>
      <w:shd w:val="clear" w:color="auto" w:fill="E1DFDD"/>
    </w:rPr>
  </w:style>
  <w:style w:type="character" w:customStyle="1" w:styleId="UnresolvedMention400000000">
    <w:name w:val="Unresolved Mention400000000"/>
    <w:basedOn w:val="DefaultParagraphFont"/>
    <w:uiPriority w:val="99"/>
    <w:unhideWhenUsed/>
    <w:rsid w:val="00F84D3F"/>
    <w:rPr>
      <w:color w:val="605E5C"/>
      <w:shd w:val="clear" w:color="auto" w:fill="E1DFDD"/>
    </w:rPr>
  </w:style>
  <w:style w:type="character" w:customStyle="1" w:styleId="UnresolvedMention40000">
    <w:name w:val="Unresolved Mention40000"/>
    <w:basedOn w:val="DefaultParagraphFont"/>
    <w:uiPriority w:val="99"/>
    <w:unhideWhenUsed/>
    <w:rsid w:val="00F84D3F"/>
    <w:rPr>
      <w:color w:val="605E5C"/>
      <w:shd w:val="clear" w:color="auto" w:fill="E1DFDD"/>
    </w:rPr>
  </w:style>
  <w:style w:type="character" w:customStyle="1" w:styleId="UnresolvedMention400000">
    <w:name w:val="Unresolved Mention400000"/>
    <w:basedOn w:val="DefaultParagraphFont"/>
    <w:uiPriority w:val="99"/>
    <w:unhideWhenUsed/>
    <w:rsid w:val="00F84D3F"/>
    <w:rPr>
      <w:color w:val="605E5C"/>
      <w:shd w:val="clear" w:color="auto" w:fill="E1DFDD"/>
    </w:rPr>
  </w:style>
  <w:style w:type="character" w:customStyle="1" w:styleId="UnresolvedMention4000000">
    <w:name w:val="Unresolved Mention4000000"/>
    <w:basedOn w:val="DefaultParagraphFont"/>
    <w:uiPriority w:val="99"/>
    <w:unhideWhenUsed/>
    <w:rsid w:val="00F84D3F"/>
    <w:rPr>
      <w:color w:val="605E5C"/>
      <w:shd w:val="clear" w:color="auto" w:fill="E1DFDD"/>
    </w:rPr>
  </w:style>
  <w:style w:type="character" w:customStyle="1" w:styleId="UnresolvedMention40000000">
    <w:name w:val="Unresolved Mention40000000"/>
    <w:basedOn w:val="DefaultParagraphFont"/>
    <w:uiPriority w:val="99"/>
    <w:unhideWhenUsed/>
    <w:rsid w:val="00F84D3F"/>
    <w:rPr>
      <w:color w:val="605E5C"/>
      <w:shd w:val="clear" w:color="auto" w:fill="E1DFDD"/>
    </w:rPr>
  </w:style>
  <w:style w:type="character" w:customStyle="1" w:styleId="UnresolvedMention400000001">
    <w:name w:val="Unresolved Mention400000001"/>
    <w:basedOn w:val="DefaultParagraphFont"/>
    <w:uiPriority w:val="99"/>
    <w:unhideWhenUsed/>
    <w:rsid w:val="00F84D3F"/>
    <w:rPr>
      <w:color w:val="605E5C"/>
      <w:shd w:val="clear" w:color="auto" w:fill="E1DFDD"/>
    </w:rPr>
  </w:style>
  <w:style w:type="character" w:customStyle="1" w:styleId="UnresolvedMention40000000100">
    <w:name w:val="Unresolved Mention40000000100"/>
    <w:basedOn w:val="DefaultParagraphFont"/>
    <w:uiPriority w:val="99"/>
    <w:unhideWhenUsed/>
    <w:rsid w:val="00775B46"/>
    <w:rPr>
      <w:color w:val="605E5C"/>
      <w:shd w:val="clear" w:color="auto" w:fill="E1DFDD"/>
    </w:rPr>
  </w:style>
  <w:style w:type="character" w:customStyle="1" w:styleId="UnresolvedMention400000001000">
    <w:name w:val="Unresolved Mention400000001000"/>
    <w:basedOn w:val="DefaultParagraphFont"/>
    <w:uiPriority w:val="99"/>
    <w:unhideWhenUsed/>
    <w:rsid w:val="00775B46"/>
    <w:rPr>
      <w:color w:val="605E5C"/>
      <w:shd w:val="clear" w:color="auto" w:fill="E1DFDD"/>
    </w:rPr>
  </w:style>
  <w:style w:type="character" w:customStyle="1" w:styleId="UnresolvedMention4000000010000">
    <w:name w:val="Unresolved Mention4000000010000"/>
    <w:basedOn w:val="DefaultParagraphFont"/>
    <w:uiPriority w:val="99"/>
    <w:unhideWhenUsed/>
    <w:rsid w:val="00722092"/>
    <w:rPr>
      <w:color w:val="605E5C"/>
      <w:shd w:val="clear" w:color="auto" w:fill="E1DFDD"/>
    </w:rPr>
  </w:style>
  <w:style w:type="character" w:customStyle="1" w:styleId="UnresolvedMention40000000100000">
    <w:name w:val="Unresolved Mention40000000100000"/>
    <w:basedOn w:val="DefaultParagraphFont"/>
    <w:uiPriority w:val="99"/>
    <w:unhideWhenUsed/>
    <w:rsid w:val="00722092"/>
    <w:rPr>
      <w:color w:val="605E5C"/>
      <w:shd w:val="clear" w:color="auto" w:fill="E1DFDD"/>
    </w:rPr>
  </w:style>
  <w:style w:type="character" w:customStyle="1" w:styleId="UnresolvedMention400000001000000">
    <w:name w:val="Unresolved Mention400000001000000"/>
    <w:basedOn w:val="DefaultParagraphFont"/>
    <w:uiPriority w:val="99"/>
    <w:unhideWhenUsed/>
    <w:rsid w:val="00722092"/>
    <w:rPr>
      <w:color w:val="605E5C"/>
      <w:shd w:val="clear" w:color="auto" w:fill="E1DFDD"/>
    </w:rPr>
  </w:style>
  <w:style w:type="character" w:customStyle="1" w:styleId="UnresolvedMention4000000010000000">
    <w:name w:val="Unresolved Mention4000000010000000"/>
    <w:basedOn w:val="DefaultParagraphFont"/>
    <w:uiPriority w:val="99"/>
    <w:unhideWhenUsed/>
    <w:rsid w:val="00722092"/>
    <w:rPr>
      <w:color w:val="605E5C"/>
      <w:shd w:val="clear" w:color="auto" w:fill="E1DFDD"/>
    </w:rPr>
  </w:style>
  <w:style w:type="character" w:customStyle="1" w:styleId="UnresolvedMention40000000100000000">
    <w:name w:val="Unresolved Mention40000000100000000"/>
    <w:basedOn w:val="DefaultParagraphFont"/>
    <w:uiPriority w:val="99"/>
    <w:unhideWhenUsed/>
    <w:rsid w:val="00722092"/>
    <w:rPr>
      <w:color w:val="605E5C"/>
      <w:shd w:val="clear" w:color="auto" w:fill="E1DFDD"/>
    </w:rPr>
  </w:style>
  <w:style w:type="character" w:customStyle="1" w:styleId="UnresolvedMention400000001000000000">
    <w:name w:val="Unresolved Mention400000001000000000"/>
    <w:basedOn w:val="DefaultParagraphFont"/>
    <w:uiPriority w:val="99"/>
    <w:unhideWhenUsed/>
    <w:rsid w:val="00722092"/>
    <w:rPr>
      <w:color w:val="605E5C"/>
      <w:shd w:val="clear" w:color="auto" w:fill="E1DFDD"/>
    </w:rPr>
  </w:style>
  <w:style w:type="character" w:customStyle="1" w:styleId="UnresolvedMention4000000010000000000">
    <w:name w:val="Unresolved Mention4000000010000000000"/>
    <w:basedOn w:val="DefaultParagraphFont"/>
    <w:uiPriority w:val="99"/>
    <w:unhideWhenUsed/>
    <w:rsid w:val="00722092"/>
    <w:rPr>
      <w:color w:val="605E5C"/>
      <w:shd w:val="clear" w:color="auto" w:fill="E1DFDD"/>
    </w:rPr>
  </w:style>
  <w:style w:type="character" w:customStyle="1" w:styleId="UnresolvedMention40000000100000000000">
    <w:name w:val="Unresolved Mention40000000100000000000"/>
    <w:basedOn w:val="DefaultParagraphFont"/>
    <w:uiPriority w:val="99"/>
    <w:unhideWhenUsed/>
    <w:rsid w:val="00722092"/>
    <w:rPr>
      <w:color w:val="605E5C"/>
      <w:shd w:val="clear" w:color="auto" w:fill="E1DFDD"/>
    </w:rPr>
  </w:style>
  <w:style w:type="character" w:customStyle="1" w:styleId="UnresolvedMention400000001000000000000">
    <w:name w:val="Unresolved Mention400000001000000000000"/>
    <w:basedOn w:val="DefaultParagraphFont"/>
    <w:uiPriority w:val="99"/>
    <w:unhideWhenUsed/>
    <w:rsid w:val="00722092"/>
    <w:rPr>
      <w:color w:val="605E5C"/>
      <w:shd w:val="clear" w:color="auto" w:fill="E1DFDD"/>
    </w:rPr>
  </w:style>
  <w:style w:type="character" w:customStyle="1" w:styleId="UnresolvedMention4000000010000000000000">
    <w:name w:val="Unresolved Mention4000000010000000000000"/>
    <w:basedOn w:val="DefaultParagraphFont"/>
    <w:uiPriority w:val="99"/>
    <w:unhideWhenUsed/>
    <w:rsid w:val="00722092"/>
    <w:rPr>
      <w:color w:val="605E5C"/>
      <w:shd w:val="clear" w:color="auto" w:fill="E1DFDD"/>
    </w:rPr>
  </w:style>
  <w:style w:type="character" w:customStyle="1" w:styleId="UnresolvedMention42">
    <w:name w:val="Unresolved Mention42"/>
    <w:basedOn w:val="DefaultParagraphFont"/>
    <w:uiPriority w:val="99"/>
    <w:semiHidden/>
    <w:unhideWhenUsed/>
    <w:rsid w:val="00D56B81"/>
    <w:rPr>
      <w:color w:val="605E5C"/>
      <w:shd w:val="clear" w:color="auto" w:fill="E1DFDD"/>
    </w:rPr>
  </w:style>
  <w:style w:type="table" w:customStyle="1" w:styleId="Table13">
    <w:name w:val="Table 13"/>
    <w:basedOn w:val="TableNormal"/>
    <w:uiPriority w:val="5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112">
    <w:name w:val="Table 111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sz w:val="16"/>
      </w:rPr>
      <w:tblPr/>
      <w:tcPr>
        <w:shd w:val="clear" w:color="auto" w:fill="005962"/>
      </w:tcPr>
    </w:tblStylePr>
    <w:tblStylePr w:type="firstCol">
      <w:pPr>
        <w:wordWrap/>
        <w:jc w:val="left"/>
        <w:outlineLvl w:val="9"/>
      </w:pPr>
    </w:tblStylePr>
  </w:style>
  <w:style w:type="table" w:customStyle="1" w:styleId="Table122">
    <w:name w:val="Table 12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62">
    <w:name w:val="Table 162"/>
    <w:basedOn w:val="TableNormal"/>
    <w:uiPriority w:val="99"/>
    <w:rsid w:val="00FB3D28"/>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Open Sans" w:hAnsi="Open Sans" w:hint="default"/>
        <w:b/>
        <w:color w:val="FFFFFF"/>
        <w:sz w:val="16"/>
        <w:szCs w:val="16"/>
      </w:rPr>
      <w:tblPr/>
      <w:tcPr>
        <w:shd w:val="clear" w:color="auto" w:fill="005962"/>
      </w:tcPr>
    </w:tblStylePr>
  </w:style>
  <w:style w:type="numbering" w:customStyle="1" w:styleId="Style21">
    <w:name w:val="Style21"/>
    <w:uiPriority w:val="99"/>
    <w:rsid w:val="00FB3D28"/>
    <w:pPr>
      <w:numPr>
        <w:numId w:val="142"/>
      </w:numPr>
    </w:pPr>
  </w:style>
  <w:style w:type="table" w:customStyle="1" w:styleId="Table112">
    <w:name w:val="Table 11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1111">
    <w:name w:val="Table 11111"/>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sz w:val="16"/>
      </w:rPr>
      <w:tblPr/>
      <w:tcPr>
        <w:shd w:val="clear" w:color="auto" w:fill="005962"/>
      </w:tcPr>
    </w:tblStylePr>
    <w:tblStylePr w:type="firstCol">
      <w:pPr>
        <w:wordWrap/>
        <w:jc w:val="left"/>
        <w:outlineLvl w:val="9"/>
      </w:pPr>
    </w:tblStylePr>
  </w:style>
  <w:style w:type="table" w:customStyle="1" w:styleId="Table1211">
    <w:name w:val="Table 1211"/>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Open Sans" w:hAnsi="Open Sans"/>
        <w:b/>
        <w:color w:val="FFFFFF" w:themeColor="background1"/>
        <w:sz w:val="16"/>
      </w:rPr>
      <w:tblPr/>
      <w:tcPr>
        <w:shd w:val="clear" w:color="auto" w:fill="005962"/>
      </w:tcPr>
    </w:tblStylePr>
    <w:tblStylePr w:type="firstCol">
      <w:pPr>
        <w:wordWrap/>
        <w:jc w:val="left"/>
        <w:outlineLvl w:val="9"/>
      </w:pPr>
    </w:tblStylePr>
  </w:style>
  <w:style w:type="table" w:customStyle="1" w:styleId="Table1611">
    <w:name w:val="Table 1611"/>
    <w:basedOn w:val="TableNormal"/>
    <w:uiPriority w:val="99"/>
    <w:rsid w:val="00FB3D28"/>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Open Sans" w:hAnsi="Open Sans" w:hint="default"/>
        <w:b/>
        <w:color w:val="FFFFFF"/>
        <w:sz w:val="16"/>
        <w:szCs w:val="16"/>
      </w:rPr>
      <w:tblPr/>
      <w:tcPr>
        <w:shd w:val="clear" w:color="auto" w:fill="005962"/>
      </w:tcPr>
    </w:tblStylePr>
  </w:style>
  <w:style w:type="character" w:customStyle="1" w:styleId="UnresolvedMention43">
    <w:name w:val="Unresolved Mention43"/>
    <w:basedOn w:val="DefaultParagraphFont"/>
    <w:uiPriority w:val="99"/>
    <w:unhideWhenUsed/>
    <w:rsid w:val="002236A2"/>
    <w:rPr>
      <w:color w:val="605E5C"/>
      <w:shd w:val="clear" w:color="auto" w:fill="E1DFDD"/>
    </w:rPr>
  </w:style>
  <w:style w:type="character" w:customStyle="1" w:styleId="Mention47">
    <w:name w:val="Mention47"/>
    <w:basedOn w:val="DefaultParagraphFont"/>
    <w:uiPriority w:val="99"/>
    <w:unhideWhenUsed/>
    <w:rsid w:val="002236A2"/>
    <w:rPr>
      <w:color w:val="2B579A"/>
      <w:shd w:val="clear" w:color="auto" w:fill="E1DFDD"/>
    </w:rPr>
  </w:style>
  <w:style w:type="character" w:customStyle="1" w:styleId="UnresolvedMention44">
    <w:name w:val="Unresolved Mention44"/>
    <w:basedOn w:val="DefaultParagraphFont"/>
    <w:uiPriority w:val="99"/>
    <w:unhideWhenUsed/>
    <w:rsid w:val="008F73B2"/>
    <w:rPr>
      <w:color w:val="605E5C"/>
      <w:shd w:val="clear" w:color="auto" w:fill="E1DFDD"/>
    </w:rPr>
  </w:style>
  <w:style w:type="character" w:customStyle="1" w:styleId="Mention48">
    <w:name w:val="Mention48"/>
    <w:basedOn w:val="DefaultParagraphFont"/>
    <w:uiPriority w:val="99"/>
    <w:unhideWhenUsed/>
    <w:rsid w:val="008F73B2"/>
    <w:rPr>
      <w:color w:val="2B579A"/>
      <w:shd w:val="clear" w:color="auto" w:fill="E1DFDD"/>
    </w:rPr>
  </w:style>
  <w:style w:type="paragraph" w:styleId="EndnoteText">
    <w:name w:val="endnote text"/>
    <w:basedOn w:val="Normal"/>
    <w:link w:val="EndnoteTextChar"/>
    <w:uiPriority w:val="99"/>
    <w:semiHidden/>
    <w:unhideWhenUsed/>
    <w:rsid w:val="005B1A4F"/>
    <w:pPr>
      <w:spacing w:after="0"/>
    </w:pPr>
    <w:rPr>
      <w:sz w:val="20"/>
      <w:szCs w:val="20"/>
    </w:rPr>
  </w:style>
  <w:style w:type="character" w:customStyle="1" w:styleId="EndnoteTextChar">
    <w:name w:val="Endnote Text Char"/>
    <w:basedOn w:val="DefaultParagraphFont"/>
    <w:link w:val="EndnoteText"/>
    <w:uiPriority w:val="99"/>
    <w:semiHidden/>
    <w:rsid w:val="005B1A4F"/>
    <w:rPr>
      <w:rFonts w:ascii="Times New Roman" w:hAnsi="Times New Roman" w:cs="Times New Roman"/>
      <w:sz w:val="20"/>
      <w:szCs w:val="20"/>
    </w:rPr>
  </w:style>
  <w:style w:type="paragraph" w:customStyle="1" w:styleId="lp11">
    <w:name w:val="lp11"/>
    <w:basedOn w:val="Normal"/>
    <w:next w:val="ListParagraph"/>
    <w:uiPriority w:val="34"/>
    <w:qFormat/>
    <w:rsid w:val="0057032E"/>
    <w:pPr>
      <w:ind w:left="720"/>
      <w:contextualSpacing/>
    </w:pPr>
    <w:rPr>
      <w:lang w:val="en-US"/>
    </w:rPr>
  </w:style>
  <w:style w:type="character" w:customStyle="1" w:styleId="Nessuno">
    <w:name w:val="Nessuno"/>
    <w:rsid w:val="00885FBA"/>
  </w:style>
  <w:style w:type="character" w:customStyle="1" w:styleId="UnresolvedMention440">
    <w:name w:val="Unresolved Mention440"/>
    <w:basedOn w:val="DefaultParagraphFont"/>
    <w:uiPriority w:val="99"/>
    <w:unhideWhenUsed/>
    <w:rsid w:val="00885FBA"/>
    <w:rPr>
      <w:color w:val="605E5C"/>
      <w:shd w:val="clear" w:color="auto" w:fill="E1DFDD"/>
    </w:rPr>
  </w:style>
  <w:style w:type="character" w:customStyle="1" w:styleId="Mention480">
    <w:name w:val="Mention480"/>
    <w:basedOn w:val="DefaultParagraphFont"/>
    <w:uiPriority w:val="99"/>
    <w:unhideWhenUsed/>
    <w:rsid w:val="00885FBA"/>
    <w:rPr>
      <w:color w:val="2B579A"/>
      <w:shd w:val="clear" w:color="auto" w:fill="E1DFDD"/>
    </w:rPr>
  </w:style>
  <w:style w:type="character" w:customStyle="1" w:styleId="UnresolvedMention450">
    <w:name w:val="Unresolved Mention450"/>
    <w:basedOn w:val="DefaultParagraphFont"/>
    <w:uiPriority w:val="99"/>
    <w:unhideWhenUsed/>
    <w:rsid w:val="00885FBA"/>
    <w:rPr>
      <w:color w:val="605E5C"/>
      <w:shd w:val="clear" w:color="auto" w:fill="E1DFDD"/>
    </w:rPr>
  </w:style>
  <w:style w:type="character" w:customStyle="1" w:styleId="UnresolvedMention46">
    <w:name w:val="Unresolved Mention46"/>
    <w:basedOn w:val="DefaultParagraphFont"/>
    <w:uiPriority w:val="99"/>
    <w:semiHidden/>
    <w:unhideWhenUsed/>
    <w:rsid w:val="00885FBA"/>
    <w:rPr>
      <w:color w:val="605E5C"/>
      <w:shd w:val="clear" w:color="auto" w:fill="E1DFDD"/>
    </w:rPr>
  </w:style>
  <w:style w:type="character" w:customStyle="1" w:styleId="UnresolvedMention45">
    <w:name w:val="Unresolved Mention45"/>
    <w:basedOn w:val="DefaultParagraphFont"/>
    <w:uiPriority w:val="99"/>
    <w:unhideWhenUsed/>
    <w:rsid w:val="00885FBA"/>
    <w:rPr>
      <w:color w:val="605E5C"/>
      <w:shd w:val="clear" w:color="auto" w:fill="E1DFDD"/>
    </w:rPr>
  </w:style>
  <w:style w:type="character" w:customStyle="1" w:styleId="Mention49">
    <w:name w:val="Mention49"/>
    <w:basedOn w:val="DefaultParagraphFont"/>
    <w:uiPriority w:val="99"/>
    <w:unhideWhenUsed/>
    <w:rsid w:val="00885FBA"/>
    <w:rPr>
      <w:color w:val="2B579A"/>
      <w:shd w:val="clear" w:color="auto" w:fill="E1DFDD"/>
    </w:rPr>
  </w:style>
  <w:style w:type="character" w:customStyle="1" w:styleId="Mention50">
    <w:name w:val="Mention50"/>
    <w:basedOn w:val="DefaultParagraphFont"/>
    <w:uiPriority w:val="99"/>
    <w:unhideWhenUsed/>
    <w:rsid w:val="00885FBA"/>
    <w:rPr>
      <w:color w:val="2B579A"/>
      <w:shd w:val="clear" w:color="auto" w:fill="E1DFDD"/>
    </w:rPr>
  </w:style>
  <w:style w:type="character" w:customStyle="1" w:styleId="UnresolvedMention47">
    <w:name w:val="Unresolved Mention47"/>
    <w:basedOn w:val="DefaultParagraphFont"/>
    <w:uiPriority w:val="99"/>
    <w:semiHidden/>
    <w:unhideWhenUsed/>
    <w:rsid w:val="00885FBA"/>
    <w:rPr>
      <w:color w:val="605E5C"/>
      <w:shd w:val="clear" w:color="auto" w:fill="E1DFDD"/>
    </w:rPr>
  </w:style>
  <w:style w:type="character" w:customStyle="1" w:styleId="Mention51">
    <w:name w:val="Mention51"/>
    <w:basedOn w:val="DefaultParagraphFont"/>
    <w:uiPriority w:val="99"/>
    <w:unhideWhenUsed/>
    <w:rsid w:val="00885FBA"/>
    <w:rPr>
      <w:color w:val="2B579A"/>
      <w:shd w:val="clear" w:color="auto" w:fill="E1DFDD"/>
    </w:rPr>
  </w:style>
  <w:style w:type="table" w:styleId="ListTable1Light-Accent1">
    <w:name w:val="List Table 1 Light Accent 1"/>
    <w:basedOn w:val="TableNormal"/>
    <w:uiPriority w:val="46"/>
    <w:rsid w:val="00AA4484"/>
    <w:pPr>
      <w:spacing w:after="0" w:line="240" w:lineRule="auto"/>
    </w:pPr>
    <w:rPr>
      <w:lang w:val="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Heading2"/>
    <w:rsid w:val="00104982"/>
    <w:rPr>
      <w:rFonts w:eastAsiaTheme="minorEastAsia"/>
      <w:sz w:val="22"/>
      <w:szCs w:val="22"/>
      <w:lang w:eastAsia="en-GB"/>
    </w:rPr>
  </w:style>
  <w:style w:type="paragraph" w:customStyle="1" w:styleId="TechnicalBlock">
    <w:name w:val="Technical Block"/>
    <w:basedOn w:val="Normal"/>
    <w:link w:val="TechnicalBlockChar"/>
    <w:rsid w:val="00641A5B"/>
    <w:pPr>
      <w:jc w:val="center"/>
    </w:pPr>
  </w:style>
  <w:style w:type="character" w:customStyle="1" w:styleId="TechnicalBlockChar">
    <w:name w:val="Technical Block Char"/>
    <w:basedOn w:val="DefaultParagraphFont"/>
    <w:link w:val="TechnicalBlock"/>
    <w:rsid w:val="00641A5B"/>
    <w:rPr>
      <w:rFonts w:ascii="Times New Roman" w:hAnsi="Times New Roman" w:cs="Times New Roman"/>
      <w:sz w:val="24"/>
      <w:szCs w:val="24"/>
    </w:rPr>
  </w:style>
  <w:style w:type="paragraph" w:customStyle="1" w:styleId="EntText">
    <w:name w:val="EntText"/>
    <w:basedOn w:val="Normal"/>
    <w:rsid w:val="00641A5B"/>
    <w:pPr>
      <w:spacing w:before="120" w:after="120" w:line="360" w:lineRule="auto"/>
      <w:jc w:val="left"/>
    </w:pPr>
    <w:rPr>
      <w:szCs w:val="22"/>
    </w:rPr>
  </w:style>
  <w:style w:type="paragraph" w:customStyle="1" w:styleId="Lignefinal">
    <w:name w:val="Ligne final"/>
    <w:basedOn w:val="Normal"/>
    <w:next w:val="Normal"/>
    <w:rsid w:val="00641A5B"/>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641A5B"/>
    <w:pPr>
      <w:spacing w:before="1200" w:after="120"/>
      <w:ind w:left="1440" w:hanging="1440"/>
      <w:jc w:val="left"/>
    </w:pPr>
  </w:style>
  <w:style w:type="character" w:customStyle="1" w:styleId="pjChar">
    <w:name w:val="p.j. Char"/>
    <w:basedOn w:val="TechnicalBlockChar"/>
    <w:link w:val="pj"/>
    <w:rsid w:val="00641A5B"/>
    <w:rPr>
      <w:rFonts w:ascii="Times New Roman" w:hAnsi="Times New Roman" w:cs="Times New Roman"/>
      <w:sz w:val="24"/>
      <w:szCs w:val="24"/>
    </w:rPr>
  </w:style>
  <w:style w:type="paragraph" w:customStyle="1" w:styleId="nbbordered">
    <w:name w:val="nb bordered"/>
    <w:basedOn w:val="Normal"/>
    <w:link w:val="nbborderedChar"/>
    <w:rsid w:val="00641A5B"/>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641A5B"/>
    <w:rPr>
      <w:rFonts w:ascii="Times New Roman" w:hAnsi="Times New Roman" w:cs="Times New Roman"/>
      <w:b/>
      <w:sz w:val="24"/>
      <w:szCs w:val="24"/>
    </w:rPr>
  </w:style>
  <w:style w:type="paragraph" w:customStyle="1" w:styleId="HeaderCouncil">
    <w:name w:val="Header Council"/>
    <w:basedOn w:val="Normal"/>
    <w:link w:val="HeaderCouncilChar"/>
    <w:rsid w:val="00641A5B"/>
    <w:pPr>
      <w:spacing w:after="0"/>
    </w:pPr>
    <w:rPr>
      <w:noProof/>
      <w:sz w:val="2"/>
      <w:lang w:val="en-IE"/>
    </w:rPr>
  </w:style>
  <w:style w:type="character" w:customStyle="1" w:styleId="HeaderCouncilChar">
    <w:name w:val="Header Council Char"/>
    <w:basedOn w:val="DefaultParagraphFont"/>
    <w:link w:val="HeaderCouncil"/>
    <w:rsid w:val="00641A5B"/>
    <w:rPr>
      <w:rFonts w:ascii="Times New Roman" w:hAnsi="Times New Roman" w:cs="Times New Roman"/>
      <w:noProof/>
      <w:sz w:val="2"/>
      <w:szCs w:val="24"/>
      <w:lang w:val="en-IE"/>
    </w:rPr>
  </w:style>
  <w:style w:type="paragraph" w:customStyle="1" w:styleId="HeaderCouncilLarge">
    <w:name w:val="Header Council Large"/>
    <w:basedOn w:val="Normal"/>
    <w:link w:val="HeaderCouncilLargeChar"/>
    <w:rsid w:val="00641A5B"/>
    <w:pPr>
      <w:spacing w:after="440"/>
    </w:pPr>
    <w:rPr>
      <w:noProof/>
      <w:sz w:val="2"/>
      <w:lang w:val="en-IE"/>
    </w:rPr>
  </w:style>
  <w:style w:type="character" w:customStyle="1" w:styleId="HeaderCouncilLargeChar">
    <w:name w:val="Header Council Large Char"/>
    <w:basedOn w:val="DefaultParagraphFont"/>
    <w:link w:val="HeaderCouncilLarge"/>
    <w:rsid w:val="00641A5B"/>
    <w:rPr>
      <w:rFonts w:ascii="Times New Roman" w:hAnsi="Times New Roman" w:cs="Times New Roman"/>
      <w:noProof/>
      <w:sz w:val="2"/>
      <w:szCs w:val="24"/>
      <w:lang w:val="en-IE"/>
    </w:rPr>
  </w:style>
  <w:style w:type="paragraph" w:customStyle="1" w:styleId="FooterCouncil">
    <w:name w:val="Footer Council"/>
    <w:basedOn w:val="Normal"/>
    <w:link w:val="FooterCouncilChar"/>
    <w:rsid w:val="00641A5B"/>
    <w:pPr>
      <w:spacing w:after="0"/>
    </w:pPr>
    <w:rPr>
      <w:noProof/>
      <w:sz w:val="2"/>
      <w:lang w:val="en-IE"/>
    </w:rPr>
  </w:style>
  <w:style w:type="character" w:customStyle="1" w:styleId="FooterCouncilChar">
    <w:name w:val="Footer Council Char"/>
    <w:basedOn w:val="DefaultParagraphFont"/>
    <w:link w:val="FooterCouncil"/>
    <w:rsid w:val="00641A5B"/>
    <w:rPr>
      <w:rFonts w:ascii="Times New Roman" w:hAnsi="Times New Roman" w:cs="Times New Roman"/>
      <w:noProof/>
      <w:sz w:val="2"/>
      <w:szCs w:val="24"/>
      <w:lang w:val="en-IE"/>
    </w:rPr>
  </w:style>
  <w:style w:type="paragraph" w:customStyle="1" w:styleId="FooterText">
    <w:name w:val="Footer Text"/>
    <w:basedOn w:val="Normal"/>
    <w:rsid w:val="00641A5B"/>
    <w:pPr>
      <w:spacing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1914">
      <w:bodyDiv w:val="1"/>
      <w:marLeft w:val="0"/>
      <w:marRight w:val="0"/>
      <w:marTop w:val="0"/>
      <w:marBottom w:val="0"/>
      <w:divBdr>
        <w:top w:val="none" w:sz="0" w:space="0" w:color="auto"/>
        <w:left w:val="none" w:sz="0" w:space="0" w:color="auto"/>
        <w:bottom w:val="none" w:sz="0" w:space="0" w:color="auto"/>
        <w:right w:val="none" w:sz="0" w:space="0" w:color="auto"/>
      </w:divBdr>
    </w:div>
    <w:div w:id="16732994">
      <w:bodyDiv w:val="1"/>
      <w:marLeft w:val="0"/>
      <w:marRight w:val="0"/>
      <w:marTop w:val="0"/>
      <w:marBottom w:val="0"/>
      <w:divBdr>
        <w:top w:val="none" w:sz="0" w:space="0" w:color="auto"/>
        <w:left w:val="none" w:sz="0" w:space="0" w:color="auto"/>
        <w:bottom w:val="none" w:sz="0" w:space="0" w:color="auto"/>
        <w:right w:val="none" w:sz="0" w:space="0" w:color="auto"/>
      </w:divBdr>
    </w:div>
    <w:div w:id="18430489">
      <w:bodyDiv w:val="1"/>
      <w:marLeft w:val="0"/>
      <w:marRight w:val="0"/>
      <w:marTop w:val="0"/>
      <w:marBottom w:val="0"/>
      <w:divBdr>
        <w:top w:val="none" w:sz="0" w:space="0" w:color="auto"/>
        <w:left w:val="none" w:sz="0" w:space="0" w:color="auto"/>
        <w:bottom w:val="none" w:sz="0" w:space="0" w:color="auto"/>
        <w:right w:val="none" w:sz="0" w:space="0" w:color="auto"/>
      </w:divBdr>
    </w:div>
    <w:div w:id="42142263">
      <w:bodyDiv w:val="1"/>
      <w:marLeft w:val="0"/>
      <w:marRight w:val="0"/>
      <w:marTop w:val="0"/>
      <w:marBottom w:val="0"/>
      <w:divBdr>
        <w:top w:val="none" w:sz="0" w:space="0" w:color="auto"/>
        <w:left w:val="none" w:sz="0" w:space="0" w:color="auto"/>
        <w:bottom w:val="none" w:sz="0" w:space="0" w:color="auto"/>
        <w:right w:val="none" w:sz="0" w:space="0" w:color="auto"/>
      </w:divBdr>
    </w:div>
    <w:div w:id="45221165">
      <w:bodyDiv w:val="1"/>
      <w:marLeft w:val="0"/>
      <w:marRight w:val="0"/>
      <w:marTop w:val="0"/>
      <w:marBottom w:val="0"/>
      <w:divBdr>
        <w:top w:val="none" w:sz="0" w:space="0" w:color="auto"/>
        <w:left w:val="none" w:sz="0" w:space="0" w:color="auto"/>
        <w:bottom w:val="none" w:sz="0" w:space="0" w:color="auto"/>
        <w:right w:val="none" w:sz="0" w:space="0" w:color="auto"/>
      </w:divBdr>
    </w:div>
    <w:div w:id="49378877">
      <w:bodyDiv w:val="1"/>
      <w:marLeft w:val="0"/>
      <w:marRight w:val="0"/>
      <w:marTop w:val="0"/>
      <w:marBottom w:val="0"/>
      <w:divBdr>
        <w:top w:val="none" w:sz="0" w:space="0" w:color="auto"/>
        <w:left w:val="none" w:sz="0" w:space="0" w:color="auto"/>
        <w:bottom w:val="none" w:sz="0" w:space="0" w:color="auto"/>
        <w:right w:val="none" w:sz="0" w:space="0" w:color="auto"/>
      </w:divBdr>
    </w:div>
    <w:div w:id="59983961">
      <w:bodyDiv w:val="1"/>
      <w:marLeft w:val="0"/>
      <w:marRight w:val="0"/>
      <w:marTop w:val="0"/>
      <w:marBottom w:val="0"/>
      <w:divBdr>
        <w:top w:val="none" w:sz="0" w:space="0" w:color="auto"/>
        <w:left w:val="none" w:sz="0" w:space="0" w:color="auto"/>
        <w:bottom w:val="none" w:sz="0" w:space="0" w:color="auto"/>
        <w:right w:val="none" w:sz="0" w:space="0" w:color="auto"/>
      </w:divBdr>
    </w:div>
    <w:div w:id="60256770">
      <w:bodyDiv w:val="1"/>
      <w:marLeft w:val="0"/>
      <w:marRight w:val="0"/>
      <w:marTop w:val="0"/>
      <w:marBottom w:val="0"/>
      <w:divBdr>
        <w:top w:val="none" w:sz="0" w:space="0" w:color="auto"/>
        <w:left w:val="none" w:sz="0" w:space="0" w:color="auto"/>
        <w:bottom w:val="none" w:sz="0" w:space="0" w:color="auto"/>
        <w:right w:val="none" w:sz="0" w:space="0" w:color="auto"/>
      </w:divBdr>
    </w:div>
    <w:div w:id="70125117">
      <w:bodyDiv w:val="1"/>
      <w:marLeft w:val="0"/>
      <w:marRight w:val="0"/>
      <w:marTop w:val="0"/>
      <w:marBottom w:val="0"/>
      <w:divBdr>
        <w:top w:val="none" w:sz="0" w:space="0" w:color="auto"/>
        <w:left w:val="none" w:sz="0" w:space="0" w:color="auto"/>
        <w:bottom w:val="none" w:sz="0" w:space="0" w:color="auto"/>
        <w:right w:val="none" w:sz="0" w:space="0" w:color="auto"/>
      </w:divBdr>
      <w:divsChild>
        <w:div w:id="1975017986">
          <w:marLeft w:val="0"/>
          <w:marRight w:val="0"/>
          <w:marTop w:val="0"/>
          <w:marBottom w:val="0"/>
          <w:divBdr>
            <w:top w:val="none" w:sz="0" w:space="0" w:color="auto"/>
            <w:left w:val="none" w:sz="0" w:space="0" w:color="auto"/>
            <w:bottom w:val="none" w:sz="0" w:space="0" w:color="auto"/>
            <w:right w:val="none" w:sz="0" w:space="0" w:color="auto"/>
          </w:divBdr>
        </w:div>
      </w:divsChild>
    </w:div>
    <w:div w:id="71199097">
      <w:bodyDiv w:val="1"/>
      <w:marLeft w:val="0"/>
      <w:marRight w:val="0"/>
      <w:marTop w:val="0"/>
      <w:marBottom w:val="0"/>
      <w:divBdr>
        <w:top w:val="none" w:sz="0" w:space="0" w:color="auto"/>
        <w:left w:val="none" w:sz="0" w:space="0" w:color="auto"/>
        <w:bottom w:val="none" w:sz="0" w:space="0" w:color="auto"/>
        <w:right w:val="none" w:sz="0" w:space="0" w:color="auto"/>
      </w:divBdr>
    </w:div>
    <w:div w:id="82801894">
      <w:bodyDiv w:val="1"/>
      <w:marLeft w:val="0"/>
      <w:marRight w:val="0"/>
      <w:marTop w:val="0"/>
      <w:marBottom w:val="0"/>
      <w:divBdr>
        <w:top w:val="none" w:sz="0" w:space="0" w:color="auto"/>
        <w:left w:val="none" w:sz="0" w:space="0" w:color="auto"/>
        <w:bottom w:val="none" w:sz="0" w:space="0" w:color="auto"/>
        <w:right w:val="none" w:sz="0" w:space="0" w:color="auto"/>
      </w:divBdr>
    </w:div>
    <w:div w:id="99225738">
      <w:bodyDiv w:val="1"/>
      <w:marLeft w:val="0"/>
      <w:marRight w:val="0"/>
      <w:marTop w:val="0"/>
      <w:marBottom w:val="0"/>
      <w:divBdr>
        <w:top w:val="none" w:sz="0" w:space="0" w:color="auto"/>
        <w:left w:val="none" w:sz="0" w:space="0" w:color="auto"/>
        <w:bottom w:val="none" w:sz="0" w:space="0" w:color="auto"/>
        <w:right w:val="none" w:sz="0" w:space="0" w:color="auto"/>
      </w:divBdr>
    </w:div>
    <w:div w:id="116140458">
      <w:bodyDiv w:val="1"/>
      <w:marLeft w:val="0"/>
      <w:marRight w:val="0"/>
      <w:marTop w:val="0"/>
      <w:marBottom w:val="0"/>
      <w:divBdr>
        <w:top w:val="none" w:sz="0" w:space="0" w:color="auto"/>
        <w:left w:val="none" w:sz="0" w:space="0" w:color="auto"/>
        <w:bottom w:val="none" w:sz="0" w:space="0" w:color="auto"/>
        <w:right w:val="none" w:sz="0" w:space="0" w:color="auto"/>
      </w:divBdr>
    </w:div>
    <w:div w:id="154302472">
      <w:bodyDiv w:val="1"/>
      <w:marLeft w:val="0"/>
      <w:marRight w:val="0"/>
      <w:marTop w:val="0"/>
      <w:marBottom w:val="0"/>
      <w:divBdr>
        <w:top w:val="none" w:sz="0" w:space="0" w:color="auto"/>
        <w:left w:val="none" w:sz="0" w:space="0" w:color="auto"/>
        <w:bottom w:val="none" w:sz="0" w:space="0" w:color="auto"/>
        <w:right w:val="none" w:sz="0" w:space="0" w:color="auto"/>
      </w:divBdr>
    </w:div>
    <w:div w:id="160388978">
      <w:bodyDiv w:val="1"/>
      <w:marLeft w:val="0"/>
      <w:marRight w:val="0"/>
      <w:marTop w:val="0"/>
      <w:marBottom w:val="0"/>
      <w:divBdr>
        <w:top w:val="none" w:sz="0" w:space="0" w:color="auto"/>
        <w:left w:val="none" w:sz="0" w:space="0" w:color="auto"/>
        <w:bottom w:val="none" w:sz="0" w:space="0" w:color="auto"/>
        <w:right w:val="none" w:sz="0" w:space="0" w:color="auto"/>
      </w:divBdr>
    </w:div>
    <w:div w:id="162287410">
      <w:bodyDiv w:val="1"/>
      <w:marLeft w:val="0"/>
      <w:marRight w:val="0"/>
      <w:marTop w:val="0"/>
      <w:marBottom w:val="0"/>
      <w:divBdr>
        <w:top w:val="none" w:sz="0" w:space="0" w:color="auto"/>
        <w:left w:val="none" w:sz="0" w:space="0" w:color="auto"/>
        <w:bottom w:val="none" w:sz="0" w:space="0" w:color="auto"/>
        <w:right w:val="none" w:sz="0" w:space="0" w:color="auto"/>
      </w:divBdr>
    </w:div>
    <w:div w:id="197665571">
      <w:bodyDiv w:val="1"/>
      <w:marLeft w:val="0"/>
      <w:marRight w:val="0"/>
      <w:marTop w:val="0"/>
      <w:marBottom w:val="0"/>
      <w:divBdr>
        <w:top w:val="none" w:sz="0" w:space="0" w:color="auto"/>
        <w:left w:val="none" w:sz="0" w:space="0" w:color="auto"/>
        <w:bottom w:val="none" w:sz="0" w:space="0" w:color="auto"/>
        <w:right w:val="none" w:sz="0" w:space="0" w:color="auto"/>
      </w:divBdr>
      <w:divsChild>
        <w:div w:id="763380597">
          <w:marLeft w:val="0"/>
          <w:marRight w:val="0"/>
          <w:marTop w:val="0"/>
          <w:marBottom w:val="0"/>
          <w:divBdr>
            <w:top w:val="none" w:sz="0" w:space="0" w:color="auto"/>
            <w:left w:val="none" w:sz="0" w:space="0" w:color="auto"/>
            <w:bottom w:val="none" w:sz="0" w:space="0" w:color="auto"/>
            <w:right w:val="none" w:sz="0" w:space="0" w:color="auto"/>
          </w:divBdr>
          <w:divsChild>
            <w:div w:id="304698802">
              <w:marLeft w:val="0"/>
              <w:marRight w:val="0"/>
              <w:marTop w:val="0"/>
              <w:marBottom w:val="0"/>
              <w:divBdr>
                <w:top w:val="none" w:sz="0" w:space="0" w:color="auto"/>
                <w:left w:val="none" w:sz="0" w:space="0" w:color="auto"/>
                <w:bottom w:val="none" w:sz="0" w:space="0" w:color="auto"/>
                <w:right w:val="none" w:sz="0" w:space="0" w:color="auto"/>
              </w:divBdr>
            </w:div>
            <w:div w:id="658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3650">
      <w:bodyDiv w:val="1"/>
      <w:marLeft w:val="0"/>
      <w:marRight w:val="0"/>
      <w:marTop w:val="0"/>
      <w:marBottom w:val="0"/>
      <w:divBdr>
        <w:top w:val="none" w:sz="0" w:space="0" w:color="auto"/>
        <w:left w:val="none" w:sz="0" w:space="0" w:color="auto"/>
        <w:bottom w:val="none" w:sz="0" w:space="0" w:color="auto"/>
        <w:right w:val="none" w:sz="0" w:space="0" w:color="auto"/>
      </w:divBdr>
    </w:div>
    <w:div w:id="218059146">
      <w:bodyDiv w:val="1"/>
      <w:marLeft w:val="0"/>
      <w:marRight w:val="0"/>
      <w:marTop w:val="0"/>
      <w:marBottom w:val="0"/>
      <w:divBdr>
        <w:top w:val="none" w:sz="0" w:space="0" w:color="auto"/>
        <w:left w:val="none" w:sz="0" w:space="0" w:color="auto"/>
        <w:bottom w:val="none" w:sz="0" w:space="0" w:color="auto"/>
        <w:right w:val="none" w:sz="0" w:space="0" w:color="auto"/>
      </w:divBdr>
    </w:div>
    <w:div w:id="232087486">
      <w:bodyDiv w:val="1"/>
      <w:marLeft w:val="0"/>
      <w:marRight w:val="0"/>
      <w:marTop w:val="0"/>
      <w:marBottom w:val="0"/>
      <w:divBdr>
        <w:top w:val="none" w:sz="0" w:space="0" w:color="auto"/>
        <w:left w:val="none" w:sz="0" w:space="0" w:color="auto"/>
        <w:bottom w:val="none" w:sz="0" w:space="0" w:color="auto"/>
        <w:right w:val="none" w:sz="0" w:space="0" w:color="auto"/>
      </w:divBdr>
      <w:divsChild>
        <w:div w:id="271205031">
          <w:marLeft w:val="0"/>
          <w:marRight w:val="0"/>
          <w:marTop w:val="0"/>
          <w:marBottom w:val="0"/>
          <w:divBdr>
            <w:top w:val="none" w:sz="0" w:space="0" w:color="auto"/>
            <w:left w:val="none" w:sz="0" w:space="0" w:color="auto"/>
            <w:bottom w:val="none" w:sz="0" w:space="0" w:color="auto"/>
            <w:right w:val="none" w:sz="0" w:space="0" w:color="auto"/>
          </w:divBdr>
          <w:divsChild>
            <w:div w:id="6078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818">
      <w:bodyDiv w:val="1"/>
      <w:marLeft w:val="0"/>
      <w:marRight w:val="0"/>
      <w:marTop w:val="0"/>
      <w:marBottom w:val="0"/>
      <w:divBdr>
        <w:top w:val="none" w:sz="0" w:space="0" w:color="auto"/>
        <w:left w:val="none" w:sz="0" w:space="0" w:color="auto"/>
        <w:bottom w:val="none" w:sz="0" w:space="0" w:color="auto"/>
        <w:right w:val="none" w:sz="0" w:space="0" w:color="auto"/>
      </w:divBdr>
    </w:div>
    <w:div w:id="257450430">
      <w:bodyDiv w:val="1"/>
      <w:marLeft w:val="0"/>
      <w:marRight w:val="0"/>
      <w:marTop w:val="0"/>
      <w:marBottom w:val="0"/>
      <w:divBdr>
        <w:top w:val="none" w:sz="0" w:space="0" w:color="auto"/>
        <w:left w:val="none" w:sz="0" w:space="0" w:color="auto"/>
        <w:bottom w:val="none" w:sz="0" w:space="0" w:color="auto"/>
        <w:right w:val="none" w:sz="0" w:space="0" w:color="auto"/>
      </w:divBdr>
    </w:div>
    <w:div w:id="259028823">
      <w:bodyDiv w:val="1"/>
      <w:marLeft w:val="0"/>
      <w:marRight w:val="0"/>
      <w:marTop w:val="0"/>
      <w:marBottom w:val="0"/>
      <w:divBdr>
        <w:top w:val="none" w:sz="0" w:space="0" w:color="auto"/>
        <w:left w:val="none" w:sz="0" w:space="0" w:color="auto"/>
        <w:bottom w:val="none" w:sz="0" w:space="0" w:color="auto"/>
        <w:right w:val="none" w:sz="0" w:space="0" w:color="auto"/>
      </w:divBdr>
    </w:div>
    <w:div w:id="267279504">
      <w:bodyDiv w:val="1"/>
      <w:marLeft w:val="0"/>
      <w:marRight w:val="0"/>
      <w:marTop w:val="0"/>
      <w:marBottom w:val="0"/>
      <w:divBdr>
        <w:top w:val="none" w:sz="0" w:space="0" w:color="auto"/>
        <w:left w:val="none" w:sz="0" w:space="0" w:color="auto"/>
        <w:bottom w:val="none" w:sz="0" w:space="0" w:color="auto"/>
        <w:right w:val="none" w:sz="0" w:space="0" w:color="auto"/>
      </w:divBdr>
    </w:div>
    <w:div w:id="273901076">
      <w:bodyDiv w:val="1"/>
      <w:marLeft w:val="0"/>
      <w:marRight w:val="0"/>
      <w:marTop w:val="0"/>
      <w:marBottom w:val="0"/>
      <w:divBdr>
        <w:top w:val="none" w:sz="0" w:space="0" w:color="auto"/>
        <w:left w:val="none" w:sz="0" w:space="0" w:color="auto"/>
        <w:bottom w:val="none" w:sz="0" w:space="0" w:color="auto"/>
        <w:right w:val="none" w:sz="0" w:space="0" w:color="auto"/>
      </w:divBdr>
      <w:divsChild>
        <w:div w:id="2097393">
          <w:marLeft w:val="0"/>
          <w:marRight w:val="0"/>
          <w:marTop w:val="0"/>
          <w:marBottom w:val="0"/>
          <w:divBdr>
            <w:top w:val="none" w:sz="0" w:space="0" w:color="auto"/>
            <w:left w:val="none" w:sz="0" w:space="0" w:color="auto"/>
            <w:bottom w:val="none" w:sz="0" w:space="0" w:color="auto"/>
            <w:right w:val="none" w:sz="0" w:space="0" w:color="auto"/>
          </w:divBdr>
        </w:div>
        <w:div w:id="402532632">
          <w:marLeft w:val="0"/>
          <w:marRight w:val="0"/>
          <w:marTop w:val="0"/>
          <w:marBottom w:val="0"/>
          <w:divBdr>
            <w:top w:val="none" w:sz="0" w:space="0" w:color="auto"/>
            <w:left w:val="none" w:sz="0" w:space="0" w:color="auto"/>
            <w:bottom w:val="none" w:sz="0" w:space="0" w:color="auto"/>
            <w:right w:val="none" w:sz="0" w:space="0" w:color="auto"/>
          </w:divBdr>
        </w:div>
      </w:divsChild>
    </w:div>
    <w:div w:id="281083955">
      <w:bodyDiv w:val="1"/>
      <w:marLeft w:val="0"/>
      <w:marRight w:val="0"/>
      <w:marTop w:val="0"/>
      <w:marBottom w:val="0"/>
      <w:divBdr>
        <w:top w:val="none" w:sz="0" w:space="0" w:color="auto"/>
        <w:left w:val="none" w:sz="0" w:space="0" w:color="auto"/>
        <w:bottom w:val="none" w:sz="0" w:space="0" w:color="auto"/>
        <w:right w:val="none" w:sz="0" w:space="0" w:color="auto"/>
      </w:divBdr>
    </w:div>
    <w:div w:id="291790433">
      <w:bodyDiv w:val="1"/>
      <w:marLeft w:val="0"/>
      <w:marRight w:val="0"/>
      <w:marTop w:val="0"/>
      <w:marBottom w:val="0"/>
      <w:divBdr>
        <w:top w:val="none" w:sz="0" w:space="0" w:color="auto"/>
        <w:left w:val="none" w:sz="0" w:space="0" w:color="auto"/>
        <w:bottom w:val="none" w:sz="0" w:space="0" w:color="auto"/>
        <w:right w:val="none" w:sz="0" w:space="0" w:color="auto"/>
      </w:divBdr>
      <w:divsChild>
        <w:div w:id="19554173">
          <w:marLeft w:val="0"/>
          <w:marRight w:val="0"/>
          <w:marTop w:val="0"/>
          <w:marBottom w:val="0"/>
          <w:divBdr>
            <w:top w:val="none" w:sz="0" w:space="0" w:color="auto"/>
            <w:left w:val="none" w:sz="0" w:space="0" w:color="auto"/>
            <w:bottom w:val="none" w:sz="0" w:space="0" w:color="auto"/>
            <w:right w:val="none" w:sz="0" w:space="0" w:color="auto"/>
          </w:divBdr>
        </w:div>
        <w:div w:id="52387944">
          <w:marLeft w:val="0"/>
          <w:marRight w:val="0"/>
          <w:marTop w:val="0"/>
          <w:marBottom w:val="0"/>
          <w:divBdr>
            <w:top w:val="none" w:sz="0" w:space="0" w:color="auto"/>
            <w:left w:val="none" w:sz="0" w:space="0" w:color="auto"/>
            <w:bottom w:val="none" w:sz="0" w:space="0" w:color="auto"/>
            <w:right w:val="none" w:sz="0" w:space="0" w:color="auto"/>
          </w:divBdr>
        </w:div>
        <w:div w:id="61025255">
          <w:marLeft w:val="0"/>
          <w:marRight w:val="0"/>
          <w:marTop w:val="0"/>
          <w:marBottom w:val="0"/>
          <w:divBdr>
            <w:top w:val="none" w:sz="0" w:space="0" w:color="auto"/>
            <w:left w:val="none" w:sz="0" w:space="0" w:color="auto"/>
            <w:bottom w:val="none" w:sz="0" w:space="0" w:color="auto"/>
            <w:right w:val="none" w:sz="0" w:space="0" w:color="auto"/>
          </w:divBdr>
        </w:div>
        <w:div w:id="92826660">
          <w:marLeft w:val="0"/>
          <w:marRight w:val="0"/>
          <w:marTop w:val="0"/>
          <w:marBottom w:val="0"/>
          <w:divBdr>
            <w:top w:val="none" w:sz="0" w:space="0" w:color="auto"/>
            <w:left w:val="none" w:sz="0" w:space="0" w:color="auto"/>
            <w:bottom w:val="none" w:sz="0" w:space="0" w:color="auto"/>
            <w:right w:val="none" w:sz="0" w:space="0" w:color="auto"/>
          </w:divBdr>
          <w:divsChild>
            <w:div w:id="544752279">
              <w:marLeft w:val="0"/>
              <w:marRight w:val="0"/>
              <w:marTop w:val="0"/>
              <w:marBottom w:val="0"/>
              <w:divBdr>
                <w:top w:val="none" w:sz="0" w:space="0" w:color="auto"/>
                <w:left w:val="none" w:sz="0" w:space="0" w:color="auto"/>
                <w:bottom w:val="none" w:sz="0" w:space="0" w:color="auto"/>
                <w:right w:val="none" w:sz="0" w:space="0" w:color="auto"/>
              </w:divBdr>
            </w:div>
            <w:div w:id="995691300">
              <w:marLeft w:val="0"/>
              <w:marRight w:val="0"/>
              <w:marTop w:val="0"/>
              <w:marBottom w:val="0"/>
              <w:divBdr>
                <w:top w:val="none" w:sz="0" w:space="0" w:color="auto"/>
                <w:left w:val="none" w:sz="0" w:space="0" w:color="auto"/>
                <w:bottom w:val="none" w:sz="0" w:space="0" w:color="auto"/>
                <w:right w:val="none" w:sz="0" w:space="0" w:color="auto"/>
              </w:divBdr>
            </w:div>
            <w:div w:id="1795324610">
              <w:marLeft w:val="0"/>
              <w:marRight w:val="0"/>
              <w:marTop w:val="0"/>
              <w:marBottom w:val="0"/>
              <w:divBdr>
                <w:top w:val="none" w:sz="0" w:space="0" w:color="auto"/>
                <w:left w:val="none" w:sz="0" w:space="0" w:color="auto"/>
                <w:bottom w:val="none" w:sz="0" w:space="0" w:color="auto"/>
                <w:right w:val="none" w:sz="0" w:space="0" w:color="auto"/>
              </w:divBdr>
            </w:div>
            <w:div w:id="1822498101">
              <w:marLeft w:val="0"/>
              <w:marRight w:val="0"/>
              <w:marTop w:val="0"/>
              <w:marBottom w:val="0"/>
              <w:divBdr>
                <w:top w:val="none" w:sz="0" w:space="0" w:color="auto"/>
                <w:left w:val="none" w:sz="0" w:space="0" w:color="auto"/>
                <w:bottom w:val="none" w:sz="0" w:space="0" w:color="auto"/>
                <w:right w:val="none" w:sz="0" w:space="0" w:color="auto"/>
              </w:divBdr>
            </w:div>
            <w:div w:id="2064477875">
              <w:marLeft w:val="0"/>
              <w:marRight w:val="0"/>
              <w:marTop w:val="0"/>
              <w:marBottom w:val="0"/>
              <w:divBdr>
                <w:top w:val="none" w:sz="0" w:space="0" w:color="auto"/>
                <w:left w:val="none" w:sz="0" w:space="0" w:color="auto"/>
                <w:bottom w:val="none" w:sz="0" w:space="0" w:color="auto"/>
                <w:right w:val="none" w:sz="0" w:space="0" w:color="auto"/>
              </w:divBdr>
            </w:div>
          </w:divsChild>
        </w:div>
        <w:div w:id="108400924">
          <w:marLeft w:val="0"/>
          <w:marRight w:val="0"/>
          <w:marTop w:val="0"/>
          <w:marBottom w:val="0"/>
          <w:divBdr>
            <w:top w:val="none" w:sz="0" w:space="0" w:color="auto"/>
            <w:left w:val="none" w:sz="0" w:space="0" w:color="auto"/>
            <w:bottom w:val="none" w:sz="0" w:space="0" w:color="auto"/>
            <w:right w:val="none" w:sz="0" w:space="0" w:color="auto"/>
          </w:divBdr>
          <w:divsChild>
            <w:div w:id="1367178235">
              <w:marLeft w:val="0"/>
              <w:marRight w:val="0"/>
              <w:marTop w:val="0"/>
              <w:marBottom w:val="0"/>
              <w:divBdr>
                <w:top w:val="none" w:sz="0" w:space="0" w:color="auto"/>
                <w:left w:val="none" w:sz="0" w:space="0" w:color="auto"/>
                <w:bottom w:val="none" w:sz="0" w:space="0" w:color="auto"/>
                <w:right w:val="none" w:sz="0" w:space="0" w:color="auto"/>
              </w:divBdr>
            </w:div>
          </w:divsChild>
        </w:div>
        <w:div w:id="157616923">
          <w:marLeft w:val="0"/>
          <w:marRight w:val="0"/>
          <w:marTop w:val="0"/>
          <w:marBottom w:val="0"/>
          <w:divBdr>
            <w:top w:val="none" w:sz="0" w:space="0" w:color="auto"/>
            <w:left w:val="none" w:sz="0" w:space="0" w:color="auto"/>
            <w:bottom w:val="none" w:sz="0" w:space="0" w:color="auto"/>
            <w:right w:val="none" w:sz="0" w:space="0" w:color="auto"/>
          </w:divBdr>
        </w:div>
        <w:div w:id="160894788">
          <w:marLeft w:val="0"/>
          <w:marRight w:val="0"/>
          <w:marTop w:val="0"/>
          <w:marBottom w:val="0"/>
          <w:divBdr>
            <w:top w:val="none" w:sz="0" w:space="0" w:color="auto"/>
            <w:left w:val="none" w:sz="0" w:space="0" w:color="auto"/>
            <w:bottom w:val="none" w:sz="0" w:space="0" w:color="auto"/>
            <w:right w:val="none" w:sz="0" w:space="0" w:color="auto"/>
          </w:divBdr>
        </w:div>
        <w:div w:id="175771413">
          <w:marLeft w:val="0"/>
          <w:marRight w:val="0"/>
          <w:marTop w:val="0"/>
          <w:marBottom w:val="0"/>
          <w:divBdr>
            <w:top w:val="none" w:sz="0" w:space="0" w:color="auto"/>
            <w:left w:val="none" w:sz="0" w:space="0" w:color="auto"/>
            <w:bottom w:val="none" w:sz="0" w:space="0" w:color="auto"/>
            <w:right w:val="none" w:sz="0" w:space="0" w:color="auto"/>
          </w:divBdr>
        </w:div>
        <w:div w:id="193539808">
          <w:marLeft w:val="0"/>
          <w:marRight w:val="0"/>
          <w:marTop w:val="0"/>
          <w:marBottom w:val="0"/>
          <w:divBdr>
            <w:top w:val="none" w:sz="0" w:space="0" w:color="auto"/>
            <w:left w:val="none" w:sz="0" w:space="0" w:color="auto"/>
            <w:bottom w:val="none" w:sz="0" w:space="0" w:color="auto"/>
            <w:right w:val="none" w:sz="0" w:space="0" w:color="auto"/>
          </w:divBdr>
          <w:divsChild>
            <w:div w:id="1492217023">
              <w:marLeft w:val="0"/>
              <w:marRight w:val="0"/>
              <w:marTop w:val="0"/>
              <w:marBottom w:val="0"/>
              <w:divBdr>
                <w:top w:val="none" w:sz="0" w:space="0" w:color="auto"/>
                <w:left w:val="none" w:sz="0" w:space="0" w:color="auto"/>
                <w:bottom w:val="none" w:sz="0" w:space="0" w:color="auto"/>
                <w:right w:val="none" w:sz="0" w:space="0" w:color="auto"/>
              </w:divBdr>
            </w:div>
            <w:div w:id="1919555644">
              <w:marLeft w:val="0"/>
              <w:marRight w:val="0"/>
              <w:marTop w:val="0"/>
              <w:marBottom w:val="0"/>
              <w:divBdr>
                <w:top w:val="none" w:sz="0" w:space="0" w:color="auto"/>
                <w:left w:val="none" w:sz="0" w:space="0" w:color="auto"/>
                <w:bottom w:val="none" w:sz="0" w:space="0" w:color="auto"/>
                <w:right w:val="none" w:sz="0" w:space="0" w:color="auto"/>
              </w:divBdr>
            </w:div>
            <w:div w:id="2087454540">
              <w:marLeft w:val="0"/>
              <w:marRight w:val="0"/>
              <w:marTop w:val="0"/>
              <w:marBottom w:val="0"/>
              <w:divBdr>
                <w:top w:val="none" w:sz="0" w:space="0" w:color="auto"/>
                <w:left w:val="none" w:sz="0" w:space="0" w:color="auto"/>
                <w:bottom w:val="none" w:sz="0" w:space="0" w:color="auto"/>
                <w:right w:val="none" w:sz="0" w:space="0" w:color="auto"/>
              </w:divBdr>
            </w:div>
          </w:divsChild>
        </w:div>
        <w:div w:id="241374574">
          <w:marLeft w:val="0"/>
          <w:marRight w:val="0"/>
          <w:marTop w:val="0"/>
          <w:marBottom w:val="0"/>
          <w:divBdr>
            <w:top w:val="none" w:sz="0" w:space="0" w:color="auto"/>
            <w:left w:val="none" w:sz="0" w:space="0" w:color="auto"/>
            <w:bottom w:val="none" w:sz="0" w:space="0" w:color="auto"/>
            <w:right w:val="none" w:sz="0" w:space="0" w:color="auto"/>
          </w:divBdr>
        </w:div>
        <w:div w:id="283972606">
          <w:marLeft w:val="0"/>
          <w:marRight w:val="0"/>
          <w:marTop w:val="0"/>
          <w:marBottom w:val="0"/>
          <w:divBdr>
            <w:top w:val="none" w:sz="0" w:space="0" w:color="auto"/>
            <w:left w:val="none" w:sz="0" w:space="0" w:color="auto"/>
            <w:bottom w:val="none" w:sz="0" w:space="0" w:color="auto"/>
            <w:right w:val="none" w:sz="0" w:space="0" w:color="auto"/>
          </w:divBdr>
        </w:div>
        <w:div w:id="292828451">
          <w:marLeft w:val="0"/>
          <w:marRight w:val="0"/>
          <w:marTop w:val="0"/>
          <w:marBottom w:val="0"/>
          <w:divBdr>
            <w:top w:val="none" w:sz="0" w:space="0" w:color="auto"/>
            <w:left w:val="none" w:sz="0" w:space="0" w:color="auto"/>
            <w:bottom w:val="none" w:sz="0" w:space="0" w:color="auto"/>
            <w:right w:val="none" w:sz="0" w:space="0" w:color="auto"/>
          </w:divBdr>
        </w:div>
        <w:div w:id="293220691">
          <w:marLeft w:val="0"/>
          <w:marRight w:val="0"/>
          <w:marTop w:val="0"/>
          <w:marBottom w:val="0"/>
          <w:divBdr>
            <w:top w:val="none" w:sz="0" w:space="0" w:color="auto"/>
            <w:left w:val="none" w:sz="0" w:space="0" w:color="auto"/>
            <w:bottom w:val="none" w:sz="0" w:space="0" w:color="auto"/>
            <w:right w:val="none" w:sz="0" w:space="0" w:color="auto"/>
          </w:divBdr>
          <w:divsChild>
            <w:div w:id="608925532">
              <w:marLeft w:val="0"/>
              <w:marRight w:val="0"/>
              <w:marTop w:val="0"/>
              <w:marBottom w:val="0"/>
              <w:divBdr>
                <w:top w:val="none" w:sz="0" w:space="0" w:color="auto"/>
                <w:left w:val="none" w:sz="0" w:space="0" w:color="auto"/>
                <w:bottom w:val="none" w:sz="0" w:space="0" w:color="auto"/>
                <w:right w:val="none" w:sz="0" w:space="0" w:color="auto"/>
              </w:divBdr>
            </w:div>
            <w:div w:id="609707484">
              <w:marLeft w:val="0"/>
              <w:marRight w:val="0"/>
              <w:marTop w:val="0"/>
              <w:marBottom w:val="0"/>
              <w:divBdr>
                <w:top w:val="none" w:sz="0" w:space="0" w:color="auto"/>
                <w:left w:val="none" w:sz="0" w:space="0" w:color="auto"/>
                <w:bottom w:val="none" w:sz="0" w:space="0" w:color="auto"/>
                <w:right w:val="none" w:sz="0" w:space="0" w:color="auto"/>
              </w:divBdr>
            </w:div>
            <w:div w:id="637225203">
              <w:marLeft w:val="0"/>
              <w:marRight w:val="0"/>
              <w:marTop w:val="0"/>
              <w:marBottom w:val="0"/>
              <w:divBdr>
                <w:top w:val="none" w:sz="0" w:space="0" w:color="auto"/>
                <w:left w:val="none" w:sz="0" w:space="0" w:color="auto"/>
                <w:bottom w:val="none" w:sz="0" w:space="0" w:color="auto"/>
                <w:right w:val="none" w:sz="0" w:space="0" w:color="auto"/>
              </w:divBdr>
            </w:div>
            <w:div w:id="1294553585">
              <w:marLeft w:val="0"/>
              <w:marRight w:val="0"/>
              <w:marTop w:val="0"/>
              <w:marBottom w:val="0"/>
              <w:divBdr>
                <w:top w:val="none" w:sz="0" w:space="0" w:color="auto"/>
                <w:left w:val="none" w:sz="0" w:space="0" w:color="auto"/>
                <w:bottom w:val="none" w:sz="0" w:space="0" w:color="auto"/>
                <w:right w:val="none" w:sz="0" w:space="0" w:color="auto"/>
              </w:divBdr>
            </w:div>
            <w:div w:id="1812364837">
              <w:marLeft w:val="0"/>
              <w:marRight w:val="0"/>
              <w:marTop w:val="0"/>
              <w:marBottom w:val="0"/>
              <w:divBdr>
                <w:top w:val="none" w:sz="0" w:space="0" w:color="auto"/>
                <w:left w:val="none" w:sz="0" w:space="0" w:color="auto"/>
                <w:bottom w:val="none" w:sz="0" w:space="0" w:color="auto"/>
                <w:right w:val="none" w:sz="0" w:space="0" w:color="auto"/>
              </w:divBdr>
            </w:div>
          </w:divsChild>
        </w:div>
        <w:div w:id="337080423">
          <w:marLeft w:val="0"/>
          <w:marRight w:val="0"/>
          <w:marTop w:val="0"/>
          <w:marBottom w:val="0"/>
          <w:divBdr>
            <w:top w:val="none" w:sz="0" w:space="0" w:color="auto"/>
            <w:left w:val="none" w:sz="0" w:space="0" w:color="auto"/>
            <w:bottom w:val="none" w:sz="0" w:space="0" w:color="auto"/>
            <w:right w:val="none" w:sz="0" w:space="0" w:color="auto"/>
          </w:divBdr>
        </w:div>
        <w:div w:id="339161788">
          <w:marLeft w:val="0"/>
          <w:marRight w:val="0"/>
          <w:marTop w:val="0"/>
          <w:marBottom w:val="0"/>
          <w:divBdr>
            <w:top w:val="none" w:sz="0" w:space="0" w:color="auto"/>
            <w:left w:val="none" w:sz="0" w:space="0" w:color="auto"/>
            <w:bottom w:val="none" w:sz="0" w:space="0" w:color="auto"/>
            <w:right w:val="none" w:sz="0" w:space="0" w:color="auto"/>
          </w:divBdr>
        </w:div>
        <w:div w:id="397216242">
          <w:marLeft w:val="0"/>
          <w:marRight w:val="0"/>
          <w:marTop w:val="0"/>
          <w:marBottom w:val="0"/>
          <w:divBdr>
            <w:top w:val="none" w:sz="0" w:space="0" w:color="auto"/>
            <w:left w:val="none" w:sz="0" w:space="0" w:color="auto"/>
            <w:bottom w:val="none" w:sz="0" w:space="0" w:color="auto"/>
            <w:right w:val="none" w:sz="0" w:space="0" w:color="auto"/>
          </w:divBdr>
        </w:div>
        <w:div w:id="398794117">
          <w:marLeft w:val="0"/>
          <w:marRight w:val="0"/>
          <w:marTop w:val="0"/>
          <w:marBottom w:val="0"/>
          <w:divBdr>
            <w:top w:val="none" w:sz="0" w:space="0" w:color="auto"/>
            <w:left w:val="none" w:sz="0" w:space="0" w:color="auto"/>
            <w:bottom w:val="none" w:sz="0" w:space="0" w:color="auto"/>
            <w:right w:val="none" w:sz="0" w:space="0" w:color="auto"/>
          </w:divBdr>
        </w:div>
        <w:div w:id="404112885">
          <w:marLeft w:val="0"/>
          <w:marRight w:val="0"/>
          <w:marTop w:val="0"/>
          <w:marBottom w:val="0"/>
          <w:divBdr>
            <w:top w:val="none" w:sz="0" w:space="0" w:color="auto"/>
            <w:left w:val="none" w:sz="0" w:space="0" w:color="auto"/>
            <w:bottom w:val="none" w:sz="0" w:space="0" w:color="auto"/>
            <w:right w:val="none" w:sz="0" w:space="0" w:color="auto"/>
          </w:divBdr>
          <w:divsChild>
            <w:div w:id="464590769">
              <w:marLeft w:val="0"/>
              <w:marRight w:val="0"/>
              <w:marTop w:val="0"/>
              <w:marBottom w:val="0"/>
              <w:divBdr>
                <w:top w:val="none" w:sz="0" w:space="0" w:color="auto"/>
                <w:left w:val="none" w:sz="0" w:space="0" w:color="auto"/>
                <w:bottom w:val="none" w:sz="0" w:space="0" w:color="auto"/>
                <w:right w:val="none" w:sz="0" w:space="0" w:color="auto"/>
              </w:divBdr>
            </w:div>
            <w:div w:id="681975873">
              <w:marLeft w:val="0"/>
              <w:marRight w:val="0"/>
              <w:marTop w:val="0"/>
              <w:marBottom w:val="0"/>
              <w:divBdr>
                <w:top w:val="none" w:sz="0" w:space="0" w:color="auto"/>
                <w:left w:val="none" w:sz="0" w:space="0" w:color="auto"/>
                <w:bottom w:val="none" w:sz="0" w:space="0" w:color="auto"/>
                <w:right w:val="none" w:sz="0" w:space="0" w:color="auto"/>
              </w:divBdr>
            </w:div>
            <w:div w:id="1562055215">
              <w:marLeft w:val="0"/>
              <w:marRight w:val="0"/>
              <w:marTop w:val="0"/>
              <w:marBottom w:val="0"/>
              <w:divBdr>
                <w:top w:val="none" w:sz="0" w:space="0" w:color="auto"/>
                <w:left w:val="none" w:sz="0" w:space="0" w:color="auto"/>
                <w:bottom w:val="none" w:sz="0" w:space="0" w:color="auto"/>
                <w:right w:val="none" w:sz="0" w:space="0" w:color="auto"/>
              </w:divBdr>
            </w:div>
            <w:div w:id="1769810413">
              <w:marLeft w:val="0"/>
              <w:marRight w:val="0"/>
              <w:marTop w:val="0"/>
              <w:marBottom w:val="0"/>
              <w:divBdr>
                <w:top w:val="none" w:sz="0" w:space="0" w:color="auto"/>
                <w:left w:val="none" w:sz="0" w:space="0" w:color="auto"/>
                <w:bottom w:val="none" w:sz="0" w:space="0" w:color="auto"/>
                <w:right w:val="none" w:sz="0" w:space="0" w:color="auto"/>
              </w:divBdr>
            </w:div>
            <w:div w:id="2100131585">
              <w:marLeft w:val="0"/>
              <w:marRight w:val="0"/>
              <w:marTop w:val="0"/>
              <w:marBottom w:val="0"/>
              <w:divBdr>
                <w:top w:val="none" w:sz="0" w:space="0" w:color="auto"/>
                <w:left w:val="none" w:sz="0" w:space="0" w:color="auto"/>
                <w:bottom w:val="none" w:sz="0" w:space="0" w:color="auto"/>
                <w:right w:val="none" w:sz="0" w:space="0" w:color="auto"/>
              </w:divBdr>
            </w:div>
          </w:divsChild>
        </w:div>
        <w:div w:id="409621894">
          <w:marLeft w:val="0"/>
          <w:marRight w:val="0"/>
          <w:marTop w:val="0"/>
          <w:marBottom w:val="0"/>
          <w:divBdr>
            <w:top w:val="none" w:sz="0" w:space="0" w:color="auto"/>
            <w:left w:val="none" w:sz="0" w:space="0" w:color="auto"/>
            <w:bottom w:val="none" w:sz="0" w:space="0" w:color="auto"/>
            <w:right w:val="none" w:sz="0" w:space="0" w:color="auto"/>
          </w:divBdr>
        </w:div>
        <w:div w:id="413741563">
          <w:marLeft w:val="0"/>
          <w:marRight w:val="0"/>
          <w:marTop w:val="0"/>
          <w:marBottom w:val="0"/>
          <w:divBdr>
            <w:top w:val="none" w:sz="0" w:space="0" w:color="auto"/>
            <w:left w:val="none" w:sz="0" w:space="0" w:color="auto"/>
            <w:bottom w:val="none" w:sz="0" w:space="0" w:color="auto"/>
            <w:right w:val="none" w:sz="0" w:space="0" w:color="auto"/>
          </w:divBdr>
          <w:divsChild>
            <w:div w:id="951740097">
              <w:marLeft w:val="0"/>
              <w:marRight w:val="0"/>
              <w:marTop w:val="0"/>
              <w:marBottom w:val="0"/>
              <w:divBdr>
                <w:top w:val="none" w:sz="0" w:space="0" w:color="auto"/>
                <w:left w:val="none" w:sz="0" w:space="0" w:color="auto"/>
                <w:bottom w:val="none" w:sz="0" w:space="0" w:color="auto"/>
                <w:right w:val="none" w:sz="0" w:space="0" w:color="auto"/>
              </w:divBdr>
            </w:div>
            <w:div w:id="955991166">
              <w:marLeft w:val="0"/>
              <w:marRight w:val="0"/>
              <w:marTop w:val="0"/>
              <w:marBottom w:val="0"/>
              <w:divBdr>
                <w:top w:val="none" w:sz="0" w:space="0" w:color="auto"/>
                <w:left w:val="none" w:sz="0" w:space="0" w:color="auto"/>
                <w:bottom w:val="none" w:sz="0" w:space="0" w:color="auto"/>
                <w:right w:val="none" w:sz="0" w:space="0" w:color="auto"/>
              </w:divBdr>
            </w:div>
            <w:div w:id="1038555581">
              <w:marLeft w:val="0"/>
              <w:marRight w:val="0"/>
              <w:marTop w:val="0"/>
              <w:marBottom w:val="0"/>
              <w:divBdr>
                <w:top w:val="none" w:sz="0" w:space="0" w:color="auto"/>
                <w:left w:val="none" w:sz="0" w:space="0" w:color="auto"/>
                <w:bottom w:val="none" w:sz="0" w:space="0" w:color="auto"/>
                <w:right w:val="none" w:sz="0" w:space="0" w:color="auto"/>
              </w:divBdr>
            </w:div>
            <w:div w:id="2009751617">
              <w:marLeft w:val="0"/>
              <w:marRight w:val="0"/>
              <w:marTop w:val="0"/>
              <w:marBottom w:val="0"/>
              <w:divBdr>
                <w:top w:val="none" w:sz="0" w:space="0" w:color="auto"/>
                <w:left w:val="none" w:sz="0" w:space="0" w:color="auto"/>
                <w:bottom w:val="none" w:sz="0" w:space="0" w:color="auto"/>
                <w:right w:val="none" w:sz="0" w:space="0" w:color="auto"/>
              </w:divBdr>
            </w:div>
            <w:div w:id="2013609226">
              <w:marLeft w:val="0"/>
              <w:marRight w:val="0"/>
              <w:marTop w:val="0"/>
              <w:marBottom w:val="0"/>
              <w:divBdr>
                <w:top w:val="none" w:sz="0" w:space="0" w:color="auto"/>
                <w:left w:val="none" w:sz="0" w:space="0" w:color="auto"/>
                <w:bottom w:val="none" w:sz="0" w:space="0" w:color="auto"/>
                <w:right w:val="none" w:sz="0" w:space="0" w:color="auto"/>
              </w:divBdr>
            </w:div>
          </w:divsChild>
        </w:div>
        <w:div w:id="432013433">
          <w:marLeft w:val="0"/>
          <w:marRight w:val="0"/>
          <w:marTop w:val="0"/>
          <w:marBottom w:val="0"/>
          <w:divBdr>
            <w:top w:val="none" w:sz="0" w:space="0" w:color="auto"/>
            <w:left w:val="none" w:sz="0" w:space="0" w:color="auto"/>
            <w:bottom w:val="none" w:sz="0" w:space="0" w:color="auto"/>
            <w:right w:val="none" w:sz="0" w:space="0" w:color="auto"/>
          </w:divBdr>
          <w:divsChild>
            <w:div w:id="138041871">
              <w:marLeft w:val="0"/>
              <w:marRight w:val="0"/>
              <w:marTop w:val="0"/>
              <w:marBottom w:val="0"/>
              <w:divBdr>
                <w:top w:val="none" w:sz="0" w:space="0" w:color="auto"/>
                <w:left w:val="none" w:sz="0" w:space="0" w:color="auto"/>
                <w:bottom w:val="none" w:sz="0" w:space="0" w:color="auto"/>
                <w:right w:val="none" w:sz="0" w:space="0" w:color="auto"/>
              </w:divBdr>
            </w:div>
            <w:div w:id="362556500">
              <w:marLeft w:val="0"/>
              <w:marRight w:val="0"/>
              <w:marTop w:val="0"/>
              <w:marBottom w:val="0"/>
              <w:divBdr>
                <w:top w:val="none" w:sz="0" w:space="0" w:color="auto"/>
                <w:left w:val="none" w:sz="0" w:space="0" w:color="auto"/>
                <w:bottom w:val="none" w:sz="0" w:space="0" w:color="auto"/>
                <w:right w:val="none" w:sz="0" w:space="0" w:color="auto"/>
              </w:divBdr>
            </w:div>
            <w:div w:id="398671073">
              <w:marLeft w:val="0"/>
              <w:marRight w:val="0"/>
              <w:marTop w:val="0"/>
              <w:marBottom w:val="0"/>
              <w:divBdr>
                <w:top w:val="none" w:sz="0" w:space="0" w:color="auto"/>
                <w:left w:val="none" w:sz="0" w:space="0" w:color="auto"/>
                <w:bottom w:val="none" w:sz="0" w:space="0" w:color="auto"/>
                <w:right w:val="none" w:sz="0" w:space="0" w:color="auto"/>
              </w:divBdr>
            </w:div>
            <w:div w:id="1608729420">
              <w:marLeft w:val="0"/>
              <w:marRight w:val="0"/>
              <w:marTop w:val="0"/>
              <w:marBottom w:val="0"/>
              <w:divBdr>
                <w:top w:val="none" w:sz="0" w:space="0" w:color="auto"/>
                <w:left w:val="none" w:sz="0" w:space="0" w:color="auto"/>
                <w:bottom w:val="none" w:sz="0" w:space="0" w:color="auto"/>
                <w:right w:val="none" w:sz="0" w:space="0" w:color="auto"/>
              </w:divBdr>
            </w:div>
            <w:div w:id="1726951711">
              <w:marLeft w:val="0"/>
              <w:marRight w:val="0"/>
              <w:marTop w:val="0"/>
              <w:marBottom w:val="0"/>
              <w:divBdr>
                <w:top w:val="none" w:sz="0" w:space="0" w:color="auto"/>
                <w:left w:val="none" w:sz="0" w:space="0" w:color="auto"/>
                <w:bottom w:val="none" w:sz="0" w:space="0" w:color="auto"/>
                <w:right w:val="none" w:sz="0" w:space="0" w:color="auto"/>
              </w:divBdr>
            </w:div>
          </w:divsChild>
        </w:div>
        <w:div w:id="485245274">
          <w:marLeft w:val="0"/>
          <w:marRight w:val="0"/>
          <w:marTop w:val="0"/>
          <w:marBottom w:val="0"/>
          <w:divBdr>
            <w:top w:val="none" w:sz="0" w:space="0" w:color="auto"/>
            <w:left w:val="none" w:sz="0" w:space="0" w:color="auto"/>
            <w:bottom w:val="none" w:sz="0" w:space="0" w:color="auto"/>
            <w:right w:val="none" w:sz="0" w:space="0" w:color="auto"/>
          </w:divBdr>
        </w:div>
        <w:div w:id="492795158">
          <w:marLeft w:val="0"/>
          <w:marRight w:val="0"/>
          <w:marTop w:val="0"/>
          <w:marBottom w:val="0"/>
          <w:divBdr>
            <w:top w:val="none" w:sz="0" w:space="0" w:color="auto"/>
            <w:left w:val="none" w:sz="0" w:space="0" w:color="auto"/>
            <w:bottom w:val="none" w:sz="0" w:space="0" w:color="auto"/>
            <w:right w:val="none" w:sz="0" w:space="0" w:color="auto"/>
          </w:divBdr>
          <w:divsChild>
            <w:div w:id="1035471516">
              <w:marLeft w:val="0"/>
              <w:marRight w:val="0"/>
              <w:marTop w:val="0"/>
              <w:marBottom w:val="0"/>
              <w:divBdr>
                <w:top w:val="none" w:sz="0" w:space="0" w:color="auto"/>
                <w:left w:val="none" w:sz="0" w:space="0" w:color="auto"/>
                <w:bottom w:val="none" w:sz="0" w:space="0" w:color="auto"/>
                <w:right w:val="none" w:sz="0" w:space="0" w:color="auto"/>
              </w:divBdr>
            </w:div>
            <w:div w:id="1128233987">
              <w:marLeft w:val="0"/>
              <w:marRight w:val="0"/>
              <w:marTop w:val="0"/>
              <w:marBottom w:val="0"/>
              <w:divBdr>
                <w:top w:val="none" w:sz="0" w:space="0" w:color="auto"/>
                <w:left w:val="none" w:sz="0" w:space="0" w:color="auto"/>
                <w:bottom w:val="none" w:sz="0" w:space="0" w:color="auto"/>
                <w:right w:val="none" w:sz="0" w:space="0" w:color="auto"/>
              </w:divBdr>
            </w:div>
            <w:div w:id="1638074129">
              <w:marLeft w:val="0"/>
              <w:marRight w:val="0"/>
              <w:marTop w:val="0"/>
              <w:marBottom w:val="0"/>
              <w:divBdr>
                <w:top w:val="none" w:sz="0" w:space="0" w:color="auto"/>
                <w:left w:val="none" w:sz="0" w:space="0" w:color="auto"/>
                <w:bottom w:val="none" w:sz="0" w:space="0" w:color="auto"/>
                <w:right w:val="none" w:sz="0" w:space="0" w:color="auto"/>
              </w:divBdr>
            </w:div>
            <w:div w:id="1956668005">
              <w:marLeft w:val="0"/>
              <w:marRight w:val="0"/>
              <w:marTop w:val="0"/>
              <w:marBottom w:val="0"/>
              <w:divBdr>
                <w:top w:val="none" w:sz="0" w:space="0" w:color="auto"/>
                <w:left w:val="none" w:sz="0" w:space="0" w:color="auto"/>
                <w:bottom w:val="none" w:sz="0" w:space="0" w:color="auto"/>
                <w:right w:val="none" w:sz="0" w:space="0" w:color="auto"/>
              </w:divBdr>
            </w:div>
            <w:div w:id="2062316277">
              <w:marLeft w:val="0"/>
              <w:marRight w:val="0"/>
              <w:marTop w:val="0"/>
              <w:marBottom w:val="0"/>
              <w:divBdr>
                <w:top w:val="none" w:sz="0" w:space="0" w:color="auto"/>
                <w:left w:val="none" w:sz="0" w:space="0" w:color="auto"/>
                <w:bottom w:val="none" w:sz="0" w:space="0" w:color="auto"/>
                <w:right w:val="none" w:sz="0" w:space="0" w:color="auto"/>
              </w:divBdr>
            </w:div>
          </w:divsChild>
        </w:div>
        <w:div w:id="512037755">
          <w:marLeft w:val="0"/>
          <w:marRight w:val="0"/>
          <w:marTop w:val="0"/>
          <w:marBottom w:val="0"/>
          <w:divBdr>
            <w:top w:val="none" w:sz="0" w:space="0" w:color="auto"/>
            <w:left w:val="none" w:sz="0" w:space="0" w:color="auto"/>
            <w:bottom w:val="none" w:sz="0" w:space="0" w:color="auto"/>
            <w:right w:val="none" w:sz="0" w:space="0" w:color="auto"/>
          </w:divBdr>
          <w:divsChild>
            <w:div w:id="328025027">
              <w:marLeft w:val="0"/>
              <w:marRight w:val="0"/>
              <w:marTop w:val="0"/>
              <w:marBottom w:val="0"/>
              <w:divBdr>
                <w:top w:val="none" w:sz="0" w:space="0" w:color="auto"/>
                <w:left w:val="none" w:sz="0" w:space="0" w:color="auto"/>
                <w:bottom w:val="none" w:sz="0" w:space="0" w:color="auto"/>
                <w:right w:val="none" w:sz="0" w:space="0" w:color="auto"/>
              </w:divBdr>
            </w:div>
            <w:div w:id="522090010">
              <w:marLeft w:val="0"/>
              <w:marRight w:val="0"/>
              <w:marTop w:val="0"/>
              <w:marBottom w:val="0"/>
              <w:divBdr>
                <w:top w:val="none" w:sz="0" w:space="0" w:color="auto"/>
                <w:left w:val="none" w:sz="0" w:space="0" w:color="auto"/>
                <w:bottom w:val="none" w:sz="0" w:space="0" w:color="auto"/>
                <w:right w:val="none" w:sz="0" w:space="0" w:color="auto"/>
              </w:divBdr>
            </w:div>
            <w:div w:id="706367651">
              <w:marLeft w:val="0"/>
              <w:marRight w:val="0"/>
              <w:marTop w:val="0"/>
              <w:marBottom w:val="0"/>
              <w:divBdr>
                <w:top w:val="none" w:sz="0" w:space="0" w:color="auto"/>
                <w:left w:val="none" w:sz="0" w:space="0" w:color="auto"/>
                <w:bottom w:val="none" w:sz="0" w:space="0" w:color="auto"/>
                <w:right w:val="none" w:sz="0" w:space="0" w:color="auto"/>
              </w:divBdr>
            </w:div>
            <w:div w:id="1648507895">
              <w:marLeft w:val="0"/>
              <w:marRight w:val="0"/>
              <w:marTop w:val="0"/>
              <w:marBottom w:val="0"/>
              <w:divBdr>
                <w:top w:val="none" w:sz="0" w:space="0" w:color="auto"/>
                <w:left w:val="none" w:sz="0" w:space="0" w:color="auto"/>
                <w:bottom w:val="none" w:sz="0" w:space="0" w:color="auto"/>
                <w:right w:val="none" w:sz="0" w:space="0" w:color="auto"/>
              </w:divBdr>
            </w:div>
            <w:div w:id="1856457696">
              <w:marLeft w:val="0"/>
              <w:marRight w:val="0"/>
              <w:marTop w:val="0"/>
              <w:marBottom w:val="0"/>
              <w:divBdr>
                <w:top w:val="none" w:sz="0" w:space="0" w:color="auto"/>
                <w:left w:val="none" w:sz="0" w:space="0" w:color="auto"/>
                <w:bottom w:val="none" w:sz="0" w:space="0" w:color="auto"/>
                <w:right w:val="none" w:sz="0" w:space="0" w:color="auto"/>
              </w:divBdr>
            </w:div>
          </w:divsChild>
        </w:div>
        <w:div w:id="516770569">
          <w:marLeft w:val="0"/>
          <w:marRight w:val="0"/>
          <w:marTop w:val="0"/>
          <w:marBottom w:val="0"/>
          <w:divBdr>
            <w:top w:val="none" w:sz="0" w:space="0" w:color="auto"/>
            <w:left w:val="none" w:sz="0" w:space="0" w:color="auto"/>
            <w:bottom w:val="none" w:sz="0" w:space="0" w:color="auto"/>
            <w:right w:val="none" w:sz="0" w:space="0" w:color="auto"/>
          </w:divBdr>
        </w:div>
        <w:div w:id="532228079">
          <w:marLeft w:val="0"/>
          <w:marRight w:val="0"/>
          <w:marTop w:val="0"/>
          <w:marBottom w:val="0"/>
          <w:divBdr>
            <w:top w:val="none" w:sz="0" w:space="0" w:color="auto"/>
            <w:left w:val="none" w:sz="0" w:space="0" w:color="auto"/>
            <w:bottom w:val="none" w:sz="0" w:space="0" w:color="auto"/>
            <w:right w:val="none" w:sz="0" w:space="0" w:color="auto"/>
          </w:divBdr>
          <w:divsChild>
            <w:div w:id="61951155">
              <w:marLeft w:val="0"/>
              <w:marRight w:val="0"/>
              <w:marTop w:val="0"/>
              <w:marBottom w:val="0"/>
              <w:divBdr>
                <w:top w:val="none" w:sz="0" w:space="0" w:color="auto"/>
                <w:left w:val="none" w:sz="0" w:space="0" w:color="auto"/>
                <w:bottom w:val="none" w:sz="0" w:space="0" w:color="auto"/>
                <w:right w:val="none" w:sz="0" w:space="0" w:color="auto"/>
              </w:divBdr>
            </w:div>
            <w:div w:id="362823706">
              <w:marLeft w:val="0"/>
              <w:marRight w:val="0"/>
              <w:marTop w:val="0"/>
              <w:marBottom w:val="0"/>
              <w:divBdr>
                <w:top w:val="none" w:sz="0" w:space="0" w:color="auto"/>
                <w:left w:val="none" w:sz="0" w:space="0" w:color="auto"/>
                <w:bottom w:val="none" w:sz="0" w:space="0" w:color="auto"/>
                <w:right w:val="none" w:sz="0" w:space="0" w:color="auto"/>
              </w:divBdr>
            </w:div>
            <w:div w:id="1161894494">
              <w:marLeft w:val="0"/>
              <w:marRight w:val="0"/>
              <w:marTop w:val="0"/>
              <w:marBottom w:val="0"/>
              <w:divBdr>
                <w:top w:val="none" w:sz="0" w:space="0" w:color="auto"/>
                <w:left w:val="none" w:sz="0" w:space="0" w:color="auto"/>
                <w:bottom w:val="none" w:sz="0" w:space="0" w:color="auto"/>
                <w:right w:val="none" w:sz="0" w:space="0" w:color="auto"/>
              </w:divBdr>
            </w:div>
            <w:div w:id="1470124898">
              <w:marLeft w:val="0"/>
              <w:marRight w:val="0"/>
              <w:marTop w:val="0"/>
              <w:marBottom w:val="0"/>
              <w:divBdr>
                <w:top w:val="none" w:sz="0" w:space="0" w:color="auto"/>
                <w:left w:val="none" w:sz="0" w:space="0" w:color="auto"/>
                <w:bottom w:val="none" w:sz="0" w:space="0" w:color="auto"/>
                <w:right w:val="none" w:sz="0" w:space="0" w:color="auto"/>
              </w:divBdr>
            </w:div>
            <w:div w:id="1929461876">
              <w:marLeft w:val="0"/>
              <w:marRight w:val="0"/>
              <w:marTop w:val="0"/>
              <w:marBottom w:val="0"/>
              <w:divBdr>
                <w:top w:val="none" w:sz="0" w:space="0" w:color="auto"/>
                <w:left w:val="none" w:sz="0" w:space="0" w:color="auto"/>
                <w:bottom w:val="none" w:sz="0" w:space="0" w:color="auto"/>
                <w:right w:val="none" w:sz="0" w:space="0" w:color="auto"/>
              </w:divBdr>
            </w:div>
          </w:divsChild>
        </w:div>
        <w:div w:id="548884816">
          <w:marLeft w:val="0"/>
          <w:marRight w:val="0"/>
          <w:marTop w:val="0"/>
          <w:marBottom w:val="0"/>
          <w:divBdr>
            <w:top w:val="none" w:sz="0" w:space="0" w:color="auto"/>
            <w:left w:val="none" w:sz="0" w:space="0" w:color="auto"/>
            <w:bottom w:val="none" w:sz="0" w:space="0" w:color="auto"/>
            <w:right w:val="none" w:sz="0" w:space="0" w:color="auto"/>
          </w:divBdr>
        </w:div>
        <w:div w:id="554850342">
          <w:marLeft w:val="0"/>
          <w:marRight w:val="0"/>
          <w:marTop w:val="0"/>
          <w:marBottom w:val="0"/>
          <w:divBdr>
            <w:top w:val="none" w:sz="0" w:space="0" w:color="auto"/>
            <w:left w:val="none" w:sz="0" w:space="0" w:color="auto"/>
            <w:bottom w:val="none" w:sz="0" w:space="0" w:color="auto"/>
            <w:right w:val="none" w:sz="0" w:space="0" w:color="auto"/>
          </w:divBdr>
          <w:divsChild>
            <w:div w:id="763765957">
              <w:marLeft w:val="0"/>
              <w:marRight w:val="0"/>
              <w:marTop w:val="0"/>
              <w:marBottom w:val="0"/>
              <w:divBdr>
                <w:top w:val="none" w:sz="0" w:space="0" w:color="auto"/>
                <w:left w:val="none" w:sz="0" w:space="0" w:color="auto"/>
                <w:bottom w:val="none" w:sz="0" w:space="0" w:color="auto"/>
                <w:right w:val="none" w:sz="0" w:space="0" w:color="auto"/>
              </w:divBdr>
            </w:div>
            <w:div w:id="994718683">
              <w:marLeft w:val="0"/>
              <w:marRight w:val="0"/>
              <w:marTop w:val="0"/>
              <w:marBottom w:val="0"/>
              <w:divBdr>
                <w:top w:val="none" w:sz="0" w:space="0" w:color="auto"/>
                <w:left w:val="none" w:sz="0" w:space="0" w:color="auto"/>
                <w:bottom w:val="none" w:sz="0" w:space="0" w:color="auto"/>
                <w:right w:val="none" w:sz="0" w:space="0" w:color="auto"/>
              </w:divBdr>
            </w:div>
            <w:div w:id="1228998377">
              <w:marLeft w:val="0"/>
              <w:marRight w:val="0"/>
              <w:marTop w:val="0"/>
              <w:marBottom w:val="0"/>
              <w:divBdr>
                <w:top w:val="none" w:sz="0" w:space="0" w:color="auto"/>
                <w:left w:val="none" w:sz="0" w:space="0" w:color="auto"/>
                <w:bottom w:val="none" w:sz="0" w:space="0" w:color="auto"/>
                <w:right w:val="none" w:sz="0" w:space="0" w:color="auto"/>
              </w:divBdr>
            </w:div>
            <w:div w:id="1681740303">
              <w:marLeft w:val="0"/>
              <w:marRight w:val="0"/>
              <w:marTop w:val="0"/>
              <w:marBottom w:val="0"/>
              <w:divBdr>
                <w:top w:val="none" w:sz="0" w:space="0" w:color="auto"/>
                <w:left w:val="none" w:sz="0" w:space="0" w:color="auto"/>
                <w:bottom w:val="none" w:sz="0" w:space="0" w:color="auto"/>
                <w:right w:val="none" w:sz="0" w:space="0" w:color="auto"/>
              </w:divBdr>
            </w:div>
            <w:div w:id="2107845968">
              <w:marLeft w:val="0"/>
              <w:marRight w:val="0"/>
              <w:marTop w:val="0"/>
              <w:marBottom w:val="0"/>
              <w:divBdr>
                <w:top w:val="none" w:sz="0" w:space="0" w:color="auto"/>
                <w:left w:val="none" w:sz="0" w:space="0" w:color="auto"/>
                <w:bottom w:val="none" w:sz="0" w:space="0" w:color="auto"/>
                <w:right w:val="none" w:sz="0" w:space="0" w:color="auto"/>
              </w:divBdr>
            </w:div>
          </w:divsChild>
        </w:div>
        <w:div w:id="558243953">
          <w:marLeft w:val="0"/>
          <w:marRight w:val="0"/>
          <w:marTop w:val="0"/>
          <w:marBottom w:val="0"/>
          <w:divBdr>
            <w:top w:val="none" w:sz="0" w:space="0" w:color="auto"/>
            <w:left w:val="none" w:sz="0" w:space="0" w:color="auto"/>
            <w:bottom w:val="none" w:sz="0" w:space="0" w:color="auto"/>
            <w:right w:val="none" w:sz="0" w:space="0" w:color="auto"/>
          </w:divBdr>
        </w:div>
        <w:div w:id="619459525">
          <w:marLeft w:val="0"/>
          <w:marRight w:val="0"/>
          <w:marTop w:val="0"/>
          <w:marBottom w:val="0"/>
          <w:divBdr>
            <w:top w:val="none" w:sz="0" w:space="0" w:color="auto"/>
            <w:left w:val="none" w:sz="0" w:space="0" w:color="auto"/>
            <w:bottom w:val="none" w:sz="0" w:space="0" w:color="auto"/>
            <w:right w:val="none" w:sz="0" w:space="0" w:color="auto"/>
          </w:divBdr>
        </w:div>
        <w:div w:id="625283242">
          <w:marLeft w:val="0"/>
          <w:marRight w:val="0"/>
          <w:marTop w:val="0"/>
          <w:marBottom w:val="0"/>
          <w:divBdr>
            <w:top w:val="none" w:sz="0" w:space="0" w:color="auto"/>
            <w:left w:val="none" w:sz="0" w:space="0" w:color="auto"/>
            <w:bottom w:val="none" w:sz="0" w:space="0" w:color="auto"/>
            <w:right w:val="none" w:sz="0" w:space="0" w:color="auto"/>
          </w:divBdr>
        </w:div>
        <w:div w:id="634918390">
          <w:marLeft w:val="0"/>
          <w:marRight w:val="0"/>
          <w:marTop w:val="0"/>
          <w:marBottom w:val="0"/>
          <w:divBdr>
            <w:top w:val="none" w:sz="0" w:space="0" w:color="auto"/>
            <w:left w:val="none" w:sz="0" w:space="0" w:color="auto"/>
            <w:bottom w:val="none" w:sz="0" w:space="0" w:color="auto"/>
            <w:right w:val="none" w:sz="0" w:space="0" w:color="auto"/>
          </w:divBdr>
        </w:div>
        <w:div w:id="641227108">
          <w:marLeft w:val="0"/>
          <w:marRight w:val="0"/>
          <w:marTop w:val="0"/>
          <w:marBottom w:val="0"/>
          <w:divBdr>
            <w:top w:val="none" w:sz="0" w:space="0" w:color="auto"/>
            <w:left w:val="none" w:sz="0" w:space="0" w:color="auto"/>
            <w:bottom w:val="none" w:sz="0" w:space="0" w:color="auto"/>
            <w:right w:val="none" w:sz="0" w:space="0" w:color="auto"/>
          </w:divBdr>
        </w:div>
        <w:div w:id="671645038">
          <w:marLeft w:val="0"/>
          <w:marRight w:val="0"/>
          <w:marTop w:val="0"/>
          <w:marBottom w:val="0"/>
          <w:divBdr>
            <w:top w:val="none" w:sz="0" w:space="0" w:color="auto"/>
            <w:left w:val="none" w:sz="0" w:space="0" w:color="auto"/>
            <w:bottom w:val="none" w:sz="0" w:space="0" w:color="auto"/>
            <w:right w:val="none" w:sz="0" w:space="0" w:color="auto"/>
          </w:divBdr>
        </w:div>
        <w:div w:id="701789786">
          <w:marLeft w:val="0"/>
          <w:marRight w:val="0"/>
          <w:marTop w:val="0"/>
          <w:marBottom w:val="0"/>
          <w:divBdr>
            <w:top w:val="none" w:sz="0" w:space="0" w:color="auto"/>
            <w:left w:val="none" w:sz="0" w:space="0" w:color="auto"/>
            <w:bottom w:val="none" w:sz="0" w:space="0" w:color="auto"/>
            <w:right w:val="none" w:sz="0" w:space="0" w:color="auto"/>
          </w:divBdr>
          <w:divsChild>
            <w:div w:id="92478750">
              <w:marLeft w:val="0"/>
              <w:marRight w:val="0"/>
              <w:marTop w:val="0"/>
              <w:marBottom w:val="0"/>
              <w:divBdr>
                <w:top w:val="none" w:sz="0" w:space="0" w:color="auto"/>
                <w:left w:val="none" w:sz="0" w:space="0" w:color="auto"/>
                <w:bottom w:val="none" w:sz="0" w:space="0" w:color="auto"/>
                <w:right w:val="none" w:sz="0" w:space="0" w:color="auto"/>
              </w:divBdr>
            </w:div>
            <w:div w:id="958991972">
              <w:marLeft w:val="0"/>
              <w:marRight w:val="0"/>
              <w:marTop w:val="0"/>
              <w:marBottom w:val="0"/>
              <w:divBdr>
                <w:top w:val="none" w:sz="0" w:space="0" w:color="auto"/>
                <w:left w:val="none" w:sz="0" w:space="0" w:color="auto"/>
                <w:bottom w:val="none" w:sz="0" w:space="0" w:color="auto"/>
                <w:right w:val="none" w:sz="0" w:space="0" w:color="auto"/>
              </w:divBdr>
            </w:div>
            <w:div w:id="1584292454">
              <w:marLeft w:val="0"/>
              <w:marRight w:val="0"/>
              <w:marTop w:val="0"/>
              <w:marBottom w:val="0"/>
              <w:divBdr>
                <w:top w:val="none" w:sz="0" w:space="0" w:color="auto"/>
                <w:left w:val="none" w:sz="0" w:space="0" w:color="auto"/>
                <w:bottom w:val="none" w:sz="0" w:space="0" w:color="auto"/>
                <w:right w:val="none" w:sz="0" w:space="0" w:color="auto"/>
              </w:divBdr>
            </w:div>
            <w:div w:id="1955407020">
              <w:marLeft w:val="0"/>
              <w:marRight w:val="0"/>
              <w:marTop w:val="0"/>
              <w:marBottom w:val="0"/>
              <w:divBdr>
                <w:top w:val="none" w:sz="0" w:space="0" w:color="auto"/>
                <w:left w:val="none" w:sz="0" w:space="0" w:color="auto"/>
                <w:bottom w:val="none" w:sz="0" w:space="0" w:color="auto"/>
                <w:right w:val="none" w:sz="0" w:space="0" w:color="auto"/>
              </w:divBdr>
            </w:div>
            <w:div w:id="1968927834">
              <w:marLeft w:val="0"/>
              <w:marRight w:val="0"/>
              <w:marTop w:val="0"/>
              <w:marBottom w:val="0"/>
              <w:divBdr>
                <w:top w:val="none" w:sz="0" w:space="0" w:color="auto"/>
                <w:left w:val="none" w:sz="0" w:space="0" w:color="auto"/>
                <w:bottom w:val="none" w:sz="0" w:space="0" w:color="auto"/>
                <w:right w:val="none" w:sz="0" w:space="0" w:color="auto"/>
              </w:divBdr>
            </w:div>
          </w:divsChild>
        </w:div>
        <w:div w:id="709569868">
          <w:marLeft w:val="0"/>
          <w:marRight w:val="0"/>
          <w:marTop w:val="0"/>
          <w:marBottom w:val="0"/>
          <w:divBdr>
            <w:top w:val="none" w:sz="0" w:space="0" w:color="auto"/>
            <w:left w:val="none" w:sz="0" w:space="0" w:color="auto"/>
            <w:bottom w:val="none" w:sz="0" w:space="0" w:color="auto"/>
            <w:right w:val="none" w:sz="0" w:space="0" w:color="auto"/>
          </w:divBdr>
        </w:div>
        <w:div w:id="722602973">
          <w:marLeft w:val="0"/>
          <w:marRight w:val="0"/>
          <w:marTop w:val="0"/>
          <w:marBottom w:val="0"/>
          <w:divBdr>
            <w:top w:val="none" w:sz="0" w:space="0" w:color="auto"/>
            <w:left w:val="none" w:sz="0" w:space="0" w:color="auto"/>
            <w:bottom w:val="none" w:sz="0" w:space="0" w:color="auto"/>
            <w:right w:val="none" w:sz="0" w:space="0" w:color="auto"/>
          </w:divBdr>
        </w:div>
        <w:div w:id="841508231">
          <w:marLeft w:val="0"/>
          <w:marRight w:val="0"/>
          <w:marTop w:val="0"/>
          <w:marBottom w:val="0"/>
          <w:divBdr>
            <w:top w:val="none" w:sz="0" w:space="0" w:color="auto"/>
            <w:left w:val="none" w:sz="0" w:space="0" w:color="auto"/>
            <w:bottom w:val="none" w:sz="0" w:space="0" w:color="auto"/>
            <w:right w:val="none" w:sz="0" w:space="0" w:color="auto"/>
          </w:divBdr>
        </w:div>
        <w:div w:id="846942815">
          <w:marLeft w:val="0"/>
          <w:marRight w:val="0"/>
          <w:marTop w:val="0"/>
          <w:marBottom w:val="0"/>
          <w:divBdr>
            <w:top w:val="none" w:sz="0" w:space="0" w:color="auto"/>
            <w:left w:val="none" w:sz="0" w:space="0" w:color="auto"/>
            <w:bottom w:val="none" w:sz="0" w:space="0" w:color="auto"/>
            <w:right w:val="none" w:sz="0" w:space="0" w:color="auto"/>
          </w:divBdr>
          <w:divsChild>
            <w:div w:id="306789436">
              <w:marLeft w:val="0"/>
              <w:marRight w:val="0"/>
              <w:marTop w:val="0"/>
              <w:marBottom w:val="0"/>
              <w:divBdr>
                <w:top w:val="none" w:sz="0" w:space="0" w:color="auto"/>
                <w:left w:val="none" w:sz="0" w:space="0" w:color="auto"/>
                <w:bottom w:val="none" w:sz="0" w:space="0" w:color="auto"/>
                <w:right w:val="none" w:sz="0" w:space="0" w:color="auto"/>
              </w:divBdr>
            </w:div>
            <w:div w:id="1754281827">
              <w:marLeft w:val="0"/>
              <w:marRight w:val="0"/>
              <w:marTop w:val="0"/>
              <w:marBottom w:val="0"/>
              <w:divBdr>
                <w:top w:val="none" w:sz="0" w:space="0" w:color="auto"/>
                <w:left w:val="none" w:sz="0" w:space="0" w:color="auto"/>
                <w:bottom w:val="none" w:sz="0" w:space="0" w:color="auto"/>
                <w:right w:val="none" w:sz="0" w:space="0" w:color="auto"/>
              </w:divBdr>
            </w:div>
            <w:div w:id="2040622876">
              <w:marLeft w:val="0"/>
              <w:marRight w:val="0"/>
              <w:marTop w:val="0"/>
              <w:marBottom w:val="0"/>
              <w:divBdr>
                <w:top w:val="none" w:sz="0" w:space="0" w:color="auto"/>
                <w:left w:val="none" w:sz="0" w:space="0" w:color="auto"/>
                <w:bottom w:val="none" w:sz="0" w:space="0" w:color="auto"/>
                <w:right w:val="none" w:sz="0" w:space="0" w:color="auto"/>
              </w:divBdr>
            </w:div>
          </w:divsChild>
        </w:div>
        <w:div w:id="887305810">
          <w:marLeft w:val="0"/>
          <w:marRight w:val="0"/>
          <w:marTop w:val="0"/>
          <w:marBottom w:val="0"/>
          <w:divBdr>
            <w:top w:val="none" w:sz="0" w:space="0" w:color="auto"/>
            <w:left w:val="none" w:sz="0" w:space="0" w:color="auto"/>
            <w:bottom w:val="none" w:sz="0" w:space="0" w:color="auto"/>
            <w:right w:val="none" w:sz="0" w:space="0" w:color="auto"/>
          </w:divBdr>
        </w:div>
        <w:div w:id="957104984">
          <w:marLeft w:val="0"/>
          <w:marRight w:val="0"/>
          <w:marTop w:val="0"/>
          <w:marBottom w:val="0"/>
          <w:divBdr>
            <w:top w:val="none" w:sz="0" w:space="0" w:color="auto"/>
            <w:left w:val="none" w:sz="0" w:space="0" w:color="auto"/>
            <w:bottom w:val="none" w:sz="0" w:space="0" w:color="auto"/>
            <w:right w:val="none" w:sz="0" w:space="0" w:color="auto"/>
          </w:divBdr>
        </w:div>
        <w:div w:id="1056202051">
          <w:marLeft w:val="0"/>
          <w:marRight w:val="0"/>
          <w:marTop w:val="0"/>
          <w:marBottom w:val="0"/>
          <w:divBdr>
            <w:top w:val="none" w:sz="0" w:space="0" w:color="auto"/>
            <w:left w:val="none" w:sz="0" w:space="0" w:color="auto"/>
            <w:bottom w:val="none" w:sz="0" w:space="0" w:color="auto"/>
            <w:right w:val="none" w:sz="0" w:space="0" w:color="auto"/>
          </w:divBdr>
        </w:div>
        <w:div w:id="1072704610">
          <w:marLeft w:val="0"/>
          <w:marRight w:val="0"/>
          <w:marTop w:val="0"/>
          <w:marBottom w:val="0"/>
          <w:divBdr>
            <w:top w:val="none" w:sz="0" w:space="0" w:color="auto"/>
            <w:left w:val="none" w:sz="0" w:space="0" w:color="auto"/>
            <w:bottom w:val="none" w:sz="0" w:space="0" w:color="auto"/>
            <w:right w:val="none" w:sz="0" w:space="0" w:color="auto"/>
          </w:divBdr>
        </w:div>
        <w:div w:id="1186863082">
          <w:marLeft w:val="0"/>
          <w:marRight w:val="0"/>
          <w:marTop w:val="0"/>
          <w:marBottom w:val="0"/>
          <w:divBdr>
            <w:top w:val="none" w:sz="0" w:space="0" w:color="auto"/>
            <w:left w:val="none" w:sz="0" w:space="0" w:color="auto"/>
            <w:bottom w:val="none" w:sz="0" w:space="0" w:color="auto"/>
            <w:right w:val="none" w:sz="0" w:space="0" w:color="auto"/>
          </w:divBdr>
        </w:div>
        <w:div w:id="1212184731">
          <w:marLeft w:val="0"/>
          <w:marRight w:val="0"/>
          <w:marTop w:val="0"/>
          <w:marBottom w:val="0"/>
          <w:divBdr>
            <w:top w:val="none" w:sz="0" w:space="0" w:color="auto"/>
            <w:left w:val="none" w:sz="0" w:space="0" w:color="auto"/>
            <w:bottom w:val="none" w:sz="0" w:space="0" w:color="auto"/>
            <w:right w:val="none" w:sz="0" w:space="0" w:color="auto"/>
          </w:divBdr>
        </w:div>
        <w:div w:id="1234122630">
          <w:marLeft w:val="0"/>
          <w:marRight w:val="0"/>
          <w:marTop w:val="0"/>
          <w:marBottom w:val="0"/>
          <w:divBdr>
            <w:top w:val="none" w:sz="0" w:space="0" w:color="auto"/>
            <w:left w:val="none" w:sz="0" w:space="0" w:color="auto"/>
            <w:bottom w:val="none" w:sz="0" w:space="0" w:color="auto"/>
            <w:right w:val="none" w:sz="0" w:space="0" w:color="auto"/>
          </w:divBdr>
        </w:div>
        <w:div w:id="1265959875">
          <w:marLeft w:val="0"/>
          <w:marRight w:val="0"/>
          <w:marTop w:val="0"/>
          <w:marBottom w:val="0"/>
          <w:divBdr>
            <w:top w:val="none" w:sz="0" w:space="0" w:color="auto"/>
            <w:left w:val="none" w:sz="0" w:space="0" w:color="auto"/>
            <w:bottom w:val="none" w:sz="0" w:space="0" w:color="auto"/>
            <w:right w:val="none" w:sz="0" w:space="0" w:color="auto"/>
          </w:divBdr>
        </w:div>
        <w:div w:id="1360816208">
          <w:marLeft w:val="0"/>
          <w:marRight w:val="0"/>
          <w:marTop w:val="0"/>
          <w:marBottom w:val="0"/>
          <w:divBdr>
            <w:top w:val="none" w:sz="0" w:space="0" w:color="auto"/>
            <w:left w:val="none" w:sz="0" w:space="0" w:color="auto"/>
            <w:bottom w:val="none" w:sz="0" w:space="0" w:color="auto"/>
            <w:right w:val="none" w:sz="0" w:space="0" w:color="auto"/>
          </w:divBdr>
        </w:div>
        <w:div w:id="1363631965">
          <w:marLeft w:val="0"/>
          <w:marRight w:val="0"/>
          <w:marTop w:val="0"/>
          <w:marBottom w:val="0"/>
          <w:divBdr>
            <w:top w:val="none" w:sz="0" w:space="0" w:color="auto"/>
            <w:left w:val="none" w:sz="0" w:space="0" w:color="auto"/>
            <w:bottom w:val="none" w:sz="0" w:space="0" w:color="auto"/>
            <w:right w:val="none" w:sz="0" w:space="0" w:color="auto"/>
          </w:divBdr>
        </w:div>
        <w:div w:id="1386367299">
          <w:marLeft w:val="0"/>
          <w:marRight w:val="0"/>
          <w:marTop w:val="0"/>
          <w:marBottom w:val="0"/>
          <w:divBdr>
            <w:top w:val="none" w:sz="0" w:space="0" w:color="auto"/>
            <w:left w:val="none" w:sz="0" w:space="0" w:color="auto"/>
            <w:bottom w:val="none" w:sz="0" w:space="0" w:color="auto"/>
            <w:right w:val="none" w:sz="0" w:space="0" w:color="auto"/>
          </w:divBdr>
        </w:div>
        <w:div w:id="1402561406">
          <w:marLeft w:val="0"/>
          <w:marRight w:val="0"/>
          <w:marTop w:val="0"/>
          <w:marBottom w:val="0"/>
          <w:divBdr>
            <w:top w:val="none" w:sz="0" w:space="0" w:color="auto"/>
            <w:left w:val="none" w:sz="0" w:space="0" w:color="auto"/>
            <w:bottom w:val="none" w:sz="0" w:space="0" w:color="auto"/>
            <w:right w:val="none" w:sz="0" w:space="0" w:color="auto"/>
          </w:divBdr>
          <w:divsChild>
            <w:div w:id="219366800">
              <w:marLeft w:val="-75"/>
              <w:marRight w:val="0"/>
              <w:marTop w:val="30"/>
              <w:marBottom w:val="30"/>
              <w:divBdr>
                <w:top w:val="none" w:sz="0" w:space="0" w:color="auto"/>
                <w:left w:val="none" w:sz="0" w:space="0" w:color="auto"/>
                <w:bottom w:val="none" w:sz="0" w:space="0" w:color="auto"/>
                <w:right w:val="none" w:sz="0" w:space="0" w:color="auto"/>
              </w:divBdr>
              <w:divsChild>
                <w:div w:id="696656931">
                  <w:marLeft w:val="0"/>
                  <w:marRight w:val="0"/>
                  <w:marTop w:val="0"/>
                  <w:marBottom w:val="0"/>
                  <w:divBdr>
                    <w:top w:val="none" w:sz="0" w:space="0" w:color="auto"/>
                    <w:left w:val="none" w:sz="0" w:space="0" w:color="auto"/>
                    <w:bottom w:val="none" w:sz="0" w:space="0" w:color="auto"/>
                    <w:right w:val="none" w:sz="0" w:space="0" w:color="auto"/>
                  </w:divBdr>
                  <w:divsChild>
                    <w:div w:id="75371530">
                      <w:marLeft w:val="0"/>
                      <w:marRight w:val="0"/>
                      <w:marTop w:val="0"/>
                      <w:marBottom w:val="0"/>
                      <w:divBdr>
                        <w:top w:val="none" w:sz="0" w:space="0" w:color="auto"/>
                        <w:left w:val="none" w:sz="0" w:space="0" w:color="auto"/>
                        <w:bottom w:val="none" w:sz="0" w:space="0" w:color="auto"/>
                        <w:right w:val="none" w:sz="0" w:space="0" w:color="auto"/>
                      </w:divBdr>
                    </w:div>
                    <w:div w:id="686253428">
                      <w:marLeft w:val="0"/>
                      <w:marRight w:val="0"/>
                      <w:marTop w:val="0"/>
                      <w:marBottom w:val="0"/>
                      <w:divBdr>
                        <w:top w:val="none" w:sz="0" w:space="0" w:color="auto"/>
                        <w:left w:val="none" w:sz="0" w:space="0" w:color="auto"/>
                        <w:bottom w:val="none" w:sz="0" w:space="0" w:color="auto"/>
                        <w:right w:val="none" w:sz="0" w:space="0" w:color="auto"/>
                      </w:divBdr>
                    </w:div>
                    <w:div w:id="1077090070">
                      <w:marLeft w:val="0"/>
                      <w:marRight w:val="0"/>
                      <w:marTop w:val="0"/>
                      <w:marBottom w:val="0"/>
                      <w:divBdr>
                        <w:top w:val="none" w:sz="0" w:space="0" w:color="auto"/>
                        <w:left w:val="none" w:sz="0" w:space="0" w:color="auto"/>
                        <w:bottom w:val="none" w:sz="0" w:space="0" w:color="auto"/>
                        <w:right w:val="none" w:sz="0" w:space="0" w:color="auto"/>
                      </w:divBdr>
                    </w:div>
                    <w:div w:id="1095591661">
                      <w:marLeft w:val="0"/>
                      <w:marRight w:val="0"/>
                      <w:marTop w:val="0"/>
                      <w:marBottom w:val="0"/>
                      <w:divBdr>
                        <w:top w:val="none" w:sz="0" w:space="0" w:color="auto"/>
                        <w:left w:val="none" w:sz="0" w:space="0" w:color="auto"/>
                        <w:bottom w:val="none" w:sz="0" w:space="0" w:color="auto"/>
                        <w:right w:val="none" w:sz="0" w:space="0" w:color="auto"/>
                      </w:divBdr>
                    </w:div>
                    <w:div w:id="1213998576">
                      <w:marLeft w:val="0"/>
                      <w:marRight w:val="0"/>
                      <w:marTop w:val="0"/>
                      <w:marBottom w:val="0"/>
                      <w:divBdr>
                        <w:top w:val="none" w:sz="0" w:space="0" w:color="auto"/>
                        <w:left w:val="none" w:sz="0" w:space="0" w:color="auto"/>
                        <w:bottom w:val="none" w:sz="0" w:space="0" w:color="auto"/>
                        <w:right w:val="none" w:sz="0" w:space="0" w:color="auto"/>
                      </w:divBdr>
                    </w:div>
                    <w:div w:id="1750537135">
                      <w:marLeft w:val="0"/>
                      <w:marRight w:val="0"/>
                      <w:marTop w:val="0"/>
                      <w:marBottom w:val="0"/>
                      <w:divBdr>
                        <w:top w:val="none" w:sz="0" w:space="0" w:color="auto"/>
                        <w:left w:val="none" w:sz="0" w:space="0" w:color="auto"/>
                        <w:bottom w:val="none" w:sz="0" w:space="0" w:color="auto"/>
                        <w:right w:val="none" w:sz="0" w:space="0" w:color="auto"/>
                      </w:divBdr>
                    </w:div>
                  </w:divsChild>
                </w:div>
                <w:div w:id="1000041342">
                  <w:marLeft w:val="0"/>
                  <w:marRight w:val="0"/>
                  <w:marTop w:val="0"/>
                  <w:marBottom w:val="0"/>
                  <w:divBdr>
                    <w:top w:val="none" w:sz="0" w:space="0" w:color="auto"/>
                    <w:left w:val="none" w:sz="0" w:space="0" w:color="auto"/>
                    <w:bottom w:val="none" w:sz="0" w:space="0" w:color="auto"/>
                    <w:right w:val="none" w:sz="0" w:space="0" w:color="auto"/>
                  </w:divBdr>
                  <w:divsChild>
                    <w:div w:id="1831289715">
                      <w:marLeft w:val="0"/>
                      <w:marRight w:val="0"/>
                      <w:marTop w:val="0"/>
                      <w:marBottom w:val="0"/>
                      <w:divBdr>
                        <w:top w:val="none" w:sz="0" w:space="0" w:color="auto"/>
                        <w:left w:val="none" w:sz="0" w:space="0" w:color="auto"/>
                        <w:bottom w:val="none" w:sz="0" w:space="0" w:color="auto"/>
                        <w:right w:val="none" w:sz="0" w:space="0" w:color="auto"/>
                      </w:divBdr>
                    </w:div>
                  </w:divsChild>
                </w:div>
                <w:div w:id="2032534700">
                  <w:marLeft w:val="0"/>
                  <w:marRight w:val="0"/>
                  <w:marTop w:val="0"/>
                  <w:marBottom w:val="0"/>
                  <w:divBdr>
                    <w:top w:val="none" w:sz="0" w:space="0" w:color="auto"/>
                    <w:left w:val="none" w:sz="0" w:space="0" w:color="auto"/>
                    <w:bottom w:val="none" w:sz="0" w:space="0" w:color="auto"/>
                    <w:right w:val="none" w:sz="0" w:space="0" w:color="auto"/>
                  </w:divBdr>
                  <w:divsChild>
                    <w:div w:id="36513293">
                      <w:marLeft w:val="0"/>
                      <w:marRight w:val="0"/>
                      <w:marTop w:val="0"/>
                      <w:marBottom w:val="0"/>
                      <w:divBdr>
                        <w:top w:val="none" w:sz="0" w:space="0" w:color="auto"/>
                        <w:left w:val="none" w:sz="0" w:space="0" w:color="auto"/>
                        <w:bottom w:val="none" w:sz="0" w:space="0" w:color="auto"/>
                        <w:right w:val="none" w:sz="0" w:space="0" w:color="auto"/>
                      </w:divBdr>
                    </w:div>
                    <w:div w:id="206333767">
                      <w:marLeft w:val="0"/>
                      <w:marRight w:val="0"/>
                      <w:marTop w:val="0"/>
                      <w:marBottom w:val="0"/>
                      <w:divBdr>
                        <w:top w:val="none" w:sz="0" w:space="0" w:color="auto"/>
                        <w:left w:val="none" w:sz="0" w:space="0" w:color="auto"/>
                        <w:bottom w:val="none" w:sz="0" w:space="0" w:color="auto"/>
                        <w:right w:val="none" w:sz="0" w:space="0" w:color="auto"/>
                      </w:divBdr>
                    </w:div>
                    <w:div w:id="262224976">
                      <w:marLeft w:val="0"/>
                      <w:marRight w:val="0"/>
                      <w:marTop w:val="0"/>
                      <w:marBottom w:val="0"/>
                      <w:divBdr>
                        <w:top w:val="none" w:sz="0" w:space="0" w:color="auto"/>
                        <w:left w:val="none" w:sz="0" w:space="0" w:color="auto"/>
                        <w:bottom w:val="none" w:sz="0" w:space="0" w:color="auto"/>
                        <w:right w:val="none" w:sz="0" w:space="0" w:color="auto"/>
                      </w:divBdr>
                    </w:div>
                    <w:div w:id="270867706">
                      <w:marLeft w:val="0"/>
                      <w:marRight w:val="0"/>
                      <w:marTop w:val="0"/>
                      <w:marBottom w:val="0"/>
                      <w:divBdr>
                        <w:top w:val="none" w:sz="0" w:space="0" w:color="auto"/>
                        <w:left w:val="none" w:sz="0" w:space="0" w:color="auto"/>
                        <w:bottom w:val="none" w:sz="0" w:space="0" w:color="auto"/>
                        <w:right w:val="none" w:sz="0" w:space="0" w:color="auto"/>
                      </w:divBdr>
                    </w:div>
                    <w:div w:id="481896637">
                      <w:marLeft w:val="0"/>
                      <w:marRight w:val="0"/>
                      <w:marTop w:val="0"/>
                      <w:marBottom w:val="0"/>
                      <w:divBdr>
                        <w:top w:val="none" w:sz="0" w:space="0" w:color="auto"/>
                        <w:left w:val="none" w:sz="0" w:space="0" w:color="auto"/>
                        <w:bottom w:val="none" w:sz="0" w:space="0" w:color="auto"/>
                        <w:right w:val="none" w:sz="0" w:space="0" w:color="auto"/>
                      </w:divBdr>
                    </w:div>
                    <w:div w:id="550196031">
                      <w:marLeft w:val="0"/>
                      <w:marRight w:val="0"/>
                      <w:marTop w:val="0"/>
                      <w:marBottom w:val="0"/>
                      <w:divBdr>
                        <w:top w:val="none" w:sz="0" w:space="0" w:color="auto"/>
                        <w:left w:val="none" w:sz="0" w:space="0" w:color="auto"/>
                        <w:bottom w:val="none" w:sz="0" w:space="0" w:color="auto"/>
                        <w:right w:val="none" w:sz="0" w:space="0" w:color="auto"/>
                      </w:divBdr>
                    </w:div>
                    <w:div w:id="603928946">
                      <w:marLeft w:val="0"/>
                      <w:marRight w:val="0"/>
                      <w:marTop w:val="0"/>
                      <w:marBottom w:val="0"/>
                      <w:divBdr>
                        <w:top w:val="none" w:sz="0" w:space="0" w:color="auto"/>
                        <w:left w:val="none" w:sz="0" w:space="0" w:color="auto"/>
                        <w:bottom w:val="none" w:sz="0" w:space="0" w:color="auto"/>
                        <w:right w:val="none" w:sz="0" w:space="0" w:color="auto"/>
                      </w:divBdr>
                    </w:div>
                    <w:div w:id="646128736">
                      <w:marLeft w:val="0"/>
                      <w:marRight w:val="0"/>
                      <w:marTop w:val="0"/>
                      <w:marBottom w:val="0"/>
                      <w:divBdr>
                        <w:top w:val="none" w:sz="0" w:space="0" w:color="auto"/>
                        <w:left w:val="none" w:sz="0" w:space="0" w:color="auto"/>
                        <w:bottom w:val="none" w:sz="0" w:space="0" w:color="auto"/>
                        <w:right w:val="none" w:sz="0" w:space="0" w:color="auto"/>
                      </w:divBdr>
                    </w:div>
                    <w:div w:id="647320031">
                      <w:marLeft w:val="0"/>
                      <w:marRight w:val="0"/>
                      <w:marTop w:val="0"/>
                      <w:marBottom w:val="0"/>
                      <w:divBdr>
                        <w:top w:val="none" w:sz="0" w:space="0" w:color="auto"/>
                        <w:left w:val="none" w:sz="0" w:space="0" w:color="auto"/>
                        <w:bottom w:val="none" w:sz="0" w:space="0" w:color="auto"/>
                        <w:right w:val="none" w:sz="0" w:space="0" w:color="auto"/>
                      </w:divBdr>
                    </w:div>
                    <w:div w:id="714156683">
                      <w:marLeft w:val="0"/>
                      <w:marRight w:val="0"/>
                      <w:marTop w:val="0"/>
                      <w:marBottom w:val="0"/>
                      <w:divBdr>
                        <w:top w:val="none" w:sz="0" w:space="0" w:color="auto"/>
                        <w:left w:val="none" w:sz="0" w:space="0" w:color="auto"/>
                        <w:bottom w:val="none" w:sz="0" w:space="0" w:color="auto"/>
                        <w:right w:val="none" w:sz="0" w:space="0" w:color="auto"/>
                      </w:divBdr>
                    </w:div>
                    <w:div w:id="716123789">
                      <w:marLeft w:val="0"/>
                      <w:marRight w:val="0"/>
                      <w:marTop w:val="0"/>
                      <w:marBottom w:val="0"/>
                      <w:divBdr>
                        <w:top w:val="none" w:sz="0" w:space="0" w:color="auto"/>
                        <w:left w:val="none" w:sz="0" w:space="0" w:color="auto"/>
                        <w:bottom w:val="none" w:sz="0" w:space="0" w:color="auto"/>
                        <w:right w:val="none" w:sz="0" w:space="0" w:color="auto"/>
                      </w:divBdr>
                    </w:div>
                    <w:div w:id="789713897">
                      <w:marLeft w:val="0"/>
                      <w:marRight w:val="0"/>
                      <w:marTop w:val="0"/>
                      <w:marBottom w:val="0"/>
                      <w:divBdr>
                        <w:top w:val="none" w:sz="0" w:space="0" w:color="auto"/>
                        <w:left w:val="none" w:sz="0" w:space="0" w:color="auto"/>
                        <w:bottom w:val="none" w:sz="0" w:space="0" w:color="auto"/>
                        <w:right w:val="none" w:sz="0" w:space="0" w:color="auto"/>
                      </w:divBdr>
                    </w:div>
                    <w:div w:id="937061558">
                      <w:marLeft w:val="0"/>
                      <w:marRight w:val="0"/>
                      <w:marTop w:val="0"/>
                      <w:marBottom w:val="0"/>
                      <w:divBdr>
                        <w:top w:val="none" w:sz="0" w:space="0" w:color="auto"/>
                        <w:left w:val="none" w:sz="0" w:space="0" w:color="auto"/>
                        <w:bottom w:val="none" w:sz="0" w:space="0" w:color="auto"/>
                        <w:right w:val="none" w:sz="0" w:space="0" w:color="auto"/>
                      </w:divBdr>
                    </w:div>
                    <w:div w:id="1115247544">
                      <w:marLeft w:val="0"/>
                      <w:marRight w:val="0"/>
                      <w:marTop w:val="0"/>
                      <w:marBottom w:val="0"/>
                      <w:divBdr>
                        <w:top w:val="none" w:sz="0" w:space="0" w:color="auto"/>
                        <w:left w:val="none" w:sz="0" w:space="0" w:color="auto"/>
                        <w:bottom w:val="none" w:sz="0" w:space="0" w:color="auto"/>
                        <w:right w:val="none" w:sz="0" w:space="0" w:color="auto"/>
                      </w:divBdr>
                    </w:div>
                    <w:div w:id="1270353744">
                      <w:marLeft w:val="0"/>
                      <w:marRight w:val="0"/>
                      <w:marTop w:val="0"/>
                      <w:marBottom w:val="0"/>
                      <w:divBdr>
                        <w:top w:val="none" w:sz="0" w:space="0" w:color="auto"/>
                        <w:left w:val="none" w:sz="0" w:space="0" w:color="auto"/>
                        <w:bottom w:val="none" w:sz="0" w:space="0" w:color="auto"/>
                        <w:right w:val="none" w:sz="0" w:space="0" w:color="auto"/>
                      </w:divBdr>
                    </w:div>
                    <w:div w:id="1322154452">
                      <w:marLeft w:val="0"/>
                      <w:marRight w:val="0"/>
                      <w:marTop w:val="0"/>
                      <w:marBottom w:val="0"/>
                      <w:divBdr>
                        <w:top w:val="none" w:sz="0" w:space="0" w:color="auto"/>
                        <w:left w:val="none" w:sz="0" w:space="0" w:color="auto"/>
                        <w:bottom w:val="none" w:sz="0" w:space="0" w:color="auto"/>
                        <w:right w:val="none" w:sz="0" w:space="0" w:color="auto"/>
                      </w:divBdr>
                    </w:div>
                    <w:div w:id="1457917570">
                      <w:marLeft w:val="0"/>
                      <w:marRight w:val="0"/>
                      <w:marTop w:val="0"/>
                      <w:marBottom w:val="0"/>
                      <w:divBdr>
                        <w:top w:val="none" w:sz="0" w:space="0" w:color="auto"/>
                        <w:left w:val="none" w:sz="0" w:space="0" w:color="auto"/>
                        <w:bottom w:val="none" w:sz="0" w:space="0" w:color="auto"/>
                        <w:right w:val="none" w:sz="0" w:space="0" w:color="auto"/>
                      </w:divBdr>
                    </w:div>
                    <w:div w:id="1681809367">
                      <w:marLeft w:val="0"/>
                      <w:marRight w:val="0"/>
                      <w:marTop w:val="0"/>
                      <w:marBottom w:val="0"/>
                      <w:divBdr>
                        <w:top w:val="none" w:sz="0" w:space="0" w:color="auto"/>
                        <w:left w:val="none" w:sz="0" w:space="0" w:color="auto"/>
                        <w:bottom w:val="none" w:sz="0" w:space="0" w:color="auto"/>
                        <w:right w:val="none" w:sz="0" w:space="0" w:color="auto"/>
                      </w:divBdr>
                    </w:div>
                    <w:div w:id="1702700589">
                      <w:marLeft w:val="0"/>
                      <w:marRight w:val="0"/>
                      <w:marTop w:val="0"/>
                      <w:marBottom w:val="0"/>
                      <w:divBdr>
                        <w:top w:val="none" w:sz="0" w:space="0" w:color="auto"/>
                        <w:left w:val="none" w:sz="0" w:space="0" w:color="auto"/>
                        <w:bottom w:val="none" w:sz="0" w:space="0" w:color="auto"/>
                        <w:right w:val="none" w:sz="0" w:space="0" w:color="auto"/>
                      </w:divBdr>
                    </w:div>
                    <w:div w:id="1712152359">
                      <w:marLeft w:val="0"/>
                      <w:marRight w:val="0"/>
                      <w:marTop w:val="0"/>
                      <w:marBottom w:val="0"/>
                      <w:divBdr>
                        <w:top w:val="none" w:sz="0" w:space="0" w:color="auto"/>
                        <w:left w:val="none" w:sz="0" w:space="0" w:color="auto"/>
                        <w:bottom w:val="none" w:sz="0" w:space="0" w:color="auto"/>
                        <w:right w:val="none" w:sz="0" w:space="0" w:color="auto"/>
                      </w:divBdr>
                    </w:div>
                    <w:div w:id="1726178352">
                      <w:marLeft w:val="0"/>
                      <w:marRight w:val="0"/>
                      <w:marTop w:val="0"/>
                      <w:marBottom w:val="0"/>
                      <w:divBdr>
                        <w:top w:val="none" w:sz="0" w:space="0" w:color="auto"/>
                        <w:left w:val="none" w:sz="0" w:space="0" w:color="auto"/>
                        <w:bottom w:val="none" w:sz="0" w:space="0" w:color="auto"/>
                        <w:right w:val="none" w:sz="0" w:space="0" w:color="auto"/>
                      </w:divBdr>
                    </w:div>
                    <w:div w:id="1797216113">
                      <w:marLeft w:val="0"/>
                      <w:marRight w:val="0"/>
                      <w:marTop w:val="0"/>
                      <w:marBottom w:val="0"/>
                      <w:divBdr>
                        <w:top w:val="none" w:sz="0" w:space="0" w:color="auto"/>
                        <w:left w:val="none" w:sz="0" w:space="0" w:color="auto"/>
                        <w:bottom w:val="none" w:sz="0" w:space="0" w:color="auto"/>
                        <w:right w:val="none" w:sz="0" w:space="0" w:color="auto"/>
                      </w:divBdr>
                    </w:div>
                    <w:div w:id="1860662321">
                      <w:marLeft w:val="0"/>
                      <w:marRight w:val="0"/>
                      <w:marTop w:val="0"/>
                      <w:marBottom w:val="0"/>
                      <w:divBdr>
                        <w:top w:val="none" w:sz="0" w:space="0" w:color="auto"/>
                        <w:left w:val="none" w:sz="0" w:space="0" w:color="auto"/>
                        <w:bottom w:val="none" w:sz="0" w:space="0" w:color="auto"/>
                        <w:right w:val="none" w:sz="0" w:space="0" w:color="auto"/>
                      </w:divBdr>
                    </w:div>
                    <w:div w:id="1860924926">
                      <w:marLeft w:val="0"/>
                      <w:marRight w:val="0"/>
                      <w:marTop w:val="0"/>
                      <w:marBottom w:val="0"/>
                      <w:divBdr>
                        <w:top w:val="none" w:sz="0" w:space="0" w:color="auto"/>
                        <w:left w:val="none" w:sz="0" w:space="0" w:color="auto"/>
                        <w:bottom w:val="none" w:sz="0" w:space="0" w:color="auto"/>
                        <w:right w:val="none" w:sz="0" w:space="0" w:color="auto"/>
                      </w:divBdr>
                    </w:div>
                    <w:div w:id="1864633528">
                      <w:marLeft w:val="0"/>
                      <w:marRight w:val="0"/>
                      <w:marTop w:val="0"/>
                      <w:marBottom w:val="0"/>
                      <w:divBdr>
                        <w:top w:val="none" w:sz="0" w:space="0" w:color="auto"/>
                        <w:left w:val="none" w:sz="0" w:space="0" w:color="auto"/>
                        <w:bottom w:val="none" w:sz="0" w:space="0" w:color="auto"/>
                        <w:right w:val="none" w:sz="0" w:space="0" w:color="auto"/>
                      </w:divBdr>
                    </w:div>
                    <w:div w:id="1996101416">
                      <w:marLeft w:val="0"/>
                      <w:marRight w:val="0"/>
                      <w:marTop w:val="0"/>
                      <w:marBottom w:val="0"/>
                      <w:divBdr>
                        <w:top w:val="none" w:sz="0" w:space="0" w:color="auto"/>
                        <w:left w:val="none" w:sz="0" w:space="0" w:color="auto"/>
                        <w:bottom w:val="none" w:sz="0" w:space="0" w:color="auto"/>
                        <w:right w:val="none" w:sz="0" w:space="0" w:color="auto"/>
                      </w:divBdr>
                    </w:div>
                  </w:divsChild>
                </w:div>
                <w:div w:id="2094928786">
                  <w:marLeft w:val="0"/>
                  <w:marRight w:val="0"/>
                  <w:marTop w:val="0"/>
                  <w:marBottom w:val="0"/>
                  <w:divBdr>
                    <w:top w:val="none" w:sz="0" w:space="0" w:color="auto"/>
                    <w:left w:val="none" w:sz="0" w:space="0" w:color="auto"/>
                    <w:bottom w:val="none" w:sz="0" w:space="0" w:color="auto"/>
                    <w:right w:val="none" w:sz="0" w:space="0" w:color="auto"/>
                  </w:divBdr>
                  <w:divsChild>
                    <w:div w:id="1926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21342">
          <w:marLeft w:val="0"/>
          <w:marRight w:val="0"/>
          <w:marTop w:val="0"/>
          <w:marBottom w:val="0"/>
          <w:divBdr>
            <w:top w:val="none" w:sz="0" w:space="0" w:color="auto"/>
            <w:left w:val="none" w:sz="0" w:space="0" w:color="auto"/>
            <w:bottom w:val="none" w:sz="0" w:space="0" w:color="auto"/>
            <w:right w:val="none" w:sz="0" w:space="0" w:color="auto"/>
          </w:divBdr>
        </w:div>
        <w:div w:id="1496412663">
          <w:marLeft w:val="0"/>
          <w:marRight w:val="0"/>
          <w:marTop w:val="0"/>
          <w:marBottom w:val="0"/>
          <w:divBdr>
            <w:top w:val="none" w:sz="0" w:space="0" w:color="auto"/>
            <w:left w:val="none" w:sz="0" w:space="0" w:color="auto"/>
            <w:bottom w:val="none" w:sz="0" w:space="0" w:color="auto"/>
            <w:right w:val="none" w:sz="0" w:space="0" w:color="auto"/>
          </w:divBdr>
        </w:div>
        <w:div w:id="1523974322">
          <w:marLeft w:val="0"/>
          <w:marRight w:val="0"/>
          <w:marTop w:val="0"/>
          <w:marBottom w:val="0"/>
          <w:divBdr>
            <w:top w:val="none" w:sz="0" w:space="0" w:color="auto"/>
            <w:left w:val="none" w:sz="0" w:space="0" w:color="auto"/>
            <w:bottom w:val="none" w:sz="0" w:space="0" w:color="auto"/>
            <w:right w:val="none" w:sz="0" w:space="0" w:color="auto"/>
          </w:divBdr>
        </w:div>
        <w:div w:id="1527060433">
          <w:marLeft w:val="0"/>
          <w:marRight w:val="0"/>
          <w:marTop w:val="0"/>
          <w:marBottom w:val="0"/>
          <w:divBdr>
            <w:top w:val="none" w:sz="0" w:space="0" w:color="auto"/>
            <w:left w:val="none" w:sz="0" w:space="0" w:color="auto"/>
            <w:bottom w:val="none" w:sz="0" w:space="0" w:color="auto"/>
            <w:right w:val="none" w:sz="0" w:space="0" w:color="auto"/>
          </w:divBdr>
        </w:div>
        <w:div w:id="1590655893">
          <w:marLeft w:val="0"/>
          <w:marRight w:val="0"/>
          <w:marTop w:val="0"/>
          <w:marBottom w:val="0"/>
          <w:divBdr>
            <w:top w:val="none" w:sz="0" w:space="0" w:color="auto"/>
            <w:left w:val="none" w:sz="0" w:space="0" w:color="auto"/>
            <w:bottom w:val="none" w:sz="0" w:space="0" w:color="auto"/>
            <w:right w:val="none" w:sz="0" w:space="0" w:color="auto"/>
          </w:divBdr>
        </w:div>
        <w:div w:id="1606841463">
          <w:marLeft w:val="0"/>
          <w:marRight w:val="0"/>
          <w:marTop w:val="0"/>
          <w:marBottom w:val="0"/>
          <w:divBdr>
            <w:top w:val="none" w:sz="0" w:space="0" w:color="auto"/>
            <w:left w:val="none" w:sz="0" w:space="0" w:color="auto"/>
            <w:bottom w:val="none" w:sz="0" w:space="0" w:color="auto"/>
            <w:right w:val="none" w:sz="0" w:space="0" w:color="auto"/>
          </w:divBdr>
          <w:divsChild>
            <w:div w:id="172578076">
              <w:marLeft w:val="0"/>
              <w:marRight w:val="0"/>
              <w:marTop w:val="0"/>
              <w:marBottom w:val="0"/>
              <w:divBdr>
                <w:top w:val="none" w:sz="0" w:space="0" w:color="auto"/>
                <w:left w:val="none" w:sz="0" w:space="0" w:color="auto"/>
                <w:bottom w:val="none" w:sz="0" w:space="0" w:color="auto"/>
                <w:right w:val="none" w:sz="0" w:space="0" w:color="auto"/>
              </w:divBdr>
            </w:div>
            <w:div w:id="410733903">
              <w:marLeft w:val="0"/>
              <w:marRight w:val="0"/>
              <w:marTop w:val="0"/>
              <w:marBottom w:val="0"/>
              <w:divBdr>
                <w:top w:val="none" w:sz="0" w:space="0" w:color="auto"/>
                <w:left w:val="none" w:sz="0" w:space="0" w:color="auto"/>
                <w:bottom w:val="none" w:sz="0" w:space="0" w:color="auto"/>
                <w:right w:val="none" w:sz="0" w:space="0" w:color="auto"/>
              </w:divBdr>
            </w:div>
            <w:div w:id="765076590">
              <w:marLeft w:val="0"/>
              <w:marRight w:val="0"/>
              <w:marTop w:val="0"/>
              <w:marBottom w:val="0"/>
              <w:divBdr>
                <w:top w:val="none" w:sz="0" w:space="0" w:color="auto"/>
                <w:left w:val="none" w:sz="0" w:space="0" w:color="auto"/>
                <w:bottom w:val="none" w:sz="0" w:space="0" w:color="auto"/>
                <w:right w:val="none" w:sz="0" w:space="0" w:color="auto"/>
              </w:divBdr>
            </w:div>
            <w:div w:id="1825125810">
              <w:marLeft w:val="0"/>
              <w:marRight w:val="0"/>
              <w:marTop w:val="0"/>
              <w:marBottom w:val="0"/>
              <w:divBdr>
                <w:top w:val="none" w:sz="0" w:space="0" w:color="auto"/>
                <w:left w:val="none" w:sz="0" w:space="0" w:color="auto"/>
                <w:bottom w:val="none" w:sz="0" w:space="0" w:color="auto"/>
                <w:right w:val="none" w:sz="0" w:space="0" w:color="auto"/>
              </w:divBdr>
            </w:div>
          </w:divsChild>
        </w:div>
        <w:div w:id="1812941099">
          <w:marLeft w:val="0"/>
          <w:marRight w:val="0"/>
          <w:marTop w:val="0"/>
          <w:marBottom w:val="0"/>
          <w:divBdr>
            <w:top w:val="none" w:sz="0" w:space="0" w:color="auto"/>
            <w:left w:val="none" w:sz="0" w:space="0" w:color="auto"/>
            <w:bottom w:val="none" w:sz="0" w:space="0" w:color="auto"/>
            <w:right w:val="none" w:sz="0" w:space="0" w:color="auto"/>
          </w:divBdr>
        </w:div>
        <w:div w:id="1861508403">
          <w:marLeft w:val="0"/>
          <w:marRight w:val="0"/>
          <w:marTop w:val="0"/>
          <w:marBottom w:val="0"/>
          <w:divBdr>
            <w:top w:val="none" w:sz="0" w:space="0" w:color="auto"/>
            <w:left w:val="none" w:sz="0" w:space="0" w:color="auto"/>
            <w:bottom w:val="none" w:sz="0" w:space="0" w:color="auto"/>
            <w:right w:val="none" w:sz="0" w:space="0" w:color="auto"/>
          </w:divBdr>
        </w:div>
        <w:div w:id="1887836681">
          <w:marLeft w:val="0"/>
          <w:marRight w:val="0"/>
          <w:marTop w:val="0"/>
          <w:marBottom w:val="0"/>
          <w:divBdr>
            <w:top w:val="none" w:sz="0" w:space="0" w:color="auto"/>
            <w:left w:val="none" w:sz="0" w:space="0" w:color="auto"/>
            <w:bottom w:val="none" w:sz="0" w:space="0" w:color="auto"/>
            <w:right w:val="none" w:sz="0" w:space="0" w:color="auto"/>
          </w:divBdr>
        </w:div>
        <w:div w:id="1924685807">
          <w:marLeft w:val="0"/>
          <w:marRight w:val="0"/>
          <w:marTop w:val="0"/>
          <w:marBottom w:val="0"/>
          <w:divBdr>
            <w:top w:val="none" w:sz="0" w:space="0" w:color="auto"/>
            <w:left w:val="none" w:sz="0" w:space="0" w:color="auto"/>
            <w:bottom w:val="none" w:sz="0" w:space="0" w:color="auto"/>
            <w:right w:val="none" w:sz="0" w:space="0" w:color="auto"/>
          </w:divBdr>
        </w:div>
        <w:div w:id="1938174728">
          <w:marLeft w:val="0"/>
          <w:marRight w:val="0"/>
          <w:marTop w:val="0"/>
          <w:marBottom w:val="0"/>
          <w:divBdr>
            <w:top w:val="none" w:sz="0" w:space="0" w:color="auto"/>
            <w:left w:val="none" w:sz="0" w:space="0" w:color="auto"/>
            <w:bottom w:val="none" w:sz="0" w:space="0" w:color="auto"/>
            <w:right w:val="none" w:sz="0" w:space="0" w:color="auto"/>
          </w:divBdr>
          <w:divsChild>
            <w:div w:id="96827074">
              <w:marLeft w:val="0"/>
              <w:marRight w:val="0"/>
              <w:marTop w:val="0"/>
              <w:marBottom w:val="0"/>
              <w:divBdr>
                <w:top w:val="none" w:sz="0" w:space="0" w:color="auto"/>
                <w:left w:val="none" w:sz="0" w:space="0" w:color="auto"/>
                <w:bottom w:val="none" w:sz="0" w:space="0" w:color="auto"/>
                <w:right w:val="none" w:sz="0" w:space="0" w:color="auto"/>
              </w:divBdr>
            </w:div>
            <w:div w:id="141772039">
              <w:marLeft w:val="0"/>
              <w:marRight w:val="0"/>
              <w:marTop w:val="0"/>
              <w:marBottom w:val="0"/>
              <w:divBdr>
                <w:top w:val="none" w:sz="0" w:space="0" w:color="auto"/>
                <w:left w:val="none" w:sz="0" w:space="0" w:color="auto"/>
                <w:bottom w:val="none" w:sz="0" w:space="0" w:color="auto"/>
                <w:right w:val="none" w:sz="0" w:space="0" w:color="auto"/>
              </w:divBdr>
            </w:div>
            <w:div w:id="578907437">
              <w:marLeft w:val="0"/>
              <w:marRight w:val="0"/>
              <w:marTop w:val="0"/>
              <w:marBottom w:val="0"/>
              <w:divBdr>
                <w:top w:val="none" w:sz="0" w:space="0" w:color="auto"/>
                <w:left w:val="none" w:sz="0" w:space="0" w:color="auto"/>
                <w:bottom w:val="none" w:sz="0" w:space="0" w:color="auto"/>
                <w:right w:val="none" w:sz="0" w:space="0" w:color="auto"/>
              </w:divBdr>
            </w:div>
            <w:div w:id="980501111">
              <w:marLeft w:val="0"/>
              <w:marRight w:val="0"/>
              <w:marTop w:val="0"/>
              <w:marBottom w:val="0"/>
              <w:divBdr>
                <w:top w:val="none" w:sz="0" w:space="0" w:color="auto"/>
                <w:left w:val="none" w:sz="0" w:space="0" w:color="auto"/>
                <w:bottom w:val="none" w:sz="0" w:space="0" w:color="auto"/>
                <w:right w:val="none" w:sz="0" w:space="0" w:color="auto"/>
              </w:divBdr>
            </w:div>
            <w:div w:id="1981613760">
              <w:marLeft w:val="0"/>
              <w:marRight w:val="0"/>
              <w:marTop w:val="0"/>
              <w:marBottom w:val="0"/>
              <w:divBdr>
                <w:top w:val="none" w:sz="0" w:space="0" w:color="auto"/>
                <w:left w:val="none" w:sz="0" w:space="0" w:color="auto"/>
                <w:bottom w:val="none" w:sz="0" w:space="0" w:color="auto"/>
                <w:right w:val="none" w:sz="0" w:space="0" w:color="auto"/>
              </w:divBdr>
            </w:div>
          </w:divsChild>
        </w:div>
        <w:div w:id="2061198636">
          <w:marLeft w:val="0"/>
          <w:marRight w:val="0"/>
          <w:marTop w:val="0"/>
          <w:marBottom w:val="0"/>
          <w:divBdr>
            <w:top w:val="none" w:sz="0" w:space="0" w:color="auto"/>
            <w:left w:val="none" w:sz="0" w:space="0" w:color="auto"/>
            <w:bottom w:val="none" w:sz="0" w:space="0" w:color="auto"/>
            <w:right w:val="none" w:sz="0" w:space="0" w:color="auto"/>
          </w:divBdr>
          <w:divsChild>
            <w:div w:id="716244685">
              <w:marLeft w:val="-75"/>
              <w:marRight w:val="0"/>
              <w:marTop w:val="30"/>
              <w:marBottom w:val="30"/>
              <w:divBdr>
                <w:top w:val="none" w:sz="0" w:space="0" w:color="auto"/>
                <w:left w:val="none" w:sz="0" w:space="0" w:color="auto"/>
                <w:bottom w:val="none" w:sz="0" w:space="0" w:color="auto"/>
                <w:right w:val="none" w:sz="0" w:space="0" w:color="auto"/>
              </w:divBdr>
              <w:divsChild>
                <w:div w:id="192111613">
                  <w:marLeft w:val="0"/>
                  <w:marRight w:val="0"/>
                  <w:marTop w:val="0"/>
                  <w:marBottom w:val="0"/>
                  <w:divBdr>
                    <w:top w:val="none" w:sz="0" w:space="0" w:color="auto"/>
                    <w:left w:val="none" w:sz="0" w:space="0" w:color="auto"/>
                    <w:bottom w:val="none" w:sz="0" w:space="0" w:color="auto"/>
                    <w:right w:val="none" w:sz="0" w:space="0" w:color="auto"/>
                  </w:divBdr>
                  <w:divsChild>
                    <w:div w:id="520750030">
                      <w:marLeft w:val="0"/>
                      <w:marRight w:val="0"/>
                      <w:marTop w:val="0"/>
                      <w:marBottom w:val="0"/>
                      <w:divBdr>
                        <w:top w:val="none" w:sz="0" w:space="0" w:color="auto"/>
                        <w:left w:val="none" w:sz="0" w:space="0" w:color="auto"/>
                        <w:bottom w:val="none" w:sz="0" w:space="0" w:color="auto"/>
                        <w:right w:val="none" w:sz="0" w:space="0" w:color="auto"/>
                      </w:divBdr>
                    </w:div>
                  </w:divsChild>
                </w:div>
                <w:div w:id="364061023">
                  <w:marLeft w:val="0"/>
                  <w:marRight w:val="0"/>
                  <w:marTop w:val="0"/>
                  <w:marBottom w:val="0"/>
                  <w:divBdr>
                    <w:top w:val="none" w:sz="0" w:space="0" w:color="auto"/>
                    <w:left w:val="none" w:sz="0" w:space="0" w:color="auto"/>
                    <w:bottom w:val="none" w:sz="0" w:space="0" w:color="auto"/>
                    <w:right w:val="none" w:sz="0" w:space="0" w:color="auto"/>
                  </w:divBdr>
                  <w:divsChild>
                    <w:div w:id="757099738">
                      <w:marLeft w:val="0"/>
                      <w:marRight w:val="0"/>
                      <w:marTop w:val="0"/>
                      <w:marBottom w:val="0"/>
                      <w:divBdr>
                        <w:top w:val="none" w:sz="0" w:space="0" w:color="auto"/>
                        <w:left w:val="none" w:sz="0" w:space="0" w:color="auto"/>
                        <w:bottom w:val="none" w:sz="0" w:space="0" w:color="auto"/>
                        <w:right w:val="none" w:sz="0" w:space="0" w:color="auto"/>
                      </w:divBdr>
                    </w:div>
                  </w:divsChild>
                </w:div>
                <w:div w:id="370957406">
                  <w:marLeft w:val="0"/>
                  <w:marRight w:val="0"/>
                  <w:marTop w:val="0"/>
                  <w:marBottom w:val="0"/>
                  <w:divBdr>
                    <w:top w:val="none" w:sz="0" w:space="0" w:color="auto"/>
                    <w:left w:val="none" w:sz="0" w:space="0" w:color="auto"/>
                    <w:bottom w:val="none" w:sz="0" w:space="0" w:color="auto"/>
                    <w:right w:val="none" w:sz="0" w:space="0" w:color="auto"/>
                  </w:divBdr>
                  <w:divsChild>
                    <w:div w:id="803540883">
                      <w:marLeft w:val="0"/>
                      <w:marRight w:val="0"/>
                      <w:marTop w:val="0"/>
                      <w:marBottom w:val="0"/>
                      <w:divBdr>
                        <w:top w:val="none" w:sz="0" w:space="0" w:color="auto"/>
                        <w:left w:val="none" w:sz="0" w:space="0" w:color="auto"/>
                        <w:bottom w:val="none" w:sz="0" w:space="0" w:color="auto"/>
                        <w:right w:val="none" w:sz="0" w:space="0" w:color="auto"/>
                      </w:divBdr>
                    </w:div>
                  </w:divsChild>
                </w:div>
                <w:div w:id="411856504">
                  <w:marLeft w:val="0"/>
                  <w:marRight w:val="0"/>
                  <w:marTop w:val="0"/>
                  <w:marBottom w:val="0"/>
                  <w:divBdr>
                    <w:top w:val="none" w:sz="0" w:space="0" w:color="auto"/>
                    <w:left w:val="none" w:sz="0" w:space="0" w:color="auto"/>
                    <w:bottom w:val="none" w:sz="0" w:space="0" w:color="auto"/>
                    <w:right w:val="none" w:sz="0" w:space="0" w:color="auto"/>
                  </w:divBdr>
                  <w:divsChild>
                    <w:div w:id="373819260">
                      <w:marLeft w:val="0"/>
                      <w:marRight w:val="0"/>
                      <w:marTop w:val="0"/>
                      <w:marBottom w:val="0"/>
                      <w:divBdr>
                        <w:top w:val="none" w:sz="0" w:space="0" w:color="auto"/>
                        <w:left w:val="none" w:sz="0" w:space="0" w:color="auto"/>
                        <w:bottom w:val="none" w:sz="0" w:space="0" w:color="auto"/>
                        <w:right w:val="none" w:sz="0" w:space="0" w:color="auto"/>
                      </w:divBdr>
                    </w:div>
                  </w:divsChild>
                </w:div>
                <w:div w:id="451481015">
                  <w:marLeft w:val="0"/>
                  <w:marRight w:val="0"/>
                  <w:marTop w:val="0"/>
                  <w:marBottom w:val="0"/>
                  <w:divBdr>
                    <w:top w:val="none" w:sz="0" w:space="0" w:color="auto"/>
                    <w:left w:val="none" w:sz="0" w:space="0" w:color="auto"/>
                    <w:bottom w:val="none" w:sz="0" w:space="0" w:color="auto"/>
                    <w:right w:val="none" w:sz="0" w:space="0" w:color="auto"/>
                  </w:divBdr>
                  <w:divsChild>
                    <w:div w:id="976647934">
                      <w:marLeft w:val="0"/>
                      <w:marRight w:val="0"/>
                      <w:marTop w:val="0"/>
                      <w:marBottom w:val="0"/>
                      <w:divBdr>
                        <w:top w:val="none" w:sz="0" w:space="0" w:color="auto"/>
                        <w:left w:val="none" w:sz="0" w:space="0" w:color="auto"/>
                        <w:bottom w:val="none" w:sz="0" w:space="0" w:color="auto"/>
                        <w:right w:val="none" w:sz="0" w:space="0" w:color="auto"/>
                      </w:divBdr>
                    </w:div>
                  </w:divsChild>
                </w:div>
                <w:div w:id="544147106">
                  <w:marLeft w:val="0"/>
                  <w:marRight w:val="0"/>
                  <w:marTop w:val="0"/>
                  <w:marBottom w:val="0"/>
                  <w:divBdr>
                    <w:top w:val="none" w:sz="0" w:space="0" w:color="auto"/>
                    <w:left w:val="none" w:sz="0" w:space="0" w:color="auto"/>
                    <w:bottom w:val="none" w:sz="0" w:space="0" w:color="auto"/>
                    <w:right w:val="none" w:sz="0" w:space="0" w:color="auto"/>
                  </w:divBdr>
                  <w:divsChild>
                    <w:div w:id="720329622">
                      <w:marLeft w:val="0"/>
                      <w:marRight w:val="0"/>
                      <w:marTop w:val="0"/>
                      <w:marBottom w:val="0"/>
                      <w:divBdr>
                        <w:top w:val="none" w:sz="0" w:space="0" w:color="auto"/>
                        <w:left w:val="none" w:sz="0" w:space="0" w:color="auto"/>
                        <w:bottom w:val="none" w:sz="0" w:space="0" w:color="auto"/>
                        <w:right w:val="none" w:sz="0" w:space="0" w:color="auto"/>
                      </w:divBdr>
                    </w:div>
                  </w:divsChild>
                </w:div>
                <w:div w:id="677004798">
                  <w:marLeft w:val="0"/>
                  <w:marRight w:val="0"/>
                  <w:marTop w:val="0"/>
                  <w:marBottom w:val="0"/>
                  <w:divBdr>
                    <w:top w:val="none" w:sz="0" w:space="0" w:color="auto"/>
                    <w:left w:val="none" w:sz="0" w:space="0" w:color="auto"/>
                    <w:bottom w:val="none" w:sz="0" w:space="0" w:color="auto"/>
                    <w:right w:val="none" w:sz="0" w:space="0" w:color="auto"/>
                  </w:divBdr>
                  <w:divsChild>
                    <w:div w:id="1917205656">
                      <w:marLeft w:val="0"/>
                      <w:marRight w:val="0"/>
                      <w:marTop w:val="0"/>
                      <w:marBottom w:val="0"/>
                      <w:divBdr>
                        <w:top w:val="none" w:sz="0" w:space="0" w:color="auto"/>
                        <w:left w:val="none" w:sz="0" w:space="0" w:color="auto"/>
                        <w:bottom w:val="none" w:sz="0" w:space="0" w:color="auto"/>
                        <w:right w:val="none" w:sz="0" w:space="0" w:color="auto"/>
                      </w:divBdr>
                    </w:div>
                  </w:divsChild>
                </w:div>
                <w:div w:id="733352311">
                  <w:marLeft w:val="0"/>
                  <w:marRight w:val="0"/>
                  <w:marTop w:val="0"/>
                  <w:marBottom w:val="0"/>
                  <w:divBdr>
                    <w:top w:val="none" w:sz="0" w:space="0" w:color="auto"/>
                    <w:left w:val="none" w:sz="0" w:space="0" w:color="auto"/>
                    <w:bottom w:val="none" w:sz="0" w:space="0" w:color="auto"/>
                    <w:right w:val="none" w:sz="0" w:space="0" w:color="auto"/>
                  </w:divBdr>
                  <w:divsChild>
                    <w:div w:id="674307722">
                      <w:marLeft w:val="0"/>
                      <w:marRight w:val="0"/>
                      <w:marTop w:val="0"/>
                      <w:marBottom w:val="0"/>
                      <w:divBdr>
                        <w:top w:val="none" w:sz="0" w:space="0" w:color="auto"/>
                        <w:left w:val="none" w:sz="0" w:space="0" w:color="auto"/>
                        <w:bottom w:val="none" w:sz="0" w:space="0" w:color="auto"/>
                        <w:right w:val="none" w:sz="0" w:space="0" w:color="auto"/>
                      </w:divBdr>
                    </w:div>
                  </w:divsChild>
                </w:div>
                <w:div w:id="734816091">
                  <w:marLeft w:val="0"/>
                  <w:marRight w:val="0"/>
                  <w:marTop w:val="0"/>
                  <w:marBottom w:val="0"/>
                  <w:divBdr>
                    <w:top w:val="none" w:sz="0" w:space="0" w:color="auto"/>
                    <w:left w:val="none" w:sz="0" w:space="0" w:color="auto"/>
                    <w:bottom w:val="none" w:sz="0" w:space="0" w:color="auto"/>
                    <w:right w:val="none" w:sz="0" w:space="0" w:color="auto"/>
                  </w:divBdr>
                  <w:divsChild>
                    <w:div w:id="1251087122">
                      <w:marLeft w:val="0"/>
                      <w:marRight w:val="0"/>
                      <w:marTop w:val="0"/>
                      <w:marBottom w:val="0"/>
                      <w:divBdr>
                        <w:top w:val="none" w:sz="0" w:space="0" w:color="auto"/>
                        <w:left w:val="none" w:sz="0" w:space="0" w:color="auto"/>
                        <w:bottom w:val="none" w:sz="0" w:space="0" w:color="auto"/>
                        <w:right w:val="none" w:sz="0" w:space="0" w:color="auto"/>
                      </w:divBdr>
                    </w:div>
                  </w:divsChild>
                </w:div>
                <w:div w:id="867985756">
                  <w:marLeft w:val="0"/>
                  <w:marRight w:val="0"/>
                  <w:marTop w:val="0"/>
                  <w:marBottom w:val="0"/>
                  <w:divBdr>
                    <w:top w:val="none" w:sz="0" w:space="0" w:color="auto"/>
                    <w:left w:val="none" w:sz="0" w:space="0" w:color="auto"/>
                    <w:bottom w:val="none" w:sz="0" w:space="0" w:color="auto"/>
                    <w:right w:val="none" w:sz="0" w:space="0" w:color="auto"/>
                  </w:divBdr>
                  <w:divsChild>
                    <w:div w:id="2094887105">
                      <w:marLeft w:val="0"/>
                      <w:marRight w:val="0"/>
                      <w:marTop w:val="0"/>
                      <w:marBottom w:val="0"/>
                      <w:divBdr>
                        <w:top w:val="none" w:sz="0" w:space="0" w:color="auto"/>
                        <w:left w:val="none" w:sz="0" w:space="0" w:color="auto"/>
                        <w:bottom w:val="none" w:sz="0" w:space="0" w:color="auto"/>
                        <w:right w:val="none" w:sz="0" w:space="0" w:color="auto"/>
                      </w:divBdr>
                    </w:div>
                  </w:divsChild>
                </w:div>
                <w:div w:id="1037505087">
                  <w:marLeft w:val="0"/>
                  <w:marRight w:val="0"/>
                  <w:marTop w:val="0"/>
                  <w:marBottom w:val="0"/>
                  <w:divBdr>
                    <w:top w:val="none" w:sz="0" w:space="0" w:color="auto"/>
                    <w:left w:val="none" w:sz="0" w:space="0" w:color="auto"/>
                    <w:bottom w:val="none" w:sz="0" w:space="0" w:color="auto"/>
                    <w:right w:val="none" w:sz="0" w:space="0" w:color="auto"/>
                  </w:divBdr>
                  <w:divsChild>
                    <w:div w:id="913468952">
                      <w:marLeft w:val="0"/>
                      <w:marRight w:val="0"/>
                      <w:marTop w:val="0"/>
                      <w:marBottom w:val="0"/>
                      <w:divBdr>
                        <w:top w:val="none" w:sz="0" w:space="0" w:color="auto"/>
                        <w:left w:val="none" w:sz="0" w:space="0" w:color="auto"/>
                        <w:bottom w:val="none" w:sz="0" w:space="0" w:color="auto"/>
                        <w:right w:val="none" w:sz="0" w:space="0" w:color="auto"/>
                      </w:divBdr>
                    </w:div>
                  </w:divsChild>
                </w:div>
                <w:div w:id="1151362730">
                  <w:marLeft w:val="0"/>
                  <w:marRight w:val="0"/>
                  <w:marTop w:val="0"/>
                  <w:marBottom w:val="0"/>
                  <w:divBdr>
                    <w:top w:val="none" w:sz="0" w:space="0" w:color="auto"/>
                    <w:left w:val="none" w:sz="0" w:space="0" w:color="auto"/>
                    <w:bottom w:val="none" w:sz="0" w:space="0" w:color="auto"/>
                    <w:right w:val="none" w:sz="0" w:space="0" w:color="auto"/>
                  </w:divBdr>
                  <w:divsChild>
                    <w:div w:id="2084404161">
                      <w:marLeft w:val="0"/>
                      <w:marRight w:val="0"/>
                      <w:marTop w:val="0"/>
                      <w:marBottom w:val="0"/>
                      <w:divBdr>
                        <w:top w:val="none" w:sz="0" w:space="0" w:color="auto"/>
                        <w:left w:val="none" w:sz="0" w:space="0" w:color="auto"/>
                        <w:bottom w:val="none" w:sz="0" w:space="0" w:color="auto"/>
                        <w:right w:val="none" w:sz="0" w:space="0" w:color="auto"/>
                      </w:divBdr>
                    </w:div>
                  </w:divsChild>
                </w:div>
                <w:div w:id="1295671585">
                  <w:marLeft w:val="0"/>
                  <w:marRight w:val="0"/>
                  <w:marTop w:val="0"/>
                  <w:marBottom w:val="0"/>
                  <w:divBdr>
                    <w:top w:val="none" w:sz="0" w:space="0" w:color="auto"/>
                    <w:left w:val="none" w:sz="0" w:space="0" w:color="auto"/>
                    <w:bottom w:val="none" w:sz="0" w:space="0" w:color="auto"/>
                    <w:right w:val="none" w:sz="0" w:space="0" w:color="auto"/>
                  </w:divBdr>
                  <w:divsChild>
                    <w:div w:id="1270239623">
                      <w:marLeft w:val="0"/>
                      <w:marRight w:val="0"/>
                      <w:marTop w:val="0"/>
                      <w:marBottom w:val="0"/>
                      <w:divBdr>
                        <w:top w:val="none" w:sz="0" w:space="0" w:color="auto"/>
                        <w:left w:val="none" w:sz="0" w:space="0" w:color="auto"/>
                        <w:bottom w:val="none" w:sz="0" w:space="0" w:color="auto"/>
                        <w:right w:val="none" w:sz="0" w:space="0" w:color="auto"/>
                      </w:divBdr>
                    </w:div>
                  </w:divsChild>
                </w:div>
                <w:div w:id="1310402899">
                  <w:marLeft w:val="0"/>
                  <w:marRight w:val="0"/>
                  <w:marTop w:val="0"/>
                  <w:marBottom w:val="0"/>
                  <w:divBdr>
                    <w:top w:val="none" w:sz="0" w:space="0" w:color="auto"/>
                    <w:left w:val="none" w:sz="0" w:space="0" w:color="auto"/>
                    <w:bottom w:val="none" w:sz="0" w:space="0" w:color="auto"/>
                    <w:right w:val="none" w:sz="0" w:space="0" w:color="auto"/>
                  </w:divBdr>
                  <w:divsChild>
                    <w:div w:id="1617132391">
                      <w:marLeft w:val="0"/>
                      <w:marRight w:val="0"/>
                      <w:marTop w:val="0"/>
                      <w:marBottom w:val="0"/>
                      <w:divBdr>
                        <w:top w:val="none" w:sz="0" w:space="0" w:color="auto"/>
                        <w:left w:val="none" w:sz="0" w:space="0" w:color="auto"/>
                        <w:bottom w:val="none" w:sz="0" w:space="0" w:color="auto"/>
                        <w:right w:val="none" w:sz="0" w:space="0" w:color="auto"/>
                      </w:divBdr>
                    </w:div>
                  </w:divsChild>
                </w:div>
                <w:div w:id="1399473665">
                  <w:marLeft w:val="0"/>
                  <w:marRight w:val="0"/>
                  <w:marTop w:val="0"/>
                  <w:marBottom w:val="0"/>
                  <w:divBdr>
                    <w:top w:val="none" w:sz="0" w:space="0" w:color="auto"/>
                    <w:left w:val="none" w:sz="0" w:space="0" w:color="auto"/>
                    <w:bottom w:val="none" w:sz="0" w:space="0" w:color="auto"/>
                    <w:right w:val="none" w:sz="0" w:space="0" w:color="auto"/>
                  </w:divBdr>
                  <w:divsChild>
                    <w:div w:id="1239484188">
                      <w:marLeft w:val="0"/>
                      <w:marRight w:val="0"/>
                      <w:marTop w:val="0"/>
                      <w:marBottom w:val="0"/>
                      <w:divBdr>
                        <w:top w:val="none" w:sz="0" w:space="0" w:color="auto"/>
                        <w:left w:val="none" w:sz="0" w:space="0" w:color="auto"/>
                        <w:bottom w:val="none" w:sz="0" w:space="0" w:color="auto"/>
                        <w:right w:val="none" w:sz="0" w:space="0" w:color="auto"/>
                      </w:divBdr>
                    </w:div>
                  </w:divsChild>
                </w:div>
                <w:div w:id="1502039744">
                  <w:marLeft w:val="0"/>
                  <w:marRight w:val="0"/>
                  <w:marTop w:val="0"/>
                  <w:marBottom w:val="0"/>
                  <w:divBdr>
                    <w:top w:val="none" w:sz="0" w:space="0" w:color="auto"/>
                    <w:left w:val="none" w:sz="0" w:space="0" w:color="auto"/>
                    <w:bottom w:val="none" w:sz="0" w:space="0" w:color="auto"/>
                    <w:right w:val="none" w:sz="0" w:space="0" w:color="auto"/>
                  </w:divBdr>
                  <w:divsChild>
                    <w:div w:id="328560433">
                      <w:marLeft w:val="0"/>
                      <w:marRight w:val="0"/>
                      <w:marTop w:val="0"/>
                      <w:marBottom w:val="0"/>
                      <w:divBdr>
                        <w:top w:val="none" w:sz="0" w:space="0" w:color="auto"/>
                        <w:left w:val="none" w:sz="0" w:space="0" w:color="auto"/>
                        <w:bottom w:val="none" w:sz="0" w:space="0" w:color="auto"/>
                        <w:right w:val="none" w:sz="0" w:space="0" w:color="auto"/>
                      </w:divBdr>
                    </w:div>
                  </w:divsChild>
                </w:div>
                <w:div w:id="1563449074">
                  <w:marLeft w:val="0"/>
                  <w:marRight w:val="0"/>
                  <w:marTop w:val="0"/>
                  <w:marBottom w:val="0"/>
                  <w:divBdr>
                    <w:top w:val="none" w:sz="0" w:space="0" w:color="auto"/>
                    <w:left w:val="none" w:sz="0" w:space="0" w:color="auto"/>
                    <w:bottom w:val="none" w:sz="0" w:space="0" w:color="auto"/>
                    <w:right w:val="none" w:sz="0" w:space="0" w:color="auto"/>
                  </w:divBdr>
                  <w:divsChild>
                    <w:div w:id="341860942">
                      <w:marLeft w:val="0"/>
                      <w:marRight w:val="0"/>
                      <w:marTop w:val="0"/>
                      <w:marBottom w:val="0"/>
                      <w:divBdr>
                        <w:top w:val="none" w:sz="0" w:space="0" w:color="auto"/>
                        <w:left w:val="none" w:sz="0" w:space="0" w:color="auto"/>
                        <w:bottom w:val="none" w:sz="0" w:space="0" w:color="auto"/>
                        <w:right w:val="none" w:sz="0" w:space="0" w:color="auto"/>
                      </w:divBdr>
                    </w:div>
                  </w:divsChild>
                </w:div>
                <w:div w:id="1665235847">
                  <w:marLeft w:val="0"/>
                  <w:marRight w:val="0"/>
                  <w:marTop w:val="0"/>
                  <w:marBottom w:val="0"/>
                  <w:divBdr>
                    <w:top w:val="none" w:sz="0" w:space="0" w:color="auto"/>
                    <w:left w:val="none" w:sz="0" w:space="0" w:color="auto"/>
                    <w:bottom w:val="none" w:sz="0" w:space="0" w:color="auto"/>
                    <w:right w:val="none" w:sz="0" w:space="0" w:color="auto"/>
                  </w:divBdr>
                  <w:divsChild>
                    <w:div w:id="326828755">
                      <w:marLeft w:val="0"/>
                      <w:marRight w:val="0"/>
                      <w:marTop w:val="0"/>
                      <w:marBottom w:val="0"/>
                      <w:divBdr>
                        <w:top w:val="none" w:sz="0" w:space="0" w:color="auto"/>
                        <w:left w:val="none" w:sz="0" w:space="0" w:color="auto"/>
                        <w:bottom w:val="none" w:sz="0" w:space="0" w:color="auto"/>
                        <w:right w:val="none" w:sz="0" w:space="0" w:color="auto"/>
                      </w:divBdr>
                    </w:div>
                  </w:divsChild>
                </w:div>
                <w:div w:id="1674070623">
                  <w:marLeft w:val="0"/>
                  <w:marRight w:val="0"/>
                  <w:marTop w:val="0"/>
                  <w:marBottom w:val="0"/>
                  <w:divBdr>
                    <w:top w:val="none" w:sz="0" w:space="0" w:color="auto"/>
                    <w:left w:val="none" w:sz="0" w:space="0" w:color="auto"/>
                    <w:bottom w:val="none" w:sz="0" w:space="0" w:color="auto"/>
                    <w:right w:val="none" w:sz="0" w:space="0" w:color="auto"/>
                  </w:divBdr>
                  <w:divsChild>
                    <w:div w:id="989754385">
                      <w:marLeft w:val="0"/>
                      <w:marRight w:val="0"/>
                      <w:marTop w:val="0"/>
                      <w:marBottom w:val="0"/>
                      <w:divBdr>
                        <w:top w:val="none" w:sz="0" w:space="0" w:color="auto"/>
                        <w:left w:val="none" w:sz="0" w:space="0" w:color="auto"/>
                        <w:bottom w:val="none" w:sz="0" w:space="0" w:color="auto"/>
                        <w:right w:val="none" w:sz="0" w:space="0" w:color="auto"/>
                      </w:divBdr>
                    </w:div>
                  </w:divsChild>
                </w:div>
                <w:div w:id="1674721256">
                  <w:marLeft w:val="0"/>
                  <w:marRight w:val="0"/>
                  <w:marTop w:val="0"/>
                  <w:marBottom w:val="0"/>
                  <w:divBdr>
                    <w:top w:val="none" w:sz="0" w:space="0" w:color="auto"/>
                    <w:left w:val="none" w:sz="0" w:space="0" w:color="auto"/>
                    <w:bottom w:val="none" w:sz="0" w:space="0" w:color="auto"/>
                    <w:right w:val="none" w:sz="0" w:space="0" w:color="auto"/>
                  </w:divBdr>
                  <w:divsChild>
                    <w:div w:id="365954638">
                      <w:marLeft w:val="0"/>
                      <w:marRight w:val="0"/>
                      <w:marTop w:val="0"/>
                      <w:marBottom w:val="0"/>
                      <w:divBdr>
                        <w:top w:val="none" w:sz="0" w:space="0" w:color="auto"/>
                        <w:left w:val="none" w:sz="0" w:space="0" w:color="auto"/>
                        <w:bottom w:val="none" w:sz="0" w:space="0" w:color="auto"/>
                        <w:right w:val="none" w:sz="0" w:space="0" w:color="auto"/>
                      </w:divBdr>
                    </w:div>
                  </w:divsChild>
                </w:div>
                <w:div w:id="1794400134">
                  <w:marLeft w:val="0"/>
                  <w:marRight w:val="0"/>
                  <w:marTop w:val="0"/>
                  <w:marBottom w:val="0"/>
                  <w:divBdr>
                    <w:top w:val="none" w:sz="0" w:space="0" w:color="auto"/>
                    <w:left w:val="none" w:sz="0" w:space="0" w:color="auto"/>
                    <w:bottom w:val="none" w:sz="0" w:space="0" w:color="auto"/>
                    <w:right w:val="none" w:sz="0" w:space="0" w:color="auto"/>
                  </w:divBdr>
                  <w:divsChild>
                    <w:div w:id="908735314">
                      <w:marLeft w:val="0"/>
                      <w:marRight w:val="0"/>
                      <w:marTop w:val="0"/>
                      <w:marBottom w:val="0"/>
                      <w:divBdr>
                        <w:top w:val="none" w:sz="0" w:space="0" w:color="auto"/>
                        <w:left w:val="none" w:sz="0" w:space="0" w:color="auto"/>
                        <w:bottom w:val="none" w:sz="0" w:space="0" w:color="auto"/>
                        <w:right w:val="none" w:sz="0" w:space="0" w:color="auto"/>
                      </w:divBdr>
                    </w:div>
                  </w:divsChild>
                </w:div>
                <w:div w:id="1955599590">
                  <w:marLeft w:val="0"/>
                  <w:marRight w:val="0"/>
                  <w:marTop w:val="0"/>
                  <w:marBottom w:val="0"/>
                  <w:divBdr>
                    <w:top w:val="none" w:sz="0" w:space="0" w:color="auto"/>
                    <w:left w:val="none" w:sz="0" w:space="0" w:color="auto"/>
                    <w:bottom w:val="none" w:sz="0" w:space="0" w:color="auto"/>
                    <w:right w:val="none" w:sz="0" w:space="0" w:color="auto"/>
                  </w:divBdr>
                  <w:divsChild>
                    <w:div w:id="6039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9287">
          <w:marLeft w:val="0"/>
          <w:marRight w:val="0"/>
          <w:marTop w:val="0"/>
          <w:marBottom w:val="0"/>
          <w:divBdr>
            <w:top w:val="none" w:sz="0" w:space="0" w:color="auto"/>
            <w:left w:val="none" w:sz="0" w:space="0" w:color="auto"/>
            <w:bottom w:val="none" w:sz="0" w:space="0" w:color="auto"/>
            <w:right w:val="none" w:sz="0" w:space="0" w:color="auto"/>
          </w:divBdr>
        </w:div>
      </w:divsChild>
    </w:div>
    <w:div w:id="301347822">
      <w:bodyDiv w:val="1"/>
      <w:marLeft w:val="0"/>
      <w:marRight w:val="0"/>
      <w:marTop w:val="0"/>
      <w:marBottom w:val="0"/>
      <w:divBdr>
        <w:top w:val="none" w:sz="0" w:space="0" w:color="auto"/>
        <w:left w:val="none" w:sz="0" w:space="0" w:color="auto"/>
        <w:bottom w:val="none" w:sz="0" w:space="0" w:color="auto"/>
        <w:right w:val="none" w:sz="0" w:space="0" w:color="auto"/>
      </w:divBdr>
    </w:div>
    <w:div w:id="303051519">
      <w:bodyDiv w:val="1"/>
      <w:marLeft w:val="0"/>
      <w:marRight w:val="0"/>
      <w:marTop w:val="0"/>
      <w:marBottom w:val="0"/>
      <w:divBdr>
        <w:top w:val="none" w:sz="0" w:space="0" w:color="auto"/>
        <w:left w:val="none" w:sz="0" w:space="0" w:color="auto"/>
        <w:bottom w:val="none" w:sz="0" w:space="0" w:color="auto"/>
        <w:right w:val="none" w:sz="0" w:space="0" w:color="auto"/>
      </w:divBdr>
    </w:div>
    <w:div w:id="307132627">
      <w:bodyDiv w:val="1"/>
      <w:marLeft w:val="0"/>
      <w:marRight w:val="0"/>
      <w:marTop w:val="0"/>
      <w:marBottom w:val="0"/>
      <w:divBdr>
        <w:top w:val="none" w:sz="0" w:space="0" w:color="auto"/>
        <w:left w:val="none" w:sz="0" w:space="0" w:color="auto"/>
        <w:bottom w:val="none" w:sz="0" w:space="0" w:color="auto"/>
        <w:right w:val="none" w:sz="0" w:space="0" w:color="auto"/>
      </w:divBdr>
    </w:div>
    <w:div w:id="307978387">
      <w:bodyDiv w:val="1"/>
      <w:marLeft w:val="0"/>
      <w:marRight w:val="0"/>
      <w:marTop w:val="0"/>
      <w:marBottom w:val="0"/>
      <w:divBdr>
        <w:top w:val="none" w:sz="0" w:space="0" w:color="auto"/>
        <w:left w:val="none" w:sz="0" w:space="0" w:color="auto"/>
        <w:bottom w:val="none" w:sz="0" w:space="0" w:color="auto"/>
        <w:right w:val="none" w:sz="0" w:space="0" w:color="auto"/>
      </w:divBdr>
    </w:div>
    <w:div w:id="341861997">
      <w:bodyDiv w:val="1"/>
      <w:marLeft w:val="0"/>
      <w:marRight w:val="0"/>
      <w:marTop w:val="0"/>
      <w:marBottom w:val="0"/>
      <w:divBdr>
        <w:top w:val="none" w:sz="0" w:space="0" w:color="auto"/>
        <w:left w:val="none" w:sz="0" w:space="0" w:color="auto"/>
        <w:bottom w:val="none" w:sz="0" w:space="0" w:color="auto"/>
        <w:right w:val="none" w:sz="0" w:space="0" w:color="auto"/>
      </w:divBdr>
    </w:div>
    <w:div w:id="347416608">
      <w:bodyDiv w:val="1"/>
      <w:marLeft w:val="0"/>
      <w:marRight w:val="0"/>
      <w:marTop w:val="0"/>
      <w:marBottom w:val="0"/>
      <w:divBdr>
        <w:top w:val="none" w:sz="0" w:space="0" w:color="auto"/>
        <w:left w:val="none" w:sz="0" w:space="0" w:color="auto"/>
        <w:bottom w:val="none" w:sz="0" w:space="0" w:color="auto"/>
        <w:right w:val="none" w:sz="0" w:space="0" w:color="auto"/>
      </w:divBdr>
    </w:div>
    <w:div w:id="365715223">
      <w:bodyDiv w:val="1"/>
      <w:marLeft w:val="0"/>
      <w:marRight w:val="0"/>
      <w:marTop w:val="0"/>
      <w:marBottom w:val="0"/>
      <w:divBdr>
        <w:top w:val="none" w:sz="0" w:space="0" w:color="auto"/>
        <w:left w:val="none" w:sz="0" w:space="0" w:color="auto"/>
        <w:bottom w:val="none" w:sz="0" w:space="0" w:color="auto"/>
        <w:right w:val="none" w:sz="0" w:space="0" w:color="auto"/>
      </w:divBdr>
    </w:div>
    <w:div w:id="369494635">
      <w:bodyDiv w:val="1"/>
      <w:marLeft w:val="0"/>
      <w:marRight w:val="0"/>
      <w:marTop w:val="0"/>
      <w:marBottom w:val="0"/>
      <w:divBdr>
        <w:top w:val="none" w:sz="0" w:space="0" w:color="auto"/>
        <w:left w:val="none" w:sz="0" w:space="0" w:color="auto"/>
        <w:bottom w:val="none" w:sz="0" w:space="0" w:color="auto"/>
        <w:right w:val="none" w:sz="0" w:space="0" w:color="auto"/>
      </w:divBdr>
    </w:div>
    <w:div w:id="373385818">
      <w:bodyDiv w:val="1"/>
      <w:marLeft w:val="0"/>
      <w:marRight w:val="0"/>
      <w:marTop w:val="0"/>
      <w:marBottom w:val="0"/>
      <w:divBdr>
        <w:top w:val="none" w:sz="0" w:space="0" w:color="auto"/>
        <w:left w:val="none" w:sz="0" w:space="0" w:color="auto"/>
        <w:bottom w:val="none" w:sz="0" w:space="0" w:color="auto"/>
        <w:right w:val="none" w:sz="0" w:space="0" w:color="auto"/>
      </w:divBdr>
    </w:div>
    <w:div w:id="386226964">
      <w:bodyDiv w:val="1"/>
      <w:marLeft w:val="0"/>
      <w:marRight w:val="0"/>
      <w:marTop w:val="0"/>
      <w:marBottom w:val="0"/>
      <w:divBdr>
        <w:top w:val="none" w:sz="0" w:space="0" w:color="auto"/>
        <w:left w:val="none" w:sz="0" w:space="0" w:color="auto"/>
        <w:bottom w:val="none" w:sz="0" w:space="0" w:color="auto"/>
        <w:right w:val="none" w:sz="0" w:space="0" w:color="auto"/>
      </w:divBdr>
    </w:div>
    <w:div w:id="387807892">
      <w:bodyDiv w:val="1"/>
      <w:marLeft w:val="0"/>
      <w:marRight w:val="0"/>
      <w:marTop w:val="0"/>
      <w:marBottom w:val="0"/>
      <w:divBdr>
        <w:top w:val="none" w:sz="0" w:space="0" w:color="auto"/>
        <w:left w:val="none" w:sz="0" w:space="0" w:color="auto"/>
        <w:bottom w:val="none" w:sz="0" w:space="0" w:color="auto"/>
        <w:right w:val="none" w:sz="0" w:space="0" w:color="auto"/>
      </w:divBdr>
      <w:divsChild>
        <w:div w:id="104429827">
          <w:marLeft w:val="0"/>
          <w:marRight w:val="0"/>
          <w:marTop w:val="30"/>
          <w:marBottom w:val="30"/>
          <w:divBdr>
            <w:top w:val="none" w:sz="0" w:space="0" w:color="auto"/>
            <w:left w:val="none" w:sz="0" w:space="0" w:color="auto"/>
            <w:bottom w:val="none" w:sz="0" w:space="0" w:color="auto"/>
            <w:right w:val="none" w:sz="0" w:space="0" w:color="auto"/>
          </w:divBdr>
          <w:divsChild>
            <w:div w:id="7874570">
              <w:marLeft w:val="0"/>
              <w:marRight w:val="0"/>
              <w:marTop w:val="0"/>
              <w:marBottom w:val="0"/>
              <w:divBdr>
                <w:top w:val="none" w:sz="0" w:space="0" w:color="auto"/>
                <w:left w:val="none" w:sz="0" w:space="0" w:color="auto"/>
                <w:bottom w:val="none" w:sz="0" w:space="0" w:color="auto"/>
                <w:right w:val="none" w:sz="0" w:space="0" w:color="auto"/>
              </w:divBdr>
              <w:divsChild>
                <w:div w:id="266040067">
                  <w:marLeft w:val="0"/>
                  <w:marRight w:val="0"/>
                  <w:marTop w:val="0"/>
                  <w:marBottom w:val="0"/>
                  <w:divBdr>
                    <w:top w:val="none" w:sz="0" w:space="0" w:color="auto"/>
                    <w:left w:val="none" w:sz="0" w:space="0" w:color="auto"/>
                    <w:bottom w:val="none" w:sz="0" w:space="0" w:color="auto"/>
                    <w:right w:val="none" w:sz="0" w:space="0" w:color="auto"/>
                  </w:divBdr>
                </w:div>
                <w:div w:id="292518657">
                  <w:marLeft w:val="0"/>
                  <w:marRight w:val="0"/>
                  <w:marTop w:val="0"/>
                  <w:marBottom w:val="0"/>
                  <w:divBdr>
                    <w:top w:val="none" w:sz="0" w:space="0" w:color="auto"/>
                    <w:left w:val="none" w:sz="0" w:space="0" w:color="auto"/>
                    <w:bottom w:val="none" w:sz="0" w:space="0" w:color="auto"/>
                    <w:right w:val="none" w:sz="0" w:space="0" w:color="auto"/>
                  </w:divBdr>
                </w:div>
                <w:div w:id="1824273716">
                  <w:marLeft w:val="0"/>
                  <w:marRight w:val="0"/>
                  <w:marTop w:val="0"/>
                  <w:marBottom w:val="0"/>
                  <w:divBdr>
                    <w:top w:val="none" w:sz="0" w:space="0" w:color="auto"/>
                    <w:left w:val="none" w:sz="0" w:space="0" w:color="auto"/>
                    <w:bottom w:val="none" w:sz="0" w:space="0" w:color="auto"/>
                    <w:right w:val="none" w:sz="0" w:space="0" w:color="auto"/>
                  </w:divBdr>
                </w:div>
              </w:divsChild>
            </w:div>
            <w:div w:id="112098000">
              <w:marLeft w:val="0"/>
              <w:marRight w:val="0"/>
              <w:marTop w:val="0"/>
              <w:marBottom w:val="0"/>
              <w:divBdr>
                <w:top w:val="none" w:sz="0" w:space="0" w:color="auto"/>
                <w:left w:val="none" w:sz="0" w:space="0" w:color="auto"/>
                <w:bottom w:val="none" w:sz="0" w:space="0" w:color="auto"/>
                <w:right w:val="none" w:sz="0" w:space="0" w:color="auto"/>
              </w:divBdr>
              <w:divsChild>
                <w:div w:id="1037436999">
                  <w:marLeft w:val="0"/>
                  <w:marRight w:val="0"/>
                  <w:marTop w:val="0"/>
                  <w:marBottom w:val="0"/>
                  <w:divBdr>
                    <w:top w:val="none" w:sz="0" w:space="0" w:color="auto"/>
                    <w:left w:val="none" w:sz="0" w:space="0" w:color="auto"/>
                    <w:bottom w:val="none" w:sz="0" w:space="0" w:color="auto"/>
                    <w:right w:val="none" w:sz="0" w:space="0" w:color="auto"/>
                  </w:divBdr>
                </w:div>
              </w:divsChild>
            </w:div>
            <w:div w:id="159078287">
              <w:marLeft w:val="0"/>
              <w:marRight w:val="0"/>
              <w:marTop w:val="0"/>
              <w:marBottom w:val="0"/>
              <w:divBdr>
                <w:top w:val="none" w:sz="0" w:space="0" w:color="auto"/>
                <w:left w:val="none" w:sz="0" w:space="0" w:color="auto"/>
                <w:bottom w:val="none" w:sz="0" w:space="0" w:color="auto"/>
                <w:right w:val="none" w:sz="0" w:space="0" w:color="auto"/>
              </w:divBdr>
              <w:divsChild>
                <w:div w:id="2118451874">
                  <w:marLeft w:val="0"/>
                  <w:marRight w:val="0"/>
                  <w:marTop w:val="0"/>
                  <w:marBottom w:val="0"/>
                  <w:divBdr>
                    <w:top w:val="none" w:sz="0" w:space="0" w:color="auto"/>
                    <w:left w:val="none" w:sz="0" w:space="0" w:color="auto"/>
                    <w:bottom w:val="none" w:sz="0" w:space="0" w:color="auto"/>
                    <w:right w:val="none" w:sz="0" w:space="0" w:color="auto"/>
                  </w:divBdr>
                </w:div>
              </w:divsChild>
            </w:div>
            <w:div w:id="163403736">
              <w:marLeft w:val="0"/>
              <w:marRight w:val="0"/>
              <w:marTop w:val="0"/>
              <w:marBottom w:val="0"/>
              <w:divBdr>
                <w:top w:val="none" w:sz="0" w:space="0" w:color="auto"/>
                <w:left w:val="none" w:sz="0" w:space="0" w:color="auto"/>
                <w:bottom w:val="none" w:sz="0" w:space="0" w:color="auto"/>
                <w:right w:val="none" w:sz="0" w:space="0" w:color="auto"/>
              </w:divBdr>
              <w:divsChild>
                <w:div w:id="642661250">
                  <w:marLeft w:val="0"/>
                  <w:marRight w:val="0"/>
                  <w:marTop w:val="0"/>
                  <w:marBottom w:val="0"/>
                  <w:divBdr>
                    <w:top w:val="none" w:sz="0" w:space="0" w:color="auto"/>
                    <w:left w:val="none" w:sz="0" w:space="0" w:color="auto"/>
                    <w:bottom w:val="none" w:sz="0" w:space="0" w:color="auto"/>
                    <w:right w:val="none" w:sz="0" w:space="0" w:color="auto"/>
                  </w:divBdr>
                </w:div>
              </w:divsChild>
            </w:div>
            <w:div w:id="165101561">
              <w:marLeft w:val="0"/>
              <w:marRight w:val="0"/>
              <w:marTop w:val="0"/>
              <w:marBottom w:val="0"/>
              <w:divBdr>
                <w:top w:val="none" w:sz="0" w:space="0" w:color="auto"/>
                <w:left w:val="none" w:sz="0" w:space="0" w:color="auto"/>
                <w:bottom w:val="none" w:sz="0" w:space="0" w:color="auto"/>
                <w:right w:val="none" w:sz="0" w:space="0" w:color="auto"/>
              </w:divBdr>
              <w:divsChild>
                <w:div w:id="1969235304">
                  <w:marLeft w:val="0"/>
                  <w:marRight w:val="0"/>
                  <w:marTop w:val="0"/>
                  <w:marBottom w:val="0"/>
                  <w:divBdr>
                    <w:top w:val="none" w:sz="0" w:space="0" w:color="auto"/>
                    <w:left w:val="none" w:sz="0" w:space="0" w:color="auto"/>
                    <w:bottom w:val="none" w:sz="0" w:space="0" w:color="auto"/>
                    <w:right w:val="none" w:sz="0" w:space="0" w:color="auto"/>
                  </w:divBdr>
                </w:div>
              </w:divsChild>
            </w:div>
            <w:div w:id="210769429">
              <w:marLeft w:val="0"/>
              <w:marRight w:val="0"/>
              <w:marTop w:val="0"/>
              <w:marBottom w:val="0"/>
              <w:divBdr>
                <w:top w:val="none" w:sz="0" w:space="0" w:color="auto"/>
                <w:left w:val="none" w:sz="0" w:space="0" w:color="auto"/>
                <w:bottom w:val="none" w:sz="0" w:space="0" w:color="auto"/>
                <w:right w:val="none" w:sz="0" w:space="0" w:color="auto"/>
              </w:divBdr>
              <w:divsChild>
                <w:div w:id="365376042">
                  <w:marLeft w:val="0"/>
                  <w:marRight w:val="0"/>
                  <w:marTop w:val="0"/>
                  <w:marBottom w:val="0"/>
                  <w:divBdr>
                    <w:top w:val="none" w:sz="0" w:space="0" w:color="auto"/>
                    <w:left w:val="none" w:sz="0" w:space="0" w:color="auto"/>
                    <w:bottom w:val="none" w:sz="0" w:space="0" w:color="auto"/>
                    <w:right w:val="none" w:sz="0" w:space="0" w:color="auto"/>
                  </w:divBdr>
                </w:div>
              </w:divsChild>
            </w:div>
            <w:div w:id="263809825">
              <w:marLeft w:val="0"/>
              <w:marRight w:val="0"/>
              <w:marTop w:val="0"/>
              <w:marBottom w:val="0"/>
              <w:divBdr>
                <w:top w:val="none" w:sz="0" w:space="0" w:color="auto"/>
                <w:left w:val="none" w:sz="0" w:space="0" w:color="auto"/>
                <w:bottom w:val="none" w:sz="0" w:space="0" w:color="auto"/>
                <w:right w:val="none" w:sz="0" w:space="0" w:color="auto"/>
              </w:divBdr>
              <w:divsChild>
                <w:div w:id="56634672">
                  <w:marLeft w:val="0"/>
                  <w:marRight w:val="0"/>
                  <w:marTop w:val="0"/>
                  <w:marBottom w:val="0"/>
                  <w:divBdr>
                    <w:top w:val="none" w:sz="0" w:space="0" w:color="auto"/>
                    <w:left w:val="none" w:sz="0" w:space="0" w:color="auto"/>
                    <w:bottom w:val="none" w:sz="0" w:space="0" w:color="auto"/>
                    <w:right w:val="none" w:sz="0" w:space="0" w:color="auto"/>
                  </w:divBdr>
                </w:div>
              </w:divsChild>
            </w:div>
            <w:div w:id="321546647">
              <w:marLeft w:val="0"/>
              <w:marRight w:val="0"/>
              <w:marTop w:val="0"/>
              <w:marBottom w:val="0"/>
              <w:divBdr>
                <w:top w:val="none" w:sz="0" w:space="0" w:color="auto"/>
                <w:left w:val="none" w:sz="0" w:space="0" w:color="auto"/>
                <w:bottom w:val="none" w:sz="0" w:space="0" w:color="auto"/>
                <w:right w:val="none" w:sz="0" w:space="0" w:color="auto"/>
              </w:divBdr>
              <w:divsChild>
                <w:div w:id="2066759585">
                  <w:marLeft w:val="0"/>
                  <w:marRight w:val="0"/>
                  <w:marTop w:val="0"/>
                  <w:marBottom w:val="0"/>
                  <w:divBdr>
                    <w:top w:val="none" w:sz="0" w:space="0" w:color="auto"/>
                    <w:left w:val="none" w:sz="0" w:space="0" w:color="auto"/>
                    <w:bottom w:val="none" w:sz="0" w:space="0" w:color="auto"/>
                    <w:right w:val="none" w:sz="0" w:space="0" w:color="auto"/>
                  </w:divBdr>
                </w:div>
              </w:divsChild>
            </w:div>
            <w:div w:id="375934496">
              <w:marLeft w:val="0"/>
              <w:marRight w:val="0"/>
              <w:marTop w:val="0"/>
              <w:marBottom w:val="0"/>
              <w:divBdr>
                <w:top w:val="none" w:sz="0" w:space="0" w:color="auto"/>
                <w:left w:val="none" w:sz="0" w:space="0" w:color="auto"/>
                <w:bottom w:val="none" w:sz="0" w:space="0" w:color="auto"/>
                <w:right w:val="none" w:sz="0" w:space="0" w:color="auto"/>
              </w:divBdr>
              <w:divsChild>
                <w:div w:id="332071713">
                  <w:marLeft w:val="0"/>
                  <w:marRight w:val="0"/>
                  <w:marTop w:val="0"/>
                  <w:marBottom w:val="0"/>
                  <w:divBdr>
                    <w:top w:val="none" w:sz="0" w:space="0" w:color="auto"/>
                    <w:left w:val="none" w:sz="0" w:space="0" w:color="auto"/>
                    <w:bottom w:val="none" w:sz="0" w:space="0" w:color="auto"/>
                    <w:right w:val="none" w:sz="0" w:space="0" w:color="auto"/>
                  </w:divBdr>
                </w:div>
              </w:divsChild>
            </w:div>
            <w:div w:id="461072468">
              <w:marLeft w:val="0"/>
              <w:marRight w:val="0"/>
              <w:marTop w:val="0"/>
              <w:marBottom w:val="0"/>
              <w:divBdr>
                <w:top w:val="none" w:sz="0" w:space="0" w:color="auto"/>
                <w:left w:val="none" w:sz="0" w:space="0" w:color="auto"/>
                <w:bottom w:val="none" w:sz="0" w:space="0" w:color="auto"/>
                <w:right w:val="none" w:sz="0" w:space="0" w:color="auto"/>
              </w:divBdr>
              <w:divsChild>
                <w:div w:id="1415319480">
                  <w:marLeft w:val="0"/>
                  <w:marRight w:val="0"/>
                  <w:marTop w:val="0"/>
                  <w:marBottom w:val="0"/>
                  <w:divBdr>
                    <w:top w:val="none" w:sz="0" w:space="0" w:color="auto"/>
                    <w:left w:val="none" w:sz="0" w:space="0" w:color="auto"/>
                    <w:bottom w:val="none" w:sz="0" w:space="0" w:color="auto"/>
                    <w:right w:val="none" w:sz="0" w:space="0" w:color="auto"/>
                  </w:divBdr>
                </w:div>
                <w:div w:id="1800027491">
                  <w:marLeft w:val="0"/>
                  <w:marRight w:val="0"/>
                  <w:marTop w:val="0"/>
                  <w:marBottom w:val="0"/>
                  <w:divBdr>
                    <w:top w:val="none" w:sz="0" w:space="0" w:color="auto"/>
                    <w:left w:val="none" w:sz="0" w:space="0" w:color="auto"/>
                    <w:bottom w:val="none" w:sz="0" w:space="0" w:color="auto"/>
                    <w:right w:val="none" w:sz="0" w:space="0" w:color="auto"/>
                  </w:divBdr>
                </w:div>
              </w:divsChild>
            </w:div>
            <w:div w:id="581448330">
              <w:marLeft w:val="0"/>
              <w:marRight w:val="0"/>
              <w:marTop w:val="0"/>
              <w:marBottom w:val="0"/>
              <w:divBdr>
                <w:top w:val="none" w:sz="0" w:space="0" w:color="auto"/>
                <w:left w:val="none" w:sz="0" w:space="0" w:color="auto"/>
                <w:bottom w:val="none" w:sz="0" w:space="0" w:color="auto"/>
                <w:right w:val="none" w:sz="0" w:space="0" w:color="auto"/>
              </w:divBdr>
              <w:divsChild>
                <w:div w:id="608053909">
                  <w:marLeft w:val="0"/>
                  <w:marRight w:val="0"/>
                  <w:marTop w:val="0"/>
                  <w:marBottom w:val="0"/>
                  <w:divBdr>
                    <w:top w:val="none" w:sz="0" w:space="0" w:color="auto"/>
                    <w:left w:val="none" w:sz="0" w:space="0" w:color="auto"/>
                    <w:bottom w:val="none" w:sz="0" w:space="0" w:color="auto"/>
                    <w:right w:val="none" w:sz="0" w:space="0" w:color="auto"/>
                  </w:divBdr>
                </w:div>
              </w:divsChild>
            </w:div>
            <w:div w:id="691303846">
              <w:marLeft w:val="0"/>
              <w:marRight w:val="0"/>
              <w:marTop w:val="0"/>
              <w:marBottom w:val="0"/>
              <w:divBdr>
                <w:top w:val="none" w:sz="0" w:space="0" w:color="auto"/>
                <w:left w:val="none" w:sz="0" w:space="0" w:color="auto"/>
                <w:bottom w:val="none" w:sz="0" w:space="0" w:color="auto"/>
                <w:right w:val="none" w:sz="0" w:space="0" w:color="auto"/>
              </w:divBdr>
              <w:divsChild>
                <w:div w:id="757403233">
                  <w:marLeft w:val="0"/>
                  <w:marRight w:val="0"/>
                  <w:marTop w:val="0"/>
                  <w:marBottom w:val="0"/>
                  <w:divBdr>
                    <w:top w:val="none" w:sz="0" w:space="0" w:color="auto"/>
                    <w:left w:val="none" w:sz="0" w:space="0" w:color="auto"/>
                    <w:bottom w:val="none" w:sz="0" w:space="0" w:color="auto"/>
                    <w:right w:val="none" w:sz="0" w:space="0" w:color="auto"/>
                  </w:divBdr>
                </w:div>
              </w:divsChild>
            </w:div>
            <w:div w:id="714425639">
              <w:marLeft w:val="0"/>
              <w:marRight w:val="0"/>
              <w:marTop w:val="0"/>
              <w:marBottom w:val="0"/>
              <w:divBdr>
                <w:top w:val="none" w:sz="0" w:space="0" w:color="auto"/>
                <w:left w:val="none" w:sz="0" w:space="0" w:color="auto"/>
                <w:bottom w:val="none" w:sz="0" w:space="0" w:color="auto"/>
                <w:right w:val="none" w:sz="0" w:space="0" w:color="auto"/>
              </w:divBdr>
              <w:divsChild>
                <w:div w:id="1281960267">
                  <w:marLeft w:val="0"/>
                  <w:marRight w:val="0"/>
                  <w:marTop w:val="0"/>
                  <w:marBottom w:val="0"/>
                  <w:divBdr>
                    <w:top w:val="none" w:sz="0" w:space="0" w:color="auto"/>
                    <w:left w:val="none" w:sz="0" w:space="0" w:color="auto"/>
                    <w:bottom w:val="none" w:sz="0" w:space="0" w:color="auto"/>
                    <w:right w:val="none" w:sz="0" w:space="0" w:color="auto"/>
                  </w:divBdr>
                </w:div>
              </w:divsChild>
            </w:div>
            <w:div w:id="731854703">
              <w:marLeft w:val="0"/>
              <w:marRight w:val="0"/>
              <w:marTop w:val="0"/>
              <w:marBottom w:val="0"/>
              <w:divBdr>
                <w:top w:val="none" w:sz="0" w:space="0" w:color="auto"/>
                <w:left w:val="none" w:sz="0" w:space="0" w:color="auto"/>
                <w:bottom w:val="none" w:sz="0" w:space="0" w:color="auto"/>
                <w:right w:val="none" w:sz="0" w:space="0" w:color="auto"/>
              </w:divBdr>
              <w:divsChild>
                <w:div w:id="374431798">
                  <w:marLeft w:val="0"/>
                  <w:marRight w:val="0"/>
                  <w:marTop w:val="0"/>
                  <w:marBottom w:val="0"/>
                  <w:divBdr>
                    <w:top w:val="none" w:sz="0" w:space="0" w:color="auto"/>
                    <w:left w:val="none" w:sz="0" w:space="0" w:color="auto"/>
                    <w:bottom w:val="none" w:sz="0" w:space="0" w:color="auto"/>
                    <w:right w:val="none" w:sz="0" w:space="0" w:color="auto"/>
                  </w:divBdr>
                </w:div>
              </w:divsChild>
            </w:div>
            <w:div w:id="819736534">
              <w:marLeft w:val="0"/>
              <w:marRight w:val="0"/>
              <w:marTop w:val="0"/>
              <w:marBottom w:val="0"/>
              <w:divBdr>
                <w:top w:val="none" w:sz="0" w:space="0" w:color="auto"/>
                <w:left w:val="none" w:sz="0" w:space="0" w:color="auto"/>
                <w:bottom w:val="none" w:sz="0" w:space="0" w:color="auto"/>
                <w:right w:val="none" w:sz="0" w:space="0" w:color="auto"/>
              </w:divBdr>
              <w:divsChild>
                <w:div w:id="1242912538">
                  <w:marLeft w:val="0"/>
                  <w:marRight w:val="0"/>
                  <w:marTop w:val="0"/>
                  <w:marBottom w:val="0"/>
                  <w:divBdr>
                    <w:top w:val="none" w:sz="0" w:space="0" w:color="auto"/>
                    <w:left w:val="none" w:sz="0" w:space="0" w:color="auto"/>
                    <w:bottom w:val="none" w:sz="0" w:space="0" w:color="auto"/>
                    <w:right w:val="none" w:sz="0" w:space="0" w:color="auto"/>
                  </w:divBdr>
                </w:div>
              </w:divsChild>
            </w:div>
            <w:div w:id="845631895">
              <w:marLeft w:val="0"/>
              <w:marRight w:val="0"/>
              <w:marTop w:val="0"/>
              <w:marBottom w:val="0"/>
              <w:divBdr>
                <w:top w:val="none" w:sz="0" w:space="0" w:color="auto"/>
                <w:left w:val="none" w:sz="0" w:space="0" w:color="auto"/>
                <w:bottom w:val="none" w:sz="0" w:space="0" w:color="auto"/>
                <w:right w:val="none" w:sz="0" w:space="0" w:color="auto"/>
              </w:divBdr>
              <w:divsChild>
                <w:div w:id="1407802312">
                  <w:marLeft w:val="0"/>
                  <w:marRight w:val="0"/>
                  <w:marTop w:val="0"/>
                  <w:marBottom w:val="0"/>
                  <w:divBdr>
                    <w:top w:val="none" w:sz="0" w:space="0" w:color="auto"/>
                    <w:left w:val="none" w:sz="0" w:space="0" w:color="auto"/>
                    <w:bottom w:val="none" w:sz="0" w:space="0" w:color="auto"/>
                    <w:right w:val="none" w:sz="0" w:space="0" w:color="auto"/>
                  </w:divBdr>
                </w:div>
                <w:div w:id="1476727230">
                  <w:marLeft w:val="0"/>
                  <w:marRight w:val="0"/>
                  <w:marTop w:val="0"/>
                  <w:marBottom w:val="0"/>
                  <w:divBdr>
                    <w:top w:val="none" w:sz="0" w:space="0" w:color="auto"/>
                    <w:left w:val="none" w:sz="0" w:space="0" w:color="auto"/>
                    <w:bottom w:val="none" w:sz="0" w:space="0" w:color="auto"/>
                    <w:right w:val="none" w:sz="0" w:space="0" w:color="auto"/>
                  </w:divBdr>
                </w:div>
              </w:divsChild>
            </w:div>
            <w:div w:id="906496567">
              <w:marLeft w:val="0"/>
              <w:marRight w:val="0"/>
              <w:marTop w:val="0"/>
              <w:marBottom w:val="0"/>
              <w:divBdr>
                <w:top w:val="none" w:sz="0" w:space="0" w:color="auto"/>
                <w:left w:val="none" w:sz="0" w:space="0" w:color="auto"/>
                <w:bottom w:val="none" w:sz="0" w:space="0" w:color="auto"/>
                <w:right w:val="none" w:sz="0" w:space="0" w:color="auto"/>
              </w:divBdr>
              <w:divsChild>
                <w:div w:id="1172066498">
                  <w:marLeft w:val="0"/>
                  <w:marRight w:val="0"/>
                  <w:marTop w:val="0"/>
                  <w:marBottom w:val="0"/>
                  <w:divBdr>
                    <w:top w:val="none" w:sz="0" w:space="0" w:color="auto"/>
                    <w:left w:val="none" w:sz="0" w:space="0" w:color="auto"/>
                    <w:bottom w:val="none" w:sz="0" w:space="0" w:color="auto"/>
                    <w:right w:val="none" w:sz="0" w:space="0" w:color="auto"/>
                  </w:divBdr>
                </w:div>
              </w:divsChild>
            </w:div>
            <w:div w:id="985090805">
              <w:marLeft w:val="0"/>
              <w:marRight w:val="0"/>
              <w:marTop w:val="0"/>
              <w:marBottom w:val="0"/>
              <w:divBdr>
                <w:top w:val="none" w:sz="0" w:space="0" w:color="auto"/>
                <w:left w:val="none" w:sz="0" w:space="0" w:color="auto"/>
                <w:bottom w:val="none" w:sz="0" w:space="0" w:color="auto"/>
                <w:right w:val="none" w:sz="0" w:space="0" w:color="auto"/>
              </w:divBdr>
              <w:divsChild>
                <w:div w:id="1198618216">
                  <w:marLeft w:val="0"/>
                  <w:marRight w:val="0"/>
                  <w:marTop w:val="0"/>
                  <w:marBottom w:val="0"/>
                  <w:divBdr>
                    <w:top w:val="none" w:sz="0" w:space="0" w:color="auto"/>
                    <w:left w:val="none" w:sz="0" w:space="0" w:color="auto"/>
                    <w:bottom w:val="none" w:sz="0" w:space="0" w:color="auto"/>
                    <w:right w:val="none" w:sz="0" w:space="0" w:color="auto"/>
                  </w:divBdr>
                </w:div>
                <w:div w:id="1264605295">
                  <w:marLeft w:val="0"/>
                  <w:marRight w:val="0"/>
                  <w:marTop w:val="0"/>
                  <w:marBottom w:val="0"/>
                  <w:divBdr>
                    <w:top w:val="none" w:sz="0" w:space="0" w:color="auto"/>
                    <w:left w:val="none" w:sz="0" w:space="0" w:color="auto"/>
                    <w:bottom w:val="none" w:sz="0" w:space="0" w:color="auto"/>
                    <w:right w:val="none" w:sz="0" w:space="0" w:color="auto"/>
                  </w:divBdr>
                </w:div>
                <w:div w:id="1854488624">
                  <w:marLeft w:val="0"/>
                  <w:marRight w:val="0"/>
                  <w:marTop w:val="0"/>
                  <w:marBottom w:val="0"/>
                  <w:divBdr>
                    <w:top w:val="none" w:sz="0" w:space="0" w:color="auto"/>
                    <w:left w:val="none" w:sz="0" w:space="0" w:color="auto"/>
                    <w:bottom w:val="none" w:sz="0" w:space="0" w:color="auto"/>
                    <w:right w:val="none" w:sz="0" w:space="0" w:color="auto"/>
                  </w:divBdr>
                </w:div>
                <w:div w:id="1967931669">
                  <w:marLeft w:val="0"/>
                  <w:marRight w:val="0"/>
                  <w:marTop w:val="0"/>
                  <w:marBottom w:val="0"/>
                  <w:divBdr>
                    <w:top w:val="none" w:sz="0" w:space="0" w:color="auto"/>
                    <w:left w:val="none" w:sz="0" w:space="0" w:color="auto"/>
                    <w:bottom w:val="none" w:sz="0" w:space="0" w:color="auto"/>
                    <w:right w:val="none" w:sz="0" w:space="0" w:color="auto"/>
                  </w:divBdr>
                </w:div>
              </w:divsChild>
            </w:div>
            <w:div w:id="1034303512">
              <w:marLeft w:val="0"/>
              <w:marRight w:val="0"/>
              <w:marTop w:val="0"/>
              <w:marBottom w:val="0"/>
              <w:divBdr>
                <w:top w:val="none" w:sz="0" w:space="0" w:color="auto"/>
                <w:left w:val="none" w:sz="0" w:space="0" w:color="auto"/>
                <w:bottom w:val="none" w:sz="0" w:space="0" w:color="auto"/>
                <w:right w:val="none" w:sz="0" w:space="0" w:color="auto"/>
              </w:divBdr>
              <w:divsChild>
                <w:div w:id="926420825">
                  <w:marLeft w:val="0"/>
                  <w:marRight w:val="0"/>
                  <w:marTop w:val="0"/>
                  <w:marBottom w:val="0"/>
                  <w:divBdr>
                    <w:top w:val="none" w:sz="0" w:space="0" w:color="auto"/>
                    <w:left w:val="none" w:sz="0" w:space="0" w:color="auto"/>
                    <w:bottom w:val="none" w:sz="0" w:space="0" w:color="auto"/>
                    <w:right w:val="none" w:sz="0" w:space="0" w:color="auto"/>
                  </w:divBdr>
                </w:div>
                <w:div w:id="1122184759">
                  <w:marLeft w:val="0"/>
                  <w:marRight w:val="0"/>
                  <w:marTop w:val="0"/>
                  <w:marBottom w:val="0"/>
                  <w:divBdr>
                    <w:top w:val="none" w:sz="0" w:space="0" w:color="auto"/>
                    <w:left w:val="none" w:sz="0" w:space="0" w:color="auto"/>
                    <w:bottom w:val="none" w:sz="0" w:space="0" w:color="auto"/>
                    <w:right w:val="none" w:sz="0" w:space="0" w:color="auto"/>
                  </w:divBdr>
                </w:div>
                <w:div w:id="2014338460">
                  <w:marLeft w:val="0"/>
                  <w:marRight w:val="0"/>
                  <w:marTop w:val="0"/>
                  <w:marBottom w:val="0"/>
                  <w:divBdr>
                    <w:top w:val="none" w:sz="0" w:space="0" w:color="auto"/>
                    <w:left w:val="none" w:sz="0" w:space="0" w:color="auto"/>
                    <w:bottom w:val="none" w:sz="0" w:space="0" w:color="auto"/>
                    <w:right w:val="none" w:sz="0" w:space="0" w:color="auto"/>
                  </w:divBdr>
                </w:div>
              </w:divsChild>
            </w:div>
            <w:div w:id="1070690432">
              <w:marLeft w:val="0"/>
              <w:marRight w:val="0"/>
              <w:marTop w:val="0"/>
              <w:marBottom w:val="0"/>
              <w:divBdr>
                <w:top w:val="none" w:sz="0" w:space="0" w:color="auto"/>
                <w:left w:val="none" w:sz="0" w:space="0" w:color="auto"/>
                <w:bottom w:val="none" w:sz="0" w:space="0" w:color="auto"/>
                <w:right w:val="none" w:sz="0" w:space="0" w:color="auto"/>
              </w:divBdr>
              <w:divsChild>
                <w:div w:id="1152143023">
                  <w:marLeft w:val="0"/>
                  <w:marRight w:val="0"/>
                  <w:marTop w:val="0"/>
                  <w:marBottom w:val="0"/>
                  <w:divBdr>
                    <w:top w:val="none" w:sz="0" w:space="0" w:color="auto"/>
                    <w:left w:val="none" w:sz="0" w:space="0" w:color="auto"/>
                    <w:bottom w:val="none" w:sz="0" w:space="0" w:color="auto"/>
                    <w:right w:val="none" w:sz="0" w:space="0" w:color="auto"/>
                  </w:divBdr>
                </w:div>
              </w:divsChild>
            </w:div>
            <w:div w:id="1098527569">
              <w:marLeft w:val="0"/>
              <w:marRight w:val="0"/>
              <w:marTop w:val="0"/>
              <w:marBottom w:val="0"/>
              <w:divBdr>
                <w:top w:val="none" w:sz="0" w:space="0" w:color="auto"/>
                <w:left w:val="none" w:sz="0" w:space="0" w:color="auto"/>
                <w:bottom w:val="none" w:sz="0" w:space="0" w:color="auto"/>
                <w:right w:val="none" w:sz="0" w:space="0" w:color="auto"/>
              </w:divBdr>
              <w:divsChild>
                <w:div w:id="144712625">
                  <w:marLeft w:val="0"/>
                  <w:marRight w:val="0"/>
                  <w:marTop w:val="0"/>
                  <w:marBottom w:val="0"/>
                  <w:divBdr>
                    <w:top w:val="none" w:sz="0" w:space="0" w:color="auto"/>
                    <w:left w:val="none" w:sz="0" w:space="0" w:color="auto"/>
                    <w:bottom w:val="none" w:sz="0" w:space="0" w:color="auto"/>
                    <w:right w:val="none" w:sz="0" w:space="0" w:color="auto"/>
                  </w:divBdr>
                </w:div>
              </w:divsChild>
            </w:div>
            <w:div w:id="1108698338">
              <w:marLeft w:val="0"/>
              <w:marRight w:val="0"/>
              <w:marTop w:val="0"/>
              <w:marBottom w:val="0"/>
              <w:divBdr>
                <w:top w:val="none" w:sz="0" w:space="0" w:color="auto"/>
                <w:left w:val="none" w:sz="0" w:space="0" w:color="auto"/>
                <w:bottom w:val="none" w:sz="0" w:space="0" w:color="auto"/>
                <w:right w:val="none" w:sz="0" w:space="0" w:color="auto"/>
              </w:divBdr>
              <w:divsChild>
                <w:div w:id="610278644">
                  <w:marLeft w:val="0"/>
                  <w:marRight w:val="0"/>
                  <w:marTop w:val="0"/>
                  <w:marBottom w:val="0"/>
                  <w:divBdr>
                    <w:top w:val="none" w:sz="0" w:space="0" w:color="auto"/>
                    <w:left w:val="none" w:sz="0" w:space="0" w:color="auto"/>
                    <w:bottom w:val="none" w:sz="0" w:space="0" w:color="auto"/>
                    <w:right w:val="none" w:sz="0" w:space="0" w:color="auto"/>
                  </w:divBdr>
                </w:div>
              </w:divsChild>
            </w:div>
            <w:div w:id="1138189044">
              <w:marLeft w:val="0"/>
              <w:marRight w:val="0"/>
              <w:marTop w:val="0"/>
              <w:marBottom w:val="0"/>
              <w:divBdr>
                <w:top w:val="none" w:sz="0" w:space="0" w:color="auto"/>
                <w:left w:val="none" w:sz="0" w:space="0" w:color="auto"/>
                <w:bottom w:val="none" w:sz="0" w:space="0" w:color="auto"/>
                <w:right w:val="none" w:sz="0" w:space="0" w:color="auto"/>
              </w:divBdr>
              <w:divsChild>
                <w:div w:id="791903850">
                  <w:marLeft w:val="0"/>
                  <w:marRight w:val="0"/>
                  <w:marTop w:val="0"/>
                  <w:marBottom w:val="0"/>
                  <w:divBdr>
                    <w:top w:val="none" w:sz="0" w:space="0" w:color="auto"/>
                    <w:left w:val="none" w:sz="0" w:space="0" w:color="auto"/>
                    <w:bottom w:val="none" w:sz="0" w:space="0" w:color="auto"/>
                    <w:right w:val="none" w:sz="0" w:space="0" w:color="auto"/>
                  </w:divBdr>
                </w:div>
              </w:divsChild>
            </w:div>
            <w:div w:id="1196389598">
              <w:marLeft w:val="0"/>
              <w:marRight w:val="0"/>
              <w:marTop w:val="0"/>
              <w:marBottom w:val="0"/>
              <w:divBdr>
                <w:top w:val="none" w:sz="0" w:space="0" w:color="auto"/>
                <w:left w:val="none" w:sz="0" w:space="0" w:color="auto"/>
                <w:bottom w:val="none" w:sz="0" w:space="0" w:color="auto"/>
                <w:right w:val="none" w:sz="0" w:space="0" w:color="auto"/>
              </w:divBdr>
              <w:divsChild>
                <w:div w:id="7559865">
                  <w:marLeft w:val="0"/>
                  <w:marRight w:val="0"/>
                  <w:marTop w:val="0"/>
                  <w:marBottom w:val="0"/>
                  <w:divBdr>
                    <w:top w:val="none" w:sz="0" w:space="0" w:color="auto"/>
                    <w:left w:val="none" w:sz="0" w:space="0" w:color="auto"/>
                    <w:bottom w:val="none" w:sz="0" w:space="0" w:color="auto"/>
                    <w:right w:val="none" w:sz="0" w:space="0" w:color="auto"/>
                  </w:divBdr>
                </w:div>
                <w:div w:id="873737818">
                  <w:marLeft w:val="0"/>
                  <w:marRight w:val="0"/>
                  <w:marTop w:val="0"/>
                  <w:marBottom w:val="0"/>
                  <w:divBdr>
                    <w:top w:val="none" w:sz="0" w:space="0" w:color="auto"/>
                    <w:left w:val="none" w:sz="0" w:space="0" w:color="auto"/>
                    <w:bottom w:val="none" w:sz="0" w:space="0" w:color="auto"/>
                    <w:right w:val="none" w:sz="0" w:space="0" w:color="auto"/>
                  </w:divBdr>
                </w:div>
                <w:div w:id="1960452085">
                  <w:marLeft w:val="0"/>
                  <w:marRight w:val="0"/>
                  <w:marTop w:val="0"/>
                  <w:marBottom w:val="0"/>
                  <w:divBdr>
                    <w:top w:val="none" w:sz="0" w:space="0" w:color="auto"/>
                    <w:left w:val="none" w:sz="0" w:space="0" w:color="auto"/>
                    <w:bottom w:val="none" w:sz="0" w:space="0" w:color="auto"/>
                    <w:right w:val="none" w:sz="0" w:space="0" w:color="auto"/>
                  </w:divBdr>
                </w:div>
              </w:divsChild>
            </w:div>
            <w:div w:id="1244217777">
              <w:marLeft w:val="0"/>
              <w:marRight w:val="0"/>
              <w:marTop w:val="0"/>
              <w:marBottom w:val="0"/>
              <w:divBdr>
                <w:top w:val="none" w:sz="0" w:space="0" w:color="auto"/>
                <w:left w:val="none" w:sz="0" w:space="0" w:color="auto"/>
                <w:bottom w:val="none" w:sz="0" w:space="0" w:color="auto"/>
                <w:right w:val="none" w:sz="0" w:space="0" w:color="auto"/>
              </w:divBdr>
              <w:divsChild>
                <w:div w:id="565726704">
                  <w:marLeft w:val="0"/>
                  <w:marRight w:val="0"/>
                  <w:marTop w:val="0"/>
                  <w:marBottom w:val="0"/>
                  <w:divBdr>
                    <w:top w:val="none" w:sz="0" w:space="0" w:color="auto"/>
                    <w:left w:val="none" w:sz="0" w:space="0" w:color="auto"/>
                    <w:bottom w:val="none" w:sz="0" w:space="0" w:color="auto"/>
                    <w:right w:val="none" w:sz="0" w:space="0" w:color="auto"/>
                  </w:divBdr>
                </w:div>
                <w:div w:id="704912835">
                  <w:marLeft w:val="0"/>
                  <w:marRight w:val="0"/>
                  <w:marTop w:val="0"/>
                  <w:marBottom w:val="0"/>
                  <w:divBdr>
                    <w:top w:val="none" w:sz="0" w:space="0" w:color="auto"/>
                    <w:left w:val="none" w:sz="0" w:space="0" w:color="auto"/>
                    <w:bottom w:val="none" w:sz="0" w:space="0" w:color="auto"/>
                    <w:right w:val="none" w:sz="0" w:space="0" w:color="auto"/>
                  </w:divBdr>
                </w:div>
                <w:div w:id="1863083109">
                  <w:marLeft w:val="0"/>
                  <w:marRight w:val="0"/>
                  <w:marTop w:val="0"/>
                  <w:marBottom w:val="0"/>
                  <w:divBdr>
                    <w:top w:val="none" w:sz="0" w:space="0" w:color="auto"/>
                    <w:left w:val="none" w:sz="0" w:space="0" w:color="auto"/>
                    <w:bottom w:val="none" w:sz="0" w:space="0" w:color="auto"/>
                    <w:right w:val="none" w:sz="0" w:space="0" w:color="auto"/>
                  </w:divBdr>
                </w:div>
                <w:div w:id="1938126984">
                  <w:marLeft w:val="0"/>
                  <w:marRight w:val="0"/>
                  <w:marTop w:val="0"/>
                  <w:marBottom w:val="0"/>
                  <w:divBdr>
                    <w:top w:val="none" w:sz="0" w:space="0" w:color="auto"/>
                    <w:left w:val="none" w:sz="0" w:space="0" w:color="auto"/>
                    <w:bottom w:val="none" w:sz="0" w:space="0" w:color="auto"/>
                    <w:right w:val="none" w:sz="0" w:space="0" w:color="auto"/>
                  </w:divBdr>
                </w:div>
              </w:divsChild>
            </w:div>
            <w:div w:id="1264190263">
              <w:marLeft w:val="0"/>
              <w:marRight w:val="0"/>
              <w:marTop w:val="0"/>
              <w:marBottom w:val="0"/>
              <w:divBdr>
                <w:top w:val="none" w:sz="0" w:space="0" w:color="auto"/>
                <w:left w:val="none" w:sz="0" w:space="0" w:color="auto"/>
                <w:bottom w:val="none" w:sz="0" w:space="0" w:color="auto"/>
                <w:right w:val="none" w:sz="0" w:space="0" w:color="auto"/>
              </w:divBdr>
              <w:divsChild>
                <w:div w:id="148058744">
                  <w:marLeft w:val="0"/>
                  <w:marRight w:val="0"/>
                  <w:marTop w:val="0"/>
                  <w:marBottom w:val="0"/>
                  <w:divBdr>
                    <w:top w:val="none" w:sz="0" w:space="0" w:color="auto"/>
                    <w:left w:val="none" w:sz="0" w:space="0" w:color="auto"/>
                    <w:bottom w:val="none" w:sz="0" w:space="0" w:color="auto"/>
                    <w:right w:val="none" w:sz="0" w:space="0" w:color="auto"/>
                  </w:divBdr>
                </w:div>
              </w:divsChild>
            </w:div>
            <w:div w:id="1274049902">
              <w:marLeft w:val="0"/>
              <w:marRight w:val="0"/>
              <w:marTop w:val="0"/>
              <w:marBottom w:val="0"/>
              <w:divBdr>
                <w:top w:val="none" w:sz="0" w:space="0" w:color="auto"/>
                <w:left w:val="none" w:sz="0" w:space="0" w:color="auto"/>
                <w:bottom w:val="none" w:sz="0" w:space="0" w:color="auto"/>
                <w:right w:val="none" w:sz="0" w:space="0" w:color="auto"/>
              </w:divBdr>
              <w:divsChild>
                <w:div w:id="1098907833">
                  <w:marLeft w:val="0"/>
                  <w:marRight w:val="0"/>
                  <w:marTop w:val="0"/>
                  <w:marBottom w:val="0"/>
                  <w:divBdr>
                    <w:top w:val="none" w:sz="0" w:space="0" w:color="auto"/>
                    <w:left w:val="none" w:sz="0" w:space="0" w:color="auto"/>
                    <w:bottom w:val="none" w:sz="0" w:space="0" w:color="auto"/>
                    <w:right w:val="none" w:sz="0" w:space="0" w:color="auto"/>
                  </w:divBdr>
                </w:div>
              </w:divsChild>
            </w:div>
            <w:div w:id="1284922971">
              <w:marLeft w:val="0"/>
              <w:marRight w:val="0"/>
              <w:marTop w:val="0"/>
              <w:marBottom w:val="0"/>
              <w:divBdr>
                <w:top w:val="none" w:sz="0" w:space="0" w:color="auto"/>
                <w:left w:val="none" w:sz="0" w:space="0" w:color="auto"/>
                <w:bottom w:val="none" w:sz="0" w:space="0" w:color="auto"/>
                <w:right w:val="none" w:sz="0" w:space="0" w:color="auto"/>
              </w:divBdr>
              <w:divsChild>
                <w:div w:id="520121865">
                  <w:marLeft w:val="0"/>
                  <w:marRight w:val="0"/>
                  <w:marTop w:val="0"/>
                  <w:marBottom w:val="0"/>
                  <w:divBdr>
                    <w:top w:val="none" w:sz="0" w:space="0" w:color="auto"/>
                    <w:left w:val="none" w:sz="0" w:space="0" w:color="auto"/>
                    <w:bottom w:val="none" w:sz="0" w:space="0" w:color="auto"/>
                    <w:right w:val="none" w:sz="0" w:space="0" w:color="auto"/>
                  </w:divBdr>
                </w:div>
                <w:div w:id="2089229423">
                  <w:marLeft w:val="0"/>
                  <w:marRight w:val="0"/>
                  <w:marTop w:val="0"/>
                  <w:marBottom w:val="0"/>
                  <w:divBdr>
                    <w:top w:val="none" w:sz="0" w:space="0" w:color="auto"/>
                    <w:left w:val="none" w:sz="0" w:space="0" w:color="auto"/>
                    <w:bottom w:val="none" w:sz="0" w:space="0" w:color="auto"/>
                    <w:right w:val="none" w:sz="0" w:space="0" w:color="auto"/>
                  </w:divBdr>
                </w:div>
              </w:divsChild>
            </w:div>
            <w:div w:id="1503467620">
              <w:marLeft w:val="0"/>
              <w:marRight w:val="0"/>
              <w:marTop w:val="0"/>
              <w:marBottom w:val="0"/>
              <w:divBdr>
                <w:top w:val="none" w:sz="0" w:space="0" w:color="auto"/>
                <w:left w:val="none" w:sz="0" w:space="0" w:color="auto"/>
                <w:bottom w:val="none" w:sz="0" w:space="0" w:color="auto"/>
                <w:right w:val="none" w:sz="0" w:space="0" w:color="auto"/>
              </w:divBdr>
              <w:divsChild>
                <w:div w:id="1234925108">
                  <w:marLeft w:val="0"/>
                  <w:marRight w:val="0"/>
                  <w:marTop w:val="0"/>
                  <w:marBottom w:val="0"/>
                  <w:divBdr>
                    <w:top w:val="none" w:sz="0" w:space="0" w:color="auto"/>
                    <w:left w:val="none" w:sz="0" w:space="0" w:color="auto"/>
                    <w:bottom w:val="none" w:sz="0" w:space="0" w:color="auto"/>
                    <w:right w:val="none" w:sz="0" w:space="0" w:color="auto"/>
                  </w:divBdr>
                </w:div>
              </w:divsChild>
            </w:div>
            <w:div w:id="1556627211">
              <w:marLeft w:val="0"/>
              <w:marRight w:val="0"/>
              <w:marTop w:val="0"/>
              <w:marBottom w:val="0"/>
              <w:divBdr>
                <w:top w:val="none" w:sz="0" w:space="0" w:color="auto"/>
                <w:left w:val="none" w:sz="0" w:space="0" w:color="auto"/>
                <w:bottom w:val="none" w:sz="0" w:space="0" w:color="auto"/>
                <w:right w:val="none" w:sz="0" w:space="0" w:color="auto"/>
              </w:divBdr>
              <w:divsChild>
                <w:div w:id="1255896259">
                  <w:marLeft w:val="0"/>
                  <w:marRight w:val="0"/>
                  <w:marTop w:val="0"/>
                  <w:marBottom w:val="0"/>
                  <w:divBdr>
                    <w:top w:val="none" w:sz="0" w:space="0" w:color="auto"/>
                    <w:left w:val="none" w:sz="0" w:space="0" w:color="auto"/>
                    <w:bottom w:val="none" w:sz="0" w:space="0" w:color="auto"/>
                    <w:right w:val="none" w:sz="0" w:space="0" w:color="auto"/>
                  </w:divBdr>
                </w:div>
                <w:div w:id="1290093405">
                  <w:marLeft w:val="0"/>
                  <w:marRight w:val="0"/>
                  <w:marTop w:val="0"/>
                  <w:marBottom w:val="0"/>
                  <w:divBdr>
                    <w:top w:val="none" w:sz="0" w:space="0" w:color="auto"/>
                    <w:left w:val="none" w:sz="0" w:space="0" w:color="auto"/>
                    <w:bottom w:val="none" w:sz="0" w:space="0" w:color="auto"/>
                    <w:right w:val="none" w:sz="0" w:space="0" w:color="auto"/>
                  </w:divBdr>
                </w:div>
              </w:divsChild>
            </w:div>
            <w:div w:id="1557816444">
              <w:marLeft w:val="0"/>
              <w:marRight w:val="0"/>
              <w:marTop w:val="0"/>
              <w:marBottom w:val="0"/>
              <w:divBdr>
                <w:top w:val="none" w:sz="0" w:space="0" w:color="auto"/>
                <w:left w:val="none" w:sz="0" w:space="0" w:color="auto"/>
                <w:bottom w:val="none" w:sz="0" w:space="0" w:color="auto"/>
                <w:right w:val="none" w:sz="0" w:space="0" w:color="auto"/>
              </w:divBdr>
              <w:divsChild>
                <w:div w:id="736172973">
                  <w:marLeft w:val="0"/>
                  <w:marRight w:val="0"/>
                  <w:marTop w:val="0"/>
                  <w:marBottom w:val="0"/>
                  <w:divBdr>
                    <w:top w:val="none" w:sz="0" w:space="0" w:color="auto"/>
                    <w:left w:val="none" w:sz="0" w:space="0" w:color="auto"/>
                    <w:bottom w:val="none" w:sz="0" w:space="0" w:color="auto"/>
                    <w:right w:val="none" w:sz="0" w:space="0" w:color="auto"/>
                  </w:divBdr>
                </w:div>
              </w:divsChild>
            </w:div>
            <w:div w:id="1579100223">
              <w:marLeft w:val="0"/>
              <w:marRight w:val="0"/>
              <w:marTop w:val="0"/>
              <w:marBottom w:val="0"/>
              <w:divBdr>
                <w:top w:val="none" w:sz="0" w:space="0" w:color="auto"/>
                <w:left w:val="none" w:sz="0" w:space="0" w:color="auto"/>
                <w:bottom w:val="none" w:sz="0" w:space="0" w:color="auto"/>
                <w:right w:val="none" w:sz="0" w:space="0" w:color="auto"/>
              </w:divBdr>
              <w:divsChild>
                <w:div w:id="2050567637">
                  <w:marLeft w:val="0"/>
                  <w:marRight w:val="0"/>
                  <w:marTop w:val="0"/>
                  <w:marBottom w:val="0"/>
                  <w:divBdr>
                    <w:top w:val="none" w:sz="0" w:space="0" w:color="auto"/>
                    <w:left w:val="none" w:sz="0" w:space="0" w:color="auto"/>
                    <w:bottom w:val="none" w:sz="0" w:space="0" w:color="auto"/>
                    <w:right w:val="none" w:sz="0" w:space="0" w:color="auto"/>
                  </w:divBdr>
                </w:div>
              </w:divsChild>
            </w:div>
            <w:div w:id="1657802078">
              <w:marLeft w:val="0"/>
              <w:marRight w:val="0"/>
              <w:marTop w:val="0"/>
              <w:marBottom w:val="0"/>
              <w:divBdr>
                <w:top w:val="none" w:sz="0" w:space="0" w:color="auto"/>
                <w:left w:val="none" w:sz="0" w:space="0" w:color="auto"/>
                <w:bottom w:val="none" w:sz="0" w:space="0" w:color="auto"/>
                <w:right w:val="none" w:sz="0" w:space="0" w:color="auto"/>
              </w:divBdr>
              <w:divsChild>
                <w:div w:id="1117141390">
                  <w:marLeft w:val="0"/>
                  <w:marRight w:val="0"/>
                  <w:marTop w:val="0"/>
                  <w:marBottom w:val="0"/>
                  <w:divBdr>
                    <w:top w:val="none" w:sz="0" w:space="0" w:color="auto"/>
                    <w:left w:val="none" w:sz="0" w:space="0" w:color="auto"/>
                    <w:bottom w:val="none" w:sz="0" w:space="0" w:color="auto"/>
                    <w:right w:val="none" w:sz="0" w:space="0" w:color="auto"/>
                  </w:divBdr>
                </w:div>
                <w:div w:id="2036344921">
                  <w:marLeft w:val="0"/>
                  <w:marRight w:val="0"/>
                  <w:marTop w:val="0"/>
                  <w:marBottom w:val="0"/>
                  <w:divBdr>
                    <w:top w:val="none" w:sz="0" w:space="0" w:color="auto"/>
                    <w:left w:val="none" w:sz="0" w:space="0" w:color="auto"/>
                    <w:bottom w:val="none" w:sz="0" w:space="0" w:color="auto"/>
                    <w:right w:val="none" w:sz="0" w:space="0" w:color="auto"/>
                  </w:divBdr>
                </w:div>
              </w:divsChild>
            </w:div>
            <w:div w:id="1737046792">
              <w:marLeft w:val="0"/>
              <w:marRight w:val="0"/>
              <w:marTop w:val="0"/>
              <w:marBottom w:val="0"/>
              <w:divBdr>
                <w:top w:val="none" w:sz="0" w:space="0" w:color="auto"/>
                <w:left w:val="none" w:sz="0" w:space="0" w:color="auto"/>
                <w:bottom w:val="none" w:sz="0" w:space="0" w:color="auto"/>
                <w:right w:val="none" w:sz="0" w:space="0" w:color="auto"/>
              </w:divBdr>
              <w:divsChild>
                <w:div w:id="198974642">
                  <w:marLeft w:val="0"/>
                  <w:marRight w:val="0"/>
                  <w:marTop w:val="0"/>
                  <w:marBottom w:val="0"/>
                  <w:divBdr>
                    <w:top w:val="none" w:sz="0" w:space="0" w:color="auto"/>
                    <w:left w:val="none" w:sz="0" w:space="0" w:color="auto"/>
                    <w:bottom w:val="none" w:sz="0" w:space="0" w:color="auto"/>
                    <w:right w:val="none" w:sz="0" w:space="0" w:color="auto"/>
                  </w:divBdr>
                </w:div>
              </w:divsChild>
            </w:div>
            <w:div w:id="1765757576">
              <w:marLeft w:val="0"/>
              <w:marRight w:val="0"/>
              <w:marTop w:val="0"/>
              <w:marBottom w:val="0"/>
              <w:divBdr>
                <w:top w:val="none" w:sz="0" w:space="0" w:color="auto"/>
                <w:left w:val="none" w:sz="0" w:space="0" w:color="auto"/>
                <w:bottom w:val="none" w:sz="0" w:space="0" w:color="auto"/>
                <w:right w:val="none" w:sz="0" w:space="0" w:color="auto"/>
              </w:divBdr>
              <w:divsChild>
                <w:div w:id="1011831046">
                  <w:marLeft w:val="0"/>
                  <w:marRight w:val="0"/>
                  <w:marTop w:val="0"/>
                  <w:marBottom w:val="0"/>
                  <w:divBdr>
                    <w:top w:val="none" w:sz="0" w:space="0" w:color="auto"/>
                    <w:left w:val="none" w:sz="0" w:space="0" w:color="auto"/>
                    <w:bottom w:val="none" w:sz="0" w:space="0" w:color="auto"/>
                    <w:right w:val="none" w:sz="0" w:space="0" w:color="auto"/>
                  </w:divBdr>
                </w:div>
                <w:div w:id="1815677128">
                  <w:marLeft w:val="0"/>
                  <w:marRight w:val="0"/>
                  <w:marTop w:val="0"/>
                  <w:marBottom w:val="0"/>
                  <w:divBdr>
                    <w:top w:val="none" w:sz="0" w:space="0" w:color="auto"/>
                    <w:left w:val="none" w:sz="0" w:space="0" w:color="auto"/>
                    <w:bottom w:val="none" w:sz="0" w:space="0" w:color="auto"/>
                    <w:right w:val="none" w:sz="0" w:space="0" w:color="auto"/>
                  </w:divBdr>
                </w:div>
              </w:divsChild>
            </w:div>
            <w:div w:id="1818956958">
              <w:marLeft w:val="0"/>
              <w:marRight w:val="0"/>
              <w:marTop w:val="0"/>
              <w:marBottom w:val="0"/>
              <w:divBdr>
                <w:top w:val="none" w:sz="0" w:space="0" w:color="auto"/>
                <w:left w:val="none" w:sz="0" w:space="0" w:color="auto"/>
                <w:bottom w:val="none" w:sz="0" w:space="0" w:color="auto"/>
                <w:right w:val="none" w:sz="0" w:space="0" w:color="auto"/>
              </w:divBdr>
              <w:divsChild>
                <w:div w:id="2092004106">
                  <w:marLeft w:val="0"/>
                  <w:marRight w:val="0"/>
                  <w:marTop w:val="0"/>
                  <w:marBottom w:val="0"/>
                  <w:divBdr>
                    <w:top w:val="none" w:sz="0" w:space="0" w:color="auto"/>
                    <w:left w:val="none" w:sz="0" w:space="0" w:color="auto"/>
                    <w:bottom w:val="none" w:sz="0" w:space="0" w:color="auto"/>
                    <w:right w:val="none" w:sz="0" w:space="0" w:color="auto"/>
                  </w:divBdr>
                </w:div>
              </w:divsChild>
            </w:div>
            <w:div w:id="1857888169">
              <w:marLeft w:val="0"/>
              <w:marRight w:val="0"/>
              <w:marTop w:val="0"/>
              <w:marBottom w:val="0"/>
              <w:divBdr>
                <w:top w:val="none" w:sz="0" w:space="0" w:color="auto"/>
                <w:left w:val="none" w:sz="0" w:space="0" w:color="auto"/>
                <w:bottom w:val="none" w:sz="0" w:space="0" w:color="auto"/>
                <w:right w:val="none" w:sz="0" w:space="0" w:color="auto"/>
              </w:divBdr>
              <w:divsChild>
                <w:div w:id="1165167553">
                  <w:marLeft w:val="0"/>
                  <w:marRight w:val="0"/>
                  <w:marTop w:val="0"/>
                  <w:marBottom w:val="0"/>
                  <w:divBdr>
                    <w:top w:val="none" w:sz="0" w:space="0" w:color="auto"/>
                    <w:left w:val="none" w:sz="0" w:space="0" w:color="auto"/>
                    <w:bottom w:val="none" w:sz="0" w:space="0" w:color="auto"/>
                    <w:right w:val="none" w:sz="0" w:space="0" w:color="auto"/>
                  </w:divBdr>
                </w:div>
              </w:divsChild>
            </w:div>
            <w:div w:id="1874801361">
              <w:marLeft w:val="0"/>
              <w:marRight w:val="0"/>
              <w:marTop w:val="0"/>
              <w:marBottom w:val="0"/>
              <w:divBdr>
                <w:top w:val="none" w:sz="0" w:space="0" w:color="auto"/>
                <w:left w:val="none" w:sz="0" w:space="0" w:color="auto"/>
                <w:bottom w:val="none" w:sz="0" w:space="0" w:color="auto"/>
                <w:right w:val="none" w:sz="0" w:space="0" w:color="auto"/>
              </w:divBdr>
              <w:divsChild>
                <w:div w:id="1406492354">
                  <w:marLeft w:val="0"/>
                  <w:marRight w:val="0"/>
                  <w:marTop w:val="0"/>
                  <w:marBottom w:val="0"/>
                  <w:divBdr>
                    <w:top w:val="none" w:sz="0" w:space="0" w:color="auto"/>
                    <w:left w:val="none" w:sz="0" w:space="0" w:color="auto"/>
                    <w:bottom w:val="none" w:sz="0" w:space="0" w:color="auto"/>
                    <w:right w:val="none" w:sz="0" w:space="0" w:color="auto"/>
                  </w:divBdr>
                </w:div>
              </w:divsChild>
            </w:div>
            <w:div w:id="1879315095">
              <w:marLeft w:val="0"/>
              <w:marRight w:val="0"/>
              <w:marTop w:val="0"/>
              <w:marBottom w:val="0"/>
              <w:divBdr>
                <w:top w:val="none" w:sz="0" w:space="0" w:color="auto"/>
                <w:left w:val="none" w:sz="0" w:space="0" w:color="auto"/>
                <w:bottom w:val="none" w:sz="0" w:space="0" w:color="auto"/>
                <w:right w:val="none" w:sz="0" w:space="0" w:color="auto"/>
              </w:divBdr>
              <w:divsChild>
                <w:div w:id="8915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5519">
          <w:marLeft w:val="0"/>
          <w:marRight w:val="0"/>
          <w:marTop w:val="30"/>
          <w:marBottom w:val="30"/>
          <w:divBdr>
            <w:top w:val="none" w:sz="0" w:space="0" w:color="auto"/>
            <w:left w:val="none" w:sz="0" w:space="0" w:color="auto"/>
            <w:bottom w:val="none" w:sz="0" w:space="0" w:color="auto"/>
            <w:right w:val="none" w:sz="0" w:space="0" w:color="auto"/>
          </w:divBdr>
          <w:divsChild>
            <w:div w:id="5258692">
              <w:marLeft w:val="0"/>
              <w:marRight w:val="0"/>
              <w:marTop w:val="0"/>
              <w:marBottom w:val="0"/>
              <w:divBdr>
                <w:top w:val="none" w:sz="0" w:space="0" w:color="auto"/>
                <w:left w:val="none" w:sz="0" w:space="0" w:color="auto"/>
                <w:bottom w:val="none" w:sz="0" w:space="0" w:color="auto"/>
                <w:right w:val="none" w:sz="0" w:space="0" w:color="auto"/>
              </w:divBdr>
              <w:divsChild>
                <w:div w:id="1525172252">
                  <w:marLeft w:val="0"/>
                  <w:marRight w:val="0"/>
                  <w:marTop w:val="0"/>
                  <w:marBottom w:val="0"/>
                  <w:divBdr>
                    <w:top w:val="none" w:sz="0" w:space="0" w:color="auto"/>
                    <w:left w:val="none" w:sz="0" w:space="0" w:color="auto"/>
                    <w:bottom w:val="none" w:sz="0" w:space="0" w:color="auto"/>
                    <w:right w:val="none" w:sz="0" w:space="0" w:color="auto"/>
                  </w:divBdr>
                </w:div>
              </w:divsChild>
            </w:div>
            <w:div w:id="143200341">
              <w:marLeft w:val="0"/>
              <w:marRight w:val="0"/>
              <w:marTop w:val="0"/>
              <w:marBottom w:val="0"/>
              <w:divBdr>
                <w:top w:val="none" w:sz="0" w:space="0" w:color="auto"/>
                <w:left w:val="none" w:sz="0" w:space="0" w:color="auto"/>
                <w:bottom w:val="none" w:sz="0" w:space="0" w:color="auto"/>
                <w:right w:val="none" w:sz="0" w:space="0" w:color="auto"/>
              </w:divBdr>
              <w:divsChild>
                <w:div w:id="306905262">
                  <w:marLeft w:val="0"/>
                  <w:marRight w:val="0"/>
                  <w:marTop w:val="0"/>
                  <w:marBottom w:val="0"/>
                  <w:divBdr>
                    <w:top w:val="none" w:sz="0" w:space="0" w:color="auto"/>
                    <w:left w:val="none" w:sz="0" w:space="0" w:color="auto"/>
                    <w:bottom w:val="none" w:sz="0" w:space="0" w:color="auto"/>
                    <w:right w:val="none" w:sz="0" w:space="0" w:color="auto"/>
                  </w:divBdr>
                </w:div>
              </w:divsChild>
            </w:div>
            <w:div w:id="289748881">
              <w:marLeft w:val="0"/>
              <w:marRight w:val="0"/>
              <w:marTop w:val="0"/>
              <w:marBottom w:val="0"/>
              <w:divBdr>
                <w:top w:val="none" w:sz="0" w:space="0" w:color="auto"/>
                <w:left w:val="none" w:sz="0" w:space="0" w:color="auto"/>
                <w:bottom w:val="none" w:sz="0" w:space="0" w:color="auto"/>
                <w:right w:val="none" w:sz="0" w:space="0" w:color="auto"/>
              </w:divBdr>
              <w:divsChild>
                <w:div w:id="834883602">
                  <w:marLeft w:val="0"/>
                  <w:marRight w:val="0"/>
                  <w:marTop w:val="0"/>
                  <w:marBottom w:val="0"/>
                  <w:divBdr>
                    <w:top w:val="none" w:sz="0" w:space="0" w:color="auto"/>
                    <w:left w:val="none" w:sz="0" w:space="0" w:color="auto"/>
                    <w:bottom w:val="none" w:sz="0" w:space="0" w:color="auto"/>
                    <w:right w:val="none" w:sz="0" w:space="0" w:color="auto"/>
                  </w:divBdr>
                </w:div>
                <w:div w:id="1907567473">
                  <w:marLeft w:val="0"/>
                  <w:marRight w:val="0"/>
                  <w:marTop w:val="0"/>
                  <w:marBottom w:val="0"/>
                  <w:divBdr>
                    <w:top w:val="none" w:sz="0" w:space="0" w:color="auto"/>
                    <w:left w:val="none" w:sz="0" w:space="0" w:color="auto"/>
                    <w:bottom w:val="none" w:sz="0" w:space="0" w:color="auto"/>
                    <w:right w:val="none" w:sz="0" w:space="0" w:color="auto"/>
                  </w:divBdr>
                </w:div>
              </w:divsChild>
            </w:div>
            <w:div w:id="316543744">
              <w:marLeft w:val="0"/>
              <w:marRight w:val="0"/>
              <w:marTop w:val="0"/>
              <w:marBottom w:val="0"/>
              <w:divBdr>
                <w:top w:val="none" w:sz="0" w:space="0" w:color="auto"/>
                <w:left w:val="none" w:sz="0" w:space="0" w:color="auto"/>
                <w:bottom w:val="none" w:sz="0" w:space="0" w:color="auto"/>
                <w:right w:val="none" w:sz="0" w:space="0" w:color="auto"/>
              </w:divBdr>
              <w:divsChild>
                <w:div w:id="161970855">
                  <w:marLeft w:val="0"/>
                  <w:marRight w:val="0"/>
                  <w:marTop w:val="0"/>
                  <w:marBottom w:val="0"/>
                  <w:divBdr>
                    <w:top w:val="none" w:sz="0" w:space="0" w:color="auto"/>
                    <w:left w:val="none" w:sz="0" w:space="0" w:color="auto"/>
                    <w:bottom w:val="none" w:sz="0" w:space="0" w:color="auto"/>
                    <w:right w:val="none" w:sz="0" w:space="0" w:color="auto"/>
                  </w:divBdr>
                </w:div>
                <w:div w:id="969822911">
                  <w:marLeft w:val="0"/>
                  <w:marRight w:val="0"/>
                  <w:marTop w:val="0"/>
                  <w:marBottom w:val="0"/>
                  <w:divBdr>
                    <w:top w:val="none" w:sz="0" w:space="0" w:color="auto"/>
                    <w:left w:val="none" w:sz="0" w:space="0" w:color="auto"/>
                    <w:bottom w:val="none" w:sz="0" w:space="0" w:color="auto"/>
                    <w:right w:val="none" w:sz="0" w:space="0" w:color="auto"/>
                  </w:divBdr>
                </w:div>
              </w:divsChild>
            </w:div>
            <w:div w:id="316543745">
              <w:marLeft w:val="0"/>
              <w:marRight w:val="0"/>
              <w:marTop w:val="0"/>
              <w:marBottom w:val="0"/>
              <w:divBdr>
                <w:top w:val="none" w:sz="0" w:space="0" w:color="auto"/>
                <w:left w:val="none" w:sz="0" w:space="0" w:color="auto"/>
                <w:bottom w:val="none" w:sz="0" w:space="0" w:color="auto"/>
                <w:right w:val="none" w:sz="0" w:space="0" w:color="auto"/>
              </w:divBdr>
              <w:divsChild>
                <w:div w:id="1768772417">
                  <w:marLeft w:val="0"/>
                  <w:marRight w:val="0"/>
                  <w:marTop w:val="0"/>
                  <w:marBottom w:val="0"/>
                  <w:divBdr>
                    <w:top w:val="none" w:sz="0" w:space="0" w:color="auto"/>
                    <w:left w:val="none" w:sz="0" w:space="0" w:color="auto"/>
                    <w:bottom w:val="none" w:sz="0" w:space="0" w:color="auto"/>
                    <w:right w:val="none" w:sz="0" w:space="0" w:color="auto"/>
                  </w:divBdr>
                </w:div>
              </w:divsChild>
            </w:div>
            <w:div w:id="347367881">
              <w:marLeft w:val="0"/>
              <w:marRight w:val="0"/>
              <w:marTop w:val="0"/>
              <w:marBottom w:val="0"/>
              <w:divBdr>
                <w:top w:val="none" w:sz="0" w:space="0" w:color="auto"/>
                <w:left w:val="none" w:sz="0" w:space="0" w:color="auto"/>
                <w:bottom w:val="none" w:sz="0" w:space="0" w:color="auto"/>
                <w:right w:val="none" w:sz="0" w:space="0" w:color="auto"/>
              </w:divBdr>
              <w:divsChild>
                <w:div w:id="1246644663">
                  <w:marLeft w:val="0"/>
                  <w:marRight w:val="0"/>
                  <w:marTop w:val="0"/>
                  <w:marBottom w:val="0"/>
                  <w:divBdr>
                    <w:top w:val="none" w:sz="0" w:space="0" w:color="auto"/>
                    <w:left w:val="none" w:sz="0" w:space="0" w:color="auto"/>
                    <w:bottom w:val="none" w:sz="0" w:space="0" w:color="auto"/>
                    <w:right w:val="none" w:sz="0" w:space="0" w:color="auto"/>
                  </w:divBdr>
                </w:div>
              </w:divsChild>
            </w:div>
            <w:div w:id="379593105">
              <w:marLeft w:val="0"/>
              <w:marRight w:val="0"/>
              <w:marTop w:val="0"/>
              <w:marBottom w:val="0"/>
              <w:divBdr>
                <w:top w:val="none" w:sz="0" w:space="0" w:color="auto"/>
                <w:left w:val="none" w:sz="0" w:space="0" w:color="auto"/>
                <w:bottom w:val="none" w:sz="0" w:space="0" w:color="auto"/>
                <w:right w:val="none" w:sz="0" w:space="0" w:color="auto"/>
              </w:divBdr>
              <w:divsChild>
                <w:div w:id="1153719166">
                  <w:marLeft w:val="0"/>
                  <w:marRight w:val="0"/>
                  <w:marTop w:val="0"/>
                  <w:marBottom w:val="0"/>
                  <w:divBdr>
                    <w:top w:val="none" w:sz="0" w:space="0" w:color="auto"/>
                    <w:left w:val="none" w:sz="0" w:space="0" w:color="auto"/>
                    <w:bottom w:val="none" w:sz="0" w:space="0" w:color="auto"/>
                    <w:right w:val="none" w:sz="0" w:space="0" w:color="auto"/>
                  </w:divBdr>
                </w:div>
              </w:divsChild>
            </w:div>
            <w:div w:id="416361848">
              <w:marLeft w:val="0"/>
              <w:marRight w:val="0"/>
              <w:marTop w:val="0"/>
              <w:marBottom w:val="0"/>
              <w:divBdr>
                <w:top w:val="none" w:sz="0" w:space="0" w:color="auto"/>
                <w:left w:val="none" w:sz="0" w:space="0" w:color="auto"/>
                <w:bottom w:val="none" w:sz="0" w:space="0" w:color="auto"/>
                <w:right w:val="none" w:sz="0" w:space="0" w:color="auto"/>
              </w:divBdr>
              <w:divsChild>
                <w:div w:id="1026911313">
                  <w:marLeft w:val="0"/>
                  <w:marRight w:val="0"/>
                  <w:marTop w:val="0"/>
                  <w:marBottom w:val="0"/>
                  <w:divBdr>
                    <w:top w:val="none" w:sz="0" w:space="0" w:color="auto"/>
                    <w:left w:val="none" w:sz="0" w:space="0" w:color="auto"/>
                    <w:bottom w:val="none" w:sz="0" w:space="0" w:color="auto"/>
                    <w:right w:val="none" w:sz="0" w:space="0" w:color="auto"/>
                  </w:divBdr>
                </w:div>
                <w:div w:id="1420756536">
                  <w:marLeft w:val="0"/>
                  <w:marRight w:val="0"/>
                  <w:marTop w:val="0"/>
                  <w:marBottom w:val="0"/>
                  <w:divBdr>
                    <w:top w:val="none" w:sz="0" w:space="0" w:color="auto"/>
                    <w:left w:val="none" w:sz="0" w:space="0" w:color="auto"/>
                    <w:bottom w:val="none" w:sz="0" w:space="0" w:color="auto"/>
                    <w:right w:val="none" w:sz="0" w:space="0" w:color="auto"/>
                  </w:divBdr>
                </w:div>
              </w:divsChild>
            </w:div>
            <w:div w:id="470095567">
              <w:marLeft w:val="0"/>
              <w:marRight w:val="0"/>
              <w:marTop w:val="0"/>
              <w:marBottom w:val="0"/>
              <w:divBdr>
                <w:top w:val="none" w:sz="0" w:space="0" w:color="auto"/>
                <w:left w:val="none" w:sz="0" w:space="0" w:color="auto"/>
                <w:bottom w:val="none" w:sz="0" w:space="0" w:color="auto"/>
                <w:right w:val="none" w:sz="0" w:space="0" w:color="auto"/>
              </w:divBdr>
              <w:divsChild>
                <w:div w:id="569775867">
                  <w:marLeft w:val="0"/>
                  <w:marRight w:val="0"/>
                  <w:marTop w:val="0"/>
                  <w:marBottom w:val="0"/>
                  <w:divBdr>
                    <w:top w:val="none" w:sz="0" w:space="0" w:color="auto"/>
                    <w:left w:val="none" w:sz="0" w:space="0" w:color="auto"/>
                    <w:bottom w:val="none" w:sz="0" w:space="0" w:color="auto"/>
                    <w:right w:val="none" w:sz="0" w:space="0" w:color="auto"/>
                  </w:divBdr>
                </w:div>
              </w:divsChild>
            </w:div>
            <w:div w:id="548954740">
              <w:marLeft w:val="0"/>
              <w:marRight w:val="0"/>
              <w:marTop w:val="0"/>
              <w:marBottom w:val="0"/>
              <w:divBdr>
                <w:top w:val="none" w:sz="0" w:space="0" w:color="auto"/>
                <w:left w:val="none" w:sz="0" w:space="0" w:color="auto"/>
                <w:bottom w:val="none" w:sz="0" w:space="0" w:color="auto"/>
                <w:right w:val="none" w:sz="0" w:space="0" w:color="auto"/>
              </w:divBdr>
              <w:divsChild>
                <w:div w:id="1758357275">
                  <w:marLeft w:val="0"/>
                  <w:marRight w:val="0"/>
                  <w:marTop w:val="0"/>
                  <w:marBottom w:val="0"/>
                  <w:divBdr>
                    <w:top w:val="none" w:sz="0" w:space="0" w:color="auto"/>
                    <w:left w:val="none" w:sz="0" w:space="0" w:color="auto"/>
                    <w:bottom w:val="none" w:sz="0" w:space="0" w:color="auto"/>
                    <w:right w:val="none" w:sz="0" w:space="0" w:color="auto"/>
                  </w:divBdr>
                </w:div>
              </w:divsChild>
            </w:div>
            <w:div w:id="592327168">
              <w:marLeft w:val="0"/>
              <w:marRight w:val="0"/>
              <w:marTop w:val="0"/>
              <w:marBottom w:val="0"/>
              <w:divBdr>
                <w:top w:val="none" w:sz="0" w:space="0" w:color="auto"/>
                <w:left w:val="none" w:sz="0" w:space="0" w:color="auto"/>
                <w:bottom w:val="none" w:sz="0" w:space="0" w:color="auto"/>
                <w:right w:val="none" w:sz="0" w:space="0" w:color="auto"/>
              </w:divBdr>
              <w:divsChild>
                <w:div w:id="1733310352">
                  <w:marLeft w:val="0"/>
                  <w:marRight w:val="0"/>
                  <w:marTop w:val="0"/>
                  <w:marBottom w:val="0"/>
                  <w:divBdr>
                    <w:top w:val="none" w:sz="0" w:space="0" w:color="auto"/>
                    <w:left w:val="none" w:sz="0" w:space="0" w:color="auto"/>
                    <w:bottom w:val="none" w:sz="0" w:space="0" w:color="auto"/>
                    <w:right w:val="none" w:sz="0" w:space="0" w:color="auto"/>
                  </w:divBdr>
                </w:div>
              </w:divsChild>
            </w:div>
            <w:div w:id="674377864">
              <w:marLeft w:val="0"/>
              <w:marRight w:val="0"/>
              <w:marTop w:val="0"/>
              <w:marBottom w:val="0"/>
              <w:divBdr>
                <w:top w:val="none" w:sz="0" w:space="0" w:color="auto"/>
                <w:left w:val="none" w:sz="0" w:space="0" w:color="auto"/>
                <w:bottom w:val="none" w:sz="0" w:space="0" w:color="auto"/>
                <w:right w:val="none" w:sz="0" w:space="0" w:color="auto"/>
              </w:divBdr>
              <w:divsChild>
                <w:div w:id="861743001">
                  <w:marLeft w:val="0"/>
                  <w:marRight w:val="0"/>
                  <w:marTop w:val="0"/>
                  <w:marBottom w:val="0"/>
                  <w:divBdr>
                    <w:top w:val="none" w:sz="0" w:space="0" w:color="auto"/>
                    <w:left w:val="none" w:sz="0" w:space="0" w:color="auto"/>
                    <w:bottom w:val="none" w:sz="0" w:space="0" w:color="auto"/>
                    <w:right w:val="none" w:sz="0" w:space="0" w:color="auto"/>
                  </w:divBdr>
                </w:div>
                <w:div w:id="1187670618">
                  <w:marLeft w:val="0"/>
                  <w:marRight w:val="0"/>
                  <w:marTop w:val="0"/>
                  <w:marBottom w:val="0"/>
                  <w:divBdr>
                    <w:top w:val="none" w:sz="0" w:space="0" w:color="auto"/>
                    <w:left w:val="none" w:sz="0" w:space="0" w:color="auto"/>
                    <w:bottom w:val="none" w:sz="0" w:space="0" w:color="auto"/>
                    <w:right w:val="none" w:sz="0" w:space="0" w:color="auto"/>
                  </w:divBdr>
                </w:div>
              </w:divsChild>
            </w:div>
            <w:div w:id="779106899">
              <w:marLeft w:val="0"/>
              <w:marRight w:val="0"/>
              <w:marTop w:val="0"/>
              <w:marBottom w:val="0"/>
              <w:divBdr>
                <w:top w:val="none" w:sz="0" w:space="0" w:color="auto"/>
                <w:left w:val="none" w:sz="0" w:space="0" w:color="auto"/>
                <w:bottom w:val="none" w:sz="0" w:space="0" w:color="auto"/>
                <w:right w:val="none" w:sz="0" w:space="0" w:color="auto"/>
              </w:divBdr>
              <w:divsChild>
                <w:div w:id="1883008796">
                  <w:marLeft w:val="0"/>
                  <w:marRight w:val="0"/>
                  <w:marTop w:val="0"/>
                  <w:marBottom w:val="0"/>
                  <w:divBdr>
                    <w:top w:val="none" w:sz="0" w:space="0" w:color="auto"/>
                    <w:left w:val="none" w:sz="0" w:space="0" w:color="auto"/>
                    <w:bottom w:val="none" w:sz="0" w:space="0" w:color="auto"/>
                    <w:right w:val="none" w:sz="0" w:space="0" w:color="auto"/>
                  </w:divBdr>
                </w:div>
              </w:divsChild>
            </w:div>
            <w:div w:id="862549974">
              <w:marLeft w:val="0"/>
              <w:marRight w:val="0"/>
              <w:marTop w:val="0"/>
              <w:marBottom w:val="0"/>
              <w:divBdr>
                <w:top w:val="none" w:sz="0" w:space="0" w:color="auto"/>
                <w:left w:val="none" w:sz="0" w:space="0" w:color="auto"/>
                <w:bottom w:val="none" w:sz="0" w:space="0" w:color="auto"/>
                <w:right w:val="none" w:sz="0" w:space="0" w:color="auto"/>
              </w:divBdr>
              <w:divsChild>
                <w:div w:id="1418596645">
                  <w:marLeft w:val="0"/>
                  <w:marRight w:val="0"/>
                  <w:marTop w:val="0"/>
                  <w:marBottom w:val="0"/>
                  <w:divBdr>
                    <w:top w:val="none" w:sz="0" w:space="0" w:color="auto"/>
                    <w:left w:val="none" w:sz="0" w:space="0" w:color="auto"/>
                    <w:bottom w:val="none" w:sz="0" w:space="0" w:color="auto"/>
                    <w:right w:val="none" w:sz="0" w:space="0" w:color="auto"/>
                  </w:divBdr>
                </w:div>
                <w:div w:id="1732734174">
                  <w:marLeft w:val="0"/>
                  <w:marRight w:val="0"/>
                  <w:marTop w:val="0"/>
                  <w:marBottom w:val="0"/>
                  <w:divBdr>
                    <w:top w:val="none" w:sz="0" w:space="0" w:color="auto"/>
                    <w:left w:val="none" w:sz="0" w:space="0" w:color="auto"/>
                    <w:bottom w:val="none" w:sz="0" w:space="0" w:color="auto"/>
                    <w:right w:val="none" w:sz="0" w:space="0" w:color="auto"/>
                  </w:divBdr>
                </w:div>
              </w:divsChild>
            </w:div>
            <w:div w:id="873540767">
              <w:marLeft w:val="0"/>
              <w:marRight w:val="0"/>
              <w:marTop w:val="0"/>
              <w:marBottom w:val="0"/>
              <w:divBdr>
                <w:top w:val="none" w:sz="0" w:space="0" w:color="auto"/>
                <w:left w:val="none" w:sz="0" w:space="0" w:color="auto"/>
                <w:bottom w:val="none" w:sz="0" w:space="0" w:color="auto"/>
                <w:right w:val="none" w:sz="0" w:space="0" w:color="auto"/>
              </w:divBdr>
              <w:divsChild>
                <w:div w:id="949969117">
                  <w:marLeft w:val="0"/>
                  <w:marRight w:val="0"/>
                  <w:marTop w:val="0"/>
                  <w:marBottom w:val="0"/>
                  <w:divBdr>
                    <w:top w:val="none" w:sz="0" w:space="0" w:color="auto"/>
                    <w:left w:val="none" w:sz="0" w:space="0" w:color="auto"/>
                    <w:bottom w:val="none" w:sz="0" w:space="0" w:color="auto"/>
                    <w:right w:val="none" w:sz="0" w:space="0" w:color="auto"/>
                  </w:divBdr>
                </w:div>
                <w:div w:id="1767076717">
                  <w:marLeft w:val="0"/>
                  <w:marRight w:val="0"/>
                  <w:marTop w:val="0"/>
                  <w:marBottom w:val="0"/>
                  <w:divBdr>
                    <w:top w:val="none" w:sz="0" w:space="0" w:color="auto"/>
                    <w:left w:val="none" w:sz="0" w:space="0" w:color="auto"/>
                    <w:bottom w:val="none" w:sz="0" w:space="0" w:color="auto"/>
                    <w:right w:val="none" w:sz="0" w:space="0" w:color="auto"/>
                  </w:divBdr>
                </w:div>
              </w:divsChild>
            </w:div>
            <w:div w:id="922108861">
              <w:marLeft w:val="0"/>
              <w:marRight w:val="0"/>
              <w:marTop w:val="0"/>
              <w:marBottom w:val="0"/>
              <w:divBdr>
                <w:top w:val="none" w:sz="0" w:space="0" w:color="auto"/>
                <w:left w:val="none" w:sz="0" w:space="0" w:color="auto"/>
                <w:bottom w:val="none" w:sz="0" w:space="0" w:color="auto"/>
                <w:right w:val="none" w:sz="0" w:space="0" w:color="auto"/>
              </w:divBdr>
              <w:divsChild>
                <w:div w:id="1637490618">
                  <w:marLeft w:val="0"/>
                  <w:marRight w:val="0"/>
                  <w:marTop w:val="0"/>
                  <w:marBottom w:val="0"/>
                  <w:divBdr>
                    <w:top w:val="none" w:sz="0" w:space="0" w:color="auto"/>
                    <w:left w:val="none" w:sz="0" w:space="0" w:color="auto"/>
                    <w:bottom w:val="none" w:sz="0" w:space="0" w:color="auto"/>
                    <w:right w:val="none" w:sz="0" w:space="0" w:color="auto"/>
                  </w:divBdr>
                </w:div>
              </w:divsChild>
            </w:div>
            <w:div w:id="939415629">
              <w:marLeft w:val="0"/>
              <w:marRight w:val="0"/>
              <w:marTop w:val="0"/>
              <w:marBottom w:val="0"/>
              <w:divBdr>
                <w:top w:val="none" w:sz="0" w:space="0" w:color="auto"/>
                <w:left w:val="none" w:sz="0" w:space="0" w:color="auto"/>
                <w:bottom w:val="none" w:sz="0" w:space="0" w:color="auto"/>
                <w:right w:val="none" w:sz="0" w:space="0" w:color="auto"/>
              </w:divBdr>
              <w:divsChild>
                <w:div w:id="329141708">
                  <w:marLeft w:val="0"/>
                  <w:marRight w:val="0"/>
                  <w:marTop w:val="0"/>
                  <w:marBottom w:val="0"/>
                  <w:divBdr>
                    <w:top w:val="none" w:sz="0" w:space="0" w:color="auto"/>
                    <w:left w:val="none" w:sz="0" w:space="0" w:color="auto"/>
                    <w:bottom w:val="none" w:sz="0" w:space="0" w:color="auto"/>
                    <w:right w:val="none" w:sz="0" w:space="0" w:color="auto"/>
                  </w:divBdr>
                </w:div>
              </w:divsChild>
            </w:div>
            <w:div w:id="961351724">
              <w:marLeft w:val="0"/>
              <w:marRight w:val="0"/>
              <w:marTop w:val="0"/>
              <w:marBottom w:val="0"/>
              <w:divBdr>
                <w:top w:val="none" w:sz="0" w:space="0" w:color="auto"/>
                <w:left w:val="none" w:sz="0" w:space="0" w:color="auto"/>
                <w:bottom w:val="none" w:sz="0" w:space="0" w:color="auto"/>
                <w:right w:val="none" w:sz="0" w:space="0" w:color="auto"/>
              </w:divBdr>
              <w:divsChild>
                <w:div w:id="1389526930">
                  <w:marLeft w:val="0"/>
                  <w:marRight w:val="0"/>
                  <w:marTop w:val="0"/>
                  <w:marBottom w:val="0"/>
                  <w:divBdr>
                    <w:top w:val="none" w:sz="0" w:space="0" w:color="auto"/>
                    <w:left w:val="none" w:sz="0" w:space="0" w:color="auto"/>
                    <w:bottom w:val="none" w:sz="0" w:space="0" w:color="auto"/>
                    <w:right w:val="none" w:sz="0" w:space="0" w:color="auto"/>
                  </w:divBdr>
                </w:div>
              </w:divsChild>
            </w:div>
            <w:div w:id="979194208">
              <w:marLeft w:val="0"/>
              <w:marRight w:val="0"/>
              <w:marTop w:val="0"/>
              <w:marBottom w:val="0"/>
              <w:divBdr>
                <w:top w:val="none" w:sz="0" w:space="0" w:color="auto"/>
                <w:left w:val="none" w:sz="0" w:space="0" w:color="auto"/>
                <w:bottom w:val="none" w:sz="0" w:space="0" w:color="auto"/>
                <w:right w:val="none" w:sz="0" w:space="0" w:color="auto"/>
              </w:divBdr>
              <w:divsChild>
                <w:div w:id="1637490395">
                  <w:marLeft w:val="0"/>
                  <w:marRight w:val="0"/>
                  <w:marTop w:val="0"/>
                  <w:marBottom w:val="0"/>
                  <w:divBdr>
                    <w:top w:val="none" w:sz="0" w:space="0" w:color="auto"/>
                    <w:left w:val="none" w:sz="0" w:space="0" w:color="auto"/>
                    <w:bottom w:val="none" w:sz="0" w:space="0" w:color="auto"/>
                    <w:right w:val="none" w:sz="0" w:space="0" w:color="auto"/>
                  </w:divBdr>
                </w:div>
              </w:divsChild>
            </w:div>
            <w:div w:id="1021903925">
              <w:marLeft w:val="0"/>
              <w:marRight w:val="0"/>
              <w:marTop w:val="0"/>
              <w:marBottom w:val="0"/>
              <w:divBdr>
                <w:top w:val="none" w:sz="0" w:space="0" w:color="auto"/>
                <w:left w:val="none" w:sz="0" w:space="0" w:color="auto"/>
                <w:bottom w:val="none" w:sz="0" w:space="0" w:color="auto"/>
                <w:right w:val="none" w:sz="0" w:space="0" w:color="auto"/>
              </w:divBdr>
              <w:divsChild>
                <w:div w:id="852379788">
                  <w:marLeft w:val="0"/>
                  <w:marRight w:val="0"/>
                  <w:marTop w:val="0"/>
                  <w:marBottom w:val="0"/>
                  <w:divBdr>
                    <w:top w:val="none" w:sz="0" w:space="0" w:color="auto"/>
                    <w:left w:val="none" w:sz="0" w:space="0" w:color="auto"/>
                    <w:bottom w:val="none" w:sz="0" w:space="0" w:color="auto"/>
                    <w:right w:val="none" w:sz="0" w:space="0" w:color="auto"/>
                  </w:divBdr>
                </w:div>
              </w:divsChild>
            </w:div>
            <w:div w:id="1044066353">
              <w:marLeft w:val="0"/>
              <w:marRight w:val="0"/>
              <w:marTop w:val="0"/>
              <w:marBottom w:val="0"/>
              <w:divBdr>
                <w:top w:val="none" w:sz="0" w:space="0" w:color="auto"/>
                <w:left w:val="none" w:sz="0" w:space="0" w:color="auto"/>
                <w:bottom w:val="none" w:sz="0" w:space="0" w:color="auto"/>
                <w:right w:val="none" w:sz="0" w:space="0" w:color="auto"/>
              </w:divBdr>
              <w:divsChild>
                <w:div w:id="644555670">
                  <w:marLeft w:val="0"/>
                  <w:marRight w:val="0"/>
                  <w:marTop w:val="0"/>
                  <w:marBottom w:val="0"/>
                  <w:divBdr>
                    <w:top w:val="none" w:sz="0" w:space="0" w:color="auto"/>
                    <w:left w:val="none" w:sz="0" w:space="0" w:color="auto"/>
                    <w:bottom w:val="none" w:sz="0" w:space="0" w:color="auto"/>
                    <w:right w:val="none" w:sz="0" w:space="0" w:color="auto"/>
                  </w:divBdr>
                </w:div>
                <w:div w:id="2016373875">
                  <w:marLeft w:val="0"/>
                  <w:marRight w:val="0"/>
                  <w:marTop w:val="0"/>
                  <w:marBottom w:val="0"/>
                  <w:divBdr>
                    <w:top w:val="none" w:sz="0" w:space="0" w:color="auto"/>
                    <w:left w:val="none" w:sz="0" w:space="0" w:color="auto"/>
                    <w:bottom w:val="none" w:sz="0" w:space="0" w:color="auto"/>
                    <w:right w:val="none" w:sz="0" w:space="0" w:color="auto"/>
                  </w:divBdr>
                </w:div>
              </w:divsChild>
            </w:div>
            <w:div w:id="1169905024">
              <w:marLeft w:val="0"/>
              <w:marRight w:val="0"/>
              <w:marTop w:val="0"/>
              <w:marBottom w:val="0"/>
              <w:divBdr>
                <w:top w:val="none" w:sz="0" w:space="0" w:color="auto"/>
                <w:left w:val="none" w:sz="0" w:space="0" w:color="auto"/>
                <w:bottom w:val="none" w:sz="0" w:space="0" w:color="auto"/>
                <w:right w:val="none" w:sz="0" w:space="0" w:color="auto"/>
              </w:divBdr>
              <w:divsChild>
                <w:div w:id="2071146621">
                  <w:marLeft w:val="0"/>
                  <w:marRight w:val="0"/>
                  <w:marTop w:val="0"/>
                  <w:marBottom w:val="0"/>
                  <w:divBdr>
                    <w:top w:val="none" w:sz="0" w:space="0" w:color="auto"/>
                    <w:left w:val="none" w:sz="0" w:space="0" w:color="auto"/>
                    <w:bottom w:val="none" w:sz="0" w:space="0" w:color="auto"/>
                    <w:right w:val="none" w:sz="0" w:space="0" w:color="auto"/>
                  </w:divBdr>
                </w:div>
              </w:divsChild>
            </w:div>
            <w:div w:id="1221866389">
              <w:marLeft w:val="0"/>
              <w:marRight w:val="0"/>
              <w:marTop w:val="0"/>
              <w:marBottom w:val="0"/>
              <w:divBdr>
                <w:top w:val="none" w:sz="0" w:space="0" w:color="auto"/>
                <w:left w:val="none" w:sz="0" w:space="0" w:color="auto"/>
                <w:bottom w:val="none" w:sz="0" w:space="0" w:color="auto"/>
                <w:right w:val="none" w:sz="0" w:space="0" w:color="auto"/>
              </w:divBdr>
              <w:divsChild>
                <w:div w:id="710030491">
                  <w:marLeft w:val="0"/>
                  <w:marRight w:val="0"/>
                  <w:marTop w:val="0"/>
                  <w:marBottom w:val="0"/>
                  <w:divBdr>
                    <w:top w:val="none" w:sz="0" w:space="0" w:color="auto"/>
                    <w:left w:val="none" w:sz="0" w:space="0" w:color="auto"/>
                    <w:bottom w:val="none" w:sz="0" w:space="0" w:color="auto"/>
                    <w:right w:val="none" w:sz="0" w:space="0" w:color="auto"/>
                  </w:divBdr>
                </w:div>
              </w:divsChild>
            </w:div>
            <w:div w:id="1264269046">
              <w:marLeft w:val="0"/>
              <w:marRight w:val="0"/>
              <w:marTop w:val="0"/>
              <w:marBottom w:val="0"/>
              <w:divBdr>
                <w:top w:val="none" w:sz="0" w:space="0" w:color="auto"/>
                <w:left w:val="none" w:sz="0" w:space="0" w:color="auto"/>
                <w:bottom w:val="none" w:sz="0" w:space="0" w:color="auto"/>
                <w:right w:val="none" w:sz="0" w:space="0" w:color="auto"/>
              </w:divBdr>
              <w:divsChild>
                <w:div w:id="854225560">
                  <w:marLeft w:val="0"/>
                  <w:marRight w:val="0"/>
                  <w:marTop w:val="0"/>
                  <w:marBottom w:val="0"/>
                  <w:divBdr>
                    <w:top w:val="none" w:sz="0" w:space="0" w:color="auto"/>
                    <w:left w:val="none" w:sz="0" w:space="0" w:color="auto"/>
                    <w:bottom w:val="none" w:sz="0" w:space="0" w:color="auto"/>
                    <w:right w:val="none" w:sz="0" w:space="0" w:color="auto"/>
                  </w:divBdr>
                </w:div>
              </w:divsChild>
            </w:div>
            <w:div w:id="1423838187">
              <w:marLeft w:val="0"/>
              <w:marRight w:val="0"/>
              <w:marTop w:val="0"/>
              <w:marBottom w:val="0"/>
              <w:divBdr>
                <w:top w:val="none" w:sz="0" w:space="0" w:color="auto"/>
                <w:left w:val="none" w:sz="0" w:space="0" w:color="auto"/>
                <w:bottom w:val="none" w:sz="0" w:space="0" w:color="auto"/>
                <w:right w:val="none" w:sz="0" w:space="0" w:color="auto"/>
              </w:divBdr>
              <w:divsChild>
                <w:div w:id="283272655">
                  <w:marLeft w:val="0"/>
                  <w:marRight w:val="0"/>
                  <w:marTop w:val="0"/>
                  <w:marBottom w:val="0"/>
                  <w:divBdr>
                    <w:top w:val="none" w:sz="0" w:space="0" w:color="auto"/>
                    <w:left w:val="none" w:sz="0" w:space="0" w:color="auto"/>
                    <w:bottom w:val="none" w:sz="0" w:space="0" w:color="auto"/>
                    <w:right w:val="none" w:sz="0" w:space="0" w:color="auto"/>
                  </w:divBdr>
                </w:div>
              </w:divsChild>
            </w:div>
            <w:div w:id="1424034754">
              <w:marLeft w:val="0"/>
              <w:marRight w:val="0"/>
              <w:marTop w:val="0"/>
              <w:marBottom w:val="0"/>
              <w:divBdr>
                <w:top w:val="none" w:sz="0" w:space="0" w:color="auto"/>
                <w:left w:val="none" w:sz="0" w:space="0" w:color="auto"/>
                <w:bottom w:val="none" w:sz="0" w:space="0" w:color="auto"/>
                <w:right w:val="none" w:sz="0" w:space="0" w:color="auto"/>
              </w:divBdr>
              <w:divsChild>
                <w:div w:id="1638022611">
                  <w:marLeft w:val="0"/>
                  <w:marRight w:val="0"/>
                  <w:marTop w:val="0"/>
                  <w:marBottom w:val="0"/>
                  <w:divBdr>
                    <w:top w:val="none" w:sz="0" w:space="0" w:color="auto"/>
                    <w:left w:val="none" w:sz="0" w:space="0" w:color="auto"/>
                    <w:bottom w:val="none" w:sz="0" w:space="0" w:color="auto"/>
                    <w:right w:val="none" w:sz="0" w:space="0" w:color="auto"/>
                  </w:divBdr>
                </w:div>
              </w:divsChild>
            </w:div>
            <w:div w:id="1440176190">
              <w:marLeft w:val="0"/>
              <w:marRight w:val="0"/>
              <w:marTop w:val="0"/>
              <w:marBottom w:val="0"/>
              <w:divBdr>
                <w:top w:val="none" w:sz="0" w:space="0" w:color="auto"/>
                <w:left w:val="none" w:sz="0" w:space="0" w:color="auto"/>
                <w:bottom w:val="none" w:sz="0" w:space="0" w:color="auto"/>
                <w:right w:val="none" w:sz="0" w:space="0" w:color="auto"/>
              </w:divBdr>
              <w:divsChild>
                <w:div w:id="2036424279">
                  <w:marLeft w:val="0"/>
                  <w:marRight w:val="0"/>
                  <w:marTop w:val="0"/>
                  <w:marBottom w:val="0"/>
                  <w:divBdr>
                    <w:top w:val="none" w:sz="0" w:space="0" w:color="auto"/>
                    <w:left w:val="none" w:sz="0" w:space="0" w:color="auto"/>
                    <w:bottom w:val="none" w:sz="0" w:space="0" w:color="auto"/>
                    <w:right w:val="none" w:sz="0" w:space="0" w:color="auto"/>
                  </w:divBdr>
                </w:div>
              </w:divsChild>
            </w:div>
            <w:div w:id="1594164731">
              <w:marLeft w:val="0"/>
              <w:marRight w:val="0"/>
              <w:marTop w:val="0"/>
              <w:marBottom w:val="0"/>
              <w:divBdr>
                <w:top w:val="none" w:sz="0" w:space="0" w:color="auto"/>
                <w:left w:val="none" w:sz="0" w:space="0" w:color="auto"/>
                <w:bottom w:val="none" w:sz="0" w:space="0" w:color="auto"/>
                <w:right w:val="none" w:sz="0" w:space="0" w:color="auto"/>
              </w:divBdr>
              <w:divsChild>
                <w:div w:id="154687992">
                  <w:marLeft w:val="0"/>
                  <w:marRight w:val="0"/>
                  <w:marTop w:val="0"/>
                  <w:marBottom w:val="0"/>
                  <w:divBdr>
                    <w:top w:val="none" w:sz="0" w:space="0" w:color="auto"/>
                    <w:left w:val="none" w:sz="0" w:space="0" w:color="auto"/>
                    <w:bottom w:val="none" w:sz="0" w:space="0" w:color="auto"/>
                    <w:right w:val="none" w:sz="0" w:space="0" w:color="auto"/>
                  </w:divBdr>
                </w:div>
                <w:div w:id="851912933">
                  <w:marLeft w:val="0"/>
                  <w:marRight w:val="0"/>
                  <w:marTop w:val="0"/>
                  <w:marBottom w:val="0"/>
                  <w:divBdr>
                    <w:top w:val="none" w:sz="0" w:space="0" w:color="auto"/>
                    <w:left w:val="none" w:sz="0" w:space="0" w:color="auto"/>
                    <w:bottom w:val="none" w:sz="0" w:space="0" w:color="auto"/>
                    <w:right w:val="none" w:sz="0" w:space="0" w:color="auto"/>
                  </w:divBdr>
                </w:div>
                <w:div w:id="899364277">
                  <w:marLeft w:val="0"/>
                  <w:marRight w:val="0"/>
                  <w:marTop w:val="0"/>
                  <w:marBottom w:val="0"/>
                  <w:divBdr>
                    <w:top w:val="none" w:sz="0" w:space="0" w:color="auto"/>
                    <w:left w:val="none" w:sz="0" w:space="0" w:color="auto"/>
                    <w:bottom w:val="none" w:sz="0" w:space="0" w:color="auto"/>
                    <w:right w:val="none" w:sz="0" w:space="0" w:color="auto"/>
                  </w:divBdr>
                </w:div>
                <w:div w:id="2123106828">
                  <w:marLeft w:val="0"/>
                  <w:marRight w:val="0"/>
                  <w:marTop w:val="0"/>
                  <w:marBottom w:val="0"/>
                  <w:divBdr>
                    <w:top w:val="none" w:sz="0" w:space="0" w:color="auto"/>
                    <w:left w:val="none" w:sz="0" w:space="0" w:color="auto"/>
                    <w:bottom w:val="none" w:sz="0" w:space="0" w:color="auto"/>
                    <w:right w:val="none" w:sz="0" w:space="0" w:color="auto"/>
                  </w:divBdr>
                </w:div>
              </w:divsChild>
            </w:div>
            <w:div w:id="1599943768">
              <w:marLeft w:val="0"/>
              <w:marRight w:val="0"/>
              <w:marTop w:val="0"/>
              <w:marBottom w:val="0"/>
              <w:divBdr>
                <w:top w:val="none" w:sz="0" w:space="0" w:color="auto"/>
                <w:left w:val="none" w:sz="0" w:space="0" w:color="auto"/>
                <w:bottom w:val="none" w:sz="0" w:space="0" w:color="auto"/>
                <w:right w:val="none" w:sz="0" w:space="0" w:color="auto"/>
              </w:divBdr>
              <w:divsChild>
                <w:div w:id="1935549952">
                  <w:marLeft w:val="0"/>
                  <w:marRight w:val="0"/>
                  <w:marTop w:val="0"/>
                  <w:marBottom w:val="0"/>
                  <w:divBdr>
                    <w:top w:val="none" w:sz="0" w:space="0" w:color="auto"/>
                    <w:left w:val="none" w:sz="0" w:space="0" w:color="auto"/>
                    <w:bottom w:val="none" w:sz="0" w:space="0" w:color="auto"/>
                    <w:right w:val="none" w:sz="0" w:space="0" w:color="auto"/>
                  </w:divBdr>
                </w:div>
              </w:divsChild>
            </w:div>
            <w:div w:id="1644775523">
              <w:marLeft w:val="0"/>
              <w:marRight w:val="0"/>
              <w:marTop w:val="0"/>
              <w:marBottom w:val="0"/>
              <w:divBdr>
                <w:top w:val="none" w:sz="0" w:space="0" w:color="auto"/>
                <w:left w:val="none" w:sz="0" w:space="0" w:color="auto"/>
                <w:bottom w:val="none" w:sz="0" w:space="0" w:color="auto"/>
                <w:right w:val="none" w:sz="0" w:space="0" w:color="auto"/>
              </w:divBdr>
              <w:divsChild>
                <w:div w:id="1232236885">
                  <w:marLeft w:val="0"/>
                  <w:marRight w:val="0"/>
                  <w:marTop w:val="0"/>
                  <w:marBottom w:val="0"/>
                  <w:divBdr>
                    <w:top w:val="none" w:sz="0" w:space="0" w:color="auto"/>
                    <w:left w:val="none" w:sz="0" w:space="0" w:color="auto"/>
                    <w:bottom w:val="none" w:sz="0" w:space="0" w:color="auto"/>
                    <w:right w:val="none" w:sz="0" w:space="0" w:color="auto"/>
                  </w:divBdr>
                </w:div>
              </w:divsChild>
            </w:div>
            <w:div w:id="1655253601">
              <w:marLeft w:val="0"/>
              <w:marRight w:val="0"/>
              <w:marTop w:val="0"/>
              <w:marBottom w:val="0"/>
              <w:divBdr>
                <w:top w:val="none" w:sz="0" w:space="0" w:color="auto"/>
                <w:left w:val="none" w:sz="0" w:space="0" w:color="auto"/>
                <w:bottom w:val="none" w:sz="0" w:space="0" w:color="auto"/>
                <w:right w:val="none" w:sz="0" w:space="0" w:color="auto"/>
              </w:divBdr>
              <w:divsChild>
                <w:div w:id="489830948">
                  <w:marLeft w:val="0"/>
                  <w:marRight w:val="0"/>
                  <w:marTop w:val="0"/>
                  <w:marBottom w:val="0"/>
                  <w:divBdr>
                    <w:top w:val="none" w:sz="0" w:space="0" w:color="auto"/>
                    <w:left w:val="none" w:sz="0" w:space="0" w:color="auto"/>
                    <w:bottom w:val="none" w:sz="0" w:space="0" w:color="auto"/>
                    <w:right w:val="none" w:sz="0" w:space="0" w:color="auto"/>
                  </w:divBdr>
                </w:div>
                <w:div w:id="2119717009">
                  <w:marLeft w:val="0"/>
                  <w:marRight w:val="0"/>
                  <w:marTop w:val="0"/>
                  <w:marBottom w:val="0"/>
                  <w:divBdr>
                    <w:top w:val="none" w:sz="0" w:space="0" w:color="auto"/>
                    <w:left w:val="none" w:sz="0" w:space="0" w:color="auto"/>
                    <w:bottom w:val="none" w:sz="0" w:space="0" w:color="auto"/>
                    <w:right w:val="none" w:sz="0" w:space="0" w:color="auto"/>
                  </w:divBdr>
                </w:div>
              </w:divsChild>
            </w:div>
            <w:div w:id="1707752455">
              <w:marLeft w:val="0"/>
              <w:marRight w:val="0"/>
              <w:marTop w:val="0"/>
              <w:marBottom w:val="0"/>
              <w:divBdr>
                <w:top w:val="none" w:sz="0" w:space="0" w:color="auto"/>
                <w:left w:val="none" w:sz="0" w:space="0" w:color="auto"/>
                <w:bottom w:val="none" w:sz="0" w:space="0" w:color="auto"/>
                <w:right w:val="none" w:sz="0" w:space="0" w:color="auto"/>
              </w:divBdr>
              <w:divsChild>
                <w:div w:id="1808089529">
                  <w:marLeft w:val="0"/>
                  <w:marRight w:val="0"/>
                  <w:marTop w:val="0"/>
                  <w:marBottom w:val="0"/>
                  <w:divBdr>
                    <w:top w:val="none" w:sz="0" w:space="0" w:color="auto"/>
                    <w:left w:val="none" w:sz="0" w:space="0" w:color="auto"/>
                    <w:bottom w:val="none" w:sz="0" w:space="0" w:color="auto"/>
                    <w:right w:val="none" w:sz="0" w:space="0" w:color="auto"/>
                  </w:divBdr>
                </w:div>
              </w:divsChild>
            </w:div>
            <w:div w:id="1726565364">
              <w:marLeft w:val="0"/>
              <w:marRight w:val="0"/>
              <w:marTop w:val="0"/>
              <w:marBottom w:val="0"/>
              <w:divBdr>
                <w:top w:val="none" w:sz="0" w:space="0" w:color="auto"/>
                <w:left w:val="none" w:sz="0" w:space="0" w:color="auto"/>
                <w:bottom w:val="none" w:sz="0" w:space="0" w:color="auto"/>
                <w:right w:val="none" w:sz="0" w:space="0" w:color="auto"/>
              </w:divBdr>
              <w:divsChild>
                <w:div w:id="554857596">
                  <w:marLeft w:val="0"/>
                  <w:marRight w:val="0"/>
                  <w:marTop w:val="0"/>
                  <w:marBottom w:val="0"/>
                  <w:divBdr>
                    <w:top w:val="none" w:sz="0" w:space="0" w:color="auto"/>
                    <w:left w:val="none" w:sz="0" w:space="0" w:color="auto"/>
                    <w:bottom w:val="none" w:sz="0" w:space="0" w:color="auto"/>
                    <w:right w:val="none" w:sz="0" w:space="0" w:color="auto"/>
                  </w:divBdr>
                </w:div>
              </w:divsChild>
            </w:div>
            <w:div w:id="1841655438">
              <w:marLeft w:val="0"/>
              <w:marRight w:val="0"/>
              <w:marTop w:val="0"/>
              <w:marBottom w:val="0"/>
              <w:divBdr>
                <w:top w:val="none" w:sz="0" w:space="0" w:color="auto"/>
                <w:left w:val="none" w:sz="0" w:space="0" w:color="auto"/>
                <w:bottom w:val="none" w:sz="0" w:space="0" w:color="auto"/>
                <w:right w:val="none" w:sz="0" w:space="0" w:color="auto"/>
              </w:divBdr>
              <w:divsChild>
                <w:div w:id="267584932">
                  <w:marLeft w:val="0"/>
                  <w:marRight w:val="0"/>
                  <w:marTop w:val="0"/>
                  <w:marBottom w:val="0"/>
                  <w:divBdr>
                    <w:top w:val="none" w:sz="0" w:space="0" w:color="auto"/>
                    <w:left w:val="none" w:sz="0" w:space="0" w:color="auto"/>
                    <w:bottom w:val="none" w:sz="0" w:space="0" w:color="auto"/>
                    <w:right w:val="none" w:sz="0" w:space="0" w:color="auto"/>
                  </w:divBdr>
                </w:div>
                <w:div w:id="563293895">
                  <w:marLeft w:val="0"/>
                  <w:marRight w:val="0"/>
                  <w:marTop w:val="0"/>
                  <w:marBottom w:val="0"/>
                  <w:divBdr>
                    <w:top w:val="none" w:sz="0" w:space="0" w:color="auto"/>
                    <w:left w:val="none" w:sz="0" w:space="0" w:color="auto"/>
                    <w:bottom w:val="none" w:sz="0" w:space="0" w:color="auto"/>
                    <w:right w:val="none" w:sz="0" w:space="0" w:color="auto"/>
                  </w:divBdr>
                </w:div>
                <w:div w:id="1753622056">
                  <w:marLeft w:val="0"/>
                  <w:marRight w:val="0"/>
                  <w:marTop w:val="0"/>
                  <w:marBottom w:val="0"/>
                  <w:divBdr>
                    <w:top w:val="none" w:sz="0" w:space="0" w:color="auto"/>
                    <w:left w:val="none" w:sz="0" w:space="0" w:color="auto"/>
                    <w:bottom w:val="none" w:sz="0" w:space="0" w:color="auto"/>
                    <w:right w:val="none" w:sz="0" w:space="0" w:color="auto"/>
                  </w:divBdr>
                </w:div>
              </w:divsChild>
            </w:div>
            <w:div w:id="1886866671">
              <w:marLeft w:val="0"/>
              <w:marRight w:val="0"/>
              <w:marTop w:val="0"/>
              <w:marBottom w:val="0"/>
              <w:divBdr>
                <w:top w:val="none" w:sz="0" w:space="0" w:color="auto"/>
                <w:left w:val="none" w:sz="0" w:space="0" w:color="auto"/>
                <w:bottom w:val="none" w:sz="0" w:space="0" w:color="auto"/>
                <w:right w:val="none" w:sz="0" w:space="0" w:color="auto"/>
              </w:divBdr>
              <w:divsChild>
                <w:div w:id="226771772">
                  <w:marLeft w:val="0"/>
                  <w:marRight w:val="0"/>
                  <w:marTop w:val="0"/>
                  <w:marBottom w:val="0"/>
                  <w:divBdr>
                    <w:top w:val="none" w:sz="0" w:space="0" w:color="auto"/>
                    <w:left w:val="none" w:sz="0" w:space="0" w:color="auto"/>
                    <w:bottom w:val="none" w:sz="0" w:space="0" w:color="auto"/>
                    <w:right w:val="none" w:sz="0" w:space="0" w:color="auto"/>
                  </w:divBdr>
                </w:div>
              </w:divsChild>
            </w:div>
            <w:div w:id="1996688409">
              <w:marLeft w:val="0"/>
              <w:marRight w:val="0"/>
              <w:marTop w:val="0"/>
              <w:marBottom w:val="0"/>
              <w:divBdr>
                <w:top w:val="none" w:sz="0" w:space="0" w:color="auto"/>
                <w:left w:val="none" w:sz="0" w:space="0" w:color="auto"/>
                <w:bottom w:val="none" w:sz="0" w:space="0" w:color="auto"/>
                <w:right w:val="none" w:sz="0" w:space="0" w:color="auto"/>
              </w:divBdr>
              <w:divsChild>
                <w:div w:id="1904833330">
                  <w:marLeft w:val="0"/>
                  <w:marRight w:val="0"/>
                  <w:marTop w:val="0"/>
                  <w:marBottom w:val="0"/>
                  <w:divBdr>
                    <w:top w:val="none" w:sz="0" w:space="0" w:color="auto"/>
                    <w:left w:val="none" w:sz="0" w:space="0" w:color="auto"/>
                    <w:bottom w:val="none" w:sz="0" w:space="0" w:color="auto"/>
                    <w:right w:val="none" w:sz="0" w:space="0" w:color="auto"/>
                  </w:divBdr>
                </w:div>
                <w:div w:id="2141343838">
                  <w:marLeft w:val="0"/>
                  <w:marRight w:val="0"/>
                  <w:marTop w:val="0"/>
                  <w:marBottom w:val="0"/>
                  <w:divBdr>
                    <w:top w:val="none" w:sz="0" w:space="0" w:color="auto"/>
                    <w:left w:val="none" w:sz="0" w:space="0" w:color="auto"/>
                    <w:bottom w:val="none" w:sz="0" w:space="0" w:color="auto"/>
                    <w:right w:val="none" w:sz="0" w:space="0" w:color="auto"/>
                  </w:divBdr>
                </w:div>
              </w:divsChild>
            </w:div>
            <w:div w:id="2024090776">
              <w:marLeft w:val="0"/>
              <w:marRight w:val="0"/>
              <w:marTop w:val="0"/>
              <w:marBottom w:val="0"/>
              <w:divBdr>
                <w:top w:val="none" w:sz="0" w:space="0" w:color="auto"/>
                <w:left w:val="none" w:sz="0" w:space="0" w:color="auto"/>
                <w:bottom w:val="none" w:sz="0" w:space="0" w:color="auto"/>
                <w:right w:val="none" w:sz="0" w:space="0" w:color="auto"/>
              </w:divBdr>
              <w:divsChild>
                <w:div w:id="1731270694">
                  <w:marLeft w:val="0"/>
                  <w:marRight w:val="0"/>
                  <w:marTop w:val="0"/>
                  <w:marBottom w:val="0"/>
                  <w:divBdr>
                    <w:top w:val="none" w:sz="0" w:space="0" w:color="auto"/>
                    <w:left w:val="none" w:sz="0" w:space="0" w:color="auto"/>
                    <w:bottom w:val="none" w:sz="0" w:space="0" w:color="auto"/>
                    <w:right w:val="none" w:sz="0" w:space="0" w:color="auto"/>
                  </w:divBdr>
                </w:div>
              </w:divsChild>
            </w:div>
            <w:div w:id="2065987419">
              <w:marLeft w:val="0"/>
              <w:marRight w:val="0"/>
              <w:marTop w:val="0"/>
              <w:marBottom w:val="0"/>
              <w:divBdr>
                <w:top w:val="none" w:sz="0" w:space="0" w:color="auto"/>
                <w:left w:val="none" w:sz="0" w:space="0" w:color="auto"/>
                <w:bottom w:val="none" w:sz="0" w:space="0" w:color="auto"/>
                <w:right w:val="none" w:sz="0" w:space="0" w:color="auto"/>
              </w:divBdr>
              <w:divsChild>
                <w:div w:id="717780983">
                  <w:marLeft w:val="0"/>
                  <w:marRight w:val="0"/>
                  <w:marTop w:val="0"/>
                  <w:marBottom w:val="0"/>
                  <w:divBdr>
                    <w:top w:val="none" w:sz="0" w:space="0" w:color="auto"/>
                    <w:left w:val="none" w:sz="0" w:space="0" w:color="auto"/>
                    <w:bottom w:val="none" w:sz="0" w:space="0" w:color="auto"/>
                    <w:right w:val="none" w:sz="0" w:space="0" w:color="auto"/>
                  </w:divBdr>
                </w:div>
              </w:divsChild>
            </w:div>
            <w:div w:id="2124373687">
              <w:marLeft w:val="0"/>
              <w:marRight w:val="0"/>
              <w:marTop w:val="0"/>
              <w:marBottom w:val="0"/>
              <w:divBdr>
                <w:top w:val="none" w:sz="0" w:space="0" w:color="auto"/>
                <w:left w:val="none" w:sz="0" w:space="0" w:color="auto"/>
                <w:bottom w:val="none" w:sz="0" w:space="0" w:color="auto"/>
                <w:right w:val="none" w:sz="0" w:space="0" w:color="auto"/>
              </w:divBdr>
              <w:divsChild>
                <w:div w:id="12995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7422">
          <w:marLeft w:val="0"/>
          <w:marRight w:val="0"/>
          <w:marTop w:val="30"/>
          <w:marBottom w:val="30"/>
          <w:divBdr>
            <w:top w:val="none" w:sz="0" w:space="0" w:color="auto"/>
            <w:left w:val="none" w:sz="0" w:space="0" w:color="auto"/>
            <w:bottom w:val="none" w:sz="0" w:space="0" w:color="auto"/>
            <w:right w:val="none" w:sz="0" w:space="0" w:color="auto"/>
          </w:divBdr>
          <w:divsChild>
            <w:div w:id="94253894">
              <w:marLeft w:val="0"/>
              <w:marRight w:val="0"/>
              <w:marTop w:val="0"/>
              <w:marBottom w:val="0"/>
              <w:divBdr>
                <w:top w:val="none" w:sz="0" w:space="0" w:color="auto"/>
                <w:left w:val="none" w:sz="0" w:space="0" w:color="auto"/>
                <w:bottom w:val="none" w:sz="0" w:space="0" w:color="auto"/>
                <w:right w:val="none" w:sz="0" w:space="0" w:color="auto"/>
              </w:divBdr>
              <w:divsChild>
                <w:div w:id="1771389897">
                  <w:marLeft w:val="0"/>
                  <w:marRight w:val="0"/>
                  <w:marTop w:val="0"/>
                  <w:marBottom w:val="0"/>
                  <w:divBdr>
                    <w:top w:val="none" w:sz="0" w:space="0" w:color="auto"/>
                    <w:left w:val="none" w:sz="0" w:space="0" w:color="auto"/>
                    <w:bottom w:val="none" w:sz="0" w:space="0" w:color="auto"/>
                    <w:right w:val="none" w:sz="0" w:space="0" w:color="auto"/>
                  </w:divBdr>
                </w:div>
              </w:divsChild>
            </w:div>
            <w:div w:id="129707637">
              <w:marLeft w:val="0"/>
              <w:marRight w:val="0"/>
              <w:marTop w:val="0"/>
              <w:marBottom w:val="0"/>
              <w:divBdr>
                <w:top w:val="none" w:sz="0" w:space="0" w:color="auto"/>
                <w:left w:val="none" w:sz="0" w:space="0" w:color="auto"/>
                <w:bottom w:val="none" w:sz="0" w:space="0" w:color="auto"/>
                <w:right w:val="none" w:sz="0" w:space="0" w:color="auto"/>
              </w:divBdr>
              <w:divsChild>
                <w:div w:id="121005012">
                  <w:marLeft w:val="0"/>
                  <w:marRight w:val="0"/>
                  <w:marTop w:val="0"/>
                  <w:marBottom w:val="0"/>
                  <w:divBdr>
                    <w:top w:val="none" w:sz="0" w:space="0" w:color="auto"/>
                    <w:left w:val="none" w:sz="0" w:space="0" w:color="auto"/>
                    <w:bottom w:val="none" w:sz="0" w:space="0" w:color="auto"/>
                    <w:right w:val="none" w:sz="0" w:space="0" w:color="auto"/>
                  </w:divBdr>
                </w:div>
                <w:div w:id="706568216">
                  <w:marLeft w:val="0"/>
                  <w:marRight w:val="0"/>
                  <w:marTop w:val="0"/>
                  <w:marBottom w:val="0"/>
                  <w:divBdr>
                    <w:top w:val="none" w:sz="0" w:space="0" w:color="auto"/>
                    <w:left w:val="none" w:sz="0" w:space="0" w:color="auto"/>
                    <w:bottom w:val="none" w:sz="0" w:space="0" w:color="auto"/>
                    <w:right w:val="none" w:sz="0" w:space="0" w:color="auto"/>
                  </w:divBdr>
                </w:div>
                <w:div w:id="1876767754">
                  <w:marLeft w:val="0"/>
                  <w:marRight w:val="0"/>
                  <w:marTop w:val="0"/>
                  <w:marBottom w:val="0"/>
                  <w:divBdr>
                    <w:top w:val="none" w:sz="0" w:space="0" w:color="auto"/>
                    <w:left w:val="none" w:sz="0" w:space="0" w:color="auto"/>
                    <w:bottom w:val="none" w:sz="0" w:space="0" w:color="auto"/>
                    <w:right w:val="none" w:sz="0" w:space="0" w:color="auto"/>
                  </w:divBdr>
                </w:div>
              </w:divsChild>
            </w:div>
            <w:div w:id="216940959">
              <w:marLeft w:val="0"/>
              <w:marRight w:val="0"/>
              <w:marTop w:val="0"/>
              <w:marBottom w:val="0"/>
              <w:divBdr>
                <w:top w:val="none" w:sz="0" w:space="0" w:color="auto"/>
                <w:left w:val="none" w:sz="0" w:space="0" w:color="auto"/>
                <w:bottom w:val="none" w:sz="0" w:space="0" w:color="auto"/>
                <w:right w:val="none" w:sz="0" w:space="0" w:color="auto"/>
              </w:divBdr>
              <w:divsChild>
                <w:div w:id="1068260572">
                  <w:marLeft w:val="0"/>
                  <w:marRight w:val="0"/>
                  <w:marTop w:val="0"/>
                  <w:marBottom w:val="0"/>
                  <w:divBdr>
                    <w:top w:val="none" w:sz="0" w:space="0" w:color="auto"/>
                    <w:left w:val="none" w:sz="0" w:space="0" w:color="auto"/>
                    <w:bottom w:val="none" w:sz="0" w:space="0" w:color="auto"/>
                    <w:right w:val="none" w:sz="0" w:space="0" w:color="auto"/>
                  </w:divBdr>
                </w:div>
              </w:divsChild>
            </w:div>
            <w:div w:id="308172532">
              <w:marLeft w:val="0"/>
              <w:marRight w:val="0"/>
              <w:marTop w:val="0"/>
              <w:marBottom w:val="0"/>
              <w:divBdr>
                <w:top w:val="none" w:sz="0" w:space="0" w:color="auto"/>
                <w:left w:val="none" w:sz="0" w:space="0" w:color="auto"/>
                <w:bottom w:val="none" w:sz="0" w:space="0" w:color="auto"/>
                <w:right w:val="none" w:sz="0" w:space="0" w:color="auto"/>
              </w:divBdr>
              <w:divsChild>
                <w:div w:id="891968414">
                  <w:marLeft w:val="0"/>
                  <w:marRight w:val="0"/>
                  <w:marTop w:val="0"/>
                  <w:marBottom w:val="0"/>
                  <w:divBdr>
                    <w:top w:val="none" w:sz="0" w:space="0" w:color="auto"/>
                    <w:left w:val="none" w:sz="0" w:space="0" w:color="auto"/>
                    <w:bottom w:val="none" w:sz="0" w:space="0" w:color="auto"/>
                    <w:right w:val="none" w:sz="0" w:space="0" w:color="auto"/>
                  </w:divBdr>
                </w:div>
                <w:div w:id="1825468010">
                  <w:marLeft w:val="0"/>
                  <w:marRight w:val="0"/>
                  <w:marTop w:val="0"/>
                  <w:marBottom w:val="0"/>
                  <w:divBdr>
                    <w:top w:val="none" w:sz="0" w:space="0" w:color="auto"/>
                    <w:left w:val="none" w:sz="0" w:space="0" w:color="auto"/>
                    <w:bottom w:val="none" w:sz="0" w:space="0" w:color="auto"/>
                    <w:right w:val="none" w:sz="0" w:space="0" w:color="auto"/>
                  </w:divBdr>
                </w:div>
              </w:divsChild>
            </w:div>
            <w:div w:id="323822270">
              <w:marLeft w:val="0"/>
              <w:marRight w:val="0"/>
              <w:marTop w:val="0"/>
              <w:marBottom w:val="0"/>
              <w:divBdr>
                <w:top w:val="none" w:sz="0" w:space="0" w:color="auto"/>
                <w:left w:val="none" w:sz="0" w:space="0" w:color="auto"/>
                <w:bottom w:val="none" w:sz="0" w:space="0" w:color="auto"/>
                <w:right w:val="none" w:sz="0" w:space="0" w:color="auto"/>
              </w:divBdr>
              <w:divsChild>
                <w:div w:id="1728801440">
                  <w:marLeft w:val="0"/>
                  <w:marRight w:val="0"/>
                  <w:marTop w:val="0"/>
                  <w:marBottom w:val="0"/>
                  <w:divBdr>
                    <w:top w:val="none" w:sz="0" w:space="0" w:color="auto"/>
                    <w:left w:val="none" w:sz="0" w:space="0" w:color="auto"/>
                    <w:bottom w:val="none" w:sz="0" w:space="0" w:color="auto"/>
                    <w:right w:val="none" w:sz="0" w:space="0" w:color="auto"/>
                  </w:divBdr>
                </w:div>
              </w:divsChild>
            </w:div>
            <w:div w:id="353271201">
              <w:marLeft w:val="0"/>
              <w:marRight w:val="0"/>
              <w:marTop w:val="0"/>
              <w:marBottom w:val="0"/>
              <w:divBdr>
                <w:top w:val="none" w:sz="0" w:space="0" w:color="auto"/>
                <w:left w:val="none" w:sz="0" w:space="0" w:color="auto"/>
                <w:bottom w:val="none" w:sz="0" w:space="0" w:color="auto"/>
                <w:right w:val="none" w:sz="0" w:space="0" w:color="auto"/>
              </w:divBdr>
              <w:divsChild>
                <w:div w:id="716243366">
                  <w:marLeft w:val="0"/>
                  <w:marRight w:val="0"/>
                  <w:marTop w:val="0"/>
                  <w:marBottom w:val="0"/>
                  <w:divBdr>
                    <w:top w:val="none" w:sz="0" w:space="0" w:color="auto"/>
                    <w:left w:val="none" w:sz="0" w:space="0" w:color="auto"/>
                    <w:bottom w:val="none" w:sz="0" w:space="0" w:color="auto"/>
                    <w:right w:val="none" w:sz="0" w:space="0" w:color="auto"/>
                  </w:divBdr>
                </w:div>
                <w:div w:id="996222632">
                  <w:marLeft w:val="0"/>
                  <w:marRight w:val="0"/>
                  <w:marTop w:val="0"/>
                  <w:marBottom w:val="0"/>
                  <w:divBdr>
                    <w:top w:val="none" w:sz="0" w:space="0" w:color="auto"/>
                    <w:left w:val="none" w:sz="0" w:space="0" w:color="auto"/>
                    <w:bottom w:val="none" w:sz="0" w:space="0" w:color="auto"/>
                    <w:right w:val="none" w:sz="0" w:space="0" w:color="auto"/>
                  </w:divBdr>
                </w:div>
                <w:div w:id="1684671996">
                  <w:marLeft w:val="0"/>
                  <w:marRight w:val="0"/>
                  <w:marTop w:val="0"/>
                  <w:marBottom w:val="0"/>
                  <w:divBdr>
                    <w:top w:val="none" w:sz="0" w:space="0" w:color="auto"/>
                    <w:left w:val="none" w:sz="0" w:space="0" w:color="auto"/>
                    <w:bottom w:val="none" w:sz="0" w:space="0" w:color="auto"/>
                    <w:right w:val="none" w:sz="0" w:space="0" w:color="auto"/>
                  </w:divBdr>
                </w:div>
              </w:divsChild>
            </w:div>
            <w:div w:id="361901501">
              <w:marLeft w:val="0"/>
              <w:marRight w:val="0"/>
              <w:marTop w:val="0"/>
              <w:marBottom w:val="0"/>
              <w:divBdr>
                <w:top w:val="none" w:sz="0" w:space="0" w:color="auto"/>
                <w:left w:val="none" w:sz="0" w:space="0" w:color="auto"/>
                <w:bottom w:val="none" w:sz="0" w:space="0" w:color="auto"/>
                <w:right w:val="none" w:sz="0" w:space="0" w:color="auto"/>
              </w:divBdr>
              <w:divsChild>
                <w:div w:id="1142582774">
                  <w:marLeft w:val="0"/>
                  <w:marRight w:val="0"/>
                  <w:marTop w:val="0"/>
                  <w:marBottom w:val="0"/>
                  <w:divBdr>
                    <w:top w:val="none" w:sz="0" w:space="0" w:color="auto"/>
                    <w:left w:val="none" w:sz="0" w:space="0" w:color="auto"/>
                    <w:bottom w:val="none" w:sz="0" w:space="0" w:color="auto"/>
                    <w:right w:val="none" w:sz="0" w:space="0" w:color="auto"/>
                  </w:divBdr>
                </w:div>
              </w:divsChild>
            </w:div>
            <w:div w:id="480734689">
              <w:marLeft w:val="0"/>
              <w:marRight w:val="0"/>
              <w:marTop w:val="0"/>
              <w:marBottom w:val="0"/>
              <w:divBdr>
                <w:top w:val="none" w:sz="0" w:space="0" w:color="auto"/>
                <w:left w:val="none" w:sz="0" w:space="0" w:color="auto"/>
                <w:bottom w:val="none" w:sz="0" w:space="0" w:color="auto"/>
                <w:right w:val="none" w:sz="0" w:space="0" w:color="auto"/>
              </w:divBdr>
              <w:divsChild>
                <w:div w:id="525026556">
                  <w:marLeft w:val="0"/>
                  <w:marRight w:val="0"/>
                  <w:marTop w:val="0"/>
                  <w:marBottom w:val="0"/>
                  <w:divBdr>
                    <w:top w:val="none" w:sz="0" w:space="0" w:color="auto"/>
                    <w:left w:val="none" w:sz="0" w:space="0" w:color="auto"/>
                    <w:bottom w:val="none" w:sz="0" w:space="0" w:color="auto"/>
                    <w:right w:val="none" w:sz="0" w:space="0" w:color="auto"/>
                  </w:divBdr>
                </w:div>
              </w:divsChild>
            </w:div>
            <w:div w:id="594946645">
              <w:marLeft w:val="0"/>
              <w:marRight w:val="0"/>
              <w:marTop w:val="0"/>
              <w:marBottom w:val="0"/>
              <w:divBdr>
                <w:top w:val="none" w:sz="0" w:space="0" w:color="auto"/>
                <w:left w:val="none" w:sz="0" w:space="0" w:color="auto"/>
                <w:bottom w:val="none" w:sz="0" w:space="0" w:color="auto"/>
                <w:right w:val="none" w:sz="0" w:space="0" w:color="auto"/>
              </w:divBdr>
              <w:divsChild>
                <w:div w:id="1243679559">
                  <w:marLeft w:val="0"/>
                  <w:marRight w:val="0"/>
                  <w:marTop w:val="0"/>
                  <w:marBottom w:val="0"/>
                  <w:divBdr>
                    <w:top w:val="none" w:sz="0" w:space="0" w:color="auto"/>
                    <w:left w:val="none" w:sz="0" w:space="0" w:color="auto"/>
                    <w:bottom w:val="none" w:sz="0" w:space="0" w:color="auto"/>
                    <w:right w:val="none" w:sz="0" w:space="0" w:color="auto"/>
                  </w:divBdr>
                </w:div>
              </w:divsChild>
            </w:div>
            <w:div w:id="729231232">
              <w:marLeft w:val="0"/>
              <w:marRight w:val="0"/>
              <w:marTop w:val="0"/>
              <w:marBottom w:val="0"/>
              <w:divBdr>
                <w:top w:val="none" w:sz="0" w:space="0" w:color="auto"/>
                <w:left w:val="none" w:sz="0" w:space="0" w:color="auto"/>
                <w:bottom w:val="none" w:sz="0" w:space="0" w:color="auto"/>
                <w:right w:val="none" w:sz="0" w:space="0" w:color="auto"/>
              </w:divBdr>
              <w:divsChild>
                <w:div w:id="1120761625">
                  <w:marLeft w:val="0"/>
                  <w:marRight w:val="0"/>
                  <w:marTop w:val="0"/>
                  <w:marBottom w:val="0"/>
                  <w:divBdr>
                    <w:top w:val="none" w:sz="0" w:space="0" w:color="auto"/>
                    <w:left w:val="none" w:sz="0" w:space="0" w:color="auto"/>
                    <w:bottom w:val="none" w:sz="0" w:space="0" w:color="auto"/>
                    <w:right w:val="none" w:sz="0" w:space="0" w:color="auto"/>
                  </w:divBdr>
                </w:div>
              </w:divsChild>
            </w:div>
            <w:div w:id="785004003">
              <w:marLeft w:val="0"/>
              <w:marRight w:val="0"/>
              <w:marTop w:val="0"/>
              <w:marBottom w:val="0"/>
              <w:divBdr>
                <w:top w:val="none" w:sz="0" w:space="0" w:color="auto"/>
                <w:left w:val="none" w:sz="0" w:space="0" w:color="auto"/>
                <w:bottom w:val="none" w:sz="0" w:space="0" w:color="auto"/>
                <w:right w:val="none" w:sz="0" w:space="0" w:color="auto"/>
              </w:divBdr>
              <w:divsChild>
                <w:div w:id="1734160428">
                  <w:marLeft w:val="0"/>
                  <w:marRight w:val="0"/>
                  <w:marTop w:val="0"/>
                  <w:marBottom w:val="0"/>
                  <w:divBdr>
                    <w:top w:val="none" w:sz="0" w:space="0" w:color="auto"/>
                    <w:left w:val="none" w:sz="0" w:space="0" w:color="auto"/>
                    <w:bottom w:val="none" w:sz="0" w:space="0" w:color="auto"/>
                    <w:right w:val="none" w:sz="0" w:space="0" w:color="auto"/>
                  </w:divBdr>
                </w:div>
              </w:divsChild>
            </w:div>
            <w:div w:id="792601201">
              <w:marLeft w:val="0"/>
              <w:marRight w:val="0"/>
              <w:marTop w:val="0"/>
              <w:marBottom w:val="0"/>
              <w:divBdr>
                <w:top w:val="none" w:sz="0" w:space="0" w:color="auto"/>
                <w:left w:val="none" w:sz="0" w:space="0" w:color="auto"/>
                <w:bottom w:val="none" w:sz="0" w:space="0" w:color="auto"/>
                <w:right w:val="none" w:sz="0" w:space="0" w:color="auto"/>
              </w:divBdr>
              <w:divsChild>
                <w:div w:id="1653216599">
                  <w:marLeft w:val="0"/>
                  <w:marRight w:val="0"/>
                  <w:marTop w:val="0"/>
                  <w:marBottom w:val="0"/>
                  <w:divBdr>
                    <w:top w:val="none" w:sz="0" w:space="0" w:color="auto"/>
                    <w:left w:val="none" w:sz="0" w:space="0" w:color="auto"/>
                    <w:bottom w:val="none" w:sz="0" w:space="0" w:color="auto"/>
                    <w:right w:val="none" w:sz="0" w:space="0" w:color="auto"/>
                  </w:divBdr>
                </w:div>
              </w:divsChild>
            </w:div>
            <w:div w:id="860585836">
              <w:marLeft w:val="0"/>
              <w:marRight w:val="0"/>
              <w:marTop w:val="0"/>
              <w:marBottom w:val="0"/>
              <w:divBdr>
                <w:top w:val="none" w:sz="0" w:space="0" w:color="auto"/>
                <w:left w:val="none" w:sz="0" w:space="0" w:color="auto"/>
                <w:bottom w:val="none" w:sz="0" w:space="0" w:color="auto"/>
                <w:right w:val="none" w:sz="0" w:space="0" w:color="auto"/>
              </w:divBdr>
              <w:divsChild>
                <w:div w:id="538708641">
                  <w:marLeft w:val="0"/>
                  <w:marRight w:val="0"/>
                  <w:marTop w:val="0"/>
                  <w:marBottom w:val="0"/>
                  <w:divBdr>
                    <w:top w:val="none" w:sz="0" w:space="0" w:color="auto"/>
                    <w:left w:val="none" w:sz="0" w:space="0" w:color="auto"/>
                    <w:bottom w:val="none" w:sz="0" w:space="0" w:color="auto"/>
                    <w:right w:val="none" w:sz="0" w:space="0" w:color="auto"/>
                  </w:divBdr>
                </w:div>
                <w:div w:id="1080560365">
                  <w:marLeft w:val="0"/>
                  <w:marRight w:val="0"/>
                  <w:marTop w:val="0"/>
                  <w:marBottom w:val="0"/>
                  <w:divBdr>
                    <w:top w:val="none" w:sz="0" w:space="0" w:color="auto"/>
                    <w:left w:val="none" w:sz="0" w:space="0" w:color="auto"/>
                    <w:bottom w:val="none" w:sz="0" w:space="0" w:color="auto"/>
                    <w:right w:val="none" w:sz="0" w:space="0" w:color="auto"/>
                  </w:divBdr>
                </w:div>
                <w:div w:id="1272083722">
                  <w:marLeft w:val="0"/>
                  <w:marRight w:val="0"/>
                  <w:marTop w:val="0"/>
                  <w:marBottom w:val="0"/>
                  <w:divBdr>
                    <w:top w:val="none" w:sz="0" w:space="0" w:color="auto"/>
                    <w:left w:val="none" w:sz="0" w:space="0" w:color="auto"/>
                    <w:bottom w:val="none" w:sz="0" w:space="0" w:color="auto"/>
                    <w:right w:val="none" w:sz="0" w:space="0" w:color="auto"/>
                  </w:divBdr>
                </w:div>
              </w:divsChild>
            </w:div>
            <w:div w:id="932008530">
              <w:marLeft w:val="0"/>
              <w:marRight w:val="0"/>
              <w:marTop w:val="0"/>
              <w:marBottom w:val="0"/>
              <w:divBdr>
                <w:top w:val="none" w:sz="0" w:space="0" w:color="auto"/>
                <w:left w:val="none" w:sz="0" w:space="0" w:color="auto"/>
                <w:bottom w:val="none" w:sz="0" w:space="0" w:color="auto"/>
                <w:right w:val="none" w:sz="0" w:space="0" w:color="auto"/>
              </w:divBdr>
              <w:divsChild>
                <w:div w:id="1229539678">
                  <w:marLeft w:val="0"/>
                  <w:marRight w:val="0"/>
                  <w:marTop w:val="0"/>
                  <w:marBottom w:val="0"/>
                  <w:divBdr>
                    <w:top w:val="none" w:sz="0" w:space="0" w:color="auto"/>
                    <w:left w:val="none" w:sz="0" w:space="0" w:color="auto"/>
                    <w:bottom w:val="none" w:sz="0" w:space="0" w:color="auto"/>
                    <w:right w:val="none" w:sz="0" w:space="0" w:color="auto"/>
                  </w:divBdr>
                </w:div>
                <w:div w:id="2080203601">
                  <w:marLeft w:val="0"/>
                  <w:marRight w:val="0"/>
                  <w:marTop w:val="0"/>
                  <w:marBottom w:val="0"/>
                  <w:divBdr>
                    <w:top w:val="none" w:sz="0" w:space="0" w:color="auto"/>
                    <w:left w:val="none" w:sz="0" w:space="0" w:color="auto"/>
                    <w:bottom w:val="none" w:sz="0" w:space="0" w:color="auto"/>
                    <w:right w:val="none" w:sz="0" w:space="0" w:color="auto"/>
                  </w:divBdr>
                </w:div>
              </w:divsChild>
            </w:div>
            <w:div w:id="974218485">
              <w:marLeft w:val="0"/>
              <w:marRight w:val="0"/>
              <w:marTop w:val="0"/>
              <w:marBottom w:val="0"/>
              <w:divBdr>
                <w:top w:val="none" w:sz="0" w:space="0" w:color="auto"/>
                <w:left w:val="none" w:sz="0" w:space="0" w:color="auto"/>
                <w:bottom w:val="none" w:sz="0" w:space="0" w:color="auto"/>
                <w:right w:val="none" w:sz="0" w:space="0" w:color="auto"/>
              </w:divBdr>
              <w:divsChild>
                <w:div w:id="139467275">
                  <w:marLeft w:val="0"/>
                  <w:marRight w:val="0"/>
                  <w:marTop w:val="0"/>
                  <w:marBottom w:val="0"/>
                  <w:divBdr>
                    <w:top w:val="none" w:sz="0" w:space="0" w:color="auto"/>
                    <w:left w:val="none" w:sz="0" w:space="0" w:color="auto"/>
                    <w:bottom w:val="none" w:sz="0" w:space="0" w:color="auto"/>
                    <w:right w:val="none" w:sz="0" w:space="0" w:color="auto"/>
                  </w:divBdr>
                </w:div>
              </w:divsChild>
            </w:div>
            <w:div w:id="983464984">
              <w:marLeft w:val="0"/>
              <w:marRight w:val="0"/>
              <w:marTop w:val="0"/>
              <w:marBottom w:val="0"/>
              <w:divBdr>
                <w:top w:val="none" w:sz="0" w:space="0" w:color="auto"/>
                <w:left w:val="none" w:sz="0" w:space="0" w:color="auto"/>
                <w:bottom w:val="none" w:sz="0" w:space="0" w:color="auto"/>
                <w:right w:val="none" w:sz="0" w:space="0" w:color="auto"/>
              </w:divBdr>
              <w:divsChild>
                <w:div w:id="241767235">
                  <w:marLeft w:val="0"/>
                  <w:marRight w:val="0"/>
                  <w:marTop w:val="0"/>
                  <w:marBottom w:val="0"/>
                  <w:divBdr>
                    <w:top w:val="none" w:sz="0" w:space="0" w:color="auto"/>
                    <w:left w:val="none" w:sz="0" w:space="0" w:color="auto"/>
                    <w:bottom w:val="none" w:sz="0" w:space="0" w:color="auto"/>
                    <w:right w:val="none" w:sz="0" w:space="0" w:color="auto"/>
                  </w:divBdr>
                </w:div>
                <w:div w:id="251593072">
                  <w:marLeft w:val="0"/>
                  <w:marRight w:val="0"/>
                  <w:marTop w:val="0"/>
                  <w:marBottom w:val="0"/>
                  <w:divBdr>
                    <w:top w:val="none" w:sz="0" w:space="0" w:color="auto"/>
                    <w:left w:val="none" w:sz="0" w:space="0" w:color="auto"/>
                    <w:bottom w:val="none" w:sz="0" w:space="0" w:color="auto"/>
                    <w:right w:val="none" w:sz="0" w:space="0" w:color="auto"/>
                  </w:divBdr>
                </w:div>
              </w:divsChild>
            </w:div>
            <w:div w:id="1017122542">
              <w:marLeft w:val="0"/>
              <w:marRight w:val="0"/>
              <w:marTop w:val="0"/>
              <w:marBottom w:val="0"/>
              <w:divBdr>
                <w:top w:val="none" w:sz="0" w:space="0" w:color="auto"/>
                <w:left w:val="none" w:sz="0" w:space="0" w:color="auto"/>
                <w:bottom w:val="none" w:sz="0" w:space="0" w:color="auto"/>
                <w:right w:val="none" w:sz="0" w:space="0" w:color="auto"/>
              </w:divBdr>
              <w:divsChild>
                <w:div w:id="662977776">
                  <w:marLeft w:val="0"/>
                  <w:marRight w:val="0"/>
                  <w:marTop w:val="0"/>
                  <w:marBottom w:val="0"/>
                  <w:divBdr>
                    <w:top w:val="none" w:sz="0" w:space="0" w:color="auto"/>
                    <w:left w:val="none" w:sz="0" w:space="0" w:color="auto"/>
                    <w:bottom w:val="none" w:sz="0" w:space="0" w:color="auto"/>
                    <w:right w:val="none" w:sz="0" w:space="0" w:color="auto"/>
                  </w:divBdr>
                </w:div>
                <w:div w:id="1714619414">
                  <w:marLeft w:val="0"/>
                  <w:marRight w:val="0"/>
                  <w:marTop w:val="0"/>
                  <w:marBottom w:val="0"/>
                  <w:divBdr>
                    <w:top w:val="none" w:sz="0" w:space="0" w:color="auto"/>
                    <w:left w:val="none" w:sz="0" w:space="0" w:color="auto"/>
                    <w:bottom w:val="none" w:sz="0" w:space="0" w:color="auto"/>
                    <w:right w:val="none" w:sz="0" w:space="0" w:color="auto"/>
                  </w:divBdr>
                </w:div>
              </w:divsChild>
            </w:div>
            <w:div w:id="1073115862">
              <w:marLeft w:val="0"/>
              <w:marRight w:val="0"/>
              <w:marTop w:val="0"/>
              <w:marBottom w:val="0"/>
              <w:divBdr>
                <w:top w:val="none" w:sz="0" w:space="0" w:color="auto"/>
                <w:left w:val="none" w:sz="0" w:space="0" w:color="auto"/>
                <w:bottom w:val="none" w:sz="0" w:space="0" w:color="auto"/>
                <w:right w:val="none" w:sz="0" w:space="0" w:color="auto"/>
              </w:divBdr>
              <w:divsChild>
                <w:div w:id="1055812300">
                  <w:marLeft w:val="0"/>
                  <w:marRight w:val="0"/>
                  <w:marTop w:val="0"/>
                  <w:marBottom w:val="0"/>
                  <w:divBdr>
                    <w:top w:val="none" w:sz="0" w:space="0" w:color="auto"/>
                    <w:left w:val="none" w:sz="0" w:space="0" w:color="auto"/>
                    <w:bottom w:val="none" w:sz="0" w:space="0" w:color="auto"/>
                    <w:right w:val="none" w:sz="0" w:space="0" w:color="auto"/>
                  </w:divBdr>
                </w:div>
              </w:divsChild>
            </w:div>
            <w:div w:id="1139155333">
              <w:marLeft w:val="0"/>
              <w:marRight w:val="0"/>
              <w:marTop w:val="0"/>
              <w:marBottom w:val="0"/>
              <w:divBdr>
                <w:top w:val="none" w:sz="0" w:space="0" w:color="auto"/>
                <w:left w:val="none" w:sz="0" w:space="0" w:color="auto"/>
                <w:bottom w:val="none" w:sz="0" w:space="0" w:color="auto"/>
                <w:right w:val="none" w:sz="0" w:space="0" w:color="auto"/>
              </w:divBdr>
              <w:divsChild>
                <w:div w:id="457837931">
                  <w:marLeft w:val="0"/>
                  <w:marRight w:val="0"/>
                  <w:marTop w:val="0"/>
                  <w:marBottom w:val="0"/>
                  <w:divBdr>
                    <w:top w:val="none" w:sz="0" w:space="0" w:color="auto"/>
                    <w:left w:val="none" w:sz="0" w:space="0" w:color="auto"/>
                    <w:bottom w:val="none" w:sz="0" w:space="0" w:color="auto"/>
                    <w:right w:val="none" w:sz="0" w:space="0" w:color="auto"/>
                  </w:divBdr>
                </w:div>
              </w:divsChild>
            </w:div>
            <w:div w:id="1177422800">
              <w:marLeft w:val="0"/>
              <w:marRight w:val="0"/>
              <w:marTop w:val="0"/>
              <w:marBottom w:val="0"/>
              <w:divBdr>
                <w:top w:val="none" w:sz="0" w:space="0" w:color="auto"/>
                <w:left w:val="none" w:sz="0" w:space="0" w:color="auto"/>
                <w:bottom w:val="none" w:sz="0" w:space="0" w:color="auto"/>
                <w:right w:val="none" w:sz="0" w:space="0" w:color="auto"/>
              </w:divBdr>
              <w:divsChild>
                <w:div w:id="693456159">
                  <w:marLeft w:val="0"/>
                  <w:marRight w:val="0"/>
                  <w:marTop w:val="0"/>
                  <w:marBottom w:val="0"/>
                  <w:divBdr>
                    <w:top w:val="none" w:sz="0" w:space="0" w:color="auto"/>
                    <w:left w:val="none" w:sz="0" w:space="0" w:color="auto"/>
                    <w:bottom w:val="none" w:sz="0" w:space="0" w:color="auto"/>
                    <w:right w:val="none" w:sz="0" w:space="0" w:color="auto"/>
                  </w:divBdr>
                </w:div>
              </w:divsChild>
            </w:div>
            <w:div w:id="1266501958">
              <w:marLeft w:val="0"/>
              <w:marRight w:val="0"/>
              <w:marTop w:val="0"/>
              <w:marBottom w:val="0"/>
              <w:divBdr>
                <w:top w:val="none" w:sz="0" w:space="0" w:color="auto"/>
                <w:left w:val="none" w:sz="0" w:space="0" w:color="auto"/>
                <w:bottom w:val="none" w:sz="0" w:space="0" w:color="auto"/>
                <w:right w:val="none" w:sz="0" w:space="0" w:color="auto"/>
              </w:divBdr>
              <w:divsChild>
                <w:div w:id="818619777">
                  <w:marLeft w:val="0"/>
                  <w:marRight w:val="0"/>
                  <w:marTop w:val="0"/>
                  <w:marBottom w:val="0"/>
                  <w:divBdr>
                    <w:top w:val="none" w:sz="0" w:space="0" w:color="auto"/>
                    <w:left w:val="none" w:sz="0" w:space="0" w:color="auto"/>
                    <w:bottom w:val="none" w:sz="0" w:space="0" w:color="auto"/>
                    <w:right w:val="none" w:sz="0" w:space="0" w:color="auto"/>
                  </w:divBdr>
                </w:div>
              </w:divsChild>
            </w:div>
            <w:div w:id="1299149421">
              <w:marLeft w:val="0"/>
              <w:marRight w:val="0"/>
              <w:marTop w:val="0"/>
              <w:marBottom w:val="0"/>
              <w:divBdr>
                <w:top w:val="none" w:sz="0" w:space="0" w:color="auto"/>
                <w:left w:val="none" w:sz="0" w:space="0" w:color="auto"/>
                <w:bottom w:val="none" w:sz="0" w:space="0" w:color="auto"/>
                <w:right w:val="none" w:sz="0" w:space="0" w:color="auto"/>
              </w:divBdr>
              <w:divsChild>
                <w:div w:id="338168031">
                  <w:marLeft w:val="0"/>
                  <w:marRight w:val="0"/>
                  <w:marTop w:val="0"/>
                  <w:marBottom w:val="0"/>
                  <w:divBdr>
                    <w:top w:val="none" w:sz="0" w:space="0" w:color="auto"/>
                    <w:left w:val="none" w:sz="0" w:space="0" w:color="auto"/>
                    <w:bottom w:val="none" w:sz="0" w:space="0" w:color="auto"/>
                    <w:right w:val="none" w:sz="0" w:space="0" w:color="auto"/>
                  </w:divBdr>
                </w:div>
                <w:div w:id="1946494727">
                  <w:marLeft w:val="0"/>
                  <w:marRight w:val="0"/>
                  <w:marTop w:val="0"/>
                  <w:marBottom w:val="0"/>
                  <w:divBdr>
                    <w:top w:val="none" w:sz="0" w:space="0" w:color="auto"/>
                    <w:left w:val="none" w:sz="0" w:space="0" w:color="auto"/>
                    <w:bottom w:val="none" w:sz="0" w:space="0" w:color="auto"/>
                    <w:right w:val="none" w:sz="0" w:space="0" w:color="auto"/>
                  </w:divBdr>
                </w:div>
              </w:divsChild>
            </w:div>
            <w:div w:id="1317688445">
              <w:marLeft w:val="0"/>
              <w:marRight w:val="0"/>
              <w:marTop w:val="0"/>
              <w:marBottom w:val="0"/>
              <w:divBdr>
                <w:top w:val="none" w:sz="0" w:space="0" w:color="auto"/>
                <w:left w:val="none" w:sz="0" w:space="0" w:color="auto"/>
                <w:bottom w:val="none" w:sz="0" w:space="0" w:color="auto"/>
                <w:right w:val="none" w:sz="0" w:space="0" w:color="auto"/>
              </w:divBdr>
              <w:divsChild>
                <w:div w:id="730661707">
                  <w:marLeft w:val="0"/>
                  <w:marRight w:val="0"/>
                  <w:marTop w:val="0"/>
                  <w:marBottom w:val="0"/>
                  <w:divBdr>
                    <w:top w:val="none" w:sz="0" w:space="0" w:color="auto"/>
                    <w:left w:val="none" w:sz="0" w:space="0" w:color="auto"/>
                    <w:bottom w:val="none" w:sz="0" w:space="0" w:color="auto"/>
                    <w:right w:val="none" w:sz="0" w:space="0" w:color="auto"/>
                  </w:divBdr>
                </w:div>
              </w:divsChild>
            </w:div>
            <w:div w:id="1588660282">
              <w:marLeft w:val="0"/>
              <w:marRight w:val="0"/>
              <w:marTop w:val="0"/>
              <w:marBottom w:val="0"/>
              <w:divBdr>
                <w:top w:val="none" w:sz="0" w:space="0" w:color="auto"/>
                <w:left w:val="none" w:sz="0" w:space="0" w:color="auto"/>
                <w:bottom w:val="none" w:sz="0" w:space="0" w:color="auto"/>
                <w:right w:val="none" w:sz="0" w:space="0" w:color="auto"/>
              </w:divBdr>
              <w:divsChild>
                <w:div w:id="1034773810">
                  <w:marLeft w:val="0"/>
                  <w:marRight w:val="0"/>
                  <w:marTop w:val="0"/>
                  <w:marBottom w:val="0"/>
                  <w:divBdr>
                    <w:top w:val="none" w:sz="0" w:space="0" w:color="auto"/>
                    <w:left w:val="none" w:sz="0" w:space="0" w:color="auto"/>
                    <w:bottom w:val="none" w:sz="0" w:space="0" w:color="auto"/>
                    <w:right w:val="none" w:sz="0" w:space="0" w:color="auto"/>
                  </w:divBdr>
                </w:div>
              </w:divsChild>
            </w:div>
            <w:div w:id="1588727853">
              <w:marLeft w:val="0"/>
              <w:marRight w:val="0"/>
              <w:marTop w:val="0"/>
              <w:marBottom w:val="0"/>
              <w:divBdr>
                <w:top w:val="none" w:sz="0" w:space="0" w:color="auto"/>
                <w:left w:val="none" w:sz="0" w:space="0" w:color="auto"/>
                <w:bottom w:val="none" w:sz="0" w:space="0" w:color="auto"/>
                <w:right w:val="none" w:sz="0" w:space="0" w:color="auto"/>
              </w:divBdr>
              <w:divsChild>
                <w:div w:id="593973793">
                  <w:marLeft w:val="0"/>
                  <w:marRight w:val="0"/>
                  <w:marTop w:val="0"/>
                  <w:marBottom w:val="0"/>
                  <w:divBdr>
                    <w:top w:val="none" w:sz="0" w:space="0" w:color="auto"/>
                    <w:left w:val="none" w:sz="0" w:space="0" w:color="auto"/>
                    <w:bottom w:val="none" w:sz="0" w:space="0" w:color="auto"/>
                    <w:right w:val="none" w:sz="0" w:space="0" w:color="auto"/>
                  </w:divBdr>
                </w:div>
              </w:divsChild>
            </w:div>
            <w:div w:id="1616207997">
              <w:marLeft w:val="0"/>
              <w:marRight w:val="0"/>
              <w:marTop w:val="0"/>
              <w:marBottom w:val="0"/>
              <w:divBdr>
                <w:top w:val="none" w:sz="0" w:space="0" w:color="auto"/>
                <w:left w:val="none" w:sz="0" w:space="0" w:color="auto"/>
                <w:bottom w:val="none" w:sz="0" w:space="0" w:color="auto"/>
                <w:right w:val="none" w:sz="0" w:space="0" w:color="auto"/>
              </w:divBdr>
              <w:divsChild>
                <w:div w:id="53050392">
                  <w:marLeft w:val="0"/>
                  <w:marRight w:val="0"/>
                  <w:marTop w:val="0"/>
                  <w:marBottom w:val="0"/>
                  <w:divBdr>
                    <w:top w:val="none" w:sz="0" w:space="0" w:color="auto"/>
                    <w:left w:val="none" w:sz="0" w:space="0" w:color="auto"/>
                    <w:bottom w:val="none" w:sz="0" w:space="0" w:color="auto"/>
                    <w:right w:val="none" w:sz="0" w:space="0" w:color="auto"/>
                  </w:divBdr>
                </w:div>
              </w:divsChild>
            </w:div>
            <w:div w:id="1714497806">
              <w:marLeft w:val="0"/>
              <w:marRight w:val="0"/>
              <w:marTop w:val="0"/>
              <w:marBottom w:val="0"/>
              <w:divBdr>
                <w:top w:val="none" w:sz="0" w:space="0" w:color="auto"/>
                <w:left w:val="none" w:sz="0" w:space="0" w:color="auto"/>
                <w:bottom w:val="none" w:sz="0" w:space="0" w:color="auto"/>
                <w:right w:val="none" w:sz="0" w:space="0" w:color="auto"/>
              </w:divBdr>
              <w:divsChild>
                <w:div w:id="1139881190">
                  <w:marLeft w:val="0"/>
                  <w:marRight w:val="0"/>
                  <w:marTop w:val="0"/>
                  <w:marBottom w:val="0"/>
                  <w:divBdr>
                    <w:top w:val="none" w:sz="0" w:space="0" w:color="auto"/>
                    <w:left w:val="none" w:sz="0" w:space="0" w:color="auto"/>
                    <w:bottom w:val="none" w:sz="0" w:space="0" w:color="auto"/>
                    <w:right w:val="none" w:sz="0" w:space="0" w:color="auto"/>
                  </w:divBdr>
                </w:div>
              </w:divsChild>
            </w:div>
            <w:div w:id="1718891833">
              <w:marLeft w:val="0"/>
              <w:marRight w:val="0"/>
              <w:marTop w:val="0"/>
              <w:marBottom w:val="0"/>
              <w:divBdr>
                <w:top w:val="none" w:sz="0" w:space="0" w:color="auto"/>
                <w:left w:val="none" w:sz="0" w:space="0" w:color="auto"/>
                <w:bottom w:val="none" w:sz="0" w:space="0" w:color="auto"/>
                <w:right w:val="none" w:sz="0" w:space="0" w:color="auto"/>
              </w:divBdr>
              <w:divsChild>
                <w:div w:id="862086955">
                  <w:marLeft w:val="0"/>
                  <w:marRight w:val="0"/>
                  <w:marTop w:val="0"/>
                  <w:marBottom w:val="0"/>
                  <w:divBdr>
                    <w:top w:val="none" w:sz="0" w:space="0" w:color="auto"/>
                    <w:left w:val="none" w:sz="0" w:space="0" w:color="auto"/>
                    <w:bottom w:val="none" w:sz="0" w:space="0" w:color="auto"/>
                    <w:right w:val="none" w:sz="0" w:space="0" w:color="auto"/>
                  </w:divBdr>
                </w:div>
                <w:div w:id="2142503675">
                  <w:marLeft w:val="0"/>
                  <w:marRight w:val="0"/>
                  <w:marTop w:val="0"/>
                  <w:marBottom w:val="0"/>
                  <w:divBdr>
                    <w:top w:val="none" w:sz="0" w:space="0" w:color="auto"/>
                    <w:left w:val="none" w:sz="0" w:space="0" w:color="auto"/>
                    <w:bottom w:val="none" w:sz="0" w:space="0" w:color="auto"/>
                    <w:right w:val="none" w:sz="0" w:space="0" w:color="auto"/>
                  </w:divBdr>
                </w:div>
              </w:divsChild>
            </w:div>
            <w:div w:id="1752001511">
              <w:marLeft w:val="0"/>
              <w:marRight w:val="0"/>
              <w:marTop w:val="0"/>
              <w:marBottom w:val="0"/>
              <w:divBdr>
                <w:top w:val="none" w:sz="0" w:space="0" w:color="auto"/>
                <w:left w:val="none" w:sz="0" w:space="0" w:color="auto"/>
                <w:bottom w:val="none" w:sz="0" w:space="0" w:color="auto"/>
                <w:right w:val="none" w:sz="0" w:space="0" w:color="auto"/>
              </w:divBdr>
              <w:divsChild>
                <w:div w:id="213860057">
                  <w:marLeft w:val="0"/>
                  <w:marRight w:val="0"/>
                  <w:marTop w:val="0"/>
                  <w:marBottom w:val="0"/>
                  <w:divBdr>
                    <w:top w:val="none" w:sz="0" w:space="0" w:color="auto"/>
                    <w:left w:val="none" w:sz="0" w:space="0" w:color="auto"/>
                    <w:bottom w:val="none" w:sz="0" w:space="0" w:color="auto"/>
                    <w:right w:val="none" w:sz="0" w:space="0" w:color="auto"/>
                  </w:divBdr>
                </w:div>
                <w:div w:id="670376545">
                  <w:marLeft w:val="0"/>
                  <w:marRight w:val="0"/>
                  <w:marTop w:val="0"/>
                  <w:marBottom w:val="0"/>
                  <w:divBdr>
                    <w:top w:val="none" w:sz="0" w:space="0" w:color="auto"/>
                    <w:left w:val="none" w:sz="0" w:space="0" w:color="auto"/>
                    <w:bottom w:val="none" w:sz="0" w:space="0" w:color="auto"/>
                    <w:right w:val="none" w:sz="0" w:space="0" w:color="auto"/>
                  </w:divBdr>
                </w:div>
              </w:divsChild>
            </w:div>
            <w:div w:id="1771974020">
              <w:marLeft w:val="0"/>
              <w:marRight w:val="0"/>
              <w:marTop w:val="0"/>
              <w:marBottom w:val="0"/>
              <w:divBdr>
                <w:top w:val="none" w:sz="0" w:space="0" w:color="auto"/>
                <w:left w:val="none" w:sz="0" w:space="0" w:color="auto"/>
                <w:bottom w:val="none" w:sz="0" w:space="0" w:color="auto"/>
                <w:right w:val="none" w:sz="0" w:space="0" w:color="auto"/>
              </w:divBdr>
              <w:divsChild>
                <w:div w:id="307638301">
                  <w:marLeft w:val="0"/>
                  <w:marRight w:val="0"/>
                  <w:marTop w:val="0"/>
                  <w:marBottom w:val="0"/>
                  <w:divBdr>
                    <w:top w:val="none" w:sz="0" w:space="0" w:color="auto"/>
                    <w:left w:val="none" w:sz="0" w:space="0" w:color="auto"/>
                    <w:bottom w:val="none" w:sz="0" w:space="0" w:color="auto"/>
                    <w:right w:val="none" w:sz="0" w:space="0" w:color="auto"/>
                  </w:divBdr>
                </w:div>
              </w:divsChild>
            </w:div>
            <w:div w:id="1801922123">
              <w:marLeft w:val="0"/>
              <w:marRight w:val="0"/>
              <w:marTop w:val="0"/>
              <w:marBottom w:val="0"/>
              <w:divBdr>
                <w:top w:val="none" w:sz="0" w:space="0" w:color="auto"/>
                <w:left w:val="none" w:sz="0" w:space="0" w:color="auto"/>
                <w:bottom w:val="none" w:sz="0" w:space="0" w:color="auto"/>
                <w:right w:val="none" w:sz="0" w:space="0" w:color="auto"/>
              </w:divBdr>
              <w:divsChild>
                <w:div w:id="1062363873">
                  <w:marLeft w:val="0"/>
                  <w:marRight w:val="0"/>
                  <w:marTop w:val="0"/>
                  <w:marBottom w:val="0"/>
                  <w:divBdr>
                    <w:top w:val="none" w:sz="0" w:space="0" w:color="auto"/>
                    <w:left w:val="none" w:sz="0" w:space="0" w:color="auto"/>
                    <w:bottom w:val="none" w:sz="0" w:space="0" w:color="auto"/>
                    <w:right w:val="none" w:sz="0" w:space="0" w:color="auto"/>
                  </w:divBdr>
                </w:div>
              </w:divsChild>
            </w:div>
            <w:div w:id="1828745294">
              <w:marLeft w:val="0"/>
              <w:marRight w:val="0"/>
              <w:marTop w:val="0"/>
              <w:marBottom w:val="0"/>
              <w:divBdr>
                <w:top w:val="none" w:sz="0" w:space="0" w:color="auto"/>
                <w:left w:val="none" w:sz="0" w:space="0" w:color="auto"/>
                <w:bottom w:val="none" w:sz="0" w:space="0" w:color="auto"/>
                <w:right w:val="none" w:sz="0" w:space="0" w:color="auto"/>
              </w:divBdr>
              <w:divsChild>
                <w:div w:id="2019500394">
                  <w:marLeft w:val="0"/>
                  <w:marRight w:val="0"/>
                  <w:marTop w:val="0"/>
                  <w:marBottom w:val="0"/>
                  <w:divBdr>
                    <w:top w:val="none" w:sz="0" w:space="0" w:color="auto"/>
                    <w:left w:val="none" w:sz="0" w:space="0" w:color="auto"/>
                    <w:bottom w:val="none" w:sz="0" w:space="0" w:color="auto"/>
                    <w:right w:val="none" w:sz="0" w:space="0" w:color="auto"/>
                  </w:divBdr>
                </w:div>
              </w:divsChild>
            </w:div>
            <w:div w:id="1980457095">
              <w:marLeft w:val="0"/>
              <w:marRight w:val="0"/>
              <w:marTop w:val="0"/>
              <w:marBottom w:val="0"/>
              <w:divBdr>
                <w:top w:val="none" w:sz="0" w:space="0" w:color="auto"/>
                <w:left w:val="none" w:sz="0" w:space="0" w:color="auto"/>
                <w:bottom w:val="none" w:sz="0" w:space="0" w:color="auto"/>
                <w:right w:val="none" w:sz="0" w:space="0" w:color="auto"/>
              </w:divBdr>
              <w:divsChild>
                <w:div w:id="1076437791">
                  <w:marLeft w:val="0"/>
                  <w:marRight w:val="0"/>
                  <w:marTop w:val="0"/>
                  <w:marBottom w:val="0"/>
                  <w:divBdr>
                    <w:top w:val="none" w:sz="0" w:space="0" w:color="auto"/>
                    <w:left w:val="none" w:sz="0" w:space="0" w:color="auto"/>
                    <w:bottom w:val="none" w:sz="0" w:space="0" w:color="auto"/>
                    <w:right w:val="none" w:sz="0" w:space="0" w:color="auto"/>
                  </w:divBdr>
                </w:div>
              </w:divsChild>
            </w:div>
            <w:div w:id="2007514271">
              <w:marLeft w:val="0"/>
              <w:marRight w:val="0"/>
              <w:marTop w:val="0"/>
              <w:marBottom w:val="0"/>
              <w:divBdr>
                <w:top w:val="none" w:sz="0" w:space="0" w:color="auto"/>
                <w:left w:val="none" w:sz="0" w:space="0" w:color="auto"/>
                <w:bottom w:val="none" w:sz="0" w:space="0" w:color="auto"/>
                <w:right w:val="none" w:sz="0" w:space="0" w:color="auto"/>
              </w:divBdr>
              <w:divsChild>
                <w:div w:id="492263917">
                  <w:marLeft w:val="0"/>
                  <w:marRight w:val="0"/>
                  <w:marTop w:val="0"/>
                  <w:marBottom w:val="0"/>
                  <w:divBdr>
                    <w:top w:val="none" w:sz="0" w:space="0" w:color="auto"/>
                    <w:left w:val="none" w:sz="0" w:space="0" w:color="auto"/>
                    <w:bottom w:val="none" w:sz="0" w:space="0" w:color="auto"/>
                    <w:right w:val="none" w:sz="0" w:space="0" w:color="auto"/>
                  </w:divBdr>
                </w:div>
              </w:divsChild>
            </w:div>
            <w:div w:id="2084449495">
              <w:marLeft w:val="0"/>
              <w:marRight w:val="0"/>
              <w:marTop w:val="0"/>
              <w:marBottom w:val="0"/>
              <w:divBdr>
                <w:top w:val="none" w:sz="0" w:space="0" w:color="auto"/>
                <w:left w:val="none" w:sz="0" w:space="0" w:color="auto"/>
                <w:bottom w:val="none" w:sz="0" w:space="0" w:color="auto"/>
                <w:right w:val="none" w:sz="0" w:space="0" w:color="auto"/>
              </w:divBdr>
              <w:divsChild>
                <w:div w:id="1564489081">
                  <w:marLeft w:val="0"/>
                  <w:marRight w:val="0"/>
                  <w:marTop w:val="0"/>
                  <w:marBottom w:val="0"/>
                  <w:divBdr>
                    <w:top w:val="none" w:sz="0" w:space="0" w:color="auto"/>
                    <w:left w:val="none" w:sz="0" w:space="0" w:color="auto"/>
                    <w:bottom w:val="none" w:sz="0" w:space="0" w:color="auto"/>
                    <w:right w:val="none" w:sz="0" w:space="0" w:color="auto"/>
                  </w:divBdr>
                </w:div>
              </w:divsChild>
            </w:div>
            <w:div w:id="2129815320">
              <w:marLeft w:val="0"/>
              <w:marRight w:val="0"/>
              <w:marTop w:val="0"/>
              <w:marBottom w:val="0"/>
              <w:divBdr>
                <w:top w:val="none" w:sz="0" w:space="0" w:color="auto"/>
                <w:left w:val="none" w:sz="0" w:space="0" w:color="auto"/>
                <w:bottom w:val="none" w:sz="0" w:space="0" w:color="auto"/>
                <w:right w:val="none" w:sz="0" w:space="0" w:color="auto"/>
              </w:divBdr>
              <w:divsChild>
                <w:div w:id="3363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7408">
      <w:bodyDiv w:val="1"/>
      <w:marLeft w:val="0"/>
      <w:marRight w:val="0"/>
      <w:marTop w:val="0"/>
      <w:marBottom w:val="0"/>
      <w:divBdr>
        <w:top w:val="none" w:sz="0" w:space="0" w:color="auto"/>
        <w:left w:val="none" w:sz="0" w:space="0" w:color="auto"/>
        <w:bottom w:val="none" w:sz="0" w:space="0" w:color="auto"/>
        <w:right w:val="none" w:sz="0" w:space="0" w:color="auto"/>
      </w:divBdr>
    </w:div>
    <w:div w:id="403138570">
      <w:bodyDiv w:val="1"/>
      <w:marLeft w:val="0"/>
      <w:marRight w:val="0"/>
      <w:marTop w:val="0"/>
      <w:marBottom w:val="0"/>
      <w:divBdr>
        <w:top w:val="none" w:sz="0" w:space="0" w:color="auto"/>
        <w:left w:val="none" w:sz="0" w:space="0" w:color="auto"/>
        <w:bottom w:val="none" w:sz="0" w:space="0" w:color="auto"/>
        <w:right w:val="none" w:sz="0" w:space="0" w:color="auto"/>
      </w:divBdr>
    </w:div>
    <w:div w:id="409935488">
      <w:bodyDiv w:val="1"/>
      <w:marLeft w:val="0"/>
      <w:marRight w:val="0"/>
      <w:marTop w:val="0"/>
      <w:marBottom w:val="0"/>
      <w:divBdr>
        <w:top w:val="none" w:sz="0" w:space="0" w:color="auto"/>
        <w:left w:val="none" w:sz="0" w:space="0" w:color="auto"/>
        <w:bottom w:val="none" w:sz="0" w:space="0" w:color="auto"/>
        <w:right w:val="none" w:sz="0" w:space="0" w:color="auto"/>
      </w:divBdr>
    </w:div>
    <w:div w:id="428087926">
      <w:bodyDiv w:val="1"/>
      <w:marLeft w:val="0"/>
      <w:marRight w:val="0"/>
      <w:marTop w:val="0"/>
      <w:marBottom w:val="0"/>
      <w:divBdr>
        <w:top w:val="none" w:sz="0" w:space="0" w:color="auto"/>
        <w:left w:val="none" w:sz="0" w:space="0" w:color="auto"/>
        <w:bottom w:val="none" w:sz="0" w:space="0" w:color="auto"/>
        <w:right w:val="none" w:sz="0" w:space="0" w:color="auto"/>
      </w:divBdr>
    </w:div>
    <w:div w:id="439572398">
      <w:bodyDiv w:val="1"/>
      <w:marLeft w:val="0"/>
      <w:marRight w:val="0"/>
      <w:marTop w:val="0"/>
      <w:marBottom w:val="0"/>
      <w:divBdr>
        <w:top w:val="none" w:sz="0" w:space="0" w:color="auto"/>
        <w:left w:val="none" w:sz="0" w:space="0" w:color="auto"/>
        <w:bottom w:val="none" w:sz="0" w:space="0" w:color="auto"/>
        <w:right w:val="none" w:sz="0" w:space="0" w:color="auto"/>
      </w:divBdr>
    </w:div>
    <w:div w:id="453717817">
      <w:bodyDiv w:val="1"/>
      <w:marLeft w:val="0"/>
      <w:marRight w:val="0"/>
      <w:marTop w:val="0"/>
      <w:marBottom w:val="0"/>
      <w:divBdr>
        <w:top w:val="none" w:sz="0" w:space="0" w:color="auto"/>
        <w:left w:val="none" w:sz="0" w:space="0" w:color="auto"/>
        <w:bottom w:val="none" w:sz="0" w:space="0" w:color="auto"/>
        <w:right w:val="none" w:sz="0" w:space="0" w:color="auto"/>
      </w:divBdr>
    </w:div>
    <w:div w:id="456990991">
      <w:bodyDiv w:val="1"/>
      <w:marLeft w:val="0"/>
      <w:marRight w:val="0"/>
      <w:marTop w:val="0"/>
      <w:marBottom w:val="0"/>
      <w:divBdr>
        <w:top w:val="none" w:sz="0" w:space="0" w:color="auto"/>
        <w:left w:val="none" w:sz="0" w:space="0" w:color="auto"/>
        <w:bottom w:val="none" w:sz="0" w:space="0" w:color="auto"/>
        <w:right w:val="none" w:sz="0" w:space="0" w:color="auto"/>
      </w:divBdr>
    </w:div>
    <w:div w:id="476608844">
      <w:bodyDiv w:val="1"/>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751201859">
              <w:marLeft w:val="0"/>
              <w:marRight w:val="0"/>
              <w:marTop w:val="30"/>
              <w:marBottom w:val="30"/>
              <w:divBdr>
                <w:top w:val="none" w:sz="0" w:space="0" w:color="auto"/>
                <w:left w:val="none" w:sz="0" w:space="0" w:color="auto"/>
                <w:bottom w:val="none" w:sz="0" w:space="0" w:color="auto"/>
                <w:right w:val="none" w:sz="0" w:space="0" w:color="auto"/>
              </w:divBdr>
              <w:divsChild>
                <w:div w:id="4135842">
                  <w:marLeft w:val="0"/>
                  <w:marRight w:val="0"/>
                  <w:marTop w:val="0"/>
                  <w:marBottom w:val="0"/>
                  <w:divBdr>
                    <w:top w:val="none" w:sz="0" w:space="0" w:color="auto"/>
                    <w:left w:val="none" w:sz="0" w:space="0" w:color="auto"/>
                    <w:bottom w:val="none" w:sz="0" w:space="0" w:color="auto"/>
                    <w:right w:val="none" w:sz="0" w:space="0" w:color="auto"/>
                  </w:divBdr>
                  <w:divsChild>
                    <w:div w:id="1949770621">
                      <w:marLeft w:val="0"/>
                      <w:marRight w:val="0"/>
                      <w:marTop w:val="0"/>
                      <w:marBottom w:val="0"/>
                      <w:divBdr>
                        <w:top w:val="none" w:sz="0" w:space="0" w:color="auto"/>
                        <w:left w:val="none" w:sz="0" w:space="0" w:color="auto"/>
                        <w:bottom w:val="none" w:sz="0" w:space="0" w:color="auto"/>
                        <w:right w:val="none" w:sz="0" w:space="0" w:color="auto"/>
                      </w:divBdr>
                    </w:div>
                  </w:divsChild>
                </w:div>
                <w:div w:id="6299138">
                  <w:marLeft w:val="0"/>
                  <w:marRight w:val="0"/>
                  <w:marTop w:val="0"/>
                  <w:marBottom w:val="0"/>
                  <w:divBdr>
                    <w:top w:val="none" w:sz="0" w:space="0" w:color="auto"/>
                    <w:left w:val="none" w:sz="0" w:space="0" w:color="auto"/>
                    <w:bottom w:val="none" w:sz="0" w:space="0" w:color="auto"/>
                    <w:right w:val="none" w:sz="0" w:space="0" w:color="auto"/>
                  </w:divBdr>
                  <w:divsChild>
                    <w:div w:id="1455362706">
                      <w:marLeft w:val="0"/>
                      <w:marRight w:val="0"/>
                      <w:marTop w:val="0"/>
                      <w:marBottom w:val="0"/>
                      <w:divBdr>
                        <w:top w:val="none" w:sz="0" w:space="0" w:color="auto"/>
                        <w:left w:val="none" w:sz="0" w:space="0" w:color="auto"/>
                        <w:bottom w:val="none" w:sz="0" w:space="0" w:color="auto"/>
                        <w:right w:val="none" w:sz="0" w:space="0" w:color="auto"/>
                      </w:divBdr>
                    </w:div>
                  </w:divsChild>
                </w:div>
                <w:div w:id="10298340">
                  <w:marLeft w:val="0"/>
                  <w:marRight w:val="0"/>
                  <w:marTop w:val="0"/>
                  <w:marBottom w:val="0"/>
                  <w:divBdr>
                    <w:top w:val="none" w:sz="0" w:space="0" w:color="auto"/>
                    <w:left w:val="none" w:sz="0" w:space="0" w:color="auto"/>
                    <w:bottom w:val="none" w:sz="0" w:space="0" w:color="auto"/>
                    <w:right w:val="none" w:sz="0" w:space="0" w:color="auto"/>
                  </w:divBdr>
                  <w:divsChild>
                    <w:div w:id="1980379927">
                      <w:marLeft w:val="0"/>
                      <w:marRight w:val="0"/>
                      <w:marTop w:val="0"/>
                      <w:marBottom w:val="0"/>
                      <w:divBdr>
                        <w:top w:val="none" w:sz="0" w:space="0" w:color="auto"/>
                        <w:left w:val="none" w:sz="0" w:space="0" w:color="auto"/>
                        <w:bottom w:val="none" w:sz="0" w:space="0" w:color="auto"/>
                        <w:right w:val="none" w:sz="0" w:space="0" w:color="auto"/>
                      </w:divBdr>
                    </w:div>
                  </w:divsChild>
                </w:div>
                <w:div w:id="11035048">
                  <w:marLeft w:val="0"/>
                  <w:marRight w:val="0"/>
                  <w:marTop w:val="0"/>
                  <w:marBottom w:val="0"/>
                  <w:divBdr>
                    <w:top w:val="none" w:sz="0" w:space="0" w:color="auto"/>
                    <w:left w:val="none" w:sz="0" w:space="0" w:color="auto"/>
                    <w:bottom w:val="none" w:sz="0" w:space="0" w:color="auto"/>
                    <w:right w:val="none" w:sz="0" w:space="0" w:color="auto"/>
                  </w:divBdr>
                  <w:divsChild>
                    <w:div w:id="1210066089">
                      <w:marLeft w:val="0"/>
                      <w:marRight w:val="0"/>
                      <w:marTop w:val="0"/>
                      <w:marBottom w:val="0"/>
                      <w:divBdr>
                        <w:top w:val="none" w:sz="0" w:space="0" w:color="auto"/>
                        <w:left w:val="none" w:sz="0" w:space="0" w:color="auto"/>
                        <w:bottom w:val="none" w:sz="0" w:space="0" w:color="auto"/>
                        <w:right w:val="none" w:sz="0" w:space="0" w:color="auto"/>
                      </w:divBdr>
                    </w:div>
                  </w:divsChild>
                </w:div>
                <w:div w:id="15352117">
                  <w:marLeft w:val="0"/>
                  <w:marRight w:val="0"/>
                  <w:marTop w:val="0"/>
                  <w:marBottom w:val="0"/>
                  <w:divBdr>
                    <w:top w:val="none" w:sz="0" w:space="0" w:color="auto"/>
                    <w:left w:val="none" w:sz="0" w:space="0" w:color="auto"/>
                    <w:bottom w:val="none" w:sz="0" w:space="0" w:color="auto"/>
                    <w:right w:val="none" w:sz="0" w:space="0" w:color="auto"/>
                  </w:divBdr>
                  <w:divsChild>
                    <w:div w:id="2092728275">
                      <w:marLeft w:val="0"/>
                      <w:marRight w:val="0"/>
                      <w:marTop w:val="0"/>
                      <w:marBottom w:val="0"/>
                      <w:divBdr>
                        <w:top w:val="none" w:sz="0" w:space="0" w:color="auto"/>
                        <w:left w:val="none" w:sz="0" w:space="0" w:color="auto"/>
                        <w:bottom w:val="none" w:sz="0" w:space="0" w:color="auto"/>
                        <w:right w:val="none" w:sz="0" w:space="0" w:color="auto"/>
                      </w:divBdr>
                    </w:div>
                  </w:divsChild>
                </w:div>
                <w:div w:id="15663347">
                  <w:marLeft w:val="0"/>
                  <w:marRight w:val="0"/>
                  <w:marTop w:val="0"/>
                  <w:marBottom w:val="0"/>
                  <w:divBdr>
                    <w:top w:val="none" w:sz="0" w:space="0" w:color="auto"/>
                    <w:left w:val="none" w:sz="0" w:space="0" w:color="auto"/>
                    <w:bottom w:val="none" w:sz="0" w:space="0" w:color="auto"/>
                    <w:right w:val="none" w:sz="0" w:space="0" w:color="auto"/>
                  </w:divBdr>
                  <w:divsChild>
                    <w:div w:id="2132244488">
                      <w:marLeft w:val="0"/>
                      <w:marRight w:val="0"/>
                      <w:marTop w:val="0"/>
                      <w:marBottom w:val="0"/>
                      <w:divBdr>
                        <w:top w:val="none" w:sz="0" w:space="0" w:color="auto"/>
                        <w:left w:val="none" w:sz="0" w:space="0" w:color="auto"/>
                        <w:bottom w:val="none" w:sz="0" w:space="0" w:color="auto"/>
                        <w:right w:val="none" w:sz="0" w:space="0" w:color="auto"/>
                      </w:divBdr>
                    </w:div>
                  </w:divsChild>
                </w:div>
                <w:div w:id="19554876">
                  <w:marLeft w:val="0"/>
                  <w:marRight w:val="0"/>
                  <w:marTop w:val="0"/>
                  <w:marBottom w:val="0"/>
                  <w:divBdr>
                    <w:top w:val="none" w:sz="0" w:space="0" w:color="auto"/>
                    <w:left w:val="none" w:sz="0" w:space="0" w:color="auto"/>
                    <w:bottom w:val="none" w:sz="0" w:space="0" w:color="auto"/>
                    <w:right w:val="none" w:sz="0" w:space="0" w:color="auto"/>
                  </w:divBdr>
                  <w:divsChild>
                    <w:div w:id="434129715">
                      <w:marLeft w:val="0"/>
                      <w:marRight w:val="0"/>
                      <w:marTop w:val="0"/>
                      <w:marBottom w:val="0"/>
                      <w:divBdr>
                        <w:top w:val="none" w:sz="0" w:space="0" w:color="auto"/>
                        <w:left w:val="none" w:sz="0" w:space="0" w:color="auto"/>
                        <w:bottom w:val="none" w:sz="0" w:space="0" w:color="auto"/>
                        <w:right w:val="none" w:sz="0" w:space="0" w:color="auto"/>
                      </w:divBdr>
                    </w:div>
                  </w:divsChild>
                </w:div>
                <w:div w:id="24252101">
                  <w:marLeft w:val="0"/>
                  <w:marRight w:val="0"/>
                  <w:marTop w:val="0"/>
                  <w:marBottom w:val="0"/>
                  <w:divBdr>
                    <w:top w:val="none" w:sz="0" w:space="0" w:color="auto"/>
                    <w:left w:val="none" w:sz="0" w:space="0" w:color="auto"/>
                    <w:bottom w:val="none" w:sz="0" w:space="0" w:color="auto"/>
                    <w:right w:val="none" w:sz="0" w:space="0" w:color="auto"/>
                  </w:divBdr>
                  <w:divsChild>
                    <w:div w:id="1154880687">
                      <w:marLeft w:val="0"/>
                      <w:marRight w:val="0"/>
                      <w:marTop w:val="0"/>
                      <w:marBottom w:val="0"/>
                      <w:divBdr>
                        <w:top w:val="none" w:sz="0" w:space="0" w:color="auto"/>
                        <w:left w:val="none" w:sz="0" w:space="0" w:color="auto"/>
                        <w:bottom w:val="none" w:sz="0" w:space="0" w:color="auto"/>
                        <w:right w:val="none" w:sz="0" w:space="0" w:color="auto"/>
                      </w:divBdr>
                    </w:div>
                  </w:divsChild>
                </w:div>
                <w:div w:id="25185491">
                  <w:marLeft w:val="0"/>
                  <w:marRight w:val="0"/>
                  <w:marTop w:val="0"/>
                  <w:marBottom w:val="0"/>
                  <w:divBdr>
                    <w:top w:val="none" w:sz="0" w:space="0" w:color="auto"/>
                    <w:left w:val="none" w:sz="0" w:space="0" w:color="auto"/>
                    <w:bottom w:val="none" w:sz="0" w:space="0" w:color="auto"/>
                    <w:right w:val="none" w:sz="0" w:space="0" w:color="auto"/>
                  </w:divBdr>
                  <w:divsChild>
                    <w:div w:id="1210646938">
                      <w:marLeft w:val="0"/>
                      <w:marRight w:val="0"/>
                      <w:marTop w:val="0"/>
                      <w:marBottom w:val="0"/>
                      <w:divBdr>
                        <w:top w:val="none" w:sz="0" w:space="0" w:color="auto"/>
                        <w:left w:val="none" w:sz="0" w:space="0" w:color="auto"/>
                        <w:bottom w:val="none" w:sz="0" w:space="0" w:color="auto"/>
                        <w:right w:val="none" w:sz="0" w:space="0" w:color="auto"/>
                      </w:divBdr>
                    </w:div>
                  </w:divsChild>
                </w:div>
                <w:div w:id="28458188">
                  <w:marLeft w:val="0"/>
                  <w:marRight w:val="0"/>
                  <w:marTop w:val="0"/>
                  <w:marBottom w:val="0"/>
                  <w:divBdr>
                    <w:top w:val="none" w:sz="0" w:space="0" w:color="auto"/>
                    <w:left w:val="none" w:sz="0" w:space="0" w:color="auto"/>
                    <w:bottom w:val="none" w:sz="0" w:space="0" w:color="auto"/>
                    <w:right w:val="none" w:sz="0" w:space="0" w:color="auto"/>
                  </w:divBdr>
                  <w:divsChild>
                    <w:div w:id="1208639711">
                      <w:marLeft w:val="0"/>
                      <w:marRight w:val="0"/>
                      <w:marTop w:val="0"/>
                      <w:marBottom w:val="0"/>
                      <w:divBdr>
                        <w:top w:val="none" w:sz="0" w:space="0" w:color="auto"/>
                        <w:left w:val="none" w:sz="0" w:space="0" w:color="auto"/>
                        <w:bottom w:val="none" w:sz="0" w:space="0" w:color="auto"/>
                        <w:right w:val="none" w:sz="0" w:space="0" w:color="auto"/>
                      </w:divBdr>
                    </w:div>
                  </w:divsChild>
                </w:div>
                <w:div w:id="44570414">
                  <w:marLeft w:val="0"/>
                  <w:marRight w:val="0"/>
                  <w:marTop w:val="0"/>
                  <w:marBottom w:val="0"/>
                  <w:divBdr>
                    <w:top w:val="none" w:sz="0" w:space="0" w:color="auto"/>
                    <w:left w:val="none" w:sz="0" w:space="0" w:color="auto"/>
                    <w:bottom w:val="none" w:sz="0" w:space="0" w:color="auto"/>
                    <w:right w:val="none" w:sz="0" w:space="0" w:color="auto"/>
                  </w:divBdr>
                  <w:divsChild>
                    <w:div w:id="702679558">
                      <w:marLeft w:val="0"/>
                      <w:marRight w:val="0"/>
                      <w:marTop w:val="0"/>
                      <w:marBottom w:val="0"/>
                      <w:divBdr>
                        <w:top w:val="none" w:sz="0" w:space="0" w:color="auto"/>
                        <w:left w:val="none" w:sz="0" w:space="0" w:color="auto"/>
                        <w:bottom w:val="none" w:sz="0" w:space="0" w:color="auto"/>
                        <w:right w:val="none" w:sz="0" w:space="0" w:color="auto"/>
                      </w:divBdr>
                    </w:div>
                  </w:divsChild>
                </w:div>
                <w:div w:id="45643877">
                  <w:marLeft w:val="0"/>
                  <w:marRight w:val="0"/>
                  <w:marTop w:val="0"/>
                  <w:marBottom w:val="0"/>
                  <w:divBdr>
                    <w:top w:val="none" w:sz="0" w:space="0" w:color="auto"/>
                    <w:left w:val="none" w:sz="0" w:space="0" w:color="auto"/>
                    <w:bottom w:val="none" w:sz="0" w:space="0" w:color="auto"/>
                    <w:right w:val="none" w:sz="0" w:space="0" w:color="auto"/>
                  </w:divBdr>
                  <w:divsChild>
                    <w:div w:id="336348055">
                      <w:marLeft w:val="0"/>
                      <w:marRight w:val="0"/>
                      <w:marTop w:val="0"/>
                      <w:marBottom w:val="0"/>
                      <w:divBdr>
                        <w:top w:val="none" w:sz="0" w:space="0" w:color="auto"/>
                        <w:left w:val="none" w:sz="0" w:space="0" w:color="auto"/>
                        <w:bottom w:val="none" w:sz="0" w:space="0" w:color="auto"/>
                        <w:right w:val="none" w:sz="0" w:space="0" w:color="auto"/>
                      </w:divBdr>
                    </w:div>
                  </w:divsChild>
                </w:div>
                <w:div w:id="60250882">
                  <w:marLeft w:val="0"/>
                  <w:marRight w:val="0"/>
                  <w:marTop w:val="0"/>
                  <w:marBottom w:val="0"/>
                  <w:divBdr>
                    <w:top w:val="none" w:sz="0" w:space="0" w:color="auto"/>
                    <w:left w:val="none" w:sz="0" w:space="0" w:color="auto"/>
                    <w:bottom w:val="none" w:sz="0" w:space="0" w:color="auto"/>
                    <w:right w:val="none" w:sz="0" w:space="0" w:color="auto"/>
                  </w:divBdr>
                  <w:divsChild>
                    <w:div w:id="1745909882">
                      <w:marLeft w:val="0"/>
                      <w:marRight w:val="0"/>
                      <w:marTop w:val="0"/>
                      <w:marBottom w:val="0"/>
                      <w:divBdr>
                        <w:top w:val="none" w:sz="0" w:space="0" w:color="auto"/>
                        <w:left w:val="none" w:sz="0" w:space="0" w:color="auto"/>
                        <w:bottom w:val="none" w:sz="0" w:space="0" w:color="auto"/>
                        <w:right w:val="none" w:sz="0" w:space="0" w:color="auto"/>
                      </w:divBdr>
                    </w:div>
                  </w:divsChild>
                </w:div>
                <w:div w:id="87777636">
                  <w:marLeft w:val="0"/>
                  <w:marRight w:val="0"/>
                  <w:marTop w:val="0"/>
                  <w:marBottom w:val="0"/>
                  <w:divBdr>
                    <w:top w:val="none" w:sz="0" w:space="0" w:color="auto"/>
                    <w:left w:val="none" w:sz="0" w:space="0" w:color="auto"/>
                    <w:bottom w:val="none" w:sz="0" w:space="0" w:color="auto"/>
                    <w:right w:val="none" w:sz="0" w:space="0" w:color="auto"/>
                  </w:divBdr>
                  <w:divsChild>
                    <w:div w:id="1022703363">
                      <w:marLeft w:val="0"/>
                      <w:marRight w:val="0"/>
                      <w:marTop w:val="0"/>
                      <w:marBottom w:val="0"/>
                      <w:divBdr>
                        <w:top w:val="none" w:sz="0" w:space="0" w:color="auto"/>
                        <w:left w:val="none" w:sz="0" w:space="0" w:color="auto"/>
                        <w:bottom w:val="none" w:sz="0" w:space="0" w:color="auto"/>
                        <w:right w:val="none" w:sz="0" w:space="0" w:color="auto"/>
                      </w:divBdr>
                    </w:div>
                  </w:divsChild>
                </w:div>
                <w:div w:id="99644450">
                  <w:marLeft w:val="0"/>
                  <w:marRight w:val="0"/>
                  <w:marTop w:val="0"/>
                  <w:marBottom w:val="0"/>
                  <w:divBdr>
                    <w:top w:val="none" w:sz="0" w:space="0" w:color="auto"/>
                    <w:left w:val="none" w:sz="0" w:space="0" w:color="auto"/>
                    <w:bottom w:val="none" w:sz="0" w:space="0" w:color="auto"/>
                    <w:right w:val="none" w:sz="0" w:space="0" w:color="auto"/>
                  </w:divBdr>
                  <w:divsChild>
                    <w:div w:id="1201362163">
                      <w:marLeft w:val="0"/>
                      <w:marRight w:val="0"/>
                      <w:marTop w:val="0"/>
                      <w:marBottom w:val="0"/>
                      <w:divBdr>
                        <w:top w:val="none" w:sz="0" w:space="0" w:color="auto"/>
                        <w:left w:val="none" w:sz="0" w:space="0" w:color="auto"/>
                        <w:bottom w:val="none" w:sz="0" w:space="0" w:color="auto"/>
                        <w:right w:val="none" w:sz="0" w:space="0" w:color="auto"/>
                      </w:divBdr>
                    </w:div>
                  </w:divsChild>
                </w:div>
                <w:div w:id="152068797">
                  <w:marLeft w:val="0"/>
                  <w:marRight w:val="0"/>
                  <w:marTop w:val="0"/>
                  <w:marBottom w:val="0"/>
                  <w:divBdr>
                    <w:top w:val="none" w:sz="0" w:space="0" w:color="auto"/>
                    <w:left w:val="none" w:sz="0" w:space="0" w:color="auto"/>
                    <w:bottom w:val="none" w:sz="0" w:space="0" w:color="auto"/>
                    <w:right w:val="none" w:sz="0" w:space="0" w:color="auto"/>
                  </w:divBdr>
                  <w:divsChild>
                    <w:div w:id="1804500057">
                      <w:marLeft w:val="0"/>
                      <w:marRight w:val="0"/>
                      <w:marTop w:val="0"/>
                      <w:marBottom w:val="0"/>
                      <w:divBdr>
                        <w:top w:val="none" w:sz="0" w:space="0" w:color="auto"/>
                        <w:left w:val="none" w:sz="0" w:space="0" w:color="auto"/>
                        <w:bottom w:val="none" w:sz="0" w:space="0" w:color="auto"/>
                        <w:right w:val="none" w:sz="0" w:space="0" w:color="auto"/>
                      </w:divBdr>
                    </w:div>
                  </w:divsChild>
                </w:div>
                <w:div w:id="163597606">
                  <w:marLeft w:val="0"/>
                  <w:marRight w:val="0"/>
                  <w:marTop w:val="0"/>
                  <w:marBottom w:val="0"/>
                  <w:divBdr>
                    <w:top w:val="none" w:sz="0" w:space="0" w:color="auto"/>
                    <w:left w:val="none" w:sz="0" w:space="0" w:color="auto"/>
                    <w:bottom w:val="none" w:sz="0" w:space="0" w:color="auto"/>
                    <w:right w:val="none" w:sz="0" w:space="0" w:color="auto"/>
                  </w:divBdr>
                  <w:divsChild>
                    <w:div w:id="744105630">
                      <w:marLeft w:val="0"/>
                      <w:marRight w:val="0"/>
                      <w:marTop w:val="0"/>
                      <w:marBottom w:val="0"/>
                      <w:divBdr>
                        <w:top w:val="none" w:sz="0" w:space="0" w:color="auto"/>
                        <w:left w:val="none" w:sz="0" w:space="0" w:color="auto"/>
                        <w:bottom w:val="none" w:sz="0" w:space="0" w:color="auto"/>
                        <w:right w:val="none" w:sz="0" w:space="0" w:color="auto"/>
                      </w:divBdr>
                    </w:div>
                  </w:divsChild>
                </w:div>
                <w:div w:id="165822978">
                  <w:marLeft w:val="0"/>
                  <w:marRight w:val="0"/>
                  <w:marTop w:val="0"/>
                  <w:marBottom w:val="0"/>
                  <w:divBdr>
                    <w:top w:val="none" w:sz="0" w:space="0" w:color="auto"/>
                    <w:left w:val="none" w:sz="0" w:space="0" w:color="auto"/>
                    <w:bottom w:val="none" w:sz="0" w:space="0" w:color="auto"/>
                    <w:right w:val="none" w:sz="0" w:space="0" w:color="auto"/>
                  </w:divBdr>
                  <w:divsChild>
                    <w:div w:id="1557350198">
                      <w:marLeft w:val="0"/>
                      <w:marRight w:val="0"/>
                      <w:marTop w:val="0"/>
                      <w:marBottom w:val="0"/>
                      <w:divBdr>
                        <w:top w:val="none" w:sz="0" w:space="0" w:color="auto"/>
                        <w:left w:val="none" w:sz="0" w:space="0" w:color="auto"/>
                        <w:bottom w:val="none" w:sz="0" w:space="0" w:color="auto"/>
                        <w:right w:val="none" w:sz="0" w:space="0" w:color="auto"/>
                      </w:divBdr>
                    </w:div>
                  </w:divsChild>
                </w:div>
                <w:div w:id="168446323">
                  <w:marLeft w:val="0"/>
                  <w:marRight w:val="0"/>
                  <w:marTop w:val="0"/>
                  <w:marBottom w:val="0"/>
                  <w:divBdr>
                    <w:top w:val="none" w:sz="0" w:space="0" w:color="auto"/>
                    <w:left w:val="none" w:sz="0" w:space="0" w:color="auto"/>
                    <w:bottom w:val="none" w:sz="0" w:space="0" w:color="auto"/>
                    <w:right w:val="none" w:sz="0" w:space="0" w:color="auto"/>
                  </w:divBdr>
                  <w:divsChild>
                    <w:div w:id="932468912">
                      <w:marLeft w:val="0"/>
                      <w:marRight w:val="0"/>
                      <w:marTop w:val="0"/>
                      <w:marBottom w:val="0"/>
                      <w:divBdr>
                        <w:top w:val="none" w:sz="0" w:space="0" w:color="auto"/>
                        <w:left w:val="none" w:sz="0" w:space="0" w:color="auto"/>
                        <w:bottom w:val="none" w:sz="0" w:space="0" w:color="auto"/>
                        <w:right w:val="none" w:sz="0" w:space="0" w:color="auto"/>
                      </w:divBdr>
                    </w:div>
                  </w:divsChild>
                </w:div>
                <w:div w:id="183832249">
                  <w:marLeft w:val="0"/>
                  <w:marRight w:val="0"/>
                  <w:marTop w:val="0"/>
                  <w:marBottom w:val="0"/>
                  <w:divBdr>
                    <w:top w:val="none" w:sz="0" w:space="0" w:color="auto"/>
                    <w:left w:val="none" w:sz="0" w:space="0" w:color="auto"/>
                    <w:bottom w:val="none" w:sz="0" w:space="0" w:color="auto"/>
                    <w:right w:val="none" w:sz="0" w:space="0" w:color="auto"/>
                  </w:divBdr>
                  <w:divsChild>
                    <w:div w:id="1804344399">
                      <w:marLeft w:val="0"/>
                      <w:marRight w:val="0"/>
                      <w:marTop w:val="0"/>
                      <w:marBottom w:val="0"/>
                      <w:divBdr>
                        <w:top w:val="none" w:sz="0" w:space="0" w:color="auto"/>
                        <w:left w:val="none" w:sz="0" w:space="0" w:color="auto"/>
                        <w:bottom w:val="none" w:sz="0" w:space="0" w:color="auto"/>
                        <w:right w:val="none" w:sz="0" w:space="0" w:color="auto"/>
                      </w:divBdr>
                    </w:div>
                  </w:divsChild>
                </w:div>
                <w:div w:id="204028726">
                  <w:marLeft w:val="0"/>
                  <w:marRight w:val="0"/>
                  <w:marTop w:val="0"/>
                  <w:marBottom w:val="0"/>
                  <w:divBdr>
                    <w:top w:val="none" w:sz="0" w:space="0" w:color="auto"/>
                    <w:left w:val="none" w:sz="0" w:space="0" w:color="auto"/>
                    <w:bottom w:val="none" w:sz="0" w:space="0" w:color="auto"/>
                    <w:right w:val="none" w:sz="0" w:space="0" w:color="auto"/>
                  </w:divBdr>
                  <w:divsChild>
                    <w:div w:id="997347921">
                      <w:marLeft w:val="0"/>
                      <w:marRight w:val="0"/>
                      <w:marTop w:val="0"/>
                      <w:marBottom w:val="0"/>
                      <w:divBdr>
                        <w:top w:val="none" w:sz="0" w:space="0" w:color="auto"/>
                        <w:left w:val="none" w:sz="0" w:space="0" w:color="auto"/>
                        <w:bottom w:val="none" w:sz="0" w:space="0" w:color="auto"/>
                        <w:right w:val="none" w:sz="0" w:space="0" w:color="auto"/>
                      </w:divBdr>
                    </w:div>
                  </w:divsChild>
                </w:div>
                <w:div w:id="204224488">
                  <w:marLeft w:val="0"/>
                  <w:marRight w:val="0"/>
                  <w:marTop w:val="0"/>
                  <w:marBottom w:val="0"/>
                  <w:divBdr>
                    <w:top w:val="none" w:sz="0" w:space="0" w:color="auto"/>
                    <w:left w:val="none" w:sz="0" w:space="0" w:color="auto"/>
                    <w:bottom w:val="none" w:sz="0" w:space="0" w:color="auto"/>
                    <w:right w:val="none" w:sz="0" w:space="0" w:color="auto"/>
                  </w:divBdr>
                  <w:divsChild>
                    <w:div w:id="933830525">
                      <w:marLeft w:val="0"/>
                      <w:marRight w:val="0"/>
                      <w:marTop w:val="0"/>
                      <w:marBottom w:val="0"/>
                      <w:divBdr>
                        <w:top w:val="none" w:sz="0" w:space="0" w:color="auto"/>
                        <w:left w:val="none" w:sz="0" w:space="0" w:color="auto"/>
                        <w:bottom w:val="none" w:sz="0" w:space="0" w:color="auto"/>
                        <w:right w:val="none" w:sz="0" w:space="0" w:color="auto"/>
                      </w:divBdr>
                    </w:div>
                  </w:divsChild>
                </w:div>
                <w:div w:id="209615550">
                  <w:marLeft w:val="0"/>
                  <w:marRight w:val="0"/>
                  <w:marTop w:val="0"/>
                  <w:marBottom w:val="0"/>
                  <w:divBdr>
                    <w:top w:val="none" w:sz="0" w:space="0" w:color="auto"/>
                    <w:left w:val="none" w:sz="0" w:space="0" w:color="auto"/>
                    <w:bottom w:val="none" w:sz="0" w:space="0" w:color="auto"/>
                    <w:right w:val="none" w:sz="0" w:space="0" w:color="auto"/>
                  </w:divBdr>
                  <w:divsChild>
                    <w:div w:id="185993397">
                      <w:marLeft w:val="0"/>
                      <w:marRight w:val="0"/>
                      <w:marTop w:val="0"/>
                      <w:marBottom w:val="0"/>
                      <w:divBdr>
                        <w:top w:val="none" w:sz="0" w:space="0" w:color="auto"/>
                        <w:left w:val="none" w:sz="0" w:space="0" w:color="auto"/>
                        <w:bottom w:val="none" w:sz="0" w:space="0" w:color="auto"/>
                        <w:right w:val="none" w:sz="0" w:space="0" w:color="auto"/>
                      </w:divBdr>
                    </w:div>
                  </w:divsChild>
                </w:div>
                <w:div w:id="214390909">
                  <w:marLeft w:val="0"/>
                  <w:marRight w:val="0"/>
                  <w:marTop w:val="0"/>
                  <w:marBottom w:val="0"/>
                  <w:divBdr>
                    <w:top w:val="none" w:sz="0" w:space="0" w:color="auto"/>
                    <w:left w:val="none" w:sz="0" w:space="0" w:color="auto"/>
                    <w:bottom w:val="none" w:sz="0" w:space="0" w:color="auto"/>
                    <w:right w:val="none" w:sz="0" w:space="0" w:color="auto"/>
                  </w:divBdr>
                  <w:divsChild>
                    <w:div w:id="938490411">
                      <w:marLeft w:val="0"/>
                      <w:marRight w:val="0"/>
                      <w:marTop w:val="0"/>
                      <w:marBottom w:val="0"/>
                      <w:divBdr>
                        <w:top w:val="none" w:sz="0" w:space="0" w:color="auto"/>
                        <w:left w:val="none" w:sz="0" w:space="0" w:color="auto"/>
                        <w:bottom w:val="none" w:sz="0" w:space="0" w:color="auto"/>
                        <w:right w:val="none" w:sz="0" w:space="0" w:color="auto"/>
                      </w:divBdr>
                    </w:div>
                  </w:divsChild>
                </w:div>
                <w:div w:id="220333241">
                  <w:marLeft w:val="0"/>
                  <w:marRight w:val="0"/>
                  <w:marTop w:val="0"/>
                  <w:marBottom w:val="0"/>
                  <w:divBdr>
                    <w:top w:val="none" w:sz="0" w:space="0" w:color="auto"/>
                    <w:left w:val="none" w:sz="0" w:space="0" w:color="auto"/>
                    <w:bottom w:val="none" w:sz="0" w:space="0" w:color="auto"/>
                    <w:right w:val="none" w:sz="0" w:space="0" w:color="auto"/>
                  </w:divBdr>
                  <w:divsChild>
                    <w:div w:id="37974801">
                      <w:marLeft w:val="0"/>
                      <w:marRight w:val="0"/>
                      <w:marTop w:val="0"/>
                      <w:marBottom w:val="0"/>
                      <w:divBdr>
                        <w:top w:val="none" w:sz="0" w:space="0" w:color="auto"/>
                        <w:left w:val="none" w:sz="0" w:space="0" w:color="auto"/>
                        <w:bottom w:val="none" w:sz="0" w:space="0" w:color="auto"/>
                        <w:right w:val="none" w:sz="0" w:space="0" w:color="auto"/>
                      </w:divBdr>
                    </w:div>
                  </w:divsChild>
                </w:div>
                <w:div w:id="225384356">
                  <w:marLeft w:val="0"/>
                  <w:marRight w:val="0"/>
                  <w:marTop w:val="0"/>
                  <w:marBottom w:val="0"/>
                  <w:divBdr>
                    <w:top w:val="none" w:sz="0" w:space="0" w:color="auto"/>
                    <w:left w:val="none" w:sz="0" w:space="0" w:color="auto"/>
                    <w:bottom w:val="none" w:sz="0" w:space="0" w:color="auto"/>
                    <w:right w:val="none" w:sz="0" w:space="0" w:color="auto"/>
                  </w:divBdr>
                  <w:divsChild>
                    <w:div w:id="1422531840">
                      <w:marLeft w:val="0"/>
                      <w:marRight w:val="0"/>
                      <w:marTop w:val="0"/>
                      <w:marBottom w:val="0"/>
                      <w:divBdr>
                        <w:top w:val="none" w:sz="0" w:space="0" w:color="auto"/>
                        <w:left w:val="none" w:sz="0" w:space="0" w:color="auto"/>
                        <w:bottom w:val="none" w:sz="0" w:space="0" w:color="auto"/>
                        <w:right w:val="none" w:sz="0" w:space="0" w:color="auto"/>
                      </w:divBdr>
                    </w:div>
                  </w:divsChild>
                </w:div>
                <w:div w:id="233980230">
                  <w:marLeft w:val="0"/>
                  <w:marRight w:val="0"/>
                  <w:marTop w:val="0"/>
                  <w:marBottom w:val="0"/>
                  <w:divBdr>
                    <w:top w:val="none" w:sz="0" w:space="0" w:color="auto"/>
                    <w:left w:val="none" w:sz="0" w:space="0" w:color="auto"/>
                    <w:bottom w:val="none" w:sz="0" w:space="0" w:color="auto"/>
                    <w:right w:val="none" w:sz="0" w:space="0" w:color="auto"/>
                  </w:divBdr>
                  <w:divsChild>
                    <w:div w:id="1647932758">
                      <w:marLeft w:val="0"/>
                      <w:marRight w:val="0"/>
                      <w:marTop w:val="0"/>
                      <w:marBottom w:val="0"/>
                      <w:divBdr>
                        <w:top w:val="none" w:sz="0" w:space="0" w:color="auto"/>
                        <w:left w:val="none" w:sz="0" w:space="0" w:color="auto"/>
                        <w:bottom w:val="none" w:sz="0" w:space="0" w:color="auto"/>
                        <w:right w:val="none" w:sz="0" w:space="0" w:color="auto"/>
                      </w:divBdr>
                    </w:div>
                  </w:divsChild>
                </w:div>
                <w:div w:id="252594380">
                  <w:marLeft w:val="0"/>
                  <w:marRight w:val="0"/>
                  <w:marTop w:val="0"/>
                  <w:marBottom w:val="0"/>
                  <w:divBdr>
                    <w:top w:val="none" w:sz="0" w:space="0" w:color="auto"/>
                    <w:left w:val="none" w:sz="0" w:space="0" w:color="auto"/>
                    <w:bottom w:val="none" w:sz="0" w:space="0" w:color="auto"/>
                    <w:right w:val="none" w:sz="0" w:space="0" w:color="auto"/>
                  </w:divBdr>
                  <w:divsChild>
                    <w:div w:id="1256136783">
                      <w:marLeft w:val="0"/>
                      <w:marRight w:val="0"/>
                      <w:marTop w:val="0"/>
                      <w:marBottom w:val="0"/>
                      <w:divBdr>
                        <w:top w:val="none" w:sz="0" w:space="0" w:color="auto"/>
                        <w:left w:val="none" w:sz="0" w:space="0" w:color="auto"/>
                        <w:bottom w:val="none" w:sz="0" w:space="0" w:color="auto"/>
                        <w:right w:val="none" w:sz="0" w:space="0" w:color="auto"/>
                      </w:divBdr>
                    </w:div>
                  </w:divsChild>
                </w:div>
                <w:div w:id="257837900">
                  <w:marLeft w:val="0"/>
                  <w:marRight w:val="0"/>
                  <w:marTop w:val="0"/>
                  <w:marBottom w:val="0"/>
                  <w:divBdr>
                    <w:top w:val="none" w:sz="0" w:space="0" w:color="auto"/>
                    <w:left w:val="none" w:sz="0" w:space="0" w:color="auto"/>
                    <w:bottom w:val="none" w:sz="0" w:space="0" w:color="auto"/>
                    <w:right w:val="none" w:sz="0" w:space="0" w:color="auto"/>
                  </w:divBdr>
                  <w:divsChild>
                    <w:div w:id="1156721394">
                      <w:marLeft w:val="0"/>
                      <w:marRight w:val="0"/>
                      <w:marTop w:val="0"/>
                      <w:marBottom w:val="0"/>
                      <w:divBdr>
                        <w:top w:val="none" w:sz="0" w:space="0" w:color="auto"/>
                        <w:left w:val="none" w:sz="0" w:space="0" w:color="auto"/>
                        <w:bottom w:val="none" w:sz="0" w:space="0" w:color="auto"/>
                        <w:right w:val="none" w:sz="0" w:space="0" w:color="auto"/>
                      </w:divBdr>
                    </w:div>
                  </w:divsChild>
                </w:div>
                <w:div w:id="289674131">
                  <w:marLeft w:val="0"/>
                  <w:marRight w:val="0"/>
                  <w:marTop w:val="0"/>
                  <w:marBottom w:val="0"/>
                  <w:divBdr>
                    <w:top w:val="none" w:sz="0" w:space="0" w:color="auto"/>
                    <w:left w:val="none" w:sz="0" w:space="0" w:color="auto"/>
                    <w:bottom w:val="none" w:sz="0" w:space="0" w:color="auto"/>
                    <w:right w:val="none" w:sz="0" w:space="0" w:color="auto"/>
                  </w:divBdr>
                  <w:divsChild>
                    <w:div w:id="6057865">
                      <w:marLeft w:val="0"/>
                      <w:marRight w:val="0"/>
                      <w:marTop w:val="0"/>
                      <w:marBottom w:val="0"/>
                      <w:divBdr>
                        <w:top w:val="none" w:sz="0" w:space="0" w:color="auto"/>
                        <w:left w:val="none" w:sz="0" w:space="0" w:color="auto"/>
                        <w:bottom w:val="none" w:sz="0" w:space="0" w:color="auto"/>
                        <w:right w:val="none" w:sz="0" w:space="0" w:color="auto"/>
                      </w:divBdr>
                    </w:div>
                  </w:divsChild>
                </w:div>
                <w:div w:id="298727672">
                  <w:marLeft w:val="0"/>
                  <w:marRight w:val="0"/>
                  <w:marTop w:val="0"/>
                  <w:marBottom w:val="0"/>
                  <w:divBdr>
                    <w:top w:val="none" w:sz="0" w:space="0" w:color="auto"/>
                    <w:left w:val="none" w:sz="0" w:space="0" w:color="auto"/>
                    <w:bottom w:val="none" w:sz="0" w:space="0" w:color="auto"/>
                    <w:right w:val="none" w:sz="0" w:space="0" w:color="auto"/>
                  </w:divBdr>
                  <w:divsChild>
                    <w:div w:id="2041200668">
                      <w:marLeft w:val="0"/>
                      <w:marRight w:val="0"/>
                      <w:marTop w:val="0"/>
                      <w:marBottom w:val="0"/>
                      <w:divBdr>
                        <w:top w:val="none" w:sz="0" w:space="0" w:color="auto"/>
                        <w:left w:val="none" w:sz="0" w:space="0" w:color="auto"/>
                        <w:bottom w:val="none" w:sz="0" w:space="0" w:color="auto"/>
                        <w:right w:val="none" w:sz="0" w:space="0" w:color="auto"/>
                      </w:divBdr>
                    </w:div>
                  </w:divsChild>
                </w:div>
                <w:div w:id="312490162">
                  <w:marLeft w:val="0"/>
                  <w:marRight w:val="0"/>
                  <w:marTop w:val="0"/>
                  <w:marBottom w:val="0"/>
                  <w:divBdr>
                    <w:top w:val="none" w:sz="0" w:space="0" w:color="auto"/>
                    <w:left w:val="none" w:sz="0" w:space="0" w:color="auto"/>
                    <w:bottom w:val="none" w:sz="0" w:space="0" w:color="auto"/>
                    <w:right w:val="none" w:sz="0" w:space="0" w:color="auto"/>
                  </w:divBdr>
                  <w:divsChild>
                    <w:div w:id="225528507">
                      <w:marLeft w:val="0"/>
                      <w:marRight w:val="0"/>
                      <w:marTop w:val="0"/>
                      <w:marBottom w:val="0"/>
                      <w:divBdr>
                        <w:top w:val="none" w:sz="0" w:space="0" w:color="auto"/>
                        <w:left w:val="none" w:sz="0" w:space="0" w:color="auto"/>
                        <w:bottom w:val="none" w:sz="0" w:space="0" w:color="auto"/>
                        <w:right w:val="none" w:sz="0" w:space="0" w:color="auto"/>
                      </w:divBdr>
                    </w:div>
                  </w:divsChild>
                </w:div>
                <w:div w:id="349572131">
                  <w:marLeft w:val="0"/>
                  <w:marRight w:val="0"/>
                  <w:marTop w:val="0"/>
                  <w:marBottom w:val="0"/>
                  <w:divBdr>
                    <w:top w:val="none" w:sz="0" w:space="0" w:color="auto"/>
                    <w:left w:val="none" w:sz="0" w:space="0" w:color="auto"/>
                    <w:bottom w:val="none" w:sz="0" w:space="0" w:color="auto"/>
                    <w:right w:val="none" w:sz="0" w:space="0" w:color="auto"/>
                  </w:divBdr>
                  <w:divsChild>
                    <w:div w:id="51971293">
                      <w:marLeft w:val="0"/>
                      <w:marRight w:val="0"/>
                      <w:marTop w:val="0"/>
                      <w:marBottom w:val="0"/>
                      <w:divBdr>
                        <w:top w:val="none" w:sz="0" w:space="0" w:color="auto"/>
                        <w:left w:val="none" w:sz="0" w:space="0" w:color="auto"/>
                        <w:bottom w:val="none" w:sz="0" w:space="0" w:color="auto"/>
                        <w:right w:val="none" w:sz="0" w:space="0" w:color="auto"/>
                      </w:divBdr>
                    </w:div>
                  </w:divsChild>
                </w:div>
                <w:div w:id="352924102">
                  <w:marLeft w:val="0"/>
                  <w:marRight w:val="0"/>
                  <w:marTop w:val="0"/>
                  <w:marBottom w:val="0"/>
                  <w:divBdr>
                    <w:top w:val="none" w:sz="0" w:space="0" w:color="auto"/>
                    <w:left w:val="none" w:sz="0" w:space="0" w:color="auto"/>
                    <w:bottom w:val="none" w:sz="0" w:space="0" w:color="auto"/>
                    <w:right w:val="none" w:sz="0" w:space="0" w:color="auto"/>
                  </w:divBdr>
                  <w:divsChild>
                    <w:div w:id="624430001">
                      <w:marLeft w:val="0"/>
                      <w:marRight w:val="0"/>
                      <w:marTop w:val="0"/>
                      <w:marBottom w:val="0"/>
                      <w:divBdr>
                        <w:top w:val="none" w:sz="0" w:space="0" w:color="auto"/>
                        <w:left w:val="none" w:sz="0" w:space="0" w:color="auto"/>
                        <w:bottom w:val="none" w:sz="0" w:space="0" w:color="auto"/>
                        <w:right w:val="none" w:sz="0" w:space="0" w:color="auto"/>
                      </w:divBdr>
                    </w:div>
                  </w:divsChild>
                </w:div>
                <w:div w:id="382950088">
                  <w:marLeft w:val="0"/>
                  <w:marRight w:val="0"/>
                  <w:marTop w:val="0"/>
                  <w:marBottom w:val="0"/>
                  <w:divBdr>
                    <w:top w:val="none" w:sz="0" w:space="0" w:color="auto"/>
                    <w:left w:val="none" w:sz="0" w:space="0" w:color="auto"/>
                    <w:bottom w:val="none" w:sz="0" w:space="0" w:color="auto"/>
                    <w:right w:val="none" w:sz="0" w:space="0" w:color="auto"/>
                  </w:divBdr>
                  <w:divsChild>
                    <w:div w:id="964778348">
                      <w:marLeft w:val="0"/>
                      <w:marRight w:val="0"/>
                      <w:marTop w:val="0"/>
                      <w:marBottom w:val="0"/>
                      <w:divBdr>
                        <w:top w:val="none" w:sz="0" w:space="0" w:color="auto"/>
                        <w:left w:val="none" w:sz="0" w:space="0" w:color="auto"/>
                        <w:bottom w:val="none" w:sz="0" w:space="0" w:color="auto"/>
                        <w:right w:val="none" w:sz="0" w:space="0" w:color="auto"/>
                      </w:divBdr>
                    </w:div>
                  </w:divsChild>
                </w:div>
                <w:div w:id="391780009">
                  <w:marLeft w:val="0"/>
                  <w:marRight w:val="0"/>
                  <w:marTop w:val="0"/>
                  <w:marBottom w:val="0"/>
                  <w:divBdr>
                    <w:top w:val="none" w:sz="0" w:space="0" w:color="auto"/>
                    <w:left w:val="none" w:sz="0" w:space="0" w:color="auto"/>
                    <w:bottom w:val="none" w:sz="0" w:space="0" w:color="auto"/>
                    <w:right w:val="none" w:sz="0" w:space="0" w:color="auto"/>
                  </w:divBdr>
                  <w:divsChild>
                    <w:div w:id="1815753579">
                      <w:marLeft w:val="0"/>
                      <w:marRight w:val="0"/>
                      <w:marTop w:val="0"/>
                      <w:marBottom w:val="0"/>
                      <w:divBdr>
                        <w:top w:val="none" w:sz="0" w:space="0" w:color="auto"/>
                        <w:left w:val="none" w:sz="0" w:space="0" w:color="auto"/>
                        <w:bottom w:val="none" w:sz="0" w:space="0" w:color="auto"/>
                        <w:right w:val="none" w:sz="0" w:space="0" w:color="auto"/>
                      </w:divBdr>
                    </w:div>
                  </w:divsChild>
                </w:div>
                <w:div w:id="399597354">
                  <w:marLeft w:val="0"/>
                  <w:marRight w:val="0"/>
                  <w:marTop w:val="0"/>
                  <w:marBottom w:val="0"/>
                  <w:divBdr>
                    <w:top w:val="none" w:sz="0" w:space="0" w:color="auto"/>
                    <w:left w:val="none" w:sz="0" w:space="0" w:color="auto"/>
                    <w:bottom w:val="none" w:sz="0" w:space="0" w:color="auto"/>
                    <w:right w:val="none" w:sz="0" w:space="0" w:color="auto"/>
                  </w:divBdr>
                  <w:divsChild>
                    <w:div w:id="745999461">
                      <w:marLeft w:val="0"/>
                      <w:marRight w:val="0"/>
                      <w:marTop w:val="0"/>
                      <w:marBottom w:val="0"/>
                      <w:divBdr>
                        <w:top w:val="none" w:sz="0" w:space="0" w:color="auto"/>
                        <w:left w:val="none" w:sz="0" w:space="0" w:color="auto"/>
                        <w:bottom w:val="none" w:sz="0" w:space="0" w:color="auto"/>
                        <w:right w:val="none" w:sz="0" w:space="0" w:color="auto"/>
                      </w:divBdr>
                    </w:div>
                  </w:divsChild>
                </w:div>
                <w:div w:id="399865626">
                  <w:marLeft w:val="0"/>
                  <w:marRight w:val="0"/>
                  <w:marTop w:val="0"/>
                  <w:marBottom w:val="0"/>
                  <w:divBdr>
                    <w:top w:val="none" w:sz="0" w:space="0" w:color="auto"/>
                    <w:left w:val="none" w:sz="0" w:space="0" w:color="auto"/>
                    <w:bottom w:val="none" w:sz="0" w:space="0" w:color="auto"/>
                    <w:right w:val="none" w:sz="0" w:space="0" w:color="auto"/>
                  </w:divBdr>
                  <w:divsChild>
                    <w:div w:id="413549450">
                      <w:marLeft w:val="0"/>
                      <w:marRight w:val="0"/>
                      <w:marTop w:val="0"/>
                      <w:marBottom w:val="0"/>
                      <w:divBdr>
                        <w:top w:val="none" w:sz="0" w:space="0" w:color="auto"/>
                        <w:left w:val="none" w:sz="0" w:space="0" w:color="auto"/>
                        <w:bottom w:val="none" w:sz="0" w:space="0" w:color="auto"/>
                        <w:right w:val="none" w:sz="0" w:space="0" w:color="auto"/>
                      </w:divBdr>
                    </w:div>
                  </w:divsChild>
                </w:div>
                <w:div w:id="409696370">
                  <w:marLeft w:val="0"/>
                  <w:marRight w:val="0"/>
                  <w:marTop w:val="0"/>
                  <w:marBottom w:val="0"/>
                  <w:divBdr>
                    <w:top w:val="none" w:sz="0" w:space="0" w:color="auto"/>
                    <w:left w:val="none" w:sz="0" w:space="0" w:color="auto"/>
                    <w:bottom w:val="none" w:sz="0" w:space="0" w:color="auto"/>
                    <w:right w:val="none" w:sz="0" w:space="0" w:color="auto"/>
                  </w:divBdr>
                  <w:divsChild>
                    <w:div w:id="1417825583">
                      <w:marLeft w:val="0"/>
                      <w:marRight w:val="0"/>
                      <w:marTop w:val="0"/>
                      <w:marBottom w:val="0"/>
                      <w:divBdr>
                        <w:top w:val="none" w:sz="0" w:space="0" w:color="auto"/>
                        <w:left w:val="none" w:sz="0" w:space="0" w:color="auto"/>
                        <w:bottom w:val="none" w:sz="0" w:space="0" w:color="auto"/>
                        <w:right w:val="none" w:sz="0" w:space="0" w:color="auto"/>
                      </w:divBdr>
                    </w:div>
                  </w:divsChild>
                </w:div>
                <w:div w:id="418331088">
                  <w:marLeft w:val="0"/>
                  <w:marRight w:val="0"/>
                  <w:marTop w:val="0"/>
                  <w:marBottom w:val="0"/>
                  <w:divBdr>
                    <w:top w:val="none" w:sz="0" w:space="0" w:color="auto"/>
                    <w:left w:val="none" w:sz="0" w:space="0" w:color="auto"/>
                    <w:bottom w:val="none" w:sz="0" w:space="0" w:color="auto"/>
                    <w:right w:val="none" w:sz="0" w:space="0" w:color="auto"/>
                  </w:divBdr>
                  <w:divsChild>
                    <w:div w:id="1869827478">
                      <w:marLeft w:val="0"/>
                      <w:marRight w:val="0"/>
                      <w:marTop w:val="0"/>
                      <w:marBottom w:val="0"/>
                      <w:divBdr>
                        <w:top w:val="none" w:sz="0" w:space="0" w:color="auto"/>
                        <w:left w:val="none" w:sz="0" w:space="0" w:color="auto"/>
                        <w:bottom w:val="none" w:sz="0" w:space="0" w:color="auto"/>
                        <w:right w:val="none" w:sz="0" w:space="0" w:color="auto"/>
                      </w:divBdr>
                    </w:div>
                  </w:divsChild>
                </w:div>
                <w:div w:id="453333822">
                  <w:marLeft w:val="0"/>
                  <w:marRight w:val="0"/>
                  <w:marTop w:val="0"/>
                  <w:marBottom w:val="0"/>
                  <w:divBdr>
                    <w:top w:val="none" w:sz="0" w:space="0" w:color="auto"/>
                    <w:left w:val="none" w:sz="0" w:space="0" w:color="auto"/>
                    <w:bottom w:val="none" w:sz="0" w:space="0" w:color="auto"/>
                    <w:right w:val="none" w:sz="0" w:space="0" w:color="auto"/>
                  </w:divBdr>
                  <w:divsChild>
                    <w:div w:id="622007515">
                      <w:marLeft w:val="0"/>
                      <w:marRight w:val="0"/>
                      <w:marTop w:val="0"/>
                      <w:marBottom w:val="0"/>
                      <w:divBdr>
                        <w:top w:val="none" w:sz="0" w:space="0" w:color="auto"/>
                        <w:left w:val="none" w:sz="0" w:space="0" w:color="auto"/>
                        <w:bottom w:val="none" w:sz="0" w:space="0" w:color="auto"/>
                        <w:right w:val="none" w:sz="0" w:space="0" w:color="auto"/>
                      </w:divBdr>
                    </w:div>
                  </w:divsChild>
                </w:div>
                <w:div w:id="512577723">
                  <w:marLeft w:val="0"/>
                  <w:marRight w:val="0"/>
                  <w:marTop w:val="0"/>
                  <w:marBottom w:val="0"/>
                  <w:divBdr>
                    <w:top w:val="none" w:sz="0" w:space="0" w:color="auto"/>
                    <w:left w:val="none" w:sz="0" w:space="0" w:color="auto"/>
                    <w:bottom w:val="none" w:sz="0" w:space="0" w:color="auto"/>
                    <w:right w:val="none" w:sz="0" w:space="0" w:color="auto"/>
                  </w:divBdr>
                  <w:divsChild>
                    <w:div w:id="1935823548">
                      <w:marLeft w:val="0"/>
                      <w:marRight w:val="0"/>
                      <w:marTop w:val="0"/>
                      <w:marBottom w:val="0"/>
                      <w:divBdr>
                        <w:top w:val="none" w:sz="0" w:space="0" w:color="auto"/>
                        <w:left w:val="none" w:sz="0" w:space="0" w:color="auto"/>
                        <w:bottom w:val="none" w:sz="0" w:space="0" w:color="auto"/>
                        <w:right w:val="none" w:sz="0" w:space="0" w:color="auto"/>
                      </w:divBdr>
                    </w:div>
                  </w:divsChild>
                </w:div>
                <w:div w:id="543566193">
                  <w:marLeft w:val="0"/>
                  <w:marRight w:val="0"/>
                  <w:marTop w:val="0"/>
                  <w:marBottom w:val="0"/>
                  <w:divBdr>
                    <w:top w:val="none" w:sz="0" w:space="0" w:color="auto"/>
                    <w:left w:val="none" w:sz="0" w:space="0" w:color="auto"/>
                    <w:bottom w:val="none" w:sz="0" w:space="0" w:color="auto"/>
                    <w:right w:val="none" w:sz="0" w:space="0" w:color="auto"/>
                  </w:divBdr>
                  <w:divsChild>
                    <w:div w:id="1769426313">
                      <w:marLeft w:val="0"/>
                      <w:marRight w:val="0"/>
                      <w:marTop w:val="0"/>
                      <w:marBottom w:val="0"/>
                      <w:divBdr>
                        <w:top w:val="none" w:sz="0" w:space="0" w:color="auto"/>
                        <w:left w:val="none" w:sz="0" w:space="0" w:color="auto"/>
                        <w:bottom w:val="none" w:sz="0" w:space="0" w:color="auto"/>
                        <w:right w:val="none" w:sz="0" w:space="0" w:color="auto"/>
                      </w:divBdr>
                    </w:div>
                  </w:divsChild>
                </w:div>
                <w:div w:id="544560201">
                  <w:marLeft w:val="0"/>
                  <w:marRight w:val="0"/>
                  <w:marTop w:val="0"/>
                  <w:marBottom w:val="0"/>
                  <w:divBdr>
                    <w:top w:val="none" w:sz="0" w:space="0" w:color="auto"/>
                    <w:left w:val="none" w:sz="0" w:space="0" w:color="auto"/>
                    <w:bottom w:val="none" w:sz="0" w:space="0" w:color="auto"/>
                    <w:right w:val="none" w:sz="0" w:space="0" w:color="auto"/>
                  </w:divBdr>
                  <w:divsChild>
                    <w:div w:id="1021392117">
                      <w:marLeft w:val="0"/>
                      <w:marRight w:val="0"/>
                      <w:marTop w:val="0"/>
                      <w:marBottom w:val="0"/>
                      <w:divBdr>
                        <w:top w:val="none" w:sz="0" w:space="0" w:color="auto"/>
                        <w:left w:val="none" w:sz="0" w:space="0" w:color="auto"/>
                        <w:bottom w:val="none" w:sz="0" w:space="0" w:color="auto"/>
                        <w:right w:val="none" w:sz="0" w:space="0" w:color="auto"/>
                      </w:divBdr>
                    </w:div>
                  </w:divsChild>
                </w:div>
                <w:div w:id="553540779">
                  <w:marLeft w:val="0"/>
                  <w:marRight w:val="0"/>
                  <w:marTop w:val="0"/>
                  <w:marBottom w:val="0"/>
                  <w:divBdr>
                    <w:top w:val="none" w:sz="0" w:space="0" w:color="auto"/>
                    <w:left w:val="none" w:sz="0" w:space="0" w:color="auto"/>
                    <w:bottom w:val="none" w:sz="0" w:space="0" w:color="auto"/>
                    <w:right w:val="none" w:sz="0" w:space="0" w:color="auto"/>
                  </w:divBdr>
                  <w:divsChild>
                    <w:div w:id="626282235">
                      <w:marLeft w:val="0"/>
                      <w:marRight w:val="0"/>
                      <w:marTop w:val="0"/>
                      <w:marBottom w:val="0"/>
                      <w:divBdr>
                        <w:top w:val="none" w:sz="0" w:space="0" w:color="auto"/>
                        <w:left w:val="none" w:sz="0" w:space="0" w:color="auto"/>
                        <w:bottom w:val="none" w:sz="0" w:space="0" w:color="auto"/>
                        <w:right w:val="none" w:sz="0" w:space="0" w:color="auto"/>
                      </w:divBdr>
                    </w:div>
                  </w:divsChild>
                </w:div>
                <w:div w:id="556284071">
                  <w:marLeft w:val="0"/>
                  <w:marRight w:val="0"/>
                  <w:marTop w:val="0"/>
                  <w:marBottom w:val="0"/>
                  <w:divBdr>
                    <w:top w:val="none" w:sz="0" w:space="0" w:color="auto"/>
                    <w:left w:val="none" w:sz="0" w:space="0" w:color="auto"/>
                    <w:bottom w:val="none" w:sz="0" w:space="0" w:color="auto"/>
                    <w:right w:val="none" w:sz="0" w:space="0" w:color="auto"/>
                  </w:divBdr>
                  <w:divsChild>
                    <w:div w:id="2041396276">
                      <w:marLeft w:val="0"/>
                      <w:marRight w:val="0"/>
                      <w:marTop w:val="0"/>
                      <w:marBottom w:val="0"/>
                      <w:divBdr>
                        <w:top w:val="none" w:sz="0" w:space="0" w:color="auto"/>
                        <w:left w:val="none" w:sz="0" w:space="0" w:color="auto"/>
                        <w:bottom w:val="none" w:sz="0" w:space="0" w:color="auto"/>
                        <w:right w:val="none" w:sz="0" w:space="0" w:color="auto"/>
                      </w:divBdr>
                    </w:div>
                  </w:divsChild>
                </w:div>
                <w:div w:id="563031908">
                  <w:marLeft w:val="0"/>
                  <w:marRight w:val="0"/>
                  <w:marTop w:val="0"/>
                  <w:marBottom w:val="0"/>
                  <w:divBdr>
                    <w:top w:val="none" w:sz="0" w:space="0" w:color="auto"/>
                    <w:left w:val="none" w:sz="0" w:space="0" w:color="auto"/>
                    <w:bottom w:val="none" w:sz="0" w:space="0" w:color="auto"/>
                    <w:right w:val="none" w:sz="0" w:space="0" w:color="auto"/>
                  </w:divBdr>
                  <w:divsChild>
                    <w:div w:id="39911435">
                      <w:marLeft w:val="0"/>
                      <w:marRight w:val="0"/>
                      <w:marTop w:val="0"/>
                      <w:marBottom w:val="0"/>
                      <w:divBdr>
                        <w:top w:val="none" w:sz="0" w:space="0" w:color="auto"/>
                        <w:left w:val="none" w:sz="0" w:space="0" w:color="auto"/>
                        <w:bottom w:val="none" w:sz="0" w:space="0" w:color="auto"/>
                        <w:right w:val="none" w:sz="0" w:space="0" w:color="auto"/>
                      </w:divBdr>
                    </w:div>
                  </w:divsChild>
                </w:div>
                <w:div w:id="583033805">
                  <w:marLeft w:val="0"/>
                  <w:marRight w:val="0"/>
                  <w:marTop w:val="0"/>
                  <w:marBottom w:val="0"/>
                  <w:divBdr>
                    <w:top w:val="none" w:sz="0" w:space="0" w:color="auto"/>
                    <w:left w:val="none" w:sz="0" w:space="0" w:color="auto"/>
                    <w:bottom w:val="none" w:sz="0" w:space="0" w:color="auto"/>
                    <w:right w:val="none" w:sz="0" w:space="0" w:color="auto"/>
                  </w:divBdr>
                  <w:divsChild>
                    <w:div w:id="852231389">
                      <w:marLeft w:val="0"/>
                      <w:marRight w:val="0"/>
                      <w:marTop w:val="0"/>
                      <w:marBottom w:val="0"/>
                      <w:divBdr>
                        <w:top w:val="none" w:sz="0" w:space="0" w:color="auto"/>
                        <w:left w:val="none" w:sz="0" w:space="0" w:color="auto"/>
                        <w:bottom w:val="none" w:sz="0" w:space="0" w:color="auto"/>
                        <w:right w:val="none" w:sz="0" w:space="0" w:color="auto"/>
                      </w:divBdr>
                    </w:div>
                  </w:divsChild>
                </w:div>
                <w:div w:id="583533751">
                  <w:marLeft w:val="0"/>
                  <w:marRight w:val="0"/>
                  <w:marTop w:val="0"/>
                  <w:marBottom w:val="0"/>
                  <w:divBdr>
                    <w:top w:val="none" w:sz="0" w:space="0" w:color="auto"/>
                    <w:left w:val="none" w:sz="0" w:space="0" w:color="auto"/>
                    <w:bottom w:val="none" w:sz="0" w:space="0" w:color="auto"/>
                    <w:right w:val="none" w:sz="0" w:space="0" w:color="auto"/>
                  </w:divBdr>
                  <w:divsChild>
                    <w:div w:id="1638728572">
                      <w:marLeft w:val="0"/>
                      <w:marRight w:val="0"/>
                      <w:marTop w:val="0"/>
                      <w:marBottom w:val="0"/>
                      <w:divBdr>
                        <w:top w:val="none" w:sz="0" w:space="0" w:color="auto"/>
                        <w:left w:val="none" w:sz="0" w:space="0" w:color="auto"/>
                        <w:bottom w:val="none" w:sz="0" w:space="0" w:color="auto"/>
                        <w:right w:val="none" w:sz="0" w:space="0" w:color="auto"/>
                      </w:divBdr>
                    </w:div>
                  </w:divsChild>
                </w:div>
                <w:div w:id="596789790">
                  <w:marLeft w:val="0"/>
                  <w:marRight w:val="0"/>
                  <w:marTop w:val="0"/>
                  <w:marBottom w:val="0"/>
                  <w:divBdr>
                    <w:top w:val="none" w:sz="0" w:space="0" w:color="auto"/>
                    <w:left w:val="none" w:sz="0" w:space="0" w:color="auto"/>
                    <w:bottom w:val="none" w:sz="0" w:space="0" w:color="auto"/>
                    <w:right w:val="none" w:sz="0" w:space="0" w:color="auto"/>
                  </w:divBdr>
                  <w:divsChild>
                    <w:div w:id="550919993">
                      <w:marLeft w:val="0"/>
                      <w:marRight w:val="0"/>
                      <w:marTop w:val="0"/>
                      <w:marBottom w:val="0"/>
                      <w:divBdr>
                        <w:top w:val="none" w:sz="0" w:space="0" w:color="auto"/>
                        <w:left w:val="none" w:sz="0" w:space="0" w:color="auto"/>
                        <w:bottom w:val="none" w:sz="0" w:space="0" w:color="auto"/>
                        <w:right w:val="none" w:sz="0" w:space="0" w:color="auto"/>
                      </w:divBdr>
                    </w:div>
                  </w:divsChild>
                </w:div>
                <w:div w:id="604270832">
                  <w:marLeft w:val="0"/>
                  <w:marRight w:val="0"/>
                  <w:marTop w:val="0"/>
                  <w:marBottom w:val="0"/>
                  <w:divBdr>
                    <w:top w:val="none" w:sz="0" w:space="0" w:color="auto"/>
                    <w:left w:val="none" w:sz="0" w:space="0" w:color="auto"/>
                    <w:bottom w:val="none" w:sz="0" w:space="0" w:color="auto"/>
                    <w:right w:val="none" w:sz="0" w:space="0" w:color="auto"/>
                  </w:divBdr>
                  <w:divsChild>
                    <w:div w:id="1247305699">
                      <w:marLeft w:val="0"/>
                      <w:marRight w:val="0"/>
                      <w:marTop w:val="0"/>
                      <w:marBottom w:val="0"/>
                      <w:divBdr>
                        <w:top w:val="none" w:sz="0" w:space="0" w:color="auto"/>
                        <w:left w:val="none" w:sz="0" w:space="0" w:color="auto"/>
                        <w:bottom w:val="none" w:sz="0" w:space="0" w:color="auto"/>
                        <w:right w:val="none" w:sz="0" w:space="0" w:color="auto"/>
                      </w:divBdr>
                    </w:div>
                  </w:divsChild>
                </w:div>
                <w:div w:id="611598558">
                  <w:marLeft w:val="0"/>
                  <w:marRight w:val="0"/>
                  <w:marTop w:val="0"/>
                  <w:marBottom w:val="0"/>
                  <w:divBdr>
                    <w:top w:val="none" w:sz="0" w:space="0" w:color="auto"/>
                    <w:left w:val="none" w:sz="0" w:space="0" w:color="auto"/>
                    <w:bottom w:val="none" w:sz="0" w:space="0" w:color="auto"/>
                    <w:right w:val="none" w:sz="0" w:space="0" w:color="auto"/>
                  </w:divBdr>
                  <w:divsChild>
                    <w:div w:id="400564564">
                      <w:marLeft w:val="0"/>
                      <w:marRight w:val="0"/>
                      <w:marTop w:val="0"/>
                      <w:marBottom w:val="0"/>
                      <w:divBdr>
                        <w:top w:val="none" w:sz="0" w:space="0" w:color="auto"/>
                        <w:left w:val="none" w:sz="0" w:space="0" w:color="auto"/>
                        <w:bottom w:val="none" w:sz="0" w:space="0" w:color="auto"/>
                        <w:right w:val="none" w:sz="0" w:space="0" w:color="auto"/>
                      </w:divBdr>
                    </w:div>
                  </w:divsChild>
                </w:div>
                <w:div w:id="617031346">
                  <w:marLeft w:val="0"/>
                  <w:marRight w:val="0"/>
                  <w:marTop w:val="0"/>
                  <w:marBottom w:val="0"/>
                  <w:divBdr>
                    <w:top w:val="none" w:sz="0" w:space="0" w:color="auto"/>
                    <w:left w:val="none" w:sz="0" w:space="0" w:color="auto"/>
                    <w:bottom w:val="none" w:sz="0" w:space="0" w:color="auto"/>
                    <w:right w:val="none" w:sz="0" w:space="0" w:color="auto"/>
                  </w:divBdr>
                  <w:divsChild>
                    <w:div w:id="1718358555">
                      <w:marLeft w:val="0"/>
                      <w:marRight w:val="0"/>
                      <w:marTop w:val="0"/>
                      <w:marBottom w:val="0"/>
                      <w:divBdr>
                        <w:top w:val="none" w:sz="0" w:space="0" w:color="auto"/>
                        <w:left w:val="none" w:sz="0" w:space="0" w:color="auto"/>
                        <w:bottom w:val="none" w:sz="0" w:space="0" w:color="auto"/>
                        <w:right w:val="none" w:sz="0" w:space="0" w:color="auto"/>
                      </w:divBdr>
                    </w:div>
                  </w:divsChild>
                </w:div>
                <w:div w:id="699015106">
                  <w:marLeft w:val="0"/>
                  <w:marRight w:val="0"/>
                  <w:marTop w:val="0"/>
                  <w:marBottom w:val="0"/>
                  <w:divBdr>
                    <w:top w:val="none" w:sz="0" w:space="0" w:color="auto"/>
                    <w:left w:val="none" w:sz="0" w:space="0" w:color="auto"/>
                    <w:bottom w:val="none" w:sz="0" w:space="0" w:color="auto"/>
                    <w:right w:val="none" w:sz="0" w:space="0" w:color="auto"/>
                  </w:divBdr>
                  <w:divsChild>
                    <w:div w:id="1574505577">
                      <w:marLeft w:val="0"/>
                      <w:marRight w:val="0"/>
                      <w:marTop w:val="0"/>
                      <w:marBottom w:val="0"/>
                      <w:divBdr>
                        <w:top w:val="none" w:sz="0" w:space="0" w:color="auto"/>
                        <w:left w:val="none" w:sz="0" w:space="0" w:color="auto"/>
                        <w:bottom w:val="none" w:sz="0" w:space="0" w:color="auto"/>
                        <w:right w:val="none" w:sz="0" w:space="0" w:color="auto"/>
                      </w:divBdr>
                    </w:div>
                  </w:divsChild>
                </w:div>
                <w:div w:id="703529477">
                  <w:marLeft w:val="0"/>
                  <w:marRight w:val="0"/>
                  <w:marTop w:val="0"/>
                  <w:marBottom w:val="0"/>
                  <w:divBdr>
                    <w:top w:val="none" w:sz="0" w:space="0" w:color="auto"/>
                    <w:left w:val="none" w:sz="0" w:space="0" w:color="auto"/>
                    <w:bottom w:val="none" w:sz="0" w:space="0" w:color="auto"/>
                    <w:right w:val="none" w:sz="0" w:space="0" w:color="auto"/>
                  </w:divBdr>
                  <w:divsChild>
                    <w:div w:id="639654125">
                      <w:marLeft w:val="0"/>
                      <w:marRight w:val="0"/>
                      <w:marTop w:val="0"/>
                      <w:marBottom w:val="0"/>
                      <w:divBdr>
                        <w:top w:val="none" w:sz="0" w:space="0" w:color="auto"/>
                        <w:left w:val="none" w:sz="0" w:space="0" w:color="auto"/>
                        <w:bottom w:val="none" w:sz="0" w:space="0" w:color="auto"/>
                        <w:right w:val="none" w:sz="0" w:space="0" w:color="auto"/>
                      </w:divBdr>
                    </w:div>
                  </w:divsChild>
                </w:div>
                <w:div w:id="715931862">
                  <w:marLeft w:val="0"/>
                  <w:marRight w:val="0"/>
                  <w:marTop w:val="0"/>
                  <w:marBottom w:val="0"/>
                  <w:divBdr>
                    <w:top w:val="none" w:sz="0" w:space="0" w:color="auto"/>
                    <w:left w:val="none" w:sz="0" w:space="0" w:color="auto"/>
                    <w:bottom w:val="none" w:sz="0" w:space="0" w:color="auto"/>
                    <w:right w:val="none" w:sz="0" w:space="0" w:color="auto"/>
                  </w:divBdr>
                  <w:divsChild>
                    <w:div w:id="1604454165">
                      <w:marLeft w:val="0"/>
                      <w:marRight w:val="0"/>
                      <w:marTop w:val="0"/>
                      <w:marBottom w:val="0"/>
                      <w:divBdr>
                        <w:top w:val="none" w:sz="0" w:space="0" w:color="auto"/>
                        <w:left w:val="none" w:sz="0" w:space="0" w:color="auto"/>
                        <w:bottom w:val="none" w:sz="0" w:space="0" w:color="auto"/>
                        <w:right w:val="none" w:sz="0" w:space="0" w:color="auto"/>
                      </w:divBdr>
                    </w:div>
                  </w:divsChild>
                </w:div>
                <w:div w:id="727729027">
                  <w:marLeft w:val="0"/>
                  <w:marRight w:val="0"/>
                  <w:marTop w:val="0"/>
                  <w:marBottom w:val="0"/>
                  <w:divBdr>
                    <w:top w:val="none" w:sz="0" w:space="0" w:color="auto"/>
                    <w:left w:val="none" w:sz="0" w:space="0" w:color="auto"/>
                    <w:bottom w:val="none" w:sz="0" w:space="0" w:color="auto"/>
                    <w:right w:val="none" w:sz="0" w:space="0" w:color="auto"/>
                  </w:divBdr>
                  <w:divsChild>
                    <w:div w:id="122383332">
                      <w:marLeft w:val="0"/>
                      <w:marRight w:val="0"/>
                      <w:marTop w:val="0"/>
                      <w:marBottom w:val="0"/>
                      <w:divBdr>
                        <w:top w:val="none" w:sz="0" w:space="0" w:color="auto"/>
                        <w:left w:val="none" w:sz="0" w:space="0" w:color="auto"/>
                        <w:bottom w:val="none" w:sz="0" w:space="0" w:color="auto"/>
                        <w:right w:val="none" w:sz="0" w:space="0" w:color="auto"/>
                      </w:divBdr>
                    </w:div>
                  </w:divsChild>
                </w:div>
                <w:div w:id="728772515">
                  <w:marLeft w:val="0"/>
                  <w:marRight w:val="0"/>
                  <w:marTop w:val="0"/>
                  <w:marBottom w:val="0"/>
                  <w:divBdr>
                    <w:top w:val="none" w:sz="0" w:space="0" w:color="auto"/>
                    <w:left w:val="none" w:sz="0" w:space="0" w:color="auto"/>
                    <w:bottom w:val="none" w:sz="0" w:space="0" w:color="auto"/>
                    <w:right w:val="none" w:sz="0" w:space="0" w:color="auto"/>
                  </w:divBdr>
                  <w:divsChild>
                    <w:div w:id="2059893803">
                      <w:marLeft w:val="0"/>
                      <w:marRight w:val="0"/>
                      <w:marTop w:val="0"/>
                      <w:marBottom w:val="0"/>
                      <w:divBdr>
                        <w:top w:val="none" w:sz="0" w:space="0" w:color="auto"/>
                        <w:left w:val="none" w:sz="0" w:space="0" w:color="auto"/>
                        <w:bottom w:val="none" w:sz="0" w:space="0" w:color="auto"/>
                        <w:right w:val="none" w:sz="0" w:space="0" w:color="auto"/>
                      </w:divBdr>
                    </w:div>
                  </w:divsChild>
                </w:div>
                <w:div w:id="748890081">
                  <w:marLeft w:val="0"/>
                  <w:marRight w:val="0"/>
                  <w:marTop w:val="0"/>
                  <w:marBottom w:val="0"/>
                  <w:divBdr>
                    <w:top w:val="none" w:sz="0" w:space="0" w:color="auto"/>
                    <w:left w:val="none" w:sz="0" w:space="0" w:color="auto"/>
                    <w:bottom w:val="none" w:sz="0" w:space="0" w:color="auto"/>
                    <w:right w:val="none" w:sz="0" w:space="0" w:color="auto"/>
                  </w:divBdr>
                  <w:divsChild>
                    <w:div w:id="1213805409">
                      <w:marLeft w:val="0"/>
                      <w:marRight w:val="0"/>
                      <w:marTop w:val="0"/>
                      <w:marBottom w:val="0"/>
                      <w:divBdr>
                        <w:top w:val="none" w:sz="0" w:space="0" w:color="auto"/>
                        <w:left w:val="none" w:sz="0" w:space="0" w:color="auto"/>
                        <w:bottom w:val="none" w:sz="0" w:space="0" w:color="auto"/>
                        <w:right w:val="none" w:sz="0" w:space="0" w:color="auto"/>
                      </w:divBdr>
                    </w:div>
                  </w:divsChild>
                </w:div>
                <w:div w:id="752895609">
                  <w:marLeft w:val="0"/>
                  <w:marRight w:val="0"/>
                  <w:marTop w:val="0"/>
                  <w:marBottom w:val="0"/>
                  <w:divBdr>
                    <w:top w:val="none" w:sz="0" w:space="0" w:color="auto"/>
                    <w:left w:val="none" w:sz="0" w:space="0" w:color="auto"/>
                    <w:bottom w:val="none" w:sz="0" w:space="0" w:color="auto"/>
                    <w:right w:val="none" w:sz="0" w:space="0" w:color="auto"/>
                  </w:divBdr>
                  <w:divsChild>
                    <w:div w:id="247348026">
                      <w:marLeft w:val="0"/>
                      <w:marRight w:val="0"/>
                      <w:marTop w:val="0"/>
                      <w:marBottom w:val="0"/>
                      <w:divBdr>
                        <w:top w:val="none" w:sz="0" w:space="0" w:color="auto"/>
                        <w:left w:val="none" w:sz="0" w:space="0" w:color="auto"/>
                        <w:bottom w:val="none" w:sz="0" w:space="0" w:color="auto"/>
                        <w:right w:val="none" w:sz="0" w:space="0" w:color="auto"/>
                      </w:divBdr>
                    </w:div>
                  </w:divsChild>
                </w:div>
                <w:div w:id="759568523">
                  <w:marLeft w:val="0"/>
                  <w:marRight w:val="0"/>
                  <w:marTop w:val="0"/>
                  <w:marBottom w:val="0"/>
                  <w:divBdr>
                    <w:top w:val="none" w:sz="0" w:space="0" w:color="auto"/>
                    <w:left w:val="none" w:sz="0" w:space="0" w:color="auto"/>
                    <w:bottom w:val="none" w:sz="0" w:space="0" w:color="auto"/>
                    <w:right w:val="none" w:sz="0" w:space="0" w:color="auto"/>
                  </w:divBdr>
                  <w:divsChild>
                    <w:div w:id="1009328158">
                      <w:marLeft w:val="0"/>
                      <w:marRight w:val="0"/>
                      <w:marTop w:val="0"/>
                      <w:marBottom w:val="0"/>
                      <w:divBdr>
                        <w:top w:val="none" w:sz="0" w:space="0" w:color="auto"/>
                        <w:left w:val="none" w:sz="0" w:space="0" w:color="auto"/>
                        <w:bottom w:val="none" w:sz="0" w:space="0" w:color="auto"/>
                        <w:right w:val="none" w:sz="0" w:space="0" w:color="auto"/>
                      </w:divBdr>
                    </w:div>
                  </w:divsChild>
                </w:div>
                <w:div w:id="763576747">
                  <w:marLeft w:val="0"/>
                  <w:marRight w:val="0"/>
                  <w:marTop w:val="0"/>
                  <w:marBottom w:val="0"/>
                  <w:divBdr>
                    <w:top w:val="none" w:sz="0" w:space="0" w:color="auto"/>
                    <w:left w:val="none" w:sz="0" w:space="0" w:color="auto"/>
                    <w:bottom w:val="none" w:sz="0" w:space="0" w:color="auto"/>
                    <w:right w:val="none" w:sz="0" w:space="0" w:color="auto"/>
                  </w:divBdr>
                  <w:divsChild>
                    <w:div w:id="1583372726">
                      <w:marLeft w:val="0"/>
                      <w:marRight w:val="0"/>
                      <w:marTop w:val="0"/>
                      <w:marBottom w:val="0"/>
                      <w:divBdr>
                        <w:top w:val="none" w:sz="0" w:space="0" w:color="auto"/>
                        <w:left w:val="none" w:sz="0" w:space="0" w:color="auto"/>
                        <w:bottom w:val="none" w:sz="0" w:space="0" w:color="auto"/>
                        <w:right w:val="none" w:sz="0" w:space="0" w:color="auto"/>
                      </w:divBdr>
                    </w:div>
                  </w:divsChild>
                </w:div>
                <w:div w:id="776604261">
                  <w:marLeft w:val="0"/>
                  <w:marRight w:val="0"/>
                  <w:marTop w:val="0"/>
                  <w:marBottom w:val="0"/>
                  <w:divBdr>
                    <w:top w:val="none" w:sz="0" w:space="0" w:color="auto"/>
                    <w:left w:val="none" w:sz="0" w:space="0" w:color="auto"/>
                    <w:bottom w:val="none" w:sz="0" w:space="0" w:color="auto"/>
                    <w:right w:val="none" w:sz="0" w:space="0" w:color="auto"/>
                  </w:divBdr>
                  <w:divsChild>
                    <w:div w:id="2045249454">
                      <w:marLeft w:val="0"/>
                      <w:marRight w:val="0"/>
                      <w:marTop w:val="0"/>
                      <w:marBottom w:val="0"/>
                      <w:divBdr>
                        <w:top w:val="none" w:sz="0" w:space="0" w:color="auto"/>
                        <w:left w:val="none" w:sz="0" w:space="0" w:color="auto"/>
                        <w:bottom w:val="none" w:sz="0" w:space="0" w:color="auto"/>
                        <w:right w:val="none" w:sz="0" w:space="0" w:color="auto"/>
                      </w:divBdr>
                    </w:div>
                  </w:divsChild>
                </w:div>
                <w:div w:id="795413366">
                  <w:marLeft w:val="0"/>
                  <w:marRight w:val="0"/>
                  <w:marTop w:val="0"/>
                  <w:marBottom w:val="0"/>
                  <w:divBdr>
                    <w:top w:val="none" w:sz="0" w:space="0" w:color="auto"/>
                    <w:left w:val="none" w:sz="0" w:space="0" w:color="auto"/>
                    <w:bottom w:val="none" w:sz="0" w:space="0" w:color="auto"/>
                    <w:right w:val="none" w:sz="0" w:space="0" w:color="auto"/>
                  </w:divBdr>
                  <w:divsChild>
                    <w:div w:id="2012682833">
                      <w:marLeft w:val="0"/>
                      <w:marRight w:val="0"/>
                      <w:marTop w:val="0"/>
                      <w:marBottom w:val="0"/>
                      <w:divBdr>
                        <w:top w:val="none" w:sz="0" w:space="0" w:color="auto"/>
                        <w:left w:val="none" w:sz="0" w:space="0" w:color="auto"/>
                        <w:bottom w:val="none" w:sz="0" w:space="0" w:color="auto"/>
                        <w:right w:val="none" w:sz="0" w:space="0" w:color="auto"/>
                      </w:divBdr>
                    </w:div>
                  </w:divsChild>
                </w:div>
                <w:div w:id="819226986">
                  <w:marLeft w:val="0"/>
                  <w:marRight w:val="0"/>
                  <w:marTop w:val="0"/>
                  <w:marBottom w:val="0"/>
                  <w:divBdr>
                    <w:top w:val="none" w:sz="0" w:space="0" w:color="auto"/>
                    <w:left w:val="none" w:sz="0" w:space="0" w:color="auto"/>
                    <w:bottom w:val="none" w:sz="0" w:space="0" w:color="auto"/>
                    <w:right w:val="none" w:sz="0" w:space="0" w:color="auto"/>
                  </w:divBdr>
                  <w:divsChild>
                    <w:div w:id="446386026">
                      <w:marLeft w:val="0"/>
                      <w:marRight w:val="0"/>
                      <w:marTop w:val="0"/>
                      <w:marBottom w:val="0"/>
                      <w:divBdr>
                        <w:top w:val="none" w:sz="0" w:space="0" w:color="auto"/>
                        <w:left w:val="none" w:sz="0" w:space="0" w:color="auto"/>
                        <w:bottom w:val="none" w:sz="0" w:space="0" w:color="auto"/>
                        <w:right w:val="none" w:sz="0" w:space="0" w:color="auto"/>
                      </w:divBdr>
                    </w:div>
                  </w:divsChild>
                </w:div>
                <w:div w:id="822039471">
                  <w:marLeft w:val="0"/>
                  <w:marRight w:val="0"/>
                  <w:marTop w:val="0"/>
                  <w:marBottom w:val="0"/>
                  <w:divBdr>
                    <w:top w:val="none" w:sz="0" w:space="0" w:color="auto"/>
                    <w:left w:val="none" w:sz="0" w:space="0" w:color="auto"/>
                    <w:bottom w:val="none" w:sz="0" w:space="0" w:color="auto"/>
                    <w:right w:val="none" w:sz="0" w:space="0" w:color="auto"/>
                  </w:divBdr>
                  <w:divsChild>
                    <w:div w:id="1435980337">
                      <w:marLeft w:val="0"/>
                      <w:marRight w:val="0"/>
                      <w:marTop w:val="0"/>
                      <w:marBottom w:val="0"/>
                      <w:divBdr>
                        <w:top w:val="none" w:sz="0" w:space="0" w:color="auto"/>
                        <w:left w:val="none" w:sz="0" w:space="0" w:color="auto"/>
                        <w:bottom w:val="none" w:sz="0" w:space="0" w:color="auto"/>
                        <w:right w:val="none" w:sz="0" w:space="0" w:color="auto"/>
                      </w:divBdr>
                    </w:div>
                  </w:divsChild>
                </w:div>
                <w:div w:id="844243770">
                  <w:marLeft w:val="0"/>
                  <w:marRight w:val="0"/>
                  <w:marTop w:val="0"/>
                  <w:marBottom w:val="0"/>
                  <w:divBdr>
                    <w:top w:val="none" w:sz="0" w:space="0" w:color="auto"/>
                    <w:left w:val="none" w:sz="0" w:space="0" w:color="auto"/>
                    <w:bottom w:val="none" w:sz="0" w:space="0" w:color="auto"/>
                    <w:right w:val="none" w:sz="0" w:space="0" w:color="auto"/>
                  </w:divBdr>
                  <w:divsChild>
                    <w:div w:id="1995602920">
                      <w:marLeft w:val="0"/>
                      <w:marRight w:val="0"/>
                      <w:marTop w:val="0"/>
                      <w:marBottom w:val="0"/>
                      <w:divBdr>
                        <w:top w:val="none" w:sz="0" w:space="0" w:color="auto"/>
                        <w:left w:val="none" w:sz="0" w:space="0" w:color="auto"/>
                        <w:bottom w:val="none" w:sz="0" w:space="0" w:color="auto"/>
                        <w:right w:val="none" w:sz="0" w:space="0" w:color="auto"/>
                      </w:divBdr>
                    </w:div>
                  </w:divsChild>
                </w:div>
                <w:div w:id="848640104">
                  <w:marLeft w:val="0"/>
                  <w:marRight w:val="0"/>
                  <w:marTop w:val="0"/>
                  <w:marBottom w:val="0"/>
                  <w:divBdr>
                    <w:top w:val="none" w:sz="0" w:space="0" w:color="auto"/>
                    <w:left w:val="none" w:sz="0" w:space="0" w:color="auto"/>
                    <w:bottom w:val="none" w:sz="0" w:space="0" w:color="auto"/>
                    <w:right w:val="none" w:sz="0" w:space="0" w:color="auto"/>
                  </w:divBdr>
                  <w:divsChild>
                    <w:div w:id="881015727">
                      <w:marLeft w:val="0"/>
                      <w:marRight w:val="0"/>
                      <w:marTop w:val="0"/>
                      <w:marBottom w:val="0"/>
                      <w:divBdr>
                        <w:top w:val="none" w:sz="0" w:space="0" w:color="auto"/>
                        <w:left w:val="none" w:sz="0" w:space="0" w:color="auto"/>
                        <w:bottom w:val="none" w:sz="0" w:space="0" w:color="auto"/>
                        <w:right w:val="none" w:sz="0" w:space="0" w:color="auto"/>
                      </w:divBdr>
                    </w:div>
                  </w:divsChild>
                </w:div>
                <w:div w:id="854031631">
                  <w:marLeft w:val="0"/>
                  <w:marRight w:val="0"/>
                  <w:marTop w:val="0"/>
                  <w:marBottom w:val="0"/>
                  <w:divBdr>
                    <w:top w:val="none" w:sz="0" w:space="0" w:color="auto"/>
                    <w:left w:val="none" w:sz="0" w:space="0" w:color="auto"/>
                    <w:bottom w:val="none" w:sz="0" w:space="0" w:color="auto"/>
                    <w:right w:val="none" w:sz="0" w:space="0" w:color="auto"/>
                  </w:divBdr>
                  <w:divsChild>
                    <w:div w:id="1151097593">
                      <w:marLeft w:val="0"/>
                      <w:marRight w:val="0"/>
                      <w:marTop w:val="0"/>
                      <w:marBottom w:val="0"/>
                      <w:divBdr>
                        <w:top w:val="none" w:sz="0" w:space="0" w:color="auto"/>
                        <w:left w:val="none" w:sz="0" w:space="0" w:color="auto"/>
                        <w:bottom w:val="none" w:sz="0" w:space="0" w:color="auto"/>
                        <w:right w:val="none" w:sz="0" w:space="0" w:color="auto"/>
                      </w:divBdr>
                    </w:div>
                  </w:divsChild>
                </w:div>
                <w:div w:id="859322019">
                  <w:marLeft w:val="0"/>
                  <w:marRight w:val="0"/>
                  <w:marTop w:val="0"/>
                  <w:marBottom w:val="0"/>
                  <w:divBdr>
                    <w:top w:val="none" w:sz="0" w:space="0" w:color="auto"/>
                    <w:left w:val="none" w:sz="0" w:space="0" w:color="auto"/>
                    <w:bottom w:val="none" w:sz="0" w:space="0" w:color="auto"/>
                    <w:right w:val="none" w:sz="0" w:space="0" w:color="auto"/>
                  </w:divBdr>
                  <w:divsChild>
                    <w:div w:id="819736294">
                      <w:marLeft w:val="0"/>
                      <w:marRight w:val="0"/>
                      <w:marTop w:val="0"/>
                      <w:marBottom w:val="0"/>
                      <w:divBdr>
                        <w:top w:val="none" w:sz="0" w:space="0" w:color="auto"/>
                        <w:left w:val="none" w:sz="0" w:space="0" w:color="auto"/>
                        <w:bottom w:val="none" w:sz="0" w:space="0" w:color="auto"/>
                        <w:right w:val="none" w:sz="0" w:space="0" w:color="auto"/>
                      </w:divBdr>
                    </w:div>
                  </w:divsChild>
                </w:div>
                <w:div w:id="874002015">
                  <w:marLeft w:val="0"/>
                  <w:marRight w:val="0"/>
                  <w:marTop w:val="0"/>
                  <w:marBottom w:val="0"/>
                  <w:divBdr>
                    <w:top w:val="none" w:sz="0" w:space="0" w:color="auto"/>
                    <w:left w:val="none" w:sz="0" w:space="0" w:color="auto"/>
                    <w:bottom w:val="none" w:sz="0" w:space="0" w:color="auto"/>
                    <w:right w:val="none" w:sz="0" w:space="0" w:color="auto"/>
                  </w:divBdr>
                  <w:divsChild>
                    <w:div w:id="1531142849">
                      <w:marLeft w:val="0"/>
                      <w:marRight w:val="0"/>
                      <w:marTop w:val="0"/>
                      <w:marBottom w:val="0"/>
                      <w:divBdr>
                        <w:top w:val="none" w:sz="0" w:space="0" w:color="auto"/>
                        <w:left w:val="none" w:sz="0" w:space="0" w:color="auto"/>
                        <w:bottom w:val="none" w:sz="0" w:space="0" w:color="auto"/>
                        <w:right w:val="none" w:sz="0" w:space="0" w:color="auto"/>
                      </w:divBdr>
                    </w:div>
                  </w:divsChild>
                </w:div>
                <w:div w:id="879782349">
                  <w:marLeft w:val="0"/>
                  <w:marRight w:val="0"/>
                  <w:marTop w:val="0"/>
                  <w:marBottom w:val="0"/>
                  <w:divBdr>
                    <w:top w:val="none" w:sz="0" w:space="0" w:color="auto"/>
                    <w:left w:val="none" w:sz="0" w:space="0" w:color="auto"/>
                    <w:bottom w:val="none" w:sz="0" w:space="0" w:color="auto"/>
                    <w:right w:val="none" w:sz="0" w:space="0" w:color="auto"/>
                  </w:divBdr>
                  <w:divsChild>
                    <w:div w:id="1641691645">
                      <w:marLeft w:val="0"/>
                      <w:marRight w:val="0"/>
                      <w:marTop w:val="0"/>
                      <w:marBottom w:val="0"/>
                      <w:divBdr>
                        <w:top w:val="none" w:sz="0" w:space="0" w:color="auto"/>
                        <w:left w:val="none" w:sz="0" w:space="0" w:color="auto"/>
                        <w:bottom w:val="none" w:sz="0" w:space="0" w:color="auto"/>
                        <w:right w:val="none" w:sz="0" w:space="0" w:color="auto"/>
                      </w:divBdr>
                    </w:div>
                  </w:divsChild>
                </w:div>
                <w:div w:id="884605590">
                  <w:marLeft w:val="0"/>
                  <w:marRight w:val="0"/>
                  <w:marTop w:val="0"/>
                  <w:marBottom w:val="0"/>
                  <w:divBdr>
                    <w:top w:val="none" w:sz="0" w:space="0" w:color="auto"/>
                    <w:left w:val="none" w:sz="0" w:space="0" w:color="auto"/>
                    <w:bottom w:val="none" w:sz="0" w:space="0" w:color="auto"/>
                    <w:right w:val="none" w:sz="0" w:space="0" w:color="auto"/>
                  </w:divBdr>
                  <w:divsChild>
                    <w:div w:id="831874520">
                      <w:marLeft w:val="0"/>
                      <w:marRight w:val="0"/>
                      <w:marTop w:val="0"/>
                      <w:marBottom w:val="0"/>
                      <w:divBdr>
                        <w:top w:val="none" w:sz="0" w:space="0" w:color="auto"/>
                        <w:left w:val="none" w:sz="0" w:space="0" w:color="auto"/>
                        <w:bottom w:val="none" w:sz="0" w:space="0" w:color="auto"/>
                        <w:right w:val="none" w:sz="0" w:space="0" w:color="auto"/>
                      </w:divBdr>
                    </w:div>
                  </w:divsChild>
                </w:div>
                <w:div w:id="898394744">
                  <w:marLeft w:val="0"/>
                  <w:marRight w:val="0"/>
                  <w:marTop w:val="0"/>
                  <w:marBottom w:val="0"/>
                  <w:divBdr>
                    <w:top w:val="none" w:sz="0" w:space="0" w:color="auto"/>
                    <w:left w:val="none" w:sz="0" w:space="0" w:color="auto"/>
                    <w:bottom w:val="none" w:sz="0" w:space="0" w:color="auto"/>
                    <w:right w:val="none" w:sz="0" w:space="0" w:color="auto"/>
                  </w:divBdr>
                  <w:divsChild>
                    <w:div w:id="22639642">
                      <w:marLeft w:val="0"/>
                      <w:marRight w:val="0"/>
                      <w:marTop w:val="0"/>
                      <w:marBottom w:val="0"/>
                      <w:divBdr>
                        <w:top w:val="none" w:sz="0" w:space="0" w:color="auto"/>
                        <w:left w:val="none" w:sz="0" w:space="0" w:color="auto"/>
                        <w:bottom w:val="none" w:sz="0" w:space="0" w:color="auto"/>
                        <w:right w:val="none" w:sz="0" w:space="0" w:color="auto"/>
                      </w:divBdr>
                    </w:div>
                  </w:divsChild>
                </w:div>
                <w:div w:id="900478468">
                  <w:marLeft w:val="0"/>
                  <w:marRight w:val="0"/>
                  <w:marTop w:val="0"/>
                  <w:marBottom w:val="0"/>
                  <w:divBdr>
                    <w:top w:val="none" w:sz="0" w:space="0" w:color="auto"/>
                    <w:left w:val="none" w:sz="0" w:space="0" w:color="auto"/>
                    <w:bottom w:val="none" w:sz="0" w:space="0" w:color="auto"/>
                    <w:right w:val="none" w:sz="0" w:space="0" w:color="auto"/>
                  </w:divBdr>
                  <w:divsChild>
                    <w:div w:id="1262184884">
                      <w:marLeft w:val="0"/>
                      <w:marRight w:val="0"/>
                      <w:marTop w:val="0"/>
                      <w:marBottom w:val="0"/>
                      <w:divBdr>
                        <w:top w:val="none" w:sz="0" w:space="0" w:color="auto"/>
                        <w:left w:val="none" w:sz="0" w:space="0" w:color="auto"/>
                        <w:bottom w:val="none" w:sz="0" w:space="0" w:color="auto"/>
                        <w:right w:val="none" w:sz="0" w:space="0" w:color="auto"/>
                      </w:divBdr>
                    </w:div>
                  </w:divsChild>
                </w:div>
                <w:div w:id="924609847">
                  <w:marLeft w:val="0"/>
                  <w:marRight w:val="0"/>
                  <w:marTop w:val="0"/>
                  <w:marBottom w:val="0"/>
                  <w:divBdr>
                    <w:top w:val="none" w:sz="0" w:space="0" w:color="auto"/>
                    <w:left w:val="none" w:sz="0" w:space="0" w:color="auto"/>
                    <w:bottom w:val="none" w:sz="0" w:space="0" w:color="auto"/>
                    <w:right w:val="none" w:sz="0" w:space="0" w:color="auto"/>
                  </w:divBdr>
                  <w:divsChild>
                    <w:div w:id="1128859723">
                      <w:marLeft w:val="0"/>
                      <w:marRight w:val="0"/>
                      <w:marTop w:val="0"/>
                      <w:marBottom w:val="0"/>
                      <w:divBdr>
                        <w:top w:val="none" w:sz="0" w:space="0" w:color="auto"/>
                        <w:left w:val="none" w:sz="0" w:space="0" w:color="auto"/>
                        <w:bottom w:val="none" w:sz="0" w:space="0" w:color="auto"/>
                        <w:right w:val="none" w:sz="0" w:space="0" w:color="auto"/>
                      </w:divBdr>
                    </w:div>
                  </w:divsChild>
                </w:div>
                <w:div w:id="935601330">
                  <w:marLeft w:val="0"/>
                  <w:marRight w:val="0"/>
                  <w:marTop w:val="0"/>
                  <w:marBottom w:val="0"/>
                  <w:divBdr>
                    <w:top w:val="none" w:sz="0" w:space="0" w:color="auto"/>
                    <w:left w:val="none" w:sz="0" w:space="0" w:color="auto"/>
                    <w:bottom w:val="none" w:sz="0" w:space="0" w:color="auto"/>
                    <w:right w:val="none" w:sz="0" w:space="0" w:color="auto"/>
                  </w:divBdr>
                  <w:divsChild>
                    <w:div w:id="1806463656">
                      <w:marLeft w:val="0"/>
                      <w:marRight w:val="0"/>
                      <w:marTop w:val="0"/>
                      <w:marBottom w:val="0"/>
                      <w:divBdr>
                        <w:top w:val="none" w:sz="0" w:space="0" w:color="auto"/>
                        <w:left w:val="none" w:sz="0" w:space="0" w:color="auto"/>
                        <w:bottom w:val="none" w:sz="0" w:space="0" w:color="auto"/>
                        <w:right w:val="none" w:sz="0" w:space="0" w:color="auto"/>
                      </w:divBdr>
                    </w:div>
                  </w:divsChild>
                </w:div>
                <w:div w:id="951746182">
                  <w:marLeft w:val="0"/>
                  <w:marRight w:val="0"/>
                  <w:marTop w:val="0"/>
                  <w:marBottom w:val="0"/>
                  <w:divBdr>
                    <w:top w:val="none" w:sz="0" w:space="0" w:color="auto"/>
                    <w:left w:val="none" w:sz="0" w:space="0" w:color="auto"/>
                    <w:bottom w:val="none" w:sz="0" w:space="0" w:color="auto"/>
                    <w:right w:val="none" w:sz="0" w:space="0" w:color="auto"/>
                  </w:divBdr>
                  <w:divsChild>
                    <w:div w:id="1048992309">
                      <w:marLeft w:val="0"/>
                      <w:marRight w:val="0"/>
                      <w:marTop w:val="0"/>
                      <w:marBottom w:val="0"/>
                      <w:divBdr>
                        <w:top w:val="none" w:sz="0" w:space="0" w:color="auto"/>
                        <w:left w:val="none" w:sz="0" w:space="0" w:color="auto"/>
                        <w:bottom w:val="none" w:sz="0" w:space="0" w:color="auto"/>
                        <w:right w:val="none" w:sz="0" w:space="0" w:color="auto"/>
                      </w:divBdr>
                    </w:div>
                  </w:divsChild>
                </w:div>
                <w:div w:id="961493571">
                  <w:marLeft w:val="0"/>
                  <w:marRight w:val="0"/>
                  <w:marTop w:val="0"/>
                  <w:marBottom w:val="0"/>
                  <w:divBdr>
                    <w:top w:val="none" w:sz="0" w:space="0" w:color="auto"/>
                    <w:left w:val="none" w:sz="0" w:space="0" w:color="auto"/>
                    <w:bottom w:val="none" w:sz="0" w:space="0" w:color="auto"/>
                    <w:right w:val="none" w:sz="0" w:space="0" w:color="auto"/>
                  </w:divBdr>
                  <w:divsChild>
                    <w:div w:id="1399666973">
                      <w:marLeft w:val="0"/>
                      <w:marRight w:val="0"/>
                      <w:marTop w:val="0"/>
                      <w:marBottom w:val="0"/>
                      <w:divBdr>
                        <w:top w:val="none" w:sz="0" w:space="0" w:color="auto"/>
                        <w:left w:val="none" w:sz="0" w:space="0" w:color="auto"/>
                        <w:bottom w:val="none" w:sz="0" w:space="0" w:color="auto"/>
                        <w:right w:val="none" w:sz="0" w:space="0" w:color="auto"/>
                      </w:divBdr>
                    </w:div>
                  </w:divsChild>
                </w:div>
                <w:div w:id="969168119">
                  <w:marLeft w:val="0"/>
                  <w:marRight w:val="0"/>
                  <w:marTop w:val="0"/>
                  <w:marBottom w:val="0"/>
                  <w:divBdr>
                    <w:top w:val="none" w:sz="0" w:space="0" w:color="auto"/>
                    <w:left w:val="none" w:sz="0" w:space="0" w:color="auto"/>
                    <w:bottom w:val="none" w:sz="0" w:space="0" w:color="auto"/>
                    <w:right w:val="none" w:sz="0" w:space="0" w:color="auto"/>
                  </w:divBdr>
                  <w:divsChild>
                    <w:div w:id="1957133589">
                      <w:marLeft w:val="0"/>
                      <w:marRight w:val="0"/>
                      <w:marTop w:val="0"/>
                      <w:marBottom w:val="0"/>
                      <w:divBdr>
                        <w:top w:val="none" w:sz="0" w:space="0" w:color="auto"/>
                        <w:left w:val="none" w:sz="0" w:space="0" w:color="auto"/>
                        <w:bottom w:val="none" w:sz="0" w:space="0" w:color="auto"/>
                        <w:right w:val="none" w:sz="0" w:space="0" w:color="auto"/>
                      </w:divBdr>
                    </w:div>
                  </w:divsChild>
                </w:div>
                <w:div w:id="995256241">
                  <w:marLeft w:val="0"/>
                  <w:marRight w:val="0"/>
                  <w:marTop w:val="0"/>
                  <w:marBottom w:val="0"/>
                  <w:divBdr>
                    <w:top w:val="none" w:sz="0" w:space="0" w:color="auto"/>
                    <w:left w:val="none" w:sz="0" w:space="0" w:color="auto"/>
                    <w:bottom w:val="none" w:sz="0" w:space="0" w:color="auto"/>
                    <w:right w:val="none" w:sz="0" w:space="0" w:color="auto"/>
                  </w:divBdr>
                  <w:divsChild>
                    <w:div w:id="1115097540">
                      <w:marLeft w:val="0"/>
                      <w:marRight w:val="0"/>
                      <w:marTop w:val="0"/>
                      <w:marBottom w:val="0"/>
                      <w:divBdr>
                        <w:top w:val="none" w:sz="0" w:space="0" w:color="auto"/>
                        <w:left w:val="none" w:sz="0" w:space="0" w:color="auto"/>
                        <w:bottom w:val="none" w:sz="0" w:space="0" w:color="auto"/>
                        <w:right w:val="none" w:sz="0" w:space="0" w:color="auto"/>
                      </w:divBdr>
                    </w:div>
                  </w:divsChild>
                </w:div>
                <w:div w:id="1004170588">
                  <w:marLeft w:val="0"/>
                  <w:marRight w:val="0"/>
                  <w:marTop w:val="0"/>
                  <w:marBottom w:val="0"/>
                  <w:divBdr>
                    <w:top w:val="none" w:sz="0" w:space="0" w:color="auto"/>
                    <w:left w:val="none" w:sz="0" w:space="0" w:color="auto"/>
                    <w:bottom w:val="none" w:sz="0" w:space="0" w:color="auto"/>
                    <w:right w:val="none" w:sz="0" w:space="0" w:color="auto"/>
                  </w:divBdr>
                  <w:divsChild>
                    <w:div w:id="1666779568">
                      <w:marLeft w:val="0"/>
                      <w:marRight w:val="0"/>
                      <w:marTop w:val="0"/>
                      <w:marBottom w:val="0"/>
                      <w:divBdr>
                        <w:top w:val="none" w:sz="0" w:space="0" w:color="auto"/>
                        <w:left w:val="none" w:sz="0" w:space="0" w:color="auto"/>
                        <w:bottom w:val="none" w:sz="0" w:space="0" w:color="auto"/>
                        <w:right w:val="none" w:sz="0" w:space="0" w:color="auto"/>
                      </w:divBdr>
                    </w:div>
                  </w:divsChild>
                </w:div>
                <w:div w:id="1010370256">
                  <w:marLeft w:val="0"/>
                  <w:marRight w:val="0"/>
                  <w:marTop w:val="0"/>
                  <w:marBottom w:val="0"/>
                  <w:divBdr>
                    <w:top w:val="none" w:sz="0" w:space="0" w:color="auto"/>
                    <w:left w:val="none" w:sz="0" w:space="0" w:color="auto"/>
                    <w:bottom w:val="none" w:sz="0" w:space="0" w:color="auto"/>
                    <w:right w:val="none" w:sz="0" w:space="0" w:color="auto"/>
                  </w:divBdr>
                  <w:divsChild>
                    <w:div w:id="2046368207">
                      <w:marLeft w:val="0"/>
                      <w:marRight w:val="0"/>
                      <w:marTop w:val="0"/>
                      <w:marBottom w:val="0"/>
                      <w:divBdr>
                        <w:top w:val="none" w:sz="0" w:space="0" w:color="auto"/>
                        <w:left w:val="none" w:sz="0" w:space="0" w:color="auto"/>
                        <w:bottom w:val="none" w:sz="0" w:space="0" w:color="auto"/>
                        <w:right w:val="none" w:sz="0" w:space="0" w:color="auto"/>
                      </w:divBdr>
                    </w:div>
                  </w:divsChild>
                </w:div>
                <w:div w:id="1022635441">
                  <w:marLeft w:val="0"/>
                  <w:marRight w:val="0"/>
                  <w:marTop w:val="0"/>
                  <w:marBottom w:val="0"/>
                  <w:divBdr>
                    <w:top w:val="none" w:sz="0" w:space="0" w:color="auto"/>
                    <w:left w:val="none" w:sz="0" w:space="0" w:color="auto"/>
                    <w:bottom w:val="none" w:sz="0" w:space="0" w:color="auto"/>
                    <w:right w:val="none" w:sz="0" w:space="0" w:color="auto"/>
                  </w:divBdr>
                  <w:divsChild>
                    <w:div w:id="300696319">
                      <w:marLeft w:val="0"/>
                      <w:marRight w:val="0"/>
                      <w:marTop w:val="0"/>
                      <w:marBottom w:val="0"/>
                      <w:divBdr>
                        <w:top w:val="none" w:sz="0" w:space="0" w:color="auto"/>
                        <w:left w:val="none" w:sz="0" w:space="0" w:color="auto"/>
                        <w:bottom w:val="none" w:sz="0" w:space="0" w:color="auto"/>
                        <w:right w:val="none" w:sz="0" w:space="0" w:color="auto"/>
                      </w:divBdr>
                    </w:div>
                  </w:divsChild>
                </w:div>
                <w:div w:id="1024408428">
                  <w:marLeft w:val="0"/>
                  <w:marRight w:val="0"/>
                  <w:marTop w:val="0"/>
                  <w:marBottom w:val="0"/>
                  <w:divBdr>
                    <w:top w:val="none" w:sz="0" w:space="0" w:color="auto"/>
                    <w:left w:val="none" w:sz="0" w:space="0" w:color="auto"/>
                    <w:bottom w:val="none" w:sz="0" w:space="0" w:color="auto"/>
                    <w:right w:val="none" w:sz="0" w:space="0" w:color="auto"/>
                  </w:divBdr>
                  <w:divsChild>
                    <w:div w:id="1234118317">
                      <w:marLeft w:val="0"/>
                      <w:marRight w:val="0"/>
                      <w:marTop w:val="0"/>
                      <w:marBottom w:val="0"/>
                      <w:divBdr>
                        <w:top w:val="none" w:sz="0" w:space="0" w:color="auto"/>
                        <w:left w:val="none" w:sz="0" w:space="0" w:color="auto"/>
                        <w:bottom w:val="none" w:sz="0" w:space="0" w:color="auto"/>
                        <w:right w:val="none" w:sz="0" w:space="0" w:color="auto"/>
                      </w:divBdr>
                    </w:div>
                  </w:divsChild>
                </w:div>
                <w:div w:id="1027020199">
                  <w:marLeft w:val="0"/>
                  <w:marRight w:val="0"/>
                  <w:marTop w:val="0"/>
                  <w:marBottom w:val="0"/>
                  <w:divBdr>
                    <w:top w:val="none" w:sz="0" w:space="0" w:color="auto"/>
                    <w:left w:val="none" w:sz="0" w:space="0" w:color="auto"/>
                    <w:bottom w:val="none" w:sz="0" w:space="0" w:color="auto"/>
                    <w:right w:val="none" w:sz="0" w:space="0" w:color="auto"/>
                  </w:divBdr>
                  <w:divsChild>
                    <w:div w:id="687370303">
                      <w:marLeft w:val="0"/>
                      <w:marRight w:val="0"/>
                      <w:marTop w:val="0"/>
                      <w:marBottom w:val="0"/>
                      <w:divBdr>
                        <w:top w:val="none" w:sz="0" w:space="0" w:color="auto"/>
                        <w:left w:val="none" w:sz="0" w:space="0" w:color="auto"/>
                        <w:bottom w:val="none" w:sz="0" w:space="0" w:color="auto"/>
                        <w:right w:val="none" w:sz="0" w:space="0" w:color="auto"/>
                      </w:divBdr>
                    </w:div>
                  </w:divsChild>
                </w:div>
                <w:div w:id="1037587900">
                  <w:marLeft w:val="0"/>
                  <w:marRight w:val="0"/>
                  <w:marTop w:val="0"/>
                  <w:marBottom w:val="0"/>
                  <w:divBdr>
                    <w:top w:val="none" w:sz="0" w:space="0" w:color="auto"/>
                    <w:left w:val="none" w:sz="0" w:space="0" w:color="auto"/>
                    <w:bottom w:val="none" w:sz="0" w:space="0" w:color="auto"/>
                    <w:right w:val="none" w:sz="0" w:space="0" w:color="auto"/>
                  </w:divBdr>
                  <w:divsChild>
                    <w:div w:id="854806465">
                      <w:marLeft w:val="0"/>
                      <w:marRight w:val="0"/>
                      <w:marTop w:val="0"/>
                      <w:marBottom w:val="0"/>
                      <w:divBdr>
                        <w:top w:val="none" w:sz="0" w:space="0" w:color="auto"/>
                        <w:left w:val="none" w:sz="0" w:space="0" w:color="auto"/>
                        <w:bottom w:val="none" w:sz="0" w:space="0" w:color="auto"/>
                        <w:right w:val="none" w:sz="0" w:space="0" w:color="auto"/>
                      </w:divBdr>
                    </w:div>
                  </w:divsChild>
                </w:div>
                <w:div w:id="1038048270">
                  <w:marLeft w:val="0"/>
                  <w:marRight w:val="0"/>
                  <w:marTop w:val="0"/>
                  <w:marBottom w:val="0"/>
                  <w:divBdr>
                    <w:top w:val="none" w:sz="0" w:space="0" w:color="auto"/>
                    <w:left w:val="none" w:sz="0" w:space="0" w:color="auto"/>
                    <w:bottom w:val="none" w:sz="0" w:space="0" w:color="auto"/>
                    <w:right w:val="none" w:sz="0" w:space="0" w:color="auto"/>
                  </w:divBdr>
                  <w:divsChild>
                    <w:div w:id="775291922">
                      <w:marLeft w:val="0"/>
                      <w:marRight w:val="0"/>
                      <w:marTop w:val="0"/>
                      <w:marBottom w:val="0"/>
                      <w:divBdr>
                        <w:top w:val="none" w:sz="0" w:space="0" w:color="auto"/>
                        <w:left w:val="none" w:sz="0" w:space="0" w:color="auto"/>
                        <w:bottom w:val="none" w:sz="0" w:space="0" w:color="auto"/>
                        <w:right w:val="none" w:sz="0" w:space="0" w:color="auto"/>
                      </w:divBdr>
                    </w:div>
                  </w:divsChild>
                </w:div>
                <w:div w:id="1059019604">
                  <w:marLeft w:val="0"/>
                  <w:marRight w:val="0"/>
                  <w:marTop w:val="0"/>
                  <w:marBottom w:val="0"/>
                  <w:divBdr>
                    <w:top w:val="none" w:sz="0" w:space="0" w:color="auto"/>
                    <w:left w:val="none" w:sz="0" w:space="0" w:color="auto"/>
                    <w:bottom w:val="none" w:sz="0" w:space="0" w:color="auto"/>
                    <w:right w:val="none" w:sz="0" w:space="0" w:color="auto"/>
                  </w:divBdr>
                  <w:divsChild>
                    <w:div w:id="536041653">
                      <w:marLeft w:val="0"/>
                      <w:marRight w:val="0"/>
                      <w:marTop w:val="0"/>
                      <w:marBottom w:val="0"/>
                      <w:divBdr>
                        <w:top w:val="none" w:sz="0" w:space="0" w:color="auto"/>
                        <w:left w:val="none" w:sz="0" w:space="0" w:color="auto"/>
                        <w:bottom w:val="none" w:sz="0" w:space="0" w:color="auto"/>
                        <w:right w:val="none" w:sz="0" w:space="0" w:color="auto"/>
                      </w:divBdr>
                    </w:div>
                  </w:divsChild>
                </w:div>
                <w:div w:id="1070881439">
                  <w:marLeft w:val="0"/>
                  <w:marRight w:val="0"/>
                  <w:marTop w:val="0"/>
                  <w:marBottom w:val="0"/>
                  <w:divBdr>
                    <w:top w:val="none" w:sz="0" w:space="0" w:color="auto"/>
                    <w:left w:val="none" w:sz="0" w:space="0" w:color="auto"/>
                    <w:bottom w:val="none" w:sz="0" w:space="0" w:color="auto"/>
                    <w:right w:val="none" w:sz="0" w:space="0" w:color="auto"/>
                  </w:divBdr>
                  <w:divsChild>
                    <w:div w:id="1489784198">
                      <w:marLeft w:val="0"/>
                      <w:marRight w:val="0"/>
                      <w:marTop w:val="0"/>
                      <w:marBottom w:val="0"/>
                      <w:divBdr>
                        <w:top w:val="none" w:sz="0" w:space="0" w:color="auto"/>
                        <w:left w:val="none" w:sz="0" w:space="0" w:color="auto"/>
                        <w:bottom w:val="none" w:sz="0" w:space="0" w:color="auto"/>
                        <w:right w:val="none" w:sz="0" w:space="0" w:color="auto"/>
                      </w:divBdr>
                    </w:div>
                  </w:divsChild>
                </w:div>
                <w:div w:id="1078593960">
                  <w:marLeft w:val="0"/>
                  <w:marRight w:val="0"/>
                  <w:marTop w:val="0"/>
                  <w:marBottom w:val="0"/>
                  <w:divBdr>
                    <w:top w:val="none" w:sz="0" w:space="0" w:color="auto"/>
                    <w:left w:val="none" w:sz="0" w:space="0" w:color="auto"/>
                    <w:bottom w:val="none" w:sz="0" w:space="0" w:color="auto"/>
                    <w:right w:val="none" w:sz="0" w:space="0" w:color="auto"/>
                  </w:divBdr>
                  <w:divsChild>
                    <w:div w:id="1877280136">
                      <w:marLeft w:val="0"/>
                      <w:marRight w:val="0"/>
                      <w:marTop w:val="0"/>
                      <w:marBottom w:val="0"/>
                      <w:divBdr>
                        <w:top w:val="none" w:sz="0" w:space="0" w:color="auto"/>
                        <w:left w:val="none" w:sz="0" w:space="0" w:color="auto"/>
                        <w:bottom w:val="none" w:sz="0" w:space="0" w:color="auto"/>
                        <w:right w:val="none" w:sz="0" w:space="0" w:color="auto"/>
                      </w:divBdr>
                    </w:div>
                  </w:divsChild>
                </w:div>
                <w:div w:id="1106073210">
                  <w:marLeft w:val="0"/>
                  <w:marRight w:val="0"/>
                  <w:marTop w:val="0"/>
                  <w:marBottom w:val="0"/>
                  <w:divBdr>
                    <w:top w:val="none" w:sz="0" w:space="0" w:color="auto"/>
                    <w:left w:val="none" w:sz="0" w:space="0" w:color="auto"/>
                    <w:bottom w:val="none" w:sz="0" w:space="0" w:color="auto"/>
                    <w:right w:val="none" w:sz="0" w:space="0" w:color="auto"/>
                  </w:divBdr>
                  <w:divsChild>
                    <w:div w:id="1697926945">
                      <w:marLeft w:val="0"/>
                      <w:marRight w:val="0"/>
                      <w:marTop w:val="0"/>
                      <w:marBottom w:val="0"/>
                      <w:divBdr>
                        <w:top w:val="none" w:sz="0" w:space="0" w:color="auto"/>
                        <w:left w:val="none" w:sz="0" w:space="0" w:color="auto"/>
                        <w:bottom w:val="none" w:sz="0" w:space="0" w:color="auto"/>
                        <w:right w:val="none" w:sz="0" w:space="0" w:color="auto"/>
                      </w:divBdr>
                    </w:div>
                  </w:divsChild>
                </w:div>
                <w:div w:id="1108814623">
                  <w:marLeft w:val="0"/>
                  <w:marRight w:val="0"/>
                  <w:marTop w:val="0"/>
                  <w:marBottom w:val="0"/>
                  <w:divBdr>
                    <w:top w:val="none" w:sz="0" w:space="0" w:color="auto"/>
                    <w:left w:val="none" w:sz="0" w:space="0" w:color="auto"/>
                    <w:bottom w:val="none" w:sz="0" w:space="0" w:color="auto"/>
                    <w:right w:val="none" w:sz="0" w:space="0" w:color="auto"/>
                  </w:divBdr>
                  <w:divsChild>
                    <w:div w:id="1766725302">
                      <w:marLeft w:val="0"/>
                      <w:marRight w:val="0"/>
                      <w:marTop w:val="0"/>
                      <w:marBottom w:val="0"/>
                      <w:divBdr>
                        <w:top w:val="none" w:sz="0" w:space="0" w:color="auto"/>
                        <w:left w:val="none" w:sz="0" w:space="0" w:color="auto"/>
                        <w:bottom w:val="none" w:sz="0" w:space="0" w:color="auto"/>
                        <w:right w:val="none" w:sz="0" w:space="0" w:color="auto"/>
                      </w:divBdr>
                    </w:div>
                  </w:divsChild>
                </w:div>
                <w:div w:id="1133870171">
                  <w:marLeft w:val="0"/>
                  <w:marRight w:val="0"/>
                  <w:marTop w:val="0"/>
                  <w:marBottom w:val="0"/>
                  <w:divBdr>
                    <w:top w:val="none" w:sz="0" w:space="0" w:color="auto"/>
                    <w:left w:val="none" w:sz="0" w:space="0" w:color="auto"/>
                    <w:bottom w:val="none" w:sz="0" w:space="0" w:color="auto"/>
                    <w:right w:val="none" w:sz="0" w:space="0" w:color="auto"/>
                  </w:divBdr>
                  <w:divsChild>
                    <w:div w:id="1510867536">
                      <w:marLeft w:val="0"/>
                      <w:marRight w:val="0"/>
                      <w:marTop w:val="0"/>
                      <w:marBottom w:val="0"/>
                      <w:divBdr>
                        <w:top w:val="none" w:sz="0" w:space="0" w:color="auto"/>
                        <w:left w:val="none" w:sz="0" w:space="0" w:color="auto"/>
                        <w:bottom w:val="none" w:sz="0" w:space="0" w:color="auto"/>
                        <w:right w:val="none" w:sz="0" w:space="0" w:color="auto"/>
                      </w:divBdr>
                    </w:div>
                  </w:divsChild>
                </w:div>
                <w:div w:id="1146387696">
                  <w:marLeft w:val="0"/>
                  <w:marRight w:val="0"/>
                  <w:marTop w:val="0"/>
                  <w:marBottom w:val="0"/>
                  <w:divBdr>
                    <w:top w:val="none" w:sz="0" w:space="0" w:color="auto"/>
                    <w:left w:val="none" w:sz="0" w:space="0" w:color="auto"/>
                    <w:bottom w:val="none" w:sz="0" w:space="0" w:color="auto"/>
                    <w:right w:val="none" w:sz="0" w:space="0" w:color="auto"/>
                  </w:divBdr>
                  <w:divsChild>
                    <w:div w:id="1406144912">
                      <w:marLeft w:val="0"/>
                      <w:marRight w:val="0"/>
                      <w:marTop w:val="0"/>
                      <w:marBottom w:val="0"/>
                      <w:divBdr>
                        <w:top w:val="none" w:sz="0" w:space="0" w:color="auto"/>
                        <w:left w:val="none" w:sz="0" w:space="0" w:color="auto"/>
                        <w:bottom w:val="none" w:sz="0" w:space="0" w:color="auto"/>
                        <w:right w:val="none" w:sz="0" w:space="0" w:color="auto"/>
                      </w:divBdr>
                    </w:div>
                  </w:divsChild>
                </w:div>
                <w:div w:id="1147164077">
                  <w:marLeft w:val="0"/>
                  <w:marRight w:val="0"/>
                  <w:marTop w:val="0"/>
                  <w:marBottom w:val="0"/>
                  <w:divBdr>
                    <w:top w:val="none" w:sz="0" w:space="0" w:color="auto"/>
                    <w:left w:val="none" w:sz="0" w:space="0" w:color="auto"/>
                    <w:bottom w:val="none" w:sz="0" w:space="0" w:color="auto"/>
                    <w:right w:val="none" w:sz="0" w:space="0" w:color="auto"/>
                  </w:divBdr>
                  <w:divsChild>
                    <w:div w:id="1127022">
                      <w:marLeft w:val="0"/>
                      <w:marRight w:val="0"/>
                      <w:marTop w:val="0"/>
                      <w:marBottom w:val="0"/>
                      <w:divBdr>
                        <w:top w:val="none" w:sz="0" w:space="0" w:color="auto"/>
                        <w:left w:val="none" w:sz="0" w:space="0" w:color="auto"/>
                        <w:bottom w:val="none" w:sz="0" w:space="0" w:color="auto"/>
                        <w:right w:val="none" w:sz="0" w:space="0" w:color="auto"/>
                      </w:divBdr>
                    </w:div>
                  </w:divsChild>
                </w:div>
                <w:div w:id="1148277918">
                  <w:marLeft w:val="0"/>
                  <w:marRight w:val="0"/>
                  <w:marTop w:val="0"/>
                  <w:marBottom w:val="0"/>
                  <w:divBdr>
                    <w:top w:val="none" w:sz="0" w:space="0" w:color="auto"/>
                    <w:left w:val="none" w:sz="0" w:space="0" w:color="auto"/>
                    <w:bottom w:val="none" w:sz="0" w:space="0" w:color="auto"/>
                    <w:right w:val="none" w:sz="0" w:space="0" w:color="auto"/>
                  </w:divBdr>
                  <w:divsChild>
                    <w:div w:id="138035877">
                      <w:marLeft w:val="0"/>
                      <w:marRight w:val="0"/>
                      <w:marTop w:val="0"/>
                      <w:marBottom w:val="0"/>
                      <w:divBdr>
                        <w:top w:val="none" w:sz="0" w:space="0" w:color="auto"/>
                        <w:left w:val="none" w:sz="0" w:space="0" w:color="auto"/>
                        <w:bottom w:val="none" w:sz="0" w:space="0" w:color="auto"/>
                        <w:right w:val="none" w:sz="0" w:space="0" w:color="auto"/>
                      </w:divBdr>
                    </w:div>
                  </w:divsChild>
                </w:div>
                <w:div w:id="1156993654">
                  <w:marLeft w:val="0"/>
                  <w:marRight w:val="0"/>
                  <w:marTop w:val="0"/>
                  <w:marBottom w:val="0"/>
                  <w:divBdr>
                    <w:top w:val="none" w:sz="0" w:space="0" w:color="auto"/>
                    <w:left w:val="none" w:sz="0" w:space="0" w:color="auto"/>
                    <w:bottom w:val="none" w:sz="0" w:space="0" w:color="auto"/>
                    <w:right w:val="none" w:sz="0" w:space="0" w:color="auto"/>
                  </w:divBdr>
                  <w:divsChild>
                    <w:div w:id="11686643">
                      <w:marLeft w:val="0"/>
                      <w:marRight w:val="0"/>
                      <w:marTop w:val="0"/>
                      <w:marBottom w:val="0"/>
                      <w:divBdr>
                        <w:top w:val="none" w:sz="0" w:space="0" w:color="auto"/>
                        <w:left w:val="none" w:sz="0" w:space="0" w:color="auto"/>
                        <w:bottom w:val="none" w:sz="0" w:space="0" w:color="auto"/>
                        <w:right w:val="none" w:sz="0" w:space="0" w:color="auto"/>
                      </w:divBdr>
                    </w:div>
                  </w:divsChild>
                </w:div>
                <w:div w:id="1160582772">
                  <w:marLeft w:val="0"/>
                  <w:marRight w:val="0"/>
                  <w:marTop w:val="0"/>
                  <w:marBottom w:val="0"/>
                  <w:divBdr>
                    <w:top w:val="none" w:sz="0" w:space="0" w:color="auto"/>
                    <w:left w:val="none" w:sz="0" w:space="0" w:color="auto"/>
                    <w:bottom w:val="none" w:sz="0" w:space="0" w:color="auto"/>
                    <w:right w:val="none" w:sz="0" w:space="0" w:color="auto"/>
                  </w:divBdr>
                  <w:divsChild>
                    <w:div w:id="651180168">
                      <w:marLeft w:val="0"/>
                      <w:marRight w:val="0"/>
                      <w:marTop w:val="0"/>
                      <w:marBottom w:val="0"/>
                      <w:divBdr>
                        <w:top w:val="none" w:sz="0" w:space="0" w:color="auto"/>
                        <w:left w:val="none" w:sz="0" w:space="0" w:color="auto"/>
                        <w:bottom w:val="none" w:sz="0" w:space="0" w:color="auto"/>
                        <w:right w:val="none" w:sz="0" w:space="0" w:color="auto"/>
                      </w:divBdr>
                    </w:div>
                  </w:divsChild>
                </w:div>
                <w:div w:id="1165121429">
                  <w:marLeft w:val="0"/>
                  <w:marRight w:val="0"/>
                  <w:marTop w:val="0"/>
                  <w:marBottom w:val="0"/>
                  <w:divBdr>
                    <w:top w:val="none" w:sz="0" w:space="0" w:color="auto"/>
                    <w:left w:val="none" w:sz="0" w:space="0" w:color="auto"/>
                    <w:bottom w:val="none" w:sz="0" w:space="0" w:color="auto"/>
                    <w:right w:val="none" w:sz="0" w:space="0" w:color="auto"/>
                  </w:divBdr>
                  <w:divsChild>
                    <w:div w:id="1730037039">
                      <w:marLeft w:val="0"/>
                      <w:marRight w:val="0"/>
                      <w:marTop w:val="0"/>
                      <w:marBottom w:val="0"/>
                      <w:divBdr>
                        <w:top w:val="none" w:sz="0" w:space="0" w:color="auto"/>
                        <w:left w:val="none" w:sz="0" w:space="0" w:color="auto"/>
                        <w:bottom w:val="none" w:sz="0" w:space="0" w:color="auto"/>
                        <w:right w:val="none" w:sz="0" w:space="0" w:color="auto"/>
                      </w:divBdr>
                    </w:div>
                  </w:divsChild>
                </w:div>
                <w:div w:id="1195267237">
                  <w:marLeft w:val="0"/>
                  <w:marRight w:val="0"/>
                  <w:marTop w:val="0"/>
                  <w:marBottom w:val="0"/>
                  <w:divBdr>
                    <w:top w:val="none" w:sz="0" w:space="0" w:color="auto"/>
                    <w:left w:val="none" w:sz="0" w:space="0" w:color="auto"/>
                    <w:bottom w:val="none" w:sz="0" w:space="0" w:color="auto"/>
                    <w:right w:val="none" w:sz="0" w:space="0" w:color="auto"/>
                  </w:divBdr>
                  <w:divsChild>
                    <w:div w:id="1367173720">
                      <w:marLeft w:val="0"/>
                      <w:marRight w:val="0"/>
                      <w:marTop w:val="0"/>
                      <w:marBottom w:val="0"/>
                      <w:divBdr>
                        <w:top w:val="none" w:sz="0" w:space="0" w:color="auto"/>
                        <w:left w:val="none" w:sz="0" w:space="0" w:color="auto"/>
                        <w:bottom w:val="none" w:sz="0" w:space="0" w:color="auto"/>
                        <w:right w:val="none" w:sz="0" w:space="0" w:color="auto"/>
                      </w:divBdr>
                    </w:div>
                  </w:divsChild>
                </w:div>
                <w:div w:id="1211649208">
                  <w:marLeft w:val="0"/>
                  <w:marRight w:val="0"/>
                  <w:marTop w:val="0"/>
                  <w:marBottom w:val="0"/>
                  <w:divBdr>
                    <w:top w:val="none" w:sz="0" w:space="0" w:color="auto"/>
                    <w:left w:val="none" w:sz="0" w:space="0" w:color="auto"/>
                    <w:bottom w:val="none" w:sz="0" w:space="0" w:color="auto"/>
                    <w:right w:val="none" w:sz="0" w:space="0" w:color="auto"/>
                  </w:divBdr>
                  <w:divsChild>
                    <w:div w:id="1515343055">
                      <w:marLeft w:val="0"/>
                      <w:marRight w:val="0"/>
                      <w:marTop w:val="0"/>
                      <w:marBottom w:val="0"/>
                      <w:divBdr>
                        <w:top w:val="none" w:sz="0" w:space="0" w:color="auto"/>
                        <w:left w:val="none" w:sz="0" w:space="0" w:color="auto"/>
                        <w:bottom w:val="none" w:sz="0" w:space="0" w:color="auto"/>
                        <w:right w:val="none" w:sz="0" w:space="0" w:color="auto"/>
                      </w:divBdr>
                    </w:div>
                  </w:divsChild>
                </w:div>
                <w:div w:id="1228415288">
                  <w:marLeft w:val="0"/>
                  <w:marRight w:val="0"/>
                  <w:marTop w:val="0"/>
                  <w:marBottom w:val="0"/>
                  <w:divBdr>
                    <w:top w:val="none" w:sz="0" w:space="0" w:color="auto"/>
                    <w:left w:val="none" w:sz="0" w:space="0" w:color="auto"/>
                    <w:bottom w:val="none" w:sz="0" w:space="0" w:color="auto"/>
                    <w:right w:val="none" w:sz="0" w:space="0" w:color="auto"/>
                  </w:divBdr>
                  <w:divsChild>
                    <w:div w:id="929239140">
                      <w:marLeft w:val="0"/>
                      <w:marRight w:val="0"/>
                      <w:marTop w:val="0"/>
                      <w:marBottom w:val="0"/>
                      <w:divBdr>
                        <w:top w:val="none" w:sz="0" w:space="0" w:color="auto"/>
                        <w:left w:val="none" w:sz="0" w:space="0" w:color="auto"/>
                        <w:bottom w:val="none" w:sz="0" w:space="0" w:color="auto"/>
                        <w:right w:val="none" w:sz="0" w:space="0" w:color="auto"/>
                      </w:divBdr>
                    </w:div>
                  </w:divsChild>
                </w:div>
                <w:div w:id="1282616634">
                  <w:marLeft w:val="0"/>
                  <w:marRight w:val="0"/>
                  <w:marTop w:val="0"/>
                  <w:marBottom w:val="0"/>
                  <w:divBdr>
                    <w:top w:val="none" w:sz="0" w:space="0" w:color="auto"/>
                    <w:left w:val="none" w:sz="0" w:space="0" w:color="auto"/>
                    <w:bottom w:val="none" w:sz="0" w:space="0" w:color="auto"/>
                    <w:right w:val="none" w:sz="0" w:space="0" w:color="auto"/>
                  </w:divBdr>
                  <w:divsChild>
                    <w:div w:id="1104960003">
                      <w:marLeft w:val="0"/>
                      <w:marRight w:val="0"/>
                      <w:marTop w:val="0"/>
                      <w:marBottom w:val="0"/>
                      <w:divBdr>
                        <w:top w:val="none" w:sz="0" w:space="0" w:color="auto"/>
                        <w:left w:val="none" w:sz="0" w:space="0" w:color="auto"/>
                        <w:bottom w:val="none" w:sz="0" w:space="0" w:color="auto"/>
                        <w:right w:val="none" w:sz="0" w:space="0" w:color="auto"/>
                      </w:divBdr>
                    </w:div>
                  </w:divsChild>
                </w:div>
                <w:div w:id="1296570846">
                  <w:marLeft w:val="0"/>
                  <w:marRight w:val="0"/>
                  <w:marTop w:val="0"/>
                  <w:marBottom w:val="0"/>
                  <w:divBdr>
                    <w:top w:val="none" w:sz="0" w:space="0" w:color="auto"/>
                    <w:left w:val="none" w:sz="0" w:space="0" w:color="auto"/>
                    <w:bottom w:val="none" w:sz="0" w:space="0" w:color="auto"/>
                    <w:right w:val="none" w:sz="0" w:space="0" w:color="auto"/>
                  </w:divBdr>
                  <w:divsChild>
                    <w:div w:id="140277046">
                      <w:marLeft w:val="0"/>
                      <w:marRight w:val="0"/>
                      <w:marTop w:val="0"/>
                      <w:marBottom w:val="0"/>
                      <w:divBdr>
                        <w:top w:val="none" w:sz="0" w:space="0" w:color="auto"/>
                        <w:left w:val="none" w:sz="0" w:space="0" w:color="auto"/>
                        <w:bottom w:val="none" w:sz="0" w:space="0" w:color="auto"/>
                        <w:right w:val="none" w:sz="0" w:space="0" w:color="auto"/>
                      </w:divBdr>
                    </w:div>
                  </w:divsChild>
                </w:div>
                <w:div w:id="1319580384">
                  <w:marLeft w:val="0"/>
                  <w:marRight w:val="0"/>
                  <w:marTop w:val="0"/>
                  <w:marBottom w:val="0"/>
                  <w:divBdr>
                    <w:top w:val="none" w:sz="0" w:space="0" w:color="auto"/>
                    <w:left w:val="none" w:sz="0" w:space="0" w:color="auto"/>
                    <w:bottom w:val="none" w:sz="0" w:space="0" w:color="auto"/>
                    <w:right w:val="none" w:sz="0" w:space="0" w:color="auto"/>
                  </w:divBdr>
                  <w:divsChild>
                    <w:div w:id="1480883364">
                      <w:marLeft w:val="0"/>
                      <w:marRight w:val="0"/>
                      <w:marTop w:val="0"/>
                      <w:marBottom w:val="0"/>
                      <w:divBdr>
                        <w:top w:val="none" w:sz="0" w:space="0" w:color="auto"/>
                        <w:left w:val="none" w:sz="0" w:space="0" w:color="auto"/>
                        <w:bottom w:val="none" w:sz="0" w:space="0" w:color="auto"/>
                        <w:right w:val="none" w:sz="0" w:space="0" w:color="auto"/>
                      </w:divBdr>
                    </w:div>
                  </w:divsChild>
                </w:div>
                <w:div w:id="1354647832">
                  <w:marLeft w:val="0"/>
                  <w:marRight w:val="0"/>
                  <w:marTop w:val="0"/>
                  <w:marBottom w:val="0"/>
                  <w:divBdr>
                    <w:top w:val="none" w:sz="0" w:space="0" w:color="auto"/>
                    <w:left w:val="none" w:sz="0" w:space="0" w:color="auto"/>
                    <w:bottom w:val="none" w:sz="0" w:space="0" w:color="auto"/>
                    <w:right w:val="none" w:sz="0" w:space="0" w:color="auto"/>
                  </w:divBdr>
                  <w:divsChild>
                    <w:div w:id="1186096814">
                      <w:marLeft w:val="0"/>
                      <w:marRight w:val="0"/>
                      <w:marTop w:val="0"/>
                      <w:marBottom w:val="0"/>
                      <w:divBdr>
                        <w:top w:val="none" w:sz="0" w:space="0" w:color="auto"/>
                        <w:left w:val="none" w:sz="0" w:space="0" w:color="auto"/>
                        <w:bottom w:val="none" w:sz="0" w:space="0" w:color="auto"/>
                        <w:right w:val="none" w:sz="0" w:space="0" w:color="auto"/>
                      </w:divBdr>
                    </w:div>
                  </w:divsChild>
                </w:div>
                <w:div w:id="1358848826">
                  <w:marLeft w:val="0"/>
                  <w:marRight w:val="0"/>
                  <w:marTop w:val="0"/>
                  <w:marBottom w:val="0"/>
                  <w:divBdr>
                    <w:top w:val="none" w:sz="0" w:space="0" w:color="auto"/>
                    <w:left w:val="none" w:sz="0" w:space="0" w:color="auto"/>
                    <w:bottom w:val="none" w:sz="0" w:space="0" w:color="auto"/>
                    <w:right w:val="none" w:sz="0" w:space="0" w:color="auto"/>
                  </w:divBdr>
                  <w:divsChild>
                    <w:div w:id="1530069127">
                      <w:marLeft w:val="0"/>
                      <w:marRight w:val="0"/>
                      <w:marTop w:val="0"/>
                      <w:marBottom w:val="0"/>
                      <w:divBdr>
                        <w:top w:val="none" w:sz="0" w:space="0" w:color="auto"/>
                        <w:left w:val="none" w:sz="0" w:space="0" w:color="auto"/>
                        <w:bottom w:val="none" w:sz="0" w:space="0" w:color="auto"/>
                        <w:right w:val="none" w:sz="0" w:space="0" w:color="auto"/>
                      </w:divBdr>
                    </w:div>
                  </w:divsChild>
                </w:div>
                <w:div w:id="1370958216">
                  <w:marLeft w:val="0"/>
                  <w:marRight w:val="0"/>
                  <w:marTop w:val="0"/>
                  <w:marBottom w:val="0"/>
                  <w:divBdr>
                    <w:top w:val="none" w:sz="0" w:space="0" w:color="auto"/>
                    <w:left w:val="none" w:sz="0" w:space="0" w:color="auto"/>
                    <w:bottom w:val="none" w:sz="0" w:space="0" w:color="auto"/>
                    <w:right w:val="none" w:sz="0" w:space="0" w:color="auto"/>
                  </w:divBdr>
                  <w:divsChild>
                    <w:div w:id="983041980">
                      <w:marLeft w:val="0"/>
                      <w:marRight w:val="0"/>
                      <w:marTop w:val="0"/>
                      <w:marBottom w:val="0"/>
                      <w:divBdr>
                        <w:top w:val="none" w:sz="0" w:space="0" w:color="auto"/>
                        <w:left w:val="none" w:sz="0" w:space="0" w:color="auto"/>
                        <w:bottom w:val="none" w:sz="0" w:space="0" w:color="auto"/>
                        <w:right w:val="none" w:sz="0" w:space="0" w:color="auto"/>
                      </w:divBdr>
                    </w:div>
                  </w:divsChild>
                </w:div>
                <w:div w:id="1382362919">
                  <w:marLeft w:val="0"/>
                  <w:marRight w:val="0"/>
                  <w:marTop w:val="0"/>
                  <w:marBottom w:val="0"/>
                  <w:divBdr>
                    <w:top w:val="none" w:sz="0" w:space="0" w:color="auto"/>
                    <w:left w:val="none" w:sz="0" w:space="0" w:color="auto"/>
                    <w:bottom w:val="none" w:sz="0" w:space="0" w:color="auto"/>
                    <w:right w:val="none" w:sz="0" w:space="0" w:color="auto"/>
                  </w:divBdr>
                  <w:divsChild>
                    <w:div w:id="1692685196">
                      <w:marLeft w:val="0"/>
                      <w:marRight w:val="0"/>
                      <w:marTop w:val="0"/>
                      <w:marBottom w:val="0"/>
                      <w:divBdr>
                        <w:top w:val="none" w:sz="0" w:space="0" w:color="auto"/>
                        <w:left w:val="none" w:sz="0" w:space="0" w:color="auto"/>
                        <w:bottom w:val="none" w:sz="0" w:space="0" w:color="auto"/>
                        <w:right w:val="none" w:sz="0" w:space="0" w:color="auto"/>
                      </w:divBdr>
                    </w:div>
                  </w:divsChild>
                </w:div>
                <w:div w:id="1392389674">
                  <w:marLeft w:val="0"/>
                  <w:marRight w:val="0"/>
                  <w:marTop w:val="0"/>
                  <w:marBottom w:val="0"/>
                  <w:divBdr>
                    <w:top w:val="none" w:sz="0" w:space="0" w:color="auto"/>
                    <w:left w:val="none" w:sz="0" w:space="0" w:color="auto"/>
                    <w:bottom w:val="none" w:sz="0" w:space="0" w:color="auto"/>
                    <w:right w:val="none" w:sz="0" w:space="0" w:color="auto"/>
                  </w:divBdr>
                  <w:divsChild>
                    <w:div w:id="1727221024">
                      <w:marLeft w:val="0"/>
                      <w:marRight w:val="0"/>
                      <w:marTop w:val="0"/>
                      <w:marBottom w:val="0"/>
                      <w:divBdr>
                        <w:top w:val="none" w:sz="0" w:space="0" w:color="auto"/>
                        <w:left w:val="none" w:sz="0" w:space="0" w:color="auto"/>
                        <w:bottom w:val="none" w:sz="0" w:space="0" w:color="auto"/>
                        <w:right w:val="none" w:sz="0" w:space="0" w:color="auto"/>
                      </w:divBdr>
                    </w:div>
                  </w:divsChild>
                </w:div>
                <w:div w:id="1419979633">
                  <w:marLeft w:val="0"/>
                  <w:marRight w:val="0"/>
                  <w:marTop w:val="0"/>
                  <w:marBottom w:val="0"/>
                  <w:divBdr>
                    <w:top w:val="none" w:sz="0" w:space="0" w:color="auto"/>
                    <w:left w:val="none" w:sz="0" w:space="0" w:color="auto"/>
                    <w:bottom w:val="none" w:sz="0" w:space="0" w:color="auto"/>
                    <w:right w:val="none" w:sz="0" w:space="0" w:color="auto"/>
                  </w:divBdr>
                  <w:divsChild>
                    <w:div w:id="1147743374">
                      <w:marLeft w:val="0"/>
                      <w:marRight w:val="0"/>
                      <w:marTop w:val="0"/>
                      <w:marBottom w:val="0"/>
                      <w:divBdr>
                        <w:top w:val="none" w:sz="0" w:space="0" w:color="auto"/>
                        <w:left w:val="none" w:sz="0" w:space="0" w:color="auto"/>
                        <w:bottom w:val="none" w:sz="0" w:space="0" w:color="auto"/>
                        <w:right w:val="none" w:sz="0" w:space="0" w:color="auto"/>
                      </w:divBdr>
                    </w:div>
                  </w:divsChild>
                </w:div>
                <w:div w:id="1422995474">
                  <w:marLeft w:val="0"/>
                  <w:marRight w:val="0"/>
                  <w:marTop w:val="0"/>
                  <w:marBottom w:val="0"/>
                  <w:divBdr>
                    <w:top w:val="none" w:sz="0" w:space="0" w:color="auto"/>
                    <w:left w:val="none" w:sz="0" w:space="0" w:color="auto"/>
                    <w:bottom w:val="none" w:sz="0" w:space="0" w:color="auto"/>
                    <w:right w:val="none" w:sz="0" w:space="0" w:color="auto"/>
                  </w:divBdr>
                  <w:divsChild>
                    <w:div w:id="1459300797">
                      <w:marLeft w:val="0"/>
                      <w:marRight w:val="0"/>
                      <w:marTop w:val="0"/>
                      <w:marBottom w:val="0"/>
                      <w:divBdr>
                        <w:top w:val="none" w:sz="0" w:space="0" w:color="auto"/>
                        <w:left w:val="none" w:sz="0" w:space="0" w:color="auto"/>
                        <w:bottom w:val="none" w:sz="0" w:space="0" w:color="auto"/>
                        <w:right w:val="none" w:sz="0" w:space="0" w:color="auto"/>
                      </w:divBdr>
                    </w:div>
                  </w:divsChild>
                </w:div>
                <w:div w:id="1425763606">
                  <w:marLeft w:val="0"/>
                  <w:marRight w:val="0"/>
                  <w:marTop w:val="0"/>
                  <w:marBottom w:val="0"/>
                  <w:divBdr>
                    <w:top w:val="none" w:sz="0" w:space="0" w:color="auto"/>
                    <w:left w:val="none" w:sz="0" w:space="0" w:color="auto"/>
                    <w:bottom w:val="none" w:sz="0" w:space="0" w:color="auto"/>
                    <w:right w:val="none" w:sz="0" w:space="0" w:color="auto"/>
                  </w:divBdr>
                  <w:divsChild>
                    <w:div w:id="1859584573">
                      <w:marLeft w:val="0"/>
                      <w:marRight w:val="0"/>
                      <w:marTop w:val="0"/>
                      <w:marBottom w:val="0"/>
                      <w:divBdr>
                        <w:top w:val="none" w:sz="0" w:space="0" w:color="auto"/>
                        <w:left w:val="none" w:sz="0" w:space="0" w:color="auto"/>
                        <w:bottom w:val="none" w:sz="0" w:space="0" w:color="auto"/>
                        <w:right w:val="none" w:sz="0" w:space="0" w:color="auto"/>
                      </w:divBdr>
                    </w:div>
                  </w:divsChild>
                </w:div>
                <w:div w:id="1440493896">
                  <w:marLeft w:val="0"/>
                  <w:marRight w:val="0"/>
                  <w:marTop w:val="0"/>
                  <w:marBottom w:val="0"/>
                  <w:divBdr>
                    <w:top w:val="none" w:sz="0" w:space="0" w:color="auto"/>
                    <w:left w:val="none" w:sz="0" w:space="0" w:color="auto"/>
                    <w:bottom w:val="none" w:sz="0" w:space="0" w:color="auto"/>
                    <w:right w:val="none" w:sz="0" w:space="0" w:color="auto"/>
                  </w:divBdr>
                  <w:divsChild>
                    <w:div w:id="923806201">
                      <w:marLeft w:val="0"/>
                      <w:marRight w:val="0"/>
                      <w:marTop w:val="0"/>
                      <w:marBottom w:val="0"/>
                      <w:divBdr>
                        <w:top w:val="none" w:sz="0" w:space="0" w:color="auto"/>
                        <w:left w:val="none" w:sz="0" w:space="0" w:color="auto"/>
                        <w:bottom w:val="none" w:sz="0" w:space="0" w:color="auto"/>
                        <w:right w:val="none" w:sz="0" w:space="0" w:color="auto"/>
                      </w:divBdr>
                    </w:div>
                  </w:divsChild>
                </w:div>
                <w:div w:id="1441072820">
                  <w:marLeft w:val="0"/>
                  <w:marRight w:val="0"/>
                  <w:marTop w:val="0"/>
                  <w:marBottom w:val="0"/>
                  <w:divBdr>
                    <w:top w:val="none" w:sz="0" w:space="0" w:color="auto"/>
                    <w:left w:val="none" w:sz="0" w:space="0" w:color="auto"/>
                    <w:bottom w:val="none" w:sz="0" w:space="0" w:color="auto"/>
                    <w:right w:val="none" w:sz="0" w:space="0" w:color="auto"/>
                  </w:divBdr>
                  <w:divsChild>
                    <w:div w:id="1470706677">
                      <w:marLeft w:val="0"/>
                      <w:marRight w:val="0"/>
                      <w:marTop w:val="0"/>
                      <w:marBottom w:val="0"/>
                      <w:divBdr>
                        <w:top w:val="none" w:sz="0" w:space="0" w:color="auto"/>
                        <w:left w:val="none" w:sz="0" w:space="0" w:color="auto"/>
                        <w:bottom w:val="none" w:sz="0" w:space="0" w:color="auto"/>
                        <w:right w:val="none" w:sz="0" w:space="0" w:color="auto"/>
                      </w:divBdr>
                    </w:div>
                  </w:divsChild>
                </w:div>
                <w:div w:id="1465998792">
                  <w:marLeft w:val="0"/>
                  <w:marRight w:val="0"/>
                  <w:marTop w:val="0"/>
                  <w:marBottom w:val="0"/>
                  <w:divBdr>
                    <w:top w:val="none" w:sz="0" w:space="0" w:color="auto"/>
                    <w:left w:val="none" w:sz="0" w:space="0" w:color="auto"/>
                    <w:bottom w:val="none" w:sz="0" w:space="0" w:color="auto"/>
                    <w:right w:val="none" w:sz="0" w:space="0" w:color="auto"/>
                  </w:divBdr>
                  <w:divsChild>
                    <w:div w:id="1567687939">
                      <w:marLeft w:val="0"/>
                      <w:marRight w:val="0"/>
                      <w:marTop w:val="0"/>
                      <w:marBottom w:val="0"/>
                      <w:divBdr>
                        <w:top w:val="none" w:sz="0" w:space="0" w:color="auto"/>
                        <w:left w:val="none" w:sz="0" w:space="0" w:color="auto"/>
                        <w:bottom w:val="none" w:sz="0" w:space="0" w:color="auto"/>
                        <w:right w:val="none" w:sz="0" w:space="0" w:color="auto"/>
                      </w:divBdr>
                    </w:div>
                  </w:divsChild>
                </w:div>
                <w:div w:id="1491869443">
                  <w:marLeft w:val="0"/>
                  <w:marRight w:val="0"/>
                  <w:marTop w:val="0"/>
                  <w:marBottom w:val="0"/>
                  <w:divBdr>
                    <w:top w:val="none" w:sz="0" w:space="0" w:color="auto"/>
                    <w:left w:val="none" w:sz="0" w:space="0" w:color="auto"/>
                    <w:bottom w:val="none" w:sz="0" w:space="0" w:color="auto"/>
                    <w:right w:val="none" w:sz="0" w:space="0" w:color="auto"/>
                  </w:divBdr>
                  <w:divsChild>
                    <w:div w:id="942766137">
                      <w:marLeft w:val="0"/>
                      <w:marRight w:val="0"/>
                      <w:marTop w:val="0"/>
                      <w:marBottom w:val="0"/>
                      <w:divBdr>
                        <w:top w:val="none" w:sz="0" w:space="0" w:color="auto"/>
                        <w:left w:val="none" w:sz="0" w:space="0" w:color="auto"/>
                        <w:bottom w:val="none" w:sz="0" w:space="0" w:color="auto"/>
                        <w:right w:val="none" w:sz="0" w:space="0" w:color="auto"/>
                      </w:divBdr>
                    </w:div>
                  </w:divsChild>
                </w:div>
                <w:div w:id="1508713577">
                  <w:marLeft w:val="0"/>
                  <w:marRight w:val="0"/>
                  <w:marTop w:val="0"/>
                  <w:marBottom w:val="0"/>
                  <w:divBdr>
                    <w:top w:val="none" w:sz="0" w:space="0" w:color="auto"/>
                    <w:left w:val="none" w:sz="0" w:space="0" w:color="auto"/>
                    <w:bottom w:val="none" w:sz="0" w:space="0" w:color="auto"/>
                    <w:right w:val="none" w:sz="0" w:space="0" w:color="auto"/>
                  </w:divBdr>
                  <w:divsChild>
                    <w:div w:id="1481262524">
                      <w:marLeft w:val="0"/>
                      <w:marRight w:val="0"/>
                      <w:marTop w:val="0"/>
                      <w:marBottom w:val="0"/>
                      <w:divBdr>
                        <w:top w:val="none" w:sz="0" w:space="0" w:color="auto"/>
                        <w:left w:val="none" w:sz="0" w:space="0" w:color="auto"/>
                        <w:bottom w:val="none" w:sz="0" w:space="0" w:color="auto"/>
                        <w:right w:val="none" w:sz="0" w:space="0" w:color="auto"/>
                      </w:divBdr>
                    </w:div>
                  </w:divsChild>
                </w:div>
                <w:div w:id="1518689572">
                  <w:marLeft w:val="0"/>
                  <w:marRight w:val="0"/>
                  <w:marTop w:val="0"/>
                  <w:marBottom w:val="0"/>
                  <w:divBdr>
                    <w:top w:val="none" w:sz="0" w:space="0" w:color="auto"/>
                    <w:left w:val="none" w:sz="0" w:space="0" w:color="auto"/>
                    <w:bottom w:val="none" w:sz="0" w:space="0" w:color="auto"/>
                    <w:right w:val="none" w:sz="0" w:space="0" w:color="auto"/>
                  </w:divBdr>
                  <w:divsChild>
                    <w:div w:id="1877963619">
                      <w:marLeft w:val="0"/>
                      <w:marRight w:val="0"/>
                      <w:marTop w:val="0"/>
                      <w:marBottom w:val="0"/>
                      <w:divBdr>
                        <w:top w:val="none" w:sz="0" w:space="0" w:color="auto"/>
                        <w:left w:val="none" w:sz="0" w:space="0" w:color="auto"/>
                        <w:bottom w:val="none" w:sz="0" w:space="0" w:color="auto"/>
                        <w:right w:val="none" w:sz="0" w:space="0" w:color="auto"/>
                      </w:divBdr>
                    </w:div>
                  </w:divsChild>
                </w:div>
                <w:div w:id="1520003661">
                  <w:marLeft w:val="0"/>
                  <w:marRight w:val="0"/>
                  <w:marTop w:val="0"/>
                  <w:marBottom w:val="0"/>
                  <w:divBdr>
                    <w:top w:val="none" w:sz="0" w:space="0" w:color="auto"/>
                    <w:left w:val="none" w:sz="0" w:space="0" w:color="auto"/>
                    <w:bottom w:val="none" w:sz="0" w:space="0" w:color="auto"/>
                    <w:right w:val="none" w:sz="0" w:space="0" w:color="auto"/>
                  </w:divBdr>
                  <w:divsChild>
                    <w:div w:id="1956282159">
                      <w:marLeft w:val="0"/>
                      <w:marRight w:val="0"/>
                      <w:marTop w:val="0"/>
                      <w:marBottom w:val="0"/>
                      <w:divBdr>
                        <w:top w:val="none" w:sz="0" w:space="0" w:color="auto"/>
                        <w:left w:val="none" w:sz="0" w:space="0" w:color="auto"/>
                        <w:bottom w:val="none" w:sz="0" w:space="0" w:color="auto"/>
                        <w:right w:val="none" w:sz="0" w:space="0" w:color="auto"/>
                      </w:divBdr>
                    </w:div>
                  </w:divsChild>
                </w:div>
                <w:div w:id="1534266382">
                  <w:marLeft w:val="0"/>
                  <w:marRight w:val="0"/>
                  <w:marTop w:val="0"/>
                  <w:marBottom w:val="0"/>
                  <w:divBdr>
                    <w:top w:val="none" w:sz="0" w:space="0" w:color="auto"/>
                    <w:left w:val="none" w:sz="0" w:space="0" w:color="auto"/>
                    <w:bottom w:val="none" w:sz="0" w:space="0" w:color="auto"/>
                    <w:right w:val="none" w:sz="0" w:space="0" w:color="auto"/>
                  </w:divBdr>
                  <w:divsChild>
                    <w:div w:id="165360983">
                      <w:marLeft w:val="0"/>
                      <w:marRight w:val="0"/>
                      <w:marTop w:val="0"/>
                      <w:marBottom w:val="0"/>
                      <w:divBdr>
                        <w:top w:val="none" w:sz="0" w:space="0" w:color="auto"/>
                        <w:left w:val="none" w:sz="0" w:space="0" w:color="auto"/>
                        <w:bottom w:val="none" w:sz="0" w:space="0" w:color="auto"/>
                        <w:right w:val="none" w:sz="0" w:space="0" w:color="auto"/>
                      </w:divBdr>
                    </w:div>
                  </w:divsChild>
                </w:div>
                <w:div w:id="1543513102">
                  <w:marLeft w:val="0"/>
                  <w:marRight w:val="0"/>
                  <w:marTop w:val="0"/>
                  <w:marBottom w:val="0"/>
                  <w:divBdr>
                    <w:top w:val="none" w:sz="0" w:space="0" w:color="auto"/>
                    <w:left w:val="none" w:sz="0" w:space="0" w:color="auto"/>
                    <w:bottom w:val="none" w:sz="0" w:space="0" w:color="auto"/>
                    <w:right w:val="none" w:sz="0" w:space="0" w:color="auto"/>
                  </w:divBdr>
                  <w:divsChild>
                    <w:div w:id="295723207">
                      <w:marLeft w:val="0"/>
                      <w:marRight w:val="0"/>
                      <w:marTop w:val="0"/>
                      <w:marBottom w:val="0"/>
                      <w:divBdr>
                        <w:top w:val="none" w:sz="0" w:space="0" w:color="auto"/>
                        <w:left w:val="none" w:sz="0" w:space="0" w:color="auto"/>
                        <w:bottom w:val="none" w:sz="0" w:space="0" w:color="auto"/>
                        <w:right w:val="none" w:sz="0" w:space="0" w:color="auto"/>
                      </w:divBdr>
                    </w:div>
                  </w:divsChild>
                </w:div>
                <w:div w:id="1556162651">
                  <w:marLeft w:val="0"/>
                  <w:marRight w:val="0"/>
                  <w:marTop w:val="0"/>
                  <w:marBottom w:val="0"/>
                  <w:divBdr>
                    <w:top w:val="none" w:sz="0" w:space="0" w:color="auto"/>
                    <w:left w:val="none" w:sz="0" w:space="0" w:color="auto"/>
                    <w:bottom w:val="none" w:sz="0" w:space="0" w:color="auto"/>
                    <w:right w:val="none" w:sz="0" w:space="0" w:color="auto"/>
                  </w:divBdr>
                  <w:divsChild>
                    <w:div w:id="1830094601">
                      <w:marLeft w:val="0"/>
                      <w:marRight w:val="0"/>
                      <w:marTop w:val="0"/>
                      <w:marBottom w:val="0"/>
                      <w:divBdr>
                        <w:top w:val="none" w:sz="0" w:space="0" w:color="auto"/>
                        <w:left w:val="none" w:sz="0" w:space="0" w:color="auto"/>
                        <w:bottom w:val="none" w:sz="0" w:space="0" w:color="auto"/>
                        <w:right w:val="none" w:sz="0" w:space="0" w:color="auto"/>
                      </w:divBdr>
                    </w:div>
                  </w:divsChild>
                </w:div>
                <w:div w:id="1581675688">
                  <w:marLeft w:val="0"/>
                  <w:marRight w:val="0"/>
                  <w:marTop w:val="0"/>
                  <w:marBottom w:val="0"/>
                  <w:divBdr>
                    <w:top w:val="none" w:sz="0" w:space="0" w:color="auto"/>
                    <w:left w:val="none" w:sz="0" w:space="0" w:color="auto"/>
                    <w:bottom w:val="none" w:sz="0" w:space="0" w:color="auto"/>
                    <w:right w:val="none" w:sz="0" w:space="0" w:color="auto"/>
                  </w:divBdr>
                  <w:divsChild>
                    <w:div w:id="476995870">
                      <w:marLeft w:val="0"/>
                      <w:marRight w:val="0"/>
                      <w:marTop w:val="0"/>
                      <w:marBottom w:val="0"/>
                      <w:divBdr>
                        <w:top w:val="none" w:sz="0" w:space="0" w:color="auto"/>
                        <w:left w:val="none" w:sz="0" w:space="0" w:color="auto"/>
                        <w:bottom w:val="none" w:sz="0" w:space="0" w:color="auto"/>
                        <w:right w:val="none" w:sz="0" w:space="0" w:color="auto"/>
                      </w:divBdr>
                    </w:div>
                  </w:divsChild>
                </w:div>
                <w:div w:id="1602683022">
                  <w:marLeft w:val="0"/>
                  <w:marRight w:val="0"/>
                  <w:marTop w:val="0"/>
                  <w:marBottom w:val="0"/>
                  <w:divBdr>
                    <w:top w:val="none" w:sz="0" w:space="0" w:color="auto"/>
                    <w:left w:val="none" w:sz="0" w:space="0" w:color="auto"/>
                    <w:bottom w:val="none" w:sz="0" w:space="0" w:color="auto"/>
                    <w:right w:val="none" w:sz="0" w:space="0" w:color="auto"/>
                  </w:divBdr>
                  <w:divsChild>
                    <w:div w:id="1102922666">
                      <w:marLeft w:val="0"/>
                      <w:marRight w:val="0"/>
                      <w:marTop w:val="0"/>
                      <w:marBottom w:val="0"/>
                      <w:divBdr>
                        <w:top w:val="none" w:sz="0" w:space="0" w:color="auto"/>
                        <w:left w:val="none" w:sz="0" w:space="0" w:color="auto"/>
                        <w:bottom w:val="none" w:sz="0" w:space="0" w:color="auto"/>
                        <w:right w:val="none" w:sz="0" w:space="0" w:color="auto"/>
                      </w:divBdr>
                    </w:div>
                  </w:divsChild>
                </w:div>
                <w:div w:id="1624189351">
                  <w:marLeft w:val="0"/>
                  <w:marRight w:val="0"/>
                  <w:marTop w:val="0"/>
                  <w:marBottom w:val="0"/>
                  <w:divBdr>
                    <w:top w:val="none" w:sz="0" w:space="0" w:color="auto"/>
                    <w:left w:val="none" w:sz="0" w:space="0" w:color="auto"/>
                    <w:bottom w:val="none" w:sz="0" w:space="0" w:color="auto"/>
                    <w:right w:val="none" w:sz="0" w:space="0" w:color="auto"/>
                  </w:divBdr>
                  <w:divsChild>
                    <w:div w:id="1412659151">
                      <w:marLeft w:val="0"/>
                      <w:marRight w:val="0"/>
                      <w:marTop w:val="0"/>
                      <w:marBottom w:val="0"/>
                      <w:divBdr>
                        <w:top w:val="none" w:sz="0" w:space="0" w:color="auto"/>
                        <w:left w:val="none" w:sz="0" w:space="0" w:color="auto"/>
                        <w:bottom w:val="none" w:sz="0" w:space="0" w:color="auto"/>
                        <w:right w:val="none" w:sz="0" w:space="0" w:color="auto"/>
                      </w:divBdr>
                    </w:div>
                  </w:divsChild>
                </w:div>
                <w:div w:id="1651247923">
                  <w:marLeft w:val="0"/>
                  <w:marRight w:val="0"/>
                  <w:marTop w:val="0"/>
                  <w:marBottom w:val="0"/>
                  <w:divBdr>
                    <w:top w:val="none" w:sz="0" w:space="0" w:color="auto"/>
                    <w:left w:val="none" w:sz="0" w:space="0" w:color="auto"/>
                    <w:bottom w:val="none" w:sz="0" w:space="0" w:color="auto"/>
                    <w:right w:val="none" w:sz="0" w:space="0" w:color="auto"/>
                  </w:divBdr>
                  <w:divsChild>
                    <w:div w:id="99954253">
                      <w:marLeft w:val="0"/>
                      <w:marRight w:val="0"/>
                      <w:marTop w:val="0"/>
                      <w:marBottom w:val="0"/>
                      <w:divBdr>
                        <w:top w:val="none" w:sz="0" w:space="0" w:color="auto"/>
                        <w:left w:val="none" w:sz="0" w:space="0" w:color="auto"/>
                        <w:bottom w:val="none" w:sz="0" w:space="0" w:color="auto"/>
                        <w:right w:val="none" w:sz="0" w:space="0" w:color="auto"/>
                      </w:divBdr>
                    </w:div>
                  </w:divsChild>
                </w:div>
                <w:div w:id="1672102472">
                  <w:marLeft w:val="0"/>
                  <w:marRight w:val="0"/>
                  <w:marTop w:val="0"/>
                  <w:marBottom w:val="0"/>
                  <w:divBdr>
                    <w:top w:val="none" w:sz="0" w:space="0" w:color="auto"/>
                    <w:left w:val="none" w:sz="0" w:space="0" w:color="auto"/>
                    <w:bottom w:val="none" w:sz="0" w:space="0" w:color="auto"/>
                    <w:right w:val="none" w:sz="0" w:space="0" w:color="auto"/>
                  </w:divBdr>
                  <w:divsChild>
                    <w:div w:id="606080033">
                      <w:marLeft w:val="0"/>
                      <w:marRight w:val="0"/>
                      <w:marTop w:val="0"/>
                      <w:marBottom w:val="0"/>
                      <w:divBdr>
                        <w:top w:val="none" w:sz="0" w:space="0" w:color="auto"/>
                        <w:left w:val="none" w:sz="0" w:space="0" w:color="auto"/>
                        <w:bottom w:val="none" w:sz="0" w:space="0" w:color="auto"/>
                        <w:right w:val="none" w:sz="0" w:space="0" w:color="auto"/>
                      </w:divBdr>
                    </w:div>
                  </w:divsChild>
                </w:div>
                <w:div w:id="1677417087">
                  <w:marLeft w:val="0"/>
                  <w:marRight w:val="0"/>
                  <w:marTop w:val="0"/>
                  <w:marBottom w:val="0"/>
                  <w:divBdr>
                    <w:top w:val="none" w:sz="0" w:space="0" w:color="auto"/>
                    <w:left w:val="none" w:sz="0" w:space="0" w:color="auto"/>
                    <w:bottom w:val="none" w:sz="0" w:space="0" w:color="auto"/>
                    <w:right w:val="none" w:sz="0" w:space="0" w:color="auto"/>
                  </w:divBdr>
                  <w:divsChild>
                    <w:div w:id="1743404556">
                      <w:marLeft w:val="0"/>
                      <w:marRight w:val="0"/>
                      <w:marTop w:val="0"/>
                      <w:marBottom w:val="0"/>
                      <w:divBdr>
                        <w:top w:val="none" w:sz="0" w:space="0" w:color="auto"/>
                        <w:left w:val="none" w:sz="0" w:space="0" w:color="auto"/>
                        <w:bottom w:val="none" w:sz="0" w:space="0" w:color="auto"/>
                        <w:right w:val="none" w:sz="0" w:space="0" w:color="auto"/>
                      </w:divBdr>
                    </w:div>
                  </w:divsChild>
                </w:div>
                <w:div w:id="1678193861">
                  <w:marLeft w:val="0"/>
                  <w:marRight w:val="0"/>
                  <w:marTop w:val="0"/>
                  <w:marBottom w:val="0"/>
                  <w:divBdr>
                    <w:top w:val="none" w:sz="0" w:space="0" w:color="auto"/>
                    <w:left w:val="none" w:sz="0" w:space="0" w:color="auto"/>
                    <w:bottom w:val="none" w:sz="0" w:space="0" w:color="auto"/>
                    <w:right w:val="none" w:sz="0" w:space="0" w:color="auto"/>
                  </w:divBdr>
                  <w:divsChild>
                    <w:div w:id="1185629248">
                      <w:marLeft w:val="0"/>
                      <w:marRight w:val="0"/>
                      <w:marTop w:val="0"/>
                      <w:marBottom w:val="0"/>
                      <w:divBdr>
                        <w:top w:val="none" w:sz="0" w:space="0" w:color="auto"/>
                        <w:left w:val="none" w:sz="0" w:space="0" w:color="auto"/>
                        <w:bottom w:val="none" w:sz="0" w:space="0" w:color="auto"/>
                        <w:right w:val="none" w:sz="0" w:space="0" w:color="auto"/>
                      </w:divBdr>
                    </w:div>
                  </w:divsChild>
                </w:div>
                <w:div w:id="1684895183">
                  <w:marLeft w:val="0"/>
                  <w:marRight w:val="0"/>
                  <w:marTop w:val="0"/>
                  <w:marBottom w:val="0"/>
                  <w:divBdr>
                    <w:top w:val="none" w:sz="0" w:space="0" w:color="auto"/>
                    <w:left w:val="none" w:sz="0" w:space="0" w:color="auto"/>
                    <w:bottom w:val="none" w:sz="0" w:space="0" w:color="auto"/>
                    <w:right w:val="none" w:sz="0" w:space="0" w:color="auto"/>
                  </w:divBdr>
                  <w:divsChild>
                    <w:div w:id="1439136395">
                      <w:marLeft w:val="0"/>
                      <w:marRight w:val="0"/>
                      <w:marTop w:val="0"/>
                      <w:marBottom w:val="0"/>
                      <w:divBdr>
                        <w:top w:val="none" w:sz="0" w:space="0" w:color="auto"/>
                        <w:left w:val="none" w:sz="0" w:space="0" w:color="auto"/>
                        <w:bottom w:val="none" w:sz="0" w:space="0" w:color="auto"/>
                        <w:right w:val="none" w:sz="0" w:space="0" w:color="auto"/>
                      </w:divBdr>
                    </w:div>
                  </w:divsChild>
                </w:div>
                <w:div w:id="1697000015">
                  <w:marLeft w:val="0"/>
                  <w:marRight w:val="0"/>
                  <w:marTop w:val="0"/>
                  <w:marBottom w:val="0"/>
                  <w:divBdr>
                    <w:top w:val="none" w:sz="0" w:space="0" w:color="auto"/>
                    <w:left w:val="none" w:sz="0" w:space="0" w:color="auto"/>
                    <w:bottom w:val="none" w:sz="0" w:space="0" w:color="auto"/>
                    <w:right w:val="none" w:sz="0" w:space="0" w:color="auto"/>
                  </w:divBdr>
                  <w:divsChild>
                    <w:div w:id="1360004993">
                      <w:marLeft w:val="0"/>
                      <w:marRight w:val="0"/>
                      <w:marTop w:val="0"/>
                      <w:marBottom w:val="0"/>
                      <w:divBdr>
                        <w:top w:val="none" w:sz="0" w:space="0" w:color="auto"/>
                        <w:left w:val="none" w:sz="0" w:space="0" w:color="auto"/>
                        <w:bottom w:val="none" w:sz="0" w:space="0" w:color="auto"/>
                        <w:right w:val="none" w:sz="0" w:space="0" w:color="auto"/>
                      </w:divBdr>
                    </w:div>
                  </w:divsChild>
                </w:div>
                <w:div w:id="1711299419">
                  <w:marLeft w:val="0"/>
                  <w:marRight w:val="0"/>
                  <w:marTop w:val="0"/>
                  <w:marBottom w:val="0"/>
                  <w:divBdr>
                    <w:top w:val="none" w:sz="0" w:space="0" w:color="auto"/>
                    <w:left w:val="none" w:sz="0" w:space="0" w:color="auto"/>
                    <w:bottom w:val="none" w:sz="0" w:space="0" w:color="auto"/>
                    <w:right w:val="none" w:sz="0" w:space="0" w:color="auto"/>
                  </w:divBdr>
                  <w:divsChild>
                    <w:div w:id="62291803">
                      <w:marLeft w:val="0"/>
                      <w:marRight w:val="0"/>
                      <w:marTop w:val="0"/>
                      <w:marBottom w:val="0"/>
                      <w:divBdr>
                        <w:top w:val="none" w:sz="0" w:space="0" w:color="auto"/>
                        <w:left w:val="none" w:sz="0" w:space="0" w:color="auto"/>
                        <w:bottom w:val="none" w:sz="0" w:space="0" w:color="auto"/>
                        <w:right w:val="none" w:sz="0" w:space="0" w:color="auto"/>
                      </w:divBdr>
                    </w:div>
                  </w:divsChild>
                </w:div>
                <w:div w:id="1732461236">
                  <w:marLeft w:val="0"/>
                  <w:marRight w:val="0"/>
                  <w:marTop w:val="0"/>
                  <w:marBottom w:val="0"/>
                  <w:divBdr>
                    <w:top w:val="none" w:sz="0" w:space="0" w:color="auto"/>
                    <w:left w:val="none" w:sz="0" w:space="0" w:color="auto"/>
                    <w:bottom w:val="none" w:sz="0" w:space="0" w:color="auto"/>
                    <w:right w:val="none" w:sz="0" w:space="0" w:color="auto"/>
                  </w:divBdr>
                  <w:divsChild>
                    <w:div w:id="605231862">
                      <w:marLeft w:val="0"/>
                      <w:marRight w:val="0"/>
                      <w:marTop w:val="0"/>
                      <w:marBottom w:val="0"/>
                      <w:divBdr>
                        <w:top w:val="none" w:sz="0" w:space="0" w:color="auto"/>
                        <w:left w:val="none" w:sz="0" w:space="0" w:color="auto"/>
                        <w:bottom w:val="none" w:sz="0" w:space="0" w:color="auto"/>
                        <w:right w:val="none" w:sz="0" w:space="0" w:color="auto"/>
                      </w:divBdr>
                    </w:div>
                  </w:divsChild>
                </w:div>
                <w:div w:id="1750344412">
                  <w:marLeft w:val="0"/>
                  <w:marRight w:val="0"/>
                  <w:marTop w:val="0"/>
                  <w:marBottom w:val="0"/>
                  <w:divBdr>
                    <w:top w:val="none" w:sz="0" w:space="0" w:color="auto"/>
                    <w:left w:val="none" w:sz="0" w:space="0" w:color="auto"/>
                    <w:bottom w:val="none" w:sz="0" w:space="0" w:color="auto"/>
                    <w:right w:val="none" w:sz="0" w:space="0" w:color="auto"/>
                  </w:divBdr>
                  <w:divsChild>
                    <w:div w:id="1549805760">
                      <w:marLeft w:val="0"/>
                      <w:marRight w:val="0"/>
                      <w:marTop w:val="0"/>
                      <w:marBottom w:val="0"/>
                      <w:divBdr>
                        <w:top w:val="none" w:sz="0" w:space="0" w:color="auto"/>
                        <w:left w:val="none" w:sz="0" w:space="0" w:color="auto"/>
                        <w:bottom w:val="none" w:sz="0" w:space="0" w:color="auto"/>
                        <w:right w:val="none" w:sz="0" w:space="0" w:color="auto"/>
                      </w:divBdr>
                    </w:div>
                  </w:divsChild>
                </w:div>
                <w:div w:id="1759867765">
                  <w:marLeft w:val="0"/>
                  <w:marRight w:val="0"/>
                  <w:marTop w:val="0"/>
                  <w:marBottom w:val="0"/>
                  <w:divBdr>
                    <w:top w:val="none" w:sz="0" w:space="0" w:color="auto"/>
                    <w:left w:val="none" w:sz="0" w:space="0" w:color="auto"/>
                    <w:bottom w:val="none" w:sz="0" w:space="0" w:color="auto"/>
                    <w:right w:val="none" w:sz="0" w:space="0" w:color="auto"/>
                  </w:divBdr>
                  <w:divsChild>
                    <w:div w:id="496268722">
                      <w:marLeft w:val="0"/>
                      <w:marRight w:val="0"/>
                      <w:marTop w:val="0"/>
                      <w:marBottom w:val="0"/>
                      <w:divBdr>
                        <w:top w:val="none" w:sz="0" w:space="0" w:color="auto"/>
                        <w:left w:val="none" w:sz="0" w:space="0" w:color="auto"/>
                        <w:bottom w:val="none" w:sz="0" w:space="0" w:color="auto"/>
                        <w:right w:val="none" w:sz="0" w:space="0" w:color="auto"/>
                      </w:divBdr>
                    </w:div>
                  </w:divsChild>
                </w:div>
                <w:div w:id="1803302042">
                  <w:marLeft w:val="0"/>
                  <w:marRight w:val="0"/>
                  <w:marTop w:val="0"/>
                  <w:marBottom w:val="0"/>
                  <w:divBdr>
                    <w:top w:val="none" w:sz="0" w:space="0" w:color="auto"/>
                    <w:left w:val="none" w:sz="0" w:space="0" w:color="auto"/>
                    <w:bottom w:val="none" w:sz="0" w:space="0" w:color="auto"/>
                    <w:right w:val="none" w:sz="0" w:space="0" w:color="auto"/>
                  </w:divBdr>
                  <w:divsChild>
                    <w:div w:id="131942338">
                      <w:marLeft w:val="0"/>
                      <w:marRight w:val="0"/>
                      <w:marTop w:val="0"/>
                      <w:marBottom w:val="0"/>
                      <w:divBdr>
                        <w:top w:val="none" w:sz="0" w:space="0" w:color="auto"/>
                        <w:left w:val="none" w:sz="0" w:space="0" w:color="auto"/>
                        <w:bottom w:val="none" w:sz="0" w:space="0" w:color="auto"/>
                        <w:right w:val="none" w:sz="0" w:space="0" w:color="auto"/>
                      </w:divBdr>
                    </w:div>
                  </w:divsChild>
                </w:div>
                <w:div w:id="1817643961">
                  <w:marLeft w:val="0"/>
                  <w:marRight w:val="0"/>
                  <w:marTop w:val="0"/>
                  <w:marBottom w:val="0"/>
                  <w:divBdr>
                    <w:top w:val="none" w:sz="0" w:space="0" w:color="auto"/>
                    <w:left w:val="none" w:sz="0" w:space="0" w:color="auto"/>
                    <w:bottom w:val="none" w:sz="0" w:space="0" w:color="auto"/>
                    <w:right w:val="none" w:sz="0" w:space="0" w:color="auto"/>
                  </w:divBdr>
                  <w:divsChild>
                    <w:div w:id="894050009">
                      <w:marLeft w:val="0"/>
                      <w:marRight w:val="0"/>
                      <w:marTop w:val="0"/>
                      <w:marBottom w:val="0"/>
                      <w:divBdr>
                        <w:top w:val="none" w:sz="0" w:space="0" w:color="auto"/>
                        <w:left w:val="none" w:sz="0" w:space="0" w:color="auto"/>
                        <w:bottom w:val="none" w:sz="0" w:space="0" w:color="auto"/>
                        <w:right w:val="none" w:sz="0" w:space="0" w:color="auto"/>
                      </w:divBdr>
                    </w:div>
                  </w:divsChild>
                </w:div>
                <w:div w:id="1821068647">
                  <w:marLeft w:val="0"/>
                  <w:marRight w:val="0"/>
                  <w:marTop w:val="0"/>
                  <w:marBottom w:val="0"/>
                  <w:divBdr>
                    <w:top w:val="none" w:sz="0" w:space="0" w:color="auto"/>
                    <w:left w:val="none" w:sz="0" w:space="0" w:color="auto"/>
                    <w:bottom w:val="none" w:sz="0" w:space="0" w:color="auto"/>
                    <w:right w:val="none" w:sz="0" w:space="0" w:color="auto"/>
                  </w:divBdr>
                  <w:divsChild>
                    <w:div w:id="713578185">
                      <w:marLeft w:val="0"/>
                      <w:marRight w:val="0"/>
                      <w:marTop w:val="0"/>
                      <w:marBottom w:val="0"/>
                      <w:divBdr>
                        <w:top w:val="none" w:sz="0" w:space="0" w:color="auto"/>
                        <w:left w:val="none" w:sz="0" w:space="0" w:color="auto"/>
                        <w:bottom w:val="none" w:sz="0" w:space="0" w:color="auto"/>
                        <w:right w:val="none" w:sz="0" w:space="0" w:color="auto"/>
                      </w:divBdr>
                    </w:div>
                  </w:divsChild>
                </w:div>
                <w:div w:id="1825469317">
                  <w:marLeft w:val="0"/>
                  <w:marRight w:val="0"/>
                  <w:marTop w:val="0"/>
                  <w:marBottom w:val="0"/>
                  <w:divBdr>
                    <w:top w:val="none" w:sz="0" w:space="0" w:color="auto"/>
                    <w:left w:val="none" w:sz="0" w:space="0" w:color="auto"/>
                    <w:bottom w:val="none" w:sz="0" w:space="0" w:color="auto"/>
                    <w:right w:val="none" w:sz="0" w:space="0" w:color="auto"/>
                  </w:divBdr>
                  <w:divsChild>
                    <w:div w:id="64762292">
                      <w:marLeft w:val="0"/>
                      <w:marRight w:val="0"/>
                      <w:marTop w:val="0"/>
                      <w:marBottom w:val="0"/>
                      <w:divBdr>
                        <w:top w:val="none" w:sz="0" w:space="0" w:color="auto"/>
                        <w:left w:val="none" w:sz="0" w:space="0" w:color="auto"/>
                        <w:bottom w:val="none" w:sz="0" w:space="0" w:color="auto"/>
                        <w:right w:val="none" w:sz="0" w:space="0" w:color="auto"/>
                      </w:divBdr>
                    </w:div>
                  </w:divsChild>
                </w:div>
                <w:div w:id="1825856263">
                  <w:marLeft w:val="0"/>
                  <w:marRight w:val="0"/>
                  <w:marTop w:val="0"/>
                  <w:marBottom w:val="0"/>
                  <w:divBdr>
                    <w:top w:val="none" w:sz="0" w:space="0" w:color="auto"/>
                    <w:left w:val="none" w:sz="0" w:space="0" w:color="auto"/>
                    <w:bottom w:val="none" w:sz="0" w:space="0" w:color="auto"/>
                    <w:right w:val="none" w:sz="0" w:space="0" w:color="auto"/>
                  </w:divBdr>
                  <w:divsChild>
                    <w:div w:id="80682135">
                      <w:marLeft w:val="0"/>
                      <w:marRight w:val="0"/>
                      <w:marTop w:val="0"/>
                      <w:marBottom w:val="0"/>
                      <w:divBdr>
                        <w:top w:val="none" w:sz="0" w:space="0" w:color="auto"/>
                        <w:left w:val="none" w:sz="0" w:space="0" w:color="auto"/>
                        <w:bottom w:val="none" w:sz="0" w:space="0" w:color="auto"/>
                        <w:right w:val="none" w:sz="0" w:space="0" w:color="auto"/>
                      </w:divBdr>
                    </w:div>
                  </w:divsChild>
                </w:div>
                <w:div w:id="1829665142">
                  <w:marLeft w:val="0"/>
                  <w:marRight w:val="0"/>
                  <w:marTop w:val="0"/>
                  <w:marBottom w:val="0"/>
                  <w:divBdr>
                    <w:top w:val="none" w:sz="0" w:space="0" w:color="auto"/>
                    <w:left w:val="none" w:sz="0" w:space="0" w:color="auto"/>
                    <w:bottom w:val="none" w:sz="0" w:space="0" w:color="auto"/>
                    <w:right w:val="none" w:sz="0" w:space="0" w:color="auto"/>
                  </w:divBdr>
                  <w:divsChild>
                    <w:div w:id="1266689299">
                      <w:marLeft w:val="0"/>
                      <w:marRight w:val="0"/>
                      <w:marTop w:val="0"/>
                      <w:marBottom w:val="0"/>
                      <w:divBdr>
                        <w:top w:val="none" w:sz="0" w:space="0" w:color="auto"/>
                        <w:left w:val="none" w:sz="0" w:space="0" w:color="auto"/>
                        <w:bottom w:val="none" w:sz="0" w:space="0" w:color="auto"/>
                        <w:right w:val="none" w:sz="0" w:space="0" w:color="auto"/>
                      </w:divBdr>
                    </w:div>
                  </w:divsChild>
                </w:div>
                <w:div w:id="1847941682">
                  <w:marLeft w:val="0"/>
                  <w:marRight w:val="0"/>
                  <w:marTop w:val="0"/>
                  <w:marBottom w:val="0"/>
                  <w:divBdr>
                    <w:top w:val="none" w:sz="0" w:space="0" w:color="auto"/>
                    <w:left w:val="none" w:sz="0" w:space="0" w:color="auto"/>
                    <w:bottom w:val="none" w:sz="0" w:space="0" w:color="auto"/>
                    <w:right w:val="none" w:sz="0" w:space="0" w:color="auto"/>
                  </w:divBdr>
                  <w:divsChild>
                    <w:div w:id="2092505026">
                      <w:marLeft w:val="0"/>
                      <w:marRight w:val="0"/>
                      <w:marTop w:val="0"/>
                      <w:marBottom w:val="0"/>
                      <w:divBdr>
                        <w:top w:val="none" w:sz="0" w:space="0" w:color="auto"/>
                        <w:left w:val="none" w:sz="0" w:space="0" w:color="auto"/>
                        <w:bottom w:val="none" w:sz="0" w:space="0" w:color="auto"/>
                        <w:right w:val="none" w:sz="0" w:space="0" w:color="auto"/>
                      </w:divBdr>
                    </w:div>
                  </w:divsChild>
                </w:div>
                <w:div w:id="1870213607">
                  <w:marLeft w:val="0"/>
                  <w:marRight w:val="0"/>
                  <w:marTop w:val="0"/>
                  <w:marBottom w:val="0"/>
                  <w:divBdr>
                    <w:top w:val="none" w:sz="0" w:space="0" w:color="auto"/>
                    <w:left w:val="none" w:sz="0" w:space="0" w:color="auto"/>
                    <w:bottom w:val="none" w:sz="0" w:space="0" w:color="auto"/>
                    <w:right w:val="none" w:sz="0" w:space="0" w:color="auto"/>
                  </w:divBdr>
                  <w:divsChild>
                    <w:div w:id="845091337">
                      <w:marLeft w:val="0"/>
                      <w:marRight w:val="0"/>
                      <w:marTop w:val="0"/>
                      <w:marBottom w:val="0"/>
                      <w:divBdr>
                        <w:top w:val="none" w:sz="0" w:space="0" w:color="auto"/>
                        <w:left w:val="none" w:sz="0" w:space="0" w:color="auto"/>
                        <w:bottom w:val="none" w:sz="0" w:space="0" w:color="auto"/>
                        <w:right w:val="none" w:sz="0" w:space="0" w:color="auto"/>
                      </w:divBdr>
                    </w:div>
                  </w:divsChild>
                </w:div>
                <w:div w:id="1870797207">
                  <w:marLeft w:val="0"/>
                  <w:marRight w:val="0"/>
                  <w:marTop w:val="0"/>
                  <w:marBottom w:val="0"/>
                  <w:divBdr>
                    <w:top w:val="none" w:sz="0" w:space="0" w:color="auto"/>
                    <w:left w:val="none" w:sz="0" w:space="0" w:color="auto"/>
                    <w:bottom w:val="none" w:sz="0" w:space="0" w:color="auto"/>
                    <w:right w:val="none" w:sz="0" w:space="0" w:color="auto"/>
                  </w:divBdr>
                  <w:divsChild>
                    <w:div w:id="403525867">
                      <w:marLeft w:val="0"/>
                      <w:marRight w:val="0"/>
                      <w:marTop w:val="0"/>
                      <w:marBottom w:val="0"/>
                      <w:divBdr>
                        <w:top w:val="none" w:sz="0" w:space="0" w:color="auto"/>
                        <w:left w:val="none" w:sz="0" w:space="0" w:color="auto"/>
                        <w:bottom w:val="none" w:sz="0" w:space="0" w:color="auto"/>
                        <w:right w:val="none" w:sz="0" w:space="0" w:color="auto"/>
                      </w:divBdr>
                    </w:div>
                  </w:divsChild>
                </w:div>
                <w:div w:id="1876193600">
                  <w:marLeft w:val="0"/>
                  <w:marRight w:val="0"/>
                  <w:marTop w:val="0"/>
                  <w:marBottom w:val="0"/>
                  <w:divBdr>
                    <w:top w:val="none" w:sz="0" w:space="0" w:color="auto"/>
                    <w:left w:val="none" w:sz="0" w:space="0" w:color="auto"/>
                    <w:bottom w:val="none" w:sz="0" w:space="0" w:color="auto"/>
                    <w:right w:val="none" w:sz="0" w:space="0" w:color="auto"/>
                  </w:divBdr>
                  <w:divsChild>
                    <w:div w:id="1370178004">
                      <w:marLeft w:val="0"/>
                      <w:marRight w:val="0"/>
                      <w:marTop w:val="0"/>
                      <w:marBottom w:val="0"/>
                      <w:divBdr>
                        <w:top w:val="none" w:sz="0" w:space="0" w:color="auto"/>
                        <w:left w:val="none" w:sz="0" w:space="0" w:color="auto"/>
                        <w:bottom w:val="none" w:sz="0" w:space="0" w:color="auto"/>
                        <w:right w:val="none" w:sz="0" w:space="0" w:color="auto"/>
                      </w:divBdr>
                    </w:div>
                  </w:divsChild>
                </w:div>
                <w:div w:id="1896234738">
                  <w:marLeft w:val="0"/>
                  <w:marRight w:val="0"/>
                  <w:marTop w:val="0"/>
                  <w:marBottom w:val="0"/>
                  <w:divBdr>
                    <w:top w:val="none" w:sz="0" w:space="0" w:color="auto"/>
                    <w:left w:val="none" w:sz="0" w:space="0" w:color="auto"/>
                    <w:bottom w:val="none" w:sz="0" w:space="0" w:color="auto"/>
                    <w:right w:val="none" w:sz="0" w:space="0" w:color="auto"/>
                  </w:divBdr>
                  <w:divsChild>
                    <w:div w:id="1410233852">
                      <w:marLeft w:val="0"/>
                      <w:marRight w:val="0"/>
                      <w:marTop w:val="0"/>
                      <w:marBottom w:val="0"/>
                      <w:divBdr>
                        <w:top w:val="none" w:sz="0" w:space="0" w:color="auto"/>
                        <w:left w:val="none" w:sz="0" w:space="0" w:color="auto"/>
                        <w:bottom w:val="none" w:sz="0" w:space="0" w:color="auto"/>
                        <w:right w:val="none" w:sz="0" w:space="0" w:color="auto"/>
                      </w:divBdr>
                    </w:div>
                  </w:divsChild>
                </w:div>
                <w:div w:id="1906337122">
                  <w:marLeft w:val="0"/>
                  <w:marRight w:val="0"/>
                  <w:marTop w:val="0"/>
                  <w:marBottom w:val="0"/>
                  <w:divBdr>
                    <w:top w:val="none" w:sz="0" w:space="0" w:color="auto"/>
                    <w:left w:val="none" w:sz="0" w:space="0" w:color="auto"/>
                    <w:bottom w:val="none" w:sz="0" w:space="0" w:color="auto"/>
                    <w:right w:val="none" w:sz="0" w:space="0" w:color="auto"/>
                  </w:divBdr>
                  <w:divsChild>
                    <w:div w:id="575364652">
                      <w:marLeft w:val="0"/>
                      <w:marRight w:val="0"/>
                      <w:marTop w:val="0"/>
                      <w:marBottom w:val="0"/>
                      <w:divBdr>
                        <w:top w:val="none" w:sz="0" w:space="0" w:color="auto"/>
                        <w:left w:val="none" w:sz="0" w:space="0" w:color="auto"/>
                        <w:bottom w:val="none" w:sz="0" w:space="0" w:color="auto"/>
                        <w:right w:val="none" w:sz="0" w:space="0" w:color="auto"/>
                      </w:divBdr>
                    </w:div>
                  </w:divsChild>
                </w:div>
                <w:div w:id="1917982574">
                  <w:marLeft w:val="0"/>
                  <w:marRight w:val="0"/>
                  <w:marTop w:val="0"/>
                  <w:marBottom w:val="0"/>
                  <w:divBdr>
                    <w:top w:val="none" w:sz="0" w:space="0" w:color="auto"/>
                    <w:left w:val="none" w:sz="0" w:space="0" w:color="auto"/>
                    <w:bottom w:val="none" w:sz="0" w:space="0" w:color="auto"/>
                    <w:right w:val="none" w:sz="0" w:space="0" w:color="auto"/>
                  </w:divBdr>
                  <w:divsChild>
                    <w:div w:id="189270603">
                      <w:marLeft w:val="0"/>
                      <w:marRight w:val="0"/>
                      <w:marTop w:val="0"/>
                      <w:marBottom w:val="0"/>
                      <w:divBdr>
                        <w:top w:val="none" w:sz="0" w:space="0" w:color="auto"/>
                        <w:left w:val="none" w:sz="0" w:space="0" w:color="auto"/>
                        <w:bottom w:val="none" w:sz="0" w:space="0" w:color="auto"/>
                        <w:right w:val="none" w:sz="0" w:space="0" w:color="auto"/>
                      </w:divBdr>
                    </w:div>
                  </w:divsChild>
                </w:div>
                <w:div w:id="1934824289">
                  <w:marLeft w:val="0"/>
                  <w:marRight w:val="0"/>
                  <w:marTop w:val="0"/>
                  <w:marBottom w:val="0"/>
                  <w:divBdr>
                    <w:top w:val="none" w:sz="0" w:space="0" w:color="auto"/>
                    <w:left w:val="none" w:sz="0" w:space="0" w:color="auto"/>
                    <w:bottom w:val="none" w:sz="0" w:space="0" w:color="auto"/>
                    <w:right w:val="none" w:sz="0" w:space="0" w:color="auto"/>
                  </w:divBdr>
                  <w:divsChild>
                    <w:div w:id="1182622733">
                      <w:marLeft w:val="0"/>
                      <w:marRight w:val="0"/>
                      <w:marTop w:val="0"/>
                      <w:marBottom w:val="0"/>
                      <w:divBdr>
                        <w:top w:val="none" w:sz="0" w:space="0" w:color="auto"/>
                        <w:left w:val="none" w:sz="0" w:space="0" w:color="auto"/>
                        <w:bottom w:val="none" w:sz="0" w:space="0" w:color="auto"/>
                        <w:right w:val="none" w:sz="0" w:space="0" w:color="auto"/>
                      </w:divBdr>
                    </w:div>
                  </w:divsChild>
                </w:div>
                <w:div w:id="1948998549">
                  <w:marLeft w:val="0"/>
                  <w:marRight w:val="0"/>
                  <w:marTop w:val="0"/>
                  <w:marBottom w:val="0"/>
                  <w:divBdr>
                    <w:top w:val="none" w:sz="0" w:space="0" w:color="auto"/>
                    <w:left w:val="none" w:sz="0" w:space="0" w:color="auto"/>
                    <w:bottom w:val="none" w:sz="0" w:space="0" w:color="auto"/>
                    <w:right w:val="none" w:sz="0" w:space="0" w:color="auto"/>
                  </w:divBdr>
                  <w:divsChild>
                    <w:div w:id="1451431530">
                      <w:marLeft w:val="0"/>
                      <w:marRight w:val="0"/>
                      <w:marTop w:val="0"/>
                      <w:marBottom w:val="0"/>
                      <w:divBdr>
                        <w:top w:val="none" w:sz="0" w:space="0" w:color="auto"/>
                        <w:left w:val="none" w:sz="0" w:space="0" w:color="auto"/>
                        <w:bottom w:val="none" w:sz="0" w:space="0" w:color="auto"/>
                        <w:right w:val="none" w:sz="0" w:space="0" w:color="auto"/>
                      </w:divBdr>
                    </w:div>
                  </w:divsChild>
                </w:div>
                <w:div w:id="1985964712">
                  <w:marLeft w:val="0"/>
                  <w:marRight w:val="0"/>
                  <w:marTop w:val="0"/>
                  <w:marBottom w:val="0"/>
                  <w:divBdr>
                    <w:top w:val="none" w:sz="0" w:space="0" w:color="auto"/>
                    <w:left w:val="none" w:sz="0" w:space="0" w:color="auto"/>
                    <w:bottom w:val="none" w:sz="0" w:space="0" w:color="auto"/>
                    <w:right w:val="none" w:sz="0" w:space="0" w:color="auto"/>
                  </w:divBdr>
                  <w:divsChild>
                    <w:div w:id="244581079">
                      <w:marLeft w:val="0"/>
                      <w:marRight w:val="0"/>
                      <w:marTop w:val="0"/>
                      <w:marBottom w:val="0"/>
                      <w:divBdr>
                        <w:top w:val="none" w:sz="0" w:space="0" w:color="auto"/>
                        <w:left w:val="none" w:sz="0" w:space="0" w:color="auto"/>
                        <w:bottom w:val="none" w:sz="0" w:space="0" w:color="auto"/>
                        <w:right w:val="none" w:sz="0" w:space="0" w:color="auto"/>
                      </w:divBdr>
                    </w:div>
                  </w:divsChild>
                </w:div>
                <w:div w:id="2022858013">
                  <w:marLeft w:val="0"/>
                  <w:marRight w:val="0"/>
                  <w:marTop w:val="0"/>
                  <w:marBottom w:val="0"/>
                  <w:divBdr>
                    <w:top w:val="none" w:sz="0" w:space="0" w:color="auto"/>
                    <w:left w:val="none" w:sz="0" w:space="0" w:color="auto"/>
                    <w:bottom w:val="none" w:sz="0" w:space="0" w:color="auto"/>
                    <w:right w:val="none" w:sz="0" w:space="0" w:color="auto"/>
                  </w:divBdr>
                  <w:divsChild>
                    <w:div w:id="2084793011">
                      <w:marLeft w:val="0"/>
                      <w:marRight w:val="0"/>
                      <w:marTop w:val="0"/>
                      <w:marBottom w:val="0"/>
                      <w:divBdr>
                        <w:top w:val="none" w:sz="0" w:space="0" w:color="auto"/>
                        <w:left w:val="none" w:sz="0" w:space="0" w:color="auto"/>
                        <w:bottom w:val="none" w:sz="0" w:space="0" w:color="auto"/>
                        <w:right w:val="none" w:sz="0" w:space="0" w:color="auto"/>
                      </w:divBdr>
                    </w:div>
                  </w:divsChild>
                </w:div>
                <w:div w:id="2046901538">
                  <w:marLeft w:val="0"/>
                  <w:marRight w:val="0"/>
                  <w:marTop w:val="0"/>
                  <w:marBottom w:val="0"/>
                  <w:divBdr>
                    <w:top w:val="none" w:sz="0" w:space="0" w:color="auto"/>
                    <w:left w:val="none" w:sz="0" w:space="0" w:color="auto"/>
                    <w:bottom w:val="none" w:sz="0" w:space="0" w:color="auto"/>
                    <w:right w:val="none" w:sz="0" w:space="0" w:color="auto"/>
                  </w:divBdr>
                  <w:divsChild>
                    <w:div w:id="768768989">
                      <w:marLeft w:val="0"/>
                      <w:marRight w:val="0"/>
                      <w:marTop w:val="0"/>
                      <w:marBottom w:val="0"/>
                      <w:divBdr>
                        <w:top w:val="none" w:sz="0" w:space="0" w:color="auto"/>
                        <w:left w:val="none" w:sz="0" w:space="0" w:color="auto"/>
                        <w:bottom w:val="none" w:sz="0" w:space="0" w:color="auto"/>
                        <w:right w:val="none" w:sz="0" w:space="0" w:color="auto"/>
                      </w:divBdr>
                    </w:div>
                  </w:divsChild>
                </w:div>
                <w:div w:id="2053730173">
                  <w:marLeft w:val="0"/>
                  <w:marRight w:val="0"/>
                  <w:marTop w:val="0"/>
                  <w:marBottom w:val="0"/>
                  <w:divBdr>
                    <w:top w:val="none" w:sz="0" w:space="0" w:color="auto"/>
                    <w:left w:val="none" w:sz="0" w:space="0" w:color="auto"/>
                    <w:bottom w:val="none" w:sz="0" w:space="0" w:color="auto"/>
                    <w:right w:val="none" w:sz="0" w:space="0" w:color="auto"/>
                  </w:divBdr>
                  <w:divsChild>
                    <w:div w:id="1147939980">
                      <w:marLeft w:val="0"/>
                      <w:marRight w:val="0"/>
                      <w:marTop w:val="0"/>
                      <w:marBottom w:val="0"/>
                      <w:divBdr>
                        <w:top w:val="none" w:sz="0" w:space="0" w:color="auto"/>
                        <w:left w:val="none" w:sz="0" w:space="0" w:color="auto"/>
                        <w:bottom w:val="none" w:sz="0" w:space="0" w:color="auto"/>
                        <w:right w:val="none" w:sz="0" w:space="0" w:color="auto"/>
                      </w:divBdr>
                    </w:div>
                  </w:divsChild>
                </w:div>
                <w:div w:id="2079354963">
                  <w:marLeft w:val="0"/>
                  <w:marRight w:val="0"/>
                  <w:marTop w:val="0"/>
                  <w:marBottom w:val="0"/>
                  <w:divBdr>
                    <w:top w:val="none" w:sz="0" w:space="0" w:color="auto"/>
                    <w:left w:val="none" w:sz="0" w:space="0" w:color="auto"/>
                    <w:bottom w:val="none" w:sz="0" w:space="0" w:color="auto"/>
                    <w:right w:val="none" w:sz="0" w:space="0" w:color="auto"/>
                  </w:divBdr>
                  <w:divsChild>
                    <w:div w:id="117384411">
                      <w:marLeft w:val="0"/>
                      <w:marRight w:val="0"/>
                      <w:marTop w:val="0"/>
                      <w:marBottom w:val="0"/>
                      <w:divBdr>
                        <w:top w:val="none" w:sz="0" w:space="0" w:color="auto"/>
                        <w:left w:val="none" w:sz="0" w:space="0" w:color="auto"/>
                        <w:bottom w:val="none" w:sz="0" w:space="0" w:color="auto"/>
                        <w:right w:val="none" w:sz="0" w:space="0" w:color="auto"/>
                      </w:divBdr>
                    </w:div>
                  </w:divsChild>
                </w:div>
                <w:div w:id="2107530118">
                  <w:marLeft w:val="0"/>
                  <w:marRight w:val="0"/>
                  <w:marTop w:val="0"/>
                  <w:marBottom w:val="0"/>
                  <w:divBdr>
                    <w:top w:val="none" w:sz="0" w:space="0" w:color="auto"/>
                    <w:left w:val="none" w:sz="0" w:space="0" w:color="auto"/>
                    <w:bottom w:val="none" w:sz="0" w:space="0" w:color="auto"/>
                    <w:right w:val="none" w:sz="0" w:space="0" w:color="auto"/>
                  </w:divBdr>
                  <w:divsChild>
                    <w:div w:id="54864762">
                      <w:marLeft w:val="0"/>
                      <w:marRight w:val="0"/>
                      <w:marTop w:val="0"/>
                      <w:marBottom w:val="0"/>
                      <w:divBdr>
                        <w:top w:val="none" w:sz="0" w:space="0" w:color="auto"/>
                        <w:left w:val="none" w:sz="0" w:space="0" w:color="auto"/>
                        <w:bottom w:val="none" w:sz="0" w:space="0" w:color="auto"/>
                        <w:right w:val="none" w:sz="0" w:space="0" w:color="auto"/>
                      </w:divBdr>
                    </w:div>
                  </w:divsChild>
                </w:div>
                <w:div w:id="2132966898">
                  <w:marLeft w:val="0"/>
                  <w:marRight w:val="0"/>
                  <w:marTop w:val="0"/>
                  <w:marBottom w:val="0"/>
                  <w:divBdr>
                    <w:top w:val="none" w:sz="0" w:space="0" w:color="auto"/>
                    <w:left w:val="none" w:sz="0" w:space="0" w:color="auto"/>
                    <w:bottom w:val="none" w:sz="0" w:space="0" w:color="auto"/>
                    <w:right w:val="none" w:sz="0" w:space="0" w:color="auto"/>
                  </w:divBdr>
                  <w:divsChild>
                    <w:div w:id="1440563168">
                      <w:marLeft w:val="0"/>
                      <w:marRight w:val="0"/>
                      <w:marTop w:val="0"/>
                      <w:marBottom w:val="0"/>
                      <w:divBdr>
                        <w:top w:val="none" w:sz="0" w:space="0" w:color="auto"/>
                        <w:left w:val="none" w:sz="0" w:space="0" w:color="auto"/>
                        <w:bottom w:val="none" w:sz="0" w:space="0" w:color="auto"/>
                        <w:right w:val="none" w:sz="0" w:space="0" w:color="auto"/>
                      </w:divBdr>
                    </w:div>
                  </w:divsChild>
                </w:div>
                <w:div w:id="2136285849">
                  <w:marLeft w:val="0"/>
                  <w:marRight w:val="0"/>
                  <w:marTop w:val="0"/>
                  <w:marBottom w:val="0"/>
                  <w:divBdr>
                    <w:top w:val="none" w:sz="0" w:space="0" w:color="auto"/>
                    <w:left w:val="none" w:sz="0" w:space="0" w:color="auto"/>
                    <w:bottom w:val="none" w:sz="0" w:space="0" w:color="auto"/>
                    <w:right w:val="none" w:sz="0" w:space="0" w:color="auto"/>
                  </w:divBdr>
                  <w:divsChild>
                    <w:div w:id="626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6929">
          <w:marLeft w:val="0"/>
          <w:marRight w:val="0"/>
          <w:marTop w:val="0"/>
          <w:marBottom w:val="0"/>
          <w:divBdr>
            <w:top w:val="none" w:sz="0" w:space="0" w:color="auto"/>
            <w:left w:val="none" w:sz="0" w:space="0" w:color="auto"/>
            <w:bottom w:val="none" w:sz="0" w:space="0" w:color="auto"/>
            <w:right w:val="none" w:sz="0" w:space="0" w:color="auto"/>
          </w:divBdr>
        </w:div>
      </w:divsChild>
    </w:div>
    <w:div w:id="497816202">
      <w:bodyDiv w:val="1"/>
      <w:marLeft w:val="0"/>
      <w:marRight w:val="0"/>
      <w:marTop w:val="0"/>
      <w:marBottom w:val="0"/>
      <w:divBdr>
        <w:top w:val="none" w:sz="0" w:space="0" w:color="auto"/>
        <w:left w:val="none" w:sz="0" w:space="0" w:color="auto"/>
        <w:bottom w:val="none" w:sz="0" w:space="0" w:color="auto"/>
        <w:right w:val="none" w:sz="0" w:space="0" w:color="auto"/>
      </w:divBdr>
    </w:div>
    <w:div w:id="525948789">
      <w:bodyDiv w:val="1"/>
      <w:marLeft w:val="0"/>
      <w:marRight w:val="0"/>
      <w:marTop w:val="0"/>
      <w:marBottom w:val="0"/>
      <w:divBdr>
        <w:top w:val="none" w:sz="0" w:space="0" w:color="auto"/>
        <w:left w:val="none" w:sz="0" w:space="0" w:color="auto"/>
        <w:bottom w:val="none" w:sz="0" w:space="0" w:color="auto"/>
        <w:right w:val="none" w:sz="0" w:space="0" w:color="auto"/>
      </w:divBdr>
    </w:div>
    <w:div w:id="528759517">
      <w:bodyDiv w:val="1"/>
      <w:marLeft w:val="0"/>
      <w:marRight w:val="0"/>
      <w:marTop w:val="0"/>
      <w:marBottom w:val="0"/>
      <w:divBdr>
        <w:top w:val="none" w:sz="0" w:space="0" w:color="auto"/>
        <w:left w:val="none" w:sz="0" w:space="0" w:color="auto"/>
        <w:bottom w:val="none" w:sz="0" w:space="0" w:color="auto"/>
        <w:right w:val="none" w:sz="0" w:space="0" w:color="auto"/>
      </w:divBdr>
    </w:div>
    <w:div w:id="532426680">
      <w:bodyDiv w:val="1"/>
      <w:marLeft w:val="0"/>
      <w:marRight w:val="0"/>
      <w:marTop w:val="0"/>
      <w:marBottom w:val="0"/>
      <w:divBdr>
        <w:top w:val="none" w:sz="0" w:space="0" w:color="auto"/>
        <w:left w:val="none" w:sz="0" w:space="0" w:color="auto"/>
        <w:bottom w:val="none" w:sz="0" w:space="0" w:color="auto"/>
        <w:right w:val="none" w:sz="0" w:space="0" w:color="auto"/>
      </w:divBdr>
    </w:div>
    <w:div w:id="536160996">
      <w:bodyDiv w:val="1"/>
      <w:marLeft w:val="0"/>
      <w:marRight w:val="0"/>
      <w:marTop w:val="0"/>
      <w:marBottom w:val="0"/>
      <w:divBdr>
        <w:top w:val="none" w:sz="0" w:space="0" w:color="auto"/>
        <w:left w:val="none" w:sz="0" w:space="0" w:color="auto"/>
        <w:bottom w:val="none" w:sz="0" w:space="0" w:color="auto"/>
        <w:right w:val="none" w:sz="0" w:space="0" w:color="auto"/>
      </w:divBdr>
    </w:div>
    <w:div w:id="542909207">
      <w:bodyDiv w:val="1"/>
      <w:marLeft w:val="0"/>
      <w:marRight w:val="0"/>
      <w:marTop w:val="0"/>
      <w:marBottom w:val="0"/>
      <w:divBdr>
        <w:top w:val="none" w:sz="0" w:space="0" w:color="auto"/>
        <w:left w:val="none" w:sz="0" w:space="0" w:color="auto"/>
        <w:bottom w:val="none" w:sz="0" w:space="0" w:color="auto"/>
        <w:right w:val="none" w:sz="0" w:space="0" w:color="auto"/>
      </w:divBdr>
    </w:div>
    <w:div w:id="554321488">
      <w:bodyDiv w:val="1"/>
      <w:marLeft w:val="0"/>
      <w:marRight w:val="0"/>
      <w:marTop w:val="0"/>
      <w:marBottom w:val="0"/>
      <w:divBdr>
        <w:top w:val="none" w:sz="0" w:space="0" w:color="auto"/>
        <w:left w:val="none" w:sz="0" w:space="0" w:color="auto"/>
        <w:bottom w:val="none" w:sz="0" w:space="0" w:color="auto"/>
        <w:right w:val="none" w:sz="0" w:space="0" w:color="auto"/>
      </w:divBdr>
    </w:div>
    <w:div w:id="560560412">
      <w:bodyDiv w:val="1"/>
      <w:marLeft w:val="0"/>
      <w:marRight w:val="0"/>
      <w:marTop w:val="0"/>
      <w:marBottom w:val="0"/>
      <w:divBdr>
        <w:top w:val="none" w:sz="0" w:space="0" w:color="auto"/>
        <w:left w:val="none" w:sz="0" w:space="0" w:color="auto"/>
        <w:bottom w:val="none" w:sz="0" w:space="0" w:color="auto"/>
        <w:right w:val="none" w:sz="0" w:space="0" w:color="auto"/>
      </w:divBdr>
    </w:div>
    <w:div w:id="561018370">
      <w:bodyDiv w:val="1"/>
      <w:marLeft w:val="0"/>
      <w:marRight w:val="0"/>
      <w:marTop w:val="0"/>
      <w:marBottom w:val="0"/>
      <w:divBdr>
        <w:top w:val="none" w:sz="0" w:space="0" w:color="auto"/>
        <w:left w:val="none" w:sz="0" w:space="0" w:color="auto"/>
        <w:bottom w:val="none" w:sz="0" w:space="0" w:color="auto"/>
        <w:right w:val="none" w:sz="0" w:space="0" w:color="auto"/>
      </w:divBdr>
    </w:div>
    <w:div w:id="567346233">
      <w:bodyDiv w:val="1"/>
      <w:marLeft w:val="0"/>
      <w:marRight w:val="0"/>
      <w:marTop w:val="0"/>
      <w:marBottom w:val="0"/>
      <w:divBdr>
        <w:top w:val="none" w:sz="0" w:space="0" w:color="auto"/>
        <w:left w:val="none" w:sz="0" w:space="0" w:color="auto"/>
        <w:bottom w:val="none" w:sz="0" w:space="0" w:color="auto"/>
        <w:right w:val="none" w:sz="0" w:space="0" w:color="auto"/>
      </w:divBdr>
    </w:div>
    <w:div w:id="573243612">
      <w:bodyDiv w:val="1"/>
      <w:marLeft w:val="0"/>
      <w:marRight w:val="0"/>
      <w:marTop w:val="0"/>
      <w:marBottom w:val="0"/>
      <w:divBdr>
        <w:top w:val="none" w:sz="0" w:space="0" w:color="auto"/>
        <w:left w:val="none" w:sz="0" w:space="0" w:color="auto"/>
        <w:bottom w:val="none" w:sz="0" w:space="0" w:color="auto"/>
        <w:right w:val="none" w:sz="0" w:space="0" w:color="auto"/>
      </w:divBdr>
    </w:div>
    <w:div w:id="586693663">
      <w:bodyDiv w:val="1"/>
      <w:marLeft w:val="0"/>
      <w:marRight w:val="0"/>
      <w:marTop w:val="0"/>
      <w:marBottom w:val="0"/>
      <w:divBdr>
        <w:top w:val="none" w:sz="0" w:space="0" w:color="auto"/>
        <w:left w:val="none" w:sz="0" w:space="0" w:color="auto"/>
        <w:bottom w:val="none" w:sz="0" w:space="0" w:color="auto"/>
        <w:right w:val="none" w:sz="0" w:space="0" w:color="auto"/>
      </w:divBdr>
    </w:div>
    <w:div w:id="589781509">
      <w:bodyDiv w:val="1"/>
      <w:marLeft w:val="0"/>
      <w:marRight w:val="0"/>
      <w:marTop w:val="0"/>
      <w:marBottom w:val="0"/>
      <w:divBdr>
        <w:top w:val="none" w:sz="0" w:space="0" w:color="auto"/>
        <w:left w:val="none" w:sz="0" w:space="0" w:color="auto"/>
        <w:bottom w:val="none" w:sz="0" w:space="0" w:color="auto"/>
        <w:right w:val="none" w:sz="0" w:space="0" w:color="auto"/>
      </w:divBdr>
    </w:div>
    <w:div w:id="602491738">
      <w:bodyDiv w:val="1"/>
      <w:marLeft w:val="0"/>
      <w:marRight w:val="0"/>
      <w:marTop w:val="0"/>
      <w:marBottom w:val="0"/>
      <w:divBdr>
        <w:top w:val="none" w:sz="0" w:space="0" w:color="auto"/>
        <w:left w:val="none" w:sz="0" w:space="0" w:color="auto"/>
        <w:bottom w:val="none" w:sz="0" w:space="0" w:color="auto"/>
        <w:right w:val="none" w:sz="0" w:space="0" w:color="auto"/>
      </w:divBdr>
    </w:div>
    <w:div w:id="609974522">
      <w:bodyDiv w:val="1"/>
      <w:marLeft w:val="0"/>
      <w:marRight w:val="0"/>
      <w:marTop w:val="0"/>
      <w:marBottom w:val="0"/>
      <w:divBdr>
        <w:top w:val="none" w:sz="0" w:space="0" w:color="auto"/>
        <w:left w:val="none" w:sz="0" w:space="0" w:color="auto"/>
        <w:bottom w:val="none" w:sz="0" w:space="0" w:color="auto"/>
        <w:right w:val="none" w:sz="0" w:space="0" w:color="auto"/>
      </w:divBdr>
    </w:div>
    <w:div w:id="621501646">
      <w:bodyDiv w:val="1"/>
      <w:marLeft w:val="0"/>
      <w:marRight w:val="0"/>
      <w:marTop w:val="0"/>
      <w:marBottom w:val="0"/>
      <w:divBdr>
        <w:top w:val="none" w:sz="0" w:space="0" w:color="auto"/>
        <w:left w:val="none" w:sz="0" w:space="0" w:color="auto"/>
        <w:bottom w:val="none" w:sz="0" w:space="0" w:color="auto"/>
        <w:right w:val="none" w:sz="0" w:space="0" w:color="auto"/>
      </w:divBdr>
    </w:div>
    <w:div w:id="638074224">
      <w:bodyDiv w:val="1"/>
      <w:marLeft w:val="0"/>
      <w:marRight w:val="0"/>
      <w:marTop w:val="0"/>
      <w:marBottom w:val="0"/>
      <w:divBdr>
        <w:top w:val="none" w:sz="0" w:space="0" w:color="auto"/>
        <w:left w:val="none" w:sz="0" w:space="0" w:color="auto"/>
        <w:bottom w:val="none" w:sz="0" w:space="0" w:color="auto"/>
        <w:right w:val="none" w:sz="0" w:space="0" w:color="auto"/>
      </w:divBdr>
    </w:div>
    <w:div w:id="642542301">
      <w:bodyDiv w:val="1"/>
      <w:marLeft w:val="0"/>
      <w:marRight w:val="0"/>
      <w:marTop w:val="0"/>
      <w:marBottom w:val="0"/>
      <w:divBdr>
        <w:top w:val="none" w:sz="0" w:space="0" w:color="auto"/>
        <w:left w:val="none" w:sz="0" w:space="0" w:color="auto"/>
        <w:bottom w:val="none" w:sz="0" w:space="0" w:color="auto"/>
        <w:right w:val="none" w:sz="0" w:space="0" w:color="auto"/>
      </w:divBdr>
    </w:div>
    <w:div w:id="651955556">
      <w:bodyDiv w:val="1"/>
      <w:marLeft w:val="0"/>
      <w:marRight w:val="0"/>
      <w:marTop w:val="0"/>
      <w:marBottom w:val="0"/>
      <w:divBdr>
        <w:top w:val="none" w:sz="0" w:space="0" w:color="auto"/>
        <w:left w:val="none" w:sz="0" w:space="0" w:color="auto"/>
        <w:bottom w:val="none" w:sz="0" w:space="0" w:color="auto"/>
        <w:right w:val="none" w:sz="0" w:space="0" w:color="auto"/>
      </w:divBdr>
    </w:div>
    <w:div w:id="652098123">
      <w:bodyDiv w:val="1"/>
      <w:marLeft w:val="0"/>
      <w:marRight w:val="0"/>
      <w:marTop w:val="0"/>
      <w:marBottom w:val="0"/>
      <w:divBdr>
        <w:top w:val="none" w:sz="0" w:space="0" w:color="auto"/>
        <w:left w:val="none" w:sz="0" w:space="0" w:color="auto"/>
        <w:bottom w:val="none" w:sz="0" w:space="0" w:color="auto"/>
        <w:right w:val="none" w:sz="0" w:space="0" w:color="auto"/>
      </w:divBdr>
    </w:div>
    <w:div w:id="689570757">
      <w:bodyDiv w:val="1"/>
      <w:marLeft w:val="0"/>
      <w:marRight w:val="0"/>
      <w:marTop w:val="0"/>
      <w:marBottom w:val="0"/>
      <w:divBdr>
        <w:top w:val="none" w:sz="0" w:space="0" w:color="auto"/>
        <w:left w:val="none" w:sz="0" w:space="0" w:color="auto"/>
        <w:bottom w:val="none" w:sz="0" w:space="0" w:color="auto"/>
        <w:right w:val="none" w:sz="0" w:space="0" w:color="auto"/>
      </w:divBdr>
    </w:div>
    <w:div w:id="690299980">
      <w:bodyDiv w:val="1"/>
      <w:marLeft w:val="0"/>
      <w:marRight w:val="0"/>
      <w:marTop w:val="0"/>
      <w:marBottom w:val="0"/>
      <w:divBdr>
        <w:top w:val="none" w:sz="0" w:space="0" w:color="auto"/>
        <w:left w:val="none" w:sz="0" w:space="0" w:color="auto"/>
        <w:bottom w:val="none" w:sz="0" w:space="0" w:color="auto"/>
        <w:right w:val="none" w:sz="0" w:space="0" w:color="auto"/>
      </w:divBdr>
      <w:divsChild>
        <w:div w:id="1349135728">
          <w:marLeft w:val="1440"/>
          <w:marRight w:val="0"/>
          <w:marTop w:val="96"/>
          <w:marBottom w:val="0"/>
          <w:divBdr>
            <w:top w:val="none" w:sz="0" w:space="0" w:color="auto"/>
            <w:left w:val="none" w:sz="0" w:space="0" w:color="auto"/>
            <w:bottom w:val="none" w:sz="0" w:space="0" w:color="auto"/>
            <w:right w:val="none" w:sz="0" w:space="0" w:color="auto"/>
          </w:divBdr>
        </w:div>
      </w:divsChild>
    </w:div>
    <w:div w:id="694158216">
      <w:bodyDiv w:val="1"/>
      <w:marLeft w:val="0"/>
      <w:marRight w:val="0"/>
      <w:marTop w:val="0"/>
      <w:marBottom w:val="0"/>
      <w:divBdr>
        <w:top w:val="none" w:sz="0" w:space="0" w:color="auto"/>
        <w:left w:val="none" w:sz="0" w:space="0" w:color="auto"/>
        <w:bottom w:val="none" w:sz="0" w:space="0" w:color="auto"/>
        <w:right w:val="none" w:sz="0" w:space="0" w:color="auto"/>
      </w:divBdr>
    </w:div>
    <w:div w:id="727991693">
      <w:bodyDiv w:val="1"/>
      <w:marLeft w:val="0"/>
      <w:marRight w:val="0"/>
      <w:marTop w:val="0"/>
      <w:marBottom w:val="0"/>
      <w:divBdr>
        <w:top w:val="none" w:sz="0" w:space="0" w:color="auto"/>
        <w:left w:val="none" w:sz="0" w:space="0" w:color="auto"/>
        <w:bottom w:val="none" w:sz="0" w:space="0" w:color="auto"/>
        <w:right w:val="none" w:sz="0" w:space="0" w:color="auto"/>
      </w:divBdr>
    </w:div>
    <w:div w:id="735587678">
      <w:bodyDiv w:val="1"/>
      <w:marLeft w:val="0"/>
      <w:marRight w:val="0"/>
      <w:marTop w:val="0"/>
      <w:marBottom w:val="0"/>
      <w:divBdr>
        <w:top w:val="none" w:sz="0" w:space="0" w:color="auto"/>
        <w:left w:val="none" w:sz="0" w:space="0" w:color="auto"/>
        <w:bottom w:val="none" w:sz="0" w:space="0" w:color="auto"/>
        <w:right w:val="none" w:sz="0" w:space="0" w:color="auto"/>
      </w:divBdr>
    </w:div>
    <w:div w:id="737634930">
      <w:bodyDiv w:val="1"/>
      <w:marLeft w:val="0"/>
      <w:marRight w:val="0"/>
      <w:marTop w:val="0"/>
      <w:marBottom w:val="0"/>
      <w:divBdr>
        <w:top w:val="none" w:sz="0" w:space="0" w:color="auto"/>
        <w:left w:val="none" w:sz="0" w:space="0" w:color="auto"/>
        <w:bottom w:val="none" w:sz="0" w:space="0" w:color="auto"/>
        <w:right w:val="none" w:sz="0" w:space="0" w:color="auto"/>
      </w:divBdr>
    </w:div>
    <w:div w:id="746803740">
      <w:bodyDiv w:val="1"/>
      <w:marLeft w:val="0"/>
      <w:marRight w:val="0"/>
      <w:marTop w:val="0"/>
      <w:marBottom w:val="0"/>
      <w:divBdr>
        <w:top w:val="none" w:sz="0" w:space="0" w:color="auto"/>
        <w:left w:val="none" w:sz="0" w:space="0" w:color="auto"/>
        <w:bottom w:val="none" w:sz="0" w:space="0" w:color="auto"/>
        <w:right w:val="none" w:sz="0" w:space="0" w:color="auto"/>
      </w:divBdr>
    </w:div>
    <w:div w:id="756439377">
      <w:bodyDiv w:val="1"/>
      <w:marLeft w:val="0"/>
      <w:marRight w:val="0"/>
      <w:marTop w:val="0"/>
      <w:marBottom w:val="0"/>
      <w:divBdr>
        <w:top w:val="none" w:sz="0" w:space="0" w:color="auto"/>
        <w:left w:val="none" w:sz="0" w:space="0" w:color="auto"/>
        <w:bottom w:val="none" w:sz="0" w:space="0" w:color="auto"/>
        <w:right w:val="none" w:sz="0" w:space="0" w:color="auto"/>
      </w:divBdr>
    </w:div>
    <w:div w:id="761027150">
      <w:bodyDiv w:val="1"/>
      <w:marLeft w:val="0"/>
      <w:marRight w:val="0"/>
      <w:marTop w:val="0"/>
      <w:marBottom w:val="0"/>
      <w:divBdr>
        <w:top w:val="none" w:sz="0" w:space="0" w:color="auto"/>
        <w:left w:val="none" w:sz="0" w:space="0" w:color="auto"/>
        <w:bottom w:val="none" w:sz="0" w:space="0" w:color="auto"/>
        <w:right w:val="none" w:sz="0" w:space="0" w:color="auto"/>
      </w:divBdr>
    </w:div>
    <w:div w:id="761031833">
      <w:bodyDiv w:val="1"/>
      <w:marLeft w:val="0"/>
      <w:marRight w:val="0"/>
      <w:marTop w:val="0"/>
      <w:marBottom w:val="0"/>
      <w:divBdr>
        <w:top w:val="none" w:sz="0" w:space="0" w:color="auto"/>
        <w:left w:val="none" w:sz="0" w:space="0" w:color="auto"/>
        <w:bottom w:val="none" w:sz="0" w:space="0" w:color="auto"/>
        <w:right w:val="none" w:sz="0" w:space="0" w:color="auto"/>
      </w:divBdr>
    </w:div>
    <w:div w:id="766653697">
      <w:bodyDiv w:val="1"/>
      <w:marLeft w:val="0"/>
      <w:marRight w:val="0"/>
      <w:marTop w:val="0"/>
      <w:marBottom w:val="0"/>
      <w:divBdr>
        <w:top w:val="none" w:sz="0" w:space="0" w:color="auto"/>
        <w:left w:val="none" w:sz="0" w:space="0" w:color="auto"/>
        <w:bottom w:val="none" w:sz="0" w:space="0" w:color="auto"/>
        <w:right w:val="none" w:sz="0" w:space="0" w:color="auto"/>
      </w:divBdr>
    </w:div>
    <w:div w:id="784419815">
      <w:bodyDiv w:val="1"/>
      <w:marLeft w:val="0"/>
      <w:marRight w:val="0"/>
      <w:marTop w:val="0"/>
      <w:marBottom w:val="0"/>
      <w:divBdr>
        <w:top w:val="none" w:sz="0" w:space="0" w:color="auto"/>
        <w:left w:val="none" w:sz="0" w:space="0" w:color="auto"/>
        <w:bottom w:val="none" w:sz="0" w:space="0" w:color="auto"/>
        <w:right w:val="none" w:sz="0" w:space="0" w:color="auto"/>
      </w:divBdr>
    </w:div>
    <w:div w:id="791942545">
      <w:bodyDiv w:val="1"/>
      <w:marLeft w:val="0"/>
      <w:marRight w:val="0"/>
      <w:marTop w:val="0"/>
      <w:marBottom w:val="0"/>
      <w:divBdr>
        <w:top w:val="none" w:sz="0" w:space="0" w:color="auto"/>
        <w:left w:val="none" w:sz="0" w:space="0" w:color="auto"/>
        <w:bottom w:val="none" w:sz="0" w:space="0" w:color="auto"/>
        <w:right w:val="none" w:sz="0" w:space="0" w:color="auto"/>
      </w:divBdr>
    </w:div>
    <w:div w:id="798575762">
      <w:bodyDiv w:val="1"/>
      <w:marLeft w:val="0"/>
      <w:marRight w:val="0"/>
      <w:marTop w:val="0"/>
      <w:marBottom w:val="0"/>
      <w:divBdr>
        <w:top w:val="none" w:sz="0" w:space="0" w:color="auto"/>
        <w:left w:val="none" w:sz="0" w:space="0" w:color="auto"/>
        <w:bottom w:val="none" w:sz="0" w:space="0" w:color="auto"/>
        <w:right w:val="none" w:sz="0" w:space="0" w:color="auto"/>
      </w:divBdr>
    </w:div>
    <w:div w:id="801313373">
      <w:bodyDiv w:val="1"/>
      <w:marLeft w:val="0"/>
      <w:marRight w:val="0"/>
      <w:marTop w:val="0"/>
      <w:marBottom w:val="0"/>
      <w:divBdr>
        <w:top w:val="none" w:sz="0" w:space="0" w:color="auto"/>
        <w:left w:val="none" w:sz="0" w:space="0" w:color="auto"/>
        <w:bottom w:val="none" w:sz="0" w:space="0" w:color="auto"/>
        <w:right w:val="none" w:sz="0" w:space="0" w:color="auto"/>
      </w:divBdr>
    </w:div>
    <w:div w:id="808397165">
      <w:bodyDiv w:val="1"/>
      <w:marLeft w:val="0"/>
      <w:marRight w:val="0"/>
      <w:marTop w:val="0"/>
      <w:marBottom w:val="0"/>
      <w:divBdr>
        <w:top w:val="none" w:sz="0" w:space="0" w:color="auto"/>
        <w:left w:val="none" w:sz="0" w:space="0" w:color="auto"/>
        <w:bottom w:val="none" w:sz="0" w:space="0" w:color="auto"/>
        <w:right w:val="none" w:sz="0" w:space="0" w:color="auto"/>
      </w:divBdr>
    </w:div>
    <w:div w:id="812528000">
      <w:bodyDiv w:val="1"/>
      <w:marLeft w:val="0"/>
      <w:marRight w:val="0"/>
      <w:marTop w:val="0"/>
      <w:marBottom w:val="0"/>
      <w:divBdr>
        <w:top w:val="none" w:sz="0" w:space="0" w:color="auto"/>
        <w:left w:val="none" w:sz="0" w:space="0" w:color="auto"/>
        <w:bottom w:val="none" w:sz="0" w:space="0" w:color="auto"/>
        <w:right w:val="none" w:sz="0" w:space="0" w:color="auto"/>
      </w:divBdr>
    </w:div>
    <w:div w:id="820077030">
      <w:bodyDiv w:val="1"/>
      <w:marLeft w:val="0"/>
      <w:marRight w:val="0"/>
      <w:marTop w:val="0"/>
      <w:marBottom w:val="0"/>
      <w:divBdr>
        <w:top w:val="none" w:sz="0" w:space="0" w:color="auto"/>
        <w:left w:val="none" w:sz="0" w:space="0" w:color="auto"/>
        <w:bottom w:val="none" w:sz="0" w:space="0" w:color="auto"/>
        <w:right w:val="none" w:sz="0" w:space="0" w:color="auto"/>
      </w:divBdr>
    </w:div>
    <w:div w:id="846678200">
      <w:bodyDiv w:val="1"/>
      <w:marLeft w:val="0"/>
      <w:marRight w:val="0"/>
      <w:marTop w:val="0"/>
      <w:marBottom w:val="0"/>
      <w:divBdr>
        <w:top w:val="none" w:sz="0" w:space="0" w:color="auto"/>
        <w:left w:val="none" w:sz="0" w:space="0" w:color="auto"/>
        <w:bottom w:val="none" w:sz="0" w:space="0" w:color="auto"/>
        <w:right w:val="none" w:sz="0" w:space="0" w:color="auto"/>
      </w:divBdr>
    </w:div>
    <w:div w:id="849485620">
      <w:bodyDiv w:val="1"/>
      <w:marLeft w:val="0"/>
      <w:marRight w:val="0"/>
      <w:marTop w:val="0"/>
      <w:marBottom w:val="0"/>
      <w:divBdr>
        <w:top w:val="none" w:sz="0" w:space="0" w:color="auto"/>
        <w:left w:val="none" w:sz="0" w:space="0" w:color="auto"/>
        <w:bottom w:val="none" w:sz="0" w:space="0" w:color="auto"/>
        <w:right w:val="none" w:sz="0" w:space="0" w:color="auto"/>
      </w:divBdr>
    </w:div>
    <w:div w:id="850799766">
      <w:bodyDiv w:val="1"/>
      <w:marLeft w:val="0"/>
      <w:marRight w:val="0"/>
      <w:marTop w:val="0"/>
      <w:marBottom w:val="0"/>
      <w:divBdr>
        <w:top w:val="none" w:sz="0" w:space="0" w:color="auto"/>
        <w:left w:val="none" w:sz="0" w:space="0" w:color="auto"/>
        <w:bottom w:val="none" w:sz="0" w:space="0" w:color="auto"/>
        <w:right w:val="none" w:sz="0" w:space="0" w:color="auto"/>
      </w:divBdr>
    </w:div>
    <w:div w:id="877283595">
      <w:bodyDiv w:val="1"/>
      <w:marLeft w:val="0"/>
      <w:marRight w:val="0"/>
      <w:marTop w:val="0"/>
      <w:marBottom w:val="0"/>
      <w:divBdr>
        <w:top w:val="none" w:sz="0" w:space="0" w:color="auto"/>
        <w:left w:val="none" w:sz="0" w:space="0" w:color="auto"/>
        <w:bottom w:val="none" w:sz="0" w:space="0" w:color="auto"/>
        <w:right w:val="none" w:sz="0" w:space="0" w:color="auto"/>
      </w:divBdr>
    </w:div>
    <w:div w:id="879394116">
      <w:bodyDiv w:val="1"/>
      <w:marLeft w:val="0"/>
      <w:marRight w:val="0"/>
      <w:marTop w:val="0"/>
      <w:marBottom w:val="0"/>
      <w:divBdr>
        <w:top w:val="none" w:sz="0" w:space="0" w:color="auto"/>
        <w:left w:val="none" w:sz="0" w:space="0" w:color="auto"/>
        <w:bottom w:val="none" w:sz="0" w:space="0" w:color="auto"/>
        <w:right w:val="none" w:sz="0" w:space="0" w:color="auto"/>
      </w:divBdr>
    </w:div>
    <w:div w:id="886183249">
      <w:bodyDiv w:val="1"/>
      <w:marLeft w:val="0"/>
      <w:marRight w:val="0"/>
      <w:marTop w:val="0"/>
      <w:marBottom w:val="0"/>
      <w:divBdr>
        <w:top w:val="none" w:sz="0" w:space="0" w:color="auto"/>
        <w:left w:val="none" w:sz="0" w:space="0" w:color="auto"/>
        <w:bottom w:val="none" w:sz="0" w:space="0" w:color="auto"/>
        <w:right w:val="none" w:sz="0" w:space="0" w:color="auto"/>
      </w:divBdr>
    </w:div>
    <w:div w:id="898783228">
      <w:bodyDiv w:val="1"/>
      <w:marLeft w:val="0"/>
      <w:marRight w:val="0"/>
      <w:marTop w:val="0"/>
      <w:marBottom w:val="0"/>
      <w:divBdr>
        <w:top w:val="none" w:sz="0" w:space="0" w:color="auto"/>
        <w:left w:val="none" w:sz="0" w:space="0" w:color="auto"/>
        <w:bottom w:val="none" w:sz="0" w:space="0" w:color="auto"/>
        <w:right w:val="none" w:sz="0" w:space="0" w:color="auto"/>
      </w:divBdr>
    </w:div>
    <w:div w:id="899555655">
      <w:bodyDiv w:val="1"/>
      <w:marLeft w:val="0"/>
      <w:marRight w:val="0"/>
      <w:marTop w:val="0"/>
      <w:marBottom w:val="0"/>
      <w:divBdr>
        <w:top w:val="none" w:sz="0" w:space="0" w:color="auto"/>
        <w:left w:val="none" w:sz="0" w:space="0" w:color="auto"/>
        <w:bottom w:val="none" w:sz="0" w:space="0" w:color="auto"/>
        <w:right w:val="none" w:sz="0" w:space="0" w:color="auto"/>
      </w:divBdr>
    </w:div>
    <w:div w:id="926501336">
      <w:bodyDiv w:val="1"/>
      <w:marLeft w:val="0"/>
      <w:marRight w:val="0"/>
      <w:marTop w:val="0"/>
      <w:marBottom w:val="0"/>
      <w:divBdr>
        <w:top w:val="none" w:sz="0" w:space="0" w:color="auto"/>
        <w:left w:val="none" w:sz="0" w:space="0" w:color="auto"/>
        <w:bottom w:val="none" w:sz="0" w:space="0" w:color="auto"/>
        <w:right w:val="none" w:sz="0" w:space="0" w:color="auto"/>
      </w:divBdr>
    </w:div>
    <w:div w:id="930695928">
      <w:bodyDiv w:val="1"/>
      <w:marLeft w:val="0"/>
      <w:marRight w:val="0"/>
      <w:marTop w:val="0"/>
      <w:marBottom w:val="0"/>
      <w:divBdr>
        <w:top w:val="none" w:sz="0" w:space="0" w:color="auto"/>
        <w:left w:val="none" w:sz="0" w:space="0" w:color="auto"/>
        <w:bottom w:val="none" w:sz="0" w:space="0" w:color="auto"/>
        <w:right w:val="none" w:sz="0" w:space="0" w:color="auto"/>
      </w:divBdr>
    </w:div>
    <w:div w:id="945189676">
      <w:bodyDiv w:val="1"/>
      <w:marLeft w:val="0"/>
      <w:marRight w:val="0"/>
      <w:marTop w:val="0"/>
      <w:marBottom w:val="0"/>
      <w:divBdr>
        <w:top w:val="none" w:sz="0" w:space="0" w:color="auto"/>
        <w:left w:val="none" w:sz="0" w:space="0" w:color="auto"/>
        <w:bottom w:val="none" w:sz="0" w:space="0" w:color="auto"/>
        <w:right w:val="none" w:sz="0" w:space="0" w:color="auto"/>
      </w:divBdr>
    </w:div>
    <w:div w:id="948043974">
      <w:bodyDiv w:val="1"/>
      <w:marLeft w:val="0"/>
      <w:marRight w:val="0"/>
      <w:marTop w:val="0"/>
      <w:marBottom w:val="0"/>
      <w:divBdr>
        <w:top w:val="none" w:sz="0" w:space="0" w:color="auto"/>
        <w:left w:val="none" w:sz="0" w:space="0" w:color="auto"/>
        <w:bottom w:val="none" w:sz="0" w:space="0" w:color="auto"/>
        <w:right w:val="none" w:sz="0" w:space="0" w:color="auto"/>
      </w:divBdr>
    </w:div>
    <w:div w:id="948044756">
      <w:bodyDiv w:val="1"/>
      <w:marLeft w:val="0"/>
      <w:marRight w:val="0"/>
      <w:marTop w:val="0"/>
      <w:marBottom w:val="0"/>
      <w:divBdr>
        <w:top w:val="none" w:sz="0" w:space="0" w:color="auto"/>
        <w:left w:val="none" w:sz="0" w:space="0" w:color="auto"/>
        <w:bottom w:val="none" w:sz="0" w:space="0" w:color="auto"/>
        <w:right w:val="none" w:sz="0" w:space="0" w:color="auto"/>
      </w:divBdr>
    </w:div>
    <w:div w:id="954095194">
      <w:bodyDiv w:val="1"/>
      <w:marLeft w:val="0"/>
      <w:marRight w:val="0"/>
      <w:marTop w:val="0"/>
      <w:marBottom w:val="0"/>
      <w:divBdr>
        <w:top w:val="none" w:sz="0" w:space="0" w:color="auto"/>
        <w:left w:val="none" w:sz="0" w:space="0" w:color="auto"/>
        <w:bottom w:val="none" w:sz="0" w:space="0" w:color="auto"/>
        <w:right w:val="none" w:sz="0" w:space="0" w:color="auto"/>
      </w:divBdr>
    </w:div>
    <w:div w:id="972104598">
      <w:bodyDiv w:val="1"/>
      <w:marLeft w:val="0"/>
      <w:marRight w:val="0"/>
      <w:marTop w:val="0"/>
      <w:marBottom w:val="0"/>
      <w:divBdr>
        <w:top w:val="none" w:sz="0" w:space="0" w:color="auto"/>
        <w:left w:val="none" w:sz="0" w:space="0" w:color="auto"/>
        <w:bottom w:val="none" w:sz="0" w:space="0" w:color="auto"/>
        <w:right w:val="none" w:sz="0" w:space="0" w:color="auto"/>
      </w:divBdr>
    </w:div>
    <w:div w:id="974480641">
      <w:bodyDiv w:val="1"/>
      <w:marLeft w:val="0"/>
      <w:marRight w:val="0"/>
      <w:marTop w:val="0"/>
      <w:marBottom w:val="0"/>
      <w:divBdr>
        <w:top w:val="none" w:sz="0" w:space="0" w:color="auto"/>
        <w:left w:val="none" w:sz="0" w:space="0" w:color="auto"/>
        <w:bottom w:val="none" w:sz="0" w:space="0" w:color="auto"/>
        <w:right w:val="none" w:sz="0" w:space="0" w:color="auto"/>
      </w:divBdr>
    </w:div>
    <w:div w:id="980038243">
      <w:bodyDiv w:val="1"/>
      <w:marLeft w:val="0"/>
      <w:marRight w:val="0"/>
      <w:marTop w:val="0"/>
      <w:marBottom w:val="0"/>
      <w:divBdr>
        <w:top w:val="none" w:sz="0" w:space="0" w:color="auto"/>
        <w:left w:val="none" w:sz="0" w:space="0" w:color="auto"/>
        <w:bottom w:val="none" w:sz="0" w:space="0" w:color="auto"/>
        <w:right w:val="none" w:sz="0" w:space="0" w:color="auto"/>
      </w:divBdr>
    </w:div>
    <w:div w:id="980309541">
      <w:bodyDiv w:val="1"/>
      <w:marLeft w:val="0"/>
      <w:marRight w:val="0"/>
      <w:marTop w:val="0"/>
      <w:marBottom w:val="0"/>
      <w:divBdr>
        <w:top w:val="none" w:sz="0" w:space="0" w:color="auto"/>
        <w:left w:val="none" w:sz="0" w:space="0" w:color="auto"/>
        <w:bottom w:val="none" w:sz="0" w:space="0" w:color="auto"/>
        <w:right w:val="none" w:sz="0" w:space="0" w:color="auto"/>
      </w:divBdr>
    </w:div>
    <w:div w:id="989676903">
      <w:bodyDiv w:val="1"/>
      <w:marLeft w:val="0"/>
      <w:marRight w:val="0"/>
      <w:marTop w:val="0"/>
      <w:marBottom w:val="0"/>
      <w:divBdr>
        <w:top w:val="none" w:sz="0" w:space="0" w:color="auto"/>
        <w:left w:val="none" w:sz="0" w:space="0" w:color="auto"/>
        <w:bottom w:val="none" w:sz="0" w:space="0" w:color="auto"/>
        <w:right w:val="none" w:sz="0" w:space="0" w:color="auto"/>
      </w:divBdr>
      <w:divsChild>
        <w:div w:id="958100596">
          <w:marLeft w:val="1440"/>
          <w:marRight w:val="0"/>
          <w:marTop w:val="96"/>
          <w:marBottom w:val="0"/>
          <w:divBdr>
            <w:top w:val="none" w:sz="0" w:space="0" w:color="auto"/>
            <w:left w:val="none" w:sz="0" w:space="0" w:color="auto"/>
            <w:bottom w:val="none" w:sz="0" w:space="0" w:color="auto"/>
            <w:right w:val="none" w:sz="0" w:space="0" w:color="auto"/>
          </w:divBdr>
        </w:div>
      </w:divsChild>
    </w:div>
    <w:div w:id="997617271">
      <w:bodyDiv w:val="1"/>
      <w:marLeft w:val="0"/>
      <w:marRight w:val="0"/>
      <w:marTop w:val="0"/>
      <w:marBottom w:val="0"/>
      <w:divBdr>
        <w:top w:val="none" w:sz="0" w:space="0" w:color="auto"/>
        <w:left w:val="none" w:sz="0" w:space="0" w:color="auto"/>
        <w:bottom w:val="none" w:sz="0" w:space="0" w:color="auto"/>
        <w:right w:val="none" w:sz="0" w:space="0" w:color="auto"/>
      </w:divBdr>
    </w:div>
    <w:div w:id="999115300">
      <w:bodyDiv w:val="1"/>
      <w:marLeft w:val="0"/>
      <w:marRight w:val="0"/>
      <w:marTop w:val="0"/>
      <w:marBottom w:val="0"/>
      <w:divBdr>
        <w:top w:val="none" w:sz="0" w:space="0" w:color="auto"/>
        <w:left w:val="none" w:sz="0" w:space="0" w:color="auto"/>
        <w:bottom w:val="none" w:sz="0" w:space="0" w:color="auto"/>
        <w:right w:val="none" w:sz="0" w:space="0" w:color="auto"/>
      </w:divBdr>
    </w:div>
    <w:div w:id="1001006970">
      <w:bodyDiv w:val="1"/>
      <w:marLeft w:val="0"/>
      <w:marRight w:val="0"/>
      <w:marTop w:val="0"/>
      <w:marBottom w:val="0"/>
      <w:divBdr>
        <w:top w:val="none" w:sz="0" w:space="0" w:color="auto"/>
        <w:left w:val="none" w:sz="0" w:space="0" w:color="auto"/>
        <w:bottom w:val="none" w:sz="0" w:space="0" w:color="auto"/>
        <w:right w:val="none" w:sz="0" w:space="0" w:color="auto"/>
      </w:divBdr>
      <w:divsChild>
        <w:div w:id="421950491">
          <w:marLeft w:val="0"/>
          <w:marRight w:val="0"/>
          <w:marTop w:val="0"/>
          <w:marBottom w:val="0"/>
          <w:divBdr>
            <w:top w:val="none" w:sz="0" w:space="0" w:color="auto"/>
            <w:left w:val="none" w:sz="0" w:space="0" w:color="auto"/>
            <w:bottom w:val="none" w:sz="0" w:space="0" w:color="auto"/>
            <w:right w:val="none" w:sz="0" w:space="0" w:color="auto"/>
          </w:divBdr>
        </w:div>
        <w:div w:id="506021808">
          <w:marLeft w:val="0"/>
          <w:marRight w:val="0"/>
          <w:marTop w:val="0"/>
          <w:marBottom w:val="0"/>
          <w:divBdr>
            <w:top w:val="none" w:sz="0" w:space="0" w:color="auto"/>
            <w:left w:val="none" w:sz="0" w:space="0" w:color="auto"/>
            <w:bottom w:val="none" w:sz="0" w:space="0" w:color="auto"/>
            <w:right w:val="none" w:sz="0" w:space="0" w:color="auto"/>
          </w:divBdr>
        </w:div>
        <w:div w:id="526530031">
          <w:marLeft w:val="0"/>
          <w:marRight w:val="0"/>
          <w:marTop w:val="0"/>
          <w:marBottom w:val="0"/>
          <w:divBdr>
            <w:top w:val="none" w:sz="0" w:space="0" w:color="auto"/>
            <w:left w:val="none" w:sz="0" w:space="0" w:color="auto"/>
            <w:bottom w:val="none" w:sz="0" w:space="0" w:color="auto"/>
            <w:right w:val="none" w:sz="0" w:space="0" w:color="auto"/>
          </w:divBdr>
        </w:div>
        <w:div w:id="669913587">
          <w:marLeft w:val="0"/>
          <w:marRight w:val="0"/>
          <w:marTop w:val="0"/>
          <w:marBottom w:val="0"/>
          <w:divBdr>
            <w:top w:val="none" w:sz="0" w:space="0" w:color="auto"/>
            <w:left w:val="none" w:sz="0" w:space="0" w:color="auto"/>
            <w:bottom w:val="none" w:sz="0" w:space="0" w:color="auto"/>
            <w:right w:val="none" w:sz="0" w:space="0" w:color="auto"/>
          </w:divBdr>
        </w:div>
        <w:div w:id="698117815">
          <w:marLeft w:val="0"/>
          <w:marRight w:val="0"/>
          <w:marTop w:val="0"/>
          <w:marBottom w:val="0"/>
          <w:divBdr>
            <w:top w:val="none" w:sz="0" w:space="0" w:color="auto"/>
            <w:left w:val="none" w:sz="0" w:space="0" w:color="auto"/>
            <w:bottom w:val="none" w:sz="0" w:space="0" w:color="auto"/>
            <w:right w:val="none" w:sz="0" w:space="0" w:color="auto"/>
          </w:divBdr>
        </w:div>
        <w:div w:id="1534266577">
          <w:marLeft w:val="0"/>
          <w:marRight w:val="0"/>
          <w:marTop w:val="0"/>
          <w:marBottom w:val="0"/>
          <w:divBdr>
            <w:top w:val="none" w:sz="0" w:space="0" w:color="auto"/>
            <w:left w:val="none" w:sz="0" w:space="0" w:color="auto"/>
            <w:bottom w:val="none" w:sz="0" w:space="0" w:color="auto"/>
            <w:right w:val="none" w:sz="0" w:space="0" w:color="auto"/>
          </w:divBdr>
        </w:div>
      </w:divsChild>
    </w:div>
    <w:div w:id="1004014666">
      <w:bodyDiv w:val="1"/>
      <w:marLeft w:val="0"/>
      <w:marRight w:val="0"/>
      <w:marTop w:val="0"/>
      <w:marBottom w:val="0"/>
      <w:divBdr>
        <w:top w:val="none" w:sz="0" w:space="0" w:color="auto"/>
        <w:left w:val="none" w:sz="0" w:space="0" w:color="auto"/>
        <w:bottom w:val="none" w:sz="0" w:space="0" w:color="auto"/>
        <w:right w:val="none" w:sz="0" w:space="0" w:color="auto"/>
      </w:divBdr>
    </w:div>
    <w:div w:id="1007095126">
      <w:bodyDiv w:val="1"/>
      <w:marLeft w:val="0"/>
      <w:marRight w:val="0"/>
      <w:marTop w:val="0"/>
      <w:marBottom w:val="0"/>
      <w:divBdr>
        <w:top w:val="none" w:sz="0" w:space="0" w:color="auto"/>
        <w:left w:val="none" w:sz="0" w:space="0" w:color="auto"/>
        <w:bottom w:val="none" w:sz="0" w:space="0" w:color="auto"/>
        <w:right w:val="none" w:sz="0" w:space="0" w:color="auto"/>
      </w:divBdr>
    </w:div>
    <w:div w:id="1013724972">
      <w:bodyDiv w:val="1"/>
      <w:marLeft w:val="0"/>
      <w:marRight w:val="0"/>
      <w:marTop w:val="0"/>
      <w:marBottom w:val="0"/>
      <w:divBdr>
        <w:top w:val="none" w:sz="0" w:space="0" w:color="auto"/>
        <w:left w:val="none" w:sz="0" w:space="0" w:color="auto"/>
        <w:bottom w:val="none" w:sz="0" w:space="0" w:color="auto"/>
        <w:right w:val="none" w:sz="0" w:space="0" w:color="auto"/>
      </w:divBdr>
    </w:div>
    <w:div w:id="1033850256">
      <w:bodyDiv w:val="1"/>
      <w:marLeft w:val="0"/>
      <w:marRight w:val="0"/>
      <w:marTop w:val="0"/>
      <w:marBottom w:val="0"/>
      <w:divBdr>
        <w:top w:val="none" w:sz="0" w:space="0" w:color="auto"/>
        <w:left w:val="none" w:sz="0" w:space="0" w:color="auto"/>
        <w:bottom w:val="none" w:sz="0" w:space="0" w:color="auto"/>
        <w:right w:val="none" w:sz="0" w:space="0" w:color="auto"/>
      </w:divBdr>
      <w:divsChild>
        <w:div w:id="91972985">
          <w:marLeft w:val="0"/>
          <w:marRight w:val="0"/>
          <w:marTop w:val="0"/>
          <w:marBottom w:val="0"/>
          <w:divBdr>
            <w:top w:val="none" w:sz="0" w:space="0" w:color="auto"/>
            <w:left w:val="none" w:sz="0" w:space="0" w:color="auto"/>
            <w:bottom w:val="none" w:sz="0" w:space="0" w:color="auto"/>
            <w:right w:val="none" w:sz="0" w:space="0" w:color="auto"/>
          </w:divBdr>
        </w:div>
        <w:div w:id="115877314">
          <w:marLeft w:val="0"/>
          <w:marRight w:val="0"/>
          <w:marTop w:val="0"/>
          <w:marBottom w:val="0"/>
          <w:divBdr>
            <w:top w:val="none" w:sz="0" w:space="0" w:color="auto"/>
            <w:left w:val="none" w:sz="0" w:space="0" w:color="auto"/>
            <w:bottom w:val="none" w:sz="0" w:space="0" w:color="auto"/>
            <w:right w:val="none" w:sz="0" w:space="0" w:color="auto"/>
          </w:divBdr>
          <w:divsChild>
            <w:div w:id="605231332">
              <w:marLeft w:val="0"/>
              <w:marRight w:val="0"/>
              <w:marTop w:val="0"/>
              <w:marBottom w:val="0"/>
              <w:divBdr>
                <w:top w:val="none" w:sz="0" w:space="0" w:color="auto"/>
                <w:left w:val="none" w:sz="0" w:space="0" w:color="auto"/>
                <w:bottom w:val="none" w:sz="0" w:space="0" w:color="auto"/>
                <w:right w:val="none" w:sz="0" w:space="0" w:color="auto"/>
              </w:divBdr>
            </w:div>
            <w:div w:id="1169247899">
              <w:marLeft w:val="0"/>
              <w:marRight w:val="0"/>
              <w:marTop w:val="0"/>
              <w:marBottom w:val="0"/>
              <w:divBdr>
                <w:top w:val="none" w:sz="0" w:space="0" w:color="auto"/>
                <w:left w:val="none" w:sz="0" w:space="0" w:color="auto"/>
                <w:bottom w:val="none" w:sz="0" w:space="0" w:color="auto"/>
                <w:right w:val="none" w:sz="0" w:space="0" w:color="auto"/>
              </w:divBdr>
            </w:div>
            <w:div w:id="1770587423">
              <w:marLeft w:val="0"/>
              <w:marRight w:val="0"/>
              <w:marTop w:val="0"/>
              <w:marBottom w:val="0"/>
              <w:divBdr>
                <w:top w:val="none" w:sz="0" w:space="0" w:color="auto"/>
                <w:left w:val="none" w:sz="0" w:space="0" w:color="auto"/>
                <w:bottom w:val="none" w:sz="0" w:space="0" w:color="auto"/>
                <w:right w:val="none" w:sz="0" w:space="0" w:color="auto"/>
              </w:divBdr>
            </w:div>
            <w:div w:id="1801261387">
              <w:marLeft w:val="0"/>
              <w:marRight w:val="0"/>
              <w:marTop w:val="0"/>
              <w:marBottom w:val="0"/>
              <w:divBdr>
                <w:top w:val="none" w:sz="0" w:space="0" w:color="auto"/>
                <w:left w:val="none" w:sz="0" w:space="0" w:color="auto"/>
                <w:bottom w:val="none" w:sz="0" w:space="0" w:color="auto"/>
                <w:right w:val="none" w:sz="0" w:space="0" w:color="auto"/>
              </w:divBdr>
            </w:div>
            <w:div w:id="1928923058">
              <w:marLeft w:val="0"/>
              <w:marRight w:val="0"/>
              <w:marTop w:val="0"/>
              <w:marBottom w:val="0"/>
              <w:divBdr>
                <w:top w:val="none" w:sz="0" w:space="0" w:color="auto"/>
                <w:left w:val="none" w:sz="0" w:space="0" w:color="auto"/>
                <w:bottom w:val="none" w:sz="0" w:space="0" w:color="auto"/>
                <w:right w:val="none" w:sz="0" w:space="0" w:color="auto"/>
              </w:divBdr>
            </w:div>
          </w:divsChild>
        </w:div>
        <w:div w:id="174271162">
          <w:marLeft w:val="0"/>
          <w:marRight w:val="0"/>
          <w:marTop w:val="0"/>
          <w:marBottom w:val="0"/>
          <w:divBdr>
            <w:top w:val="none" w:sz="0" w:space="0" w:color="auto"/>
            <w:left w:val="none" w:sz="0" w:space="0" w:color="auto"/>
            <w:bottom w:val="none" w:sz="0" w:space="0" w:color="auto"/>
            <w:right w:val="none" w:sz="0" w:space="0" w:color="auto"/>
          </w:divBdr>
        </w:div>
        <w:div w:id="183633843">
          <w:marLeft w:val="0"/>
          <w:marRight w:val="0"/>
          <w:marTop w:val="0"/>
          <w:marBottom w:val="0"/>
          <w:divBdr>
            <w:top w:val="none" w:sz="0" w:space="0" w:color="auto"/>
            <w:left w:val="none" w:sz="0" w:space="0" w:color="auto"/>
            <w:bottom w:val="none" w:sz="0" w:space="0" w:color="auto"/>
            <w:right w:val="none" w:sz="0" w:space="0" w:color="auto"/>
          </w:divBdr>
        </w:div>
        <w:div w:id="196161120">
          <w:marLeft w:val="0"/>
          <w:marRight w:val="0"/>
          <w:marTop w:val="0"/>
          <w:marBottom w:val="0"/>
          <w:divBdr>
            <w:top w:val="none" w:sz="0" w:space="0" w:color="auto"/>
            <w:left w:val="none" w:sz="0" w:space="0" w:color="auto"/>
            <w:bottom w:val="none" w:sz="0" w:space="0" w:color="auto"/>
            <w:right w:val="none" w:sz="0" w:space="0" w:color="auto"/>
          </w:divBdr>
        </w:div>
        <w:div w:id="212468997">
          <w:marLeft w:val="0"/>
          <w:marRight w:val="0"/>
          <w:marTop w:val="0"/>
          <w:marBottom w:val="0"/>
          <w:divBdr>
            <w:top w:val="none" w:sz="0" w:space="0" w:color="auto"/>
            <w:left w:val="none" w:sz="0" w:space="0" w:color="auto"/>
            <w:bottom w:val="none" w:sz="0" w:space="0" w:color="auto"/>
            <w:right w:val="none" w:sz="0" w:space="0" w:color="auto"/>
          </w:divBdr>
        </w:div>
        <w:div w:id="240718423">
          <w:marLeft w:val="0"/>
          <w:marRight w:val="0"/>
          <w:marTop w:val="0"/>
          <w:marBottom w:val="0"/>
          <w:divBdr>
            <w:top w:val="none" w:sz="0" w:space="0" w:color="auto"/>
            <w:left w:val="none" w:sz="0" w:space="0" w:color="auto"/>
            <w:bottom w:val="none" w:sz="0" w:space="0" w:color="auto"/>
            <w:right w:val="none" w:sz="0" w:space="0" w:color="auto"/>
          </w:divBdr>
        </w:div>
        <w:div w:id="280840727">
          <w:marLeft w:val="0"/>
          <w:marRight w:val="0"/>
          <w:marTop w:val="0"/>
          <w:marBottom w:val="0"/>
          <w:divBdr>
            <w:top w:val="none" w:sz="0" w:space="0" w:color="auto"/>
            <w:left w:val="none" w:sz="0" w:space="0" w:color="auto"/>
            <w:bottom w:val="none" w:sz="0" w:space="0" w:color="auto"/>
            <w:right w:val="none" w:sz="0" w:space="0" w:color="auto"/>
          </w:divBdr>
        </w:div>
        <w:div w:id="285814675">
          <w:marLeft w:val="0"/>
          <w:marRight w:val="0"/>
          <w:marTop w:val="0"/>
          <w:marBottom w:val="0"/>
          <w:divBdr>
            <w:top w:val="none" w:sz="0" w:space="0" w:color="auto"/>
            <w:left w:val="none" w:sz="0" w:space="0" w:color="auto"/>
            <w:bottom w:val="none" w:sz="0" w:space="0" w:color="auto"/>
            <w:right w:val="none" w:sz="0" w:space="0" w:color="auto"/>
          </w:divBdr>
        </w:div>
        <w:div w:id="397635212">
          <w:marLeft w:val="0"/>
          <w:marRight w:val="0"/>
          <w:marTop w:val="0"/>
          <w:marBottom w:val="0"/>
          <w:divBdr>
            <w:top w:val="none" w:sz="0" w:space="0" w:color="auto"/>
            <w:left w:val="none" w:sz="0" w:space="0" w:color="auto"/>
            <w:bottom w:val="none" w:sz="0" w:space="0" w:color="auto"/>
            <w:right w:val="none" w:sz="0" w:space="0" w:color="auto"/>
          </w:divBdr>
          <w:divsChild>
            <w:div w:id="387919696">
              <w:marLeft w:val="0"/>
              <w:marRight w:val="0"/>
              <w:marTop w:val="0"/>
              <w:marBottom w:val="0"/>
              <w:divBdr>
                <w:top w:val="none" w:sz="0" w:space="0" w:color="auto"/>
                <w:left w:val="none" w:sz="0" w:space="0" w:color="auto"/>
                <w:bottom w:val="none" w:sz="0" w:space="0" w:color="auto"/>
                <w:right w:val="none" w:sz="0" w:space="0" w:color="auto"/>
              </w:divBdr>
            </w:div>
            <w:div w:id="612328568">
              <w:marLeft w:val="0"/>
              <w:marRight w:val="0"/>
              <w:marTop w:val="0"/>
              <w:marBottom w:val="0"/>
              <w:divBdr>
                <w:top w:val="none" w:sz="0" w:space="0" w:color="auto"/>
                <w:left w:val="none" w:sz="0" w:space="0" w:color="auto"/>
                <w:bottom w:val="none" w:sz="0" w:space="0" w:color="auto"/>
                <w:right w:val="none" w:sz="0" w:space="0" w:color="auto"/>
              </w:divBdr>
            </w:div>
            <w:div w:id="1665626754">
              <w:marLeft w:val="0"/>
              <w:marRight w:val="0"/>
              <w:marTop w:val="0"/>
              <w:marBottom w:val="0"/>
              <w:divBdr>
                <w:top w:val="none" w:sz="0" w:space="0" w:color="auto"/>
                <w:left w:val="none" w:sz="0" w:space="0" w:color="auto"/>
                <w:bottom w:val="none" w:sz="0" w:space="0" w:color="auto"/>
                <w:right w:val="none" w:sz="0" w:space="0" w:color="auto"/>
              </w:divBdr>
            </w:div>
            <w:div w:id="1997686069">
              <w:marLeft w:val="0"/>
              <w:marRight w:val="0"/>
              <w:marTop w:val="0"/>
              <w:marBottom w:val="0"/>
              <w:divBdr>
                <w:top w:val="none" w:sz="0" w:space="0" w:color="auto"/>
                <w:left w:val="none" w:sz="0" w:space="0" w:color="auto"/>
                <w:bottom w:val="none" w:sz="0" w:space="0" w:color="auto"/>
                <w:right w:val="none" w:sz="0" w:space="0" w:color="auto"/>
              </w:divBdr>
            </w:div>
            <w:div w:id="2053458879">
              <w:marLeft w:val="0"/>
              <w:marRight w:val="0"/>
              <w:marTop w:val="0"/>
              <w:marBottom w:val="0"/>
              <w:divBdr>
                <w:top w:val="none" w:sz="0" w:space="0" w:color="auto"/>
                <w:left w:val="none" w:sz="0" w:space="0" w:color="auto"/>
                <w:bottom w:val="none" w:sz="0" w:space="0" w:color="auto"/>
                <w:right w:val="none" w:sz="0" w:space="0" w:color="auto"/>
              </w:divBdr>
            </w:div>
          </w:divsChild>
        </w:div>
        <w:div w:id="450318065">
          <w:marLeft w:val="0"/>
          <w:marRight w:val="0"/>
          <w:marTop w:val="0"/>
          <w:marBottom w:val="0"/>
          <w:divBdr>
            <w:top w:val="none" w:sz="0" w:space="0" w:color="auto"/>
            <w:left w:val="none" w:sz="0" w:space="0" w:color="auto"/>
            <w:bottom w:val="none" w:sz="0" w:space="0" w:color="auto"/>
            <w:right w:val="none" w:sz="0" w:space="0" w:color="auto"/>
          </w:divBdr>
        </w:div>
        <w:div w:id="462426613">
          <w:marLeft w:val="0"/>
          <w:marRight w:val="0"/>
          <w:marTop w:val="0"/>
          <w:marBottom w:val="0"/>
          <w:divBdr>
            <w:top w:val="none" w:sz="0" w:space="0" w:color="auto"/>
            <w:left w:val="none" w:sz="0" w:space="0" w:color="auto"/>
            <w:bottom w:val="none" w:sz="0" w:space="0" w:color="auto"/>
            <w:right w:val="none" w:sz="0" w:space="0" w:color="auto"/>
          </w:divBdr>
        </w:div>
        <w:div w:id="463012996">
          <w:marLeft w:val="0"/>
          <w:marRight w:val="0"/>
          <w:marTop w:val="0"/>
          <w:marBottom w:val="0"/>
          <w:divBdr>
            <w:top w:val="none" w:sz="0" w:space="0" w:color="auto"/>
            <w:left w:val="none" w:sz="0" w:space="0" w:color="auto"/>
            <w:bottom w:val="none" w:sz="0" w:space="0" w:color="auto"/>
            <w:right w:val="none" w:sz="0" w:space="0" w:color="auto"/>
          </w:divBdr>
        </w:div>
        <w:div w:id="520364986">
          <w:marLeft w:val="0"/>
          <w:marRight w:val="0"/>
          <w:marTop w:val="0"/>
          <w:marBottom w:val="0"/>
          <w:divBdr>
            <w:top w:val="none" w:sz="0" w:space="0" w:color="auto"/>
            <w:left w:val="none" w:sz="0" w:space="0" w:color="auto"/>
            <w:bottom w:val="none" w:sz="0" w:space="0" w:color="auto"/>
            <w:right w:val="none" w:sz="0" w:space="0" w:color="auto"/>
          </w:divBdr>
        </w:div>
        <w:div w:id="585918637">
          <w:marLeft w:val="0"/>
          <w:marRight w:val="0"/>
          <w:marTop w:val="0"/>
          <w:marBottom w:val="0"/>
          <w:divBdr>
            <w:top w:val="none" w:sz="0" w:space="0" w:color="auto"/>
            <w:left w:val="none" w:sz="0" w:space="0" w:color="auto"/>
            <w:bottom w:val="none" w:sz="0" w:space="0" w:color="auto"/>
            <w:right w:val="none" w:sz="0" w:space="0" w:color="auto"/>
          </w:divBdr>
          <w:divsChild>
            <w:div w:id="778646289">
              <w:marLeft w:val="0"/>
              <w:marRight w:val="0"/>
              <w:marTop w:val="0"/>
              <w:marBottom w:val="0"/>
              <w:divBdr>
                <w:top w:val="none" w:sz="0" w:space="0" w:color="auto"/>
                <w:left w:val="none" w:sz="0" w:space="0" w:color="auto"/>
                <w:bottom w:val="none" w:sz="0" w:space="0" w:color="auto"/>
                <w:right w:val="none" w:sz="0" w:space="0" w:color="auto"/>
              </w:divBdr>
            </w:div>
            <w:div w:id="951865837">
              <w:marLeft w:val="0"/>
              <w:marRight w:val="0"/>
              <w:marTop w:val="0"/>
              <w:marBottom w:val="0"/>
              <w:divBdr>
                <w:top w:val="none" w:sz="0" w:space="0" w:color="auto"/>
                <w:left w:val="none" w:sz="0" w:space="0" w:color="auto"/>
                <w:bottom w:val="none" w:sz="0" w:space="0" w:color="auto"/>
                <w:right w:val="none" w:sz="0" w:space="0" w:color="auto"/>
              </w:divBdr>
            </w:div>
            <w:div w:id="2029064645">
              <w:marLeft w:val="0"/>
              <w:marRight w:val="0"/>
              <w:marTop w:val="0"/>
              <w:marBottom w:val="0"/>
              <w:divBdr>
                <w:top w:val="none" w:sz="0" w:space="0" w:color="auto"/>
                <w:left w:val="none" w:sz="0" w:space="0" w:color="auto"/>
                <w:bottom w:val="none" w:sz="0" w:space="0" w:color="auto"/>
                <w:right w:val="none" w:sz="0" w:space="0" w:color="auto"/>
              </w:divBdr>
            </w:div>
          </w:divsChild>
        </w:div>
        <w:div w:id="683745715">
          <w:marLeft w:val="0"/>
          <w:marRight w:val="0"/>
          <w:marTop w:val="0"/>
          <w:marBottom w:val="0"/>
          <w:divBdr>
            <w:top w:val="none" w:sz="0" w:space="0" w:color="auto"/>
            <w:left w:val="none" w:sz="0" w:space="0" w:color="auto"/>
            <w:bottom w:val="none" w:sz="0" w:space="0" w:color="auto"/>
            <w:right w:val="none" w:sz="0" w:space="0" w:color="auto"/>
          </w:divBdr>
        </w:div>
        <w:div w:id="741827760">
          <w:marLeft w:val="0"/>
          <w:marRight w:val="0"/>
          <w:marTop w:val="0"/>
          <w:marBottom w:val="0"/>
          <w:divBdr>
            <w:top w:val="none" w:sz="0" w:space="0" w:color="auto"/>
            <w:left w:val="none" w:sz="0" w:space="0" w:color="auto"/>
            <w:bottom w:val="none" w:sz="0" w:space="0" w:color="auto"/>
            <w:right w:val="none" w:sz="0" w:space="0" w:color="auto"/>
          </w:divBdr>
        </w:div>
        <w:div w:id="792556664">
          <w:marLeft w:val="0"/>
          <w:marRight w:val="0"/>
          <w:marTop w:val="0"/>
          <w:marBottom w:val="0"/>
          <w:divBdr>
            <w:top w:val="none" w:sz="0" w:space="0" w:color="auto"/>
            <w:left w:val="none" w:sz="0" w:space="0" w:color="auto"/>
            <w:bottom w:val="none" w:sz="0" w:space="0" w:color="auto"/>
            <w:right w:val="none" w:sz="0" w:space="0" w:color="auto"/>
          </w:divBdr>
        </w:div>
        <w:div w:id="822701823">
          <w:marLeft w:val="0"/>
          <w:marRight w:val="0"/>
          <w:marTop w:val="0"/>
          <w:marBottom w:val="0"/>
          <w:divBdr>
            <w:top w:val="none" w:sz="0" w:space="0" w:color="auto"/>
            <w:left w:val="none" w:sz="0" w:space="0" w:color="auto"/>
            <w:bottom w:val="none" w:sz="0" w:space="0" w:color="auto"/>
            <w:right w:val="none" w:sz="0" w:space="0" w:color="auto"/>
          </w:divBdr>
          <w:divsChild>
            <w:div w:id="155267600">
              <w:marLeft w:val="0"/>
              <w:marRight w:val="0"/>
              <w:marTop w:val="0"/>
              <w:marBottom w:val="0"/>
              <w:divBdr>
                <w:top w:val="none" w:sz="0" w:space="0" w:color="auto"/>
                <w:left w:val="none" w:sz="0" w:space="0" w:color="auto"/>
                <w:bottom w:val="none" w:sz="0" w:space="0" w:color="auto"/>
                <w:right w:val="none" w:sz="0" w:space="0" w:color="auto"/>
              </w:divBdr>
            </w:div>
            <w:div w:id="791824233">
              <w:marLeft w:val="0"/>
              <w:marRight w:val="0"/>
              <w:marTop w:val="0"/>
              <w:marBottom w:val="0"/>
              <w:divBdr>
                <w:top w:val="none" w:sz="0" w:space="0" w:color="auto"/>
                <w:left w:val="none" w:sz="0" w:space="0" w:color="auto"/>
                <w:bottom w:val="none" w:sz="0" w:space="0" w:color="auto"/>
                <w:right w:val="none" w:sz="0" w:space="0" w:color="auto"/>
              </w:divBdr>
            </w:div>
            <w:div w:id="867452004">
              <w:marLeft w:val="0"/>
              <w:marRight w:val="0"/>
              <w:marTop w:val="0"/>
              <w:marBottom w:val="0"/>
              <w:divBdr>
                <w:top w:val="none" w:sz="0" w:space="0" w:color="auto"/>
                <w:left w:val="none" w:sz="0" w:space="0" w:color="auto"/>
                <w:bottom w:val="none" w:sz="0" w:space="0" w:color="auto"/>
                <w:right w:val="none" w:sz="0" w:space="0" w:color="auto"/>
              </w:divBdr>
            </w:div>
            <w:div w:id="1565869370">
              <w:marLeft w:val="0"/>
              <w:marRight w:val="0"/>
              <w:marTop w:val="0"/>
              <w:marBottom w:val="0"/>
              <w:divBdr>
                <w:top w:val="none" w:sz="0" w:space="0" w:color="auto"/>
                <w:left w:val="none" w:sz="0" w:space="0" w:color="auto"/>
                <w:bottom w:val="none" w:sz="0" w:space="0" w:color="auto"/>
                <w:right w:val="none" w:sz="0" w:space="0" w:color="auto"/>
              </w:divBdr>
            </w:div>
            <w:div w:id="2119519135">
              <w:marLeft w:val="0"/>
              <w:marRight w:val="0"/>
              <w:marTop w:val="0"/>
              <w:marBottom w:val="0"/>
              <w:divBdr>
                <w:top w:val="none" w:sz="0" w:space="0" w:color="auto"/>
                <w:left w:val="none" w:sz="0" w:space="0" w:color="auto"/>
                <w:bottom w:val="none" w:sz="0" w:space="0" w:color="auto"/>
                <w:right w:val="none" w:sz="0" w:space="0" w:color="auto"/>
              </w:divBdr>
            </w:div>
          </w:divsChild>
        </w:div>
        <w:div w:id="869799056">
          <w:marLeft w:val="0"/>
          <w:marRight w:val="0"/>
          <w:marTop w:val="0"/>
          <w:marBottom w:val="0"/>
          <w:divBdr>
            <w:top w:val="none" w:sz="0" w:space="0" w:color="auto"/>
            <w:left w:val="none" w:sz="0" w:space="0" w:color="auto"/>
            <w:bottom w:val="none" w:sz="0" w:space="0" w:color="auto"/>
            <w:right w:val="none" w:sz="0" w:space="0" w:color="auto"/>
          </w:divBdr>
          <w:divsChild>
            <w:div w:id="137184606">
              <w:marLeft w:val="0"/>
              <w:marRight w:val="0"/>
              <w:marTop w:val="0"/>
              <w:marBottom w:val="0"/>
              <w:divBdr>
                <w:top w:val="none" w:sz="0" w:space="0" w:color="auto"/>
                <w:left w:val="none" w:sz="0" w:space="0" w:color="auto"/>
                <w:bottom w:val="none" w:sz="0" w:space="0" w:color="auto"/>
                <w:right w:val="none" w:sz="0" w:space="0" w:color="auto"/>
              </w:divBdr>
            </w:div>
            <w:div w:id="272245328">
              <w:marLeft w:val="0"/>
              <w:marRight w:val="0"/>
              <w:marTop w:val="0"/>
              <w:marBottom w:val="0"/>
              <w:divBdr>
                <w:top w:val="none" w:sz="0" w:space="0" w:color="auto"/>
                <w:left w:val="none" w:sz="0" w:space="0" w:color="auto"/>
                <w:bottom w:val="none" w:sz="0" w:space="0" w:color="auto"/>
                <w:right w:val="none" w:sz="0" w:space="0" w:color="auto"/>
              </w:divBdr>
            </w:div>
            <w:div w:id="1223977942">
              <w:marLeft w:val="0"/>
              <w:marRight w:val="0"/>
              <w:marTop w:val="0"/>
              <w:marBottom w:val="0"/>
              <w:divBdr>
                <w:top w:val="none" w:sz="0" w:space="0" w:color="auto"/>
                <w:left w:val="none" w:sz="0" w:space="0" w:color="auto"/>
                <w:bottom w:val="none" w:sz="0" w:space="0" w:color="auto"/>
                <w:right w:val="none" w:sz="0" w:space="0" w:color="auto"/>
              </w:divBdr>
            </w:div>
            <w:div w:id="1644118996">
              <w:marLeft w:val="0"/>
              <w:marRight w:val="0"/>
              <w:marTop w:val="0"/>
              <w:marBottom w:val="0"/>
              <w:divBdr>
                <w:top w:val="none" w:sz="0" w:space="0" w:color="auto"/>
                <w:left w:val="none" w:sz="0" w:space="0" w:color="auto"/>
                <w:bottom w:val="none" w:sz="0" w:space="0" w:color="auto"/>
                <w:right w:val="none" w:sz="0" w:space="0" w:color="auto"/>
              </w:divBdr>
            </w:div>
            <w:div w:id="2109736490">
              <w:marLeft w:val="0"/>
              <w:marRight w:val="0"/>
              <w:marTop w:val="0"/>
              <w:marBottom w:val="0"/>
              <w:divBdr>
                <w:top w:val="none" w:sz="0" w:space="0" w:color="auto"/>
                <w:left w:val="none" w:sz="0" w:space="0" w:color="auto"/>
                <w:bottom w:val="none" w:sz="0" w:space="0" w:color="auto"/>
                <w:right w:val="none" w:sz="0" w:space="0" w:color="auto"/>
              </w:divBdr>
            </w:div>
          </w:divsChild>
        </w:div>
        <w:div w:id="888692135">
          <w:marLeft w:val="0"/>
          <w:marRight w:val="0"/>
          <w:marTop w:val="0"/>
          <w:marBottom w:val="0"/>
          <w:divBdr>
            <w:top w:val="none" w:sz="0" w:space="0" w:color="auto"/>
            <w:left w:val="none" w:sz="0" w:space="0" w:color="auto"/>
            <w:bottom w:val="none" w:sz="0" w:space="0" w:color="auto"/>
            <w:right w:val="none" w:sz="0" w:space="0" w:color="auto"/>
          </w:divBdr>
        </w:div>
        <w:div w:id="901327608">
          <w:marLeft w:val="0"/>
          <w:marRight w:val="0"/>
          <w:marTop w:val="0"/>
          <w:marBottom w:val="0"/>
          <w:divBdr>
            <w:top w:val="none" w:sz="0" w:space="0" w:color="auto"/>
            <w:left w:val="none" w:sz="0" w:space="0" w:color="auto"/>
            <w:bottom w:val="none" w:sz="0" w:space="0" w:color="auto"/>
            <w:right w:val="none" w:sz="0" w:space="0" w:color="auto"/>
          </w:divBdr>
        </w:div>
        <w:div w:id="916667962">
          <w:marLeft w:val="0"/>
          <w:marRight w:val="0"/>
          <w:marTop w:val="0"/>
          <w:marBottom w:val="0"/>
          <w:divBdr>
            <w:top w:val="none" w:sz="0" w:space="0" w:color="auto"/>
            <w:left w:val="none" w:sz="0" w:space="0" w:color="auto"/>
            <w:bottom w:val="none" w:sz="0" w:space="0" w:color="auto"/>
            <w:right w:val="none" w:sz="0" w:space="0" w:color="auto"/>
          </w:divBdr>
          <w:divsChild>
            <w:div w:id="576398845">
              <w:marLeft w:val="0"/>
              <w:marRight w:val="0"/>
              <w:marTop w:val="0"/>
              <w:marBottom w:val="0"/>
              <w:divBdr>
                <w:top w:val="none" w:sz="0" w:space="0" w:color="auto"/>
                <w:left w:val="none" w:sz="0" w:space="0" w:color="auto"/>
                <w:bottom w:val="none" w:sz="0" w:space="0" w:color="auto"/>
                <w:right w:val="none" w:sz="0" w:space="0" w:color="auto"/>
              </w:divBdr>
            </w:div>
            <w:div w:id="900365113">
              <w:marLeft w:val="0"/>
              <w:marRight w:val="0"/>
              <w:marTop w:val="0"/>
              <w:marBottom w:val="0"/>
              <w:divBdr>
                <w:top w:val="none" w:sz="0" w:space="0" w:color="auto"/>
                <w:left w:val="none" w:sz="0" w:space="0" w:color="auto"/>
                <w:bottom w:val="none" w:sz="0" w:space="0" w:color="auto"/>
                <w:right w:val="none" w:sz="0" w:space="0" w:color="auto"/>
              </w:divBdr>
            </w:div>
            <w:div w:id="1926066939">
              <w:marLeft w:val="0"/>
              <w:marRight w:val="0"/>
              <w:marTop w:val="0"/>
              <w:marBottom w:val="0"/>
              <w:divBdr>
                <w:top w:val="none" w:sz="0" w:space="0" w:color="auto"/>
                <w:left w:val="none" w:sz="0" w:space="0" w:color="auto"/>
                <w:bottom w:val="none" w:sz="0" w:space="0" w:color="auto"/>
                <w:right w:val="none" w:sz="0" w:space="0" w:color="auto"/>
              </w:divBdr>
            </w:div>
            <w:div w:id="1968001877">
              <w:marLeft w:val="0"/>
              <w:marRight w:val="0"/>
              <w:marTop w:val="0"/>
              <w:marBottom w:val="0"/>
              <w:divBdr>
                <w:top w:val="none" w:sz="0" w:space="0" w:color="auto"/>
                <w:left w:val="none" w:sz="0" w:space="0" w:color="auto"/>
                <w:bottom w:val="none" w:sz="0" w:space="0" w:color="auto"/>
                <w:right w:val="none" w:sz="0" w:space="0" w:color="auto"/>
              </w:divBdr>
            </w:div>
            <w:div w:id="2060324406">
              <w:marLeft w:val="0"/>
              <w:marRight w:val="0"/>
              <w:marTop w:val="0"/>
              <w:marBottom w:val="0"/>
              <w:divBdr>
                <w:top w:val="none" w:sz="0" w:space="0" w:color="auto"/>
                <w:left w:val="none" w:sz="0" w:space="0" w:color="auto"/>
                <w:bottom w:val="none" w:sz="0" w:space="0" w:color="auto"/>
                <w:right w:val="none" w:sz="0" w:space="0" w:color="auto"/>
              </w:divBdr>
            </w:div>
          </w:divsChild>
        </w:div>
        <w:div w:id="948511599">
          <w:marLeft w:val="0"/>
          <w:marRight w:val="0"/>
          <w:marTop w:val="0"/>
          <w:marBottom w:val="0"/>
          <w:divBdr>
            <w:top w:val="none" w:sz="0" w:space="0" w:color="auto"/>
            <w:left w:val="none" w:sz="0" w:space="0" w:color="auto"/>
            <w:bottom w:val="none" w:sz="0" w:space="0" w:color="auto"/>
            <w:right w:val="none" w:sz="0" w:space="0" w:color="auto"/>
          </w:divBdr>
        </w:div>
        <w:div w:id="969089425">
          <w:marLeft w:val="0"/>
          <w:marRight w:val="0"/>
          <w:marTop w:val="0"/>
          <w:marBottom w:val="0"/>
          <w:divBdr>
            <w:top w:val="none" w:sz="0" w:space="0" w:color="auto"/>
            <w:left w:val="none" w:sz="0" w:space="0" w:color="auto"/>
            <w:bottom w:val="none" w:sz="0" w:space="0" w:color="auto"/>
            <w:right w:val="none" w:sz="0" w:space="0" w:color="auto"/>
          </w:divBdr>
          <w:divsChild>
            <w:div w:id="164639672">
              <w:marLeft w:val="0"/>
              <w:marRight w:val="0"/>
              <w:marTop w:val="0"/>
              <w:marBottom w:val="0"/>
              <w:divBdr>
                <w:top w:val="none" w:sz="0" w:space="0" w:color="auto"/>
                <w:left w:val="none" w:sz="0" w:space="0" w:color="auto"/>
                <w:bottom w:val="none" w:sz="0" w:space="0" w:color="auto"/>
                <w:right w:val="none" w:sz="0" w:space="0" w:color="auto"/>
              </w:divBdr>
            </w:div>
            <w:div w:id="270282137">
              <w:marLeft w:val="0"/>
              <w:marRight w:val="0"/>
              <w:marTop w:val="0"/>
              <w:marBottom w:val="0"/>
              <w:divBdr>
                <w:top w:val="none" w:sz="0" w:space="0" w:color="auto"/>
                <w:left w:val="none" w:sz="0" w:space="0" w:color="auto"/>
                <w:bottom w:val="none" w:sz="0" w:space="0" w:color="auto"/>
                <w:right w:val="none" w:sz="0" w:space="0" w:color="auto"/>
              </w:divBdr>
            </w:div>
            <w:div w:id="1359741763">
              <w:marLeft w:val="0"/>
              <w:marRight w:val="0"/>
              <w:marTop w:val="0"/>
              <w:marBottom w:val="0"/>
              <w:divBdr>
                <w:top w:val="none" w:sz="0" w:space="0" w:color="auto"/>
                <w:left w:val="none" w:sz="0" w:space="0" w:color="auto"/>
                <w:bottom w:val="none" w:sz="0" w:space="0" w:color="auto"/>
                <w:right w:val="none" w:sz="0" w:space="0" w:color="auto"/>
              </w:divBdr>
            </w:div>
            <w:div w:id="1513256052">
              <w:marLeft w:val="0"/>
              <w:marRight w:val="0"/>
              <w:marTop w:val="0"/>
              <w:marBottom w:val="0"/>
              <w:divBdr>
                <w:top w:val="none" w:sz="0" w:space="0" w:color="auto"/>
                <w:left w:val="none" w:sz="0" w:space="0" w:color="auto"/>
                <w:bottom w:val="none" w:sz="0" w:space="0" w:color="auto"/>
                <w:right w:val="none" w:sz="0" w:space="0" w:color="auto"/>
              </w:divBdr>
            </w:div>
            <w:div w:id="1903297772">
              <w:marLeft w:val="0"/>
              <w:marRight w:val="0"/>
              <w:marTop w:val="0"/>
              <w:marBottom w:val="0"/>
              <w:divBdr>
                <w:top w:val="none" w:sz="0" w:space="0" w:color="auto"/>
                <w:left w:val="none" w:sz="0" w:space="0" w:color="auto"/>
                <w:bottom w:val="none" w:sz="0" w:space="0" w:color="auto"/>
                <w:right w:val="none" w:sz="0" w:space="0" w:color="auto"/>
              </w:divBdr>
            </w:div>
          </w:divsChild>
        </w:div>
        <w:div w:id="983774082">
          <w:marLeft w:val="0"/>
          <w:marRight w:val="0"/>
          <w:marTop w:val="0"/>
          <w:marBottom w:val="0"/>
          <w:divBdr>
            <w:top w:val="none" w:sz="0" w:space="0" w:color="auto"/>
            <w:left w:val="none" w:sz="0" w:space="0" w:color="auto"/>
            <w:bottom w:val="none" w:sz="0" w:space="0" w:color="auto"/>
            <w:right w:val="none" w:sz="0" w:space="0" w:color="auto"/>
          </w:divBdr>
        </w:div>
        <w:div w:id="995575937">
          <w:marLeft w:val="0"/>
          <w:marRight w:val="0"/>
          <w:marTop w:val="0"/>
          <w:marBottom w:val="0"/>
          <w:divBdr>
            <w:top w:val="none" w:sz="0" w:space="0" w:color="auto"/>
            <w:left w:val="none" w:sz="0" w:space="0" w:color="auto"/>
            <w:bottom w:val="none" w:sz="0" w:space="0" w:color="auto"/>
            <w:right w:val="none" w:sz="0" w:space="0" w:color="auto"/>
          </w:divBdr>
          <w:divsChild>
            <w:div w:id="1065907490">
              <w:marLeft w:val="-75"/>
              <w:marRight w:val="0"/>
              <w:marTop w:val="30"/>
              <w:marBottom w:val="30"/>
              <w:divBdr>
                <w:top w:val="none" w:sz="0" w:space="0" w:color="auto"/>
                <w:left w:val="none" w:sz="0" w:space="0" w:color="auto"/>
                <w:bottom w:val="none" w:sz="0" w:space="0" w:color="auto"/>
                <w:right w:val="none" w:sz="0" w:space="0" w:color="auto"/>
              </w:divBdr>
              <w:divsChild>
                <w:div w:id="253364496">
                  <w:marLeft w:val="0"/>
                  <w:marRight w:val="0"/>
                  <w:marTop w:val="0"/>
                  <w:marBottom w:val="0"/>
                  <w:divBdr>
                    <w:top w:val="none" w:sz="0" w:space="0" w:color="auto"/>
                    <w:left w:val="none" w:sz="0" w:space="0" w:color="auto"/>
                    <w:bottom w:val="none" w:sz="0" w:space="0" w:color="auto"/>
                    <w:right w:val="none" w:sz="0" w:space="0" w:color="auto"/>
                  </w:divBdr>
                  <w:divsChild>
                    <w:div w:id="117144341">
                      <w:marLeft w:val="0"/>
                      <w:marRight w:val="0"/>
                      <w:marTop w:val="0"/>
                      <w:marBottom w:val="0"/>
                      <w:divBdr>
                        <w:top w:val="none" w:sz="0" w:space="0" w:color="auto"/>
                        <w:left w:val="none" w:sz="0" w:space="0" w:color="auto"/>
                        <w:bottom w:val="none" w:sz="0" w:space="0" w:color="auto"/>
                        <w:right w:val="none" w:sz="0" w:space="0" w:color="auto"/>
                      </w:divBdr>
                    </w:div>
                  </w:divsChild>
                </w:div>
                <w:div w:id="331756815">
                  <w:marLeft w:val="0"/>
                  <w:marRight w:val="0"/>
                  <w:marTop w:val="0"/>
                  <w:marBottom w:val="0"/>
                  <w:divBdr>
                    <w:top w:val="none" w:sz="0" w:space="0" w:color="auto"/>
                    <w:left w:val="none" w:sz="0" w:space="0" w:color="auto"/>
                    <w:bottom w:val="none" w:sz="0" w:space="0" w:color="auto"/>
                    <w:right w:val="none" w:sz="0" w:space="0" w:color="auto"/>
                  </w:divBdr>
                  <w:divsChild>
                    <w:div w:id="1272977527">
                      <w:marLeft w:val="0"/>
                      <w:marRight w:val="0"/>
                      <w:marTop w:val="0"/>
                      <w:marBottom w:val="0"/>
                      <w:divBdr>
                        <w:top w:val="none" w:sz="0" w:space="0" w:color="auto"/>
                        <w:left w:val="none" w:sz="0" w:space="0" w:color="auto"/>
                        <w:bottom w:val="none" w:sz="0" w:space="0" w:color="auto"/>
                        <w:right w:val="none" w:sz="0" w:space="0" w:color="auto"/>
                      </w:divBdr>
                    </w:div>
                  </w:divsChild>
                </w:div>
                <w:div w:id="449326724">
                  <w:marLeft w:val="0"/>
                  <w:marRight w:val="0"/>
                  <w:marTop w:val="0"/>
                  <w:marBottom w:val="0"/>
                  <w:divBdr>
                    <w:top w:val="none" w:sz="0" w:space="0" w:color="auto"/>
                    <w:left w:val="none" w:sz="0" w:space="0" w:color="auto"/>
                    <w:bottom w:val="none" w:sz="0" w:space="0" w:color="auto"/>
                    <w:right w:val="none" w:sz="0" w:space="0" w:color="auto"/>
                  </w:divBdr>
                  <w:divsChild>
                    <w:div w:id="927930834">
                      <w:marLeft w:val="0"/>
                      <w:marRight w:val="0"/>
                      <w:marTop w:val="0"/>
                      <w:marBottom w:val="0"/>
                      <w:divBdr>
                        <w:top w:val="none" w:sz="0" w:space="0" w:color="auto"/>
                        <w:left w:val="none" w:sz="0" w:space="0" w:color="auto"/>
                        <w:bottom w:val="none" w:sz="0" w:space="0" w:color="auto"/>
                        <w:right w:val="none" w:sz="0" w:space="0" w:color="auto"/>
                      </w:divBdr>
                    </w:div>
                  </w:divsChild>
                </w:div>
                <w:div w:id="468590625">
                  <w:marLeft w:val="0"/>
                  <w:marRight w:val="0"/>
                  <w:marTop w:val="0"/>
                  <w:marBottom w:val="0"/>
                  <w:divBdr>
                    <w:top w:val="none" w:sz="0" w:space="0" w:color="auto"/>
                    <w:left w:val="none" w:sz="0" w:space="0" w:color="auto"/>
                    <w:bottom w:val="none" w:sz="0" w:space="0" w:color="auto"/>
                    <w:right w:val="none" w:sz="0" w:space="0" w:color="auto"/>
                  </w:divBdr>
                  <w:divsChild>
                    <w:div w:id="634990176">
                      <w:marLeft w:val="0"/>
                      <w:marRight w:val="0"/>
                      <w:marTop w:val="0"/>
                      <w:marBottom w:val="0"/>
                      <w:divBdr>
                        <w:top w:val="none" w:sz="0" w:space="0" w:color="auto"/>
                        <w:left w:val="none" w:sz="0" w:space="0" w:color="auto"/>
                        <w:bottom w:val="none" w:sz="0" w:space="0" w:color="auto"/>
                        <w:right w:val="none" w:sz="0" w:space="0" w:color="auto"/>
                      </w:divBdr>
                    </w:div>
                  </w:divsChild>
                </w:div>
                <w:div w:id="569970705">
                  <w:marLeft w:val="0"/>
                  <w:marRight w:val="0"/>
                  <w:marTop w:val="0"/>
                  <w:marBottom w:val="0"/>
                  <w:divBdr>
                    <w:top w:val="none" w:sz="0" w:space="0" w:color="auto"/>
                    <w:left w:val="none" w:sz="0" w:space="0" w:color="auto"/>
                    <w:bottom w:val="none" w:sz="0" w:space="0" w:color="auto"/>
                    <w:right w:val="none" w:sz="0" w:space="0" w:color="auto"/>
                  </w:divBdr>
                  <w:divsChild>
                    <w:div w:id="678040178">
                      <w:marLeft w:val="0"/>
                      <w:marRight w:val="0"/>
                      <w:marTop w:val="0"/>
                      <w:marBottom w:val="0"/>
                      <w:divBdr>
                        <w:top w:val="none" w:sz="0" w:space="0" w:color="auto"/>
                        <w:left w:val="none" w:sz="0" w:space="0" w:color="auto"/>
                        <w:bottom w:val="none" w:sz="0" w:space="0" w:color="auto"/>
                        <w:right w:val="none" w:sz="0" w:space="0" w:color="auto"/>
                      </w:divBdr>
                    </w:div>
                  </w:divsChild>
                </w:div>
                <w:div w:id="648824813">
                  <w:marLeft w:val="0"/>
                  <w:marRight w:val="0"/>
                  <w:marTop w:val="0"/>
                  <w:marBottom w:val="0"/>
                  <w:divBdr>
                    <w:top w:val="none" w:sz="0" w:space="0" w:color="auto"/>
                    <w:left w:val="none" w:sz="0" w:space="0" w:color="auto"/>
                    <w:bottom w:val="none" w:sz="0" w:space="0" w:color="auto"/>
                    <w:right w:val="none" w:sz="0" w:space="0" w:color="auto"/>
                  </w:divBdr>
                  <w:divsChild>
                    <w:div w:id="916745001">
                      <w:marLeft w:val="0"/>
                      <w:marRight w:val="0"/>
                      <w:marTop w:val="0"/>
                      <w:marBottom w:val="0"/>
                      <w:divBdr>
                        <w:top w:val="none" w:sz="0" w:space="0" w:color="auto"/>
                        <w:left w:val="none" w:sz="0" w:space="0" w:color="auto"/>
                        <w:bottom w:val="none" w:sz="0" w:space="0" w:color="auto"/>
                        <w:right w:val="none" w:sz="0" w:space="0" w:color="auto"/>
                      </w:divBdr>
                    </w:div>
                  </w:divsChild>
                </w:div>
                <w:div w:id="757559067">
                  <w:marLeft w:val="0"/>
                  <w:marRight w:val="0"/>
                  <w:marTop w:val="0"/>
                  <w:marBottom w:val="0"/>
                  <w:divBdr>
                    <w:top w:val="none" w:sz="0" w:space="0" w:color="auto"/>
                    <w:left w:val="none" w:sz="0" w:space="0" w:color="auto"/>
                    <w:bottom w:val="none" w:sz="0" w:space="0" w:color="auto"/>
                    <w:right w:val="none" w:sz="0" w:space="0" w:color="auto"/>
                  </w:divBdr>
                  <w:divsChild>
                    <w:div w:id="858012183">
                      <w:marLeft w:val="0"/>
                      <w:marRight w:val="0"/>
                      <w:marTop w:val="0"/>
                      <w:marBottom w:val="0"/>
                      <w:divBdr>
                        <w:top w:val="none" w:sz="0" w:space="0" w:color="auto"/>
                        <w:left w:val="none" w:sz="0" w:space="0" w:color="auto"/>
                        <w:bottom w:val="none" w:sz="0" w:space="0" w:color="auto"/>
                        <w:right w:val="none" w:sz="0" w:space="0" w:color="auto"/>
                      </w:divBdr>
                    </w:div>
                  </w:divsChild>
                </w:div>
                <w:div w:id="862397166">
                  <w:marLeft w:val="0"/>
                  <w:marRight w:val="0"/>
                  <w:marTop w:val="0"/>
                  <w:marBottom w:val="0"/>
                  <w:divBdr>
                    <w:top w:val="none" w:sz="0" w:space="0" w:color="auto"/>
                    <w:left w:val="none" w:sz="0" w:space="0" w:color="auto"/>
                    <w:bottom w:val="none" w:sz="0" w:space="0" w:color="auto"/>
                    <w:right w:val="none" w:sz="0" w:space="0" w:color="auto"/>
                  </w:divBdr>
                  <w:divsChild>
                    <w:div w:id="1995256787">
                      <w:marLeft w:val="0"/>
                      <w:marRight w:val="0"/>
                      <w:marTop w:val="0"/>
                      <w:marBottom w:val="0"/>
                      <w:divBdr>
                        <w:top w:val="none" w:sz="0" w:space="0" w:color="auto"/>
                        <w:left w:val="none" w:sz="0" w:space="0" w:color="auto"/>
                        <w:bottom w:val="none" w:sz="0" w:space="0" w:color="auto"/>
                        <w:right w:val="none" w:sz="0" w:space="0" w:color="auto"/>
                      </w:divBdr>
                    </w:div>
                  </w:divsChild>
                </w:div>
                <w:div w:id="1081491364">
                  <w:marLeft w:val="0"/>
                  <w:marRight w:val="0"/>
                  <w:marTop w:val="0"/>
                  <w:marBottom w:val="0"/>
                  <w:divBdr>
                    <w:top w:val="none" w:sz="0" w:space="0" w:color="auto"/>
                    <w:left w:val="none" w:sz="0" w:space="0" w:color="auto"/>
                    <w:bottom w:val="none" w:sz="0" w:space="0" w:color="auto"/>
                    <w:right w:val="none" w:sz="0" w:space="0" w:color="auto"/>
                  </w:divBdr>
                  <w:divsChild>
                    <w:div w:id="1698311143">
                      <w:marLeft w:val="0"/>
                      <w:marRight w:val="0"/>
                      <w:marTop w:val="0"/>
                      <w:marBottom w:val="0"/>
                      <w:divBdr>
                        <w:top w:val="none" w:sz="0" w:space="0" w:color="auto"/>
                        <w:left w:val="none" w:sz="0" w:space="0" w:color="auto"/>
                        <w:bottom w:val="none" w:sz="0" w:space="0" w:color="auto"/>
                        <w:right w:val="none" w:sz="0" w:space="0" w:color="auto"/>
                      </w:divBdr>
                    </w:div>
                  </w:divsChild>
                </w:div>
                <w:div w:id="1152405853">
                  <w:marLeft w:val="0"/>
                  <w:marRight w:val="0"/>
                  <w:marTop w:val="0"/>
                  <w:marBottom w:val="0"/>
                  <w:divBdr>
                    <w:top w:val="none" w:sz="0" w:space="0" w:color="auto"/>
                    <w:left w:val="none" w:sz="0" w:space="0" w:color="auto"/>
                    <w:bottom w:val="none" w:sz="0" w:space="0" w:color="auto"/>
                    <w:right w:val="none" w:sz="0" w:space="0" w:color="auto"/>
                  </w:divBdr>
                  <w:divsChild>
                    <w:div w:id="784538287">
                      <w:marLeft w:val="0"/>
                      <w:marRight w:val="0"/>
                      <w:marTop w:val="0"/>
                      <w:marBottom w:val="0"/>
                      <w:divBdr>
                        <w:top w:val="none" w:sz="0" w:space="0" w:color="auto"/>
                        <w:left w:val="none" w:sz="0" w:space="0" w:color="auto"/>
                        <w:bottom w:val="none" w:sz="0" w:space="0" w:color="auto"/>
                        <w:right w:val="none" w:sz="0" w:space="0" w:color="auto"/>
                      </w:divBdr>
                    </w:div>
                  </w:divsChild>
                </w:div>
                <w:div w:id="1177696962">
                  <w:marLeft w:val="0"/>
                  <w:marRight w:val="0"/>
                  <w:marTop w:val="0"/>
                  <w:marBottom w:val="0"/>
                  <w:divBdr>
                    <w:top w:val="none" w:sz="0" w:space="0" w:color="auto"/>
                    <w:left w:val="none" w:sz="0" w:space="0" w:color="auto"/>
                    <w:bottom w:val="none" w:sz="0" w:space="0" w:color="auto"/>
                    <w:right w:val="none" w:sz="0" w:space="0" w:color="auto"/>
                  </w:divBdr>
                  <w:divsChild>
                    <w:div w:id="1202933584">
                      <w:marLeft w:val="0"/>
                      <w:marRight w:val="0"/>
                      <w:marTop w:val="0"/>
                      <w:marBottom w:val="0"/>
                      <w:divBdr>
                        <w:top w:val="none" w:sz="0" w:space="0" w:color="auto"/>
                        <w:left w:val="none" w:sz="0" w:space="0" w:color="auto"/>
                        <w:bottom w:val="none" w:sz="0" w:space="0" w:color="auto"/>
                        <w:right w:val="none" w:sz="0" w:space="0" w:color="auto"/>
                      </w:divBdr>
                    </w:div>
                  </w:divsChild>
                </w:div>
                <w:div w:id="1197500281">
                  <w:marLeft w:val="0"/>
                  <w:marRight w:val="0"/>
                  <w:marTop w:val="0"/>
                  <w:marBottom w:val="0"/>
                  <w:divBdr>
                    <w:top w:val="none" w:sz="0" w:space="0" w:color="auto"/>
                    <w:left w:val="none" w:sz="0" w:space="0" w:color="auto"/>
                    <w:bottom w:val="none" w:sz="0" w:space="0" w:color="auto"/>
                    <w:right w:val="none" w:sz="0" w:space="0" w:color="auto"/>
                  </w:divBdr>
                  <w:divsChild>
                    <w:div w:id="1565094235">
                      <w:marLeft w:val="0"/>
                      <w:marRight w:val="0"/>
                      <w:marTop w:val="0"/>
                      <w:marBottom w:val="0"/>
                      <w:divBdr>
                        <w:top w:val="none" w:sz="0" w:space="0" w:color="auto"/>
                        <w:left w:val="none" w:sz="0" w:space="0" w:color="auto"/>
                        <w:bottom w:val="none" w:sz="0" w:space="0" w:color="auto"/>
                        <w:right w:val="none" w:sz="0" w:space="0" w:color="auto"/>
                      </w:divBdr>
                    </w:div>
                  </w:divsChild>
                </w:div>
                <w:div w:id="1202479688">
                  <w:marLeft w:val="0"/>
                  <w:marRight w:val="0"/>
                  <w:marTop w:val="0"/>
                  <w:marBottom w:val="0"/>
                  <w:divBdr>
                    <w:top w:val="none" w:sz="0" w:space="0" w:color="auto"/>
                    <w:left w:val="none" w:sz="0" w:space="0" w:color="auto"/>
                    <w:bottom w:val="none" w:sz="0" w:space="0" w:color="auto"/>
                    <w:right w:val="none" w:sz="0" w:space="0" w:color="auto"/>
                  </w:divBdr>
                  <w:divsChild>
                    <w:div w:id="64498840">
                      <w:marLeft w:val="0"/>
                      <w:marRight w:val="0"/>
                      <w:marTop w:val="0"/>
                      <w:marBottom w:val="0"/>
                      <w:divBdr>
                        <w:top w:val="none" w:sz="0" w:space="0" w:color="auto"/>
                        <w:left w:val="none" w:sz="0" w:space="0" w:color="auto"/>
                        <w:bottom w:val="none" w:sz="0" w:space="0" w:color="auto"/>
                        <w:right w:val="none" w:sz="0" w:space="0" w:color="auto"/>
                      </w:divBdr>
                    </w:div>
                  </w:divsChild>
                </w:div>
                <w:div w:id="1264798443">
                  <w:marLeft w:val="0"/>
                  <w:marRight w:val="0"/>
                  <w:marTop w:val="0"/>
                  <w:marBottom w:val="0"/>
                  <w:divBdr>
                    <w:top w:val="none" w:sz="0" w:space="0" w:color="auto"/>
                    <w:left w:val="none" w:sz="0" w:space="0" w:color="auto"/>
                    <w:bottom w:val="none" w:sz="0" w:space="0" w:color="auto"/>
                    <w:right w:val="none" w:sz="0" w:space="0" w:color="auto"/>
                  </w:divBdr>
                  <w:divsChild>
                    <w:div w:id="366954002">
                      <w:marLeft w:val="0"/>
                      <w:marRight w:val="0"/>
                      <w:marTop w:val="0"/>
                      <w:marBottom w:val="0"/>
                      <w:divBdr>
                        <w:top w:val="none" w:sz="0" w:space="0" w:color="auto"/>
                        <w:left w:val="none" w:sz="0" w:space="0" w:color="auto"/>
                        <w:bottom w:val="none" w:sz="0" w:space="0" w:color="auto"/>
                        <w:right w:val="none" w:sz="0" w:space="0" w:color="auto"/>
                      </w:divBdr>
                    </w:div>
                  </w:divsChild>
                </w:div>
                <w:div w:id="1412652507">
                  <w:marLeft w:val="0"/>
                  <w:marRight w:val="0"/>
                  <w:marTop w:val="0"/>
                  <w:marBottom w:val="0"/>
                  <w:divBdr>
                    <w:top w:val="none" w:sz="0" w:space="0" w:color="auto"/>
                    <w:left w:val="none" w:sz="0" w:space="0" w:color="auto"/>
                    <w:bottom w:val="none" w:sz="0" w:space="0" w:color="auto"/>
                    <w:right w:val="none" w:sz="0" w:space="0" w:color="auto"/>
                  </w:divBdr>
                  <w:divsChild>
                    <w:div w:id="1641687732">
                      <w:marLeft w:val="0"/>
                      <w:marRight w:val="0"/>
                      <w:marTop w:val="0"/>
                      <w:marBottom w:val="0"/>
                      <w:divBdr>
                        <w:top w:val="none" w:sz="0" w:space="0" w:color="auto"/>
                        <w:left w:val="none" w:sz="0" w:space="0" w:color="auto"/>
                        <w:bottom w:val="none" w:sz="0" w:space="0" w:color="auto"/>
                        <w:right w:val="none" w:sz="0" w:space="0" w:color="auto"/>
                      </w:divBdr>
                    </w:div>
                  </w:divsChild>
                </w:div>
                <w:div w:id="1445928225">
                  <w:marLeft w:val="0"/>
                  <w:marRight w:val="0"/>
                  <w:marTop w:val="0"/>
                  <w:marBottom w:val="0"/>
                  <w:divBdr>
                    <w:top w:val="none" w:sz="0" w:space="0" w:color="auto"/>
                    <w:left w:val="none" w:sz="0" w:space="0" w:color="auto"/>
                    <w:bottom w:val="none" w:sz="0" w:space="0" w:color="auto"/>
                    <w:right w:val="none" w:sz="0" w:space="0" w:color="auto"/>
                  </w:divBdr>
                  <w:divsChild>
                    <w:div w:id="2032954585">
                      <w:marLeft w:val="0"/>
                      <w:marRight w:val="0"/>
                      <w:marTop w:val="0"/>
                      <w:marBottom w:val="0"/>
                      <w:divBdr>
                        <w:top w:val="none" w:sz="0" w:space="0" w:color="auto"/>
                        <w:left w:val="none" w:sz="0" w:space="0" w:color="auto"/>
                        <w:bottom w:val="none" w:sz="0" w:space="0" w:color="auto"/>
                        <w:right w:val="none" w:sz="0" w:space="0" w:color="auto"/>
                      </w:divBdr>
                    </w:div>
                  </w:divsChild>
                </w:div>
                <w:div w:id="1469010544">
                  <w:marLeft w:val="0"/>
                  <w:marRight w:val="0"/>
                  <w:marTop w:val="0"/>
                  <w:marBottom w:val="0"/>
                  <w:divBdr>
                    <w:top w:val="none" w:sz="0" w:space="0" w:color="auto"/>
                    <w:left w:val="none" w:sz="0" w:space="0" w:color="auto"/>
                    <w:bottom w:val="none" w:sz="0" w:space="0" w:color="auto"/>
                    <w:right w:val="none" w:sz="0" w:space="0" w:color="auto"/>
                  </w:divBdr>
                  <w:divsChild>
                    <w:div w:id="104813529">
                      <w:marLeft w:val="0"/>
                      <w:marRight w:val="0"/>
                      <w:marTop w:val="0"/>
                      <w:marBottom w:val="0"/>
                      <w:divBdr>
                        <w:top w:val="none" w:sz="0" w:space="0" w:color="auto"/>
                        <w:left w:val="none" w:sz="0" w:space="0" w:color="auto"/>
                        <w:bottom w:val="none" w:sz="0" w:space="0" w:color="auto"/>
                        <w:right w:val="none" w:sz="0" w:space="0" w:color="auto"/>
                      </w:divBdr>
                    </w:div>
                  </w:divsChild>
                </w:div>
                <w:div w:id="1502309346">
                  <w:marLeft w:val="0"/>
                  <w:marRight w:val="0"/>
                  <w:marTop w:val="0"/>
                  <w:marBottom w:val="0"/>
                  <w:divBdr>
                    <w:top w:val="none" w:sz="0" w:space="0" w:color="auto"/>
                    <w:left w:val="none" w:sz="0" w:space="0" w:color="auto"/>
                    <w:bottom w:val="none" w:sz="0" w:space="0" w:color="auto"/>
                    <w:right w:val="none" w:sz="0" w:space="0" w:color="auto"/>
                  </w:divBdr>
                  <w:divsChild>
                    <w:div w:id="2134979950">
                      <w:marLeft w:val="0"/>
                      <w:marRight w:val="0"/>
                      <w:marTop w:val="0"/>
                      <w:marBottom w:val="0"/>
                      <w:divBdr>
                        <w:top w:val="none" w:sz="0" w:space="0" w:color="auto"/>
                        <w:left w:val="none" w:sz="0" w:space="0" w:color="auto"/>
                        <w:bottom w:val="none" w:sz="0" w:space="0" w:color="auto"/>
                        <w:right w:val="none" w:sz="0" w:space="0" w:color="auto"/>
                      </w:divBdr>
                    </w:div>
                  </w:divsChild>
                </w:div>
                <w:div w:id="1590041250">
                  <w:marLeft w:val="0"/>
                  <w:marRight w:val="0"/>
                  <w:marTop w:val="0"/>
                  <w:marBottom w:val="0"/>
                  <w:divBdr>
                    <w:top w:val="none" w:sz="0" w:space="0" w:color="auto"/>
                    <w:left w:val="none" w:sz="0" w:space="0" w:color="auto"/>
                    <w:bottom w:val="none" w:sz="0" w:space="0" w:color="auto"/>
                    <w:right w:val="none" w:sz="0" w:space="0" w:color="auto"/>
                  </w:divBdr>
                  <w:divsChild>
                    <w:div w:id="550113000">
                      <w:marLeft w:val="0"/>
                      <w:marRight w:val="0"/>
                      <w:marTop w:val="0"/>
                      <w:marBottom w:val="0"/>
                      <w:divBdr>
                        <w:top w:val="none" w:sz="0" w:space="0" w:color="auto"/>
                        <w:left w:val="none" w:sz="0" w:space="0" w:color="auto"/>
                        <w:bottom w:val="none" w:sz="0" w:space="0" w:color="auto"/>
                        <w:right w:val="none" w:sz="0" w:space="0" w:color="auto"/>
                      </w:divBdr>
                    </w:div>
                  </w:divsChild>
                </w:div>
                <w:div w:id="1735203569">
                  <w:marLeft w:val="0"/>
                  <w:marRight w:val="0"/>
                  <w:marTop w:val="0"/>
                  <w:marBottom w:val="0"/>
                  <w:divBdr>
                    <w:top w:val="none" w:sz="0" w:space="0" w:color="auto"/>
                    <w:left w:val="none" w:sz="0" w:space="0" w:color="auto"/>
                    <w:bottom w:val="none" w:sz="0" w:space="0" w:color="auto"/>
                    <w:right w:val="none" w:sz="0" w:space="0" w:color="auto"/>
                  </w:divBdr>
                  <w:divsChild>
                    <w:div w:id="552428030">
                      <w:marLeft w:val="0"/>
                      <w:marRight w:val="0"/>
                      <w:marTop w:val="0"/>
                      <w:marBottom w:val="0"/>
                      <w:divBdr>
                        <w:top w:val="none" w:sz="0" w:space="0" w:color="auto"/>
                        <w:left w:val="none" w:sz="0" w:space="0" w:color="auto"/>
                        <w:bottom w:val="none" w:sz="0" w:space="0" w:color="auto"/>
                        <w:right w:val="none" w:sz="0" w:space="0" w:color="auto"/>
                      </w:divBdr>
                    </w:div>
                  </w:divsChild>
                </w:div>
                <w:div w:id="2067099332">
                  <w:marLeft w:val="0"/>
                  <w:marRight w:val="0"/>
                  <w:marTop w:val="0"/>
                  <w:marBottom w:val="0"/>
                  <w:divBdr>
                    <w:top w:val="none" w:sz="0" w:space="0" w:color="auto"/>
                    <w:left w:val="none" w:sz="0" w:space="0" w:color="auto"/>
                    <w:bottom w:val="none" w:sz="0" w:space="0" w:color="auto"/>
                    <w:right w:val="none" w:sz="0" w:space="0" w:color="auto"/>
                  </w:divBdr>
                  <w:divsChild>
                    <w:div w:id="137259679">
                      <w:marLeft w:val="0"/>
                      <w:marRight w:val="0"/>
                      <w:marTop w:val="0"/>
                      <w:marBottom w:val="0"/>
                      <w:divBdr>
                        <w:top w:val="none" w:sz="0" w:space="0" w:color="auto"/>
                        <w:left w:val="none" w:sz="0" w:space="0" w:color="auto"/>
                        <w:bottom w:val="none" w:sz="0" w:space="0" w:color="auto"/>
                        <w:right w:val="none" w:sz="0" w:space="0" w:color="auto"/>
                      </w:divBdr>
                    </w:div>
                  </w:divsChild>
                </w:div>
                <w:div w:id="2117863972">
                  <w:marLeft w:val="0"/>
                  <w:marRight w:val="0"/>
                  <w:marTop w:val="0"/>
                  <w:marBottom w:val="0"/>
                  <w:divBdr>
                    <w:top w:val="none" w:sz="0" w:space="0" w:color="auto"/>
                    <w:left w:val="none" w:sz="0" w:space="0" w:color="auto"/>
                    <w:bottom w:val="none" w:sz="0" w:space="0" w:color="auto"/>
                    <w:right w:val="none" w:sz="0" w:space="0" w:color="auto"/>
                  </w:divBdr>
                  <w:divsChild>
                    <w:div w:id="16426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3306">
          <w:marLeft w:val="0"/>
          <w:marRight w:val="0"/>
          <w:marTop w:val="0"/>
          <w:marBottom w:val="0"/>
          <w:divBdr>
            <w:top w:val="none" w:sz="0" w:space="0" w:color="auto"/>
            <w:left w:val="none" w:sz="0" w:space="0" w:color="auto"/>
            <w:bottom w:val="none" w:sz="0" w:space="0" w:color="auto"/>
            <w:right w:val="none" w:sz="0" w:space="0" w:color="auto"/>
          </w:divBdr>
        </w:div>
        <w:div w:id="1039548670">
          <w:marLeft w:val="0"/>
          <w:marRight w:val="0"/>
          <w:marTop w:val="0"/>
          <w:marBottom w:val="0"/>
          <w:divBdr>
            <w:top w:val="none" w:sz="0" w:space="0" w:color="auto"/>
            <w:left w:val="none" w:sz="0" w:space="0" w:color="auto"/>
            <w:bottom w:val="none" w:sz="0" w:space="0" w:color="auto"/>
            <w:right w:val="none" w:sz="0" w:space="0" w:color="auto"/>
          </w:divBdr>
        </w:div>
        <w:div w:id="1128165409">
          <w:marLeft w:val="0"/>
          <w:marRight w:val="0"/>
          <w:marTop w:val="0"/>
          <w:marBottom w:val="0"/>
          <w:divBdr>
            <w:top w:val="none" w:sz="0" w:space="0" w:color="auto"/>
            <w:left w:val="none" w:sz="0" w:space="0" w:color="auto"/>
            <w:bottom w:val="none" w:sz="0" w:space="0" w:color="auto"/>
            <w:right w:val="none" w:sz="0" w:space="0" w:color="auto"/>
          </w:divBdr>
          <w:divsChild>
            <w:div w:id="472481089">
              <w:marLeft w:val="0"/>
              <w:marRight w:val="0"/>
              <w:marTop w:val="0"/>
              <w:marBottom w:val="0"/>
              <w:divBdr>
                <w:top w:val="none" w:sz="0" w:space="0" w:color="auto"/>
                <w:left w:val="none" w:sz="0" w:space="0" w:color="auto"/>
                <w:bottom w:val="none" w:sz="0" w:space="0" w:color="auto"/>
                <w:right w:val="none" w:sz="0" w:space="0" w:color="auto"/>
              </w:divBdr>
            </w:div>
            <w:div w:id="581642093">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 w:id="1848134881">
              <w:marLeft w:val="0"/>
              <w:marRight w:val="0"/>
              <w:marTop w:val="0"/>
              <w:marBottom w:val="0"/>
              <w:divBdr>
                <w:top w:val="none" w:sz="0" w:space="0" w:color="auto"/>
                <w:left w:val="none" w:sz="0" w:space="0" w:color="auto"/>
                <w:bottom w:val="none" w:sz="0" w:space="0" w:color="auto"/>
                <w:right w:val="none" w:sz="0" w:space="0" w:color="auto"/>
              </w:divBdr>
            </w:div>
            <w:div w:id="1869947737">
              <w:marLeft w:val="0"/>
              <w:marRight w:val="0"/>
              <w:marTop w:val="0"/>
              <w:marBottom w:val="0"/>
              <w:divBdr>
                <w:top w:val="none" w:sz="0" w:space="0" w:color="auto"/>
                <w:left w:val="none" w:sz="0" w:space="0" w:color="auto"/>
                <w:bottom w:val="none" w:sz="0" w:space="0" w:color="auto"/>
                <w:right w:val="none" w:sz="0" w:space="0" w:color="auto"/>
              </w:divBdr>
            </w:div>
          </w:divsChild>
        </w:div>
        <w:div w:id="1132016982">
          <w:marLeft w:val="0"/>
          <w:marRight w:val="0"/>
          <w:marTop w:val="0"/>
          <w:marBottom w:val="0"/>
          <w:divBdr>
            <w:top w:val="none" w:sz="0" w:space="0" w:color="auto"/>
            <w:left w:val="none" w:sz="0" w:space="0" w:color="auto"/>
            <w:bottom w:val="none" w:sz="0" w:space="0" w:color="auto"/>
            <w:right w:val="none" w:sz="0" w:space="0" w:color="auto"/>
          </w:divBdr>
        </w:div>
        <w:div w:id="1168784970">
          <w:marLeft w:val="0"/>
          <w:marRight w:val="0"/>
          <w:marTop w:val="0"/>
          <w:marBottom w:val="0"/>
          <w:divBdr>
            <w:top w:val="none" w:sz="0" w:space="0" w:color="auto"/>
            <w:left w:val="none" w:sz="0" w:space="0" w:color="auto"/>
            <w:bottom w:val="none" w:sz="0" w:space="0" w:color="auto"/>
            <w:right w:val="none" w:sz="0" w:space="0" w:color="auto"/>
          </w:divBdr>
        </w:div>
        <w:div w:id="1203446683">
          <w:marLeft w:val="0"/>
          <w:marRight w:val="0"/>
          <w:marTop w:val="0"/>
          <w:marBottom w:val="0"/>
          <w:divBdr>
            <w:top w:val="none" w:sz="0" w:space="0" w:color="auto"/>
            <w:left w:val="none" w:sz="0" w:space="0" w:color="auto"/>
            <w:bottom w:val="none" w:sz="0" w:space="0" w:color="auto"/>
            <w:right w:val="none" w:sz="0" w:space="0" w:color="auto"/>
          </w:divBdr>
        </w:div>
        <w:div w:id="1211267461">
          <w:marLeft w:val="0"/>
          <w:marRight w:val="0"/>
          <w:marTop w:val="0"/>
          <w:marBottom w:val="0"/>
          <w:divBdr>
            <w:top w:val="none" w:sz="0" w:space="0" w:color="auto"/>
            <w:left w:val="none" w:sz="0" w:space="0" w:color="auto"/>
            <w:bottom w:val="none" w:sz="0" w:space="0" w:color="auto"/>
            <w:right w:val="none" w:sz="0" w:space="0" w:color="auto"/>
          </w:divBdr>
        </w:div>
        <w:div w:id="1317538732">
          <w:marLeft w:val="0"/>
          <w:marRight w:val="0"/>
          <w:marTop w:val="0"/>
          <w:marBottom w:val="0"/>
          <w:divBdr>
            <w:top w:val="none" w:sz="0" w:space="0" w:color="auto"/>
            <w:left w:val="none" w:sz="0" w:space="0" w:color="auto"/>
            <w:bottom w:val="none" w:sz="0" w:space="0" w:color="auto"/>
            <w:right w:val="none" w:sz="0" w:space="0" w:color="auto"/>
          </w:divBdr>
          <w:divsChild>
            <w:div w:id="591088644">
              <w:marLeft w:val="0"/>
              <w:marRight w:val="0"/>
              <w:marTop w:val="0"/>
              <w:marBottom w:val="0"/>
              <w:divBdr>
                <w:top w:val="none" w:sz="0" w:space="0" w:color="auto"/>
                <w:left w:val="none" w:sz="0" w:space="0" w:color="auto"/>
                <w:bottom w:val="none" w:sz="0" w:space="0" w:color="auto"/>
                <w:right w:val="none" w:sz="0" w:space="0" w:color="auto"/>
              </w:divBdr>
            </w:div>
            <w:div w:id="651177591">
              <w:marLeft w:val="0"/>
              <w:marRight w:val="0"/>
              <w:marTop w:val="0"/>
              <w:marBottom w:val="0"/>
              <w:divBdr>
                <w:top w:val="none" w:sz="0" w:space="0" w:color="auto"/>
                <w:left w:val="none" w:sz="0" w:space="0" w:color="auto"/>
                <w:bottom w:val="none" w:sz="0" w:space="0" w:color="auto"/>
                <w:right w:val="none" w:sz="0" w:space="0" w:color="auto"/>
              </w:divBdr>
            </w:div>
            <w:div w:id="914776023">
              <w:marLeft w:val="0"/>
              <w:marRight w:val="0"/>
              <w:marTop w:val="0"/>
              <w:marBottom w:val="0"/>
              <w:divBdr>
                <w:top w:val="none" w:sz="0" w:space="0" w:color="auto"/>
                <w:left w:val="none" w:sz="0" w:space="0" w:color="auto"/>
                <w:bottom w:val="none" w:sz="0" w:space="0" w:color="auto"/>
                <w:right w:val="none" w:sz="0" w:space="0" w:color="auto"/>
              </w:divBdr>
            </w:div>
            <w:div w:id="1019351172">
              <w:marLeft w:val="0"/>
              <w:marRight w:val="0"/>
              <w:marTop w:val="0"/>
              <w:marBottom w:val="0"/>
              <w:divBdr>
                <w:top w:val="none" w:sz="0" w:space="0" w:color="auto"/>
                <w:left w:val="none" w:sz="0" w:space="0" w:color="auto"/>
                <w:bottom w:val="none" w:sz="0" w:space="0" w:color="auto"/>
                <w:right w:val="none" w:sz="0" w:space="0" w:color="auto"/>
              </w:divBdr>
            </w:div>
            <w:div w:id="1579557095">
              <w:marLeft w:val="0"/>
              <w:marRight w:val="0"/>
              <w:marTop w:val="0"/>
              <w:marBottom w:val="0"/>
              <w:divBdr>
                <w:top w:val="none" w:sz="0" w:space="0" w:color="auto"/>
                <w:left w:val="none" w:sz="0" w:space="0" w:color="auto"/>
                <w:bottom w:val="none" w:sz="0" w:space="0" w:color="auto"/>
                <w:right w:val="none" w:sz="0" w:space="0" w:color="auto"/>
              </w:divBdr>
            </w:div>
          </w:divsChild>
        </w:div>
        <w:div w:id="1318994051">
          <w:marLeft w:val="0"/>
          <w:marRight w:val="0"/>
          <w:marTop w:val="0"/>
          <w:marBottom w:val="0"/>
          <w:divBdr>
            <w:top w:val="none" w:sz="0" w:space="0" w:color="auto"/>
            <w:left w:val="none" w:sz="0" w:space="0" w:color="auto"/>
            <w:bottom w:val="none" w:sz="0" w:space="0" w:color="auto"/>
            <w:right w:val="none" w:sz="0" w:space="0" w:color="auto"/>
          </w:divBdr>
        </w:div>
        <w:div w:id="1328172570">
          <w:marLeft w:val="0"/>
          <w:marRight w:val="0"/>
          <w:marTop w:val="0"/>
          <w:marBottom w:val="0"/>
          <w:divBdr>
            <w:top w:val="none" w:sz="0" w:space="0" w:color="auto"/>
            <w:left w:val="none" w:sz="0" w:space="0" w:color="auto"/>
            <w:bottom w:val="none" w:sz="0" w:space="0" w:color="auto"/>
            <w:right w:val="none" w:sz="0" w:space="0" w:color="auto"/>
          </w:divBdr>
        </w:div>
        <w:div w:id="1350907376">
          <w:marLeft w:val="0"/>
          <w:marRight w:val="0"/>
          <w:marTop w:val="0"/>
          <w:marBottom w:val="0"/>
          <w:divBdr>
            <w:top w:val="none" w:sz="0" w:space="0" w:color="auto"/>
            <w:left w:val="none" w:sz="0" w:space="0" w:color="auto"/>
            <w:bottom w:val="none" w:sz="0" w:space="0" w:color="auto"/>
            <w:right w:val="none" w:sz="0" w:space="0" w:color="auto"/>
          </w:divBdr>
          <w:divsChild>
            <w:div w:id="219905035">
              <w:marLeft w:val="0"/>
              <w:marRight w:val="0"/>
              <w:marTop w:val="0"/>
              <w:marBottom w:val="0"/>
              <w:divBdr>
                <w:top w:val="none" w:sz="0" w:space="0" w:color="auto"/>
                <w:left w:val="none" w:sz="0" w:space="0" w:color="auto"/>
                <w:bottom w:val="none" w:sz="0" w:space="0" w:color="auto"/>
                <w:right w:val="none" w:sz="0" w:space="0" w:color="auto"/>
              </w:divBdr>
            </w:div>
            <w:div w:id="530807203">
              <w:marLeft w:val="0"/>
              <w:marRight w:val="0"/>
              <w:marTop w:val="0"/>
              <w:marBottom w:val="0"/>
              <w:divBdr>
                <w:top w:val="none" w:sz="0" w:space="0" w:color="auto"/>
                <w:left w:val="none" w:sz="0" w:space="0" w:color="auto"/>
                <w:bottom w:val="none" w:sz="0" w:space="0" w:color="auto"/>
                <w:right w:val="none" w:sz="0" w:space="0" w:color="auto"/>
              </w:divBdr>
            </w:div>
            <w:div w:id="1732846021">
              <w:marLeft w:val="0"/>
              <w:marRight w:val="0"/>
              <w:marTop w:val="0"/>
              <w:marBottom w:val="0"/>
              <w:divBdr>
                <w:top w:val="none" w:sz="0" w:space="0" w:color="auto"/>
                <w:left w:val="none" w:sz="0" w:space="0" w:color="auto"/>
                <w:bottom w:val="none" w:sz="0" w:space="0" w:color="auto"/>
                <w:right w:val="none" w:sz="0" w:space="0" w:color="auto"/>
              </w:divBdr>
            </w:div>
            <w:div w:id="1855344684">
              <w:marLeft w:val="0"/>
              <w:marRight w:val="0"/>
              <w:marTop w:val="0"/>
              <w:marBottom w:val="0"/>
              <w:divBdr>
                <w:top w:val="none" w:sz="0" w:space="0" w:color="auto"/>
                <w:left w:val="none" w:sz="0" w:space="0" w:color="auto"/>
                <w:bottom w:val="none" w:sz="0" w:space="0" w:color="auto"/>
                <w:right w:val="none" w:sz="0" w:space="0" w:color="auto"/>
              </w:divBdr>
            </w:div>
            <w:div w:id="2140612271">
              <w:marLeft w:val="0"/>
              <w:marRight w:val="0"/>
              <w:marTop w:val="0"/>
              <w:marBottom w:val="0"/>
              <w:divBdr>
                <w:top w:val="none" w:sz="0" w:space="0" w:color="auto"/>
                <w:left w:val="none" w:sz="0" w:space="0" w:color="auto"/>
                <w:bottom w:val="none" w:sz="0" w:space="0" w:color="auto"/>
                <w:right w:val="none" w:sz="0" w:space="0" w:color="auto"/>
              </w:divBdr>
            </w:div>
          </w:divsChild>
        </w:div>
        <w:div w:id="1364599928">
          <w:marLeft w:val="0"/>
          <w:marRight w:val="0"/>
          <w:marTop w:val="0"/>
          <w:marBottom w:val="0"/>
          <w:divBdr>
            <w:top w:val="none" w:sz="0" w:space="0" w:color="auto"/>
            <w:left w:val="none" w:sz="0" w:space="0" w:color="auto"/>
            <w:bottom w:val="none" w:sz="0" w:space="0" w:color="auto"/>
            <w:right w:val="none" w:sz="0" w:space="0" w:color="auto"/>
          </w:divBdr>
        </w:div>
        <w:div w:id="1380667676">
          <w:marLeft w:val="0"/>
          <w:marRight w:val="0"/>
          <w:marTop w:val="0"/>
          <w:marBottom w:val="0"/>
          <w:divBdr>
            <w:top w:val="none" w:sz="0" w:space="0" w:color="auto"/>
            <w:left w:val="none" w:sz="0" w:space="0" w:color="auto"/>
            <w:bottom w:val="none" w:sz="0" w:space="0" w:color="auto"/>
            <w:right w:val="none" w:sz="0" w:space="0" w:color="auto"/>
          </w:divBdr>
        </w:div>
        <w:div w:id="1497762709">
          <w:marLeft w:val="0"/>
          <w:marRight w:val="0"/>
          <w:marTop w:val="0"/>
          <w:marBottom w:val="0"/>
          <w:divBdr>
            <w:top w:val="none" w:sz="0" w:space="0" w:color="auto"/>
            <w:left w:val="none" w:sz="0" w:space="0" w:color="auto"/>
            <w:bottom w:val="none" w:sz="0" w:space="0" w:color="auto"/>
            <w:right w:val="none" w:sz="0" w:space="0" w:color="auto"/>
          </w:divBdr>
        </w:div>
        <w:div w:id="1503469119">
          <w:marLeft w:val="0"/>
          <w:marRight w:val="0"/>
          <w:marTop w:val="0"/>
          <w:marBottom w:val="0"/>
          <w:divBdr>
            <w:top w:val="none" w:sz="0" w:space="0" w:color="auto"/>
            <w:left w:val="none" w:sz="0" w:space="0" w:color="auto"/>
            <w:bottom w:val="none" w:sz="0" w:space="0" w:color="auto"/>
            <w:right w:val="none" w:sz="0" w:space="0" w:color="auto"/>
          </w:divBdr>
        </w:div>
        <w:div w:id="1525094829">
          <w:marLeft w:val="0"/>
          <w:marRight w:val="0"/>
          <w:marTop w:val="0"/>
          <w:marBottom w:val="0"/>
          <w:divBdr>
            <w:top w:val="none" w:sz="0" w:space="0" w:color="auto"/>
            <w:left w:val="none" w:sz="0" w:space="0" w:color="auto"/>
            <w:bottom w:val="none" w:sz="0" w:space="0" w:color="auto"/>
            <w:right w:val="none" w:sz="0" w:space="0" w:color="auto"/>
          </w:divBdr>
          <w:divsChild>
            <w:div w:id="640623856">
              <w:marLeft w:val="0"/>
              <w:marRight w:val="0"/>
              <w:marTop w:val="0"/>
              <w:marBottom w:val="0"/>
              <w:divBdr>
                <w:top w:val="none" w:sz="0" w:space="0" w:color="auto"/>
                <w:left w:val="none" w:sz="0" w:space="0" w:color="auto"/>
                <w:bottom w:val="none" w:sz="0" w:space="0" w:color="auto"/>
                <w:right w:val="none" w:sz="0" w:space="0" w:color="auto"/>
              </w:divBdr>
            </w:div>
            <w:div w:id="843473484">
              <w:marLeft w:val="0"/>
              <w:marRight w:val="0"/>
              <w:marTop w:val="0"/>
              <w:marBottom w:val="0"/>
              <w:divBdr>
                <w:top w:val="none" w:sz="0" w:space="0" w:color="auto"/>
                <w:left w:val="none" w:sz="0" w:space="0" w:color="auto"/>
                <w:bottom w:val="none" w:sz="0" w:space="0" w:color="auto"/>
                <w:right w:val="none" w:sz="0" w:space="0" w:color="auto"/>
              </w:divBdr>
            </w:div>
            <w:div w:id="961420456">
              <w:marLeft w:val="0"/>
              <w:marRight w:val="0"/>
              <w:marTop w:val="0"/>
              <w:marBottom w:val="0"/>
              <w:divBdr>
                <w:top w:val="none" w:sz="0" w:space="0" w:color="auto"/>
                <w:left w:val="none" w:sz="0" w:space="0" w:color="auto"/>
                <w:bottom w:val="none" w:sz="0" w:space="0" w:color="auto"/>
                <w:right w:val="none" w:sz="0" w:space="0" w:color="auto"/>
              </w:divBdr>
            </w:div>
            <w:div w:id="1531069925">
              <w:marLeft w:val="0"/>
              <w:marRight w:val="0"/>
              <w:marTop w:val="0"/>
              <w:marBottom w:val="0"/>
              <w:divBdr>
                <w:top w:val="none" w:sz="0" w:space="0" w:color="auto"/>
                <w:left w:val="none" w:sz="0" w:space="0" w:color="auto"/>
                <w:bottom w:val="none" w:sz="0" w:space="0" w:color="auto"/>
                <w:right w:val="none" w:sz="0" w:space="0" w:color="auto"/>
              </w:divBdr>
            </w:div>
            <w:div w:id="2117631813">
              <w:marLeft w:val="0"/>
              <w:marRight w:val="0"/>
              <w:marTop w:val="0"/>
              <w:marBottom w:val="0"/>
              <w:divBdr>
                <w:top w:val="none" w:sz="0" w:space="0" w:color="auto"/>
                <w:left w:val="none" w:sz="0" w:space="0" w:color="auto"/>
                <w:bottom w:val="none" w:sz="0" w:space="0" w:color="auto"/>
                <w:right w:val="none" w:sz="0" w:space="0" w:color="auto"/>
              </w:divBdr>
            </w:div>
          </w:divsChild>
        </w:div>
        <w:div w:id="1573730951">
          <w:marLeft w:val="0"/>
          <w:marRight w:val="0"/>
          <w:marTop w:val="0"/>
          <w:marBottom w:val="0"/>
          <w:divBdr>
            <w:top w:val="none" w:sz="0" w:space="0" w:color="auto"/>
            <w:left w:val="none" w:sz="0" w:space="0" w:color="auto"/>
            <w:bottom w:val="none" w:sz="0" w:space="0" w:color="auto"/>
            <w:right w:val="none" w:sz="0" w:space="0" w:color="auto"/>
          </w:divBdr>
        </w:div>
        <w:div w:id="1582523194">
          <w:marLeft w:val="0"/>
          <w:marRight w:val="0"/>
          <w:marTop w:val="0"/>
          <w:marBottom w:val="0"/>
          <w:divBdr>
            <w:top w:val="none" w:sz="0" w:space="0" w:color="auto"/>
            <w:left w:val="none" w:sz="0" w:space="0" w:color="auto"/>
            <w:bottom w:val="none" w:sz="0" w:space="0" w:color="auto"/>
            <w:right w:val="none" w:sz="0" w:space="0" w:color="auto"/>
          </w:divBdr>
          <w:divsChild>
            <w:div w:id="627662882">
              <w:marLeft w:val="0"/>
              <w:marRight w:val="0"/>
              <w:marTop w:val="0"/>
              <w:marBottom w:val="0"/>
              <w:divBdr>
                <w:top w:val="none" w:sz="0" w:space="0" w:color="auto"/>
                <w:left w:val="none" w:sz="0" w:space="0" w:color="auto"/>
                <w:bottom w:val="none" w:sz="0" w:space="0" w:color="auto"/>
                <w:right w:val="none" w:sz="0" w:space="0" w:color="auto"/>
              </w:divBdr>
            </w:div>
            <w:div w:id="746460173">
              <w:marLeft w:val="0"/>
              <w:marRight w:val="0"/>
              <w:marTop w:val="0"/>
              <w:marBottom w:val="0"/>
              <w:divBdr>
                <w:top w:val="none" w:sz="0" w:space="0" w:color="auto"/>
                <w:left w:val="none" w:sz="0" w:space="0" w:color="auto"/>
                <w:bottom w:val="none" w:sz="0" w:space="0" w:color="auto"/>
                <w:right w:val="none" w:sz="0" w:space="0" w:color="auto"/>
              </w:divBdr>
            </w:div>
            <w:div w:id="1095173079">
              <w:marLeft w:val="0"/>
              <w:marRight w:val="0"/>
              <w:marTop w:val="0"/>
              <w:marBottom w:val="0"/>
              <w:divBdr>
                <w:top w:val="none" w:sz="0" w:space="0" w:color="auto"/>
                <w:left w:val="none" w:sz="0" w:space="0" w:color="auto"/>
                <w:bottom w:val="none" w:sz="0" w:space="0" w:color="auto"/>
                <w:right w:val="none" w:sz="0" w:space="0" w:color="auto"/>
              </w:divBdr>
            </w:div>
            <w:div w:id="1803183301">
              <w:marLeft w:val="0"/>
              <w:marRight w:val="0"/>
              <w:marTop w:val="0"/>
              <w:marBottom w:val="0"/>
              <w:divBdr>
                <w:top w:val="none" w:sz="0" w:space="0" w:color="auto"/>
                <w:left w:val="none" w:sz="0" w:space="0" w:color="auto"/>
                <w:bottom w:val="none" w:sz="0" w:space="0" w:color="auto"/>
                <w:right w:val="none" w:sz="0" w:space="0" w:color="auto"/>
              </w:divBdr>
            </w:div>
            <w:div w:id="2012948200">
              <w:marLeft w:val="0"/>
              <w:marRight w:val="0"/>
              <w:marTop w:val="0"/>
              <w:marBottom w:val="0"/>
              <w:divBdr>
                <w:top w:val="none" w:sz="0" w:space="0" w:color="auto"/>
                <w:left w:val="none" w:sz="0" w:space="0" w:color="auto"/>
                <w:bottom w:val="none" w:sz="0" w:space="0" w:color="auto"/>
                <w:right w:val="none" w:sz="0" w:space="0" w:color="auto"/>
              </w:divBdr>
            </w:div>
          </w:divsChild>
        </w:div>
        <w:div w:id="1616404269">
          <w:marLeft w:val="0"/>
          <w:marRight w:val="0"/>
          <w:marTop w:val="0"/>
          <w:marBottom w:val="0"/>
          <w:divBdr>
            <w:top w:val="none" w:sz="0" w:space="0" w:color="auto"/>
            <w:left w:val="none" w:sz="0" w:space="0" w:color="auto"/>
            <w:bottom w:val="none" w:sz="0" w:space="0" w:color="auto"/>
            <w:right w:val="none" w:sz="0" w:space="0" w:color="auto"/>
          </w:divBdr>
        </w:div>
        <w:div w:id="1714958352">
          <w:marLeft w:val="0"/>
          <w:marRight w:val="0"/>
          <w:marTop w:val="0"/>
          <w:marBottom w:val="0"/>
          <w:divBdr>
            <w:top w:val="none" w:sz="0" w:space="0" w:color="auto"/>
            <w:left w:val="none" w:sz="0" w:space="0" w:color="auto"/>
            <w:bottom w:val="none" w:sz="0" w:space="0" w:color="auto"/>
            <w:right w:val="none" w:sz="0" w:space="0" w:color="auto"/>
          </w:divBdr>
          <w:divsChild>
            <w:div w:id="251088637">
              <w:marLeft w:val="0"/>
              <w:marRight w:val="0"/>
              <w:marTop w:val="0"/>
              <w:marBottom w:val="0"/>
              <w:divBdr>
                <w:top w:val="none" w:sz="0" w:space="0" w:color="auto"/>
                <w:left w:val="none" w:sz="0" w:space="0" w:color="auto"/>
                <w:bottom w:val="none" w:sz="0" w:space="0" w:color="auto"/>
                <w:right w:val="none" w:sz="0" w:space="0" w:color="auto"/>
              </w:divBdr>
            </w:div>
          </w:divsChild>
        </w:div>
        <w:div w:id="1717005863">
          <w:marLeft w:val="0"/>
          <w:marRight w:val="0"/>
          <w:marTop w:val="0"/>
          <w:marBottom w:val="0"/>
          <w:divBdr>
            <w:top w:val="none" w:sz="0" w:space="0" w:color="auto"/>
            <w:left w:val="none" w:sz="0" w:space="0" w:color="auto"/>
            <w:bottom w:val="none" w:sz="0" w:space="0" w:color="auto"/>
            <w:right w:val="none" w:sz="0" w:space="0" w:color="auto"/>
          </w:divBdr>
        </w:div>
        <w:div w:id="1724211600">
          <w:marLeft w:val="0"/>
          <w:marRight w:val="0"/>
          <w:marTop w:val="0"/>
          <w:marBottom w:val="0"/>
          <w:divBdr>
            <w:top w:val="none" w:sz="0" w:space="0" w:color="auto"/>
            <w:left w:val="none" w:sz="0" w:space="0" w:color="auto"/>
            <w:bottom w:val="none" w:sz="0" w:space="0" w:color="auto"/>
            <w:right w:val="none" w:sz="0" w:space="0" w:color="auto"/>
          </w:divBdr>
        </w:div>
        <w:div w:id="1771242229">
          <w:marLeft w:val="0"/>
          <w:marRight w:val="0"/>
          <w:marTop w:val="0"/>
          <w:marBottom w:val="0"/>
          <w:divBdr>
            <w:top w:val="none" w:sz="0" w:space="0" w:color="auto"/>
            <w:left w:val="none" w:sz="0" w:space="0" w:color="auto"/>
            <w:bottom w:val="none" w:sz="0" w:space="0" w:color="auto"/>
            <w:right w:val="none" w:sz="0" w:space="0" w:color="auto"/>
          </w:divBdr>
        </w:div>
        <w:div w:id="1825244414">
          <w:marLeft w:val="0"/>
          <w:marRight w:val="0"/>
          <w:marTop w:val="0"/>
          <w:marBottom w:val="0"/>
          <w:divBdr>
            <w:top w:val="none" w:sz="0" w:space="0" w:color="auto"/>
            <w:left w:val="none" w:sz="0" w:space="0" w:color="auto"/>
            <w:bottom w:val="none" w:sz="0" w:space="0" w:color="auto"/>
            <w:right w:val="none" w:sz="0" w:space="0" w:color="auto"/>
          </w:divBdr>
        </w:div>
        <w:div w:id="1848135984">
          <w:marLeft w:val="0"/>
          <w:marRight w:val="0"/>
          <w:marTop w:val="0"/>
          <w:marBottom w:val="0"/>
          <w:divBdr>
            <w:top w:val="none" w:sz="0" w:space="0" w:color="auto"/>
            <w:left w:val="none" w:sz="0" w:space="0" w:color="auto"/>
            <w:bottom w:val="none" w:sz="0" w:space="0" w:color="auto"/>
            <w:right w:val="none" w:sz="0" w:space="0" w:color="auto"/>
          </w:divBdr>
        </w:div>
        <w:div w:id="1888636452">
          <w:marLeft w:val="0"/>
          <w:marRight w:val="0"/>
          <w:marTop w:val="0"/>
          <w:marBottom w:val="0"/>
          <w:divBdr>
            <w:top w:val="none" w:sz="0" w:space="0" w:color="auto"/>
            <w:left w:val="none" w:sz="0" w:space="0" w:color="auto"/>
            <w:bottom w:val="none" w:sz="0" w:space="0" w:color="auto"/>
            <w:right w:val="none" w:sz="0" w:space="0" w:color="auto"/>
          </w:divBdr>
        </w:div>
        <w:div w:id="1915820831">
          <w:marLeft w:val="0"/>
          <w:marRight w:val="0"/>
          <w:marTop w:val="0"/>
          <w:marBottom w:val="0"/>
          <w:divBdr>
            <w:top w:val="none" w:sz="0" w:space="0" w:color="auto"/>
            <w:left w:val="none" w:sz="0" w:space="0" w:color="auto"/>
            <w:bottom w:val="none" w:sz="0" w:space="0" w:color="auto"/>
            <w:right w:val="none" w:sz="0" w:space="0" w:color="auto"/>
          </w:divBdr>
        </w:div>
        <w:div w:id="1933320939">
          <w:marLeft w:val="0"/>
          <w:marRight w:val="0"/>
          <w:marTop w:val="0"/>
          <w:marBottom w:val="0"/>
          <w:divBdr>
            <w:top w:val="none" w:sz="0" w:space="0" w:color="auto"/>
            <w:left w:val="none" w:sz="0" w:space="0" w:color="auto"/>
            <w:bottom w:val="none" w:sz="0" w:space="0" w:color="auto"/>
            <w:right w:val="none" w:sz="0" w:space="0" w:color="auto"/>
          </w:divBdr>
          <w:divsChild>
            <w:div w:id="687760666">
              <w:marLeft w:val="0"/>
              <w:marRight w:val="0"/>
              <w:marTop w:val="0"/>
              <w:marBottom w:val="0"/>
              <w:divBdr>
                <w:top w:val="none" w:sz="0" w:space="0" w:color="auto"/>
                <w:left w:val="none" w:sz="0" w:space="0" w:color="auto"/>
                <w:bottom w:val="none" w:sz="0" w:space="0" w:color="auto"/>
                <w:right w:val="none" w:sz="0" w:space="0" w:color="auto"/>
              </w:divBdr>
            </w:div>
            <w:div w:id="885994355">
              <w:marLeft w:val="0"/>
              <w:marRight w:val="0"/>
              <w:marTop w:val="0"/>
              <w:marBottom w:val="0"/>
              <w:divBdr>
                <w:top w:val="none" w:sz="0" w:space="0" w:color="auto"/>
                <w:left w:val="none" w:sz="0" w:space="0" w:color="auto"/>
                <w:bottom w:val="none" w:sz="0" w:space="0" w:color="auto"/>
                <w:right w:val="none" w:sz="0" w:space="0" w:color="auto"/>
              </w:divBdr>
            </w:div>
            <w:div w:id="1873107203">
              <w:marLeft w:val="0"/>
              <w:marRight w:val="0"/>
              <w:marTop w:val="0"/>
              <w:marBottom w:val="0"/>
              <w:divBdr>
                <w:top w:val="none" w:sz="0" w:space="0" w:color="auto"/>
                <w:left w:val="none" w:sz="0" w:space="0" w:color="auto"/>
                <w:bottom w:val="none" w:sz="0" w:space="0" w:color="auto"/>
                <w:right w:val="none" w:sz="0" w:space="0" w:color="auto"/>
              </w:divBdr>
            </w:div>
          </w:divsChild>
        </w:div>
        <w:div w:id="1942713644">
          <w:marLeft w:val="0"/>
          <w:marRight w:val="0"/>
          <w:marTop w:val="0"/>
          <w:marBottom w:val="0"/>
          <w:divBdr>
            <w:top w:val="none" w:sz="0" w:space="0" w:color="auto"/>
            <w:left w:val="none" w:sz="0" w:space="0" w:color="auto"/>
            <w:bottom w:val="none" w:sz="0" w:space="0" w:color="auto"/>
            <w:right w:val="none" w:sz="0" w:space="0" w:color="auto"/>
          </w:divBdr>
        </w:div>
        <w:div w:id="1945720630">
          <w:marLeft w:val="0"/>
          <w:marRight w:val="0"/>
          <w:marTop w:val="0"/>
          <w:marBottom w:val="0"/>
          <w:divBdr>
            <w:top w:val="none" w:sz="0" w:space="0" w:color="auto"/>
            <w:left w:val="none" w:sz="0" w:space="0" w:color="auto"/>
            <w:bottom w:val="none" w:sz="0" w:space="0" w:color="auto"/>
            <w:right w:val="none" w:sz="0" w:space="0" w:color="auto"/>
          </w:divBdr>
          <w:divsChild>
            <w:div w:id="80369207">
              <w:marLeft w:val="0"/>
              <w:marRight w:val="0"/>
              <w:marTop w:val="0"/>
              <w:marBottom w:val="0"/>
              <w:divBdr>
                <w:top w:val="none" w:sz="0" w:space="0" w:color="auto"/>
                <w:left w:val="none" w:sz="0" w:space="0" w:color="auto"/>
                <w:bottom w:val="none" w:sz="0" w:space="0" w:color="auto"/>
                <w:right w:val="none" w:sz="0" w:space="0" w:color="auto"/>
              </w:divBdr>
            </w:div>
            <w:div w:id="337930278">
              <w:marLeft w:val="0"/>
              <w:marRight w:val="0"/>
              <w:marTop w:val="0"/>
              <w:marBottom w:val="0"/>
              <w:divBdr>
                <w:top w:val="none" w:sz="0" w:space="0" w:color="auto"/>
                <w:left w:val="none" w:sz="0" w:space="0" w:color="auto"/>
                <w:bottom w:val="none" w:sz="0" w:space="0" w:color="auto"/>
                <w:right w:val="none" w:sz="0" w:space="0" w:color="auto"/>
              </w:divBdr>
            </w:div>
            <w:div w:id="416681047">
              <w:marLeft w:val="0"/>
              <w:marRight w:val="0"/>
              <w:marTop w:val="0"/>
              <w:marBottom w:val="0"/>
              <w:divBdr>
                <w:top w:val="none" w:sz="0" w:space="0" w:color="auto"/>
                <w:left w:val="none" w:sz="0" w:space="0" w:color="auto"/>
                <w:bottom w:val="none" w:sz="0" w:space="0" w:color="auto"/>
                <w:right w:val="none" w:sz="0" w:space="0" w:color="auto"/>
              </w:divBdr>
            </w:div>
            <w:div w:id="584067949">
              <w:marLeft w:val="0"/>
              <w:marRight w:val="0"/>
              <w:marTop w:val="0"/>
              <w:marBottom w:val="0"/>
              <w:divBdr>
                <w:top w:val="none" w:sz="0" w:space="0" w:color="auto"/>
                <w:left w:val="none" w:sz="0" w:space="0" w:color="auto"/>
                <w:bottom w:val="none" w:sz="0" w:space="0" w:color="auto"/>
                <w:right w:val="none" w:sz="0" w:space="0" w:color="auto"/>
              </w:divBdr>
            </w:div>
          </w:divsChild>
        </w:div>
        <w:div w:id="2025473048">
          <w:marLeft w:val="0"/>
          <w:marRight w:val="0"/>
          <w:marTop w:val="0"/>
          <w:marBottom w:val="0"/>
          <w:divBdr>
            <w:top w:val="none" w:sz="0" w:space="0" w:color="auto"/>
            <w:left w:val="none" w:sz="0" w:space="0" w:color="auto"/>
            <w:bottom w:val="none" w:sz="0" w:space="0" w:color="auto"/>
            <w:right w:val="none" w:sz="0" w:space="0" w:color="auto"/>
          </w:divBdr>
        </w:div>
        <w:div w:id="2030908086">
          <w:marLeft w:val="0"/>
          <w:marRight w:val="0"/>
          <w:marTop w:val="0"/>
          <w:marBottom w:val="0"/>
          <w:divBdr>
            <w:top w:val="none" w:sz="0" w:space="0" w:color="auto"/>
            <w:left w:val="none" w:sz="0" w:space="0" w:color="auto"/>
            <w:bottom w:val="none" w:sz="0" w:space="0" w:color="auto"/>
            <w:right w:val="none" w:sz="0" w:space="0" w:color="auto"/>
          </w:divBdr>
        </w:div>
        <w:div w:id="2048217914">
          <w:marLeft w:val="0"/>
          <w:marRight w:val="0"/>
          <w:marTop w:val="0"/>
          <w:marBottom w:val="0"/>
          <w:divBdr>
            <w:top w:val="none" w:sz="0" w:space="0" w:color="auto"/>
            <w:left w:val="none" w:sz="0" w:space="0" w:color="auto"/>
            <w:bottom w:val="none" w:sz="0" w:space="0" w:color="auto"/>
            <w:right w:val="none" w:sz="0" w:space="0" w:color="auto"/>
          </w:divBdr>
        </w:div>
        <w:div w:id="2057125205">
          <w:marLeft w:val="0"/>
          <w:marRight w:val="0"/>
          <w:marTop w:val="0"/>
          <w:marBottom w:val="0"/>
          <w:divBdr>
            <w:top w:val="none" w:sz="0" w:space="0" w:color="auto"/>
            <w:left w:val="none" w:sz="0" w:space="0" w:color="auto"/>
            <w:bottom w:val="none" w:sz="0" w:space="0" w:color="auto"/>
            <w:right w:val="none" w:sz="0" w:space="0" w:color="auto"/>
          </w:divBdr>
        </w:div>
        <w:div w:id="2090809686">
          <w:marLeft w:val="0"/>
          <w:marRight w:val="0"/>
          <w:marTop w:val="0"/>
          <w:marBottom w:val="0"/>
          <w:divBdr>
            <w:top w:val="none" w:sz="0" w:space="0" w:color="auto"/>
            <w:left w:val="none" w:sz="0" w:space="0" w:color="auto"/>
            <w:bottom w:val="none" w:sz="0" w:space="0" w:color="auto"/>
            <w:right w:val="none" w:sz="0" w:space="0" w:color="auto"/>
          </w:divBdr>
          <w:divsChild>
            <w:div w:id="1574655178">
              <w:marLeft w:val="-75"/>
              <w:marRight w:val="0"/>
              <w:marTop w:val="30"/>
              <w:marBottom w:val="30"/>
              <w:divBdr>
                <w:top w:val="none" w:sz="0" w:space="0" w:color="auto"/>
                <w:left w:val="none" w:sz="0" w:space="0" w:color="auto"/>
                <w:bottom w:val="none" w:sz="0" w:space="0" w:color="auto"/>
                <w:right w:val="none" w:sz="0" w:space="0" w:color="auto"/>
              </w:divBdr>
              <w:divsChild>
                <w:div w:id="16464574">
                  <w:marLeft w:val="0"/>
                  <w:marRight w:val="0"/>
                  <w:marTop w:val="0"/>
                  <w:marBottom w:val="0"/>
                  <w:divBdr>
                    <w:top w:val="none" w:sz="0" w:space="0" w:color="auto"/>
                    <w:left w:val="none" w:sz="0" w:space="0" w:color="auto"/>
                    <w:bottom w:val="none" w:sz="0" w:space="0" w:color="auto"/>
                    <w:right w:val="none" w:sz="0" w:space="0" w:color="auto"/>
                  </w:divBdr>
                  <w:divsChild>
                    <w:div w:id="20981229">
                      <w:marLeft w:val="0"/>
                      <w:marRight w:val="0"/>
                      <w:marTop w:val="0"/>
                      <w:marBottom w:val="0"/>
                      <w:divBdr>
                        <w:top w:val="none" w:sz="0" w:space="0" w:color="auto"/>
                        <w:left w:val="none" w:sz="0" w:space="0" w:color="auto"/>
                        <w:bottom w:val="none" w:sz="0" w:space="0" w:color="auto"/>
                        <w:right w:val="none" w:sz="0" w:space="0" w:color="auto"/>
                      </w:divBdr>
                    </w:div>
                    <w:div w:id="103352730">
                      <w:marLeft w:val="0"/>
                      <w:marRight w:val="0"/>
                      <w:marTop w:val="0"/>
                      <w:marBottom w:val="0"/>
                      <w:divBdr>
                        <w:top w:val="none" w:sz="0" w:space="0" w:color="auto"/>
                        <w:left w:val="none" w:sz="0" w:space="0" w:color="auto"/>
                        <w:bottom w:val="none" w:sz="0" w:space="0" w:color="auto"/>
                        <w:right w:val="none" w:sz="0" w:space="0" w:color="auto"/>
                      </w:divBdr>
                    </w:div>
                    <w:div w:id="421292796">
                      <w:marLeft w:val="0"/>
                      <w:marRight w:val="0"/>
                      <w:marTop w:val="0"/>
                      <w:marBottom w:val="0"/>
                      <w:divBdr>
                        <w:top w:val="none" w:sz="0" w:space="0" w:color="auto"/>
                        <w:left w:val="none" w:sz="0" w:space="0" w:color="auto"/>
                        <w:bottom w:val="none" w:sz="0" w:space="0" w:color="auto"/>
                        <w:right w:val="none" w:sz="0" w:space="0" w:color="auto"/>
                      </w:divBdr>
                    </w:div>
                    <w:div w:id="433402053">
                      <w:marLeft w:val="0"/>
                      <w:marRight w:val="0"/>
                      <w:marTop w:val="0"/>
                      <w:marBottom w:val="0"/>
                      <w:divBdr>
                        <w:top w:val="none" w:sz="0" w:space="0" w:color="auto"/>
                        <w:left w:val="none" w:sz="0" w:space="0" w:color="auto"/>
                        <w:bottom w:val="none" w:sz="0" w:space="0" w:color="auto"/>
                        <w:right w:val="none" w:sz="0" w:space="0" w:color="auto"/>
                      </w:divBdr>
                    </w:div>
                    <w:div w:id="475341387">
                      <w:marLeft w:val="0"/>
                      <w:marRight w:val="0"/>
                      <w:marTop w:val="0"/>
                      <w:marBottom w:val="0"/>
                      <w:divBdr>
                        <w:top w:val="none" w:sz="0" w:space="0" w:color="auto"/>
                        <w:left w:val="none" w:sz="0" w:space="0" w:color="auto"/>
                        <w:bottom w:val="none" w:sz="0" w:space="0" w:color="auto"/>
                        <w:right w:val="none" w:sz="0" w:space="0" w:color="auto"/>
                      </w:divBdr>
                    </w:div>
                    <w:div w:id="558322956">
                      <w:marLeft w:val="0"/>
                      <w:marRight w:val="0"/>
                      <w:marTop w:val="0"/>
                      <w:marBottom w:val="0"/>
                      <w:divBdr>
                        <w:top w:val="none" w:sz="0" w:space="0" w:color="auto"/>
                        <w:left w:val="none" w:sz="0" w:space="0" w:color="auto"/>
                        <w:bottom w:val="none" w:sz="0" w:space="0" w:color="auto"/>
                        <w:right w:val="none" w:sz="0" w:space="0" w:color="auto"/>
                      </w:divBdr>
                    </w:div>
                    <w:div w:id="585382041">
                      <w:marLeft w:val="0"/>
                      <w:marRight w:val="0"/>
                      <w:marTop w:val="0"/>
                      <w:marBottom w:val="0"/>
                      <w:divBdr>
                        <w:top w:val="none" w:sz="0" w:space="0" w:color="auto"/>
                        <w:left w:val="none" w:sz="0" w:space="0" w:color="auto"/>
                        <w:bottom w:val="none" w:sz="0" w:space="0" w:color="auto"/>
                        <w:right w:val="none" w:sz="0" w:space="0" w:color="auto"/>
                      </w:divBdr>
                    </w:div>
                    <w:div w:id="599871740">
                      <w:marLeft w:val="0"/>
                      <w:marRight w:val="0"/>
                      <w:marTop w:val="0"/>
                      <w:marBottom w:val="0"/>
                      <w:divBdr>
                        <w:top w:val="none" w:sz="0" w:space="0" w:color="auto"/>
                        <w:left w:val="none" w:sz="0" w:space="0" w:color="auto"/>
                        <w:bottom w:val="none" w:sz="0" w:space="0" w:color="auto"/>
                        <w:right w:val="none" w:sz="0" w:space="0" w:color="auto"/>
                      </w:divBdr>
                    </w:div>
                    <w:div w:id="1189828831">
                      <w:marLeft w:val="0"/>
                      <w:marRight w:val="0"/>
                      <w:marTop w:val="0"/>
                      <w:marBottom w:val="0"/>
                      <w:divBdr>
                        <w:top w:val="none" w:sz="0" w:space="0" w:color="auto"/>
                        <w:left w:val="none" w:sz="0" w:space="0" w:color="auto"/>
                        <w:bottom w:val="none" w:sz="0" w:space="0" w:color="auto"/>
                        <w:right w:val="none" w:sz="0" w:space="0" w:color="auto"/>
                      </w:divBdr>
                    </w:div>
                    <w:div w:id="1223101166">
                      <w:marLeft w:val="0"/>
                      <w:marRight w:val="0"/>
                      <w:marTop w:val="0"/>
                      <w:marBottom w:val="0"/>
                      <w:divBdr>
                        <w:top w:val="none" w:sz="0" w:space="0" w:color="auto"/>
                        <w:left w:val="none" w:sz="0" w:space="0" w:color="auto"/>
                        <w:bottom w:val="none" w:sz="0" w:space="0" w:color="auto"/>
                        <w:right w:val="none" w:sz="0" w:space="0" w:color="auto"/>
                      </w:divBdr>
                    </w:div>
                    <w:div w:id="1310094595">
                      <w:marLeft w:val="0"/>
                      <w:marRight w:val="0"/>
                      <w:marTop w:val="0"/>
                      <w:marBottom w:val="0"/>
                      <w:divBdr>
                        <w:top w:val="none" w:sz="0" w:space="0" w:color="auto"/>
                        <w:left w:val="none" w:sz="0" w:space="0" w:color="auto"/>
                        <w:bottom w:val="none" w:sz="0" w:space="0" w:color="auto"/>
                        <w:right w:val="none" w:sz="0" w:space="0" w:color="auto"/>
                      </w:divBdr>
                    </w:div>
                    <w:div w:id="1452479939">
                      <w:marLeft w:val="0"/>
                      <w:marRight w:val="0"/>
                      <w:marTop w:val="0"/>
                      <w:marBottom w:val="0"/>
                      <w:divBdr>
                        <w:top w:val="none" w:sz="0" w:space="0" w:color="auto"/>
                        <w:left w:val="none" w:sz="0" w:space="0" w:color="auto"/>
                        <w:bottom w:val="none" w:sz="0" w:space="0" w:color="auto"/>
                        <w:right w:val="none" w:sz="0" w:space="0" w:color="auto"/>
                      </w:divBdr>
                    </w:div>
                    <w:div w:id="1541241161">
                      <w:marLeft w:val="0"/>
                      <w:marRight w:val="0"/>
                      <w:marTop w:val="0"/>
                      <w:marBottom w:val="0"/>
                      <w:divBdr>
                        <w:top w:val="none" w:sz="0" w:space="0" w:color="auto"/>
                        <w:left w:val="none" w:sz="0" w:space="0" w:color="auto"/>
                        <w:bottom w:val="none" w:sz="0" w:space="0" w:color="auto"/>
                        <w:right w:val="none" w:sz="0" w:space="0" w:color="auto"/>
                      </w:divBdr>
                    </w:div>
                    <w:div w:id="1547642305">
                      <w:marLeft w:val="0"/>
                      <w:marRight w:val="0"/>
                      <w:marTop w:val="0"/>
                      <w:marBottom w:val="0"/>
                      <w:divBdr>
                        <w:top w:val="none" w:sz="0" w:space="0" w:color="auto"/>
                        <w:left w:val="none" w:sz="0" w:space="0" w:color="auto"/>
                        <w:bottom w:val="none" w:sz="0" w:space="0" w:color="auto"/>
                        <w:right w:val="none" w:sz="0" w:space="0" w:color="auto"/>
                      </w:divBdr>
                    </w:div>
                    <w:div w:id="1567644761">
                      <w:marLeft w:val="0"/>
                      <w:marRight w:val="0"/>
                      <w:marTop w:val="0"/>
                      <w:marBottom w:val="0"/>
                      <w:divBdr>
                        <w:top w:val="none" w:sz="0" w:space="0" w:color="auto"/>
                        <w:left w:val="none" w:sz="0" w:space="0" w:color="auto"/>
                        <w:bottom w:val="none" w:sz="0" w:space="0" w:color="auto"/>
                        <w:right w:val="none" w:sz="0" w:space="0" w:color="auto"/>
                      </w:divBdr>
                    </w:div>
                    <w:div w:id="1577083157">
                      <w:marLeft w:val="0"/>
                      <w:marRight w:val="0"/>
                      <w:marTop w:val="0"/>
                      <w:marBottom w:val="0"/>
                      <w:divBdr>
                        <w:top w:val="none" w:sz="0" w:space="0" w:color="auto"/>
                        <w:left w:val="none" w:sz="0" w:space="0" w:color="auto"/>
                        <w:bottom w:val="none" w:sz="0" w:space="0" w:color="auto"/>
                        <w:right w:val="none" w:sz="0" w:space="0" w:color="auto"/>
                      </w:divBdr>
                    </w:div>
                    <w:div w:id="1589844594">
                      <w:marLeft w:val="0"/>
                      <w:marRight w:val="0"/>
                      <w:marTop w:val="0"/>
                      <w:marBottom w:val="0"/>
                      <w:divBdr>
                        <w:top w:val="none" w:sz="0" w:space="0" w:color="auto"/>
                        <w:left w:val="none" w:sz="0" w:space="0" w:color="auto"/>
                        <w:bottom w:val="none" w:sz="0" w:space="0" w:color="auto"/>
                        <w:right w:val="none" w:sz="0" w:space="0" w:color="auto"/>
                      </w:divBdr>
                    </w:div>
                    <w:div w:id="1662613425">
                      <w:marLeft w:val="0"/>
                      <w:marRight w:val="0"/>
                      <w:marTop w:val="0"/>
                      <w:marBottom w:val="0"/>
                      <w:divBdr>
                        <w:top w:val="none" w:sz="0" w:space="0" w:color="auto"/>
                        <w:left w:val="none" w:sz="0" w:space="0" w:color="auto"/>
                        <w:bottom w:val="none" w:sz="0" w:space="0" w:color="auto"/>
                        <w:right w:val="none" w:sz="0" w:space="0" w:color="auto"/>
                      </w:divBdr>
                    </w:div>
                    <w:div w:id="1736317823">
                      <w:marLeft w:val="0"/>
                      <w:marRight w:val="0"/>
                      <w:marTop w:val="0"/>
                      <w:marBottom w:val="0"/>
                      <w:divBdr>
                        <w:top w:val="none" w:sz="0" w:space="0" w:color="auto"/>
                        <w:left w:val="none" w:sz="0" w:space="0" w:color="auto"/>
                        <w:bottom w:val="none" w:sz="0" w:space="0" w:color="auto"/>
                        <w:right w:val="none" w:sz="0" w:space="0" w:color="auto"/>
                      </w:divBdr>
                    </w:div>
                    <w:div w:id="1812214265">
                      <w:marLeft w:val="0"/>
                      <w:marRight w:val="0"/>
                      <w:marTop w:val="0"/>
                      <w:marBottom w:val="0"/>
                      <w:divBdr>
                        <w:top w:val="none" w:sz="0" w:space="0" w:color="auto"/>
                        <w:left w:val="none" w:sz="0" w:space="0" w:color="auto"/>
                        <w:bottom w:val="none" w:sz="0" w:space="0" w:color="auto"/>
                        <w:right w:val="none" w:sz="0" w:space="0" w:color="auto"/>
                      </w:divBdr>
                    </w:div>
                    <w:div w:id="1876043930">
                      <w:marLeft w:val="0"/>
                      <w:marRight w:val="0"/>
                      <w:marTop w:val="0"/>
                      <w:marBottom w:val="0"/>
                      <w:divBdr>
                        <w:top w:val="none" w:sz="0" w:space="0" w:color="auto"/>
                        <w:left w:val="none" w:sz="0" w:space="0" w:color="auto"/>
                        <w:bottom w:val="none" w:sz="0" w:space="0" w:color="auto"/>
                        <w:right w:val="none" w:sz="0" w:space="0" w:color="auto"/>
                      </w:divBdr>
                    </w:div>
                    <w:div w:id="1975209705">
                      <w:marLeft w:val="0"/>
                      <w:marRight w:val="0"/>
                      <w:marTop w:val="0"/>
                      <w:marBottom w:val="0"/>
                      <w:divBdr>
                        <w:top w:val="none" w:sz="0" w:space="0" w:color="auto"/>
                        <w:left w:val="none" w:sz="0" w:space="0" w:color="auto"/>
                        <w:bottom w:val="none" w:sz="0" w:space="0" w:color="auto"/>
                        <w:right w:val="none" w:sz="0" w:space="0" w:color="auto"/>
                      </w:divBdr>
                    </w:div>
                    <w:div w:id="2053340321">
                      <w:marLeft w:val="0"/>
                      <w:marRight w:val="0"/>
                      <w:marTop w:val="0"/>
                      <w:marBottom w:val="0"/>
                      <w:divBdr>
                        <w:top w:val="none" w:sz="0" w:space="0" w:color="auto"/>
                        <w:left w:val="none" w:sz="0" w:space="0" w:color="auto"/>
                        <w:bottom w:val="none" w:sz="0" w:space="0" w:color="auto"/>
                        <w:right w:val="none" w:sz="0" w:space="0" w:color="auto"/>
                      </w:divBdr>
                    </w:div>
                    <w:div w:id="2075659868">
                      <w:marLeft w:val="0"/>
                      <w:marRight w:val="0"/>
                      <w:marTop w:val="0"/>
                      <w:marBottom w:val="0"/>
                      <w:divBdr>
                        <w:top w:val="none" w:sz="0" w:space="0" w:color="auto"/>
                        <w:left w:val="none" w:sz="0" w:space="0" w:color="auto"/>
                        <w:bottom w:val="none" w:sz="0" w:space="0" w:color="auto"/>
                        <w:right w:val="none" w:sz="0" w:space="0" w:color="auto"/>
                      </w:divBdr>
                    </w:div>
                    <w:div w:id="2087605759">
                      <w:marLeft w:val="0"/>
                      <w:marRight w:val="0"/>
                      <w:marTop w:val="0"/>
                      <w:marBottom w:val="0"/>
                      <w:divBdr>
                        <w:top w:val="none" w:sz="0" w:space="0" w:color="auto"/>
                        <w:left w:val="none" w:sz="0" w:space="0" w:color="auto"/>
                        <w:bottom w:val="none" w:sz="0" w:space="0" w:color="auto"/>
                        <w:right w:val="none" w:sz="0" w:space="0" w:color="auto"/>
                      </w:divBdr>
                    </w:div>
                    <w:div w:id="2089617765">
                      <w:marLeft w:val="0"/>
                      <w:marRight w:val="0"/>
                      <w:marTop w:val="0"/>
                      <w:marBottom w:val="0"/>
                      <w:divBdr>
                        <w:top w:val="none" w:sz="0" w:space="0" w:color="auto"/>
                        <w:left w:val="none" w:sz="0" w:space="0" w:color="auto"/>
                        <w:bottom w:val="none" w:sz="0" w:space="0" w:color="auto"/>
                        <w:right w:val="none" w:sz="0" w:space="0" w:color="auto"/>
                      </w:divBdr>
                    </w:div>
                  </w:divsChild>
                </w:div>
                <w:div w:id="471796913">
                  <w:marLeft w:val="0"/>
                  <w:marRight w:val="0"/>
                  <w:marTop w:val="0"/>
                  <w:marBottom w:val="0"/>
                  <w:divBdr>
                    <w:top w:val="none" w:sz="0" w:space="0" w:color="auto"/>
                    <w:left w:val="none" w:sz="0" w:space="0" w:color="auto"/>
                    <w:bottom w:val="none" w:sz="0" w:space="0" w:color="auto"/>
                    <w:right w:val="none" w:sz="0" w:space="0" w:color="auto"/>
                  </w:divBdr>
                  <w:divsChild>
                    <w:div w:id="1655984001">
                      <w:marLeft w:val="0"/>
                      <w:marRight w:val="0"/>
                      <w:marTop w:val="0"/>
                      <w:marBottom w:val="0"/>
                      <w:divBdr>
                        <w:top w:val="none" w:sz="0" w:space="0" w:color="auto"/>
                        <w:left w:val="none" w:sz="0" w:space="0" w:color="auto"/>
                        <w:bottom w:val="none" w:sz="0" w:space="0" w:color="auto"/>
                        <w:right w:val="none" w:sz="0" w:space="0" w:color="auto"/>
                      </w:divBdr>
                    </w:div>
                  </w:divsChild>
                </w:div>
                <w:div w:id="1125926682">
                  <w:marLeft w:val="0"/>
                  <w:marRight w:val="0"/>
                  <w:marTop w:val="0"/>
                  <w:marBottom w:val="0"/>
                  <w:divBdr>
                    <w:top w:val="none" w:sz="0" w:space="0" w:color="auto"/>
                    <w:left w:val="none" w:sz="0" w:space="0" w:color="auto"/>
                    <w:bottom w:val="none" w:sz="0" w:space="0" w:color="auto"/>
                    <w:right w:val="none" w:sz="0" w:space="0" w:color="auto"/>
                  </w:divBdr>
                  <w:divsChild>
                    <w:div w:id="629626147">
                      <w:marLeft w:val="0"/>
                      <w:marRight w:val="0"/>
                      <w:marTop w:val="0"/>
                      <w:marBottom w:val="0"/>
                      <w:divBdr>
                        <w:top w:val="none" w:sz="0" w:space="0" w:color="auto"/>
                        <w:left w:val="none" w:sz="0" w:space="0" w:color="auto"/>
                        <w:bottom w:val="none" w:sz="0" w:space="0" w:color="auto"/>
                        <w:right w:val="none" w:sz="0" w:space="0" w:color="auto"/>
                      </w:divBdr>
                    </w:div>
                  </w:divsChild>
                </w:div>
                <w:div w:id="1299535138">
                  <w:marLeft w:val="0"/>
                  <w:marRight w:val="0"/>
                  <w:marTop w:val="0"/>
                  <w:marBottom w:val="0"/>
                  <w:divBdr>
                    <w:top w:val="none" w:sz="0" w:space="0" w:color="auto"/>
                    <w:left w:val="none" w:sz="0" w:space="0" w:color="auto"/>
                    <w:bottom w:val="none" w:sz="0" w:space="0" w:color="auto"/>
                    <w:right w:val="none" w:sz="0" w:space="0" w:color="auto"/>
                  </w:divBdr>
                  <w:divsChild>
                    <w:div w:id="779027078">
                      <w:marLeft w:val="0"/>
                      <w:marRight w:val="0"/>
                      <w:marTop w:val="0"/>
                      <w:marBottom w:val="0"/>
                      <w:divBdr>
                        <w:top w:val="none" w:sz="0" w:space="0" w:color="auto"/>
                        <w:left w:val="none" w:sz="0" w:space="0" w:color="auto"/>
                        <w:bottom w:val="none" w:sz="0" w:space="0" w:color="auto"/>
                        <w:right w:val="none" w:sz="0" w:space="0" w:color="auto"/>
                      </w:divBdr>
                    </w:div>
                    <w:div w:id="946229629">
                      <w:marLeft w:val="0"/>
                      <w:marRight w:val="0"/>
                      <w:marTop w:val="0"/>
                      <w:marBottom w:val="0"/>
                      <w:divBdr>
                        <w:top w:val="none" w:sz="0" w:space="0" w:color="auto"/>
                        <w:left w:val="none" w:sz="0" w:space="0" w:color="auto"/>
                        <w:bottom w:val="none" w:sz="0" w:space="0" w:color="auto"/>
                        <w:right w:val="none" w:sz="0" w:space="0" w:color="auto"/>
                      </w:divBdr>
                    </w:div>
                    <w:div w:id="1458836819">
                      <w:marLeft w:val="0"/>
                      <w:marRight w:val="0"/>
                      <w:marTop w:val="0"/>
                      <w:marBottom w:val="0"/>
                      <w:divBdr>
                        <w:top w:val="none" w:sz="0" w:space="0" w:color="auto"/>
                        <w:left w:val="none" w:sz="0" w:space="0" w:color="auto"/>
                        <w:bottom w:val="none" w:sz="0" w:space="0" w:color="auto"/>
                        <w:right w:val="none" w:sz="0" w:space="0" w:color="auto"/>
                      </w:divBdr>
                    </w:div>
                    <w:div w:id="1624535590">
                      <w:marLeft w:val="0"/>
                      <w:marRight w:val="0"/>
                      <w:marTop w:val="0"/>
                      <w:marBottom w:val="0"/>
                      <w:divBdr>
                        <w:top w:val="none" w:sz="0" w:space="0" w:color="auto"/>
                        <w:left w:val="none" w:sz="0" w:space="0" w:color="auto"/>
                        <w:bottom w:val="none" w:sz="0" w:space="0" w:color="auto"/>
                        <w:right w:val="none" w:sz="0" w:space="0" w:color="auto"/>
                      </w:divBdr>
                    </w:div>
                    <w:div w:id="1766149368">
                      <w:marLeft w:val="0"/>
                      <w:marRight w:val="0"/>
                      <w:marTop w:val="0"/>
                      <w:marBottom w:val="0"/>
                      <w:divBdr>
                        <w:top w:val="none" w:sz="0" w:space="0" w:color="auto"/>
                        <w:left w:val="none" w:sz="0" w:space="0" w:color="auto"/>
                        <w:bottom w:val="none" w:sz="0" w:space="0" w:color="auto"/>
                        <w:right w:val="none" w:sz="0" w:space="0" w:color="auto"/>
                      </w:divBdr>
                    </w:div>
                    <w:div w:id="2126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3728">
          <w:marLeft w:val="0"/>
          <w:marRight w:val="0"/>
          <w:marTop w:val="0"/>
          <w:marBottom w:val="0"/>
          <w:divBdr>
            <w:top w:val="none" w:sz="0" w:space="0" w:color="auto"/>
            <w:left w:val="none" w:sz="0" w:space="0" w:color="auto"/>
            <w:bottom w:val="none" w:sz="0" w:space="0" w:color="auto"/>
            <w:right w:val="none" w:sz="0" w:space="0" w:color="auto"/>
          </w:divBdr>
        </w:div>
        <w:div w:id="2118911012">
          <w:marLeft w:val="0"/>
          <w:marRight w:val="0"/>
          <w:marTop w:val="0"/>
          <w:marBottom w:val="0"/>
          <w:divBdr>
            <w:top w:val="none" w:sz="0" w:space="0" w:color="auto"/>
            <w:left w:val="none" w:sz="0" w:space="0" w:color="auto"/>
            <w:bottom w:val="none" w:sz="0" w:space="0" w:color="auto"/>
            <w:right w:val="none" w:sz="0" w:space="0" w:color="auto"/>
          </w:divBdr>
        </w:div>
      </w:divsChild>
    </w:div>
    <w:div w:id="1072434315">
      <w:bodyDiv w:val="1"/>
      <w:marLeft w:val="0"/>
      <w:marRight w:val="0"/>
      <w:marTop w:val="0"/>
      <w:marBottom w:val="0"/>
      <w:divBdr>
        <w:top w:val="none" w:sz="0" w:space="0" w:color="auto"/>
        <w:left w:val="none" w:sz="0" w:space="0" w:color="auto"/>
        <w:bottom w:val="none" w:sz="0" w:space="0" w:color="auto"/>
        <w:right w:val="none" w:sz="0" w:space="0" w:color="auto"/>
      </w:divBdr>
    </w:div>
    <w:div w:id="1078820211">
      <w:bodyDiv w:val="1"/>
      <w:marLeft w:val="0"/>
      <w:marRight w:val="0"/>
      <w:marTop w:val="0"/>
      <w:marBottom w:val="0"/>
      <w:divBdr>
        <w:top w:val="none" w:sz="0" w:space="0" w:color="auto"/>
        <w:left w:val="none" w:sz="0" w:space="0" w:color="auto"/>
        <w:bottom w:val="none" w:sz="0" w:space="0" w:color="auto"/>
        <w:right w:val="none" w:sz="0" w:space="0" w:color="auto"/>
      </w:divBdr>
    </w:div>
    <w:div w:id="1080639014">
      <w:bodyDiv w:val="1"/>
      <w:marLeft w:val="0"/>
      <w:marRight w:val="0"/>
      <w:marTop w:val="0"/>
      <w:marBottom w:val="0"/>
      <w:divBdr>
        <w:top w:val="none" w:sz="0" w:space="0" w:color="auto"/>
        <w:left w:val="none" w:sz="0" w:space="0" w:color="auto"/>
        <w:bottom w:val="none" w:sz="0" w:space="0" w:color="auto"/>
        <w:right w:val="none" w:sz="0" w:space="0" w:color="auto"/>
      </w:divBdr>
    </w:div>
    <w:div w:id="1083726254">
      <w:bodyDiv w:val="1"/>
      <w:marLeft w:val="0"/>
      <w:marRight w:val="0"/>
      <w:marTop w:val="0"/>
      <w:marBottom w:val="0"/>
      <w:divBdr>
        <w:top w:val="none" w:sz="0" w:space="0" w:color="auto"/>
        <w:left w:val="none" w:sz="0" w:space="0" w:color="auto"/>
        <w:bottom w:val="none" w:sz="0" w:space="0" w:color="auto"/>
        <w:right w:val="none" w:sz="0" w:space="0" w:color="auto"/>
      </w:divBdr>
    </w:div>
    <w:div w:id="1127695761">
      <w:bodyDiv w:val="1"/>
      <w:marLeft w:val="0"/>
      <w:marRight w:val="0"/>
      <w:marTop w:val="0"/>
      <w:marBottom w:val="0"/>
      <w:divBdr>
        <w:top w:val="none" w:sz="0" w:space="0" w:color="auto"/>
        <w:left w:val="none" w:sz="0" w:space="0" w:color="auto"/>
        <w:bottom w:val="none" w:sz="0" w:space="0" w:color="auto"/>
        <w:right w:val="none" w:sz="0" w:space="0" w:color="auto"/>
      </w:divBdr>
    </w:div>
    <w:div w:id="1133252841">
      <w:bodyDiv w:val="1"/>
      <w:marLeft w:val="0"/>
      <w:marRight w:val="0"/>
      <w:marTop w:val="0"/>
      <w:marBottom w:val="0"/>
      <w:divBdr>
        <w:top w:val="none" w:sz="0" w:space="0" w:color="auto"/>
        <w:left w:val="none" w:sz="0" w:space="0" w:color="auto"/>
        <w:bottom w:val="none" w:sz="0" w:space="0" w:color="auto"/>
        <w:right w:val="none" w:sz="0" w:space="0" w:color="auto"/>
      </w:divBdr>
    </w:div>
    <w:div w:id="1138111312">
      <w:bodyDiv w:val="1"/>
      <w:marLeft w:val="0"/>
      <w:marRight w:val="0"/>
      <w:marTop w:val="0"/>
      <w:marBottom w:val="0"/>
      <w:divBdr>
        <w:top w:val="none" w:sz="0" w:space="0" w:color="auto"/>
        <w:left w:val="none" w:sz="0" w:space="0" w:color="auto"/>
        <w:bottom w:val="none" w:sz="0" w:space="0" w:color="auto"/>
        <w:right w:val="none" w:sz="0" w:space="0" w:color="auto"/>
      </w:divBdr>
    </w:div>
    <w:div w:id="1152016197">
      <w:bodyDiv w:val="1"/>
      <w:marLeft w:val="0"/>
      <w:marRight w:val="0"/>
      <w:marTop w:val="0"/>
      <w:marBottom w:val="0"/>
      <w:divBdr>
        <w:top w:val="none" w:sz="0" w:space="0" w:color="auto"/>
        <w:left w:val="none" w:sz="0" w:space="0" w:color="auto"/>
        <w:bottom w:val="none" w:sz="0" w:space="0" w:color="auto"/>
        <w:right w:val="none" w:sz="0" w:space="0" w:color="auto"/>
      </w:divBdr>
    </w:div>
    <w:div w:id="1153833618">
      <w:bodyDiv w:val="1"/>
      <w:marLeft w:val="0"/>
      <w:marRight w:val="0"/>
      <w:marTop w:val="0"/>
      <w:marBottom w:val="0"/>
      <w:divBdr>
        <w:top w:val="none" w:sz="0" w:space="0" w:color="auto"/>
        <w:left w:val="none" w:sz="0" w:space="0" w:color="auto"/>
        <w:bottom w:val="none" w:sz="0" w:space="0" w:color="auto"/>
        <w:right w:val="none" w:sz="0" w:space="0" w:color="auto"/>
      </w:divBdr>
      <w:divsChild>
        <w:div w:id="96600713">
          <w:marLeft w:val="0"/>
          <w:marRight w:val="0"/>
          <w:marTop w:val="0"/>
          <w:marBottom w:val="0"/>
          <w:divBdr>
            <w:top w:val="none" w:sz="0" w:space="0" w:color="auto"/>
            <w:left w:val="none" w:sz="0" w:space="0" w:color="auto"/>
            <w:bottom w:val="none" w:sz="0" w:space="0" w:color="auto"/>
            <w:right w:val="none" w:sz="0" w:space="0" w:color="auto"/>
          </w:divBdr>
        </w:div>
      </w:divsChild>
    </w:div>
    <w:div w:id="1185948345">
      <w:bodyDiv w:val="1"/>
      <w:marLeft w:val="0"/>
      <w:marRight w:val="0"/>
      <w:marTop w:val="0"/>
      <w:marBottom w:val="0"/>
      <w:divBdr>
        <w:top w:val="none" w:sz="0" w:space="0" w:color="auto"/>
        <w:left w:val="none" w:sz="0" w:space="0" w:color="auto"/>
        <w:bottom w:val="none" w:sz="0" w:space="0" w:color="auto"/>
        <w:right w:val="none" w:sz="0" w:space="0" w:color="auto"/>
      </w:divBdr>
    </w:div>
    <w:div w:id="1211570393">
      <w:bodyDiv w:val="1"/>
      <w:marLeft w:val="0"/>
      <w:marRight w:val="0"/>
      <w:marTop w:val="0"/>
      <w:marBottom w:val="0"/>
      <w:divBdr>
        <w:top w:val="none" w:sz="0" w:space="0" w:color="auto"/>
        <w:left w:val="none" w:sz="0" w:space="0" w:color="auto"/>
        <w:bottom w:val="none" w:sz="0" w:space="0" w:color="auto"/>
        <w:right w:val="none" w:sz="0" w:space="0" w:color="auto"/>
      </w:divBdr>
    </w:div>
    <w:div w:id="1217471823">
      <w:bodyDiv w:val="1"/>
      <w:marLeft w:val="0"/>
      <w:marRight w:val="0"/>
      <w:marTop w:val="0"/>
      <w:marBottom w:val="0"/>
      <w:divBdr>
        <w:top w:val="none" w:sz="0" w:space="0" w:color="auto"/>
        <w:left w:val="none" w:sz="0" w:space="0" w:color="auto"/>
        <w:bottom w:val="none" w:sz="0" w:space="0" w:color="auto"/>
        <w:right w:val="none" w:sz="0" w:space="0" w:color="auto"/>
      </w:divBdr>
    </w:div>
    <w:div w:id="1255438414">
      <w:bodyDiv w:val="1"/>
      <w:marLeft w:val="0"/>
      <w:marRight w:val="0"/>
      <w:marTop w:val="0"/>
      <w:marBottom w:val="0"/>
      <w:divBdr>
        <w:top w:val="none" w:sz="0" w:space="0" w:color="auto"/>
        <w:left w:val="none" w:sz="0" w:space="0" w:color="auto"/>
        <w:bottom w:val="none" w:sz="0" w:space="0" w:color="auto"/>
        <w:right w:val="none" w:sz="0" w:space="0" w:color="auto"/>
      </w:divBdr>
    </w:div>
    <w:div w:id="1256788430">
      <w:bodyDiv w:val="1"/>
      <w:marLeft w:val="0"/>
      <w:marRight w:val="0"/>
      <w:marTop w:val="0"/>
      <w:marBottom w:val="0"/>
      <w:divBdr>
        <w:top w:val="none" w:sz="0" w:space="0" w:color="auto"/>
        <w:left w:val="none" w:sz="0" w:space="0" w:color="auto"/>
        <w:bottom w:val="none" w:sz="0" w:space="0" w:color="auto"/>
        <w:right w:val="none" w:sz="0" w:space="0" w:color="auto"/>
      </w:divBdr>
    </w:div>
    <w:div w:id="1272855709">
      <w:bodyDiv w:val="1"/>
      <w:marLeft w:val="0"/>
      <w:marRight w:val="0"/>
      <w:marTop w:val="0"/>
      <w:marBottom w:val="0"/>
      <w:divBdr>
        <w:top w:val="none" w:sz="0" w:space="0" w:color="auto"/>
        <w:left w:val="none" w:sz="0" w:space="0" w:color="auto"/>
        <w:bottom w:val="none" w:sz="0" w:space="0" w:color="auto"/>
        <w:right w:val="none" w:sz="0" w:space="0" w:color="auto"/>
      </w:divBdr>
    </w:div>
    <w:div w:id="1280990564">
      <w:bodyDiv w:val="1"/>
      <w:marLeft w:val="0"/>
      <w:marRight w:val="0"/>
      <w:marTop w:val="0"/>
      <w:marBottom w:val="0"/>
      <w:divBdr>
        <w:top w:val="none" w:sz="0" w:space="0" w:color="auto"/>
        <w:left w:val="none" w:sz="0" w:space="0" w:color="auto"/>
        <w:bottom w:val="none" w:sz="0" w:space="0" w:color="auto"/>
        <w:right w:val="none" w:sz="0" w:space="0" w:color="auto"/>
      </w:divBdr>
    </w:div>
    <w:div w:id="1283338475">
      <w:bodyDiv w:val="1"/>
      <w:marLeft w:val="0"/>
      <w:marRight w:val="0"/>
      <w:marTop w:val="0"/>
      <w:marBottom w:val="0"/>
      <w:divBdr>
        <w:top w:val="none" w:sz="0" w:space="0" w:color="auto"/>
        <w:left w:val="none" w:sz="0" w:space="0" w:color="auto"/>
        <w:bottom w:val="none" w:sz="0" w:space="0" w:color="auto"/>
        <w:right w:val="none" w:sz="0" w:space="0" w:color="auto"/>
      </w:divBdr>
    </w:div>
    <w:div w:id="1305543091">
      <w:bodyDiv w:val="1"/>
      <w:marLeft w:val="0"/>
      <w:marRight w:val="0"/>
      <w:marTop w:val="0"/>
      <w:marBottom w:val="0"/>
      <w:divBdr>
        <w:top w:val="none" w:sz="0" w:space="0" w:color="auto"/>
        <w:left w:val="none" w:sz="0" w:space="0" w:color="auto"/>
        <w:bottom w:val="none" w:sz="0" w:space="0" w:color="auto"/>
        <w:right w:val="none" w:sz="0" w:space="0" w:color="auto"/>
      </w:divBdr>
    </w:div>
    <w:div w:id="1310211051">
      <w:bodyDiv w:val="1"/>
      <w:marLeft w:val="0"/>
      <w:marRight w:val="0"/>
      <w:marTop w:val="0"/>
      <w:marBottom w:val="0"/>
      <w:divBdr>
        <w:top w:val="none" w:sz="0" w:space="0" w:color="auto"/>
        <w:left w:val="none" w:sz="0" w:space="0" w:color="auto"/>
        <w:bottom w:val="none" w:sz="0" w:space="0" w:color="auto"/>
        <w:right w:val="none" w:sz="0" w:space="0" w:color="auto"/>
      </w:divBdr>
    </w:div>
    <w:div w:id="1320888827">
      <w:bodyDiv w:val="1"/>
      <w:marLeft w:val="0"/>
      <w:marRight w:val="0"/>
      <w:marTop w:val="0"/>
      <w:marBottom w:val="0"/>
      <w:divBdr>
        <w:top w:val="none" w:sz="0" w:space="0" w:color="auto"/>
        <w:left w:val="none" w:sz="0" w:space="0" w:color="auto"/>
        <w:bottom w:val="none" w:sz="0" w:space="0" w:color="auto"/>
        <w:right w:val="none" w:sz="0" w:space="0" w:color="auto"/>
      </w:divBdr>
    </w:div>
    <w:div w:id="1333604795">
      <w:bodyDiv w:val="1"/>
      <w:marLeft w:val="0"/>
      <w:marRight w:val="0"/>
      <w:marTop w:val="0"/>
      <w:marBottom w:val="0"/>
      <w:divBdr>
        <w:top w:val="none" w:sz="0" w:space="0" w:color="auto"/>
        <w:left w:val="none" w:sz="0" w:space="0" w:color="auto"/>
        <w:bottom w:val="none" w:sz="0" w:space="0" w:color="auto"/>
        <w:right w:val="none" w:sz="0" w:space="0" w:color="auto"/>
      </w:divBdr>
    </w:div>
    <w:div w:id="1343894287">
      <w:bodyDiv w:val="1"/>
      <w:marLeft w:val="0"/>
      <w:marRight w:val="0"/>
      <w:marTop w:val="0"/>
      <w:marBottom w:val="0"/>
      <w:divBdr>
        <w:top w:val="none" w:sz="0" w:space="0" w:color="auto"/>
        <w:left w:val="none" w:sz="0" w:space="0" w:color="auto"/>
        <w:bottom w:val="none" w:sz="0" w:space="0" w:color="auto"/>
        <w:right w:val="none" w:sz="0" w:space="0" w:color="auto"/>
      </w:divBdr>
    </w:div>
    <w:div w:id="1347707013">
      <w:bodyDiv w:val="1"/>
      <w:marLeft w:val="0"/>
      <w:marRight w:val="0"/>
      <w:marTop w:val="0"/>
      <w:marBottom w:val="0"/>
      <w:divBdr>
        <w:top w:val="none" w:sz="0" w:space="0" w:color="auto"/>
        <w:left w:val="none" w:sz="0" w:space="0" w:color="auto"/>
        <w:bottom w:val="none" w:sz="0" w:space="0" w:color="auto"/>
        <w:right w:val="none" w:sz="0" w:space="0" w:color="auto"/>
      </w:divBdr>
    </w:div>
    <w:div w:id="1360547390">
      <w:bodyDiv w:val="1"/>
      <w:marLeft w:val="0"/>
      <w:marRight w:val="0"/>
      <w:marTop w:val="0"/>
      <w:marBottom w:val="0"/>
      <w:divBdr>
        <w:top w:val="none" w:sz="0" w:space="0" w:color="auto"/>
        <w:left w:val="none" w:sz="0" w:space="0" w:color="auto"/>
        <w:bottom w:val="none" w:sz="0" w:space="0" w:color="auto"/>
        <w:right w:val="none" w:sz="0" w:space="0" w:color="auto"/>
      </w:divBdr>
    </w:div>
    <w:div w:id="1369838208">
      <w:bodyDiv w:val="1"/>
      <w:marLeft w:val="0"/>
      <w:marRight w:val="0"/>
      <w:marTop w:val="0"/>
      <w:marBottom w:val="0"/>
      <w:divBdr>
        <w:top w:val="none" w:sz="0" w:space="0" w:color="auto"/>
        <w:left w:val="none" w:sz="0" w:space="0" w:color="auto"/>
        <w:bottom w:val="none" w:sz="0" w:space="0" w:color="auto"/>
        <w:right w:val="none" w:sz="0" w:space="0" w:color="auto"/>
      </w:divBdr>
    </w:div>
    <w:div w:id="1381857333">
      <w:bodyDiv w:val="1"/>
      <w:marLeft w:val="0"/>
      <w:marRight w:val="0"/>
      <w:marTop w:val="0"/>
      <w:marBottom w:val="0"/>
      <w:divBdr>
        <w:top w:val="none" w:sz="0" w:space="0" w:color="auto"/>
        <w:left w:val="none" w:sz="0" w:space="0" w:color="auto"/>
        <w:bottom w:val="none" w:sz="0" w:space="0" w:color="auto"/>
        <w:right w:val="none" w:sz="0" w:space="0" w:color="auto"/>
      </w:divBdr>
    </w:div>
    <w:div w:id="1390374972">
      <w:bodyDiv w:val="1"/>
      <w:marLeft w:val="0"/>
      <w:marRight w:val="0"/>
      <w:marTop w:val="0"/>
      <w:marBottom w:val="0"/>
      <w:divBdr>
        <w:top w:val="none" w:sz="0" w:space="0" w:color="auto"/>
        <w:left w:val="none" w:sz="0" w:space="0" w:color="auto"/>
        <w:bottom w:val="none" w:sz="0" w:space="0" w:color="auto"/>
        <w:right w:val="none" w:sz="0" w:space="0" w:color="auto"/>
      </w:divBdr>
    </w:div>
    <w:div w:id="1406758521">
      <w:bodyDiv w:val="1"/>
      <w:marLeft w:val="0"/>
      <w:marRight w:val="0"/>
      <w:marTop w:val="0"/>
      <w:marBottom w:val="0"/>
      <w:divBdr>
        <w:top w:val="none" w:sz="0" w:space="0" w:color="auto"/>
        <w:left w:val="none" w:sz="0" w:space="0" w:color="auto"/>
        <w:bottom w:val="none" w:sz="0" w:space="0" w:color="auto"/>
        <w:right w:val="none" w:sz="0" w:space="0" w:color="auto"/>
      </w:divBdr>
    </w:div>
    <w:div w:id="1421565970">
      <w:bodyDiv w:val="1"/>
      <w:marLeft w:val="0"/>
      <w:marRight w:val="0"/>
      <w:marTop w:val="0"/>
      <w:marBottom w:val="0"/>
      <w:divBdr>
        <w:top w:val="none" w:sz="0" w:space="0" w:color="auto"/>
        <w:left w:val="none" w:sz="0" w:space="0" w:color="auto"/>
        <w:bottom w:val="none" w:sz="0" w:space="0" w:color="auto"/>
        <w:right w:val="none" w:sz="0" w:space="0" w:color="auto"/>
      </w:divBdr>
    </w:div>
    <w:div w:id="1422526740">
      <w:bodyDiv w:val="1"/>
      <w:marLeft w:val="0"/>
      <w:marRight w:val="0"/>
      <w:marTop w:val="0"/>
      <w:marBottom w:val="0"/>
      <w:divBdr>
        <w:top w:val="none" w:sz="0" w:space="0" w:color="auto"/>
        <w:left w:val="none" w:sz="0" w:space="0" w:color="auto"/>
        <w:bottom w:val="none" w:sz="0" w:space="0" w:color="auto"/>
        <w:right w:val="none" w:sz="0" w:space="0" w:color="auto"/>
      </w:divBdr>
    </w:div>
    <w:div w:id="1423066492">
      <w:bodyDiv w:val="1"/>
      <w:marLeft w:val="0"/>
      <w:marRight w:val="0"/>
      <w:marTop w:val="0"/>
      <w:marBottom w:val="0"/>
      <w:divBdr>
        <w:top w:val="none" w:sz="0" w:space="0" w:color="auto"/>
        <w:left w:val="none" w:sz="0" w:space="0" w:color="auto"/>
        <w:bottom w:val="none" w:sz="0" w:space="0" w:color="auto"/>
        <w:right w:val="none" w:sz="0" w:space="0" w:color="auto"/>
      </w:divBdr>
    </w:div>
    <w:div w:id="1431656931">
      <w:bodyDiv w:val="1"/>
      <w:marLeft w:val="0"/>
      <w:marRight w:val="0"/>
      <w:marTop w:val="0"/>
      <w:marBottom w:val="0"/>
      <w:divBdr>
        <w:top w:val="none" w:sz="0" w:space="0" w:color="auto"/>
        <w:left w:val="none" w:sz="0" w:space="0" w:color="auto"/>
        <w:bottom w:val="none" w:sz="0" w:space="0" w:color="auto"/>
        <w:right w:val="none" w:sz="0" w:space="0" w:color="auto"/>
      </w:divBdr>
    </w:div>
    <w:div w:id="1437095478">
      <w:bodyDiv w:val="1"/>
      <w:marLeft w:val="0"/>
      <w:marRight w:val="0"/>
      <w:marTop w:val="0"/>
      <w:marBottom w:val="0"/>
      <w:divBdr>
        <w:top w:val="none" w:sz="0" w:space="0" w:color="auto"/>
        <w:left w:val="none" w:sz="0" w:space="0" w:color="auto"/>
        <w:bottom w:val="none" w:sz="0" w:space="0" w:color="auto"/>
        <w:right w:val="none" w:sz="0" w:space="0" w:color="auto"/>
      </w:divBdr>
    </w:div>
    <w:div w:id="1440368347">
      <w:bodyDiv w:val="1"/>
      <w:marLeft w:val="0"/>
      <w:marRight w:val="0"/>
      <w:marTop w:val="0"/>
      <w:marBottom w:val="0"/>
      <w:divBdr>
        <w:top w:val="none" w:sz="0" w:space="0" w:color="auto"/>
        <w:left w:val="none" w:sz="0" w:space="0" w:color="auto"/>
        <w:bottom w:val="none" w:sz="0" w:space="0" w:color="auto"/>
        <w:right w:val="none" w:sz="0" w:space="0" w:color="auto"/>
      </w:divBdr>
    </w:div>
    <w:div w:id="1446458368">
      <w:bodyDiv w:val="1"/>
      <w:marLeft w:val="0"/>
      <w:marRight w:val="0"/>
      <w:marTop w:val="0"/>
      <w:marBottom w:val="0"/>
      <w:divBdr>
        <w:top w:val="none" w:sz="0" w:space="0" w:color="auto"/>
        <w:left w:val="none" w:sz="0" w:space="0" w:color="auto"/>
        <w:bottom w:val="none" w:sz="0" w:space="0" w:color="auto"/>
        <w:right w:val="none" w:sz="0" w:space="0" w:color="auto"/>
      </w:divBdr>
      <w:divsChild>
        <w:div w:id="1398045123">
          <w:marLeft w:val="0"/>
          <w:marRight w:val="0"/>
          <w:marTop w:val="0"/>
          <w:marBottom w:val="0"/>
          <w:divBdr>
            <w:top w:val="none" w:sz="0" w:space="0" w:color="auto"/>
            <w:left w:val="none" w:sz="0" w:space="0" w:color="auto"/>
            <w:bottom w:val="none" w:sz="0" w:space="0" w:color="auto"/>
            <w:right w:val="none" w:sz="0" w:space="0" w:color="auto"/>
          </w:divBdr>
        </w:div>
      </w:divsChild>
    </w:div>
    <w:div w:id="1456414349">
      <w:bodyDiv w:val="1"/>
      <w:marLeft w:val="0"/>
      <w:marRight w:val="0"/>
      <w:marTop w:val="0"/>
      <w:marBottom w:val="0"/>
      <w:divBdr>
        <w:top w:val="none" w:sz="0" w:space="0" w:color="auto"/>
        <w:left w:val="none" w:sz="0" w:space="0" w:color="auto"/>
        <w:bottom w:val="none" w:sz="0" w:space="0" w:color="auto"/>
        <w:right w:val="none" w:sz="0" w:space="0" w:color="auto"/>
      </w:divBdr>
    </w:div>
    <w:div w:id="1460148063">
      <w:bodyDiv w:val="1"/>
      <w:marLeft w:val="0"/>
      <w:marRight w:val="0"/>
      <w:marTop w:val="0"/>
      <w:marBottom w:val="0"/>
      <w:divBdr>
        <w:top w:val="none" w:sz="0" w:space="0" w:color="auto"/>
        <w:left w:val="none" w:sz="0" w:space="0" w:color="auto"/>
        <w:bottom w:val="none" w:sz="0" w:space="0" w:color="auto"/>
        <w:right w:val="none" w:sz="0" w:space="0" w:color="auto"/>
      </w:divBdr>
    </w:div>
    <w:div w:id="1465074547">
      <w:bodyDiv w:val="1"/>
      <w:marLeft w:val="0"/>
      <w:marRight w:val="0"/>
      <w:marTop w:val="0"/>
      <w:marBottom w:val="0"/>
      <w:divBdr>
        <w:top w:val="none" w:sz="0" w:space="0" w:color="auto"/>
        <w:left w:val="none" w:sz="0" w:space="0" w:color="auto"/>
        <w:bottom w:val="none" w:sz="0" w:space="0" w:color="auto"/>
        <w:right w:val="none" w:sz="0" w:space="0" w:color="auto"/>
      </w:divBdr>
    </w:div>
    <w:div w:id="1472987877">
      <w:bodyDiv w:val="1"/>
      <w:marLeft w:val="0"/>
      <w:marRight w:val="0"/>
      <w:marTop w:val="0"/>
      <w:marBottom w:val="0"/>
      <w:divBdr>
        <w:top w:val="none" w:sz="0" w:space="0" w:color="auto"/>
        <w:left w:val="none" w:sz="0" w:space="0" w:color="auto"/>
        <w:bottom w:val="none" w:sz="0" w:space="0" w:color="auto"/>
        <w:right w:val="none" w:sz="0" w:space="0" w:color="auto"/>
      </w:divBdr>
    </w:div>
    <w:div w:id="1478181998">
      <w:bodyDiv w:val="1"/>
      <w:marLeft w:val="0"/>
      <w:marRight w:val="0"/>
      <w:marTop w:val="0"/>
      <w:marBottom w:val="0"/>
      <w:divBdr>
        <w:top w:val="none" w:sz="0" w:space="0" w:color="auto"/>
        <w:left w:val="none" w:sz="0" w:space="0" w:color="auto"/>
        <w:bottom w:val="none" w:sz="0" w:space="0" w:color="auto"/>
        <w:right w:val="none" w:sz="0" w:space="0" w:color="auto"/>
      </w:divBdr>
    </w:div>
    <w:div w:id="1487892754">
      <w:bodyDiv w:val="1"/>
      <w:marLeft w:val="0"/>
      <w:marRight w:val="0"/>
      <w:marTop w:val="0"/>
      <w:marBottom w:val="0"/>
      <w:divBdr>
        <w:top w:val="none" w:sz="0" w:space="0" w:color="auto"/>
        <w:left w:val="none" w:sz="0" w:space="0" w:color="auto"/>
        <w:bottom w:val="none" w:sz="0" w:space="0" w:color="auto"/>
        <w:right w:val="none" w:sz="0" w:space="0" w:color="auto"/>
      </w:divBdr>
    </w:div>
    <w:div w:id="1489394732">
      <w:bodyDiv w:val="1"/>
      <w:marLeft w:val="0"/>
      <w:marRight w:val="0"/>
      <w:marTop w:val="0"/>
      <w:marBottom w:val="0"/>
      <w:divBdr>
        <w:top w:val="none" w:sz="0" w:space="0" w:color="auto"/>
        <w:left w:val="none" w:sz="0" w:space="0" w:color="auto"/>
        <w:bottom w:val="none" w:sz="0" w:space="0" w:color="auto"/>
        <w:right w:val="none" w:sz="0" w:space="0" w:color="auto"/>
      </w:divBdr>
    </w:div>
    <w:div w:id="1525634915">
      <w:bodyDiv w:val="1"/>
      <w:marLeft w:val="0"/>
      <w:marRight w:val="0"/>
      <w:marTop w:val="0"/>
      <w:marBottom w:val="0"/>
      <w:divBdr>
        <w:top w:val="none" w:sz="0" w:space="0" w:color="auto"/>
        <w:left w:val="none" w:sz="0" w:space="0" w:color="auto"/>
        <w:bottom w:val="none" w:sz="0" w:space="0" w:color="auto"/>
        <w:right w:val="none" w:sz="0" w:space="0" w:color="auto"/>
      </w:divBdr>
    </w:div>
    <w:div w:id="1526208806">
      <w:bodyDiv w:val="1"/>
      <w:marLeft w:val="0"/>
      <w:marRight w:val="0"/>
      <w:marTop w:val="0"/>
      <w:marBottom w:val="0"/>
      <w:divBdr>
        <w:top w:val="none" w:sz="0" w:space="0" w:color="auto"/>
        <w:left w:val="none" w:sz="0" w:space="0" w:color="auto"/>
        <w:bottom w:val="none" w:sz="0" w:space="0" w:color="auto"/>
        <w:right w:val="none" w:sz="0" w:space="0" w:color="auto"/>
      </w:divBdr>
    </w:div>
    <w:div w:id="1528330632">
      <w:bodyDiv w:val="1"/>
      <w:marLeft w:val="0"/>
      <w:marRight w:val="0"/>
      <w:marTop w:val="0"/>
      <w:marBottom w:val="0"/>
      <w:divBdr>
        <w:top w:val="none" w:sz="0" w:space="0" w:color="auto"/>
        <w:left w:val="none" w:sz="0" w:space="0" w:color="auto"/>
        <w:bottom w:val="none" w:sz="0" w:space="0" w:color="auto"/>
        <w:right w:val="none" w:sz="0" w:space="0" w:color="auto"/>
      </w:divBdr>
      <w:divsChild>
        <w:div w:id="243534017">
          <w:marLeft w:val="0"/>
          <w:marRight w:val="0"/>
          <w:marTop w:val="0"/>
          <w:marBottom w:val="0"/>
          <w:divBdr>
            <w:top w:val="none" w:sz="0" w:space="0" w:color="auto"/>
            <w:left w:val="none" w:sz="0" w:space="0" w:color="auto"/>
            <w:bottom w:val="none" w:sz="0" w:space="0" w:color="auto"/>
            <w:right w:val="none" w:sz="0" w:space="0" w:color="auto"/>
          </w:divBdr>
          <w:divsChild>
            <w:div w:id="673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8339">
      <w:bodyDiv w:val="1"/>
      <w:marLeft w:val="0"/>
      <w:marRight w:val="0"/>
      <w:marTop w:val="0"/>
      <w:marBottom w:val="0"/>
      <w:divBdr>
        <w:top w:val="none" w:sz="0" w:space="0" w:color="auto"/>
        <w:left w:val="none" w:sz="0" w:space="0" w:color="auto"/>
        <w:bottom w:val="none" w:sz="0" w:space="0" w:color="auto"/>
        <w:right w:val="none" w:sz="0" w:space="0" w:color="auto"/>
      </w:divBdr>
    </w:div>
    <w:div w:id="1578590618">
      <w:bodyDiv w:val="1"/>
      <w:marLeft w:val="0"/>
      <w:marRight w:val="0"/>
      <w:marTop w:val="0"/>
      <w:marBottom w:val="0"/>
      <w:divBdr>
        <w:top w:val="none" w:sz="0" w:space="0" w:color="auto"/>
        <w:left w:val="none" w:sz="0" w:space="0" w:color="auto"/>
        <w:bottom w:val="none" w:sz="0" w:space="0" w:color="auto"/>
        <w:right w:val="none" w:sz="0" w:space="0" w:color="auto"/>
      </w:divBdr>
    </w:div>
    <w:div w:id="1590699619">
      <w:bodyDiv w:val="1"/>
      <w:marLeft w:val="0"/>
      <w:marRight w:val="0"/>
      <w:marTop w:val="0"/>
      <w:marBottom w:val="0"/>
      <w:divBdr>
        <w:top w:val="none" w:sz="0" w:space="0" w:color="auto"/>
        <w:left w:val="none" w:sz="0" w:space="0" w:color="auto"/>
        <w:bottom w:val="none" w:sz="0" w:space="0" w:color="auto"/>
        <w:right w:val="none" w:sz="0" w:space="0" w:color="auto"/>
      </w:divBdr>
    </w:div>
    <w:div w:id="1598979545">
      <w:bodyDiv w:val="1"/>
      <w:marLeft w:val="0"/>
      <w:marRight w:val="0"/>
      <w:marTop w:val="0"/>
      <w:marBottom w:val="0"/>
      <w:divBdr>
        <w:top w:val="none" w:sz="0" w:space="0" w:color="auto"/>
        <w:left w:val="none" w:sz="0" w:space="0" w:color="auto"/>
        <w:bottom w:val="none" w:sz="0" w:space="0" w:color="auto"/>
        <w:right w:val="none" w:sz="0" w:space="0" w:color="auto"/>
      </w:divBdr>
    </w:div>
    <w:div w:id="1622805220">
      <w:bodyDiv w:val="1"/>
      <w:marLeft w:val="0"/>
      <w:marRight w:val="0"/>
      <w:marTop w:val="0"/>
      <w:marBottom w:val="0"/>
      <w:divBdr>
        <w:top w:val="none" w:sz="0" w:space="0" w:color="auto"/>
        <w:left w:val="none" w:sz="0" w:space="0" w:color="auto"/>
        <w:bottom w:val="none" w:sz="0" w:space="0" w:color="auto"/>
        <w:right w:val="none" w:sz="0" w:space="0" w:color="auto"/>
      </w:divBdr>
    </w:div>
    <w:div w:id="1626541429">
      <w:bodyDiv w:val="1"/>
      <w:marLeft w:val="0"/>
      <w:marRight w:val="0"/>
      <w:marTop w:val="0"/>
      <w:marBottom w:val="0"/>
      <w:divBdr>
        <w:top w:val="none" w:sz="0" w:space="0" w:color="auto"/>
        <w:left w:val="none" w:sz="0" w:space="0" w:color="auto"/>
        <w:bottom w:val="none" w:sz="0" w:space="0" w:color="auto"/>
        <w:right w:val="none" w:sz="0" w:space="0" w:color="auto"/>
      </w:divBdr>
    </w:div>
    <w:div w:id="1630748031">
      <w:bodyDiv w:val="1"/>
      <w:marLeft w:val="0"/>
      <w:marRight w:val="0"/>
      <w:marTop w:val="0"/>
      <w:marBottom w:val="0"/>
      <w:divBdr>
        <w:top w:val="none" w:sz="0" w:space="0" w:color="auto"/>
        <w:left w:val="none" w:sz="0" w:space="0" w:color="auto"/>
        <w:bottom w:val="none" w:sz="0" w:space="0" w:color="auto"/>
        <w:right w:val="none" w:sz="0" w:space="0" w:color="auto"/>
      </w:divBdr>
    </w:div>
    <w:div w:id="1640300854">
      <w:bodyDiv w:val="1"/>
      <w:marLeft w:val="0"/>
      <w:marRight w:val="0"/>
      <w:marTop w:val="0"/>
      <w:marBottom w:val="0"/>
      <w:divBdr>
        <w:top w:val="none" w:sz="0" w:space="0" w:color="auto"/>
        <w:left w:val="none" w:sz="0" w:space="0" w:color="auto"/>
        <w:bottom w:val="none" w:sz="0" w:space="0" w:color="auto"/>
        <w:right w:val="none" w:sz="0" w:space="0" w:color="auto"/>
      </w:divBdr>
      <w:divsChild>
        <w:div w:id="2904607">
          <w:marLeft w:val="0"/>
          <w:marRight w:val="0"/>
          <w:marTop w:val="0"/>
          <w:marBottom w:val="0"/>
          <w:divBdr>
            <w:top w:val="none" w:sz="0" w:space="0" w:color="auto"/>
            <w:left w:val="none" w:sz="0" w:space="0" w:color="auto"/>
            <w:bottom w:val="none" w:sz="0" w:space="0" w:color="auto"/>
            <w:right w:val="none" w:sz="0" w:space="0" w:color="auto"/>
          </w:divBdr>
          <w:divsChild>
            <w:div w:id="24713901">
              <w:marLeft w:val="0"/>
              <w:marRight w:val="0"/>
              <w:marTop w:val="0"/>
              <w:marBottom w:val="0"/>
              <w:divBdr>
                <w:top w:val="none" w:sz="0" w:space="0" w:color="auto"/>
                <w:left w:val="none" w:sz="0" w:space="0" w:color="auto"/>
                <w:bottom w:val="none" w:sz="0" w:space="0" w:color="auto"/>
                <w:right w:val="none" w:sz="0" w:space="0" w:color="auto"/>
              </w:divBdr>
            </w:div>
            <w:div w:id="739910678">
              <w:marLeft w:val="0"/>
              <w:marRight w:val="0"/>
              <w:marTop w:val="0"/>
              <w:marBottom w:val="0"/>
              <w:divBdr>
                <w:top w:val="none" w:sz="0" w:space="0" w:color="auto"/>
                <w:left w:val="none" w:sz="0" w:space="0" w:color="auto"/>
                <w:bottom w:val="none" w:sz="0" w:space="0" w:color="auto"/>
                <w:right w:val="none" w:sz="0" w:space="0" w:color="auto"/>
              </w:divBdr>
            </w:div>
            <w:div w:id="888878517">
              <w:marLeft w:val="0"/>
              <w:marRight w:val="0"/>
              <w:marTop w:val="0"/>
              <w:marBottom w:val="0"/>
              <w:divBdr>
                <w:top w:val="none" w:sz="0" w:space="0" w:color="auto"/>
                <w:left w:val="none" w:sz="0" w:space="0" w:color="auto"/>
                <w:bottom w:val="none" w:sz="0" w:space="0" w:color="auto"/>
                <w:right w:val="none" w:sz="0" w:space="0" w:color="auto"/>
              </w:divBdr>
            </w:div>
            <w:div w:id="1529489288">
              <w:marLeft w:val="0"/>
              <w:marRight w:val="0"/>
              <w:marTop w:val="0"/>
              <w:marBottom w:val="0"/>
              <w:divBdr>
                <w:top w:val="none" w:sz="0" w:space="0" w:color="auto"/>
                <w:left w:val="none" w:sz="0" w:space="0" w:color="auto"/>
                <w:bottom w:val="none" w:sz="0" w:space="0" w:color="auto"/>
                <w:right w:val="none" w:sz="0" w:space="0" w:color="auto"/>
              </w:divBdr>
            </w:div>
            <w:div w:id="2063165888">
              <w:marLeft w:val="0"/>
              <w:marRight w:val="0"/>
              <w:marTop w:val="0"/>
              <w:marBottom w:val="0"/>
              <w:divBdr>
                <w:top w:val="none" w:sz="0" w:space="0" w:color="auto"/>
                <w:left w:val="none" w:sz="0" w:space="0" w:color="auto"/>
                <w:bottom w:val="none" w:sz="0" w:space="0" w:color="auto"/>
                <w:right w:val="none" w:sz="0" w:space="0" w:color="auto"/>
              </w:divBdr>
            </w:div>
          </w:divsChild>
        </w:div>
        <w:div w:id="42336513">
          <w:marLeft w:val="0"/>
          <w:marRight w:val="0"/>
          <w:marTop w:val="0"/>
          <w:marBottom w:val="0"/>
          <w:divBdr>
            <w:top w:val="none" w:sz="0" w:space="0" w:color="auto"/>
            <w:left w:val="none" w:sz="0" w:space="0" w:color="auto"/>
            <w:bottom w:val="none" w:sz="0" w:space="0" w:color="auto"/>
            <w:right w:val="none" w:sz="0" w:space="0" w:color="auto"/>
          </w:divBdr>
          <w:divsChild>
            <w:div w:id="47539425">
              <w:marLeft w:val="0"/>
              <w:marRight w:val="0"/>
              <w:marTop w:val="0"/>
              <w:marBottom w:val="0"/>
              <w:divBdr>
                <w:top w:val="none" w:sz="0" w:space="0" w:color="auto"/>
                <w:left w:val="none" w:sz="0" w:space="0" w:color="auto"/>
                <w:bottom w:val="none" w:sz="0" w:space="0" w:color="auto"/>
                <w:right w:val="none" w:sz="0" w:space="0" w:color="auto"/>
              </w:divBdr>
            </w:div>
            <w:div w:id="206184804">
              <w:marLeft w:val="0"/>
              <w:marRight w:val="0"/>
              <w:marTop w:val="0"/>
              <w:marBottom w:val="0"/>
              <w:divBdr>
                <w:top w:val="none" w:sz="0" w:space="0" w:color="auto"/>
                <w:left w:val="none" w:sz="0" w:space="0" w:color="auto"/>
                <w:bottom w:val="none" w:sz="0" w:space="0" w:color="auto"/>
                <w:right w:val="none" w:sz="0" w:space="0" w:color="auto"/>
              </w:divBdr>
            </w:div>
            <w:div w:id="281688422">
              <w:marLeft w:val="0"/>
              <w:marRight w:val="0"/>
              <w:marTop w:val="0"/>
              <w:marBottom w:val="0"/>
              <w:divBdr>
                <w:top w:val="none" w:sz="0" w:space="0" w:color="auto"/>
                <w:left w:val="none" w:sz="0" w:space="0" w:color="auto"/>
                <w:bottom w:val="none" w:sz="0" w:space="0" w:color="auto"/>
                <w:right w:val="none" w:sz="0" w:space="0" w:color="auto"/>
              </w:divBdr>
            </w:div>
            <w:div w:id="443351080">
              <w:marLeft w:val="0"/>
              <w:marRight w:val="0"/>
              <w:marTop w:val="0"/>
              <w:marBottom w:val="0"/>
              <w:divBdr>
                <w:top w:val="none" w:sz="0" w:space="0" w:color="auto"/>
                <w:left w:val="none" w:sz="0" w:space="0" w:color="auto"/>
                <w:bottom w:val="none" w:sz="0" w:space="0" w:color="auto"/>
                <w:right w:val="none" w:sz="0" w:space="0" w:color="auto"/>
              </w:divBdr>
            </w:div>
            <w:div w:id="778573589">
              <w:marLeft w:val="0"/>
              <w:marRight w:val="0"/>
              <w:marTop w:val="0"/>
              <w:marBottom w:val="0"/>
              <w:divBdr>
                <w:top w:val="none" w:sz="0" w:space="0" w:color="auto"/>
                <w:left w:val="none" w:sz="0" w:space="0" w:color="auto"/>
                <w:bottom w:val="none" w:sz="0" w:space="0" w:color="auto"/>
                <w:right w:val="none" w:sz="0" w:space="0" w:color="auto"/>
              </w:divBdr>
            </w:div>
          </w:divsChild>
        </w:div>
        <w:div w:id="98575347">
          <w:marLeft w:val="0"/>
          <w:marRight w:val="0"/>
          <w:marTop w:val="0"/>
          <w:marBottom w:val="0"/>
          <w:divBdr>
            <w:top w:val="none" w:sz="0" w:space="0" w:color="auto"/>
            <w:left w:val="none" w:sz="0" w:space="0" w:color="auto"/>
            <w:bottom w:val="none" w:sz="0" w:space="0" w:color="auto"/>
            <w:right w:val="none" w:sz="0" w:space="0" w:color="auto"/>
          </w:divBdr>
          <w:divsChild>
            <w:div w:id="1054232251">
              <w:marLeft w:val="0"/>
              <w:marRight w:val="0"/>
              <w:marTop w:val="0"/>
              <w:marBottom w:val="0"/>
              <w:divBdr>
                <w:top w:val="none" w:sz="0" w:space="0" w:color="auto"/>
                <w:left w:val="none" w:sz="0" w:space="0" w:color="auto"/>
                <w:bottom w:val="none" w:sz="0" w:space="0" w:color="auto"/>
                <w:right w:val="none" w:sz="0" w:space="0" w:color="auto"/>
              </w:divBdr>
            </w:div>
            <w:div w:id="1659381165">
              <w:marLeft w:val="0"/>
              <w:marRight w:val="0"/>
              <w:marTop w:val="0"/>
              <w:marBottom w:val="0"/>
              <w:divBdr>
                <w:top w:val="none" w:sz="0" w:space="0" w:color="auto"/>
                <w:left w:val="none" w:sz="0" w:space="0" w:color="auto"/>
                <w:bottom w:val="none" w:sz="0" w:space="0" w:color="auto"/>
                <w:right w:val="none" w:sz="0" w:space="0" w:color="auto"/>
              </w:divBdr>
            </w:div>
            <w:div w:id="1755082012">
              <w:marLeft w:val="0"/>
              <w:marRight w:val="0"/>
              <w:marTop w:val="0"/>
              <w:marBottom w:val="0"/>
              <w:divBdr>
                <w:top w:val="none" w:sz="0" w:space="0" w:color="auto"/>
                <w:left w:val="none" w:sz="0" w:space="0" w:color="auto"/>
                <w:bottom w:val="none" w:sz="0" w:space="0" w:color="auto"/>
                <w:right w:val="none" w:sz="0" w:space="0" w:color="auto"/>
              </w:divBdr>
            </w:div>
            <w:div w:id="2040466649">
              <w:marLeft w:val="0"/>
              <w:marRight w:val="0"/>
              <w:marTop w:val="0"/>
              <w:marBottom w:val="0"/>
              <w:divBdr>
                <w:top w:val="none" w:sz="0" w:space="0" w:color="auto"/>
                <w:left w:val="none" w:sz="0" w:space="0" w:color="auto"/>
                <w:bottom w:val="none" w:sz="0" w:space="0" w:color="auto"/>
                <w:right w:val="none" w:sz="0" w:space="0" w:color="auto"/>
              </w:divBdr>
            </w:div>
            <w:div w:id="2113158015">
              <w:marLeft w:val="0"/>
              <w:marRight w:val="0"/>
              <w:marTop w:val="0"/>
              <w:marBottom w:val="0"/>
              <w:divBdr>
                <w:top w:val="none" w:sz="0" w:space="0" w:color="auto"/>
                <w:left w:val="none" w:sz="0" w:space="0" w:color="auto"/>
                <w:bottom w:val="none" w:sz="0" w:space="0" w:color="auto"/>
                <w:right w:val="none" w:sz="0" w:space="0" w:color="auto"/>
              </w:divBdr>
            </w:div>
          </w:divsChild>
        </w:div>
        <w:div w:id="107966396">
          <w:marLeft w:val="0"/>
          <w:marRight w:val="0"/>
          <w:marTop w:val="0"/>
          <w:marBottom w:val="0"/>
          <w:divBdr>
            <w:top w:val="none" w:sz="0" w:space="0" w:color="auto"/>
            <w:left w:val="none" w:sz="0" w:space="0" w:color="auto"/>
            <w:bottom w:val="none" w:sz="0" w:space="0" w:color="auto"/>
            <w:right w:val="none" w:sz="0" w:space="0" w:color="auto"/>
          </w:divBdr>
        </w:div>
        <w:div w:id="128521431">
          <w:marLeft w:val="0"/>
          <w:marRight w:val="0"/>
          <w:marTop w:val="0"/>
          <w:marBottom w:val="0"/>
          <w:divBdr>
            <w:top w:val="none" w:sz="0" w:space="0" w:color="auto"/>
            <w:left w:val="none" w:sz="0" w:space="0" w:color="auto"/>
            <w:bottom w:val="none" w:sz="0" w:space="0" w:color="auto"/>
            <w:right w:val="none" w:sz="0" w:space="0" w:color="auto"/>
          </w:divBdr>
        </w:div>
        <w:div w:id="212084335">
          <w:marLeft w:val="0"/>
          <w:marRight w:val="0"/>
          <w:marTop w:val="0"/>
          <w:marBottom w:val="0"/>
          <w:divBdr>
            <w:top w:val="none" w:sz="0" w:space="0" w:color="auto"/>
            <w:left w:val="none" w:sz="0" w:space="0" w:color="auto"/>
            <w:bottom w:val="none" w:sz="0" w:space="0" w:color="auto"/>
            <w:right w:val="none" w:sz="0" w:space="0" w:color="auto"/>
          </w:divBdr>
        </w:div>
        <w:div w:id="308824958">
          <w:marLeft w:val="0"/>
          <w:marRight w:val="0"/>
          <w:marTop w:val="0"/>
          <w:marBottom w:val="0"/>
          <w:divBdr>
            <w:top w:val="none" w:sz="0" w:space="0" w:color="auto"/>
            <w:left w:val="none" w:sz="0" w:space="0" w:color="auto"/>
            <w:bottom w:val="none" w:sz="0" w:space="0" w:color="auto"/>
            <w:right w:val="none" w:sz="0" w:space="0" w:color="auto"/>
          </w:divBdr>
        </w:div>
        <w:div w:id="345444264">
          <w:marLeft w:val="0"/>
          <w:marRight w:val="0"/>
          <w:marTop w:val="0"/>
          <w:marBottom w:val="0"/>
          <w:divBdr>
            <w:top w:val="none" w:sz="0" w:space="0" w:color="auto"/>
            <w:left w:val="none" w:sz="0" w:space="0" w:color="auto"/>
            <w:bottom w:val="none" w:sz="0" w:space="0" w:color="auto"/>
            <w:right w:val="none" w:sz="0" w:space="0" w:color="auto"/>
          </w:divBdr>
        </w:div>
        <w:div w:id="375667474">
          <w:marLeft w:val="0"/>
          <w:marRight w:val="0"/>
          <w:marTop w:val="0"/>
          <w:marBottom w:val="0"/>
          <w:divBdr>
            <w:top w:val="none" w:sz="0" w:space="0" w:color="auto"/>
            <w:left w:val="none" w:sz="0" w:space="0" w:color="auto"/>
            <w:bottom w:val="none" w:sz="0" w:space="0" w:color="auto"/>
            <w:right w:val="none" w:sz="0" w:space="0" w:color="auto"/>
          </w:divBdr>
        </w:div>
        <w:div w:id="405423433">
          <w:marLeft w:val="0"/>
          <w:marRight w:val="0"/>
          <w:marTop w:val="0"/>
          <w:marBottom w:val="0"/>
          <w:divBdr>
            <w:top w:val="none" w:sz="0" w:space="0" w:color="auto"/>
            <w:left w:val="none" w:sz="0" w:space="0" w:color="auto"/>
            <w:bottom w:val="none" w:sz="0" w:space="0" w:color="auto"/>
            <w:right w:val="none" w:sz="0" w:space="0" w:color="auto"/>
          </w:divBdr>
        </w:div>
        <w:div w:id="414865628">
          <w:marLeft w:val="0"/>
          <w:marRight w:val="0"/>
          <w:marTop w:val="0"/>
          <w:marBottom w:val="0"/>
          <w:divBdr>
            <w:top w:val="none" w:sz="0" w:space="0" w:color="auto"/>
            <w:left w:val="none" w:sz="0" w:space="0" w:color="auto"/>
            <w:bottom w:val="none" w:sz="0" w:space="0" w:color="auto"/>
            <w:right w:val="none" w:sz="0" w:space="0" w:color="auto"/>
          </w:divBdr>
          <w:divsChild>
            <w:div w:id="836532689">
              <w:marLeft w:val="0"/>
              <w:marRight w:val="0"/>
              <w:marTop w:val="0"/>
              <w:marBottom w:val="0"/>
              <w:divBdr>
                <w:top w:val="none" w:sz="0" w:space="0" w:color="auto"/>
                <w:left w:val="none" w:sz="0" w:space="0" w:color="auto"/>
                <w:bottom w:val="none" w:sz="0" w:space="0" w:color="auto"/>
                <w:right w:val="none" w:sz="0" w:space="0" w:color="auto"/>
              </w:divBdr>
            </w:div>
            <w:div w:id="946961042">
              <w:marLeft w:val="0"/>
              <w:marRight w:val="0"/>
              <w:marTop w:val="0"/>
              <w:marBottom w:val="0"/>
              <w:divBdr>
                <w:top w:val="none" w:sz="0" w:space="0" w:color="auto"/>
                <w:left w:val="none" w:sz="0" w:space="0" w:color="auto"/>
                <w:bottom w:val="none" w:sz="0" w:space="0" w:color="auto"/>
                <w:right w:val="none" w:sz="0" w:space="0" w:color="auto"/>
              </w:divBdr>
            </w:div>
            <w:div w:id="1119570543">
              <w:marLeft w:val="0"/>
              <w:marRight w:val="0"/>
              <w:marTop w:val="0"/>
              <w:marBottom w:val="0"/>
              <w:divBdr>
                <w:top w:val="none" w:sz="0" w:space="0" w:color="auto"/>
                <w:left w:val="none" w:sz="0" w:space="0" w:color="auto"/>
                <w:bottom w:val="none" w:sz="0" w:space="0" w:color="auto"/>
                <w:right w:val="none" w:sz="0" w:space="0" w:color="auto"/>
              </w:divBdr>
            </w:div>
            <w:div w:id="1846705543">
              <w:marLeft w:val="0"/>
              <w:marRight w:val="0"/>
              <w:marTop w:val="0"/>
              <w:marBottom w:val="0"/>
              <w:divBdr>
                <w:top w:val="none" w:sz="0" w:space="0" w:color="auto"/>
                <w:left w:val="none" w:sz="0" w:space="0" w:color="auto"/>
                <w:bottom w:val="none" w:sz="0" w:space="0" w:color="auto"/>
                <w:right w:val="none" w:sz="0" w:space="0" w:color="auto"/>
              </w:divBdr>
            </w:div>
            <w:div w:id="1960333439">
              <w:marLeft w:val="0"/>
              <w:marRight w:val="0"/>
              <w:marTop w:val="0"/>
              <w:marBottom w:val="0"/>
              <w:divBdr>
                <w:top w:val="none" w:sz="0" w:space="0" w:color="auto"/>
                <w:left w:val="none" w:sz="0" w:space="0" w:color="auto"/>
                <w:bottom w:val="none" w:sz="0" w:space="0" w:color="auto"/>
                <w:right w:val="none" w:sz="0" w:space="0" w:color="auto"/>
              </w:divBdr>
            </w:div>
          </w:divsChild>
        </w:div>
        <w:div w:id="431319929">
          <w:marLeft w:val="0"/>
          <w:marRight w:val="0"/>
          <w:marTop w:val="0"/>
          <w:marBottom w:val="0"/>
          <w:divBdr>
            <w:top w:val="none" w:sz="0" w:space="0" w:color="auto"/>
            <w:left w:val="none" w:sz="0" w:space="0" w:color="auto"/>
            <w:bottom w:val="none" w:sz="0" w:space="0" w:color="auto"/>
            <w:right w:val="none" w:sz="0" w:space="0" w:color="auto"/>
          </w:divBdr>
        </w:div>
        <w:div w:id="457336054">
          <w:marLeft w:val="0"/>
          <w:marRight w:val="0"/>
          <w:marTop w:val="0"/>
          <w:marBottom w:val="0"/>
          <w:divBdr>
            <w:top w:val="none" w:sz="0" w:space="0" w:color="auto"/>
            <w:left w:val="none" w:sz="0" w:space="0" w:color="auto"/>
            <w:bottom w:val="none" w:sz="0" w:space="0" w:color="auto"/>
            <w:right w:val="none" w:sz="0" w:space="0" w:color="auto"/>
          </w:divBdr>
        </w:div>
        <w:div w:id="537359276">
          <w:marLeft w:val="0"/>
          <w:marRight w:val="0"/>
          <w:marTop w:val="0"/>
          <w:marBottom w:val="0"/>
          <w:divBdr>
            <w:top w:val="none" w:sz="0" w:space="0" w:color="auto"/>
            <w:left w:val="none" w:sz="0" w:space="0" w:color="auto"/>
            <w:bottom w:val="none" w:sz="0" w:space="0" w:color="auto"/>
            <w:right w:val="none" w:sz="0" w:space="0" w:color="auto"/>
          </w:divBdr>
          <w:divsChild>
            <w:div w:id="642277400">
              <w:marLeft w:val="-75"/>
              <w:marRight w:val="0"/>
              <w:marTop w:val="30"/>
              <w:marBottom w:val="30"/>
              <w:divBdr>
                <w:top w:val="none" w:sz="0" w:space="0" w:color="auto"/>
                <w:left w:val="none" w:sz="0" w:space="0" w:color="auto"/>
                <w:bottom w:val="none" w:sz="0" w:space="0" w:color="auto"/>
                <w:right w:val="none" w:sz="0" w:space="0" w:color="auto"/>
              </w:divBdr>
              <w:divsChild>
                <w:div w:id="210767663">
                  <w:marLeft w:val="0"/>
                  <w:marRight w:val="0"/>
                  <w:marTop w:val="0"/>
                  <w:marBottom w:val="0"/>
                  <w:divBdr>
                    <w:top w:val="none" w:sz="0" w:space="0" w:color="auto"/>
                    <w:left w:val="none" w:sz="0" w:space="0" w:color="auto"/>
                    <w:bottom w:val="none" w:sz="0" w:space="0" w:color="auto"/>
                    <w:right w:val="none" w:sz="0" w:space="0" w:color="auto"/>
                  </w:divBdr>
                  <w:divsChild>
                    <w:div w:id="102380685">
                      <w:marLeft w:val="0"/>
                      <w:marRight w:val="0"/>
                      <w:marTop w:val="0"/>
                      <w:marBottom w:val="0"/>
                      <w:divBdr>
                        <w:top w:val="none" w:sz="0" w:space="0" w:color="auto"/>
                        <w:left w:val="none" w:sz="0" w:space="0" w:color="auto"/>
                        <w:bottom w:val="none" w:sz="0" w:space="0" w:color="auto"/>
                        <w:right w:val="none" w:sz="0" w:space="0" w:color="auto"/>
                      </w:divBdr>
                    </w:div>
                  </w:divsChild>
                </w:div>
                <w:div w:id="354309064">
                  <w:marLeft w:val="0"/>
                  <w:marRight w:val="0"/>
                  <w:marTop w:val="0"/>
                  <w:marBottom w:val="0"/>
                  <w:divBdr>
                    <w:top w:val="none" w:sz="0" w:space="0" w:color="auto"/>
                    <w:left w:val="none" w:sz="0" w:space="0" w:color="auto"/>
                    <w:bottom w:val="none" w:sz="0" w:space="0" w:color="auto"/>
                    <w:right w:val="none" w:sz="0" w:space="0" w:color="auto"/>
                  </w:divBdr>
                  <w:divsChild>
                    <w:div w:id="74010193">
                      <w:marLeft w:val="0"/>
                      <w:marRight w:val="0"/>
                      <w:marTop w:val="0"/>
                      <w:marBottom w:val="0"/>
                      <w:divBdr>
                        <w:top w:val="none" w:sz="0" w:space="0" w:color="auto"/>
                        <w:left w:val="none" w:sz="0" w:space="0" w:color="auto"/>
                        <w:bottom w:val="none" w:sz="0" w:space="0" w:color="auto"/>
                        <w:right w:val="none" w:sz="0" w:space="0" w:color="auto"/>
                      </w:divBdr>
                    </w:div>
                    <w:div w:id="255016283">
                      <w:marLeft w:val="0"/>
                      <w:marRight w:val="0"/>
                      <w:marTop w:val="0"/>
                      <w:marBottom w:val="0"/>
                      <w:divBdr>
                        <w:top w:val="none" w:sz="0" w:space="0" w:color="auto"/>
                        <w:left w:val="none" w:sz="0" w:space="0" w:color="auto"/>
                        <w:bottom w:val="none" w:sz="0" w:space="0" w:color="auto"/>
                        <w:right w:val="none" w:sz="0" w:space="0" w:color="auto"/>
                      </w:divBdr>
                    </w:div>
                    <w:div w:id="326902915">
                      <w:marLeft w:val="0"/>
                      <w:marRight w:val="0"/>
                      <w:marTop w:val="0"/>
                      <w:marBottom w:val="0"/>
                      <w:divBdr>
                        <w:top w:val="none" w:sz="0" w:space="0" w:color="auto"/>
                        <w:left w:val="none" w:sz="0" w:space="0" w:color="auto"/>
                        <w:bottom w:val="none" w:sz="0" w:space="0" w:color="auto"/>
                        <w:right w:val="none" w:sz="0" w:space="0" w:color="auto"/>
                      </w:divBdr>
                    </w:div>
                    <w:div w:id="344403782">
                      <w:marLeft w:val="0"/>
                      <w:marRight w:val="0"/>
                      <w:marTop w:val="0"/>
                      <w:marBottom w:val="0"/>
                      <w:divBdr>
                        <w:top w:val="none" w:sz="0" w:space="0" w:color="auto"/>
                        <w:left w:val="none" w:sz="0" w:space="0" w:color="auto"/>
                        <w:bottom w:val="none" w:sz="0" w:space="0" w:color="auto"/>
                        <w:right w:val="none" w:sz="0" w:space="0" w:color="auto"/>
                      </w:divBdr>
                    </w:div>
                    <w:div w:id="375275084">
                      <w:marLeft w:val="0"/>
                      <w:marRight w:val="0"/>
                      <w:marTop w:val="0"/>
                      <w:marBottom w:val="0"/>
                      <w:divBdr>
                        <w:top w:val="none" w:sz="0" w:space="0" w:color="auto"/>
                        <w:left w:val="none" w:sz="0" w:space="0" w:color="auto"/>
                        <w:bottom w:val="none" w:sz="0" w:space="0" w:color="auto"/>
                        <w:right w:val="none" w:sz="0" w:space="0" w:color="auto"/>
                      </w:divBdr>
                    </w:div>
                    <w:div w:id="554856784">
                      <w:marLeft w:val="0"/>
                      <w:marRight w:val="0"/>
                      <w:marTop w:val="0"/>
                      <w:marBottom w:val="0"/>
                      <w:divBdr>
                        <w:top w:val="none" w:sz="0" w:space="0" w:color="auto"/>
                        <w:left w:val="none" w:sz="0" w:space="0" w:color="auto"/>
                        <w:bottom w:val="none" w:sz="0" w:space="0" w:color="auto"/>
                        <w:right w:val="none" w:sz="0" w:space="0" w:color="auto"/>
                      </w:divBdr>
                    </w:div>
                    <w:div w:id="572617389">
                      <w:marLeft w:val="0"/>
                      <w:marRight w:val="0"/>
                      <w:marTop w:val="0"/>
                      <w:marBottom w:val="0"/>
                      <w:divBdr>
                        <w:top w:val="none" w:sz="0" w:space="0" w:color="auto"/>
                        <w:left w:val="none" w:sz="0" w:space="0" w:color="auto"/>
                        <w:bottom w:val="none" w:sz="0" w:space="0" w:color="auto"/>
                        <w:right w:val="none" w:sz="0" w:space="0" w:color="auto"/>
                      </w:divBdr>
                    </w:div>
                    <w:div w:id="714741308">
                      <w:marLeft w:val="0"/>
                      <w:marRight w:val="0"/>
                      <w:marTop w:val="0"/>
                      <w:marBottom w:val="0"/>
                      <w:divBdr>
                        <w:top w:val="none" w:sz="0" w:space="0" w:color="auto"/>
                        <w:left w:val="none" w:sz="0" w:space="0" w:color="auto"/>
                        <w:bottom w:val="none" w:sz="0" w:space="0" w:color="auto"/>
                        <w:right w:val="none" w:sz="0" w:space="0" w:color="auto"/>
                      </w:divBdr>
                    </w:div>
                    <w:div w:id="776217764">
                      <w:marLeft w:val="0"/>
                      <w:marRight w:val="0"/>
                      <w:marTop w:val="0"/>
                      <w:marBottom w:val="0"/>
                      <w:divBdr>
                        <w:top w:val="none" w:sz="0" w:space="0" w:color="auto"/>
                        <w:left w:val="none" w:sz="0" w:space="0" w:color="auto"/>
                        <w:bottom w:val="none" w:sz="0" w:space="0" w:color="auto"/>
                        <w:right w:val="none" w:sz="0" w:space="0" w:color="auto"/>
                      </w:divBdr>
                    </w:div>
                    <w:div w:id="833453357">
                      <w:marLeft w:val="0"/>
                      <w:marRight w:val="0"/>
                      <w:marTop w:val="0"/>
                      <w:marBottom w:val="0"/>
                      <w:divBdr>
                        <w:top w:val="none" w:sz="0" w:space="0" w:color="auto"/>
                        <w:left w:val="none" w:sz="0" w:space="0" w:color="auto"/>
                        <w:bottom w:val="none" w:sz="0" w:space="0" w:color="auto"/>
                        <w:right w:val="none" w:sz="0" w:space="0" w:color="auto"/>
                      </w:divBdr>
                    </w:div>
                    <w:div w:id="913971271">
                      <w:marLeft w:val="0"/>
                      <w:marRight w:val="0"/>
                      <w:marTop w:val="0"/>
                      <w:marBottom w:val="0"/>
                      <w:divBdr>
                        <w:top w:val="none" w:sz="0" w:space="0" w:color="auto"/>
                        <w:left w:val="none" w:sz="0" w:space="0" w:color="auto"/>
                        <w:bottom w:val="none" w:sz="0" w:space="0" w:color="auto"/>
                        <w:right w:val="none" w:sz="0" w:space="0" w:color="auto"/>
                      </w:divBdr>
                    </w:div>
                    <w:div w:id="1032608810">
                      <w:marLeft w:val="0"/>
                      <w:marRight w:val="0"/>
                      <w:marTop w:val="0"/>
                      <w:marBottom w:val="0"/>
                      <w:divBdr>
                        <w:top w:val="none" w:sz="0" w:space="0" w:color="auto"/>
                        <w:left w:val="none" w:sz="0" w:space="0" w:color="auto"/>
                        <w:bottom w:val="none" w:sz="0" w:space="0" w:color="auto"/>
                        <w:right w:val="none" w:sz="0" w:space="0" w:color="auto"/>
                      </w:divBdr>
                    </w:div>
                    <w:div w:id="1206913049">
                      <w:marLeft w:val="0"/>
                      <w:marRight w:val="0"/>
                      <w:marTop w:val="0"/>
                      <w:marBottom w:val="0"/>
                      <w:divBdr>
                        <w:top w:val="none" w:sz="0" w:space="0" w:color="auto"/>
                        <w:left w:val="none" w:sz="0" w:space="0" w:color="auto"/>
                        <w:bottom w:val="none" w:sz="0" w:space="0" w:color="auto"/>
                        <w:right w:val="none" w:sz="0" w:space="0" w:color="auto"/>
                      </w:divBdr>
                    </w:div>
                    <w:div w:id="1221945037">
                      <w:marLeft w:val="0"/>
                      <w:marRight w:val="0"/>
                      <w:marTop w:val="0"/>
                      <w:marBottom w:val="0"/>
                      <w:divBdr>
                        <w:top w:val="none" w:sz="0" w:space="0" w:color="auto"/>
                        <w:left w:val="none" w:sz="0" w:space="0" w:color="auto"/>
                        <w:bottom w:val="none" w:sz="0" w:space="0" w:color="auto"/>
                        <w:right w:val="none" w:sz="0" w:space="0" w:color="auto"/>
                      </w:divBdr>
                    </w:div>
                    <w:div w:id="1396271178">
                      <w:marLeft w:val="0"/>
                      <w:marRight w:val="0"/>
                      <w:marTop w:val="0"/>
                      <w:marBottom w:val="0"/>
                      <w:divBdr>
                        <w:top w:val="none" w:sz="0" w:space="0" w:color="auto"/>
                        <w:left w:val="none" w:sz="0" w:space="0" w:color="auto"/>
                        <w:bottom w:val="none" w:sz="0" w:space="0" w:color="auto"/>
                        <w:right w:val="none" w:sz="0" w:space="0" w:color="auto"/>
                      </w:divBdr>
                    </w:div>
                    <w:div w:id="1443917519">
                      <w:marLeft w:val="0"/>
                      <w:marRight w:val="0"/>
                      <w:marTop w:val="0"/>
                      <w:marBottom w:val="0"/>
                      <w:divBdr>
                        <w:top w:val="none" w:sz="0" w:space="0" w:color="auto"/>
                        <w:left w:val="none" w:sz="0" w:space="0" w:color="auto"/>
                        <w:bottom w:val="none" w:sz="0" w:space="0" w:color="auto"/>
                        <w:right w:val="none" w:sz="0" w:space="0" w:color="auto"/>
                      </w:divBdr>
                    </w:div>
                    <w:div w:id="1521041512">
                      <w:marLeft w:val="0"/>
                      <w:marRight w:val="0"/>
                      <w:marTop w:val="0"/>
                      <w:marBottom w:val="0"/>
                      <w:divBdr>
                        <w:top w:val="none" w:sz="0" w:space="0" w:color="auto"/>
                        <w:left w:val="none" w:sz="0" w:space="0" w:color="auto"/>
                        <w:bottom w:val="none" w:sz="0" w:space="0" w:color="auto"/>
                        <w:right w:val="none" w:sz="0" w:space="0" w:color="auto"/>
                      </w:divBdr>
                    </w:div>
                    <w:div w:id="1542669003">
                      <w:marLeft w:val="0"/>
                      <w:marRight w:val="0"/>
                      <w:marTop w:val="0"/>
                      <w:marBottom w:val="0"/>
                      <w:divBdr>
                        <w:top w:val="none" w:sz="0" w:space="0" w:color="auto"/>
                        <w:left w:val="none" w:sz="0" w:space="0" w:color="auto"/>
                        <w:bottom w:val="none" w:sz="0" w:space="0" w:color="auto"/>
                        <w:right w:val="none" w:sz="0" w:space="0" w:color="auto"/>
                      </w:divBdr>
                    </w:div>
                    <w:div w:id="1664507665">
                      <w:marLeft w:val="0"/>
                      <w:marRight w:val="0"/>
                      <w:marTop w:val="0"/>
                      <w:marBottom w:val="0"/>
                      <w:divBdr>
                        <w:top w:val="none" w:sz="0" w:space="0" w:color="auto"/>
                        <w:left w:val="none" w:sz="0" w:space="0" w:color="auto"/>
                        <w:bottom w:val="none" w:sz="0" w:space="0" w:color="auto"/>
                        <w:right w:val="none" w:sz="0" w:space="0" w:color="auto"/>
                      </w:divBdr>
                    </w:div>
                    <w:div w:id="1677491081">
                      <w:marLeft w:val="0"/>
                      <w:marRight w:val="0"/>
                      <w:marTop w:val="0"/>
                      <w:marBottom w:val="0"/>
                      <w:divBdr>
                        <w:top w:val="none" w:sz="0" w:space="0" w:color="auto"/>
                        <w:left w:val="none" w:sz="0" w:space="0" w:color="auto"/>
                        <w:bottom w:val="none" w:sz="0" w:space="0" w:color="auto"/>
                        <w:right w:val="none" w:sz="0" w:space="0" w:color="auto"/>
                      </w:divBdr>
                    </w:div>
                    <w:div w:id="1725712701">
                      <w:marLeft w:val="0"/>
                      <w:marRight w:val="0"/>
                      <w:marTop w:val="0"/>
                      <w:marBottom w:val="0"/>
                      <w:divBdr>
                        <w:top w:val="none" w:sz="0" w:space="0" w:color="auto"/>
                        <w:left w:val="none" w:sz="0" w:space="0" w:color="auto"/>
                        <w:bottom w:val="none" w:sz="0" w:space="0" w:color="auto"/>
                        <w:right w:val="none" w:sz="0" w:space="0" w:color="auto"/>
                      </w:divBdr>
                    </w:div>
                    <w:div w:id="1972519517">
                      <w:marLeft w:val="0"/>
                      <w:marRight w:val="0"/>
                      <w:marTop w:val="0"/>
                      <w:marBottom w:val="0"/>
                      <w:divBdr>
                        <w:top w:val="none" w:sz="0" w:space="0" w:color="auto"/>
                        <w:left w:val="none" w:sz="0" w:space="0" w:color="auto"/>
                        <w:bottom w:val="none" w:sz="0" w:space="0" w:color="auto"/>
                        <w:right w:val="none" w:sz="0" w:space="0" w:color="auto"/>
                      </w:divBdr>
                    </w:div>
                    <w:div w:id="1999964341">
                      <w:marLeft w:val="0"/>
                      <w:marRight w:val="0"/>
                      <w:marTop w:val="0"/>
                      <w:marBottom w:val="0"/>
                      <w:divBdr>
                        <w:top w:val="none" w:sz="0" w:space="0" w:color="auto"/>
                        <w:left w:val="none" w:sz="0" w:space="0" w:color="auto"/>
                        <w:bottom w:val="none" w:sz="0" w:space="0" w:color="auto"/>
                        <w:right w:val="none" w:sz="0" w:space="0" w:color="auto"/>
                      </w:divBdr>
                    </w:div>
                    <w:div w:id="2021270594">
                      <w:marLeft w:val="0"/>
                      <w:marRight w:val="0"/>
                      <w:marTop w:val="0"/>
                      <w:marBottom w:val="0"/>
                      <w:divBdr>
                        <w:top w:val="none" w:sz="0" w:space="0" w:color="auto"/>
                        <w:left w:val="none" w:sz="0" w:space="0" w:color="auto"/>
                        <w:bottom w:val="none" w:sz="0" w:space="0" w:color="auto"/>
                        <w:right w:val="none" w:sz="0" w:space="0" w:color="auto"/>
                      </w:divBdr>
                    </w:div>
                    <w:div w:id="2043937077">
                      <w:marLeft w:val="0"/>
                      <w:marRight w:val="0"/>
                      <w:marTop w:val="0"/>
                      <w:marBottom w:val="0"/>
                      <w:divBdr>
                        <w:top w:val="none" w:sz="0" w:space="0" w:color="auto"/>
                        <w:left w:val="none" w:sz="0" w:space="0" w:color="auto"/>
                        <w:bottom w:val="none" w:sz="0" w:space="0" w:color="auto"/>
                        <w:right w:val="none" w:sz="0" w:space="0" w:color="auto"/>
                      </w:divBdr>
                    </w:div>
                    <w:div w:id="2062514921">
                      <w:marLeft w:val="0"/>
                      <w:marRight w:val="0"/>
                      <w:marTop w:val="0"/>
                      <w:marBottom w:val="0"/>
                      <w:divBdr>
                        <w:top w:val="none" w:sz="0" w:space="0" w:color="auto"/>
                        <w:left w:val="none" w:sz="0" w:space="0" w:color="auto"/>
                        <w:bottom w:val="none" w:sz="0" w:space="0" w:color="auto"/>
                        <w:right w:val="none" w:sz="0" w:space="0" w:color="auto"/>
                      </w:divBdr>
                    </w:div>
                  </w:divsChild>
                </w:div>
                <w:div w:id="1737777247">
                  <w:marLeft w:val="0"/>
                  <w:marRight w:val="0"/>
                  <w:marTop w:val="0"/>
                  <w:marBottom w:val="0"/>
                  <w:divBdr>
                    <w:top w:val="none" w:sz="0" w:space="0" w:color="auto"/>
                    <w:left w:val="none" w:sz="0" w:space="0" w:color="auto"/>
                    <w:bottom w:val="none" w:sz="0" w:space="0" w:color="auto"/>
                    <w:right w:val="none" w:sz="0" w:space="0" w:color="auto"/>
                  </w:divBdr>
                  <w:divsChild>
                    <w:div w:id="1503550039">
                      <w:marLeft w:val="0"/>
                      <w:marRight w:val="0"/>
                      <w:marTop w:val="0"/>
                      <w:marBottom w:val="0"/>
                      <w:divBdr>
                        <w:top w:val="none" w:sz="0" w:space="0" w:color="auto"/>
                        <w:left w:val="none" w:sz="0" w:space="0" w:color="auto"/>
                        <w:bottom w:val="none" w:sz="0" w:space="0" w:color="auto"/>
                        <w:right w:val="none" w:sz="0" w:space="0" w:color="auto"/>
                      </w:divBdr>
                    </w:div>
                  </w:divsChild>
                </w:div>
                <w:div w:id="1804346223">
                  <w:marLeft w:val="0"/>
                  <w:marRight w:val="0"/>
                  <w:marTop w:val="0"/>
                  <w:marBottom w:val="0"/>
                  <w:divBdr>
                    <w:top w:val="none" w:sz="0" w:space="0" w:color="auto"/>
                    <w:left w:val="none" w:sz="0" w:space="0" w:color="auto"/>
                    <w:bottom w:val="none" w:sz="0" w:space="0" w:color="auto"/>
                    <w:right w:val="none" w:sz="0" w:space="0" w:color="auto"/>
                  </w:divBdr>
                  <w:divsChild>
                    <w:div w:id="95297397">
                      <w:marLeft w:val="0"/>
                      <w:marRight w:val="0"/>
                      <w:marTop w:val="0"/>
                      <w:marBottom w:val="0"/>
                      <w:divBdr>
                        <w:top w:val="none" w:sz="0" w:space="0" w:color="auto"/>
                        <w:left w:val="none" w:sz="0" w:space="0" w:color="auto"/>
                        <w:bottom w:val="none" w:sz="0" w:space="0" w:color="auto"/>
                        <w:right w:val="none" w:sz="0" w:space="0" w:color="auto"/>
                      </w:divBdr>
                    </w:div>
                    <w:div w:id="630869089">
                      <w:marLeft w:val="0"/>
                      <w:marRight w:val="0"/>
                      <w:marTop w:val="0"/>
                      <w:marBottom w:val="0"/>
                      <w:divBdr>
                        <w:top w:val="none" w:sz="0" w:space="0" w:color="auto"/>
                        <w:left w:val="none" w:sz="0" w:space="0" w:color="auto"/>
                        <w:bottom w:val="none" w:sz="0" w:space="0" w:color="auto"/>
                        <w:right w:val="none" w:sz="0" w:space="0" w:color="auto"/>
                      </w:divBdr>
                    </w:div>
                    <w:div w:id="1113288448">
                      <w:marLeft w:val="0"/>
                      <w:marRight w:val="0"/>
                      <w:marTop w:val="0"/>
                      <w:marBottom w:val="0"/>
                      <w:divBdr>
                        <w:top w:val="none" w:sz="0" w:space="0" w:color="auto"/>
                        <w:left w:val="none" w:sz="0" w:space="0" w:color="auto"/>
                        <w:bottom w:val="none" w:sz="0" w:space="0" w:color="auto"/>
                        <w:right w:val="none" w:sz="0" w:space="0" w:color="auto"/>
                      </w:divBdr>
                    </w:div>
                    <w:div w:id="1507524896">
                      <w:marLeft w:val="0"/>
                      <w:marRight w:val="0"/>
                      <w:marTop w:val="0"/>
                      <w:marBottom w:val="0"/>
                      <w:divBdr>
                        <w:top w:val="none" w:sz="0" w:space="0" w:color="auto"/>
                        <w:left w:val="none" w:sz="0" w:space="0" w:color="auto"/>
                        <w:bottom w:val="none" w:sz="0" w:space="0" w:color="auto"/>
                        <w:right w:val="none" w:sz="0" w:space="0" w:color="auto"/>
                      </w:divBdr>
                    </w:div>
                    <w:div w:id="1757746293">
                      <w:marLeft w:val="0"/>
                      <w:marRight w:val="0"/>
                      <w:marTop w:val="0"/>
                      <w:marBottom w:val="0"/>
                      <w:divBdr>
                        <w:top w:val="none" w:sz="0" w:space="0" w:color="auto"/>
                        <w:left w:val="none" w:sz="0" w:space="0" w:color="auto"/>
                        <w:bottom w:val="none" w:sz="0" w:space="0" w:color="auto"/>
                        <w:right w:val="none" w:sz="0" w:space="0" w:color="auto"/>
                      </w:divBdr>
                    </w:div>
                    <w:div w:id="1945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4557">
          <w:marLeft w:val="0"/>
          <w:marRight w:val="0"/>
          <w:marTop w:val="0"/>
          <w:marBottom w:val="0"/>
          <w:divBdr>
            <w:top w:val="none" w:sz="0" w:space="0" w:color="auto"/>
            <w:left w:val="none" w:sz="0" w:space="0" w:color="auto"/>
            <w:bottom w:val="none" w:sz="0" w:space="0" w:color="auto"/>
            <w:right w:val="none" w:sz="0" w:space="0" w:color="auto"/>
          </w:divBdr>
        </w:div>
        <w:div w:id="581375812">
          <w:marLeft w:val="0"/>
          <w:marRight w:val="0"/>
          <w:marTop w:val="0"/>
          <w:marBottom w:val="0"/>
          <w:divBdr>
            <w:top w:val="none" w:sz="0" w:space="0" w:color="auto"/>
            <w:left w:val="none" w:sz="0" w:space="0" w:color="auto"/>
            <w:bottom w:val="none" w:sz="0" w:space="0" w:color="auto"/>
            <w:right w:val="none" w:sz="0" w:space="0" w:color="auto"/>
          </w:divBdr>
        </w:div>
        <w:div w:id="607006983">
          <w:marLeft w:val="0"/>
          <w:marRight w:val="0"/>
          <w:marTop w:val="0"/>
          <w:marBottom w:val="0"/>
          <w:divBdr>
            <w:top w:val="none" w:sz="0" w:space="0" w:color="auto"/>
            <w:left w:val="none" w:sz="0" w:space="0" w:color="auto"/>
            <w:bottom w:val="none" w:sz="0" w:space="0" w:color="auto"/>
            <w:right w:val="none" w:sz="0" w:space="0" w:color="auto"/>
          </w:divBdr>
        </w:div>
        <w:div w:id="656223096">
          <w:marLeft w:val="0"/>
          <w:marRight w:val="0"/>
          <w:marTop w:val="0"/>
          <w:marBottom w:val="0"/>
          <w:divBdr>
            <w:top w:val="none" w:sz="0" w:space="0" w:color="auto"/>
            <w:left w:val="none" w:sz="0" w:space="0" w:color="auto"/>
            <w:bottom w:val="none" w:sz="0" w:space="0" w:color="auto"/>
            <w:right w:val="none" w:sz="0" w:space="0" w:color="auto"/>
          </w:divBdr>
        </w:div>
        <w:div w:id="672295494">
          <w:marLeft w:val="0"/>
          <w:marRight w:val="0"/>
          <w:marTop w:val="0"/>
          <w:marBottom w:val="0"/>
          <w:divBdr>
            <w:top w:val="none" w:sz="0" w:space="0" w:color="auto"/>
            <w:left w:val="none" w:sz="0" w:space="0" w:color="auto"/>
            <w:bottom w:val="none" w:sz="0" w:space="0" w:color="auto"/>
            <w:right w:val="none" w:sz="0" w:space="0" w:color="auto"/>
          </w:divBdr>
          <w:divsChild>
            <w:div w:id="961762237">
              <w:marLeft w:val="0"/>
              <w:marRight w:val="0"/>
              <w:marTop w:val="0"/>
              <w:marBottom w:val="0"/>
              <w:divBdr>
                <w:top w:val="none" w:sz="0" w:space="0" w:color="auto"/>
                <w:left w:val="none" w:sz="0" w:space="0" w:color="auto"/>
                <w:bottom w:val="none" w:sz="0" w:space="0" w:color="auto"/>
                <w:right w:val="none" w:sz="0" w:space="0" w:color="auto"/>
              </w:divBdr>
            </w:div>
          </w:divsChild>
        </w:div>
        <w:div w:id="737172703">
          <w:marLeft w:val="0"/>
          <w:marRight w:val="0"/>
          <w:marTop w:val="0"/>
          <w:marBottom w:val="0"/>
          <w:divBdr>
            <w:top w:val="none" w:sz="0" w:space="0" w:color="auto"/>
            <w:left w:val="none" w:sz="0" w:space="0" w:color="auto"/>
            <w:bottom w:val="none" w:sz="0" w:space="0" w:color="auto"/>
            <w:right w:val="none" w:sz="0" w:space="0" w:color="auto"/>
          </w:divBdr>
          <w:divsChild>
            <w:div w:id="442967936">
              <w:marLeft w:val="0"/>
              <w:marRight w:val="0"/>
              <w:marTop w:val="0"/>
              <w:marBottom w:val="0"/>
              <w:divBdr>
                <w:top w:val="none" w:sz="0" w:space="0" w:color="auto"/>
                <w:left w:val="none" w:sz="0" w:space="0" w:color="auto"/>
                <w:bottom w:val="none" w:sz="0" w:space="0" w:color="auto"/>
                <w:right w:val="none" w:sz="0" w:space="0" w:color="auto"/>
              </w:divBdr>
            </w:div>
            <w:div w:id="1784691447">
              <w:marLeft w:val="0"/>
              <w:marRight w:val="0"/>
              <w:marTop w:val="0"/>
              <w:marBottom w:val="0"/>
              <w:divBdr>
                <w:top w:val="none" w:sz="0" w:space="0" w:color="auto"/>
                <w:left w:val="none" w:sz="0" w:space="0" w:color="auto"/>
                <w:bottom w:val="none" w:sz="0" w:space="0" w:color="auto"/>
                <w:right w:val="none" w:sz="0" w:space="0" w:color="auto"/>
              </w:divBdr>
            </w:div>
            <w:div w:id="1845708294">
              <w:marLeft w:val="0"/>
              <w:marRight w:val="0"/>
              <w:marTop w:val="0"/>
              <w:marBottom w:val="0"/>
              <w:divBdr>
                <w:top w:val="none" w:sz="0" w:space="0" w:color="auto"/>
                <w:left w:val="none" w:sz="0" w:space="0" w:color="auto"/>
                <w:bottom w:val="none" w:sz="0" w:space="0" w:color="auto"/>
                <w:right w:val="none" w:sz="0" w:space="0" w:color="auto"/>
              </w:divBdr>
            </w:div>
          </w:divsChild>
        </w:div>
        <w:div w:id="737900588">
          <w:marLeft w:val="0"/>
          <w:marRight w:val="0"/>
          <w:marTop w:val="0"/>
          <w:marBottom w:val="0"/>
          <w:divBdr>
            <w:top w:val="none" w:sz="0" w:space="0" w:color="auto"/>
            <w:left w:val="none" w:sz="0" w:space="0" w:color="auto"/>
            <w:bottom w:val="none" w:sz="0" w:space="0" w:color="auto"/>
            <w:right w:val="none" w:sz="0" w:space="0" w:color="auto"/>
          </w:divBdr>
        </w:div>
        <w:div w:id="748381532">
          <w:marLeft w:val="0"/>
          <w:marRight w:val="0"/>
          <w:marTop w:val="0"/>
          <w:marBottom w:val="0"/>
          <w:divBdr>
            <w:top w:val="none" w:sz="0" w:space="0" w:color="auto"/>
            <w:left w:val="none" w:sz="0" w:space="0" w:color="auto"/>
            <w:bottom w:val="none" w:sz="0" w:space="0" w:color="auto"/>
            <w:right w:val="none" w:sz="0" w:space="0" w:color="auto"/>
          </w:divBdr>
          <w:divsChild>
            <w:div w:id="8147993">
              <w:marLeft w:val="0"/>
              <w:marRight w:val="0"/>
              <w:marTop w:val="0"/>
              <w:marBottom w:val="0"/>
              <w:divBdr>
                <w:top w:val="none" w:sz="0" w:space="0" w:color="auto"/>
                <w:left w:val="none" w:sz="0" w:space="0" w:color="auto"/>
                <w:bottom w:val="none" w:sz="0" w:space="0" w:color="auto"/>
                <w:right w:val="none" w:sz="0" w:space="0" w:color="auto"/>
              </w:divBdr>
            </w:div>
            <w:div w:id="703136320">
              <w:marLeft w:val="0"/>
              <w:marRight w:val="0"/>
              <w:marTop w:val="0"/>
              <w:marBottom w:val="0"/>
              <w:divBdr>
                <w:top w:val="none" w:sz="0" w:space="0" w:color="auto"/>
                <w:left w:val="none" w:sz="0" w:space="0" w:color="auto"/>
                <w:bottom w:val="none" w:sz="0" w:space="0" w:color="auto"/>
                <w:right w:val="none" w:sz="0" w:space="0" w:color="auto"/>
              </w:divBdr>
            </w:div>
            <w:div w:id="889539620">
              <w:marLeft w:val="0"/>
              <w:marRight w:val="0"/>
              <w:marTop w:val="0"/>
              <w:marBottom w:val="0"/>
              <w:divBdr>
                <w:top w:val="none" w:sz="0" w:space="0" w:color="auto"/>
                <w:left w:val="none" w:sz="0" w:space="0" w:color="auto"/>
                <w:bottom w:val="none" w:sz="0" w:space="0" w:color="auto"/>
                <w:right w:val="none" w:sz="0" w:space="0" w:color="auto"/>
              </w:divBdr>
            </w:div>
            <w:div w:id="1422212687">
              <w:marLeft w:val="0"/>
              <w:marRight w:val="0"/>
              <w:marTop w:val="0"/>
              <w:marBottom w:val="0"/>
              <w:divBdr>
                <w:top w:val="none" w:sz="0" w:space="0" w:color="auto"/>
                <w:left w:val="none" w:sz="0" w:space="0" w:color="auto"/>
                <w:bottom w:val="none" w:sz="0" w:space="0" w:color="auto"/>
                <w:right w:val="none" w:sz="0" w:space="0" w:color="auto"/>
              </w:divBdr>
            </w:div>
            <w:div w:id="1848015918">
              <w:marLeft w:val="0"/>
              <w:marRight w:val="0"/>
              <w:marTop w:val="0"/>
              <w:marBottom w:val="0"/>
              <w:divBdr>
                <w:top w:val="none" w:sz="0" w:space="0" w:color="auto"/>
                <w:left w:val="none" w:sz="0" w:space="0" w:color="auto"/>
                <w:bottom w:val="none" w:sz="0" w:space="0" w:color="auto"/>
                <w:right w:val="none" w:sz="0" w:space="0" w:color="auto"/>
              </w:divBdr>
            </w:div>
          </w:divsChild>
        </w:div>
        <w:div w:id="755059776">
          <w:marLeft w:val="0"/>
          <w:marRight w:val="0"/>
          <w:marTop w:val="0"/>
          <w:marBottom w:val="0"/>
          <w:divBdr>
            <w:top w:val="none" w:sz="0" w:space="0" w:color="auto"/>
            <w:left w:val="none" w:sz="0" w:space="0" w:color="auto"/>
            <w:bottom w:val="none" w:sz="0" w:space="0" w:color="auto"/>
            <w:right w:val="none" w:sz="0" w:space="0" w:color="auto"/>
          </w:divBdr>
        </w:div>
        <w:div w:id="836118050">
          <w:marLeft w:val="0"/>
          <w:marRight w:val="0"/>
          <w:marTop w:val="0"/>
          <w:marBottom w:val="0"/>
          <w:divBdr>
            <w:top w:val="none" w:sz="0" w:space="0" w:color="auto"/>
            <w:left w:val="none" w:sz="0" w:space="0" w:color="auto"/>
            <w:bottom w:val="none" w:sz="0" w:space="0" w:color="auto"/>
            <w:right w:val="none" w:sz="0" w:space="0" w:color="auto"/>
          </w:divBdr>
        </w:div>
        <w:div w:id="846140687">
          <w:marLeft w:val="0"/>
          <w:marRight w:val="0"/>
          <w:marTop w:val="0"/>
          <w:marBottom w:val="0"/>
          <w:divBdr>
            <w:top w:val="none" w:sz="0" w:space="0" w:color="auto"/>
            <w:left w:val="none" w:sz="0" w:space="0" w:color="auto"/>
            <w:bottom w:val="none" w:sz="0" w:space="0" w:color="auto"/>
            <w:right w:val="none" w:sz="0" w:space="0" w:color="auto"/>
          </w:divBdr>
        </w:div>
        <w:div w:id="876166858">
          <w:marLeft w:val="0"/>
          <w:marRight w:val="0"/>
          <w:marTop w:val="0"/>
          <w:marBottom w:val="0"/>
          <w:divBdr>
            <w:top w:val="none" w:sz="0" w:space="0" w:color="auto"/>
            <w:left w:val="none" w:sz="0" w:space="0" w:color="auto"/>
            <w:bottom w:val="none" w:sz="0" w:space="0" w:color="auto"/>
            <w:right w:val="none" w:sz="0" w:space="0" w:color="auto"/>
          </w:divBdr>
        </w:div>
        <w:div w:id="912351635">
          <w:marLeft w:val="0"/>
          <w:marRight w:val="0"/>
          <w:marTop w:val="0"/>
          <w:marBottom w:val="0"/>
          <w:divBdr>
            <w:top w:val="none" w:sz="0" w:space="0" w:color="auto"/>
            <w:left w:val="none" w:sz="0" w:space="0" w:color="auto"/>
            <w:bottom w:val="none" w:sz="0" w:space="0" w:color="auto"/>
            <w:right w:val="none" w:sz="0" w:space="0" w:color="auto"/>
          </w:divBdr>
          <w:divsChild>
            <w:div w:id="1269510479">
              <w:marLeft w:val="-75"/>
              <w:marRight w:val="0"/>
              <w:marTop w:val="30"/>
              <w:marBottom w:val="30"/>
              <w:divBdr>
                <w:top w:val="none" w:sz="0" w:space="0" w:color="auto"/>
                <w:left w:val="none" w:sz="0" w:space="0" w:color="auto"/>
                <w:bottom w:val="none" w:sz="0" w:space="0" w:color="auto"/>
                <w:right w:val="none" w:sz="0" w:space="0" w:color="auto"/>
              </w:divBdr>
              <w:divsChild>
                <w:div w:id="115947713">
                  <w:marLeft w:val="0"/>
                  <w:marRight w:val="0"/>
                  <w:marTop w:val="0"/>
                  <w:marBottom w:val="0"/>
                  <w:divBdr>
                    <w:top w:val="none" w:sz="0" w:space="0" w:color="auto"/>
                    <w:left w:val="none" w:sz="0" w:space="0" w:color="auto"/>
                    <w:bottom w:val="none" w:sz="0" w:space="0" w:color="auto"/>
                    <w:right w:val="none" w:sz="0" w:space="0" w:color="auto"/>
                  </w:divBdr>
                  <w:divsChild>
                    <w:div w:id="1228372363">
                      <w:marLeft w:val="0"/>
                      <w:marRight w:val="0"/>
                      <w:marTop w:val="0"/>
                      <w:marBottom w:val="0"/>
                      <w:divBdr>
                        <w:top w:val="none" w:sz="0" w:space="0" w:color="auto"/>
                        <w:left w:val="none" w:sz="0" w:space="0" w:color="auto"/>
                        <w:bottom w:val="none" w:sz="0" w:space="0" w:color="auto"/>
                        <w:right w:val="none" w:sz="0" w:space="0" w:color="auto"/>
                      </w:divBdr>
                    </w:div>
                  </w:divsChild>
                </w:div>
                <w:div w:id="133447256">
                  <w:marLeft w:val="0"/>
                  <w:marRight w:val="0"/>
                  <w:marTop w:val="0"/>
                  <w:marBottom w:val="0"/>
                  <w:divBdr>
                    <w:top w:val="none" w:sz="0" w:space="0" w:color="auto"/>
                    <w:left w:val="none" w:sz="0" w:space="0" w:color="auto"/>
                    <w:bottom w:val="none" w:sz="0" w:space="0" w:color="auto"/>
                    <w:right w:val="none" w:sz="0" w:space="0" w:color="auto"/>
                  </w:divBdr>
                  <w:divsChild>
                    <w:div w:id="2033602499">
                      <w:marLeft w:val="0"/>
                      <w:marRight w:val="0"/>
                      <w:marTop w:val="0"/>
                      <w:marBottom w:val="0"/>
                      <w:divBdr>
                        <w:top w:val="none" w:sz="0" w:space="0" w:color="auto"/>
                        <w:left w:val="none" w:sz="0" w:space="0" w:color="auto"/>
                        <w:bottom w:val="none" w:sz="0" w:space="0" w:color="auto"/>
                        <w:right w:val="none" w:sz="0" w:space="0" w:color="auto"/>
                      </w:divBdr>
                    </w:div>
                  </w:divsChild>
                </w:div>
                <w:div w:id="207500753">
                  <w:marLeft w:val="0"/>
                  <w:marRight w:val="0"/>
                  <w:marTop w:val="0"/>
                  <w:marBottom w:val="0"/>
                  <w:divBdr>
                    <w:top w:val="none" w:sz="0" w:space="0" w:color="auto"/>
                    <w:left w:val="none" w:sz="0" w:space="0" w:color="auto"/>
                    <w:bottom w:val="none" w:sz="0" w:space="0" w:color="auto"/>
                    <w:right w:val="none" w:sz="0" w:space="0" w:color="auto"/>
                  </w:divBdr>
                  <w:divsChild>
                    <w:div w:id="1399747716">
                      <w:marLeft w:val="0"/>
                      <w:marRight w:val="0"/>
                      <w:marTop w:val="0"/>
                      <w:marBottom w:val="0"/>
                      <w:divBdr>
                        <w:top w:val="none" w:sz="0" w:space="0" w:color="auto"/>
                        <w:left w:val="none" w:sz="0" w:space="0" w:color="auto"/>
                        <w:bottom w:val="none" w:sz="0" w:space="0" w:color="auto"/>
                        <w:right w:val="none" w:sz="0" w:space="0" w:color="auto"/>
                      </w:divBdr>
                    </w:div>
                  </w:divsChild>
                </w:div>
                <w:div w:id="233012408">
                  <w:marLeft w:val="0"/>
                  <w:marRight w:val="0"/>
                  <w:marTop w:val="0"/>
                  <w:marBottom w:val="0"/>
                  <w:divBdr>
                    <w:top w:val="none" w:sz="0" w:space="0" w:color="auto"/>
                    <w:left w:val="none" w:sz="0" w:space="0" w:color="auto"/>
                    <w:bottom w:val="none" w:sz="0" w:space="0" w:color="auto"/>
                    <w:right w:val="none" w:sz="0" w:space="0" w:color="auto"/>
                  </w:divBdr>
                  <w:divsChild>
                    <w:div w:id="1390301220">
                      <w:marLeft w:val="0"/>
                      <w:marRight w:val="0"/>
                      <w:marTop w:val="0"/>
                      <w:marBottom w:val="0"/>
                      <w:divBdr>
                        <w:top w:val="none" w:sz="0" w:space="0" w:color="auto"/>
                        <w:left w:val="none" w:sz="0" w:space="0" w:color="auto"/>
                        <w:bottom w:val="none" w:sz="0" w:space="0" w:color="auto"/>
                        <w:right w:val="none" w:sz="0" w:space="0" w:color="auto"/>
                      </w:divBdr>
                    </w:div>
                  </w:divsChild>
                </w:div>
                <w:div w:id="397090233">
                  <w:marLeft w:val="0"/>
                  <w:marRight w:val="0"/>
                  <w:marTop w:val="0"/>
                  <w:marBottom w:val="0"/>
                  <w:divBdr>
                    <w:top w:val="none" w:sz="0" w:space="0" w:color="auto"/>
                    <w:left w:val="none" w:sz="0" w:space="0" w:color="auto"/>
                    <w:bottom w:val="none" w:sz="0" w:space="0" w:color="auto"/>
                    <w:right w:val="none" w:sz="0" w:space="0" w:color="auto"/>
                  </w:divBdr>
                  <w:divsChild>
                    <w:div w:id="2122449687">
                      <w:marLeft w:val="0"/>
                      <w:marRight w:val="0"/>
                      <w:marTop w:val="0"/>
                      <w:marBottom w:val="0"/>
                      <w:divBdr>
                        <w:top w:val="none" w:sz="0" w:space="0" w:color="auto"/>
                        <w:left w:val="none" w:sz="0" w:space="0" w:color="auto"/>
                        <w:bottom w:val="none" w:sz="0" w:space="0" w:color="auto"/>
                        <w:right w:val="none" w:sz="0" w:space="0" w:color="auto"/>
                      </w:divBdr>
                    </w:div>
                  </w:divsChild>
                </w:div>
                <w:div w:id="460349050">
                  <w:marLeft w:val="0"/>
                  <w:marRight w:val="0"/>
                  <w:marTop w:val="0"/>
                  <w:marBottom w:val="0"/>
                  <w:divBdr>
                    <w:top w:val="none" w:sz="0" w:space="0" w:color="auto"/>
                    <w:left w:val="none" w:sz="0" w:space="0" w:color="auto"/>
                    <w:bottom w:val="none" w:sz="0" w:space="0" w:color="auto"/>
                    <w:right w:val="none" w:sz="0" w:space="0" w:color="auto"/>
                  </w:divBdr>
                  <w:divsChild>
                    <w:div w:id="1542277636">
                      <w:marLeft w:val="0"/>
                      <w:marRight w:val="0"/>
                      <w:marTop w:val="0"/>
                      <w:marBottom w:val="0"/>
                      <w:divBdr>
                        <w:top w:val="none" w:sz="0" w:space="0" w:color="auto"/>
                        <w:left w:val="none" w:sz="0" w:space="0" w:color="auto"/>
                        <w:bottom w:val="none" w:sz="0" w:space="0" w:color="auto"/>
                        <w:right w:val="none" w:sz="0" w:space="0" w:color="auto"/>
                      </w:divBdr>
                    </w:div>
                  </w:divsChild>
                </w:div>
                <w:div w:id="465464610">
                  <w:marLeft w:val="0"/>
                  <w:marRight w:val="0"/>
                  <w:marTop w:val="0"/>
                  <w:marBottom w:val="0"/>
                  <w:divBdr>
                    <w:top w:val="none" w:sz="0" w:space="0" w:color="auto"/>
                    <w:left w:val="none" w:sz="0" w:space="0" w:color="auto"/>
                    <w:bottom w:val="none" w:sz="0" w:space="0" w:color="auto"/>
                    <w:right w:val="none" w:sz="0" w:space="0" w:color="auto"/>
                  </w:divBdr>
                  <w:divsChild>
                    <w:div w:id="49692590">
                      <w:marLeft w:val="0"/>
                      <w:marRight w:val="0"/>
                      <w:marTop w:val="0"/>
                      <w:marBottom w:val="0"/>
                      <w:divBdr>
                        <w:top w:val="none" w:sz="0" w:space="0" w:color="auto"/>
                        <w:left w:val="none" w:sz="0" w:space="0" w:color="auto"/>
                        <w:bottom w:val="none" w:sz="0" w:space="0" w:color="auto"/>
                        <w:right w:val="none" w:sz="0" w:space="0" w:color="auto"/>
                      </w:divBdr>
                    </w:div>
                  </w:divsChild>
                </w:div>
                <w:div w:id="615450313">
                  <w:marLeft w:val="0"/>
                  <w:marRight w:val="0"/>
                  <w:marTop w:val="0"/>
                  <w:marBottom w:val="0"/>
                  <w:divBdr>
                    <w:top w:val="none" w:sz="0" w:space="0" w:color="auto"/>
                    <w:left w:val="none" w:sz="0" w:space="0" w:color="auto"/>
                    <w:bottom w:val="none" w:sz="0" w:space="0" w:color="auto"/>
                    <w:right w:val="none" w:sz="0" w:space="0" w:color="auto"/>
                  </w:divBdr>
                  <w:divsChild>
                    <w:div w:id="1407075587">
                      <w:marLeft w:val="0"/>
                      <w:marRight w:val="0"/>
                      <w:marTop w:val="0"/>
                      <w:marBottom w:val="0"/>
                      <w:divBdr>
                        <w:top w:val="none" w:sz="0" w:space="0" w:color="auto"/>
                        <w:left w:val="none" w:sz="0" w:space="0" w:color="auto"/>
                        <w:bottom w:val="none" w:sz="0" w:space="0" w:color="auto"/>
                        <w:right w:val="none" w:sz="0" w:space="0" w:color="auto"/>
                      </w:divBdr>
                    </w:div>
                  </w:divsChild>
                </w:div>
                <w:div w:id="662928347">
                  <w:marLeft w:val="0"/>
                  <w:marRight w:val="0"/>
                  <w:marTop w:val="0"/>
                  <w:marBottom w:val="0"/>
                  <w:divBdr>
                    <w:top w:val="none" w:sz="0" w:space="0" w:color="auto"/>
                    <w:left w:val="none" w:sz="0" w:space="0" w:color="auto"/>
                    <w:bottom w:val="none" w:sz="0" w:space="0" w:color="auto"/>
                    <w:right w:val="none" w:sz="0" w:space="0" w:color="auto"/>
                  </w:divBdr>
                  <w:divsChild>
                    <w:div w:id="1068335037">
                      <w:marLeft w:val="0"/>
                      <w:marRight w:val="0"/>
                      <w:marTop w:val="0"/>
                      <w:marBottom w:val="0"/>
                      <w:divBdr>
                        <w:top w:val="none" w:sz="0" w:space="0" w:color="auto"/>
                        <w:left w:val="none" w:sz="0" w:space="0" w:color="auto"/>
                        <w:bottom w:val="none" w:sz="0" w:space="0" w:color="auto"/>
                        <w:right w:val="none" w:sz="0" w:space="0" w:color="auto"/>
                      </w:divBdr>
                    </w:div>
                  </w:divsChild>
                </w:div>
                <w:div w:id="734428586">
                  <w:marLeft w:val="0"/>
                  <w:marRight w:val="0"/>
                  <w:marTop w:val="0"/>
                  <w:marBottom w:val="0"/>
                  <w:divBdr>
                    <w:top w:val="none" w:sz="0" w:space="0" w:color="auto"/>
                    <w:left w:val="none" w:sz="0" w:space="0" w:color="auto"/>
                    <w:bottom w:val="none" w:sz="0" w:space="0" w:color="auto"/>
                    <w:right w:val="none" w:sz="0" w:space="0" w:color="auto"/>
                  </w:divBdr>
                  <w:divsChild>
                    <w:div w:id="786311949">
                      <w:marLeft w:val="0"/>
                      <w:marRight w:val="0"/>
                      <w:marTop w:val="0"/>
                      <w:marBottom w:val="0"/>
                      <w:divBdr>
                        <w:top w:val="none" w:sz="0" w:space="0" w:color="auto"/>
                        <w:left w:val="none" w:sz="0" w:space="0" w:color="auto"/>
                        <w:bottom w:val="none" w:sz="0" w:space="0" w:color="auto"/>
                        <w:right w:val="none" w:sz="0" w:space="0" w:color="auto"/>
                      </w:divBdr>
                    </w:div>
                  </w:divsChild>
                </w:div>
                <w:div w:id="781993034">
                  <w:marLeft w:val="0"/>
                  <w:marRight w:val="0"/>
                  <w:marTop w:val="0"/>
                  <w:marBottom w:val="0"/>
                  <w:divBdr>
                    <w:top w:val="none" w:sz="0" w:space="0" w:color="auto"/>
                    <w:left w:val="none" w:sz="0" w:space="0" w:color="auto"/>
                    <w:bottom w:val="none" w:sz="0" w:space="0" w:color="auto"/>
                    <w:right w:val="none" w:sz="0" w:space="0" w:color="auto"/>
                  </w:divBdr>
                  <w:divsChild>
                    <w:div w:id="296768329">
                      <w:marLeft w:val="0"/>
                      <w:marRight w:val="0"/>
                      <w:marTop w:val="0"/>
                      <w:marBottom w:val="0"/>
                      <w:divBdr>
                        <w:top w:val="none" w:sz="0" w:space="0" w:color="auto"/>
                        <w:left w:val="none" w:sz="0" w:space="0" w:color="auto"/>
                        <w:bottom w:val="none" w:sz="0" w:space="0" w:color="auto"/>
                        <w:right w:val="none" w:sz="0" w:space="0" w:color="auto"/>
                      </w:divBdr>
                    </w:div>
                  </w:divsChild>
                </w:div>
                <w:div w:id="801846289">
                  <w:marLeft w:val="0"/>
                  <w:marRight w:val="0"/>
                  <w:marTop w:val="0"/>
                  <w:marBottom w:val="0"/>
                  <w:divBdr>
                    <w:top w:val="none" w:sz="0" w:space="0" w:color="auto"/>
                    <w:left w:val="none" w:sz="0" w:space="0" w:color="auto"/>
                    <w:bottom w:val="none" w:sz="0" w:space="0" w:color="auto"/>
                    <w:right w:val="none" w:sz="0" w:space="0" w:color="auto"/>
                  </w:divBdr>
                  <w:divsChild>
                    <w:div w:id="141581323">
                      <w:marLeft w:val="0"/>
                      <w:marRight w:val="0"/>
                      <w:marTop w:val="0"/>
                      <w:marBottom w:val="0"/>
                      <w:divBdr>
                        <w:top w:val="none" w:sz="0" w:space="0" w:color="auto"/>
                        <w:left w:val="none" w:sz="0" w:space="0" w:color="auto"/>
                        <w:bottom w:val="none" w:sz="0" w:space="0" w:color="auto"/>
                        <w:right w:val="none" w:sz="0" w:space="0" w:color="auto"/>
                      </w:divBdr>
                    </w:div>
                  </w:divsChild>
                </w:div>
                <w:div w:id="834078879">
                  <w:marLeft w:val="0"/>
                  <w:marRight w:val="0"/>
                  <w:marTop w:val="0"/>
                  <w:marBottom w:val="0"/>
                  <w:divBdr>
                    <w:top w:val="none" w:sz="0" w:space="0" w:color="auto"/>
                    <w:left w:val="none" w:sz="0" w:space="0" w:color="auto"/>
                    <w:bottom w:val="none" w:sz="0" w:space="0" w:color="auto"/>
                    <w:right w:val="none" w:sz="0" w:space="0" w:color="auto"/>
                  </w:divBdr>
                  <w:divsChild>
                    <w:div w:id="1508591846">
                      <w:marLeft w:val="0"/>
                      <w:marRight w:val="0"/>
                      <w:marTop w:val="0"/>
                      <w:marBottom w:val="0"/>
                      <w:divBdr>
                        <w:top w:val="none" w:sz="0" w:space="0" w:color="auto"/>
                        <w:left w:val="none" w:sz="0" w:space="0" w:color="auto"/>
                        <w:bottom w:val="none" w:sz="0" w:space="0" w:color="auto"/>
                        <w:right w:val="none" w:sz="0" w:space="0" w:color="auto"/>
                      </w:divBdr>
                    </w:div>
                  </w:divsChild>
                </w:div>
                <w:div w:id="920067487">
                  <w:marLeft w:val="0"/>
                  <w:marRight w:val="0"/>
                  <w:marTop w:val="0"/>
                  <w:marBottom w:val="0"/>
                  <w:divBdr>
                    <w:top w:val="none" w:sz="0" w:space="0" w:color="auto"/>
                    <w:left w:val="none" w:sz="0" w:space="0" w:color="auto"/>
                    <w:bottom w:val="none" w:sz="0" w:space="0" w:color="auto"/>
                    <w:right w:val="none" w:sz="0" w:space="0" w:color="auto"/>
                  </w:divBdr>
                  <w:divsChild>
                    <w:div w:id="1227063083">
                      <w:marLeft w:val="0"/>
                      <w:marRight w:val="0"/>
                      <w:marTop w:val="0"/>
                      <w:marBottom w:val="0"/>
                      <w:divBdr>
                        <w:top w:val="none" w:sz="0" w:space="0" w:color="auto"/>
                        <w:left w:val="none" w:sz="0" w:space="0" w:color="auto"/>
                        <w:bottom w:val="none" w:sz="0" w:space="0" w:color="auto"/>
                        <w:right w:val="none" w:sz="0" w:space="0" w:color="auto"/>
                      </w:divBdr>
                    </w:div>
                  </w:divsChild>
                </w:div>
                <w:div w:id="982081500">
                  <w:marLeft w:val="0"/>
                  <w:marRight w:val="0"/>
                  <w:marTop w:val="0"/>
                  <w:marBottom w:val="0"/>
                  <w:divBdr>
                    <w:top w:val="none" w:sz="0" w:space="0" w:color="auto"/>
                    <w:left w:val="none" w:sz="0" w:space="0" w:color="auto"/>
                    <w:bottom w:val="none" w:sz="0" w:space="0" w:color="auto"/>
                    <w:right w:val="none" w:sz="0" w:space="0" w:color="auto"/>
                  </w:divBdr>
                  <w:divsChild>
                    <w:div w:id="668484274">
                      <w:marLeft w:val="0"/>
                      <w:marRight w:val="0"/>
                      <w:marTop w:val="0"/>
                      <w:marBottom w:val="0"/>
                      <w:divBdr>
                        <w:top w:val="none" w:sz="0" w:space="0" w:color="auto"/>
                        <w:left w:val="none" w:sz="0" w:space="0" w:color="auto"/>
                        <w:bottom w:val="none" w:sz="0" w:space="0" w:color="auto"/>
                        <w:right w:val="none" w:sz="0" w:space="0" w:color="auto"/>
                      </w:divBdr>
                    </w:div>
                  </w:divsChild>
                </w:div>
                <w:div w:id="1241403603">
                  <w:marLeft w:val="0"/>
                  <w:marRight w:val="0"/>
                  <w:marTop w:val="0"/>
                  <w:marBottom w:val="0"/>
                  <w:divBdr>
                    <w:top w:val="none" w:sz="0" w:space="0" w:color="auto"/>
                    <w:left w:val="none" w:sz="0" w:space="0" w:color="auto"/>
                    <w:bottom w:val="none" w:sz="0" w:space="0" w:color="auto"/>
                    <w:right w:val="none" w:sz="0" w:space="0" w:color="auto"/>
                  </w:divBdr>
                  <w:divsChild>
                    <w:div w:id="798453686">
                      <w:marLeft w:val="0"/>
                      <w:marRight w:val="0"/>
                      <w:marTop w:val="0"/>
                      <w:marBottom w:val="0"/>
                      <w:divBdr>
                        <w:top w:val="none" w:sz="0" w:space="0" w:color="auto"/>
                        <w:left w:val="none" w:sz="0" w:space="0" w:color="auto"/>
                        <w:bottom w:val="none" w:sz="0" w:space="0" w:color="auto"/>
                        <w:right w:val="none" w:sz="0" w:space="0" w:color="auto"/>
                      </w:divBdr>
                    </w:div>
                  </w:divsChild>
                </w:div>
                <w:div w:id="1433474634">
                  <w:marLeft w:val="0"/>
                  <w:marRight w:val="0"/>
                  <w:marTop w:val="0"/>
                  <w:marBottom w:val="0"/>
                  <w:divBdr>
                    <w:top w:val="none" w:sz="0" w:space="0" w:color="auto"/>
                    <w:left w:val="none" w:sz="0" w:space="0" w:color="auto"/>
                    <w:bottom w:val="none" w:sz="0" w:space="0" w:color="auto"/>
                    <w:right w:val="none" w:sz="0" w:space="0" w:color="auto"/>
                  </w:divBdr>
                  <w:divsChild>
                    <w:div w:id="848250487">
                      <w:marLeft w:val="0"/>
                      <w:marRight w:val="0"/>
                      <w:marTop w:val="0"/>
                      <w:marBottom w:val="0"/>
                      <w:divBdr>
                        <w:top w:val="none" w:sz="0" w:space="0" w:color="auto"/>
                        <w:left w:val="none" w:sz="0" w:space="0" w:color="auto"/>
                        <w:bottom w:val="none" w:sz="0" w:space="0" w:color="auto"/>
                        <w:right w:val="none" w:sz="0" w:space="0" w:color="auto"/>
                      </w:divBdr>
                    </w:div>
                  </w:divsChild>
                </w:div>
                <w:div w:id="1588658874">
                  <w:marLeft w:val="0"/>
                  <w:marRight w:val="0"/>
                  <w:marTop w:val="0"/>
                  <w:marBottom w:val="0"/>
                  <w:divBdr>
                    <w:top w:val="none" w:sz="0" w:space="0" w:color="auto"/>
                    <w:left w:val="none" w:sz="0" w:space="0" w:color="auto"/>
                    <w:bottom w:val="none" w:sz="0" w:space="0" w:color="auto"/>
                    <w:right w:val="none" w:sz="0" w:space="0" w:color="auto"/>
                  </w:divBdr>
                  <w:divsChild>
                    <w:div w:id="374699265">
                      <w:marLeft w:val="0"/>
                      <w:marRight w:val="0"/>
                      <w:marTop w:val="0"/>
                      <w:marBottom w:val="0"/>
                      <w:divBdr>
                        <w:top w:val="none" w:sz="0" w:space="0" w:color="auto"/>
                        <w:left w:val="none" w:sz="0" w:space="0" w:color="auto"/>
                        <w:bottom w:val="none" w:sz="0" w:space="0" w:color="auto"/>
                        <w:right w:val="none" w:sz="0" w:space="0" w:color="auto"/>
                      </w:divBdr>
                    </w:div>
                  </w:divsChild>
                </w:div>
                <w:div w:id="1683583446">
                  <w:marLeft w:val="0"/>
                  <w:marRight w:val="0"/>
                  <w:marTop w:val="0"/>
                  <w:marBottom w:val="0"/>
                  <w:divBdr>
                    <w:top w:val="none" w:sz="0" w:space="0" w:color="auto"/>
                    <w:left w:val="none" w:sz="0" w:space="0" w:color="auto"/>
                    <w:bottom w:val="none" w:sz="0" w:space="0" w:color="auto"/>
                    <w:right w:val="none" w:sz="0" w:space="0" w:color="auto"/>
                  </w:divBdr>
                  <w:divsChild>
                    <w:div w:id="617033537">
                      <w:marLeft w:val="0"/>
                      <w:marRight w:val="0"/>
                      <w:marTop w:val="0"/>
                      <w:marBottom w:val="0"/>
                      <w:divBdr>
                        <w:top w:val="none" w:sz="0" w:space="0" w:color="auto"/>
                        <w:left w:val="none" w:sz="0" w:space="0" w:color="auto"/>
                        <w:bottom w:val="none" w:sz="0" w:space="0" w:color="auto"/>
                        <w:right w:val="none" w:sz="0" w:space="0" w:color="auto"/>
                      </w:divBdr>
                    </w:div>
                  </w:divsChild>
                </w:div>
                <w:div w:id="1752309201">
                  <w:marLeft w:val="0"/>
                  <w:marRight w:val="0"/>
                  <w:marTop w:val="0"/>
                  <w:marBottom w:val="0"/>
                  <w:divBdr>
                    <w:top w:val="none" w:sz="0" w:space="0" w:color="auto"/>
                    <w:left w:val="none" w:sz="0" w:space="0" w:color="auto"/>
                    <w:bottom w:val="none" w:sz="0" w:space="0" w:color="auto"/>
                    <w:right w:val="none" w:sz="0" w:space="0" w:color="auto"/>
                  </w:divBdr>
                  <w:divsChild>
                    <w:div w:id="485049905">
                      <w:marLeft w:val="0"/>
                      <w:marRight w:val="0"/>
                      <w:marTop w:val="0"/>
                      <w:marBottom w:val="0"/>
                      <w:divBdr>
                        <w:top w:val="none" w:sz="0" w:space="0" w:color="auto"/>
                        <w:left w:val="none" w:sz="0" w:space="0" w:color="auto"/>
                        <w:bottom w:val="none" w:sz="0" w:space="0" w:color="auto"/>
                        <w:right w:val="none" w:sz="0" w:space="0" w:color="auto"/>
                      </w:divBdr>
                    </w:div>
                  </w:divsChild>
                </w:div>
                <w:div w:id="1925795209">
                  <w:marLeft w:val="0"/>
                  <w:marRight w:val="0"/>
                  <w:marTop w:val="0"/>
                  <w:marBottom w:val="0"/>
                  <w:divBdr>
                    <w:top w:val="none" w:sz="0" w:space="0" w:color="auto"/>
                    <w:left w:val="none" w:sz="0" w:space="0" w:color="auto"/>
                    <w:bottom w:val="none" w:sz="0" w:space="0" w:color="auto"/>
                    <w:right w:val="none" w:sz="0" w:space="0" w:color="auto"/>
                  </w:divBdr>
                  <w:divsChild>
                    <w:div w:id="1022979870">
                      <w:marLeft w:val="0"/>
                      <w:marRight w:val="0"/>
                      <w:marTop w:val="0"/>
                      <w:marBottom w:val="0"/>
                      <w:divBdr>
                        <w:top w:val="none" w:sz="0" w:space="0" w:color="auto"/>
                        <w:left w:val="none" w:sz="0" w:space="0" w:color="auto"/>
                        <w:bottom w:val="none" w:sz="0" w:space="0" w:color="auto"/>
                        <w:right w:val="none" w:sz="0" w:space="0" w:color="auto"/>
                      </w:divBdr>
                    </w:div>
                  </w:divsChild>
                </w:div>
                <w:div w:id="1993171182">
                  <w:marLeft w:val="0"/>
                  <w:marRight w:val="0"/>
                  <w:marTop w:val="0"/>
                  <w:marBottom w:val="0"/>
                  <w:divBdr>
                    <w:top w:val="none" w:sz="0" w:space="0" w:color="auto"/>
                    <w:left w:val="none" w:sz="0" w:space="0" w:color="auto"/>
                    <w:bottom w:val="none" w:sz="0" w:space="0" w:color="auto"/>
                    <w:right w:val="none" w:sz="0" w:space="0" w:color="auto"/>
                  </w:divBdr>
                  <w:divsChild>
                    <w:div w:id="13821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5368">
          <w:marLeft w:val="0"/>
          <w:marRight w:val="0"/>
          <w:marTop w:val="0"/>
          <w:marBottom w:val="0"/>
          <w:divBdr>
            <w:top w:val="none" w:sz="0" w:space="0" w:color="auto"/>
            <w:left w:val="none" w:sz="0" w:space="0" w:color="auto"/>
            <w:bottom w:val="none" w:sz="0" w:space="0" w:color="auto"/>
            <w:right w:val="none" w:sz="0" w:space="0" w:color="auto"/>
          </w:divBdr>
        </w:div>
        <w:div w:id="943152457">
          <w:marLeft w:val="0"/>
          <w:marRight w:val="0"/>
          <w:marTop w:val="0"/>
          <w:marBottom w:val="0"/>
          <w:divBdr>
            <w:top w:val="none" w:sz="0" w:space="0" w:color="auto"/>
            <w:left w:val="none" w:sz="0" w:space="0" w:color="auto"/>
            <w:bottom w:val="none" w:sz="0" w:space="0" w:color="auto"/>
            <w:right w:val="none" w:sz="0" w:space="0" w:color="auto"/>
          </w:divBdr>
        </w:div>
        <w:div w:id="977147728">
          <w:marLeft w:val="0"/>
          <w:marRight w:val="0"/>
          <w:marTop w:val="0"/>
          <w:marBottom w:val="0"/>
          <w:divBdr>
            <w:top w:val="none" w:sz="0" w:space="0" w:color="auto"/>
            <w:left w:val="none" w:sz="0" w:space="0" w:color="auto"/>
            <w:bottom w:val="none" w:sz="0" w:space="0" w:color="auto"/>
            <w:right w:val="none" w:sz="0" w:space="0" w:color="auto"/>
          </w:divBdr>
        </w:div>
        <w:div w:id="1046032387">
          <w:marLeft w:val="0"/>
          <w:marRight w:val="0"/>
          <w:marTop w:val="0"/>
          <w:marBottom w:val="0"/>
          <w:divBdr>
            <w:top w:val="none" w:sz="0" w:space="0" w:color="auto"/>
            <w:left w:val="none" w:sz="0" w:space="0" w:color="auto"/>
            <w:bottom w:val="none" w:sz="0" w:space="0" w:color="auto"/>
            <w:right w:val="none" w:sz="0" w:space="0" w:color="auto"/>
          </w:divBdr>
        </w:div>
        <w:div w:id="1063137979">
          <w:marLeft w:val="0"/>
          <w:marRight w:val="0"/>
          <w:marTop w:val="0"/>
          <w:marBottom w:val="0"/>
          <w:divBdr>
            <w:top w:val="none" w:sz="0" w:space="0" w:color="auto"/>
            <w:left w:val="none" w:sz="0" w:space="0" w:color="auto"/>
            <w:bottom w:val="none" w:sz="0" w:space="0" w:color="auto"/>
            <w:right w:val="none" w:sz="0" w:space="0" w:color="auto"/>
          </w:divBdr>
        </w:div>
        <w:div w:id="1085997279">
          <w:marLeft w:val="0"/>
          <w:marRight w:val="0"/>
          <w:marTop w:val="0"/>
          <w:marBottom w:val="0"/>
          <w:divBdr>
            <w:top w:val="none" w:sz="0" w:space="0" w:color="auto"/>
            <w:left w:val="none" w:sz="0" w:space="0" w:color="auto"/>
            <w:bottom w:val="none" w:sz="0" w:space="0" w:color="auto"/>
            <w:right w:val="none" w:sz="0" w:space="0" w:color="auto"/>
          </w:divBdr>
          <w:divsChild>
            <w:div w:id="1708332830">
              <w:marLeft w:val="0"/>
              <w:marRight w:val="0"/>
              <w:marTop w:val="0"/>
              <w:marBottom w:val="0"/>
              <w:divBdr>
                <w:top w:val="none" w:sz="0" w:space="0" w:color="auto"/>
                <w:left w:val="none" w:sz="0" w:space="0" w:color="auto"/>
                <w:bottom w:val="none" w:sz="0" w:space="0" w:color="auto"/>
                <w:right w:val="none" w:sz="0" w:space="0" w:color="auto"/>
              </w:divBdr>
            </w:div>
            <w:div w:id="1717847313">
              <w:marLeft w:val="0"/>
              <w:marRight w:val="0"/>
              <w:marTop w:val="0"/>
              <w:marBottom w:val="0"/>
              <w:divBdr>
                <w:top w:val="none" w:sz="0" w:space="0" w:color="auto"/>
                <w:left w:val="none" w:sz="0" w:space="0" w:color="auto"/>
                <w:bottom w:val="none" w:sz="0" w:space="0" w:color="auto"/>
                <w:right w:val="none" w:sz="0" w:space="0" w:color="auto"/>
              </w:divBdr>
            </w:div>
            <w:div w:id="1985085560">
              <w:marLeft w:val="0"/>
              <w:marRight w:val="0"/>
              <w:marTop w:val="0"/>
              <w:marBottom w:val="0"/>
              <w:divBdr>
                <w:top w:val="none" w:sz="0" w:space="0" w:color="auto"/>
                <w:left w:val="none" w:sz="0" w:space="0" w:color="auto"/>
                <w:bottom w:val="none" w:sz="0" w:space="0" w:color="auto"/>
                <w:right w:val="none" w:sz="0" w:space="0" w:color="auto"/>
              </w:divBdr>
            </w:div>
            <w:div w:id="2127768595">
              <w:marLeft w:val="0"/>
              <w:marRight w:val="0"/>
              <w:marTop w:val="0"/>
              <w:marBottom w:val="0"/>
              <w:divBdr>
                <w:top w:val="none" w:sz="0" w:space="0" w:color="auto"/>
                <w:left w:val="none" w:sz="0" w:space="0" w:color="auto"/>
                <w:bottom w:val="none" w:sz="0" w:space="0" w:color="auto"/>
                <w:right w:val="none" w:sz="0" w:space="0" w:color="auto"/>
              </w:divBdr>
            </w:div>
          </w:divsChild>
        </w:div>
        <w:div w:id="1091119195">
          <w:marLeft w:val="0"/>
          <w:marRight w:val="0"/>
          <w:marTop w:val="0"/>
          <w:marBottom w:val="0"/>
          <w:divBdr>
            <w:top w:val="none" w:sz="0" w:space="0" w:color="auto"/>
            <w:left w:val="none" w:sz="0" w:space="0" w:color="auto"/>
            <w:bottom w:val="none" w:sz="0" w:space="0" w:color="auto"/>
            <w:right w:val="none" w:sz="0" w:space="0" w:color="auto"/>
          </w:divBdr>
          <w:divsChild>
            <w:div w:id="196895550">
              <w:marLeft w:val="0"/>
              <w:marRight w:val="0"/>
              <w:marTop w:val="0"/>
              <w:marBottom w:val="0"/>
              <w:divBdr>
                <w:top w:val="none" w:sz="0" w:space="0" w:color="auto"/>
                <w:left w:val="none" w:sz="0" w:space="0" w:color="auto"/>
                <w:bottom w:val="none" w:sz="0" w:space="0" w:color="auto"/>
                <w:right w:val="none" w:sz="0" w:space="0" w:color="auto"/>
              </w:divBdr>
            </w:div>
            <w:div w:id="1116170079">
              <w:marLeft w:val="0"/>
              <w:marRight w:val="0"/>
              <w:marTop w:val="0"/>
              <w:marBottom w:val="0"/>
              <w:divBdr>
                <w:top w:val="none" w:sz="0" w:space="0" w:color="auto"/>
                <w:left w:val="none" w:sz="0" w:space="0" w:color="auto"/>
                <w:bottom w:val="none" w:sz="0" w:space="0" w:color="auto"/>
                <w:right w:val="none" w:sz="0" w:space="0" w:color="auto"/>
              </w:divBdr>
            </w:div>
            <w:div w:id="1183671367">
              <w:marLeft w:val="0"/>
              <w:marRight w:val="0"/>
              <w:marTop w:val="0"/>
              <w:marBottom w:val="0"/>
              <w:divBdr>
                <w:top w:val="none" w:sz="0" w:space="0" w:color="auto"/>
                <w:left w:val="none" w:sz="0" w:space="0" w:color="auto"/>
                <w:bottom w:val="none" w:sz="0" w:space="0" w:color="auto"/>
                <w:right w:val="none" w:sz="0" w:space="0" w:color="auto"/>
              </w:divBdr>
            </w:div>
          </w:divsChild>
        </w:div>
        <w:div w:id="1110510875">
          <w:marLeft w:val="0"/>
          <w:marRight w:val="0"/>
          <w:marTop w:val="0"/>
          <w:marBottom w:val="0"/>
          <w:divBdr>
            <w:top w:val="none" w:sz="0" w:space="0" w:color="auto"/>
            <w:left w:val="none" w:sz="0" w:space="0" w:color="auto"/>
            <w:bottom w:val="none" w:sz="0" w:space="0" w:color="auto"/>
            <w:right w:val="none" w:sz="0" w:space="0" w:color="auto"/>
          </w:divBdr>
        </w:div>
        <w:div w:id="1143039327">
          <w:marLeft w:val="0"/>
          <w:marRight w:val="0"/>
          <w:marTop w:val="0"/>
          <w:marBottom w:val="0"/>
          <w:divBdr>
            <w:top w:val="none" w:sz="0" w:space="0" w:color="auto"/>
            <w:left w:val="none" w:sz="0" w:space="0" w:color="auto"/>
            <w:bottom w:val="none" w:sz="0" w:space="0" w:color="auto"/>
            <w:right w:val="none" w:sz="0" w:space="0" w:color="auto"/>
          </w:divBdr>
        </w:div>
        <w:div w:id="1151677211">
          <w:marLeft w:val="0"/>
          <w:marRight w:val="0"/>
          <w:marTop w:val="0"/>
          <w:marBottom w:val="0"/>
          <w:divBdr>
            <w:top w:val="none" w:sz="0" w:space="0" w:color="auto"/>
            <w:left w:val="none" w:sz="0" w:space="0" w:color="auto"/>
            <w:bottom w:val="none" w:sz="0" w:space="0" w:color="auto"/>
            <w:right w:val="none" w:sz="0" w:space="0" w:color="auto"/>
          </w:divBdr>
        </w:div>
        <w:div w:id="1176043831">
          <w:marLeft w:val="0"/>
          <w:marRight w:val="0"/>
          <w:marTop w:val="0"/>
          <w:marBottom w:val="0"/>
          <w:divBdr>
            <w:top w:val="none" w:sz="0" w:space="0" w:color="auto"/>
            <w:left w:val="none" w:sz="0" w:space="0" w:color="auto"/>
            <w:bottom w:val="none" w:sz="0" w:space="0" w:color="auto"/>
            <w:right w:val="none" w:sz="0" w:space="0" w:color="auto"/>
          </w:divBdr>
          <w:divsChild>
            <w:div w:id="178782567">
              <w:marLeft w:val="0"/>
              <w:marRight w:val="0"/>
              <w:marTop w:val="0"/>
              <w:marBottom w:val="0"/>
              <w:divBdr>
                <w:top w:val="none" w:sz="0" w:space="0" w:color="auto"/>
                <w:left w:val="none" w:sz="0" w:space="0" w:color="auto"/>
                <w:bottom w:val="none" w:sz="0" w:space="0" w:color="auto"/>
                <w:right w:val="none" w:sz="0" w:space="0" w:color="auto"/>
              </w:divBdr>
            </w:div>
            <w:div w:id="323048737">
              <w:marLeft w:val="0"/>
              <w:marRight w:val="0"/>
              <w:marTop w:val="0"/>
              <w:marBottom w:val="0"/>
              <w:divBdr>
                <w:top w:val="none" w:sz="0" w:space="0" w:color="auto"/>
                <w:left w:val="none" w:sz="0" w:space="0" w:color="auto"/>
                <w:bottom w:val="none" w:sz="0" w:space="0" w:color="auto"/>
                <w:right w:val="none" w:sz="0" w:space="0" w:color="auto"/>
              </w:divBdr>
            </w:div>
            <w:div w:id="1616329420">
              <w:marLeft w:val="0"/>
              <w:marRight w:val="0"/>
              <w:marTop w:val="0"/>
              <w:marBottom w:val="0"/>
              <w:divBdr>
                <w:top w:val="none" w:sz="0" w:space="0" w:color="auto"/>
                <w:left w:val="none" w:sz="0" w:space="0" w:color="auto"/>
                <w:bottom w:val="none" w:sz="0" w:space="0" w:color="auto"/>
                <w:right w:val="none" w:sz="0" w:space="0" w:color="auto"/>
              </w:divBdr>
            </w:div>
            <w:div w:id="1665742696">
              <w:marLeft w:val="0"/>
              <w:marRight w:val="0"/>
              <w:marTop w:val="0"/>
              <w:marBottom w:val="0"/>
              <w:divBdr>
                <w:top w:val="none" w:sz="0" w:space="0" w:color="auto"/>
                <w:left w:val="none" w:sz="0" w:space="0" w:color="auto"/>
                <w:bottom w:val="none" w:sz="0" w:space="0" w:color="auto"/>
                <w:right w:val="none" w:sz="0" w:space="0" w:color="auto"/>
              </w:divBdr>
            </w:div>
            <w:div w:id="1857423751">
              <w:marLeft w:val="0"/>
              <w:marRight w:val="0"/>
              <w:marTop w:val="0"/>
              <w:marBottom w:val="0"/>
              <w:divBdr>
                <w:top w:val="none" w:sz="0" w:space="0" w:color="auto"/>
                <w:left w:val="none" w:sz="0" w:space="0" w:color="auto"/>
                <w:bottom w:val="none" w:sz="0" w:space="0" w:color="auto"/>
                <w:right w:val="none" w:sz="0" w:space="0" w:color="auto"/>
              </w:divBdr>
            </w:div>
          </w:divsChild>
        </w:div>
        <w:div w:id="1199246355">
          <w:marLeft w:val="0"/>
          <w:marRight w:val="0"/>
          <w:marTop w:val="0"/>
          <w:marBottom w:val="0"/>
          <w:divBdr>
            <w:top w:val="none" w:sz="0" w:space="0" w:color="auto"/>
            <w:left w:val="none" w:sz="0" w:space="0" w:color="auto"/>
            <w:bottom w:val="none" w:sz="0" w:space="0" w:color="auto"/>
            <w:right w:val="none" w:sz="0" w:space="0" w:color="auto"/>
          </w:divBdr>
          <w:divsChild>
            <w:div w:id="934828093">
              <w:marLeft w:val="0"/>
              <w:marRight w:val="0"/>
              <w:marTop w:val="0"/>
              <w:marBottom w:val="0"/>
              <w:divBdr>
                <w:top w:val="none" w:sz="0" w:space="0" w:color="auto"/>
                <w:left w:val="none" w:sz="0" w:space="0" w:color="auto"/>
                <w:bottom w:val="none" w:sz="0" w:space="0" w:color="auto"/>
                <w:right w:val="none" w:sz="0" w:space="0" w:color="auto"/>
              </w:divBdr>
            </w:div>
            <w:div w:id="1754202942">
              <w:marLeft w:val="0"/>
              <w:marRight w:val="0"/>
              <w:marTop w:val="0"/>
              <w:marBottom w:val="0"/>
              <w:divBdr>
                <w:top w:val="none" w:sz="0" w:space="0" w:color="auto"/>
                <w:left w:val="none" w:sz="0" w:space="0" w:color="auto"/>
                <w:bottom w:val="none" w:sz="0" w:space="0" w:color="auto"/>
                <w:right w:val="none" w:sz="0" w:space="0" w:color="auto"/>
              </w:divBdr>
            </w:div>
            <w:div w:id="2036422606">
              <w:marLeft w:val="0"/>
              <w:marRight w:val="0"/>
              <w:marTop w:val="0"/>
              <w:marBottom w:val="0"/>
              <w:divBdr>
                <w:top w:val="none" w:sz="0" w:space="0" w:color="auto"/>
                <w:left w:val="none" w:sz="0" w:space="0" w:color="auto"/>
                <w:bottom w:val="none" w:sz="0" w:space="0" w:color="auto"/>
                <w:right w:val="none" w:sz="0" w:space="0" w:color="auto"/>
              </w:divBdr>
            </w:div>
            <w:div w:id="2070759417">
              <w:marLeft w:val="0"/>
              <w:marRight w:val="0"/>
              <w:marTop w:val="0"/>
              <w:marBottom w:val="0"/>
              <w:divBdr>
                <w:top w:val="none" w:sz="0" w:space="0" w:color="auto"/>
                <w:left w:val="none" w:sz="0" w:space="0" w:color="auto"/>
                <w:bottom w:val="none" w:sz="0" w:space="0" w:color="auto"/>
                <w:right w:val="none" w:sz="0" w:space="0" w:color="auto"/>
              </w:divBdr>
            </w:div>
            <w:div w:id="2142503842">
              <w:marLeft w:val="0"/>
              <w:marRight w:val="0"/>
              <w:marTop w:val="0"/>
              <w:marBottom w:val="0"/>
              <w:divBdr>
                <w:top w:val="none" w:sz="0" w:space="0" w:color="auto"/>
                <w:left w:val="none" w:sz="0" w:space="0" w:color="auto"/>
                <w:bottom w:val="none" w:sz="0" w:space="0" w:color="auto"/>
                <w:right w:val="none" w:sz="0" w:space="0" w:color="auto"/>
              </w:divBdr>
            </w:div>
          </w:divsChild>
        </w:div>
        <w:div w:id="1211456766">
          <w:marLeft w:val="0"/>
          <w:marRight w:val="0"/>
          <w:marTop w:val="0"/>
          <w:marBottom w:val="0"/>
          <w:divBdr>
            <w:top w:val="none" w:sz="0" w:space="0" w:color="auto"/>
            <w:left w:val="none" w:sz="0" w:space="0" w:color="auto"/>
            <w:bottom w:val="none" w:sz="0" w:space="0" w:color="auto"/>
            <w:right w:val="none" w:sz="0" w:space="0" w:color="auto"/>
          </w:divBdr>
        </w:div>
        <w:div w:id="1235700655">
          <w:marLeft w:val="0"/>
          <w:marRight w:val="0"/>
          <w:marTop w:val="0"/>
          <w:marBottom w:val="0"/>
          <w:divBdr>
            <w:top w:val="none" w:sz="0" w:space="0" w:color="auto"/>
            <w:left w:val="none" w:sz="0" w:space="0" w:color="auto"/>
            <w:bottom w:val="none" w:sz="0" w:space="0" w:color="auto"/>
            <w:right w:val="none" w:sz="0" w:space="0" w:color="auto"/>
          </w:divBdr>
        </w:div>
        <w:div w:id="1258900394">
          <w:marLeft w:val="0"/>
          <w:marRight w:val="0"/>
          <w:marTop w:val="0"/>
          <w:marBottom w:val="0"/>
          <w:divBdr>
            <w:top w:val="none" w:sz="0" w:space="0" w:color="auto"/>
            <w:left w:val="none" w:sz="0" w:space="0" w:color="auto"/>
            <w:bottom w:val="none" w:sz="0" w:space="0" w:color="auto"/>
            <w:right w:val="none" w:sz="0" w:space="0" w:color="auto"/>
          </w:divBdr>
        </w:div>
        <w:div w:id="1295983343">
          <w:marLeft w:val="0"/>
          <w:marRight w:val="0"/>
          <w:marTop w:val="0"/>
          <w:marBottom w:val="0"/>
          <w:divBdr>
            <w:top w:val="none" w:sz="0" w:space="0" w:color="auto"/>
            <w:left w:val="none" w:sz="0" w:space="0" w:color="auto"/>
            <w:bottom w:val="none" w:sz="0" w:space="0" w:color="auto"/>
            <w:right w:val="none" w:sz="0" w:space="0" w:color="auto"/>
          </w:divBdr>
        </w:div>
        <w:div w:id="1341658423">
          <w:marLeft w:val="0"/>
          <w:marRight w:val="0"/>
          <w:marTop w:val="0"/>
          <w:marBottom w:val="0"/>
          <w:divBdr>
            <w:top w:val="none" w:sz="0" w:space="0" w:color="auto"/>
            <w:left w:val="none" w:sz="0" w:space="0" w:color="auto"/>
            <w:bottom w:val="none" w:sz="0" w:space="0" w:color="auto"/>
            <w:right w:val="none" w:sz="0" w:space="0" w:color="auto"/>
          </w:divBdr>
        </w:div>
        <w:div w:id="1350252134">
          <w:marLeft w:val="0"/>
          <w:marRight w:val="0"/>
          <w:marTop w:val="0"/>
          <w:marBottom w:val="0"/>
          <w:divBdr>
            <w:top w:val="none" w:sz="0" w:space="0" w:color="auto"/>
            <w:left w:val="none" w:sz="0" w:space="0" w:color="auto"/>
            <w:bottom w:val="none" w:sz="0" w:space="0" w:color="auto"/>
            <w:right w:val="none" w:sz="0" w:space="0" w:color="auto"/>
          </w:divBdr>
        </w:div>
        <w:div w:id="1482235628">
          <w:marLeft w:val="0"/>
          <w:marRight w:val="0"/>
          <w:marTop w:val="0"/>
          <w:marBottom w:val="0"/>
          <w:divBdr>
            <w:top w:val="none" w:sz="0" w:space="0" w:color="auto"/>
            <w:left w:val="none" w:sz="0" w:space="0" w:color="auto"/>
            <w:bottom w:val="none" w:sz="0" w:space="0" w:color="auto"/>
            <w:right w:val="none" w:sz="0" w:space="0" w:color="auto"/>
          </w:divBdr>
        </w:div>
        <w:div w:id="1565414750">
          <w:marLeft w:val="0"/>
          <w:marRight w:val="0"/>
          <w:marTop w:val="0"/>
          <w:marBottom w:val="0"/>
          <w:divBdr>
            <w:top w:val="none" w:sz="0" w:space="0" w:color="auto"/>
            <w:left w:val="none" w:sz="0" w:space="0" w:color="auto"/>
            <w:bottom w:val="none" w:sz="0" w:space="0" w:color="auto"/>
            <w:right w:val="none" w:sz="0" w:space="0" w:color="auto"/>
          </w:divBdr>
          <w:divsChild>
            <w:div w:id="178548628">
              <w:marLeft w:val="0"/>
              <w:marRight w:val="0"/>
              <w:marTop w:val="0"/>
              <w:marBottom w:val="0"/>
              <w:divBdr>
                <w:top w:val="none" w:sz="0" w:space="0" w:color="auto"/>
                <w:left w:val="none" w:sz="0" w:space="0" w:color="auto"/>
                <w:bottom w:val="none" w:sz="0" w:space="0" w:color="auto"/>
                <w:right w:val="none" w:sz="0" w:space="0" w:color="auto"/>
              </w:divBdr>
            </w:div>
            <w:div w:id="420418484">
              <w:marLeft w:val="0"/>
              <w:marRight w:val="0"/>
              <w:marTop w:val="0"/>
              <w:marBottom w:val="0"/>
              <w:divBdr>
                <w:top w:val="none" w:sz="0" w:space="0" w:color="auto"/>
                <w:left w:val="none" w:sz="0" w:space="0" w:color="auto"/>
                <w:bottom w:val="none" w:sz="0" w:space="0" w:color="auto"/>
                <w:right w:val="none" w:sz="0" w:space="0" w:color="auto"/>
              </w:divBdr>
            </w:div>
            <w:div w:id="444888753">
              <w:marLeft w:val="0"/>
              <w:marRight w:val="0"/>
              <w:marTop w:val="0"/>
              <w:marBottom w:val="0"/>
              <w:divBdr>
                <w:top w:val="none" w:sz="0" w:space="0" w:color="auto"/>
                <w:left w:val="none" w:sz="0" w:space="0" w:color="auto"/>
                <w:bottom w:val="none" w:sz="0" w:space="0" w:color="auto"/>
                <w:right w:val="none" w:sz="0" w:space="0" w:color="auto"/>
              </w:divBdr>
            </w:div>
            <w:div w:id="557253885">
              <w:marLeft w:val="0"/>
              <w:marRight w:val="0"/>
              <w:marTop w:val="0"/>
              <w:marBottom w:val="0"/>
              <w:divBdr>
                <w:top w:val="none" w:sz="0" w:space="0" w:color="auto"/>
                <w:left w:val="none" w:sz="0" w:space="0" w:color="auto"/>
                <w:bottom w:val="none" w:sz="0" w:space="0" w:color="auto"/>
                <w:right w:val="none" w:sz="0" w:space="0" w:color="auto"/>
              </w:divBdr>
            </w:div>
            <w:div w:id="763913037">
              <w:marLeft w:val="0"/>
              <w:marRight w:val="0"/>
              <w:marTop w:val="0"/>
              <w:marBottom w:val="0"/>
              <w:divBdr>
                <w:top w:val="none" w:sz="0" w:space="0" w:color="auto"/>
                <w:left w:val="none" w:sz="0" w:space="0" w:color="auto"/>
                <w:bottom w:val="none" w:sz="0" w:space="0" w:color="auto"/>
                <w:right w:val="none" w:sz="0" w:space="0" w:color="auto"/>
              </w:divBdr>
            </w:div>
          </w:divsChild>
        </w:div>
        <w:div w:id="1581282591">
          <w:marLeft w:val="0"/>
          <w:marRight w:val="0"/>
          <w:marTop w:val="0"/>
          <w:marBottom w:val="0"/>
          <w:divBdr>
            <w:top w:val="none" w:sz="0" w:space="0" w:color="auto"/>
            <w:left w:val="none" w:sz="0" w:space="0" w:color="auto"/>
            <w:bottom w:val="none" w:sz="0" w:space="0" w:color="auto"/>
            <w:right w:val="none" w:sz="0" w:space="0" w:color="auto"/>
          </w:divBdr>
        </w:div>
        <w:div w:id="1610427635">
          <w:marLeft w:val="0"/>
          <w:marRight w:val="0"/>
          <w:marTop w:val="0"/>
          <w:marBottom w:val="0"/>
          <w:divBdr>
            <w:top w:val="none" w:sz="0" w:space="0" w:color="auto"/>
            <w:left w:val="none" w:sz="0" w:space="0" w:color="auto"/>
            <w:bottom w:val="none" w:sz="0" w:space="0" w:color="auto"/>
            <w:right w:val="none" w:sz="0" w:space="0" w:color="auto"/>
          </w:divBdr>
        </w:div>
        <w:div w:id="1623002189">
          <w:marLeft w:val="0"/>
          <w:marRight w:val="0"/>
          <w:marTop w:val="0"/>
          <w:marBottom w:val="0"/>
          <w:divBdr>
            <w:top w:val="none" w:sz="0" w:space="0" w:color="auto"/>
            <w:left w:val="none" w:sz="0" w:space="0" w:color="auto"/>
            <w:bottom w:val="none" w:sz="0" w:space="0" w:color="auto"/>
            <w:right w:val="none" w:sz="0" w:space="0" w:color="auto"/>
          </w:divBdr>
        </w:div>
        <w:div w:id="1698769138">
          <w:marLeft w:val="0"/>
          <w:marRight w:val="0"/>
          <w:marTop w:val="0"/>
          <w:marBottom w:val="0"/>
          <w:divBdr>
            <w:top w:val="none" w:sz="0" w:space="0" w:color="auto"/>
            <w:left w:val="none" w:sz="0" w:space="0" w:color="auto"/>
            <w:bottom w:val="none" w:sz="0" w:space="0" w:color="auto"/>
            <w:right w:val="none" w:sz="0" w:space="0" w:color="auto"/>
          </w:divBdr>
        </w:div>
        <w:div w:id="1712916437">
          <w:marLeft w:val="0"/>
          <w:marRight w:val="0"/>
          <w:marTop w:val="0"/>
          <w:marBottom w:val="0"/>
          <w:divBdr>
            <w:top w:val="none" w:sz="0" w:space="0" w:color="auto"/>
            <w:left w:val="none" w:sz="0" w:space="0" w:color="auto"/>
            <w:bottom w:val="none" w:sz="0" w:space="0" w:color="auto"/>
            <w:right w:val="none" w:sz="0" w:space="0" w:color="auto"/>
          </w:divBdr>
        </w:div>
        <w:div w:id="1743217721">
          <w:marLeft w:val="0"/>
          <w:marRight w:val="0"/>
          <w:marTop w:val="0"/>
          <w:marBottom w:val="0"/>
          <w:divBdr>
            <w:top w:val="none" w:sz="0" w:space="0" w:color="auto"/>
            <w:left w:val="none" w:sz="0" w:space="0" w:color="auto"/>
            <w:bottom w:val="none" w:sz="0" w:space="0" w:color="auto"/>
            <w:right w:val="none" w:sz="0" w:space="0" w:color="auto"/>
          </w:divBdr>
        </w:div>
        <w:div w:id="1775973826">
          <w:marLeft w:val="0"/>
          <w:marRight w:val="0"/>
          <w:marTop w:val="0"/>
          <w:marBottom w:val="0"/>
          <w:divBdr>
            <w:top w:val="none" w:sz="0" w:space="0" w:color="auto"/>
            <w:left w:val="none" w:sz="0" w:space="0" w:color="auto"/>
            <w:bottom w:val="none" w:sz="0" w:space="0" w:color="auto"/>
            <w:right w:val="none" w:sz="0" w:space="0" w:color="auto"/>
          </w:divBdr>
        </w:div>
        <w:div w:id="1802069452">
          <w:marLeft w:val="0"/>
          <w:marRight w:val="0"/>
          <w:marTop w:val="0"/>
          <w:marBottom w:val="0"/>
          <w:divBdr>
            <w:top w:val="none" w:sz="0" w:space="0" w:color="auto"/>
            <w:left w:val="none" w:sz="0" w:space="0" w:color="auto"/>
            <w:bottom w:val="none" w:sz="0" w:space="0" w:color="auto"/>
            <w:right w:val="none" w:sz="0" w:space="0" w:color="auto"/>
          </w:divBdr>
          <w:divsChild>
            <w:div w:id="285044576">
              <w:marLeft w:val="0"/>
              <w:marRight w:val="0"/>
              <w:marTop w:val="0"/>
              <w:marBottom w:val="0"/>
              <w:divBdr>
                <w:top w:val="none" w:sz="0" w:space="0" w:color="auto"/>
                <w:left w:val="none" w:sz="0" w:space="0" w:color="auto"/>
                <w:bottom w:val="none" w:sz="0" w:space="0" w:color="auto"/>
                <w:right w:val="none" w:sz="0" w:space="0" w:color="auto"/>
              </w:divBdr>
            </w:div>
            <w:div w:id="413746700">
              <w:marLeft w:val="0"/>
              <w:marRight w:val="0"/>
              <w:marTop w:val="0"/>
              <w:marBottom w:val="0"/>
              <w:divBdr>
                <w:top w:val="none" w:sz="0" w:space="0" w:color="auto"/>
                <w:left w:val="none" w:sz="0" w:space="0" w:color="auto"/>
                <w:bottom w:val="none" w:sz="0" w:space="0" w:color="auto"/>
                <w:right w:val="none" w:sz="0" w:space="0" w:color="auto"/>
              </w:divBdr>
            </w:div>
            <w:div w:id="563838529">
              <w:marLeft w:val="0"/>
              <w:marRight w:val="0"/>
              <w:marTop w:val="0"/>
              <w:marBottom w:val="0"/>
              <w:divBdr>
                <w:top w:val="none" w:sz="0" w:space="0" w:color="auto"/>
                <w:left w:val="none" w:sz="0" w:space="0" w:color="auto"/>
                <w:bottom w:val="none" w:sz="0" w:space="0" w:color="auto"/>
                <w:right w:val="none" w:sz="0" w:space="0" w:color="auto"/>
              </w:divBdr>
            </w:div>
            <w:div w:id="932517033">
              <w:marLeft w:val="0"/>
              <w:marRight w:val="0"/>
              <w:marTop w:val="0"/>
              <w:marBottom w:val="0"/>
              <w:divBdr>
                <w:top w:val="none" w:sz="0" w:space="0" w:color="auto"/>
                <w:left w:val="none" w:sz="0" w:space="0" w:color="auto"/>
                <w:bottom w:val="none" w:sz="0" w:space="0" w:color="auto"/>
                <w:right w:val="none" w:sz="0" w:space="0" w:color="auto"/>
              </w:divBdr>
            </w:div>
            <w:div w:id="1665283780">
              <w:marLeft w:val="0"/>
              <w:marRight w:val="0"/>
              <w:marTop w:val="0"/>
              <w:marBottom w:val="0"/>
              <w:divBdr>
                <w:top w:val="none" w:sz="0" w:space="0" w:color="auto"/>
                <w:left w:val="none" w:sz="0" w:space="0" w:color="auto"/>
                <w:bottom w:val="none" w:sz="0" w:space="0" w:color="auto"/>
                <w:right w:val="none" w:sz="0" w:space="0" w:color="auto"/>
              </w:divBdr>
            </w:div>
          </w:divsChild>
        </w:div>
        <w:div w:id="1814253694">
          <w:marLeft w:val="0"/>
          <w:marRight w:val="0"/>
          <w:marTop w:val="0"/>
          <w:marBottom w:val="0"/>
          <w:divBdr>
            <w:top w:val="none" w:sz="0" w:space="0" w:color="auto"/>
            <w:left w:val="none" w:sz="0" w:space="0" w:color="auto"/>
            <w:bottom w:val="none" w:sz="0" w:space="0" w:color="auto"/>
            <w:right w:val="none" w:sz="0" w:space="0" w:color="auto"/>
          </w:divBdr>
        </w:div>
        <w:div w:id="1903440549">
          <w:marLeft w:val="0"/>
          <w:marRight w:val="0"/>
          <w:marTop w:val="0"/>
          <w:marBottom w:val="0"/>
          <w:divBdr>
            <w:top w:val="none" w:sz="0" w:space="0" w:color="auto"/>
            <w:left w:val="none" w:sz="0" w:space="0" w:color="auto"/>
            <w:bottom w:val="none" w:sz="0" w:space="0" w:color="auto"/>
            <w:right w:val="none" w:sz="0" w:space="0" w:color="auto"/>
          </w:divBdr>
        </w:div>
        <w:div w:id="1939412908">
          <w:marLeft w:val="0"/>
          <w:marRight w:val="0"/>
          <w:marTop w:val="0"/>
          <w:marBottom w:val="0"/>
          <w:divBdr>
            <w:top w:val="none" w:sz="0" w:space="0" w:color="auto"/>
            <w:left w:val="none" w:sz="0" w:space="0" w:color="auto"/>
            <w:bottom w:val="none" w:sz="0" w:space="0" w:color="auto"/>
            <w:right w:val="none" w:sz="0" w:space="0" w:color="auto"/>
          </w:divBdr>
        </w:div>
        <w:div w:id="2047367348">
          <w:marLeft w:val="0"/>
          <w:marRight w:val="0"/>
          <w:marTop w:val="0"/>
          <w:marBottom w:val="0"/>
          <w:divBdr>
            <w:top w:val="none" w:sz="0" w:space="0" w:color="auto"/>
            <w:left w:val="none" w:sz="0" w:space="0" w:color="auto"/>
            <w:bottom w:val="none" w:sz="0" w:space="0" w:color="auto"/>
            <w:right w:val="none" w:sz="0" w:space="0" w:color="auto"/>
          </w:divBdr>
        </w:div>
        <w:div w:id="2048752957">
          <w:marLeft w:val="0"/>
          <w:marRight w:val="0"/>
          <w:marTop w:val="0"/>
          <w:marBottom w:val="0"/>
          <w:divBdr>
            <w:top w:val="none" w:sz="0" w:space="0" w:color="auto"/>
            <w:left w:val="none" w:sz="0" w:space="0" w:color="auto"/>
            <w:bottom w:val="none" w:sz="0" w:space="0" w:color="auto"/>
            <w:right w:val="none" w:sz="0" w:space="0" w:color="auto"/>
          </w:divBdr>
          <w:divsChild>
            <w:div w:id="279608260">
              <w:marLeft w:val="0"/>
              <w:marRight w:val="0"/>
              <w:marTop w:val="0"/>
              <w:marBottom w:val="0"/>
              <w:divBdr>
                <w:top w:val="none" w:sz="0" w:space="0" w:color="auto"/>
                <w:left w:val="none" w:sz="0" w:space="0" w:color="auto"/>
                <w:bottom w:val="none" w:sz="0" w:space="0" w:color="auto"/>
                <w:right w:val="none" w:sz="0" w:space="0" w:color="auto"/>
              </w:divBdr>
            </w:div>
            <w:div w:id="531580252">
              <w:marLeft w:val="0"/>
              <w:marRight w:val="0"/>
              <w:marTop w:val="0"/>
              <w:marBottom w:val="0"/>
              <w:divBdr>
                <w:top w:val="none" w:sz="0" w:space="0" w:color="auto"/>
                <w:left w:val="none" w:sz="0" w:space="0" w:color="auto"/>
                <w:bottom w:val="none" w:sz="0" w:space="0" w:color="auto"/>
                <w:right w:val="none" w:sz="0" w:space="0" w:color="auto"/>
              </w:divBdr>
            </w:div>
            <w:div w:id="942617372">
              <w:marLeft w:val="0"/>
              <w:marRight w:val="0"/>
              <w:marTop w:val="0"/>
              <w:marBottom w:val="0"/>
              <w:divBdr>
                <w:top w:val="none" w:sz="0" w:space="0" w:color="auto"/>
                <w:left w:val="none" w:sz="0" w:space="0" w:color="auto"/>
                <w:bottom w:val="none" w:sz="0" w:space="0" w:color="auto"/>
                <w:right w:val="none" w:sz="0" w:space="0" w:color="auto"/>
              </w:divBdr>
            </w:div>
            <w:div w:id="1178540597">
              <w:marLeft w:val="0"/>
              <w:marRight w:val="0"/>
              <w:marTop w:val="0"/>
              <w:marBottom w:val="0"/>
              <w:divBdr>
                <w:top w:val="none" w:sz="0" w:space="0" w:color="auto"/>
                <w:left w:val="none" w:sz="0" w:space="0" w:color="auto"/>
                <w:bottom w:val="none" w:sz="0" w:space="0" w:color="auto"/>
                <w:right w:val="none" w:sz="0" w:space="0" w:color="auto"/>
              </w:divBdr>
            </w:div>
            <w:div w:id="1191407651">
              <w:marLeft w:val="0"/>
              <w:marRight w:val="0"/>
              <w:marTop w:val="0"/>
              <w:marBottom w:val="0"/>
              <w:divBdr>
                <w:top w:val="none" w:sz="0" w:space="0" w:color="auto"/>
                <w:left w:val="none" w:sz="0" w:space="0" w:color="auto"/>
                <w:bottom w:val="none" w:sz="0" w:space="0" w:color="auto"/>
                <w:right w:val="none" w:sz="0" w:space="0" w:color="auto"/>
              </w:divBdr>
            </w:div>
          </w:divsChild>
        </w:div>
        <w:div w:id="2052415192">
          <w:marLeft w:val="0"/>
          <w:marRight w:val="0"/>
          <w:marTop w:val="0"/>
          <w:marBottom w:val="0"/>
          <w:divBdr>
            <w:top w:val="none" w:sz="0" w:space="0" w:color="auto"/>
            <w:left w:val="none" w:sz="0" w:space="0" w:color="auto"/>
            <w:bottom w:val="none" w:sz="0" w:space="0" w:color="auto"/>
            <w:right w:val="none" w:sz="0" w:space="0" w:color="auto"/>
          </w:divBdr>
        </w:div>
        <w:div w:id="2076581258">
          <w:marLeft w:val="0"/>
          <w:marRight w:val="0"/>
          <w:marTop w:val="0"/>
          <w:marBottom w:val="0"/>
          <w:divBdr>
            <w:top w:val="none" w:sz="0" w:space="0" w:color="auto"/>
            <w:left w:val="none" w:sz="0" w:space="0" w:color="auto"/>
            <w:bottom w:val="none" w:sz="0" w:space="0" w:color="auto"/>
            <w:right w:val="none" w:sz="0" w:space="0" w:color="auto"/>
          </w:divBdr>
        </w:div>
        <w:div w:id="2085057435">
          <w:marLeft w:val="0"/>
          <w:marRight w:val="0"/>
          <w:marTop w:val="0"/>
          <w:marBottom w:val="0"/>
          <w:divBdr>
            <w:top w:val="none" w:sz="0" w:space="0" w:color="auto"/>
            <w:left w:val="none" w:sz="0" w:space="0" w:color="auto"/>
            <w:bottom w:val="none" w:sz="0" w:space="0" w:color="auto"/>
            <w:right w:val="none" w:sz="0" w:space="0" w:color="auto"/>
          </w:divBdr>
        </w:div>
        <w:div w:id="2113625103">
          <w:marLeft w:val="0"/>
          <w:marRight w:val="0"/>
          <w:marTop w:val="0"/>
          <w:marBottom w:val="0"/>
          <w:divBdr>
            <w:top w:val="none" w:sz="0" w:space="0" w:color="auto"/>
            <w:left w:val="none" w:sz="0" w:space="0" w:color="auto"/>
            <w:bottom w:val="none" w:sz="0" w:space="0" w:color="auto"/>
            <w:right w:val="none" w:sz="0" w:space="0" w:color="auto"/>
          </w:divBdr>
          <w:divsChild>
            <w:div w:id="127166181">
              <w:marLeft w:val="0"/>
              <w:marRight w:val="0"/>
              <w:marTop w:val="0"/>
              <w:marBottom w:val="0"/>
              <w:divBdr>
                <w:top w:val="none" w:sz="0" w:space="0" w:color="auto"/>
                <w:left w:val="none" w:sz="0" w:space="0" w:color="auto"/>
                <w:bottom w:val="none" w:sz="0" w:space="0" w:color="auto"/>
                <w:right w:val="none" w:sz="0" w:space="0" w:color="auto"/>
              </w:divBdr>
            </w:div>
            <w:div w:id="398557146">
              <w:marLeft w:val="0"/>
              <w:marRight w:val="0"/>
              <w:marTop w:val="0"/>
              <w:marBottom w:val="0"/>
              <w:divBdr>
                <w:top w:val="none" w:sz="0" w:space="0" w:color="auto"/>
                <w:left w:val="none" w:sz="0" w:space="0" w:color="auto"/>
                <w:bottom w:val="none" w:sz="0" w:space="0" w:color="auto"/>
                <w:right w:val="none" w:sz="0" w:space="0" w:color="auto"/>
              </w:divBdr>
            </w:div>
            <w:div w:id="862746232">
              <w:marLeft w:val="0"/>
              <w:marRight w:val="0"/>
              <w:marTop w:val="0"/>
              <w:marBottom w:val="0"/>
              <w:divBdr>
                <w:top w:val="none" w:sz="0" w:space="0" w:color="auto"/>
                <w:left w:val="none" w:sz="0" w:space="0" w:color="auto"/>
                <w:bottom w:val="none" w:sz="0" w:space="0" w:color="auto"/>
                <w:right w:val="none" w:sz="0" w:space="0" w:color="auto"/>
              </w:divBdr>
            </w:div>
            <w:div w:id="1852068456">
              <w:marLeft w:val="0"/>
              <w:marRight w:val="0"/>
              <w:marTop w:val="0"/>
              <w:marBottom w:val="0"/>
              <w:divBdr>
                <w:top w:val="none" w:sz="0" w:space="0" w:color="auto"/>
                <w:left w:val="none" w:sz="0" w:space="0" w:color="auto"/>
                <w:bottom w:val="none" w:sz="0" w:space="0" w:color="auto"/>
                <w:right w:val="none" w:sz="0" w:space="0" w:color="auto"/>
              </w:divBdr>
            </w:div>
            <w:div w:id="19314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8344">
      <w:bodyDiv w:val="1"/>
      <w:marLeft w:val="0"/>
      <w:marRight w:val="0"/>
      <w:marTop w:val="0"/>
      <w:marBottom w:val="0"/>
      <w:divBdr>
        <w:top w:val="none" w:sz="0" w:space="0" w:color="auto"/>
        <w:left w:val="none" w:sz="0" w:space="0" w:color="auto"/>
        <w:bottom w:val="none" w:sz="0" w:space="0" w:color="auto"/>
        <w:right w:val="none" w:sz="0" w:space="0" w:color="auto"/>
      </w:divBdr>
    </w:div>
    <w:div w:id="1650091320">
      <w:bodyDiv w:val="1"/>
      <w:marLeft w:val="0"/>
      <w:marRight w:val="0"/>
      <w:marTop w:val="0"/>
      <w:marBottom w:val="0"/>
      <w:divBdr>
        <w:top w:val="none" w:sz="0" w:space="0" w:color="auto"/>
        <w:left w:val="none" w:sz="0" w:space="0" w:color="auto"/>
        <w:bottom w:val="none" w:sz="0" w:space="0" w:color="auto"/>
        <w:right w:val="none" w:sz="0" w:space="0" w:color="auto"/>
      </w:divBdr>
    </w:div>
    <w:div w:id="1654794284">
      <w:bodyDiv w:val="1"/>
      <w:marLeft w:val="0"/>
      <w:marRight w:val="0"/>
      <w:marTop w:val="0"/>
      <w:marBottom w:val="0"/>
      <w:divBdr>
        <w:top w:val="none" w:sz="0" w:space="0" w:color="auto"/>
        <w:left w:val="none" w:sz="0" w:space="0" w:color="auto"/>
        <w:bottom w:val="none" w:sz="0" w:space="0" w:color="auto"/>
        <w:right w:val="none" w:sz="0" w:space="0" w:color="auto"/>
      </w:divBdr>
    </w:div>
    <w:div w:id="1663704831">
      <w:bodyDiv w:val="1"/>
      <w:marLeft w:val="0"/>
      <w:marRight w:val="0"/>
      <w:marTop w:val="0"/>
      <w:marBottom w:val="0"/>
      <w:divBdr>
        <w:top w:val="none" w:sz="0" w:space="0" w:color="auto"/>
        <w:left w:val="none" w:sz="0" w:space="0" w:color="auto"/>
        <w:bottom w:val="none" w:sz="0" w:space="0" w:color="auto"/>
        <w:right w:val="none" w:sz="0" w:space="0" w:color="auto"/>
      </w:divBdr>
    </w:div>
    <w:div w:id="1666008860">
      <w:bodyDiv w:val="1"/>
      <w:marLeft w:val="0"/>
      <w:marRight w:val="0"/>
      <w:marTop w:val="0"/>
      <w:marBottom w:val="0"/>
      <w:divBdr>
        <w:top w:val="none" w:sz="0" w:space="0" w:color="auto"/>
        <w:left w:val="none" w:sz="0" w:space="0" w:color="auto"/>
        <w:bottom w:val="none" w:sz="0" w:space="0" w:color="auto"/>
        <w:right w:val="none" w:sz="0" w:space="0" w:color="auto"/>
      </w:divBdr>
    </w:div>
    <w:div w:id="1667784654">
      <w:bodyDiv w:val="1"/>
      <w:marLeft w:val="0"/>
      <w:marRight w:val="0"/>
      <w:marTop w:val="0"/>
      <w:marBottom w:val="0"/>
      <w:divBdr>
        <w:top w:val="none" w:sz="0" w:space="0" w:color="auto"/>
        <w:left w:val="none" w:sz="0" w:space="0" w:color="auto"/>
        <w:bottom w:val="none" w:sz="0" w:space="0" w:color="auto"/>
        <w:right w:val="none" w:sz="0" w:space="0" w:color="auto"/>
      </w:divBdr>
    </w:div>
    <w:div w:id="1671249951">
      <w:bodyDiv w:val="1"/>
      <w:marLeft w:val="0"/>
      <w:marRight w:val="0"/>
      <w:marTop w:val="0"/>
      <w:marBottom w:val="0"/>
      <w:divBdr>
        <w:top w:val="none" w:sz="0" w:space="0" w:color="auto"/>
        <w:left w:val="none" w:sz="0" w:space="0" w:color="auto"/>
        <w:bottom w:val="none" w:sz="0" w:space="0" w:color="auto"/>
        <w:right w:val="none" w:sz="0" w:space="0" w:color="auto"/>
      </w:divBdr>
    </w:div>
    <w:div w:id="1678655745">
      <w:bodyDiv w:val="1"/>
      <w:marLeft w:val="0"/>
      <w:marRight w:val="0"/>
      <w:marTop w:val="0"/>
      <w:marBottom w:val="0"/>
      <w:divBdr>
        <w:top w:val="none" w:sz="0" w:space="0" w:color="auto"/>
        <w:left w:val="none" w:sz="0" w:space="0" w:color="auto"/>
        <w:bottom w:val="none" w:sz="0" w:space="0" w:color="auto"/>
        <w:right w:val="none" w:sz="0" w:space="0" w:color="auto"/>
      </w:divBdr>
    </w:div>
    <w:div w:id="1691223234">
      <w:bodyDiv w:val="1"/>
      <w:marLeft w:val="0"/>
      <w:marRight w:val="0"/>
      <w:marTop w:val="0"/>
      <w:marBottom w:val="0"/>
      <w:divBdr>
        <w:top w:val="none" w:sz="0" w:space="0" w:color="auto"/>
        <w:left w:val="none" w:sz="0" w:space="0" w:color="auto"/>
        <w:bottom w:val="none" w:sz="0" w:space="0" w:color="auto"/>
        <w:right w:val="none" w:sz="0" w:space="0" w:color="auto"/>
      </w:divBdr>
    </w:div>
    <w:div w:id="1701516517">
      <w:bodyDiv w:val="1"/>
      <w:marLeft w:val="0"/>
      <w:marRight w:val="0"/>
      <w:marTop w:val="0"/>
      <w:marBottom w:val="0"/>
      <w:divBdr>
        <w:top w:val="none" w:sz="0" w:space="0" w:color="auto"/>
        <w:left w:val="none" w:sz="0" w:space="0" w:color="auto"/>
        <w:bottom w:val="none" w:sz="0" w:space="0" w:color="auto"/>
        <w:right w:val="none" w:sz="0" w:space="0" w:color="auto"/>
      </w:divBdr>
    </w:div>
    <w:div w:id="1707754816">
      <w:bodyDiv w:val="1"/>
      <w:marLeft w:val="0"/>
      <w:marRight w:val="0"/>
      <w:marTop w:val="0"/>
      <w:marBottom w:val="0"/>
      <w:divBdr>
        <w:top w:val="none" w:sz="0" w:space="0" w:color="auto"/>
        <w:left w:val="none" w:sz="0" w:space="0" w:color="auto"/>
        <w:bottom w:val="none" w:sz="0" w:space="0" w:color="auto"/>
        <w:right w:val="none" w:sz="0" w:space="0" w:color="auto"/>
      </w:divBdr>
    </w:div>
    <w:div w:id="1711103225">
      <w:bodyDiv w:val="1"/>
      <w:marLeft w:val="0"/>
      <w:marRight w:val="0"/>
      <w:marTop w:val="0"/>
      <w:marBottom w:val="0"/>
      <w:divBdr>
        <w:top w:val="none" w:sz="0" w:space="0" w:color="auto"/>
        <w:left w:val="none" w:sz="0" w:space="0" w:color="auto"/>
        <w:bottom w:val="none" w:sz="0" w:space="0" w:color="auto"/>
        <w:right w:val="none" w:sz="0" w:space="0" w:color="auto"/>
      </w:divBdr>
    </w:div>
    <w:div w:id="1716351343">
      <w:bodyDiv w:val="1"/>
      <w:marLeft w:val="0"/>
      <w:marRight w:val="0"/>
      <w:marTop w:val="0"/>
      <w:marBottom w:val="0"/>
      <w:divBdr>
        <w:top w:val="none" w:sz="0" w:space="0" w:color="auto"/>
        <w:left w:val="none" w:sz="0" w:space="0" w:color="auto"/>
        <w:bottom w:val="none" w:sz="0" w:space="0" w:color="auto"/>
        <w:right w:val="none" w:sz="0" w:space="0" w:color="auto"/>
      </w:divBdr>
    </w:div>
    <w:div w:id="1740590901">
      <w:bodyDiv w:val="1"/>
      <w:marLeft w:val="0"/>
      <w:marRight w:val="0"/>
      <w:marTop w:val="0"/>
      <w:marBottom w:val="0"/>
      <w:divBdr>
        <w:top w:val="none" w:sz="0" w:space="0" w:color="auto"/>
        <w:left w:val="none" w:sz="0" w:space="0" w:color="auto"/>
        <w:bottom w:val="none" w:sz="0" w:space="0" w:color="auto"/>
        <w:right w:val="none" w:sz="0" w:space="0" w:color="auto"/>
      </w:divBdr>
    </w:div>
    <w:div w:id="1740782029">
      <w:bodyDiv w:val="1"/>
      <w:marLeft w:val="0"/>
      <w:marRight w:val="0"/>
      <w:marTop w:val="0"/>
      <w:marBottom w:val="0"/>
      <w:divBdr>
        <w:top w:val="none" w:sz="0" w:space="0" w:color="auto"/>
        <w:left w:val="none" w:sz="0" w:space="0" w:color="auto"/>
        <w:bottom w:val="none" w:sz="0" w:space="0" w:color="auto"/>
        <w:right w:val="none" w:sz="0" w:space="0" w:color="auto"/>
      </w:divBdr>
    </w:div>
    <w:div w:id="1744913427">
      <w:bodyDiv w:val="1"/>
      <w:marLeft w:val="0"/>
      <w:marRight w:val="0"/>
      <w:marTop w:val="0"/>
      <w:marBottom w:val="0"/>
      <w:divBdr>
        <w:top w:val="none" w:sz="0" w:space="0" w:color="auto"/>
        <w:left w:val="none" w:sz="0" w:space="0" w:color="auto"/>
        <w:bottom w:val="none" w:sz="0" w:space="0" w:color="auto"/>
        <w:right w:val="none" w:sz="0" w:space="0" w:color="auto"/>
      </w:divBdr>
    </w:div>
    <w:div w:id="1749620045">
      <w:bodyDiv w:val="1"/>
      <w:marLeft w:val="0"/>
      <w:marRight w:val="0"/>
      <w:marTop w:val="0"/>
      <w:marBottom w:val="0"/>
      <w:divBdr>
        <w:top w:val="none" w:sz="0" w:space="0" w:color="auto"/>
        <w:left w:val="none" w:sz="0" w:space="0" w:color="auto"/>
        <w:bottom w:val="none" w:sz="0" w:space="0" w:color="auto"/>
        <w:right w:val="none" w:sz="0" w:space="0" w:color="auto"/>
      </w:divBdr>
    </w:div>
    <w:div w:id="1760756153">
      <w:bodyDiv w:val="1"/>
      <w:marLeft w:val="0"/>
      <w:marRight w:val="0"/>
      <w:marTop w:val="0"/>
      <w:marBottom w:val="0"/>
      <w:divBdr>
        <w:top w:val="none" w:sz="0" w:space="0" w:color="auto"/>
        <w:left w:val="none" w:sz="0" w:space="0" w:color="auto"/>
        <w:bottom w:val="none" w:sz="0" w:space="0" w:color="auto"/>
        <w:right w:val="none" w:sz="0" w:space="0" w:color="auto"/>
      </w:divBdr>
    </w:div>
    <w:div w:id="1795825161">
      <w:bodyDiv w:val="1"/>
      <w:marLeft w:val="0"/>
      <w:marRight w:val="0"/>
      <w:marTop w:val="0"/>
      <w:marBottom w:val="0"/>
      <w:divBdr>
        <w:top w:val="none" w:sz="0" w:space="0" w:color="auto"/>
        <w:left w:val="none" w:sz="0" w:space="0" w:color="auto"/>
        <w:bottom w:val="none" w:sz="0" w:space="0" w:color="auto"/>
        <w:right w:val="none" w:sz="0" w:space="0" w:color="auto"/>
      </w:divBdr>
    </w:div>
    <w:div w:id="1801653996">
      <w:bodyDiv w:val="1"/>
      <w:marLeft w:val="0"/>
      <w:marRight w:val="0"/>
      <w:marTop w:val="0"/>
      <w:marBottom w:val="0"/>
      <w:divBdr>
        <w:top w:val="none" w:sz="0" w:space="0" w:color="auto"/>
        <w:left w:val="none" w:sz="0" w:space="0" w:color="auto"/>
        <w:bottom w:val="none" w:sz="0" w:space="0" w:color="auto"/>
        <w:right w:val="none" w:sz="0" w:space="0" w:color="auto"/>
      </w:divBdr>
    </w:div>
    <w:div w:id="1825077140">
      <w:bodyDiv w:val="1"/>
      <w:marLeft w:val="0"/>
      <w:marRight w:val="0"/>
      <w:marTop w:val="0"/>
      <w:marBottom w:val="0"/>
      <w:divBdr>
        <w:top w:val="none" w:sz="0" w:space="0" w:color="auto"/>
        <w:left w:val="none" w:sz="0" w:space="0" w:color="auto"/>
        <w:bottom w:val="none" w:sz="0" w:space="0" w:color="auto"/>
        <w:right w:val="none" w:sz="0" w:space="0" w:color="auto"/>
      </w:divBdr>
    </w:div>
    <w:div w:id="1843205632">
      <w:bodyDiv w:val="1"/>
      <w:marLeft w:val="0"/>
      <w:marRight w:val="0"/>
      <w:marTop w:val="0"/>
      <w:marBottom w:val="0"/>
      <w:divBdr>
        <w:top w:val="none" w:sz="0" w:space="0" w:color="auto"/>
        <w:left w:val="none" w:sz="0" w:space="0" w:color="auto"/>
        <w:bottom w:val="none" w:sz="0" w:space="0" w:color="auto"/>
        <w:right w:val="none" w:sz="0" w:space="0" w:color="auto"/>
      </w:divBdr>
    </w:div>
    <w:div w:id="1847017545">
      <w:bodyDiv w:val="1"/>
      <w:marLeft w:val="0"/>
      <w:marRight w:val="0"/>
      <w:marTop w:val="0"/>
      <w:marBottom w:val="0"/>
      <w:divBdr>
        <w:top w:val="none" w:sz="0" w:space="0" w:color="auto"/>
        <w:left w:val="none" w:sz="0" w:space="0" w:color="auto"/>
        <w:bottom w:val="none" w:sz="0" w:space="0" w:color="auto"/>
        <w:right w:val="none" w:sz="0" w:space="0" w:color="auto"/>
      </w:divBdr>
    </w:div>
    <w:div w:id="1858276680">
      <w:bodyDiv w:val="1"/>
      <w:marLeft w:val="0"/>
      <w:marRight w:val="0"/>
      <w:marTop w:val="0"/>
      <w:marBottom w:val="0"/>
      <w:divBdr>
        <w:top w:val="none" w:sz="0" w:space="0" w:color="auto"/>
        <w:left w:val="none" w:sz="0" w:space="0" w:color="auto"/>
        <w:bottom w:val="none" w:sz="0" w:space="0" w:color="auto"/>
        <w:right w:val="none" w:sz="0" w:space="0" w:color="auto"/>
      </w:divBdr>
    </w:div>
    <w:div w:id="1875189310">
      <w:bodyDiv w:val="1"/>
      <w:marLeft w:val="0"/>
      <w:marRight w:val="0"/>
      <w:marTop w:val="0"/>
      <w:marBottom w:val="0"/>
      <w:divBdr>
        <w:top w:val="none" w:sz="0" w:space="0" w:color="auto"/>
        <w:left w:val="none" w:sz="0" w:space="0" w:color="auto"/>
        <w:bottom w:val="none" w:sz="0" w:space="0" w:color="auto"/>
        <w:right w:val="none" w:sz="0" w:space="0" w:color="auto"/>
      </w:divBdr>
    </w:div>
    <w:div w:id="1880899032">
      <w:bodyDiv w:val="1"/>
      <w:marLeft w:val="0"/>
      <w:marRight w:val="0"/>
      <w:marTop w:val="0"/>
      <w:marBottom w:val="0"/>
      <w:divBdr>
        <w:top w:val="none" w:sz="0" w:space="0" w:color="auto"/>
        <w:left w:val="none" w:sz="0" w:space="0" w:color="auto"/>
        <w:bottom w:val="none" w:sz="0" w:space="0" w:color="auto"/>
        <w:right w:val="none" w:sz="0" w:space="0" w:color="auto"/>
      </w:divBdr>
    </w:div>
    <w:div w:id="1893149983">
      <w:bodyDiv w:val="1"/>
      <w:marLeft w:val="0"/>
      <w:marRight w:val="0"/>
      <w:marTop w:val="0"/>
      <w:marBottom w:val="0"/>
      <w:divBdr>
        <w:top w:val="none" w:sz="0" w:space="0" w:color="auto"/>
        <w:left w:val="none" w:sz="0" w:space="0" w:color="auto"/>
        <w:bottom w:val="none" w:sz="0" w:space="0" w:color="auto"/>
        <w:right w:val="none" w:sz="0" w:space="0" w:color="auto"/>
      </w:divBdr>
    </w:div>
    <w:div w:id="1898080297">
      <w:bodyDiv w:val="1"/>
      <w:marLeft w:val="0"/>
      <w:marRight w:val="0"/>
      <w:marTop w:val="0"/>
      <w:marBottom w:val="0"/>
      <w:divBdr>
        <w:top w:val="none" w:sz="0" w:space="0" w:color="auto"/>
        <w:left w:val="none" w:sz="0" w:space="0" w:color="auto"/>
        <w:bottom w:val="none" w:sz="0" w:space="0" w:color="auto"/>
        <w:right w:val="none" w:sz="0" w:space="0" w:color="auto"/>
      </w:divBdr>
    </w:div>
    <w:div w:id="1906715594">
      <w:bodyDiv w:val="1"/>
      <w:marLeft w:val="0"/>
      <w:marRight w:val="0"/>
      <w:marTop w:val="0"/>
      <w:marBottom w:val="0"/>
      <w:divBdr>
        <w:top w:val="none" w:sz="0" w:space="0" w:color="auto"/>
        <w:left w:val="none" w:sz="0" w:space="0" w:color="auto"/>
        <w:bottom w:val="none" w:sz="0" w:space="0" w:color="auto"/>
        <w:right w:val="none" w:sz="0" w:space="0" w:color="auto"/>
      </w:divBdr>
    </w:div>
    <w:div w:id="1925602949">
      <w:bodyDiv w:val="1"/>
      <w:marLeft w:val="0"/>
      <w:marRight w:val="0"/>
      <w:marTop w:val="0"/>
      <w:marBottom w:val="0"/>
      <w:divBdr>
        <w:top w:val="none" w:sz="0" w:space="0" w:color="auto"/>
        <w:left w:val="none" w:sz="0" w:space="0" w:color="auto"/>
        <w:bottom w:val="none" w:sz="0" w:space="0" w:color="auto"/>
        <w:right w:val="none" w:sz="0" w:space="0" w:color="auto"/>
      </w:divBdr>
    </w:div>
    <w:div w:id="1931692658">
      <w:bodyDiv w:val="1"/>
      <w:marLeft w:val="0"/>
      <w:marRight w:val="0"/>
      <w:marTop w:val="0"/>
      <w:marBottom w:val="0"/>
      <w:divBdr>
        <w:top w:val="none" w:sz="0" w:space="0" w:color="auto"/>
        <w:left w:val="none" w:sz="0" w:space="0" w:color="auto"/>
        <w:bottom w:val="none" w:sz="0" w:space="0" w:color="auto"/>
        <w:right w:val="none" w:sz="0" w:space="0" w:color="auto"/>
      </w:divBdr>
    </w:div>
    <w:div w:id="1951276118">
      <w:bodyDiv w:val="1"/>
      <w:marLeft w:val="0"/>
      <w:marRight w:val="0"/>
      <w:marTop w:val="0"/>
      <w:marBottom w:val="0"/>
      <w:divBdr>
        <w:top w:val="none" w:sz="0" w:space="0" w:color="auto"/>
        <w:left w:val="none" w:sz="0" w:space="0" w:color="auto"/>
        <w:bottom w:val="none" w:sz="0" w:space="0" w:color="auto"/>
        <w:right w:val="none" w:sz="0" w:space="0" w:color="auto"/>
      </w:divBdr>
    </w:div>
    <w:div w:id="1953899386">
      <w:bodyDiv w:val="1"/>
      <w:marLeft w:val="0"/>
      <w:marRight w:val="0"/>
      <w:marTop w:val="0"/>
      <w:marBottom w:val="0"/>
      <w:divBdr>
        <w:top w:val="none" w:sz="0" w:space="0" w:color="auto"/>
        <w:left w:val="none" w:sz="0" w:space="0" w:color="auto"/>
        <w:bottom w:val="none" w:sz="0" w:space="0" w:color="auto"/>
        <w:right w:val="none" w:sz="0" w:space="0" w:color="auto"/>
      </w:divBdr>
    </w:div>
    <w:div w:id="1954440894">
      <w:bodyDiv w:val="1"/>
      <w:marLeft w:val="0"/>
      <w:marRight w:val="0"/>
      <w:marTop w:val="0"/>
      <w:marBottom w:val="0"/>
      <w:divBdr>
        <w:top w:val="none" w:sz="0" w:space="0" w:color="auto"/>
        <w:left w:val="none" w:sz="0" w:space="0" w:color="auto"/>
        <w:bottom w:val="none" w:sz="0" w:space="0" w:color="auto"/>
        <w:right w:val="none" w:sz="0" w:space="0" w:color="auto"/>
      </w:divBdr>
    </w:div>
    <w:div w:id="1956063277">
      <w:bodyDiv w:val="1"/>
      <w:marLeft w:val="0"/>
      <w:marRight w:val="0"/>
      <w:marTop w:val="0"/>
      <w:marBottom w:val="0"/>
      <w:divBdr>
        <w:top w:val="none" w:sz="0" w:space="0" w:color="auto"/>
        <w:left w:val="none" w:sz="0" w:space="0" w:color="auto"/>
        <w:bottom w:val="none" w:sz="0" w:space="0" w:color="auto"/>
        <w:right w:val="none" w:sz="0" w:space="0" w:color="auto"/>
      </w:divBdr>
      <w:divsChild>
        <w:div w:id="48724594">
          <w:marLeft w:val="0"/>
          <w:marRight w:val="0"/>
          <w:marTop w:val="0"/>
          <w:marBottom w:val="0"/>
          <w:divBdr>
            <w:top w:val="none" w:sz="0" w:space="0" w:color="auto"/>
            <w:left w:val="none" w:sz="0" w:space="0" w:color="auto"/>
            <w:bottom w:val="none" w:sz="0" w:space="0" w:color="auto"/>
            <w:right w:val="none" w:sz="0" w:space="0" w:color="auto"/>
          </w:divBdr>
        </w:div>
        <w:div w:id="217399227">
          <w:marLeft w:val="0"/>
          <w:marRight w:val="0"/>
          <w:marTop w:val="0"/>
          <w:marBottom w:val="0"/>
          <w:divBdr>
            <w:top w:val="none" w:sz="0" w:space="0" w:color="auto"/>
            <w:left w:val="none" w:sz="0" w:space="0" w:color="auto"/>
            <w:bottom w:val="none" w:sz="0" w:space="0" w:color="auto"/>
            <w:right w:val="none" w:sz="0" w:space="0" w:color="auto"/>
          </w:divBdr>
        </w:div>
        <w:div w:id="1484421815">
          <w:marLeft w:val="0"/>
          <w:marRight w:val="0"/>
          <w:marTop w:val="0"/>
          <w:marBottom w:val="0"/>
          <w:divBdr>
            <w:top w:val="none" w:sz="0" w:space="0" w:color="auto"/>
            <w:left w:val="none" w:sz="0" w:space="0" w:color="auto"/>
            <w:bottom w:val="none" w:sz="0" w:space="0" w:color="auto"/>
            <w:right w:val="none" w:sz="0" w:space="0" w:color="auto"/>
          </w:divBdr>
        </w:div>
        <w:div w:id="1691183337">
          <w:marLeft w:val="0"/>
          <w:marRight w:val="0"/>
          <w:marTop w:val="0"/>
          <w:marBottom w:val="0"/>
          <w:divBdr>
            <w:top w:val="none" w:sz="0" w:space="0" w:color="auto"/>
            <w:left w:val="none" w:sz="0" w:space="0" w:color="auto"/>
            <w:bottom w:val="none" w:sz="0" w:space="0" w:color="auto"/>
            <w:right w:val="none" w:sz="0" w:space="0" w:color="auto"/>
          </w:divBdr>
        </w:div>
        <w:div w:id="2139646375">
          <w:marLeft w:val="0"/>
          <w:marRight w:val="0"/>
          <w:marTop w:val="0"/>
          <w:marBottom w:val="0"/>
          <w:divBdr>
            <w:top w:val="none" w:sz="0" w:space="0" w:color="auto"/>
            <w:left w:val="none" w:sz="0" w:space="0" w:color="auto"/>
            <w:bottom w:val="none" w:sz="0" w:space="0" w:color="auto"/>
            <w:right w:val="none" w:sz="0" w:space="0" w:color="auto"/>
          </w:divBdr>
        </w:div>
      </w:divsChild>
    </w:div>
    <w:div w:id="1956214045">
      <w:bodyDiv w:val="1"/>
      <w:marLeft w:val="0"/>
      <w:marRight w:val="0"/>
      <w:marTop w:val="0"/>
      <w:marBottom w:val="0"/>
      <w:divBdr>
        <w:top w:val="none" w:sz="0" w:space="0" w:color="auto"/>
        <w:left w:val="none" w:sz="0" w:space="0" w:color="auto"/>
        <w:bottom w:val="none" w:sz="0" w:space="0" w:color="auto"/>
        <w:right w:val="none" w:sz="0" w:space="0" w:color="auto"/>
      </w:divBdr>
    </w:div>
    <w:div w:id="1976644130">
      <w:bodyDiv w:val="1"/>
      <w:marLeft w:val="0"/>
      <w:marRight w:val="0"/>
      <w:marTop w:val="0"/>
      <w:marBottom w:val="0"/>
      <w:divBdr>
        <w:top w:val="none" w:sz="0" w:space="0" w:color="auto"/>
        <w:left w:val="none" w:sz="0" w:space="0" w:color="auto"/>
        <w:bottom w:val="none" w:sz="0" w:space="0" w:color="auto"/>
        <w:right w:val="none" w:sz="0" w:space="0" w:color="auto"/>
      </w:divBdr>
    </w:div>
    <w:div w:id="1983120770">
      <w:bodyDiv w:val="1"/>
      <w:marLeft w:val="0"/>
      <w:marRight w:val="0"/>
      <w:marTop w:val="0"/>
      <w:marBottom w:val="0"/>
      <w:divBdr>
        <w:top w:val="none" w:sz="0" w:space="0" w:color="auto"/>
        <w:left w:val="none" w:sz="0" w:space="0" w:color="auto"/>
        <w:bottom w:val="none" w:sz="0" w:space="0" w:color="auto"/>
        <w:right w:val="none" w:sz="0" w:space="0" w:color="auto"/>
      </w:divBdr>
    </w:div>
    <w:div w:id="1992251300">
      <w:bodyDiv w:val="1"/>
      <w:marLeft w:val="0"/>
      <w:marRight w:val="0"/>
      <w:marTop w:val="0"/>
      <w:marBottom w:val="0"/>
      <w:divBdr>
        <w:top w:val="none" w:sz="0" w:space="0" w:color="auto"/>
        <w:left w:val="none" w:sz="0" w:space="0" w:color="auto"/>
        <w:bottom w:val="none" w:sz="0" w:space="0" w:color="auto"/>
        <w:right w:val="none" w:sz="0" w:space="0" w:color="auto"/>
      </w:divBdr>
    </w:div>
    <w:div w:id="2008708679">
      <w:bodyDiv w:val="1"/>
      <w:marLeft w:val="0"/>
      <w:marRight w:val="0"/>
      <w:marTop w:val="0"/>
      <w:marBottom w:val="0"/>
      <w:divBdr>
        <w:top w:val="none" w:sz="0" w:space="0" w:color="auto"/>
        <w:left w:val="none" w:sz="0" w:space="0" w:color="auto"/>
        <w:bottom w:val="none" w:sz="0" w:space="0" w:color="auto"/>
        <w:right w:val="none" w:sz="0" w:space="0" w:color="auto"/>
      </w:divBdr>
    </w:div>
    <w:div w:id="2013675989">
      <w:bodyDiv w:val="1"/>
      <w:marLeft w:val="0"/>
      <w:marRight w:val="0"/>
      <w:marTop w:val="0"/>
      <w:marBottom w:val="0"/>
      <w:divBdr>
        <w:top w:val="none" w:sz="0" w:space="0" w:color="auto"/>
        <w:left w:val="none" w:sz="0" w:space="0" w:color="auto"/>
        <w:bottom w:val="none" w:sz="0" w:space="0" w:color="auto"/>
        <w:right w:val="none" w:sz="0" w:space="0" w:color="auto"/>
      </w:divBdr>
    </w:div>
    <w:div w:id="2048597692">
      <w:bodyDiv w:val="1"/>
      <w:marLeft w:val="0"/>
      <w:marRight w:val="0"/>
      <w:marTop w:val="0"/>
      <w:marBottom w:val="0"/>
      <w:divBdr>
        <w:top w:val="none" w:sz="0" w:space="0" w:color="auto"/>
        <w:left w:val="none" w:sz="0" w:space="0" w:color="auto"/>
        <w:bottom w:val="none" w:sz="0" w:space="0" w:color="auto"/>
        <w:right w:val="none" w:sz="0" w:space="0" w:color="auto"/>
      </w:divBdr>
    </w:div>
    <w:div w:id="2051687752">
      <w:bodyDiv w:val="1"/>
      <w:marLeft w:val="0"/>
      <w:marRight w:val="0"/>
      <w:marTop w:val="0"/>
      <w:marBottom w:val="0"/>
      <w:divBdr>
        <w:top w:val="none" w:sz="0" w:space="0" w:color="auto"/>
        <w:left w:val="none" w:sz="0" w:space="0" w:color="auto"/>
        <w:bottom w:val="none" w:sz="0" w:space="0" w:color="auto"/>
        <w:right w:val="none" w:sz="0" w:space="0" w:color="auto"/>
      </w:divBdr>
    </w:div>
    <w:div w:id="2060156447">
      <w:bodyDiv w:val="1"/>
      <w:marLeft w:val="0"/>
      <w:marRight w:val="0"/>
      <w:marTop w:val="0"/>
      <w:marBottom w:val="0"/>
      <w:divBdr>
        <w:top w:val="none" w:sz="0" w:space="0" w:color="auto"/>
        <w:left w:val="none" w:sz="0" w:space="0" w:color="auto"/>
        <w:bottom w:val="none" w:sz="0" w:space="0" w:color="auto"/>
        <w:right w:val="none" w:sz="0" w:space="0" w:color="auto"/>
      </w:divBdr>
    </w:div>
    <w:div w:id="2072383928">
      <w:bodyDiv w:val="1"/>
      <w:marLeft w:val="0"/>
      <w:marRight w:val="0"/>
      <w:marTop w:val="0"/>
      <w:marBottom w:val="0"/>
      <w:divBdr>
        <w:top w:val="none" w:sz="0" w:space="0" w:color="auto"/>
        <w:left w:val="none" w:sz="0" w:space="0" w:color="auto"/>
        <w:bottom w:val="none" w:sz="0" w:space="0" w:color="auto"/>
        <w:right w:val="none" w:sz="0" w:space="0" w:color="auto"/>
      </w:divBdr>
    </w:div>
    <w:div w:id="2084255852">
      <w:bodyDiv w:val="1"/>
      <w:marLeft w:val="0"/>
      <w:marRight w:val="0"/>
      <w:marTop w:val="0"/>
      <w:marBottom w:val="0"/>
      <w:divBdr>
        <w:top w:val="none" w:sz="0" w:space="0" w:color="auto"/>
        <w:left w:val="none" w:sz="0" w:space="0" w:color="auto"/>
        <w:bottom w:val="none" w:sz="0" w:space="0" w:color="auto"/>
        <w:right w:val="none" w:sz="0" w:space="0" w:color="auto"/>
      </w:divBdr>
    </w:div>
    <w:div w:id="2091533896">
      <w:bodyDiv w:val="1"/>
      <w:marLeft w:val="0"/>
      <w:marRight w:val="0"/>
      <w:marTop w:val="0"/>
      <w:marBottom w:val="0"/>
      <w:divBdr>
        <w:top w:val="none" w:sz="0" w:space="0" w:color="auto"/>
        <w:left w:val="none" w:sz="0" w:space="0" w:color="auto"/>
        <w:bottom w:val="none" w:sz="0" w:space="0" w:color="auto"/>
        <w:right w:val="none" w:sz="0" w:space="0" w:color="auto"/>
      </w:divBdr>
    </w:div>
    <w:div w:id="2100562372">
      <w:bodyDiv w:val="1"/>
      <w:marLeft w:val="0"/>
      <w:marRight w:val="0"/>
      <w:marTop w:val="0"/>
      <w:marBottom w:val="0"/>
      <w:divBdr>
        <w:top w:val="none" w:sz="0" w:space="0" w:color="auto"/>
        <w:left w:val="none" w:sz="0" w:space="0" w:color="auto"/>
        <w:bottom w:val="none" w:sz="0" w:space="0" w:color="auto"/>
        <w:right w:val="none" w:sz="0" w:space="0" w:color="auto"/>
      </w:divBdr>
    </w:div>
    <w:div w:id="2104643621">
      <w:bodyDiv w:val="1"/>
      <w:marLeft w:val="0"/>
      <w:marRight w:val="0"/>
      <w:marTop w:val="0"/>
      <w:marBottom w:val="0"/>
      <w:divBdr>
        <w:top w:val="none" w:sz="0" w:space="0" w:color="auto"/>
        <w:left w:val="none" w:sz="0" w:space="0" w:color="auto"/>
        <w:bottom w:val="none" w:sz="0" w:space="0" w:color="auto"/>
        <w:right w:val="none" w:sz="0" w:space="0" w:color="auto"/>
      </w:divBdr>
    </w:div>
    <w:div w:id="2106222906">
      <w:bodyDiv w:val="1"/>
      <w:marLeft w:val="0"/>
      <w:marRight w:val="0"/>
      <w:marTop w:val="0"/>
      <w:marBottom w:val="0"/>
      <w:divBdr>
        <w:top w:val="none" w:sz="0" w:space="0" w:color="auto"/>
        <w:left w:val="none" w:sz="0" w:space="0" w:color="auto"/>
        <w:bottom w:val="none" w:sz="0" w:space="0" w:color="auto"/>
        <w:right w:val="none" w:sz="0" w:space="0" w:color="auto"/>
      </w:divBdr>
    </w:div>
    <w:div w:id="2108623010">
      <w:bodyDiv w:val="1"/>
      <w:marLeft w:val="0"/>
      <w:marRight w:val="0"/>
      <w:marTop w:val="0"/>
      <w:marBottom w:val="0"/>
      <w:divBdr>
        <w:top w:val="none" w:sz="0" w:space="0" w:color="auto"/>
        <w:left w:val="none" w:sz="0" w:space="0" w:color="auto"/>
        <w:bottom w:val="none" w:sz="0" w:space="0" w:color="auto"/>
        <w:right w:val="none" w:sz="0" w:space="0" w:color="auto"/>
      </w:divBdr>
    </w:div>
    <w:div w:id="2119568696">
      <w:bodyDiv w:val="1"/>
      <w:marLeft w:val="0"/>
      <w:marRight w:val="0"/>
      <w:marTop w:val="0"/>
      <w:marBottom w:val="0"/>
      <w:divBdr>
        <w:top w:val="none" w:sz="0" w:space="0" w:color="auto"/>
        <w:left w:val="none" w:sz="0" w:space="0" w:color="auto"/>
        <w:bottom w:val="none" w:sz="0" w:space="0" w:color="auto"/>
        <w:right w:val="none" w:sz="0" w:space="0" w:color="auto"/>
      </w:divBdr>
    </w:div>
    <w:div w:id="2128813830">
      <w:bodyDiv w:val="1"/>
      <w:marLeft w:val="0"/>
      <w:marRight w:val="0"/>
      <w:marTop w:val="0"/>
      <w:marBottom w:val="0"/>
      <w:divBdr>
        <w:top w:val="none" w:sz="0" w:space="0" w:color="auto"/>
        <w:left w:val="none" w:sz="0" w:space="0" w:color="auto"/>
        <w:bottom w:val="none" w:sz="0" w:space="0" w:color="auto"/>
        <w:right w:val="none" w:sz="0" w:space="0" w:color="auto"/>
      </w:divBdr>
      <w:divsChild>
        <w:div w:id="292684667">
          <w:marLeft w:val="0"/>
          <w:marRight w:val="0"/>
          <w:marTop w:val="0"/>
          <w:marBottom w:val="0"/>
          <w:divBdr>
            <w:top w:val="none" w:sz="0" w:space="0" w:color="auto"/>
            <w:left w:val="none" w:sz="0" w:space="0" w:color="auto"/>
            <w:bottom w:val="none" w:sz="0" w:space="0" w:color="auto"/>
            <w:right w:val="none" w:sz="0" w:space="0" w:color="auto"/>
          </w:divBdr>
          <w:divsChild>
            <w:div w:id="892348601">
              <w:marLeft w:val="0"/>
              <w:marRight w:val="0"/>
              <w:marTop w:val="0"/>
              <w:marBottom w:val="0"/>
              <w:divBdr>
                <w:top w:val="none" w:sz="0" w:space="0" w:color="auto"/>
                <w:left w:val="none" w:sz="0" w:space="0" w:color="auto"/>
                <w:bottom w:val="none" w:sz="0" w:space="0" w:color="auto"/>
                <w:right w:val="none" w:sz="0" w:space="0" w:color="auto"/>
              </w:divBdr>
            </w:div>
            <w:div w:id="1321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vironment.ec.europa.eu/system/files/2021-12/Commission%20Recommendation%20on%20the%20use%20of%20the%20Environmental%20Footprint%20methods_0.pdf" TargetMode="External"/><Relationship Id="rId21" Type="http://schemas.openxmlformats.org/officeDocument/2006/relationships/footer" Target="footer4.xml"/><Relationship Id="rId42" Type="http://schemas.openxmlformats.org/officeDocument/2006/relationships/header" Target="header13.xml"/><Relationship Id="rId63" Type="http://schemas.openxmlformats.org/officeDocument/2006/relationships/image" Target="media/image23.emf"/><Relationship Id="rId84" Type="http://schemas.openxmlformats.org/officeDocument/2006/relationships/image" Target="media/image44.emf"/><Relationship Id="rId138" Type="http://schemas.openxmlformats.org/officeDocument/2006/relationships/image" Target="media/image81.png"/><Relationship Id="rId159" Type="http://schemas.openxmlformats.org/officeDocument/2006/relationships/image" Target="media/image96.emf"/><Relationship Id="rId170" Type="http://schemas.openxmlformats.org/officeDocument/2006/relationships/footer" Target="footer24.xml"/><Relationship Id="rId191" Type="http://schemas.openxmlformats.org/officeDocument/2006/relationships/image" Target="media/image105.png"/><Relationship Id="rId205" Type="http://schemas.openxmlformats.org/officeDocument/2006/relationships/hyperlink" Target="https://food.ec.europa.eu/horizontal-topics/farm-fork-strategy/sustainable-food-processing/code-conduct_en" TargetMode="External"/><Relationship Id="rId226" Type="http://schemas.openxmlformats.org/officeDocument/2006/relationships/hyperlink" Target="https://publications.jrc.ec.europa.eu/repository/handle/JRC111059" TargetMode="External"/><Relationship Id="rId247" Type="http://schemas.openxmlformats.org/officeDocument/2006/relationships/hyperlink" Target="https://publications.jrc.ec.europa.eu/repository/handle/JRC125110" TargetMode="External"/><Relationship Id="rId107" Type="http://schemas.openxmlformats.org/officeDocument/2006/relationships/image" Target="media/image67.emf"/><Relationship Id="rId268" Type="http://schemas.openxmlformats.org/officeDocument/2006/relationships/footer" Target="footer31.xml"/><Relationship Id="rId11" Type="http://schemas.openxmlformats.org/officeDocument/2006/relationships/image" Target="media/image1.emf"/><Relationship Id="rId32" Type="http://schemas.openxmlformats.org/officeDocument/2006/relationships/image" Target="media/image4.emf"/><Relationship Id="rId53"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header" Target="header17.xml"/><Relationship Id="rId149" Type="http://schemas.openxmlformats.org/officeDocument/2006/relationships/image" Target="media/image92.png"/><Relationship Id="rId5" Type="http://schemas.openxmlformats.org/officeDocument/2006/relationships/numbering" Target="numbering.xml"/><Relationship Id="rId95" Type="http://schemas.openxmlformats.org/officeDocument/2006/relationships/image" Target="media/image55.emf"/><Relationship Id="rId160" Type="http://schemas.openxmlformats.org/officeDocument/2006/relationships/image" Target="media/image97.emf"/><Relationship Id="rId181" Type="http://schemas.openxmlformats.org/officeDocument/2006/relationships/hyperlink" Target="https://champions123.org/publication/business-case-reducing-food-loss-and-waste" TargetMode="External"/><Relationship Id="rId216" Type="http://schemas.openxmlformats.org/officeDocument/2006/relationships/hyperlink" Target="https://ec.europa.eu/commission/presscorner/api/files/attachment/872168/Textiles%20Factsheet.pdf.pdf" TargetMode="External"/><Relationship Id="rId237" Type="http://schemas.openxmlformats.org/officeDocument/2006/relationships/hyperlink" Target="https://ec.europa.eu/eurostat/statistics-explained/index.php?title=E-commerce_statistics_for_individuals" TargetMode="External"/><Relationship Id="rId258" Type="http://schemas.openxmlformats.org/officeDocument/2006/relationships/hyperlink" Target="https://www.sciencedirect.com/science/article/pii/S0959652618305985" TargetMode="External"/><Relationship Id="rId22" Type="http://schemas.openxmlformats.org/officeDocument/2006/relationships/footer" Target="footer5.xml"/><Relationship Id="rId43" Type="http://schemas.openxmlformats.org/officeDocument/2006/relationships/header" Target="header14.xml"/><Relationship Id="rId64" Type="http://schemas.openxmlformats.org/officeDocument/2006/relationships/image" Target="media/image24.emf"/><Relationship Id="rId118" Type="http://schemas.openxmlformats.org/officeDocument/2006/relationships/hyperlink" Target="https://www.oecd.org/gov/pcsd/understanding-the-spillovers-and-transboundary-impacts-of-public-policies-862c0db7-en.htm" TargetMode="External"/><Relationship Id="rId139" Type="http://schemas.openxmlformats.org/officeDocument/2006/relationships/image" Target="media/image82.png"/><Relationship Id="rId85" Type="http://schemas.openxmlformats.org/officeDocument/2006/relationships/image" Target="media/image45.emf"/><Relationship Id="rId150" Type="http://schemas.openxmlformats.org/officeDocument/2006/relationships/image" Target="media/image93.png"/><Relationship Id="rId171" Type="http://schemas.openxmlformats.org/officeDocument/2006/relationships/hyperlink" Target="https://www.cewep.eu/wp-content/uploads/2021/10/Landfill-taxes-and-restrictions-overview.pdf" TargetMode="External"/><Relationship Id="rId192" Type="http://schemas.openxmlformats.org/officeDocument/2006/relationships/hyperlink" Target="https://ec.europa.eu/eurostat/databrowser/view/SBS_SC_1B_SE_R2__custom_3996649/default/table?lang=en" TargetMode="External"/><Relationship Id="rId206" Type="http://schemas.openxmlformats.org/officeDocument/2006/relationships/hyperlink" Target="https://eur-lex.europa.eu/legal-content/EN/TXT/?uri=uriserv%3AOJ.C_.2017.361.01.0001.01.ENG&amp;toc=OJ%3AC%3A2017%3A361%3ATOC" TargetMode="External"/><Relationship Id="rId227" Type="http://schemas.openxmlformats.org/officeDocument/2006/relationships/hyperlink" Target="https://www.eea.europa.eu/publications/progressing-towards-waste-prevention-in/at_download/file." TargetMode="External"/><Relationship Id="rId248" Type="http://schemas.openxmlformats.org/officeDocument/2006/relationships/hyperlink" Target="https://lesjoyeuxrecycleurs.com/news/tapis/" TargetMode="External"/><Relationship Id="rId269" Type="http://schemas.openxmlformats.org/officeDocument/2006/relationships/footer" Target="footer32.xml"/><Relationship Id="rId12" Type="http://schemas.openxmlformats.org/officeDocument/2006/relationships/header" Target="header1.xml"/><Relationship Id="rId33" Type="http://schemas.openxmlformats.org/officeDocument/2006/relationships/image" Target="media/image5.emf"/><Relationship Id="rId108" Type="http://schemas.openxmlformats.org/officeDocument/2006/relationships/image" Target="media/image68.emf"/><Relationship Id="rId129" Type="http://schemas.openxmlformats.org/officeDocument/2006/relationships/footer" Target="footer16.xml"/><Relationship Id="rId54" Type="http://schemas.openxmlformats.org/officeDocument/2006/relationships/image" Target="media/image14.emf"/><Relationship Id="rId75" Type="http://schemas.openxmlformats.org/officeDocument/2006/relationships/image" Target="media/image35.emf"/><Relationship Id="rId96" Type="http://schemas.openxmlformats.org/officeDocument/2006/relationships/image" Target="media/image56.emf"/><Relationship Id="rId140" Type="http://schemas.openxmlformats.org/officeDocument/2006/relationships/image" Target="media/image83.png"/><Relationship Id="rId161" Type="http://schemas.openxmlformats.org/officeDocument/2006/relationships/image" Target="media/image98.emf"/><Relationship Id="rId182" Type="http://schemas.openxmlformats.org/officeDocument/2006/relationships/header" Target="header28.xml"/><Relationship Id="rId217" Type="http://schemas.openxmlformats.org/officeDocument/2006/relationships/hyperlink" Target="https://euratex.eu/rehubs/" TargetMode="External"/><Relationship Id="rId6" Type="http://schemas.openxmlformats.org/officeDocument/2006/relationships/styles" Target="styles.xml"/><Relationship Id="rId238" Type="http://schemas.openxmlformats.org/officeDocument/2006/relationships/hyperlink" Target="https://ec.europa.eu/eurostat/web/prodcom" TargetMode="External"/><Relationship Id="rId259" Type="http://schemas.openxmlformats.org/officeDocument/2006/relationships/hyperlink" Target="https://www.sciencedirect.com/science/article/pii/B9781845699390500022" TargetMode="External"/><Relationship Id="rId23" Type="http://schemas.openxmlformats.org/officeDocument/2006/relationships/header" Target="header6.xml"/><Relationship Id="rId119" Type="http://schemas.openxmlformats.org/officeDocument/2006/relationships/image" Target="media/image72.emf"/><Relationship Id="rId270" Type="http://schemas.openxmlformats.org/officeDocument/2006/relationships/header" Target="header33.xml"/><Relationship Id="rId44" Type="http://schemas.openxmlformats.org/officeDocument/2006/relationships/footer" Target="footer13.xml"/><Relationship Id="rId60" Type="http://schemas.openxmlformats.org/officeDocument/2006/relationships/image" Target="media/image20.emf"/><Relationship Id="rId65" Type="http://schemas.openxmlformats.org/officeDocument/2006/relationships/image" Target="media/image25.png"/><Relationship Id="rId81" Type="http://schemas.openxmlformats.org/officeDocument/2006/relationships/image" Target="media/image41.emf"/><Relationship Id="rId86" Type="http://schemas.openxmlformats.org/officeDocument/2006/relationships/image" Target="media/image46.emf"/><Relationship Id="rId130" Type="http://schemas.openxmlformats.org/officeDocument/2006/relationships/footer" Target="footer17.xml"/><Relationship Id="rId135" Type="http://schemas.openxmlformats.org/officeDocument/2006/relationships/image" Target="media/image78.png"/><Relationship Id="rId151" Type="http://schemas.openxmlformats.org/officeDocument/2006/relationships/image" Target="media/image94.png"/><Relationship Id="rId156" Type="http://schemas.openxmlformats.org/officeDocument/2006/relationships/header" Target="header21.xml"/><Relationship Id="rId177" Type="http://schemas.openxmlformats.org/officeDocument/2006/relationships/footer" Target="footer27.xml"/><Relationship Id="rId198" Type="http://schemas.openxmlformats.org/officeDocument/2006/relationships/hyperlink" Target="https://champions123.org/publication/business-case-reducing-food-loss-and-waste-catering" TargetMode="External"/><Relationship Id="rId172" Type="http://schemas.openxmlformats.org/officeDocument/2006/relationships/header" Target="header25.xml"/><Relationship Id="rId193" Type="http://schemas.openxmlformats.org/officeDocument/2006/relationships/hyperlink" Target="https://ec.europa.eu/eurostat/databrowser/view/SBS_SC_1B_SE_R2__custom_3996649/default/table?lang=en" TargetMode="External"/><Relationship Id="rId202" Type="http://schemas.openxmlformats.org/officeDocument/2006/relationships/hyperlink" Target="https://nowastenetwork.nl/?lang=en" TargetMode="External"/><Relationship Id="rId207" Type="http://schemas.openxmlformats.org/officeDocument/2006/relationships/hyperlink" Target="file:///C:/Users/gassian/AppData/Local/Microsoft/Windows/INetCache/Content.Outlook/SMW0EYLO/European%20Consumer%20Food%20Waste%20Forum" TargetMode="External"/><Relationship Id="rId223" Type="http://schemas.openxmlformats.org/officeDocument/2006/relationships/hyperlink" Target="https://op.europa.eu/en/publication-detail/-/publication/edace3e3-e189-11e8-b690-01aa75ed71a1/language-en" TargetMode="External"/><Relationship Id="rId228" Type="http://schemas.openxmlformats.org/officeDocument/2006/relationships/hyperlink" Target="https://www.eea.europa.eu/publications/textiles-and-the-environment-the" TargetMode="External"/><Relationship Id="rId244" Type="http://schemas.openxmlformats.org/officeDocument/2006/relationships/hyperlink" Target="https://www.naturvardsverket.se/contentassets/be04327b5a874955a5402d4f663d1632/webinar-collaborative-study-chemicals-recycled-textiles-hm-ikea.pdf." TargetMode="External"/><Relationship Id="rId249" Type="http://schemas.openxmlformats.org/officeDocument/2006/relationships/hyperlink" Target="https://greencitizen.com/blog/shoe-recycling/" TargetMode="Externa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footer" Target="footer11.xml"/><Relationship Id="rId109" Type="http://schemas.openxmlformats.org/officeDocument/2006/relationships/image" Target="media/image69.emf"/><Relationship Id="rId260" Type="http://schemas.openxmlformats.org/officeDocument/2006/relationships/hyperlink" Target="https://sswm.info/sites/default/files/reference_attachments/SHAKIH%202009%20Water%20conservation%20in%20the%20textile%20industry.pdf" TargetMode="External"/><Relationship Id="rId265" Type="http://schemas.openxmlformats.org/officeDocument/2006/relationships/hyperlink" Target="https://www.un.org/africarenewal/magazine/december-2017-march-2018/protectionist-ban-imported-used-clothing" TargetMode="External"/><Relationship Id="rId34" Type="http://schemas.openxmlformats.org/officeDocument/2006/relationships/image" Target="media/image6.emf"/><Relationship Id="rId50" Type="http://schemas.openxmlformats.org/officeDocument/2006/relationships/image" Target="media/image10.emf"/><Relationship Id="rId55" Type="http://schemas.openxmlformats.org/officeDocument/2006/relationships/image" Target="media/image15.emf"/><Relationship Id="rId76" Type="http://schemas.openxmlformats.org/officeDocument/2006/relationships/image" Target="media/image36.emf"/><Relationship Id="rId97" Type="http://schemas.openxmlformats.org/officeDocument/2006/relationships/image" Target="media/image57.emf"/><Relationship Id="rId104" Type="http://schemas.openxmlformats.org/officeDocument/2006/relationships/image" Target="media/image64.emf"/><Relationship Id="rId120" Type="http://schemas.openxmlformats.org/officeDocument/2006/relationships/image" Target="media/image73.emf"/><Relationship Id="rId125" Type="http://schemas.openxmlformats.org/officeDocument/2006/relationships/hyperlink" Target="https://ec.europa.eu/eurostat/web/products-datasets/-/nama_10r_3gva" TargetMode="External"/><Relationship Id="rId141" Type="http://schemas.openxmlformats.org/officeDocument/2006/relationships/image" Target="media/image84.png"/><Relationship Id="rId146" Type="http://schemas.openxmlformats.org/officeDocument/2006/relationships/image" Target="media/image89.png"/><Relationship Id="rId167" Type="http://schemas.openxmlformats.org/officeDocument/2006/relationships/footer" Target="footer22.xml"/><Relationship Id="rId188" Type="http://schemas.openxmlformats.org/officeDocument/2006/relationships/image" Target="media/image102.emf"/><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52.png"/><Relationship Id="rId162" Type="http://schemas.openxmlformats.org/officeDocument/2006/relationships/image" Target="media/image99.emf"/><Relationship Id="rId183" Type="http://schemas.openxmlformats.org/officeDocument/2006/relationships/header" Target="header29.xml"/><Relationship Id="rId213" Type="http://schemas.openxmlformats.org/officeDocument/2006/relationships/hyperlink" Target="http://www.ecap.eu.com/wp-content/uploads/2019/07/Guidance-for-Textiles-Collections.pdf" TargetMode="External"/><Relationship Id="rId218" Type="http://schemas.openxmlformats.org/officeDocument/2006/relationships/hyperlink" Target="https://data.europa.eu/doi/10.2779/14834" TargetMode="External"/><Relationship Id="rId234" Type="http://schemas.openxmlformats.org/officeDocument/2006/relationships/hyperlink" Target="https://www.europarl.europa.eu/news/en/headlines/society/20201208STO93327/the-impact-of-textile-production-and-waste-on-the-environment-infographic." TargetMode="External"/><Relationship Id="rId239" Type="http://schemas.openxmlformats.org/officeDocument/2006/relationships/hyperlink" Target="https://doi.org/10.1007/s11367-010-0197-y." TargetMode="External"/><Relationship Id="rId2" Type="http://schemas.openxmlformats.org/officeDocument/2006/relationships/customXml" Target="../customXml/item2.xml"/><Relationship Id="rId29" Type="http://schemas.openxmlformats.org/officeDocument/2006/relationships/header" Target="header9.xml"/><Relationship Id="rId250" Type="http://schemas.openxmlformats.org/officeDocument/2006/relationships/hyperlink" Target="https://www.mckinsey.com/~/media/mckinsey/industries/retail/our%20insights/fashion%20on%20climate/fashion-on-climate-full-report.pdf" TargetMode="External"/><Relationship Id="rId255" Type="http://schemas.openxmlformats.org/officeDocument/2006/relationships/hyperlink" Target="https://www.recycling-magazine.com/2021/02/18/worlds-first-fully-automated-textile-sorting-plant-in-malmo/" TargetMode="External"/><Relationship Id="rId271" Type="http://schemas.openxmlformats.org/officeDocument/2006/relationships/footer" Target="footer33.xml"/><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47.emf"/><Relationship Id="rId110" Type="http://schemas.openxmlformats.org/officeDocument/2006/relationships/image" Target="media/image70.png"/><Relationship Id="rId115" Type="http://schemas.openxmlformats.org/officeDocument/2006/relationships/hyperlink" Target="https://www.oecd.org/gov/pcsd/understanding-the-spillovers-and-transboundary-impacts-of-public-policies-862c0db7-en.htm" TargetMode="External"/><Relationship Id="rId131" Type="http://schemas.openxmlformats.org/officeDocument/2006/relationships/header" Target="header18.xml"/><Relationship Id="rId136" Type="http://schemas.openxmlformats.org/officeDocument/2006/relationships/image" Target="media/image79.png"/><Relationship Id="rId157" Type="http://schemas.openxmlformats.org/officeDocument/2006/relationships/footer" Target="footer21.xml"/><Relationship Id="rId178" Type="http://schemas.openxmlformats.org/officeDocument/2006/relationships/hyperlink" Target="https://champions123.org/sites/default/files/2020-07/the-business-case-reducing-food-loss-and-waste-restaurants.pdf" TargetMode="External"/><Relationship Id="rId61" Type="http://schemas.openxmlformats.org/officeDocument/2006/relationships/image" Target="media/image21.emf"/><Relationship Id="rId82" Type="http://schemas.openxmlformats.org/officeDocument/2006/relationships/image" Target="media/image42.emf"/><Relationship Id="rId152" Type="http://schemas.openxmlformats.org/officeDocument/2006/relationships/header" Target="header19.xml"/><Relationship Id="rId173" Type="http://schemas.openxmlformats.org/officeDocument/2006/relationships/header" Target="header26.xml"/><Relationship Id="rId194" Type="http://schemas.openxmlformats.org/officeDocument/2006/relationships/hyperlink" Target="https://ec.europa.eu/eurostat/statistics-explained/index.php?title=File:T2a_Sectoral_analysis_of_key_indicators,_Accommodation_and_food_service_activities_(NACE_Section_I),_EU,_2019.png" TargetMode="External"/><Relationship Id="rId199" Type="http://schemas.openxmlformats.org/officeDocument/2006/relationships/hyperlink" Target="https://champions123.org/publication/business-case-reducing-food-loss-and-waste-restaurants" TargetMode="External"/><Relationship Id="rId203" Type="http://schemas.openxmlformats.org/officeDocument/2006/relationships/hyperlink" Target="https://hadea.ec.europa.eu/news/fighting-food-waste-eu-new-call-proposals-help-stakeholders-take-action-2022-06-22_en" TargetMode="External"/><Relationship Id="rId208" Type="http://schemas.openxmlformats.org/officeDocument/2006/relationships/hyperlink" Target="https://food.ec.europa.eu/safety/food-waste/eu-actions-against-food-waste/eu-platform-food-losses-and-food-waste_en" TargetMode="External"/><Relationship Id="rId229" Type="http://schemas.openxmlformats.org/officeDocument/2006/relationships/hyperlink" Target="https://www.eea.europa.eu/publications/textiles-in-europes-circular-economy" TargetMode="External"/><Relationship Id="rId19" Type="http://schemas.openxmlformats.org/officeDocument/2006/relationships/header" Target="header4.xml"/><Relationship Id="rId224" Type="http://schemas.openxmlformats.org/officeDocument/2006/relationships/hyperlink" Target="https://data.europa.eu/doi/10.2873/23948." TargetMode="External"/><Relationship Id="rId240" Type="http://schemas.openxmlformats.org/officeDocument/2006/relationships/hyperlink" Target="https://www.sciencedirect.com/science/article/pii/S0959652618305985" TargetMode="External"/><Relationship Id="rId245" Type="http://schemas.openxmlformats.org/officeDocument/2006/relationships/hyperlink" Target="https://www.dailymail.co.uk/news/article-10450221/Dumped-Atacama-desert-mountain-discarded-cheap-clothes-West.html" TargetMode="External"/><Relationship Id="rId261" Type="http://schemas.openxmlformats.org/officeDocument/2006/relationships/hyperlink" Target="https://www.statista.com/forecasts/890785/e-commerce-revenue-in-europe-fashion-by-segments" TargetMode="External"/><Relationship Id="rId266" Type="http://schemas.openxmlformats.org/officeDocument/2006/relationships/header" Target="header31.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image" Target="media/image7.emf"/><Relationship Id="rId56" Type="http://schemas.openxmlformats.org/officeDocument/2006/relationships/image" Target="media/image16.emf"/><Relationship Id="rId77" Type="http://schemas.openxmlformats.org/officeDocument/2006/relationships/image" Target="media/image37.emf"/><Relationship Id="rId100" Type="http://schemas.openxmlformats.org/officeDocument/2006/relationships/image" Target="media/image60.emf"/><Relationship Id="rId105" Type="http://schemas.openxmlformats.org/officeDocument/2006/relationships/image" Target="media/image65.emf"/><Relationship Id="rId126" Type="http://schemas.openxmlformats.org/officeDocument/2006/relationships/hyperlink" Target="https://ec.europa.eu/eurostat/web/products-datasets/-/sbs_r_nuts06_r2" TargetMode="External"/><Relationship Id="rId147" Type="http://schemas.openxmlformats.org/officeDocument/2006/relationships/image" Target="media/image90.png"/><Relationship Id="rId168"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image" Target="media/image11.emf"/><Relationship Id="rId72" Type="http://schemas.openxmlformats.org/officeDocument/2006/relationships/image" Target="media/image32.png"/><Relationship Id="rId93" Type="http://schemas.openxmlformats.org/officeDocument/2006/relationships/image" Target="media/image53.emf"/><Relationship Id="rId98" Type="http://schemas.openxmlformats.org/officeDocument/2006/relationships/image" Target="media/image58.emf"/><Relationship Id="rId121" Type="http://schemas.openxmlformats.org/officeDocument/2006/relationships/image" Target="media/image74.png"/><Relationship Id="rId142" Type="http://schemas.openxmlformats.org/officeDocument/2006/relationships/image" Target="media/image85.png"/><Relationship Id="rId163" Type="http://schemas.openxmlformats.org/officeDocument/2006/relationships/image" Target="media/image100.emf"/><Relationship Id="rId184" Type="http://schemas.openxmlformats.org/officeDocument/2006/relationships/footer" Target="footer28.xml"/><Relationship Id="rId189" Type="http://schemas.openxmlformats.org/officeDocument/2006/relationships/image" Target="media/image103.emf"/><Relationship Id="rId219" Type="http://schemas.openxmlformats.org/officeDocument/2006/relationships/hyperlink" Target="https://op.europa.eu/en/publication-detail/-/publication/739a1cca-6145-11ec-9c6c-01aa75ed71a1" TargetMode="External"/><Relationship Id="rId3" Type="http://schemas.openxmlformats.org/officeDocument/2006/relationships/customXml" Target="../customXml/item3.xml"/><Relationship Id="rId214" Type="http://schemas.openxmlformats.org/officeDocument/2006/relationships/hyperlink" Target="https://ellenmacarthurfoundation.org/a-new-textiles-economy." TargetMode="External"/><Relationship Id="rId230" Type="http://schemas.openxmlformats.org/officeDocument/2006/relationships/hyperlink" Target="https://www.eea.europa.eu/data-and-maps/figures/the-use-of-primary-raw." TargetMode="External"/><Relationship Id="rId235" Type="http://schemas.openxmlformats.org/officeDocument/2006/relationships/hyperlink" Target="https://ec.europa.eu/eurostat/documents/342366/351811/Guidance+on+municipal+waste+data+collection/" TargetMode="External"/><Relationship Id="rId251" Type="http://schemas.openxmlformats.org/officeDocument/2006/relationships/hyperlink" Target="https://www.mdpi.com/2071-1050/13/24/13732/pdf" TargetMode="External"/><Relationship Id="rId256" Type="http://schemas.openxmlformats.org/officeDocument/2006/relationships/hyperlink" Target="https://refashion.fr/pro/en/press-releases" TargetMode="External"/><Relationship Id="rId25" Type="http://schemas.openxmlformats.org/officeDocument/2006/relationships/header" Target="header7.xml"/><Relationship Id="rId46" Type="http://schemas.openxmlformats.org/officeDocument/2006/relationships/header" Target="header15.xml"/><Relationship Id="rId67" Type="http://schemas.openxmlformats.org/officeDocument/2006/relationships/image" Target="media/image27.png"/><Relationship Id="rId116" Type="http://schemas.openxmlformats.org/officeDocument/2006/relationships/hyperlink" Target="https://www.magnet-model.eu/publication/" TargetMode="External"/><Relationship Id="rId137" Type="http://schemas.openxmlformats.org/officeDocument/2006/relationships/image" Target="media/image80.png"/><Relationship Id="rId158" Type="http://schemas.openxmlformats.org/officeDocument/2006/relationships/image" Target="media/image95.emf"/><Relationship Id="rId272"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12.xml"/><Relationship Id="rId62" Type="http://schemas.openxmlformats.org/officeDocument/2006/relationships/image" Target="media/image22.emf"/><Relationship Id="rId83" Type="http://schemas.openxmlformats.org/officeDocument/2006/relationships/image" Target="media/image43.emf"/><Relationship Id="rId88" Type="http://schemas.openxmlformats.org/officeDocument/2006/relationships/image" Target="media/image48.emf"/><Relationship Id="rId111" Type="http://schemas.openxmlformats.org/officeDocument/2006/relationships/image" Target="media/image71.emf"/><Relationship Id="rId132" Type="http://schemas.openxmlformats.org/officeDocument/2006/relationships/footer" Target="footer18.xml"/><Relationship Id="rId153" Type="http://schemas.openxmlformats.org/officeDocument/2006/relationships/header" Target="header20.xml"/><Relationship Id="rId174" Type="http://schemas.openxmlformats.org/officeDocument/2006/relationships/footer" Target="footer25.xml"/><Relationship Id="rId179" Type="http://schemas.openxmlformats.org/officeDocument/2006/relationships/hyperlink" Target="https://champions123.org/publication/business-case-reducing-food-loss-and-waste-hotels" TargetMode="External"/><Relationship Id="rId195" Type="http://schemas.openxmlformats.org/officeDocument/2006/relationships/hyperlink" Target="https://ec.europa.eu/eurostat/statistics-explained/index.php?title=Glossary:Enterprise_size" TargetMode="External"/><Relationship Id="rId209" Type="http://schemas.openxmlformats.org/officeDocument/2006/relationships/hyperlink" Target="https://www.collectors2020.eu/wp-content/uploads/2020/12/COLLECTORS_D4.5Guidelines-final.pdf" TargetMode="External"/><Relationship Id="rId190" Type="http://schemas.openxmlformats.org/officeDocument/2006/relationships/image" Target="media/image104.png"/><Relationship Id="rId204" Type="http://schemas.openxmlformats.org/officeDocument/2006/relationships/hyperlink" Target="https://food.ec.europa.eu/safety/food-waste/eu-actions-against-food-waste/eu-platform-food-losses-and-food-waste_en" TargetMode="External"/><Relationship Id="rId220" Type="http://schemas.openxmlformats.org/officeDocument/2006/relationships/hyperlink" Target="https://publications.jrc.ec.europa.eu/repository/handle/JRC111059" TargetMode="External"/><Relationship Id="rId225" Type="http://schemas.openxmlformats.org/officeDocument/2006/relationships/hyperlink" Target="https://data.europa.eu/doi/10.2760/858144." TargetMode="External"/><Relationship Id="rId241" Type="http://schemas.openxmlformats.org/officeDocument/2006/relationships/hyperlink" Target="https://www.globalfashionagenda.com/publications-and-policy/pulse-of-the-industry/" TargetMode="External"/><Relationship Id="rId246" Type="http://schemas.openxmlformats.org/officeDocument/2006/relationships/hyperlink" Target="https://doi.org/10.1016/j.jclepro.2020.122951." TargetMode="External"/><Relationship Id="rId267" Type="http://schemas.openxmlformats.org/officeDocument/2006/relationships/header" Target="header32.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image" Target="media/image17.emf"/><Relationship Id="rId106" Type="http://schemas.openxmlformats.org/officeDocument/2006/relationships/image" Target="media/image66.emf"/><Relationship Id="rId127" Type="http://schemas.openxmlformats.org/officeDocument/2006/relationships/header" Target="header16.xml"/><Relationship Id="rId262" Type="http://schemas.openxmlformats.org/officeDocument/2006/relationships/hyperlink" Target="https://www.statista.com/statistics/417674/eu-european-union-textile-clothing-household-consumption/" TargetMode="External"/><Relationship Id="rId10" Type="http://schemas.openxmlformats.org/officeDocument/2006/relationships/endnotes" Target="endnotes.xml"/><Relationship Id="rId31" Type="http://schemas.openxmlformats.org/officeDocument/2006/relationships/image" Target="media/image3.emf"/><Relationship Id="rId52" Type="http://schemas.openxmlformats.org/officeDocument/2006/relationships/image" Target="media/image12.emf"/><Relationship Id="rId73" Type="http://schemas.openxmlformats.org/officeDocument/2006/relationships/image" Target="media/image33.png"/><Relationship Id="rId78" Type="http://schemas.openxmlformats.org/officeDocument/2006/relationships/image" Target="media/image38.emf"/><Relationship Id="rId94" Type="http://schemas.openxmlformats.org/officeDocument/2006/relationships/image" Target="media/image54.emf"/><Relationship Id="rId99" Type="http://schemas.openxmlformats.org/officeDocument/2006/relationships/image" Target="media/image59.emf"/><Relationship Id="rId101" Type="http://schemas.openxmlformats.org/officeDocument/2006/relationships/image" Target="media/image61.emf"/><Relationship Id="rId122" Type="http://schemas.openxmlformats.org/officeDocument/2006/relationships/image" Target="media/image75.png"/><Relationship Id="rId143" Type="http://schemas.openxmlformats.org/officeDocument/2006/relationships/image" Target="media/image86.png"/><Relationship Id="rId148" Type="http://schemas.openxmlformats.org/officeDocument/2006/relationships/image" Target="media/image91.png"/><Relationship Id="rId164" Type="http://schemas.openxmlformats.org/officeDocument/2006/relationships/image" Target="media/image101.png"/><Relationship Id="rId169" Type="http://schemas.openxmlformats.org/officeDocument/2006/relationships/header" Target="header24.xml"/><Relationship Id="rId185"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hampions123.org/publication/business-case-reducing-food-loss-and-waste-catering" TargetMode="External"/><Relationship Id="rId210" Type="http://schemas.openxmlformats.org/officeDocument/2006/relationships/hyperlink" Target="https://www.collectors2020.eu/wp-content/uploads/2020/12/COLLECTORS-D4.6_Policy-recommendations-final.pdf" TargetMode="External"/><Relationship Id="rId215" Type="http://schemas.openxmlformats.org/officeDocument/2006/relationships/hyperlink" Target="https://emf.thirdlight.com/link/circular-business-models-report/@/preview/1?o" TargetMode="External"/><Relationship Id="rId236" Type="http://schemas.openxmlformats.org/officeDocument/2006/relationships/hyperlink" Target="https://ec.europa.eu/eurostat/documents/342366/351806/Guidance-on-EWCStat-categories-2010.pdf/0e7cd3fc-c05c-47a7-818f-1c2421e55604." TargetMode="External"/><Relationship Id="rId257" Type="http://schemas.openxmlformats.org/officeDocument/2006/relationships/hyperlink" Target="https://www.textile.fr/actualite/recycle-plateforme-digitale-de-mise-en-relation-des-acteurs-du-recyclage-de-refashion" TargetMode="External"/><Relationship Id="rId26" Type="http://schemas.openxmlformats.org/officeDocument/2006/relationships/header" Target="header8.xml"/><Relationship Id="rId231" Type="http://schemas.openxmlformats.org/officeDocument/2006/relationships/hyperlink" Target="https://www.eionet.europa.eu/etcs/etc-wmge/products/etc-wmge-reports/textiles-and-the-environment-in-a-circular-economy" TargetMode="External"/><Relationship Id="rId252" Type="http://schemas.openxmlformats.org/officeDocument/2006/relationships/hyperlink" Target="https://www.worldatlas.com/articles/top-10-textile-importing-countries-in-the-world.html." TargetMode="External"/><Relationship Id="rId273" Type="http://schemas.openxmlformats.org/officeDocument/2006/relationships/theme" Target="theme/theme1.xml"/><Relationship Id="rId47" Type="http://schemas.openxmlformats.org/officeDocument/2006/relationships/footer" Target="footer15.xml"/><Relationship Id="rId68" Type="http://schemas.openxmlformats.org/officeDocument/2006/relationships/image" Target="media/image28.png"/><Relationship Id="rId89" Type="http://schemas.openxmlformats.org/officeDocument/2006/relationships/image" Target="media/image49.emf"/><Relationship Id="rId112" Type="http://schemas.openxmlformats.org/officeDocument/2006/relationships/hyperlink" Target="https://commission.europa.eu/system/files/2022-06/br_toolbox_-_nov_2021_-_chapter_3.pdf" TargetMode="External"/><Relationship Id="rId133" Type="http://schemas.openxmlformats.org/officeDocument/2006/relationships/image" Target="media/image76.png"/><Relationship Id="rId154" Type="http://schemas.openxmlformats.org/officeDocument/2006/relationships/footer" Target="footer19.xml"/><Relationship Id="rId175" Type="http://schemas.openxmlformats.org/officeDocument/2006/relationships/footer" Target="footer26.xml"/><Relationship Id="rId196" Type="http://schemas.openxmlformats.org/officeDocument/2006/relationships/hyperlink" Target="https://champions123.org/sites/default/files/2020-07/the-business-case-reducing-food-loss-and-waste-restaurants.pdf" TargetMode="External"/><Relationship Id="rId200" Type="http://schemas.openxmlformats.org/officeDocument/2006/relationships/hyperlink" Target="https://champions123.org/publication/business-case-reducing-food-loss-and-waste" TargetMode="External"/><Relationship Id="rId16" Type="http://schemas.openxmlformats.org/officeDocument/2006/relationships/header" Target="header3.xml"/><Relationship Id="rId221" Type="http://schemas.openxmlformats.org/officeDocument/2006/relationships/hyperlink" Target="https://publications.jrc.ec.europa.eu/repository/handle/JRC125110." TargetMode="External"/><Relationship Id="rId242" Type="http://schemas.openxmlformats.org/officeDocument/2006/relationships/hyperlink" Target="https://www.greenpeace.org/static/planet4-international-stateless/2022/04/9f50d3de-greenpeace-germany-poisoned-fast-fashion-briefing-factsheet-april-2022.pdf." TargetMode="External"/><Relationship Id="rId263" Type="http://schemas.openxmlformats.org/officeDocument/2006/relationships/hyperlink" Target="https://theconversation.com/do-you-shop-for-second-hand-clothes-youre-likely-to-be-more-stylish-180028" TargetMode="External"/><Relationship Id="rId37" Type="http://schemas.openxmlformats.org/officeDocument/2006/relationships/header" Target="header11.xml"/><Relationship Id="rId58" Type="http://schemas.openxmlformats.org/officeDocument/2006/relationships/image" Target="media/image18.emf"/><Relationship Id="rId79" Type="http://schemas.openxmlformats.org/officeDocument/2006/relationships/image" Target="media/image39.emf"/><Relationship Id="rId102" Type="http://schemas.openxmlformats.org/officeDocument/2006/relationships/image" Target="media/image62.emf"/><Relationship Id="rId123" Type="http://schemas.openxmlformats.org/officeDocument/2006/relationships/hyperlink" Target="https://ec.europa.eu/eurostat/web/products-datasets/-/nama_10r_3empers" TargetMode="External"/><Relationship Id="rId144" Type="http://schemas.openxmlformats.org/officeDocument/2006/relationships/image" Target="media/image87.png"/><Relationship Id="rId90" Type="http://schemas.openxmlformats.org/officeDocument/2006/relationships/image" Target="media/image50.emf"/><Relationship Id="rId165" Type="http://schemas.openxmlformats.org/officeDocument/2006/relationships/header" Target="header22.xml"/><Relationship Id="rId186" Type="http://schemas.openxmlformats.org/officeDocument/2006/relationships/header" Target="header30.xml"/><Relationship Id="rId211" Type="http://schemas.openxmlformats.org/officeDocument/2006/relationships/hyperlink" Target="https://www.cesme-book.eu/book/level-1-d/3.1-best-practices/3.1.2-humanita-textile-recycling" TargetMode="External"/><Relationship Id="rId232" Type="http://schemas.openxmlformats.org/officeDocument/2006/relationships/hyperlink" Target="https://www.eea.europa.eu/themes/waste/waste-prevention" TargetMode="External"/><Relationship Id="rId253" Type="http://schemas.openxmlformats.org/officeDocument/2006/relationships/hyperlink" Target="https://www.nrdc.org/issues/encourage-textile-manufacturers-reduce-pollution" TargetMode="External"/><Relationship Id="rId274" Type="http://schemas.microsoft.com/office/2019/05/relationships/documenttasks" Target="documenttasks/documenttasks1.xml"/><Relationship Id="rId27" Type="http://schemas.openxmlformats.org/officeDocument/2006/relationships/footer" Target="footer7.xml"/><Relationship Id="rId48" Type="http://schemas.openxmlformats.org/officeDocument/2006/relationships/image" Target="media/image8.emf"/><Relationship Id="rId69" Type="http://schemas.openxmlformats.org/officeDocument/2006/relationships/image" Target="media/image29.png"/><Relationship Id="rId113" Type="http://schemas.openxmlformats.org/officeDocument/2006/relationships/hyperlink" Target="https://publications.jrc.ec.europa.eu/repository/handle/JRC122403" TargetMode="External"/><Relationship Id="rId134" Type="http://schemas.openxmlformats.org/officeDocument/2006/relationships/image" Target="media/image77.png"/><Relationship Id="rId80" Type="http://schemas.openxmlformats.org/officeDocument/2006/relationships/image" Target="media/image40.emf"/><Relationship Id="rId155" Type="http://schemas.openxmlformats.org/officeDocument/2006/relationships/footer" Target="footer20.xml"/><Relationship Id="rId176" Type="http://schemas.openxmlformats.org/officeDocument/2006/relationships/header" Target="header27.xml"/><Relationship Id="rId197" Type="http://schemas.openxmlformats.org/officeDocument/2006/relationships/hyperlink" Target="https://champions123.org/publication/business-case-reducing-food-loss-and-waste-hotels" TargetMode="External"/><Relationship Id="rId201" Type="http://schemas.openxmlformats.org/officeDocument/2006/relationships/hyperlink" Target="https://wrap.org.uk/taking-action/food-drink/initiatives/guardians-grub" TargetMode="External"/><Relationship Id="rId222" Type="http://schemas.openxmlformats.org/officeDocument/2006/relationships/hyperlink" Target="https://ec.europa.eu/environment/gpp/pdf/criteria/textiles_2017.pdf" TargetMode="External"/><Relationship Id="rId243" Type="http://schemas.openxmlformats.org/officeDocument/2006/relationships/hyperlink" Target="https://www.nrdc.org/sites/default/files/cbd-to-scale-report.pdf" TargetMode="External"/><Relationship Id="rId264" Type="http://schemas.openxmlformats.org/officeDocument/2006/relationships/hyperlink" Target="https://theexchange.africa/industry-and-trade/africa-second-hand-clothes-imports-ban/." TargetMode="External"/><Relationship Id="rId17" Type="http://schemas.openxmlformats.org/officeDocument/2006/relationships/footer" Target="footer3.xml"/><Relationship Id="rId38" Type="http://schemas.openxmlformats.org/officeDocument/2006/relationships/footer" Target="footer10.xml"/><Relationship Id="rId59" Type="http://schemas.openxmlformats.org/officeDocument/2006/relationships/image" Target="media/image19.emf"/><Relationship Id="rId103" Type="http://schemas.openxmlformats.org/officeDocument/2006/relationships/image" Target="media/image63.emf"/><Relationship Id="rId124" Type="http://schemas.openxmlformats.org/officeDocument/2006/relationships/hyperlink" Target="https://ec.europa.eu/eurostat/web/products-datasets/-/sbs_r_nuts06_r2" TargetMode="External"/><Relationship Id="rId70" Type="http://schemas.openxmlformats.org/officeDocument/2006/relationships/image" Target="media/image30.png"/><Relationship Id="rId91" Type="http://schemas.openxmlformats.org/officeDocument/2006/relationships/image" Target="media/image51.emf"/><Relationship Id="rId145" Type="http://schemas.openxmlformats.org/officeDocument/2006/relationships/image" Target="media/image88.png"/><Relationship Id="rId166" Type="http://schemas.openxmlformats.org/officeDocument/2006/relationships/header" Target="header23.xml"/><Relationship Id="rId187" Type="http://schemas.openxmlformats.org/officeDocument/2006/relationships/footer" Target="footer30.xml"/><Relationship Id="rId1" Type="http://schemas.openxmlformats.org/officeDocument/2006/relationships/customXml" Target="../customXml/item1.xml"/><Relationship Id="rId212" Type="http://schemas.openxmlformats.org/officeDocument/2006/relationships/hyperlink" Target="http://www.ecap.eu.com/wp-content/uploads/2018/07/ECAP-Textile-collection-in-European-cities_full-report_with-summary.pdf" TargetMode="External"/><Relationship Id="rId233" Type="http://schemas.openxmlformats.org/officeDocument/2006/relationships/hyperlink" Target="https://www.europarl.europa.eu/thinktank/en/document/EPRS_BRI(2019)633143." TargetMode="External"/><Relationship Id="rId254" Type="http://schemas.openxmlformats.org/officeDocument/2006/relationships/hyperlink" Target="https://www.oecd.org/development-cooperation-learning/practices/dynamic/dcd-best-practices/89276a44/pdf/germany-supports-sustainable-textile-production.pdf" TargetMode="External"/><Relationship Id="rId28" Type="http://schemas.openxmlformats.org/officeDocument/2006/relationships/footer" Target="footer8.xml"/><Relationship Id="rId49" Type="http://schemas.openxmlformats.org/officeDocument/2006/relationships/image" Target="media/image9.png"/><Relationship Id="rId114" Type="http://schemas.openxmlformats.org/officeDocument/2006/relationships/hyperlink" Target="https://sdgs.un.org/publications/sdg-good-practices-2020" TargetMode="External"/><Relationship Id="rId275"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1364815214001728" TargetMode="External"/><Relationship Id="rId13" Type="http://schemas.openxmlformats.org/officeDocument/2006/relationships/hyperlink" Target="https://www.oecd-ilibrary.org/environment/global-plastics-outlook_de747aef-en" TargetMode="External"/><Relationship Id="rId18" Type="http://schemas.openxmlformats.org/officeDocument/2006/relationships/hyperlink" Target="https://eeb.org/library/driving-a-circular-economy-for-textiles-through-epr/" TargetMode="External"/><Relationship Id="rId26" Type="http://schemas.openxmlformats.org/officeDocument/2006/relationships/hyperlink" Target="https://www.actu-environnement.com/ae/dictionnaire_environnement/definition/ordonnance.php4" TargetMode="External"/><Relationship Id="rId3" Type="http://schemas.openxmlformats.org/officeDocument/2006/relationships/hyperlink" Target="https://www.cewep.eu/wp-content/uploads/2021/10/Landfill-taxes-and-restrictions-overview.pdf" TargetMode="External"/><Relationship Id="rId21" Type="http://schemas.openxmlformats.org/officeDocument/2006/relationships/hyperlink" Target="https://www.cesme-book.eu/book/level-1-d/3.1-best-practices/3.1.2-humanita-textile-recycling" TargetMode="External"/><Relationship Id="rId7" Type="http://schemas.openxmlformats.org/officeDocument/2006/relationships/hyperlink" Target="https://www.oecd-ilibrary.org/environment/global-plastics-outlook_de747aef-en" TargetMode="External"/><Relationship Id="rId12" Type="http://schemas.openxmlformats.org/officeDocument/2006/relationships/hyperlink" Target="https://www.textilemountainfilm.com/" TargetMode="External"/><Relationship Id="rId17" Type="http://schemas.openxmlformats.org/officeDocument/2006/relationships/hyperlink" Target="https://ec.europa.eu/info/law/better-regulation/have-your-say/initiatives/13682-New-product-priorities-for-Ecodesign-for-Sustainable-Products_en" TargetMode="External"/><Relationship Id="rId25" Type="http://schemas.openxmlformats.org/officeDocument/2006/relationships/hyperlink" Target="https://wrap.org.uk/sites/default/files/2022-12/WRAP_Food_Waste_Reduction_Roadmap_Progress_Report_2022.pdf" TargetMode="External"/><Relationship Id="rId2" Type="http://schemas.openxmlformats.org/officeDocument/2006/relationships/hyperlink" Target="https://www.hamburg.com/publicservice/info/11927315/" TargetMode="External"/><Relationship Id="rId16" Type="http://schemas.openxmlformats.org/officeDocument/2006/relationships/hyperlink" Target="https://cmsmedtech.com/how-to-choose-an-ec-rep/" TargetMode="External"/><Relationship Id="rId20" Type="http://schemas.openxmlformats.org/officeDocument/2006/relationships/hyperlink" Target="https://ctc-cork.ie/wp-content/uploads/2022/03/Research_Report_405.pdf" TargetMode="External"/><Relationship Id="rId29" Type="http://schemas.openxmlformats.org/officeDocument/2006/relationships/hyperlink" Target="https://knowledge4policy.ec.europa.eu/projects-activities/european-consumer-food-waste-forum_en" TargetMode="External"/><Relationship Id="rId1" Type="http://schemas.openxmlformats.org/officeDocument/2006/relationships/hyperlink" Target="https://ens.dk/en/our-responsibilities/waste/danish-national-waste-register" TargetMode="External"/><Relationship Id="rId6" Type="http://schemas.openxmlformats.org/officeDocument/2006/relationships/hyperlink" Target="https://www.textilemountainfilm.com/" TargetMode="External"/><Relationship Id="rId11" Type="http://schemas.openxmlformats.org/officeDocument/2006/relationships/hyperlink" Target="https://www.plasticsoupfoundation.org/en/2022/03/the-massive-dumping-of-discarded-clothing-in-ghana-and-chile-must-stop/" TargetMode="External"/><Relationship Id="rId24" Type="http://schemas.openxmlformats.org/officeDocument/2006/relationships/hyperlink" Target="https://publications.jrc.ec.europa.eu/repository/handle/JRC128984" TargetMode="External"/><Relationship Id="rId5" Type="http://schemas.openxmlformats.org/officeDocument/2006/relationships/hyperlink" Target="https://www.plasticsoupfoundation.org/en/2022/03/the-massive-dumping-of-discarded-clothing-in-ghana-and-chile-must-stop/" TargetMode="External"/><Relationship Id="rId15" Type="http://schemas.openxmlformats.org/officeDocument/2006/relationships/hyperlink" Target="https://www.productip.com/" TargetMode="External"/><Relationship Id="rId23" Type="http://schemas.openxmlformats.org/officeDocument/2006/relationships/hyperlink" Target="https://eplca.jrc.ec.europa.eu/sustainableConsumption.html" TargetMode="External"/><Relationship Id="rId28" Type="http://schemas.openxmlformats.org/officeDocument/2006/relationships/hyperlink" Target="https://food.ec.europa.eu/system/files/2023-02/flw_eu-actions_fwrt_20230210_recom-cit_0.pdf" TargetMode="External"/><Relationship Id="rId10" Type="http://schemas.openxmlformats.org/officeDocument/2006/relationships/hyperlink" Target="https://www.greenpeace.org/international/story/53333/how-fast-fashion-is-using-global-south-as-dumping-ground-for-textile-waste/" TargetMode="External"/><Relationship Id="rId19" Type="http://schemas.openxmlformats.org/officeDocument/2006/relationships/hyperlink" Target="https://www.researchgate.net/publication/350823032_Measuring_reuse_in_Flanders_The_first_reuse_mapping_study" TargetMode="External"/><Relationship Id="rId4" Type="http://schemas.openxmlformats.org/officeDocument/2006/relationships/hyperlink" Target="https://www.greenpeace.org/international/story/53333/how-fast-fashion-is-using-global-south-as-dumping-ground-for-textile-waste/" TargetMode="External"/><Relationship Id="rId9" Type="http://schemas.openxmlformats.org/officeDocument/2006/relationships/hyperlink" Target="https://www.sciencedirect.com/science/article/abs/pii/S0956053X08003322" TargetMode="External"/><Relationship Id="rId14" Type="http://schemas.openxmlformats.org/officeDocument/2006/relationships/hyperlink" Target="https://www.innovationintextiles.com/rehubs-seeks-67-billion-for-bold-plan/" TargetMode="External"/><Relationship Id="rId22" Type="http://schemas.openxmlformats.org/officeDocument/2006/relationships/hyperlink" Target="https://edgar.jrc.ec.europa.eu/" TargetMode="External"/><Relationship Id="rId27" Type="http://schemas.openxmlformats.org/officeDocument/2006/relationships/hyperlink" Target="https://www.legifrance.gouv.fr/contenu/Media/Files/autour-de-la-loi/legislatif-et-reglementaire/fiches-d-impact/fiches-d-impact-ordonnances/2019/fi_agrg1920827r_25_09_2019.pdf" TargetMode="External"/></Relationships>
</file>

<file path=word/documenttasks/documenttasks1.xml><?xml version="1.0" encoding="utf-8"?>
<t:Tasks xmlns:t="http://schemas.microsoft.com/office/tasks/2019/documenttasks" xmlns:oel="http://schemas.microsoft.com/office/2019/extlst">
  <t:Task id="{6FBFBC08-CA7D-41F2-844E-46536486BCD3}">
    <t:Anchor>
      <t:Comment id="315922550"/>
    </t:Anchor>
    <t:History>
      <t:Event id="{859005F2-B0BA-40F4-AF11-53819005EF22}" time="2022-10-10T08:57:21.385Z">
        <t:Attribution userId="S::caterina.savelli@ec.europa.eu::28fa28c0-b43a-4f3a-bb15-b0e6f77e3e08" userProvider="AD" userName="SAVELLI Caterina (ENV)"/>
        <t:Anchor>
          <t:Comment id="315922550"/>
        </t:Anchor>
        <t:Create/>
      </t:Event>
      <t:Event id="{2AF0A167-A432-4DA8-A240-8547B932C57B}" time="2022-10-10T08:57:21.385Z">
        <t:Attribution userId="S::caterina.savelli@ec.europa.eu::28fa28c0-b43a-4f3a-bb15-b0e6f77e3e08" userProvider="AD" userName="SAVELLI Caterina (ENV)"/>
        <t:Anchor>
          <t:Comment id="315922550"/>
        </t:Anchor>
        <t:Assign userId="S::Chiel.BERENDS@ec.europa.eu::f5ea610e-38ea-45d9-b6dc-38c757193d6a" userProvider="AD" userName="BERENDS Chiel (ENV)"/>
      </t:Event>
      <t:Event id="{6F335BF8-BD9C-401B-87DA-447FBB25FC9C}" time="2022-10-10T08:57:21.385Z">
        <t:Attribution userId="S::caterina.savelli@ec.europa.eu::28fa28c0-b43a-4f3a-bb15-b0e6f77e3e08" userProvider="AD" userName="SAVELLI Caterina (ENV)"/>
        <t:Anchor>
          <t:Comment id="315922550"/>
        </t:Anchor>
        <t:SetTitle title="@BERENDS Chiel (ENV), please draft this section based on LTTs"/>
      </t:Event>
    </t:History>
  </t:Task>
  <t:Task id="{A40E53F4-B3D5-470E-8B82-DFB8DE89641D}">
    <t:Anchor>
      <t:Comment id="1986788083"/>
    </t:Anchor>
    <t:History>
      <t:Event id="{9E5AF149-29A6-4B12-8A5E-965611FAA66F}" time="2022-10-27T14:10:37.192Z">
        <t:Attribution userId="S::caterina.savelli@ec.europa.eu::28fa28c0-b43a-4f3a-bb15-b0e6f77e3e08" userProvider="AD" userName="SAVELLI Caterina (ENV)"/>
        <t:Anchor>
          <t:Comment id="1986788083"/>
        </t:Anchor>
        <t:Create/>
      </t:Event>
      <t:Event id="{7330F667-AB64-42A6-B8B1-F9CFE7C65F3D}" time="2022-10-27T14:10:37.192Z">
        <t:Attribution userId="S::caterina.savelli@ec.europa.eu::28fa28c0-b43a-4f3a-bb15-b0e6f77e3e08" userProvider="AD" userName="SAVELLI Caterina (ENV)"/>
        <t:Anchor>
          <t:Comment id="1986788083"/>
        </t:Anchor>
        <t:Assign userId="S::Stavroula.GENIKALIOTI@ec.europa.eu::ae1a9934-7a0b-46ec-a88b-894fa5514541" userProvider="AD" userName="GENIKALIOTI Stavroula (ENV)"/>
      </t:Event>
      <t:Event id="{C3645059-7FB7-4503-B6D6-FAFF39D757CD}" time="2022-10-27T14:10:37.192Z">
        <t:Attribution userId="S::caterina.savelli@ec.europa.eu::28fa28c0-b43a-4f3a-bb15-b0e6f77e3e08" userProvider="AD" userName="SAVELLI Caterina (ENV)"/>
        <t:Anchor>
          <t:Comment id="1986788083"/>
        </t:Anchor>
        <t:SetTitle title="@GENIKALIOTI Stavroula (ENV) , can you please draft a paragraph on the Conference on the future of Europe. Proposal 5 measures are pasted below. Please see whihc would be the most linked. Thanks!"/>
      </t:Event>
    </t:History>
  </t:Task>
  <t:Task id="{1278721D-C3D7-459D-9FD2-2DC9BB48CFBF}">
    <t:Anchor>
      <t:Comment id="638933476"/>
    </t:Anchor>
    <t:History>
      <t:Event id="{D4A3FE8A-4C98-4266-BA56-0D89BBCF711C}" time="2022-10-10T08:58:47.702Z">
        <t:Attribution userId="S::caterina.savelli@ec.europa.eu::28fa28c0-b43a-4f3a-bb15-b0e6f77e3e08" userProvider="AD" userName="SAVELLI Caterina (ENV)"/>
        <t:Anchor>
          <t:Comment id="638933476"/>
        </t:Anchor>
        <t:Create/>
      </t:Event>
      <t:Event id="{09CC494C-2DA2-4AC6-AB5B-41E96D69AE7A}" time="2022-10-10T08:58:47.702Z">
        <t:Attribution userId="S::caterina.savelli@ec.europa.eu::28fa28c0-b43a-4f3a-bb15-b0e6f77e3e08" userProvider="AD" userName="SAVELLI Caterina (ENV)"/>
        <t:Anchor>
          <t:Comment id="638933476"/>
        </t:Anchor>
        <t:Assign userId="S::Silvija.AILE@ec.europa.eu::234c7288-8d25-40d4-991d-3c97d6739633" userProvider="AD" userName="AILE Silvija (ENV)"/>
      </t:Event>
      <t:Event id="{58C00B44-5902-4088-ABFB-6B0C77AE61BB}" time="2022-10-10T08:58:47.702Z">
        <t:Attribution userId="S::caterina.savelli@ec.europa.eu::28fa28c0-b43a-4f3a-bb15-b0e6f77e3e08" userProvider="AD" userName="SAVELLI Caterina (ENV)"/>
        <t:Anchor>
          <t:Comment id="638933476"/>
        </t:Anchor>
        <t:SetTitle title="@AILE Silvija (ENV) , please draft this section as agreed"/>
      </t:Event>
      <t:Event id="{B95E77FD-623C-4ABB-AF55-87A4846715A9}" time="2022-10-18T07:45:58.874Z">
        <t:Attribution userId="S::silvija.aile@ec.europa.eu::234c7288-8d25-40d4-991d-3c97d6739633" userProvider="AD" userName="AILE Silvija (ENV)"/>
        <t:Progress percentComplete="100"/>
      </t:Event>
    </t:History>
  </t:Task>
  <t:Task id="{51AE1FD6-58D4-44E0-BBA3-CD9AB85B3FD0}">
    <t:Anchor>
      <t:Comment id="660766724"/>
    </t:Anchor>
    <t:History>
      <t:Event id="{008D9583-DE92-4AD6-9564-24C1B2ABCE95}" time="2023-01-08T19:30:36.829Z">
        <t:Attribution userId="S::silvija.aile@ec.europa.eu::234c7288-8d25-40d4-991d-3c97d6739633" userProvider="AD" userName="AILE Silvija (ENV)"/>
        <t:Anchor>
          <t:Comment id="1161567395"/>
        </t:Anchor>
        <t:Create/>
      </t:Event>
      <t:Event id="{D25CF7E3-654C-4A03-AE5B-ACB9C36D7398}" time="2023-01-08T19:30:36.829Z">
        <t:Attribution userId="S::silvija.aile@ec.europa.eu::234c7288-8d25-40d4-991d-3c97d6739633" userProvider="AD" userName="AILE Silvija (ENV)"/>
        <t:Anchor>
          <t:Comment id="1161567395"/>
        </t:Anchor>
        <t:Assign userId="S::Caterina.SAVELLI@ec.europa.eu::28fa28c0-b43a-4f3a-bb15-b0e6f77e3e08" userProvider="AD" userName="SAVELLI Caterina (ENV)"/>
      </t:Event>
      <t:Event id="{5238441B-2121-4B5E-8C9B-596777C3DDC7}" time="2023-01-08T19:30:36.829Z">
        <t:Attribution userId="S::silvija.aile@ec.europa.eu::234c7288-8d25-40d4-991d-3c97d6739633" userProvider="AD" userName="AILE Silvija (ENV)"/>
        <t:Anchor>
          <t:Comment id="1161567395"/>
        </t:Anchor>
        <t:SetTitle title="@SAVELLI Caterina (ENV) but that data is then used to improve the management of textiles, including through better monitoring. i would suggest to keep both objectives"/>
      </t:Event>
    </t:History>
  </t:Task>
  <t:Task id="{343C4724-524E-4FC0-B1DB-A7C944F41542}">
    <t:Anchor>
      <t:Comment id="498928475"/>
    </t:Anchor>
    <t:History>
      <t:Event id="{5BD979C4-21ED-46BF-AF67-806E388B2DC1}" time="2022-10-27T13:38:45.303Z">
        <t:Attribution userId="S::caterina.savelli@ec.europa.eu::28fa28c0-b43a-4f3a-bb15-b0e6f77e3e08" userProvider="AD" userName="SAVELLI Caterina (ENV)"/>
        <t:Anchor>
          <t:Comment id="498928475"/>
        </t:Anchor>
        <t:Create/>
      </t:Event>
      <t:Event id="{8E48D437-2A58-4F5A-AB69-1DB1B9CCF811}" time="2022-10-27T13:38:45.303Z">
        <t:Attribution userId="S::caterina.savelli@ec.europa.eu::28fa28c0-b43a-4f3a-bb15-b0e6f77e3e08" userProvider="AD" userName="SAVELLI Caterina (ENV)"/>
        <t:Anchor>
          <t:Comment id="498928475"/>
        </t:Anchor>
        <t:Assign userId="S::Enrique.GARCIA-JOHN@ec.europa.eu::e8ca4d50-2cbc-48c6-ac8a-7f8207df471e" userProvider="AD" userName="GARCIA JOHN Enrique (ENV)"/>
      </t:Event>
      <t:Event id="{C40300C9-F595-4C60-A793-CC7CFEE14E2C}" time="2022-10-27T13:38:45.303Z">
        <t:Attribution userId="S::caterina.savelli@ec.europa.eu::28fa28c0-b43a-4f3a-bb15-b0e6f77e3e08" userProvider="AD" userName="SAVELLI Caterina (ENV)"/>
        <t:Anchor>
          <t:Comment id="498928475"/>
        </t:Anchor>
        <t:SetTitle title="@GARCIA JOHN Enrique (ENV), this is the section we discussed. To be read to be able to better explain the problem and figure out if the EoW work would solve the problem or not and what else could."/>
      </t:Event>
    </t:History>
  </t:Task>
  <t:Task id="{78CF44E2-0BB3-4913-8C93-C74F02E5AAE3}">
    <t:Anchor>
      <t:Comment id="1527909999"/>
    </t:Anchor>
    <t:History>
      <t:Event id="{0098307B-BE93-46CD-9A6C-24C2884A3FA7}" time="2022-10-27T13:46:27.201Z">
        <t:Attribution userId="S::caterina.savelli@ec.europa.eu::28fa28c0-b43a-4f3a-bb15-b0e6f77e3e08" userProvider="AD" userName="SAVELLI Caterina (ENV)"/>
        <t:Anchor>
          <t:Comment id="1527909999"/>
        </t:Anchor>
        <t:Create/>
      </t:Event>
      <t:Event id="{EB76CB88-2953-4901-94FB-825FC4515737}" time="2022-10-27T13:46:27.201Z">
        <t:Attribution userId="S::caterina.savelli@ec.europa.eu::28fa28c0-b43a-4f3a-bb15-b0e6f77e3e08" userProvider="AD" userName="SAVELLI Caterina (ENV)"/>
        <t:Anchor>
          <t:Comment id="1527909999"/>
        </t:Anchor>
        <t:Assign userId="S::Enrique.GARCIA-JOHN@ec.europa.eu::e8ca4d50-2cbc-48c6-ac8a-7f8207df471e" userProvider="AD" userName="GARCIA JOHN Enrique (ENV)"/>
      </t:Event>
      <t:Event id="{BE1CD240-306B-479A-9772-0CC65B300FBE}" time="2022-10-27T13:46:27.201Z">
        <t:Attribution userId="S::caterina.savelli@ec.europa.eu::28fa28c0-b43a-4f3a-bb15-b0e6f77e3e08" userProvider="AD" userName="SAVELLI Caterina (ENV)"/>
        <t:Anchor>
          <t:Comment id="1527909999"/>
        </t:Anchor>
        <t:SetTitle title="@GARCIA JOHN Enrique (ENV),related aspect of the problem. Would need to be substantiated."/>
      </t:Event>
    </t:History>
  </t:Task>
  <t:Task id="{FFEFDFFC-997A-494E-8D54-0EEAB3CA6001}">
    <t:Anchor>
      <t:Comment id="653860566"/>
    </t:Anchor>
    <t:History>
      <t:Event id="{CE1C5EA9-E08C-43A3-9E51-3AD308E7D197}" time="2022-10-27T13:55:12.847Z">
        <t:Attribution userId="S::caterina.savelli@ec.europa.eu::28fa28c0-b43a-4f3a-bb15-b0e6f77e3e08" userProvider="AD" userName="SAVELLI Caterina (ENV)"/>
        <t:Anchor>
          <t:Comment id="672935553"/>
        </t:Anchor>
        <t:Create/>
      </t:Event>
      <t:Event id="{C837F06E-08AA-49AF-A29B-20685A84931E}" time="2022-10-27T13:55:12.847Z">
        <t:Attribution userId="S::caterina.savelli@ec.europa.eu::28fa28c0-b43a-4f3a-bb15-b0e6f77e3e08" userProvider="AD" userName="SAVELLI Caterina (ENV)"/>
        <t:Anchor>
          <t:Comment id="672935553"/>
        </t:Anchor>
        <t:Assign userId="S::Oscar.GOMEZ-PRIETO@ec.europa.eu::3ff35115-9b4f-4d7e-ad06-9cb6d11cac8f" userProvider="AD" userName="GOMEZ PRIETO Oscar (ESTAT)"/>
      </t:Event>
      <t:Event id="{4171486A-2165-4F5C-B51C-1D47027C68CA}" time="2022-10-27T13:55:12.847Z">
        <t:Attribution userId="S::caterina.savelli@ec.europa.eu::28fa28c0-b43a-4f3a-bb15-b0e6f77e3e08" userProvider="AD" userName="SAVELLI Caterina (ENV)"/>
        <t:Anchor>
          <t:Comment id="672935553"/>
        </t:Anchor>
        <t:SetTitle title="@GOMEZ PRIETO Oscar (ESTAT)"/>
      </t:Event>
    </t:History>
  </t:Task>
  <t:Task id="{AD03EDEF-5B99-458B-8078-DA951BC43DD7}">
    <t:Anchor>
      <t:Comment id="590694345"/>
    </t:Anchor>
    <t:History>
      <t:Event id="{060E03A2-33F3-4885-BDF0-019DBCD134F2}" time="2023-01-15T17:49:58.567Z">
        <t:Attribution userId="S::silvija.aile@ec.europa.eu::234c7288-8d25-40d4-991d-3c97d6739633" userProvider="AD" userName="AILE Silvija (ENV)"/>
        <t:Anchor>
          <t:Comment id="590694345"/>
        </t:Anchor>
        <t:Create/>
      </t:Event>
      <t:Event id="{59FB6DE2-250E-46E5-91C0-7AFD4E2B540B}" time="2023-01-15T17:49:58.567Z">
        <t:Attribution userId="S::silvija.aile@ec.europa.eu::234c7288-8d25-40d4-991d-3c97d6739633" userProvider="AD" userName="AILE Silvija (ENV)"/>
        <t:Anchor>
          <t:Comment id="590694345"/>
        </t:Anchor>
        <t:Assign userId="S::Caterina.SAVELLI@ec.europa.eu::28fa28c0-b43a-4f3a-bb15-b0e6f77e3e08" userProvider="AD" userName="SAVELLI Caterina (ENV)"/>
      </t:Event>
      <t:Event id="{D786AD1C-A647-4E2C-A7EC-A8E4D817F8BF}" time="2023-01-15T17:49:58.567Z">
        <t:Attribution userId="S::silvija.aile@ec.europa.eu::234c7288-8d25-40d4-991d-3c97d6739633" userProvider="AD" userName="AILE Silvija (ENV)"/>
        <t:Anchor>
          <t:Comment id="590694345"/>
        </t:Anchor>
        <t:SetTitle title="@SAVELLI Caterina (ENV) do we add the text from Keirs document here or we only rely on the measures described in Option 3?"/>
      </t:Event>
    </t:History>
  </t:Task>
  <t:Task id="{F6BE4E6A-8F1D-4BAE-B60F-1B669A9D5ABF}">
    <t:Anchor>
      <t:Comment id="1437715467"/>
    </t:Anchor>
    <t:History>
      <t:Event id="{295EA062-1F80-4CCC-ADCA-C15B8EC7F1E6}" time="2022-10-27T13:50:07.318Z">
        <t:Attribution userId="S::caterina.savelli@ec.europa.eu::28fa28c0-b43a-4f3a-bb15-b0e6f77e3e08" userProvider="AD" userName="SAVELLI Caterina (ENV)"/>
        <t:Anchor>
          <t:Comment id="980360855"/>
        </t:Anchor>
        <t:Create/>
      </t:Event>
      <t:Event id="{F59E8083-11D4-4395-B692-97A42230E653}" time="2022-10-27T13:50:07.318Z">
        <t:Attribution userId="S::caterina.savelli@ec.europa.eu::28fa28c0-b43a-4f3a-bb15-b0e6f77e3e08" userProvider="AD" userName="SAVELLI Caterina (ENV)"/>
        <t:Anchor>
          <t:Comment id="980360855"/>
        </t:Anchor>
        <t:Assign userId="S::Enrique.GARCIA-JOHN@ec.europa.eu::e8ca4d50-2cbc-48c6-ac8a-7f8207df471e" userProvider="AD" userName="GARCIA JOHN Enrique (ENV)"/>
      </t:Event>
      <t:Event id="{63D9ECFC-004B-4D3C-82A3-2F20DD481553}" time="2022-10-27T13:50:07.318Z">
        <t:Attribution userId="S::caterina.savelli@ec.europa.eu::28fa28c0-b43a-4f3a-bb15-b0e6f77e3e08" userProvider="AD" userName="SAVELLI Caterina (ENV)"/>
        <t:Anchor>
          <t:Comment id="980360855"/>
        </t:Anchor>
        <t:SetTitle title="@GARCIA JOHN Enrique (ENV) , we could indeed add here the aspect of preventing the export of waste unless properly treated."/>
      </t:Event>
    </t:History>
  </t:Task>
  <t:Task id="{1FB59572-A0C5-4204-A8D7-241458443256}">
    <t:Anchor>
      <t:Comment id="1721475670"/>
    </t:Anchor>
    <t:History>
      <t:Event id="{422AF771-DFE9-430A-9B63-A95154A1A2B3}" time="2022-10-27T14:06:43.963Z">
        <t:Attribution userId="S::caterina.savelli@ec.europa.eu::28fa28c0-b43a-4f3a-bb15-b0e6f77e3e08" userProvider="AD" userName="SAVELLI Caterina (ENV)"/>
        <t:Anchor>
          <t:Comment id="1721475670"/>
        </t:Anchor>
        <t:Create/>
      </t:Event>
      <t:Event id="{6D40F139-8988-41A8-8E01-EDEFE0E09573}" time="2022-10-27T14:06:43.963Z">
        <t:Attribution userId="S::caterina.savelli@ec.europa.eu::28fa28c0-b43a-4f3a-bb15-b0e6f77e3e08" userProvider="AD" userName="SAVELLI Caterina (ENV)"/>
        <t:Anchor>
          <t:Comment id="1721475670"/>
        </t:Anchor>
        <t:Assign userId="S::Enrique.GARCIA-JOHN@ec.europa.eu::e8ca4d50-2cbc-48c6-ac8a-7f8207df471e" userProvider="AD" userName="GARCIA JOHN Enrique (ENV)"/>
      </t:Event>
      <t:Event id="{557FFD8D-12A0-43E0-86BE-E8711CA266C1}" time="2022-10-27T14:06:43.963Z">
        <t:Attribution userId="S::caterina.savelli@ec.europa.eu::28fa28c0-b43a-4f3a-bb15-b0e6f77e3e08" userProvider="AD" userName="SAVELLI Caterina (ENV)"/>
        <t:Anchor>
          <t:Comment id="1721475670"/>
        </t:Anchor>
        <t:SetTitle title="@GARCIA JOHN Enrique (ENV) , this is where the contributions of JRC and RDC should be plugged in."/>
      </t:Event>
    </t:History>
  </t:Task>
  <t:Task id="{E3ABD8AB-7C8B-4D6F-A579-05634408430B}">
    <t:Anchor>
      <t:Comment id="1192920923"/>
    </t:Anchor>
    <t:History>
      <t:Event id="{B2657DB8-E19D-4BCD-859B-095ED6B59557}" time="2022-12-02T18:03:17.98Z">
        <t:Attribution userId="S::bartosz.zambrzycki@ec.europa.eu::34f36df1-71ef-46b2-a23f-77c46031392c" userProvider="AD" userName="ZAMBRZYCKI Bartosz (SANTE)"/>
        <t:Anchor>
          <t:Comment id="613911845"/>
        </t:Anchor>
        <t:Create/>
      </t:Event>
      <t:Event id="{07DFF90D-66BD-46E8-B729-13818CF41F14}" time="2022-12-02T18:03:17.98Z">
        <t:Attribution userId="S::bartosz.zambrzycki@ec.europa.eu::34f36df1-71ef-46b2-a23f-77c46031392c" userProvider="AD" userName="ZAMBRZYCKI Bartosz (SANTE)"/>
        <t:Anchor>
          <t:Comment id="613911845"/>
        </t:Anchor>
        <t:Assign userId="S::Caterina.SAVELLI@ec.europa.eu::28fa28c0-b43a-4f3a-bb15-b0e6f77e3e08" userProvider="AD" userName="SAVELLI Caterina (ENV)"/>
      </t:Event>
      <t:Event id="{23E12138-3D44-48CD-91F8-3C8472C8EF25}" time="2022-12-02T18:03:17.98Z">
        <t:Attribution userId="S::bartosz.zambrzycki@ec.europa.eu::34f36df1-71ef-46b2-a23f-77c46031392c" userProvider="AD" userName="ZAMBRZYCKI Bartosz (SANTE)"/>
        <t:Anchor>
          <t:Comment id="613911845"/>
        </t:Anchor>
        <t:SetTitle title="@SAVELLI Caterina (ENV) I have moved it higher - as food waste was part of proposal no 1. I decided to skip the objective of the proposal as too long, but if you like to use it for coherence - here it is: Objective: Safe, sustainable, just, climate …"/>
      </t:Event>
    </t:History>
  </t:Task>
  <t:Task id="{A6C5CD2E-F7A1-4AE3-8D81-76B0EA8361B9}">
    <t:Anchor>
      <t:Comment id="785628428"/>
    </t:Anchor>
    <t:History>
      <t:Event id="{815FFF86-8ACD-4C27-A7B8-B959515B9CB9}" time="2022-12-04T01:48:17.218Z">
        <t:Attribution userId="S::bartosz.zambrzycki@ec.europa.eu::34f36df1-71ef-46b2-a23f-77c46031392c" userProvider="AD" userName="ZAMBRZYCKI Bartosz (SANTE)"/>
        <t:Anchor>
          <t:Comment id="785628428"/>
        </t:Anchor>
        <t:Create/>
      </t:Event>
      <t:Event id="{87B7B7AD-B523-4228-97E0-DC741463F16F}" time="2022-12-04T01:48:17.218Z">
        <t:Attribution userId="S::bartosz.zambrzycki@ec.europa.eu::34f36df1-71ef-46b2-a23f-77c46031392c" userProvider="AD" userName="ZAMBRZYCKI Bartosz (SANTE)"/>
        <t:Anchor>
          <t:Comment id="785628428"/>
        </t:Anchor>
        <t:Assign userId="S::Valeria.DE-LAURENTIIS@ec.europa.eu::0203cf98-7549-46d4-895d-103854814375" userProvider="AD" userName="DE LAURENTIIS Valeria (JRC-ISPRA)"/>
      </t:Event>
      <t:Event id="{74797B09-04A7-4BCF-9FA3-E4777A5401DE}" time="2022-12-04T01:48:17.218Z">
        <t:Attribution userId="S::bartosz.zambrzycki@ec.europa.eu::34f36df1-71ef-46b2-a23f-77c46031392c" userProvider="AD" userName="ZAMBRZYCKI Bartosz (SANTE)"/>
        <t:Anchor>
          <t:Comment id="785628428"/>
        </t:Anchor>
        <t:SetTitle title="@DE LAURENTIIS Valeria (JRC-ISPRA) Could you check if the old footnotes are still valid. Data for EU-27 or 28?. FUSIONS definition? or EC?"/>
      </t:Event>
    </t:History>
  </t:Task>
  <t:Task id="{51EC80E7-2894-4CF6-A3DA-D40F6864E7BB}">
    <t:Anchor>
      <t:Comment id="1387536660"/>
    </t:Anchor>
    <t:History>
      <t:Event id="{99783345-B5EF-43E9-A4BC-3D1D05670AF8}" time="2022-12-04T01:49:52.99Z">
        <t:Attribution userId="S::bartosz.zambrzycki@ec.europa.eu::34f36df1-71ef-46b2-a23f-77c46031392c" userProvider="AD" userName="ZAMBRZYCKI Bartosz (SANTE)"/>
        <t:Anchor>
          <t:Comment id="1387536660"/>
        </t:Anchor>
        <t:Create/>
      </t:Event>
      <t:Event id="{951FC3D6-017B-44E8-9359-15341A672511}" time="2022-12-04T01:49:52.99Z">
        <t:Attribution userId="S::bartosz.zambrzycki@ec.europa.eu::34f36df1-71ef-46b2-a23f-77c46031392c" userProvider="AD" userName="ZAMBRZYCKI Bartosz (SANTE)"/>
        <t:Anchor>
          <t:Comment id="1387536660"/>
        </t:Anchor>
        <t:Assign userId="S::Valeria.DE-LAURENTIIS@ec.europa.eu::0203cf98-7549-46d4-895d-103854814375" userProvider="AD" userName="DE LAURENTIIS Valeria (JRC-ISPRA)"/>
      </t:Event>
      <t:Event id="{49139E05-B684-4F15-81F8-5B9964B6BB38}" time="2022-12-04T01:49:52.99Z">
        <t:Attribution userId="S::bartosz.zambrzycki@ec.europa.eu::34f36df1-71ef-46b2-a23f-77c46031392c" userProvider="AD" userName="ZAMBRZYCKI Bartosz (SANTE)"/>
        <t:Anchor>
          <t:Comment id="1387536660"/>
        </t:Anchor>
        <t:SetTitle title="@DE LAURENTIIS Valeria (JRC-ISPRA)  also request to check the number. From counting the mass flow I ended at 653 Mt, but not sure if it is OK."/>
      </t:Event>
    </t:History>
  </t:Task>
  <t:Task id="{1DEBD8D9-2FE7-429D-95DC-5FF443E5F2B5}">
    <t:Anchor>
      <t:Comment id="499768519"/>
    </t:Anchor>
    <t:History>
      <t:Event id="{F119E56A-60BF-4249-B951-6122DE476457}" time="2022-12-04T15:14:26.727Z">
        <t:Attribution userId="S::bartosz.zambrzycki@ec.europa.eu::34f36df1-71ef-46b2-a23f-77c46031392c" userProvider="AD" userName="ZAMBRZYCKI Bartosz (SANTE)"/>
        <t:Anchor>
          <t:Comment id="499768519"/>
        </t:Anchor>
        <t:Create/>
      </t:Event>
      <t:Event id="{A4D848E3-8538-48AC-96F5-B69945AAF09C}" time="2022-12-04T15:14:26.727Z">
        <t:Attribution userId="S::bartosz.zambrzycki@ec.europa.eu::34f36df1-71ef-46b2-a23f-77c46031392c" userProvider="AD" userName="ZAMBRZYCKI Bartosz (SANTE)"/>
        <t:Anchor>
          <t:Comment id="499768519"/>
        </t:Anchor>
        <t:Assign userId="S::Valeria.DE-LAURENTIIS@ec.europa.eu::0203cf98-7549-46d4-895d-103854814375" userProvider="AD" userName="DE LAURENTIIS Valeria (JRC-ISPRA)"/>
      </t:Event>
      <t:Event id="{7A0B5696-D111-497D-B6B7-63364607595B}" time="2022-12-04T15:14:26.727Z">
        <t:Attribution userId="S::bartosz.zambrzycki@ec.europa.eu::34f36df1-71ef-46b2-a23f-77c46031392c" userProvider="AD" userName="ZAMBRZYCKI Bartosz (SANTE)"/>
        <t:Anchor>
          <t:Comment id="499768519"/>
        </t:Anchor>
        <t:SetTitle title="@DE LAURENTIIS Valeria (JRC-ISPRA) Again, request to check the number"/>
      </t:Event>
    </t:History>
  </t:Task>
  <t:Task id="{559687E6-30AB-4235-8268-B92935C21CE2}">
    <t:Anchor>
      <t:Comment id="595405104"/>
    </t:Anchor>
    <t:History>
      <t:Event id="{E7BC6232-54D1-4789-9A75-632B728F852C}" time="2023-01-08T19:33:00.852Z">
        <t:Attribution userId="S::silvija.aile@ec.europa.eu::234c7288-8d25-40d4-991d-3c97d6739633" userProvider="AD" userName="AILE Silvija (ENV)"/>
        <t:Anchor>
          <t:Comment id="595405104"/>
        </t:Anchor>
        <t:Create/>
      </t:Event>
      <t:Event id="{EC57DEE8-04E4-4161-B0DB-032FA54E16EF}" time="2023-01-08T19:33:00.852Z">
        <t:Attribution userId="S::silvija.aile@ec.europa.eu::234c7288-8d25-40d4-991d-3c97d6739633" userProvider="AD" userName="AILE Silvija (ENV)"/>
        <t:Anchor>
          <t:Comment id="595405104"/>
        </t:Anchor>
        <t:Assign userId="S::Stavroula.GENIKALIOTI@ec.europa.eu::ae1a9934-7a0b-46ec-a88b-894fa5514541" userProvider="AD" userName="GENIKALIOTI Stavroula (ENV)"/>
      </t:Event>
      <t:Event id="{261D33CA-3369-4EED-88A1-75245870078E}" time="2023-01-08T19:33:00.852Z">
        <t:Attribution userId="S::silvija.aile@ec.europa.eu::234c7288-8d25-40d4-991d-3c97d6739633" userProvider="AD" userName="AILE Silvija (ENV)"/>
        <t:Anchor>
          <t:Comment id="595405104"/>
        </t:Anchor>
        <t:SetTitle title="@GENIKALIOTI Stavroula (ENV) any numering for this heading?"/>
      </t:Event>
    </t:History>
  </t:Task>
  <t:Task id="{652A8148-7835-474F-A40E-3D71AC841565}">
    <t:Anchor>
      <t:Comment id="501370325"/>
    </t:Anchor>
    <t:History>
      <t:Event id="{E489046E-159B-4739-BF77-71E503CEB8F6}" time="2023-01-08T19:22:18.282Z">
        <t:Attribution userId="S::silvija.aile@ec.europa.eu::234c7288-8d25-40d4-991d-3c97d6739633" userProvider="AD" userName="AILE Silvija (ENV)"/>
        <t:Anchor>
          <t:Comment id="501370325"/>
        </t:Anchor>
        <t:Create/>
      </t:Event>
      <t:Event id="{430335D4-9560-4B40-8DDE-0BADA4F52F09}" time="2023-01-08T19:22:18.282Z">
        <t:Attribution userId="S::silvija.aile@ec.europa.eu::234c7288-8d25-40d4-991d-3c97d6739633" userProvider="AD" userName="AILE Silvija (ENV)"/>
        <t:Anchor>
          <t:Comment id="501370325"/>
        </t:Anchor>
        <t:Assign userId="S::Stavroula.GENIKALIOTI@ec.europa.eu::ae1a9934-7a0b-46ec-a88b-894fa5514541" userProvider="AD" userName="GENIKALIOTI Stavroula (ENV)"/>
      </t:Event>
      <t:Event id="{66DDD5F8-6A6A-47F5-9F67-37C1A414BD7B}" time="2023-01-08T19:22:18.282Z">
        <t:Attribution userId="S::silvija.aile@ec.europa.eu::234c7288-8d25-40d4-991d-3c97d6739633" userProvider="AD" userName="AILE Silvija (ENV)"/>
        <t:Anchor>
          <t:Comment id="501370325"/>
        </t:Anchor>
        <t:SetTitle title="@GENIKALIOTI Stavroula (ENV) introduce the correct numbering - what is the title of this section?"/>
      </t:Event>
    </t:History>
  </t:Task>
  <t:Task id="{6C418176-BFDA-419E-8983-963E9DEA13CA}">
    <t:Anchor>
      <t:Comment id="1952730600"/>
    </t:Anchor>
    <t:History>
      <t:Event id="{AF81757E-CA6F-4368-8B54-3522D7BA8E63}" time="2023-01-13T11:00:21.933Z">
        <t:Attribution userId="S::silvija.aile@ec.europa.eu::234c7288-8d25-40d4-991d-3c97d6739633" userProvider="AD" userName="AILE Silvija (ENV)"/>
        <t:Anchor>
          <t:Comment id="1126633748"/>
        </t:Anchor>
        <t:Create/>
      </t:Event>
      <t:Event id="{99AFC7C2-BCAF-41A8-AD2F-D3028A0686BF}" time="2023-01-13T11:00:21.933Z">
        <t:Attribution userId="S::silvija.aile@ec.europa.eu::234c7288-8d25-40d4-991d-3c97d6739633" userProvider="AD" userName="AILE Silvija (ENV)"/>
        <t:Anchor>
          <t:Comment id="1126633748"/>
        </t:Anchor>
        <t:Assign userId="S::Dries.HUYGENS@ec.europa.eu::f9d96d27-d21a-41ab-9940-ace31a3e0459" userProvider="AD" userName="HUYGENS Dries (JRC-SEVILLA)"/>
      </t:Event>
      <t:Event id="{B38071EB-CC0F-4C99-A8F1-C8D261B4A801}" time="2023-01-13T11:00:21.933Z">
        <t:Attribution userId="S::silvija.aile@ec.europa.eu::234c7288-8d25-40d4-991d-3c97d6739633" userProvider="AD" userName="AILE Silvija (ENV)"/>
        <t:Anchor>
          <t:Comment id="1126633748"/>
        </t:Anchor>
        <t:SetTitle title="@HUYGENS Dries (JRC-SEVILLA) OK"/>
      </t:Event>
      <t:Event id="{080D1E10-AD09-4C6A-9F3F-A5B45D3A3525}" time="2023-01-13T13:39:06.773Z">
        <t:Attribution userId="S::dries.huygens@ec.europa.eu::f9d96d27-d21a-41ab-9940-ace31a3e0459" userProvider="AD" userName="HUYGENS Dries (JRC-SEVILLA)"/>
        <t:Progress percentComplete="100"/>
      </t:Event>
    </t:History>
  </t:Task>
  <t:Task id="{FD2B0A0F-77F6-4FBB-93B6-B489658FB186}">
    <t:Anchor>
      <t:Comment id="1979275982"/>
    </t:Anchor>
    <t:History>
      <t:Event id="{191E9A66-286D-4961-AA89-A4C0250B60ED}" time="2023-03-29T16:36:50.126Z">
        <t:Attribution userId="S::cristina.lisetchi@ec.europa.eu::708f494d-2f0c-4f4e-b087-a886427cc670" userProvider="AD" userName="LISETCHI Cristina (SANTE)"/>
        <t:Anchor>
          <t:Comment id="1979275982"/>
        </t:Anchor>
        <t:Create/>
      </t:Event>
      <t:Event id="{1E7D6D92-0D6B-4E47-B430-7D2EE3948330}" time="2023-03-29T16:36:50.126Z">
        <t:Attribution userId="S::cristina.lisetchi@ec.europa.eu::708f494d-2f0c-4f4e-b087-a886427cc670" userProvider="AD" userName="LISETCHI Cristina (SANTE)"/>
        <t:Anchor>
          <t:Comment id="1979275982"/>
        </t:Anchor>
        <t:Assign userId="S::Anne-Laure.GASSIN@ec.europa.eu::10c5a0e9-410c-4f59-8feb-c55e14cdca1f" userProvider="AD" userName="GASSIN Anne-Laure (SANTE)"/>
      </t:Event>
      <t:Event id="{55C1B68B-77C0-4E6B-B210-6A5C8C5D308F}" time="2023-03-29T16:36:50.126Z">
        <t:Attribution userId="S::cristina.lisetchi@ec.europa.eu::708f494d-2f0c-4f4e-b087-a886427cc670" userProvider="AD" userName="LISETCHI Cristina (SANTE)"/>
        <t:Anchor>
          <t:Comment id="1979275982"/>
        </t:Anchor>
        <t:SetTitle title="not sure whether this is relevant? @GASSIN Anne-Laure (SANTE)"/>
      </t:Event>
    </t:History>
  </t:Task>
  <t:Task id="{CD7643AF-7AEF-44B1-9C21-2C8D69C99A6C}">
    <t:Anchor>
      <t:Comment id="948799114"/>
    </t:Anchor>
    <t:History>
      <t:Event id="{037A6D3C-7269-482F-83BC-6695C7CCDDB1}" time="2023-01-13T11:48:39.413Z">
        <t:Attribution userId="S::silvija.aile@ec.europa.eu::234c7288-8d25-40d4-991d-3c97d6739633" userProvider="AD" userName="AILE Silvija (ENV)"/>
        <t:Anchor>
          <t:Comment id="948799114"/>
        </t:Anchor>
        <t:Create/>
      </t:Event>
      <t:Event id="{ABB20076-FBB7-4027-A320-F406BF03FDAE}" time="2023-01-13T11:48:39.413Z">
        <t:Attribution userId="S::silvija.aile@ec.europa.eu::234c7288-8d25-40d4-991d-3c97d6739633" userProvider="AD" userName="AILE Silvija (ENV)"/>
        <t:Anchor>
          <t:Comment id="948799114"/>
        </t:Anchor>
        <t:Assign userId="S::Dries.HUYGENS@ec.europa.eu::f9d96d27-d21a-41ab-9940-ace31a3e0459" userProvider="AD" userName="HUYGENS Dries (JRC-SEVILLA)"/>
      </t:Event>
      <t:Event id="{8EA738E7-FF73-4ED9-8DDE-D1BEE30EC742}" time="2023-01-13T11:48:39.413Z">
        <t:Attribution userId="S::silvija.aile@ec.europa.eu::234c7288-8d25-40d4-991d-3c97d6739633" userProvider="AD" userName="AILE Silvija (ENV)"/>
        <t:Anchor>
          <t:Comment id="948799114"/>
        </t:Anchor>
        <t:SetTitle title="@HUYGENS Dries (JRC-SEVILLA) it would complicate the EPR administration if we go for parts of articles. The whole article should be in the scope. citizen will have no clue about the share of textiles in their shoes."/>
      </t:Event>
      <t:Event id="{2F545554-07D0-44B2-8CCC-36301208C80F}" time="2023-01-13T13:38:52.881Z">
        <t:Attribution userId="S::dries.huygens@ec.europa.eu::f9d96d27-d21a-41ab-9940-ace31a3e0459" userProvider="AD" userName="HUYGENS Dries (JRC-SEVILLA)"/>
        <t:Progress percentComplete="100"/>
      </t:Event>
    </t:History>
  </t:Task>
  <t:Task id="{D36D3C54-B7C0-49FD-AC87-544B1198F997}">
    <t:Anchor>
      <t:Comment id="544229852"/>
    </t:Anchor>
    <t:History>
      <t:Event id="{D9012B4E-3653-41E7-9C48-1325217A05E8}" time="2023-01-15T13:07:16.116Z">
        <t:Attribution userId="S::silvija.aile@ec.europa.eu::234c7288-8d25-40d4-991d-3c97d6739633" userProvider="AD" userName="AILE Silvija (ENV)"/>
        <t:Anchor>
          <t:Comment id="544229852"/>
        </t:Anchor>
        <t:Create/>
      </t:Event>
      <t:Event id="{F4B6B928-F730-4640-A523-331B6923EF4D}" time="2023-01-15T13:07:16.116Z">
        <t:Attribution userId="S::silvija.aile@ec.europa.eu::234c7288-8d25-40d4-991d-3c97d6739633" userProvider="AD" userName="AILE Silvija (ENV)"/>
        <t:Anchor>
          <t:Comment id="544229852"/>
        </t:Anchor>
        <t:Assign userId="S::Dries.HUYGENS@ec.europa.eu::f9d96d27-d21a-41ab-9940-ace31a3e0459" userProvider="AD" userName="HUYGENS Dries (JRC-SEVILLA)"/>
      </t:Event>
      <t:Event id="{C724C4F9-596C-4448-A157-3D4148FDC8A8}" time="2023-01-15T13:07:16.116Z">
        <t:Attribution userId="S::silvija.aile@ec.europa.eu::234c7288-8d25-40d4-991d-3c97d6739633" userProvider="AD" userName="AILE Silvija (ENV)"/>
        <t:Anchor>
          <t:Comment id="544229852"/>
        </t:Anchor>
        <t:SetTitle title="@HUYGENS Dries (JRC-SEVILLA) these are similar to household waste. they are likely to have a different collection process and for re-use also a different outlet, if not already taken care of by the producer. However, recyclign issues my bae similar.  …"/>
      </t:Event>
    </t:History>
  </t:Task>
  <t:Task id="{653822F7-DAAB-4979-AFF7-993B549196F3}">
    <t:Anchor>
      <t:Comment id="1186965576"/>
    </t:Anchor>
    <t:History>
      <t:Event id="{D22D2785-D622-41B7-B319-F39294B6CC99}" time="2023-01-15T15:19:20.32Z">
        <t:Attribution userId="S::silvija.aile@ec.europa.eu::234c7288-8d25-40d4-991d-3c97d6739633" userProvider="AD" userName="AILE Silvija (ENV)"/>
        <t:Anchor>
          <t:Comment id="1186965576"/>
        </t:Anchor>
        <t:Create/>
      </t:Event>
      <t:Event id="{1AE860D7-7F96-40FF-A19D-C1BBA6F78EBD}" time="2023-01-15T15:19:20.32Z">
        <t:Attribution userId="S::silvija.aile@ec.europa.eu::234c7288-8d25-40d4-991d-3c97d6739633" userProvider="AD" userName="AILE Silvija (ENV)"/>
        <t:Anchor>
          <t:Comment id="1186965576"/>
        </t:Anchor>
        <t:Assign userId="S::Dries.HUYGENS@ec.europa.eu::f9d96d27-d21a-41ab-9940-ace31a3e0459" userProvider="AD" userName="HUYGENS Dries (JRC-SEVILLA)"/>
      </t:Event>
      <t:Event id="{F6FF972F-981A-42CC-8881-1FD02840D63F}" time="2023-01-15T15:19:20.32Z">
        <t:Attribution userId="S::silvija.aile@ec.europa.eu::234c7288-8d25-40d4-991d-3c97d6739633" userProvider="AD" userName="AILE Silvija (ENV)"/>
        <t:Anchor>
          <t:Comment id="1186965576"/>
        </t:Anchor>
        <t:SetTitle title="@HUYGENS Dries (JRC-SEVILLA) does this reflect re-use in the country or only that used textiles were imported for e.g. sorting"/>
      </t:Event>
      <t:Event id="{983874D5-E1F8-407D-9A82-CB0D1F153391}" time="2023-01-19T05:13:54.077Z">
        <t:Attribution userId="S::silvija.aile@ec.europa.eu::234c7288-8d25-40d4-991d-3c97d6739633" userProvider="AD" userName="AILE Silvija (ENV)"/>
        <t:Progress percentComplete="100"/>
      </t:Event>
    </t:History>
  </t:Task>
  <t:Task id="{E47A768C-27C8-4D48-A916-6F4BB34AAF6A}">
    <t:Anchor>
      <t:Comment id="661625173"/>
    </t:Anchor>
    <t:History>
      <t:Event id="{C41D89F8-10A5-4D26-A7C8-72B879A7849D}" time="2023-01-16T07:59:02.863Z">
        <t:Attribution userId="S::silvija.aile@ec.europa.eu::234c7288-8d25-40d4-991d-3c97d6739633" userProvider="AD" userName="AILE Silvija (ENV)"/>
        <t:Anchor>
          <t:Comment id="1255202836"/>
        </t:Anchor>
        <t:Create/>
      </t:Event>
      <t:Event id="{CA936893-EBBA-49A6-861F-91D96BBC7F40}" time="2023-01-16T07:59:02.863Z">
        <t:Attribution userId="S::silvija.aile@ec.europa.eu::234c7288-8d25-40d4-991d-3c97d6739633" userProvider="AD" userName="AILE Silvija (ENV)"/>
        <t:Anchor>
          <t:Comment id="1255202836"/>
        </t:Anchor>
        <t:Assign userId="S::Caterina.SAVELLI@ec.europa.eu::28fa28c0-b43a-4f3a-bb15-b0e6f77e3e08" userProvider="AD" userName="SAVELLI Caterina (ENV)"/>
      </t:Event>
      <t:Event id="{AE4BAD55-2416-47A6-B261-840A2F45D160}" time="2023-01-16T07:59:02.863Z">
        <t:Attribution userId="S::silvija.aile@ec.europa.eu::234c7288-8d25-40d4-991d-3c97d6739633" userProvider="AD" userName="AILE Silvija (ENV)"/>
        <t:Anchor>
          <t:Comment id="1255202836"/>
        </t:Anchor>
        <t:SetTitle title="@SAVELLI Caterina (ENV) to be discussed with Dries - the yellow parts. Dries suggestion is household textiles. the question is to what extent we should cover SIMILAR ones from pre consumer retail and post-commercial textiles."/>
      </t:Event>
    </t:History>
  </t:Task>
  <t:Task id="{E7D448D0-58DA-4968-80E4-59B519D72344}">
    <t:Anchor>
      <t:Comment id="677970414"/>
    </t:Anchor>
    <t:History>
      <t:Event id="{AB899F3A-DBFB-4CA9-849D-9E6549B0891D}" time="2023-01-19T06:25:29.625Z">
        <t:Attribution userId="S::silvija.aile@ec.europa.eu::234c7288-8d25-40d4-991d-3c97d6739633" userProvider="AD" userName="AILE Silvija (ENV)"/>
        <t:Anchor>
          <t:Comment id="677970414"/>
        </t:Anchor>
        <t:Create/>
      </t:Event>
      <t:Event id="{D4B7A7D1-6ACA-4FC4-BDD5-E4D0C565F2F3}" time="2023-01-19T06:25:29.625Z">
        <t:Attribution userId="S::silvija.aile@ec.europa.eu::234c7288-8d25-40d4-991d-3c97d6739633" userProvider="AD" userName="AILE Silvija (ENV)"/>
        <t:Anchor>
          <t:Comment id="677970414"/>
        </t:Anchor>
        <t:Assign userId="S::Caterina.SAVELLI@ec.europa.eu::28fa28c0-b43a-4f3a-bb15-b0e6f77e3e08" userProvider="AD" userName="SAVELLI Caterina (ENV)"/>
      </t:Event>
      <t:Event id="{F63DB8AE-E854-46FA-8B2E-D951A1636616}" time="2023-01-19T06:25:29.625Z">
        <t:Attribution userId="S::silvija.aile@ec.europa.eu::234c7288-8d25-40d4-991d-3c97d6739633" userProvider="AD" userName="AILE Silvija (ENV)"/>
        <t:Anchor>
          <t:Comment id="677970414"/>
        </t:Anchor>
        <t:SetTitle title="@SAVELLI Caterina (ENV) as discussed yesterday, this describes pre consumer stage obligations on separate collection."/>
      </t:Event>
    </t:History>
  </t:Task>
  <t:Task id="{B4FEEBDB-98FD-467A-A5BE-A0E7CF8CC036}">
    <t:Anchor>
      <t:Comment id="2114009178"/>
    </t:Anchor>
    <t:History>
      <t:Event id="{DA940362-AD9E-4A99-A600-DCE6BFF34D59}" time="2023-02-10T10:23:49.481Z">
        <t:Attribution userId="S::silvija.aile@ec.europa.eu::234c7288-8d25-40d4-991d-3c97d6739633" userProvider="AD" userName="AILE Silvija (ENV)"/>
        <t:Anchor>
          <t:Comment id="2114009178"/>
        </t:Anchor>
        <t:Create/>
      </t:Event>
      <t:Event id="{350935ED-EABA-4B8C-84B1-826F6D8CA22C}" time="2023-02-10T10:23:49.481Z">
        <t:Attribution userId="S::silvija.aile@ec.europa.eu::234c7288-8d25-40d4-991d-3c97d6739633" userProvider="AD" userName="AILE Silvija (ENV)"/>
        <t:Anchor>
          <t:Comment id="2114009178"/>
        </t:Anchor>
        <t:Assign userId="S::Anne-Laure.GASSIN@ec.europa.eu::10c5a0e9-410c-4f59-8feb-c55e14cdca1f" userProvider="AD" userName="GASSIN Anne-Laure (SANTE)"/>
      </t:Event>
      <t:Event id="{33ED4016-81FD-4D74-9961-7DB339D273F1}" time="2023-02-10T10:23:49.481Z">
        <t:Attribution userId="S::silvija.aile@ec.europa.eu::234c7288-8d25-40d4-991d-3c97d6739633" userProvider="AD" userName="AILE Silvija (ENV)"/>
        <t:Anchor>
          <t:Comment id="2114009178"/>
        </t:Anchor>
        <t:SetTitle title="@GASSIN Anne-Laure (SANTE)"/>
      </t:Event>
    </t:History>
  </t:Task>
  <t:Task id="{F3FA8361-E7AB-4598-AEE7-78157D9203FA}">
    <t:Anchor>
      <t:Comment id="661724266"/>
    </t:Anchor>
    <t:History>
      <t:Event id="{ABA1CCB9-E4E3-4600-B9C6-AF36AC8EC803}" time="2023-03-29T13:18:55.47Z">
        <t:Attribution userId="S::cristina.lisetchi@ec.europa.eu::708f494d-2f0c-4f4e-b087-a886427cc670" userProvider="AD" userName="LISETCHI Cristina (SANTE)"/>
        <t:Anchor>
          <t:Comment id="661724266"/>
        </t:Anchor>
        <t:Create/>
      </t:Event>
      <t:Event id="{9C1B4D3F-4B37-401F-A9F9-90F4174D853A}" time="2023-03-29T13:18:55.47Z">
        <t:Attribution userId="S::cristina.lisetchi@ec.europa.eu::708f494d-2f0c-4f4e-b087-a886427cc670" userProvider="AD" userName="LISETCHI Cristina (SANTE)"/>
        <t:Anchor>
          <t:Comment id="661724266"/>
        </t:Anchor>
        <t:Assign userId="S::Anne-Laure.GASSIN@ec.europa.eu::10c5a0e9-410c-4f59-8feb-c55e14cdca1f" userProvider="AD" userName="GASSIN Anne-Laure (SANTE)"/>
      </t:Event>
      <t:Event id="{3CA19175-95FE-4DFD-A99C-16F29C9EE4C9}" time="2023-03-29T13:18:55.47Z">
        <t:Attribution userId="S::cristina.lisetchi@ec.europa.eu::708f494d-2f0c-4f4e-b087-a886427cc670" userProvider="AD" userName="LISETCHI Cristina (SANTE)"/>
        <t:Anchor>
          <t:Comment id="661724266"/>
        </t:Anchor>
        <t:SetTitle title="in addition to the 3 self-identified 'environmental organisations' we also have 12 self-identified 'NGOs' with an environmental focus - should we then say 15 environmental organisations here? @GASSIN Anne-Laure (SANTE)"/>
      </t:Event>
    </t:History>
  </t:Task>
  <t:Task id="{1DA69834-7391-4E3B-9E6C-676A978CCC5E}">
    <t:Anchor>
      <t:Comment id="468794668"/>
    </t:Anchor>
    <t:History>
      <t:Event id="{6A84853E-52D8-498F-A392-8158F87A8703}" time="2023-03-29T14:54:34.524Z">
        <t:Attribution userId="S::cristina.lisetchi@ec.europa.eu::708f494d-2f0c-4f4e-b087-a886427cc670" userProvider="AD" userName="LISETCHI Cristina (SANTE)"/>
        <t:Anchor>
          <t:Comment id="468794668"/>
        </t:Anchor>
        <t:Create/>
      </t:Event>
      <t:Event id="{52F81F83-9FBB-4E39-91B9-51BDDB43061F}" time="2023-03-29T14:54:34.524Z">
        <t:Attribution userId="S::cristina.lisetchi@ec.europa.eu::708f494d-2f0c-4f4e-b087-a886427cc670" userProvider="AD" userName="LISETCHI Cristina (SANTE)"/>
        <t:Anchor>
          <t:Comment id="468794668"/>
        </t:Anchor>
        <t:Assign userId="S::Anne-Laure.GASSIN@ec.europa.eu::10c5a0e9-410c-4f59-8feb-c55e14cdca1f" userProvider="AD" userName="GASSIN Anne-Laure (SANTE)"/>
      </t:Event>
      <t:Event id="{19D38DD9-EC03-43BA-A8B2-3AFDF4809BD1}" time="2023-03-29T14:54:34.524Z">
        <t:Attribution userId="S::cristina.lisetchi@ec.europa.eu::708f494d-2f0c-4f4e-b087-a886427cc670" userProvider="AD" userName="LISETCHI Cristina (SANTE)"/>
        <t:Anchor>
          <t:Comment id="468794668"/>
        </t:Anchor>
        <t:SetTitle title="…the IIA feedback report, I could only identify 8 contributions that ask for a baseline recognising earlier efforts - half of them NGOs: EuroCommerce, Feedback Global, Oddbox, Mensa Civica, WRAP, 1 academic and 2 citizens @GASSIN Anne-Laure (SANTE)"/>
      </t:Event>
    </t:History>
  </t:Task>
  <t:Task id="{718113F0-4F31-493A-B36B-18D85AEA1141}">
    <t:Anchor>
      <t:Comment id="670720684"/>
    </t:Anchor>
    <t:History>
      <t:Event id="{3B7D9551-4F5D-42F6-BDF4-6C9C0673D60F}" time="2023-05-01T15:56:54.867Z">
        <t:Attribution userId="S::bartosz.zambrzycki@ec.europa.eu::34f36df1-71ef-46b2-a23f-77c46031392c" userProvider="AD" userName="ZAMBRZYCKI Bartosz (SANTE)"/>
        <t:Anchor>
          <t:Comment id="1047993353"/>
        </t:Anchor>
        <t:Create/>
      </t:Event>
      <t:Event id="{61C1C86D-1199-423B-B76F-191C3F39DBD6}" time="2023-05-01T15:56:54.867Z">
        <t:Attribution userId="S::bartosz.zambrzycki@ec.europa.eu::34f36df1-71ef-46b2-a23f-77c46031392c" userProvider="AD" userName="ZAMBRZYCKI Bartosz (SANTE)"/>
        <t:Anchor>
          <t:Comment id="1047993353"/>
        </t:Anchor>
        <t:Assign userId="S::Valeria.DE-LAURENTIIS@ec.europa.eu::0203cf98-7549-46d4-895d-103854814375" userProvider="AD" userName="DE LAURENTIIS Valeria (JRC-ISPRA)"/>
      </t:Event>
      <t:Event id="{74BE9EE4-58EB-4F74-9F87-65860325F29C}" time="2023-05-01T15:56:54.867Z">
        <t:Attribution userId="S::bartosz.zambrzycki@ec.europa.eu::34f36df1-71ef-46b2-a23f-77c46031392c" userProvider="AD" userName="ZAMBRZYCKI Bartosz (SANTE)"/>
        <t:Anchor>
          <t:Comment id="1047993353"/>
        </t:Anchor>
        <t:SetTitle title="@DE LAURENTIIS Valeria (JRC-ISPRA)  Hi - it seems that some graphs would have to be updated based on the data from March 2023 (see text). - Food waste generated by food group (at least change 57 to 58.5) - relationship probably not - amount per stag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dd1361d-578d-4248-b657-ea0d2b6ad1f3">
      <UserInfo>
        <DisplayName>RINCON LIEVANA Maria (ENV)</DisplayName>
        <AccountId>109</AccountId>
        <AccountType/>
      </UserInfo>
      <UserInfo>
        <DisplayName>Calasso, Mariapaola</DisplayName>
        <AccountId>120</AccountId>
        <AccountType/>
      </UserInfo>
      <UserInfo>
        <DisplayName>McAndrew, Keir</DisplayName>
        <AccountId>127</AccountId>
        <AccountType/>
      </UserInfo>
      <UserInfo>
        <DisplayName>TARDITI Biancamaria (ENV)</DisplayName>
        <AccountId>31</AccountId>
        <AccountType/>
      </UserInfo>
      <UserInfo>
        <DisplayName>FORNS GOMEZ Alba (ENV)</DisplayName>
        <AccountId>135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1397B36352C447984A37DFD72D0E64" ma:contentTypeVersion="6" ma:contentTypeDescription="Create a new document." ma:contentTypeScope="" ma:versionID="39a4b9602ec308a3f46c91dedaf3d794">
  <xsd:schema xmlns:xsd="http://www.w3.org/2001/XMLSchema" xmlns:xs="http://www.w3.org/2001/XMLSchema" xmlns:p="http://schemas.microsoft.com/office/2006/metadata/properties" xmlns:ns2="9a4971b4-25da-4884-bcca-bc4cdf98062d" xmlns:ns3="cdd1361d-578d-4248-b657-ea0d2b6ad1f3" targetNamespace="http://schemas.microsoft.com/office/2006/metadata/properties" ma:root="true" ma:fieldsID="e9f694409578895e63deaf6c9a3c5d2c" ns2:_="" ns3:_="">
    <xsd:import namespace="9a4971b4-25da-4884-bcca-bc4cdf98062d"/>
    <xsd:import namespace="cdd1361d-578d-4248-b657-ea0d2b6ad1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71b4-25da-4884-bcca-bc4cdf980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d1361d-578d-4248-b657-ea0d2b6ad1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13B0A-BD6C-450D-9C1C-DB04F651CA4D}">
  <ds:schemaRefs>
    <ds:schemaRef ds:uri="http://purl.org/dc/dcmitype/"/>
    <ds:schemaRef ds:uri="cdd1361d-578d-4248-b657-ea0d2b6ad1f3"/>
    <ds:schemaRef ds:uri="http://purl.org/dc/terms/"/>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9a4971b4-25da-4884-bcca-bc4cdf98062d"/>
    <ds:schemaRef ds:uri="http://schemas.microsoft.com/office/2006/metadata/properties"/>
  </ds:schemaRefs>
</ds:datastoreItem>
</file>

<file path=customXml/itemProps2.xml><?xml version="1.0" encoding="utf-8"?>
<ds:datastoreItem xmlns:ds="http://schemas.openxmlformats.org/officeDocument/2006/customXml" ds:itemID="{78D4FE3C-A0F0-4741-B991-3380FCBE83A3}">
  <ds:schemaRefs>
    <ds:schemaRef ds:uri="http://schemas.openxmlformats.org/officeDocument/2006/bibliography"/>
  </ds:schemaRefs>
</ds:datastoreItem>
</file>

<file path=customXml/itemProps3.xml><?xml version="1.0" encoding="utf-8"?>
<ds:datastoreItem xmlns:ds="http://schemas.openxmlformats.org/officeDocument/2006/customXml" ds:itemID="{81AC8A4B-55C0-4440-B35F-BD86FFF2B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71b4-25da-4884-bcca-bc4cdf98062d"/>
    <ds:schemaRef ds:uri="cdd1361d-578d-4248-b657-ea0d2b6ad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D6F85-4AB8-4083-8F0C-5BD7423B5D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182</Pages>
  <Words>81244</Words>
  <Characters>445223</Characters>
  <Application>Microsoft Office Word</Application>
  <DocSecurity>0</DocSecurity>
  <Lines>9893</Lines>
  <Paragraphs>3440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523027</CharactersWithSpaces>
  <SharedDoc>false</SharedDoc>
  <HLinks>
    <vt:vector size="3396" baseType="variant">
      <vt:variant>
        <vt:i4>1638451</vt:i4>
      </vt:variant>
      <vt:variant>
        <vt:i4>3715</vt:i4>
      </vt:variant>
      <vt:variant>
        <vt:i4>0</vt:i4>
      </vt:variant>
      <vt:variant>
        <vt:i4>5</vt:i4>
      </vt:variant>
      <vt:variant>
        <vt:lpwstr/>
      </vt:variant>
      <vt:variant>
        <vt:lpwstr>_Toc137039641</vt:lpwstr>
      </vt:variant>
      <vt:variant>
        <vt:i4>1638451</vt:i4>
      </vt:variant>
      <vt:variant>
        <vt:i4>3709</vt:i4>
      </vt:variant>
      <vt:variant>
        <vt:i4>0</vt:i4>
      </vt:variant>
      <vt:variant>
        <vt:i4>5</vt:i4>
      </vt:variant>
      <vt:variant>
        <vt:lpwstr/>
      </vt:variant>
      <vt:variant>
        <vt:lpwstr>_Toc137039640</vt:lpwstr>
      </vt:variant>
      <vt:variant>
        <vt:i4>1966131</vt:i4>
      </vt:variant>
      <vt:variant>
        <vt:i4>3703</vt:i4>
      </vt:variant>
      <vt:variant>
        <vt:i4>0</vt:i4>
      </vt:variant>
      <vt:variant>
        <vt:i4>5</vt:i4>
      </vt:variant>
      <vt:variant>
        <vt:lpwstr/>
      </vt:variant>
      <vt:variant>
        <vt:lpwstr>_Toc137039639</vt:lpwstr>
      </vt:variant>
      <vt:variant>
        <vt:i4>1966131</vt:i4>
      </vt:variant>
      <vt:variant>
        <vt:i4>3697</vt:i4>
      </vt:variant>
      <vt:variant>
        <vt:i4>0</vt:i4>
      </vt:variant>
      <vt:variant>
        <vt:i4>5</vt:i4>
      </vt:variant>
      <vt:variant>
        <vt:lpwstr/>
      </vt:variant>
      <vt:variant>
        <vt:lpwstr>_Toc137039638</vt:lpwstr>
      </vt:variant>
      <vt:variant>
        <vt:i4>1966131</vt:i4>
      </vt:variant>
      <vt:variant>
        <vt:i4>3691</vt:i4>
      </vt:variant>
      <vt:variant>
        <vt:i4>0</vt:i4>
      </vt:variant>
      <vt:variant>
        <vt:i4>5</vt:i4>
      </vt:variant>
      <vt:variant>
        <vt:lpwstr/>
      </vt:variant>
      <vt:variant>
        <vt:lpwstr>_Toc137039637</vt:lpwstr>
      </vt:variant>
      <vt:variant>
        <vt:i4>1966131</vt:i4>
      </vt:variant>
      <vt:variant>
        <vt:i4>3685</vt:i4>
      </vt:variant>
      <vt:variant>
        <vt:i4>0</vt:i4>
      </vt:variant>
      <vt:variant>
        <vt:i4>5</vt:i4>
      </vt:variant>
      <vt:variant>
        <vt:lpwstr/>
      </vt:variant>
      <vt:variant>
        <vt:lpwstr>_Toc137039636</vt:lpwstr>
      </vt:variant>
      <vt:variant>
        <vt:i4>1966131</vt:i4>
      </vt:variant>
      <vt:variant>
        <vt:i4>3679</vt:i4>
      </vt:variant>
      <vt:variant>
        <vt:i4>0</vt:i4>
      </vt:variant>
      <vt:variant>
        <vt:i4>5</vt:i4>
      </vt:variant>
      <vt:variant>
        <vt:lpwstr/>
      </vt:variant>
      <vt:variant>
        <vt:lpwstr>_Toc137039635</vt:lpwstr>
      </vt:variant>
      <vt:variant>
        <vt:i4>1966131</vt:i4>
      </vt:variant>
      <vt:variant>
        <vt:i4>3673</vt:i4>
      </vt:variant>
      <vt:variant>
        <vt:i4>0</vt:i4>
      </vt:variant>
      <vt:variant>
        <vt:i4>5</vt:i4>
      </vt:variant>
      <vt:variant>
        <vt:lpwstr/>
      </vt:variant>
      <vt:variant>
        <vt:lpwstr>_Toc137039634</vt:lpwstr>
      </vt:variant>
      <vt:variant>
        <vt:i4>1966131</vt:i4>
      </vt:variant>
      <vt:variant>
        <vt:i4>3667</vt:i4>
      </vt:variant>
      <vt:variant>
        <vt:i4>0</vt:i4>
      </vt:variant>
      <vt:variant>
        <vt:i4>5</vt:i4>
      </vt:variant>
      <vt:variant>
        <vt:lpwstr/>
      </vt:variant>
      <vt:variant>
        <vt:lpwstr>_Toc137039633</vt:lpwstr>
      </vt:variant>
      <vt:variant>
        <vt:i4>1966131</vt:i4>
      </vt:variant>
      <vt:variant>
        <vt:i4>3661</vt:i4>
      </vt:variant>
      <vt:variant>
        <vt:i4>0</vt:i4>
      </vt:variant>
      <vt:variant>
        <vt:i4>5</vt:i4>
      </vt:variant>
      <vt:variant>
        <vt:lpwstr/>
      </vt:variant>
      <vt:variant>
        <vt:lpwstr>_Toc137039632</vt:lpwstr>
      </vt:variant>
      <vt:variant>
        <vt:i4>1966131</vt:i4>
      </vt:variant>
      <vt:variant>
        <vt:i4>3655</vt:i4>
      </vt:variant>
      <vt:variant>
        <vt:i4>0</vt:i4>
      </vt:variant>
      <vt:variant>
        <vt:i4>5</vt:i4>
      </vt:variant>
      <vt:variant>
        <vt:lpwstr/>
      </vt:variant>
      <vt:variant>
        <vt:lpwstr>_Toc137039631</vt:lpwstr>
      </vt:variant>
      <vt:variant>
        <vt:i4>1966131</vt:i4>
      </vt:variant>
      <vt:variant>
        <vt:i4>3649</vt:i4>
      </vt:variant>
      <vt:variant>
        <vt:i4>0</vt:i4>
      </vt:variant>
      <vt:variant>
        <vt:i4>5</vt:i4>
      </vt:variant>
      <vt:variant>
        <vt:lpwstr/>
      </vt:variant>
      <vt:variant>
        <vt:lpwstr>_Toc137039630</vt:lpwstr>
      </vt:variant>
      <vt:variant>
        <vt:i4>2031667</vt:i4>
      </vt:variant>
      <vt:variant>
        <vt:i4>3643</vt:i4>
      </vt:variant>
      <vt:variant>
        <vt:i4>0</vt:i4>
      </vt:variant>
      <vt:variant>
        <vt:i4>5</vt:i4>
      </vt:variant>
      <vt:variant>
        <vt:lpwstr/>
      </vt:variant>
      <vt:variant>
        <vt:lpwstr>_Toc137039629</vt:lpwstr>
      </vt:variant>
      <vt:variant>
        <vt:i4>2031667</vt:i4>
      </vt:variant>
      <vt:variant>
        <vt:i4>3637</vt:i4>
      </vt:variant>
      <vt:variant>
        <vt:i4>0</vt:i4>
      </vt:variant>
      <vt:variant>
        <vt:i4>5</vt:i4>
      </vt:variant>
      <vt:variant>
        <vt:lpwstr/>
      </vt:variant>
      <vt:variant>
        <vt:lpwstr>_Toc137039628</vt:lpwstr>
      </vt:variant>
      <vt:variant>
        <vt:i4>2031667</vt:i4>
      </vt:variant>
      <vt:variant>
        <vt:i4>3631</vt:i4>
      </vt:variant>
      <vt:variant>
        <vt:i4>0</vt:i4>
      </vt:variant>
      <vt:variant>
        <vt:i4>5</vt:i4>
      </vt:variant>
      <vt:variant>
        <vt:lpwstr/>
      </vt:variant>
      <vt:variant>
        <vt:lpwstr>_Toc137039627</vt:lpwstr>
      </vt:variant>
      <vt:variant>
        <vt:i4>2031667</vt:i4>
      </vt:variant>
      <vt:variant>
        <vt:i4>3625</vt:i4>
      </vt:variant>
      <vt:variant>
        <vt:i4>0</vt:i4>
      </vt:variant>
      <vt:variant>
        <vt:i4>5</vt:i4>
      </vt:variant>
      <vt:variant>
        <vt:lpwstr/>
      </vt:variant>
      <vt:variant>
        <vt:lpwstr>_Toc137039626</vt:lpwstr>
      </vt:variant>
      <vt:variant>
        <vt:i4>2031667</vt:i4>
      </vt:variant>
      <vt:variant>
        <vt:i4>3619</vt:i4>
      </vt:variant>
      <vt:variant>
        <vt:i4>0</vt:i4>
      </vt:variant>
      <vt:variant>
        <vt:i4>5</vt:i4>
      </vt:variant>
      <vt:variant>
        <vt:lpwstr/>
      </vt:variant>
      <vt:variant>
        <vt:lpwstr>_Toc137039625</vt:lpwstr>
      </vt:variant>
      <vt:variant>
        <vt:i4>2031667</vt:i4>
      </vt:variant>
      <vt:variant>
        <vt:i4>3613</vt:i4>
      </vt:variant>
      <vt:variant>
        <vt:i4>0</vt:i4>
      </vt:variant>
      <vt:variant>
        <vt:i4>5</vt:i4>
      </vt:variant>
      <vt:variant>
        <vt:lpwstr/>
      </vt:variant>
      <vt:variant>
        <vt:lpwstr>_Toc137039624</vt:lpwstr>
      </vt:variant>
      <vt:variant>
        <vt:i4>2031667</vt:i4>
      </vt:variant>
      <vt:variant>
        <vt:i4>3607</vt:i4>
      </vt:variant>
      <vt:variant>
        <vt:i4>0</vt:i4>
      </vt:variant>
      <vt:variant>
        <vt:i4>5</vt:i4>
      </vt:variant>
      <vt:variant>
        <vt:lpwstr/>
      </vt:variant>
      <vt:variant>
        <vt:lpwstr>_Toc137039623</vt:lpwstr>
      </vt:variant>
      <vt:variant>
        <vt:i4>2031667</vt:i4>
      </vt:variant>
      <vt:variant>
        <vt:i4>3601</vt:i4>
      </vt:variant>
      <vt:variant>
        <vt:i4>0</vt:i4>
      </vt:variant>
      <vt:variant>
        <vt:i4>5</vt:i4>
      </vt:variant>
      <vt:variant>
        <vt:lpwstr/>
      </vt:variant>
      <vt:variant>
        <vt:lpwstr>_Toc137039622</vt:lpwstr>
      </vt:variant>
      <vt:variant>
        <vt:i4>2031667</vt:i4>
      </vt:variant>
      <vt:variant>
        <vt:i4>3595</vt:i4>
      </vt:variant>
      <vt:variant>
        <vt:i4>0</vt:i4>
      </vt:variant>
      <vt:variant>
        <vt:i4>5</vt:i4>
      </vt:variant>
      <vt:variant>
        <vt:lpwstr/>
      </vt:variant>
      <vt:variant>
        <vt:lpwstr>_Toc137039621</vt:lpwstr>
      </vt:variant>
      <vt:variant>
        <vt:i4>2031667</vt:i4>
      </vt:variant>
      <vt:variant>
        <vt:i4>3589</vt:i4>
      </vt:variant>
      <vt:variant>
        <vt:i4>0</vt:i4>
      </vt:variant>
      <vt:variant>
        <vt:i4>5</vt:i4>
      </vt:variant>
      <vt:variant>
        <vt:lpwstr/>
      </vt:variant>
      <vt:variant>
        <vt:lpwstr>_Toc137039620</vt:lpwstr>
      </vt:variant>
      <vt:variant>
        <vt:i4>1835059</vt:i4>
      </vt:variant>
      <vt:variant>
        <vt:i4>3583</vt:i4>
      </vt:variant>
      <vt:variant>
        <vt:i4>0</vt:i4>
      </vt:variant>
      <vt:variant>
        <vt:i4>5</vt:i4>
      </vt:variant>
      <vt:variant>
        <vt:lpwstr/>
      </vt:variant>
      <vt:variant>
        <vt:lpwstr>_Toc137039619</vt:lpwstr>
      </vt:variant>
      <vt:variant>
        <vt:i4>1835059</vt:i4>
      </vt:variant>
      <vt:variant>
        <vt:i4>3577</vt:i4>
      </vt:variant>
      <vt:variant>
        <vt:i4>0</vt:i4>
      </vt:variant>
      <vt:variant>
        <vt:i4>5</vt:i4>
      </vt:variant>
      <vt:variant>
        <vt:lpwstr/>
      </vt:variant>
      <vt:variant>
        <vt:lpwstr>_Toc137039618</vt:lpwstr>
      </vt:variant>
      <vt:variant>
        <vt:i4>1835059</vt:i4>
      </vt:variant>
      <vt:variant>
        <vt:i4>3571</vt:i4>
      </vt:variant>
      <vt:variant>
        <vt:i4>0</vt:i4>
      </vt:variant>
      <vt:variant>
        <vt:i4>5</vt:i4>
      </vt:variant>
      <vt:variant>
        <vt:lpwstr/>
      </vt:variant>
      <vt:variant>
        <vt:lpwstr>_Toc137039617</vt:lpwstr>
      </vt:variant>
      <vt:variant>
        <vt:i4>1835059</vt:i4>
      </vt:variant>
      <vt:variant>
        <vt:i4>3565</vt:i4>
      </vt:variant>
      <vt:variant>
        <vt:i4>0</vt:i4>
      </vt:variant>
      <vt:variant>
        <vt:i4>5</vt:i4>
      </vt:variant>
      <vt:variant>
        <vt:lpwstr/>
      </vt:variant>
      <vt:variant>
        <vt:lpwstr>_Toc137039616</vt:lpwstr>
      </vt:variant>
      <vt:variant>
        <vt:i4>1835059</vt:i4>
      </vt:variant>
      <vt:variant>
        <vt:i4>3559</vt:i4>
      </vt:variant>
      <vt:variant>
        <vt:i4>0</vt:i4>
      </vt:variant>
      <vt:variant>
        <vt:i4>5</vt:i4>
      </vt:variant>
      <vt:variant>
        <vt:lpwstr/>
      </vt:variant>
      <vt:variant>
        <vt:lpwstr>_Toc137039615</vt:lpwstr>
      </vt:variant>
      <vt:variant>
        <vt:i4>1835059</vt:i4>
      </vt:variant>
      <vt:variant>
        <vt:i4>3553</vt:i4>
      </vt:variant>
      <vt:variant>
        <vt:i4>0</vt:i4>
      </vt:variant>
      <vt:variant>
        <vt:i4>5</vt:i4>
      </vt:variant>
      <vt:variant>
        <vt:lpwstr/>
      </vt:variant>
      <vt:variant>
        <vt:lpwstr>_Toc137039614</vt:lpwstr>
      </vt:variant>
      <vt:variant>
        <vt:i4>1835059</vt:i4>
      </vt:variant>
      <vt:variant>
        <vt:i4>3547</vt:i4>
      </vt:variant>
      <vt:variant>
        <vt:i4>0</vt:i4>
      </vt:variant>
      <vt:variant>
        <vt:i4>5</vt:i4>
      </vt:variant>
      <vt:variant>
        <vt:lpwstr/>
      </vt:variant>
      <vt:variant>
        <vt:lpwstr>_Toc137039613</vt:lpwstr>
      </vt:variant>
      <vt:variant>
        <vt:i4>1835059</vt:i4>
      </vt:variant>
      <vt:variant>
        <vt:i4>3541</vt:i4>
      </vt:variant>
      <vt:variant>
        <vt:i4>0</vt:i4>
      </vt:variant>
      <vt:variant>
        <vt:i4>5</vt:i4>
      </vt:variant>
      <vt:variant>
        <vt:lpwstr/>
      </vt:variant>
      <vt:variant>
        <vt:lpwstr>_Toc137039612</vt:lpwstr>
      </vt:variant>
      <vt:variant>
        <vt:i4>1835059</vt:i4>
      </vt:variant>
      <vt:variant>
        <vt:i4>3535</vt:i4>
      </vt:variant>
      <vt:variant>
        <vt:i4>0</vt:i4>
      </vt:variant>
      <vt:variant>
        <vt:i4>5</vt:i4>
      </vt:variant>
      <vt:variant>
        <vt:lpwstr/>
      </vt:variant>
      <vt:variant>
        <vt:lpwstr>_Toc137039611</vt:lpwstr>
      </vt:variant>
      <vt:variant>
        <vt:i4>1835059</vt:i4>
      </vt:variant>
      <vt:variant>
        <vt:i4>3529</vt:i4>
      </vt:variant>
      <vt:variant>
        <vt:i4>0</vt:i4>
      </vt:variant>
      <vt:variant>
        <vt:i4>5</vt:i4>
      </vt:variant>
      <vt:variant>
        <vt:lpwstr/>
      </vt:variant>
      <vt:variant>
        <vt:lpwstr>_Toc137039610</vt:lpwstr>
      </vt:variant>
      <vt:variant>
        <vt:i4>1900595</vt:i4>
      </vt:variant>
      <vt:variant>
        <vt:i4>3523</vt:i4>
      </vt:variant>
      <vt:variant>
        <vt:i4>0</vt:i4>
      </vt:variant>
      <vt:variant>
        <vt:i4>5</vt:i4>
      </vt:variant>
      <vt:variant>
        <vt:lpwstr/>
      </vt:variant>
      <vt:variant>
        <vt:lpwstr>_Toc137039609</vt:lpwstr>
      </vt:variant>
      <vt:variant>
        <vt:i4>1900595</vt:i4>
      </vt:variant>
      <vt:variant>
        <vt:i4>3517</vt:i4>
      </vt:variant>
      <vt:variant>
        <vt:i4>0</vt:i4>
      </vt:variant>
      <vt:variant>
        <vt:i4>5</vt:i4>
      </vt:variant>
      <vt:variant>
        <vt:lpwstr/>
      </vt:variant>
      <vt:variant>
        <vt:lpwstr>_Toc137039608</vt:lpwstr>
      </vt:variant>
      <vt:variant>
        <vt:i4>1900595</vt:i4>
      </vt:variant>
      <vt:variant>
        <vt:i4>3511</vt:i4>
      </vt:variant>
      <vt:variant>
        <vt:i4>0</vt:i4>
      </vt:variant>
      <vt:variant>
        <vt:i4>5</vt:i4>
      </vt:variant>
      <vt:variant>
        <vt:lpwstr/>
      </vt:variant>
      <vt:variant>
        <vt:lpwstr>_Toc137039607</vt:lpwstr>
      </vt:variant>
      <vt:variant>
        <vt:i4>1900595</vt:i4>
      </vt:variant>
      <vt:variant>
        <vt:i4>3505</vt:i4>
      </vt:variant>
      <vt:variant>
        <vt:i4>0</vt:i4>
      </vt:variant>
      <vt:variant>
        <vt:i4>5</vt:i4>
      </vt:variant>
      <vt:variant>
        <vt:lpwstr/>
      </vt:variant>
      <vt:variant>
        <vt:lpwstr>_Toc137039606</vt:lpwstr>
      </vt:variant>
      <vt:variant>
        <vt:i4>1900595</vt:i4>
      </vt:variant>
      <vt:variant>
        <vt:i4>3499</vt:i4>
      </vt:variant>
      <vt:variant>
        <vt:i4>0</vt:i4>
      </vt:variant>
      <vt:variant>
        <vt:i4>5</vt:i4>
      </vt:variant>
      <vt:variant>
        <vt:lpwstr/>
      </vt:variant>
      <vt:variant>
        <vt:lpwstr>_Toc137039605</vt:lpwstr>
      </vt:variant>
      <vt:variant>
        <vt:i4>1900595</vt:i4>
      </vt:variant>
      <vt:variant>
        <vt:i4>3493</vt:i4>
      </vt:variant>
      <vt:variant>
        <vt:i4>0</vt:i4>
      </vt:variant>
      <vt:variant>
        <vt:i4>5</vt:i4>
      </vt:variant>
      <vt:variant>
        <vt:lpwstr/>
      </vt:variant>
      <vt:variant>
        <vt:lpwstr>_Toc137039604</vt:lpwstr>
      </vt:variant>
      <vt:variant>
        <vt:i4>1900595</vt:i4>
      </vt:variant>
      <vt:variant>
        <vt:i4>3487</vt:i4>
      </vt:variant>
      <vt:variant>
        <vt:i4>0</vt:i4>
      </vt:variant>
      <vt:variant>
        <vt:i4>5</vt:i4>
      </vt:variant>
      <vt:variant>
        <vt:lpwstr/>
      </vt:variant>
      <vt:variant>
        <vt:lpwstr>_Toc137039603</vt:lpwstr>
      </vt:variant>
      <vt:variant>
        <vt:i4>1900595</vt:i4>
      </vt:variant>
      <vt:variant>
        <vt:i4>3481</vt:i4>
      </vt:variant>
      <vt:variant>
        <vt:i4>0</vt:i4>
      </vt:variant>
      <vt:variant>
        <vt:i4>5</vt:i4>
      </vt:variant>
      <vt:variant>
        <vt:lpwstr/>
      </vt:variant>
      <vt:variant>
        <vt:lpwstr>_Toc137039602</vt:lpwstr>
      </vt:variant>
      <vt:variant>
        <vt:i4>1900595</vt:i4>
      </vt:variant>
      <vt:variant>
        <vt:i4>3475</vt:i4>
      </vt:variant>
      <vt:variant>
        <vt:i4>0</vt:i4>
      </vt:variant>
      <vt:variant>
        <vt:i4>5</vt:i4>
      </vt:variant>
      <vt:variant>
        <vt:lpwstr/>
      </vt:variant>
      <vt:variant>
        <vt:lpwstr>_Toc137039601</vt:lpwstr>
      </vt:variant>
      <vt:variant>
        <vt:i4>1900595</vt:i4>
      </vt:variant>
      <vt:variant>
        <vt:i4>3469</vt:i4>
      </vt:variant>
      <vt:variant>
        <vt:i4>0</vt:i4>
      </vt:variant>
      <vt:variant>
        <vt:i4>5</vt:i4>
      </vt:variant>
      <vt:variant>
        <vt:lpwstr/>
      </vt:variant>
      <vt:variant>
        <vt:lpwstr>_Toc137039600</vt:lpwstr>
      </vt:variant>
      <vt:variant>
        <vt:i4>1310768</vt:i4>
      </vt:variant>
      <vt:variant>
        <vt:i4>3463</vt:i4>
      </vt:variant>
      <vt:variant>
        <vt:i4>0</vt:i4>
      </vt:variant>
      <vt:variant>
        <vt:i4>5</vt:i4>
      </vt:variant>
      <vt:variant>
        <vt:lpwstr/>
      </vt:variant>
      <vt:variant>
        <vt:lpwstr>_Toc137039599</vt:lpwstr>
      </vt:variant>
      <vt:variant>
        <vt:i4>1310768</vt:i4>
      </vt:variant>
      <vt:variant>
        <vt:i4>3457</vt:i4>
      </vt:variant>
      <vt:variant>
        <vt:i4>0</vt:i4>
      </vt:variant>
      <vt:variant>
        <vt:i4>5</vt:i4>
      </vt:variant>
      <vt:variant>
        <vt:lpwstr/>
      </vt:variant>
      <vt:variant>
        <vt:lpwstr>_Toc137039598</vt:lpwstr>
      </vt:variant>
      <vt:variant>
        <vt:i4>1310768</vt:i4>
      </vt:variant>
      <vt:variant>
        <vt:i4>3451</vt:i4>
      </vt:variant>
      <vt:variant>
        <vt:i4>0</vt:i4>
      </vt:variant>
      <vt:variant>
        <vt:i4>5</vt:i4>
      </vt:variant>
      <vt:variant>
        <vt:lpwstr/>
      </vt:variant>
      <vt:variant>
        <vt:lpwstr>_Toc137039597</vt:lpwstr>
      </vt:variant>
      <vt:variant>
        <vt:i4>1310768</vt:i4>
      </vt:variant>
      <vt:variant>
        <vt:i4>3445</vt:i4>
      </vt:variant>
      <vt:variant>
        <vt:i4>0</vt:i4>
      </vt:variant>
      <vt:variant>
        <vt:i4>5</vt:i4>
      </vt:variant>
      <vt:variant>
        <vt:lpwstr/>
      </vt:variant>
      <vt:variant>
        <vt:lpwstr>_Toc137039596</vt:lpwstr>
      </vt:variant>
      <vt:variant>
        <vt:i4>1310768</vt:i4>
      </vt:variant>
      <vt:variant>
        <vt:i4>3439</vt:i4>
      </vt:variant>
      <vt:variant>
        <vt:i4>0</vt:i4>
      </vt:variant>
      <vt:variant>
        <vt:i4>5</vt:i4>
      </vt:variant>
      <vt:variant>
        <vt:lpwstr/>
      </vt:variant>
      <vt:variant>
        <vt:lpwstr>_Toc137039595</vt:lpwstr>
      </vt:variant>
      <vt:variant>
        <vt:i4>1310768</vt:i4>
      </vt:variant>
      <vt:variant>
        <vt:i4>3433</vt:i4>
      </vt:variant>
      <vt:variant>
        <vt:i4>0</vt:i4>
      </vt:variant>
      <vt:variant>
        <vt:i4>5</vt:i4>
      </vt:variant>
      <vt:variant>
        <vt:lpwstr/>
      </vt:variant>
      <vt:variant>
        <vt:lpwstr>_Toc137039594</vt:lpwstr>
      </vt:variant>
      <vt:variant>
        <vt:i4>1310768</vt:i4>
      </vt:variant>
      <vt:variant>
        <vt:i4>3427</vt:i4>
      </vt:variant>
      <vt:variant>
        <vt:i4>0</vt:i4>
      </vt:variant>
      <vt:variant>
        <vt:i4>5</vt:i4>
      </vt:variant>
      <vt:variant>
        <vt:lpwstr/>
      </vt:variant>
      <vt:variant>
        <vt:lpwstr>_Toc137039593</vt:lpwstr>
      </vt:variant>
      <vt:variant>
        <vt:i4>1310768</vt:i4>
      </vt:variant>
      <vt:variant>
        <vt:i4>3421</vt:i4>
      </vt:variant>
      <vt:variant>
        <vt:i4>0</vt:i4>
      </vt:variant>
      <vt:variant>
        <vt:i4>5</vt:i4>
      </vt:variant>
      <vt:variant>
        <vt:lpwstr/>
      </vt:variant>
      <vt:variant>
        <vt:lpwstr>_Toc137039592</vt:lpwstr>
      </vt:variant>
      <vt:variant>
        <vt:i4>1310768</vt:i4>
      </vt:variant>
      <vt:variant>
        <vt:i4>3415</vt:i4>
      </vt:variant>
      <vt:variant>
        <vt:i4>0</vt:i4>
      </vt:variant>
      <vt:variant>
        <vt:i4>5</vt:i4>
      </vt:variant>
      <vt:variant>
        <vt:lpwstr/>
      </vt:variant>
      <vt:variant>
        <vt:lpwstr>_Toc137039591</vt:lpwstr>
      </vt:variant>
      <vt:variant>
        <vt:i4>1310768</vt:i4>
      </vt:variant>
      <vt:variant>
        <vt:i4>3409</vt:i4>
      </vt:variant>
      <vt:variant>
        <vt:i4>0</vt:i4>
      </vt:variant>
      <vt:variant>
        <vt:i4>5</vt:i4>
      </vt:variant>
      <vt:variant>
        <vt:lpwstr/>
      </vt:variant>
      <vt:variant>
        <vt:lpwstr>_Toc137039590</vt:lpwstr>
      </vt:variant>
      <vt:variant>
        <vt:i4>1376304</vt:i4>
      </vt:variant>
      <vt:variant>
        <vt:i4>3403</vt:i4>
      </vt:variant>
      <vt:variant>
        <vt:i4>0</vt:i4>
      </vt:variant>
      <vt:variant>
        <vt:i4>5</vt:i4>
      </vt:variant>
      <vt:variant>
        <vt:lpwstr/>
      </vt:variant>
      <vt:variant>
        <vt:lpwstr>_Toc137039589</vt:lpwstr>
      </vt:variant>
      <vt:variant>
        <vt:i4>1376304</vt:i4>
      </vt:variant>
      <vt:variant>
        <vt:i4>3397</vt:i4>
      </vt:variant>
      <vt:variant>
        <vt:i4>0</vt:i4>
      </vt:variant>
      <vt:variant>
        <vt:i4>5</vt:i4>
      </vt:variant>
      <vt:variant>
        <vt:lpwstr/>
      </vt:variant>
      <vt:variant>
        <vt:lpwstr>_Toc137039588</vt:lpwstr>
      </vt:variant>
      <vt:variant>
        <vt:i4>1376304</vt:i4>
      </vt:variant>
      <vt:variant>
        <vt:i4>3391</vt:i4>
      </vt:variant>
      <vt:variant>
        <vt:i4>0</vt:i4>
      </vt:variant>
      <vt:variant>
        <vt:i4>5</vt:i4>
      </vt:variant>
      <vt:variant>
        <vt:lpwstr/>
      </vt:variant>
      <vt:variant>
        <vt:lpwstr>_Toc137039587</vt:lpwstr>
      </vt:variant>
      <vt:variant>
        <vt:i4>1376304</vt:i4>
      </vt:variant>
      <vt:variant>
        <vt:i4>3385</vt:i4>
      </vt:variant>
      <vt:variant>
        <vt:i4>0</vt:i4>
      </vt:variant>
      <vt:variant>
        <vt:i4>5</vt:i4>
      </vt:variant>
      <vt:variant>
        <vt:lpwstr/>
      </vt:variant>
      <vt:variant>
        <vt:lpwstr>_Toc137039586</vt:lpwstr>
      </vt:variant>
      <vt:variant>
        <vt:i4>1376304</vt:i4>
      </vt:variant>
      <vt:variant>
        <vt:i4>3379</vt:i4>
      </vt:variant>
      <vt:variant>
        <vt:i4>0</vt:i4>
      </vt:variant>
      <vt:variant>
        <vt:i4>5</vt:i4>
      </vt:variant>
      <vt:variant>
        <vt:lpwstr/>
      </vt:variant>
      <vt:variant>
        <vt:lpwstr>_Toc137039585</vt:lpwstr>
      </vt:variant>
      <vt:variant>
        <vt:i4>1376304</vt:i4>
      </vt:variant>
      <vt:variant>
        <vt:i4>3373</vt:i4>
      </vt:variant>
      <vt:variant>
        <vt:i4>0</vt:i4>
      </vt:variant>
      <vt:variant>
        <vt:i4>5</vt:i4>
      </vt:variant>
      <vt:variant>
        <vt:lpwstr/>
      </vt:variant>
      <vt:variant>
        <vt:lpwstr>_Toc137039584</vt:lpwstr>
      </vt:variant>
      <vt:variant>
        <vt:i4>1376304</vt:i4>
      </vt:variant>
      <vt:variant>
        <vt:i4>3367</vt:i4>
      </vt:variant>
      <vt:variant>
        <vt:i4>0</vt:i4>
      </vt:variant>
      <vt:variant>
        <vt:i4>5</vt:i4>
      </vt:variant>
      <vt:variant>
        <vt:lpwstr/>
      </vt:variant>
      <vt:variant>
        <vt:lpwstr>_Toc137039583</vt:lpwstr>
      </vt:variant>
      <vt:variant>
        <vt:i4>1376304</vt:i4>
      </vt:variant>
      <vt:variant>
        <vt:i4>3361</vt:i4>
      </vt:variant>
      <vt:variant>
        <vt:i4>0</vt:i4>
      </vt:variant>
      <vt:variant>
        <vt:i4>5</vt:i4>
      </vt:variant>
      <vt:variant>
        <vt:lpwstr/>
      </vt:variant>
      <vt:variant>
        <vt:lpwstr>_Toc137039582</vt:lpwstr>
      </vt:variant>
      <vt:variant>
        <vt:i4>1376304</vt:i4>
      </vt:variant>
      <vt:variant>
        <vt:i4>3355</vt:i4>
      </vt:variant>
      <vt:variant>
        <vt:i4>0</vt:i4>
      </vt:variant>
      <vt:variant>
        <vt:i4>5</vt:i4>
      </vt:variant>
      <vt:variant>
        <vt:lpwstr/>
      </vt:variant>
      <vt:variant>
        <vt:lpwstr>_Toc137039581</vt:lpwstr>
      </vt:variant>
      <vt:variant>
        <vt:i4>1376304</vt:i4>
      </vt:variant>
      <vt:variant>
        <vt:i4>3349</vt:i4>
      </vt:variant>
      <vt:variant>
        <vt:i4>0</vt:i4>
      </vt:variant>
      <vt:variant>
        <vt:i4>5</vt:i4>
      </vt:variant>
      <vt:variant>
        <vt:lpwstr/>
      </vt:variant>
      <vt:variant>
        <vt:lpwstr>_Toc137039580</vt:lpwstr>
      </vt:variant>
      <vt:variant>
        <vt:i4>1703984</vt:i4>
      </vt:variant>
      <vt:variant>
        <vt:i4>3343</vt:i4>
      </vt:variant>
      <vt:variant>
        <vt:i4>0</vt:i4>
      </vt:variant>
      <vt:variant>
        <vt:i4>5</vt:i4>
      </vt:variant>
      <vt:variant>
        <vt:lpwstr/>
      </vt:variant>
      <vt:variant>
        <vt:lpwstr>_Toc137039579</vt:lpwstr>
      </vt:variant>
      <vt:variant>
        <vt:i4>1703984</vt:i4>
      </vt:variant>
      <vt:variant>
        <vt:i4>3337</vt:i4>
      </vt:variant>
      <vt:variant>
        <vt:i4>0</vt:i4>
      </vt:variant>
      <vt:variant>
        <vt:i4>5</vt:i4>
      </vt:variant>
      <vt:variant>
        <vt:lpwstr/>
      </vt:variant>
      <vt:variant>
        <vt:lpwstr>_Toc137039578</vt:lpwstr>
      </vt:variant>
      <vt:variant>
        <vt:i4>1703984</vt:i4>
      </vt:variant>
      <vt:variant>
        <vt:i4>3331</vt:i4>
      </vt:variant>
      <vt:variant>
        <vt:i4>0</vt:i4>
      </vt:variant>
      <vt:variant>
        <vt:i4>5</vt:i4>
      </vt:variant>
      <vt:variant>
        <vt:lpwstr/>
      </vt:variant>
      <vt:variant>
        <vt:lpwstr>_Toc137039577</vt:lpwstr>
      </vt:variant>
      <vt:variant>
        <vt:i4>1703984</vt:i4>
      </vt:variant>
      <vt:variant>
        <vt:i4>3325</vt:i4>
      </vt:variant>
      <vt:variant>
        <vt:i4>0</vt:i4>
      </vt:variant>
      <vt:variant>
        <vt:i4>5</vt:i4>
      </vt:variant>
      <vt:variant>
        <vt:lpwstr/>
      </vt:variant>
      <vt:variant>
        <vt:lpwstr>_Toc137039576</vt:lpwstr>
      </vt:variant>
      <vt:variant>
        <vt:i4>1703984</vt:i4>
      </vt:variant>
      <vt:variant>
        <vt:i4>3319</vt:i4>
      </vt:variant>
      <vt:variant>
        <vt:i4>0</vt:i4>
      </vt:variant>
      <vt:variant>
        <vt:i4>5</vt:i4>
      </vt:variant>
      <vt:variant>
        <vt:lpwstr/>
      </vt:variant>
      <vt:variant>
        <vt:lpwstr>_Toc137039575</vt:lpwstr>
      </vt:variant>
      <vt:variant>
        <vt:i4>1703984</vt:i4>
      </vt:variant>
      <vt:variant>
        <vt:i4>3313</vt:i4>
      </vt:variant>
      <vt:variant>
        <vt:i4>0</vt:i4>
      </vt:variant>
      <vt:variant>
        <vt:i4>5</vt:i4>
      </vt:variant>
      <vt:variant>
        <vt:lpwstr/>
      </vt:variant>
      <vt:variant>
        <vt:lpwstr>_Toc137039574</vt:lpwstr>
      </vt:variant>
      <vt:variant>
        <vt:i4>1703984</vt:i4>
      </vt:variant>
      <vt:variant>
        <vt:i4>3307</vt:i4>
      </vt:variant>
      <vt:variant>
        <vt:i4>0</vt:i4>
      </vt:variant>
      <vt:variant>
        <vt:i4>5</vt:i4>
      </vt:variant>
      <vt:variant>
        <vt:lpwstr/>
      </vt:variant>
      <vt:variant>
        <vt:lpwstr>_Toc137039573</vt:lpwstr>
      </vt:variant>
      <vt:variant>
        <vt:i4>1703984</vt:i4>
      </vt:variant>
      <vt:variant>
        <vt:i4>3301</vt:i4>
      </vt:variant>
      <vt:variant>
        <vt:i4>0</vt:i4>
      </vt:variant>
      <vt:variant>
        <vt:i4>5</vt:i4>
      </vt:variant>
      <vt:variant>
        <vt:lpwstr/>
      </vt:variant>
      <vt:variant>
        <vt:lpwstr>_Toc137039572</vt:lpwstr>
      </vt:variant>
      <vt:variant>
        <vt:i4>1703984</vt:i4>
      </vt:variant>
      <vt:variant>
        <vt:i4>3295</vt:i4>
      </vt:variant>
      <vt:variant>
        <vt:i4>0</vt:i4>
      </vt:variant>
      <vt:variant>
        <vt:i4>5</vt:i4>
      </vt:variant>
      <vt:variant>
        <vt:lpwstr/>
      </vt:variant>
      <vt:variant>
        <vt:lpwstr>_Toc137039571</vt:lpwstr>
      </vt:variant>
      <vt:variant>
        <vt:i4>1703984</vt:i4>
      </vt:variant>
      <vt:variant>
        <vt:i4>3289</vt:i4>
      </vt:variant>
      <vt:variant>
        <vt:i4>0</vt:i4>
      </vt:variant>
      <vt:variant>
        <vt:i4>5</vt:i4>
      </vt:variant>
      <vt:variant>
        <vt:lpwstr/>
      </vt:variant>
      <vt:variant>
        <vt:lpwstr>_Toc137039570</vt:lpwstr>
      </vt:variant>
      <vt:variant>
        <vt:i4>1769520</vt:i4>
      </vt:variant>
      <vt:variant>
        <vt:i4>3283</vt:i4>
      </vt:variant>
      <vt:variant>
        <vt:i4>0</vt:i4>
      </vt:variant>
      <vt:variant>
        <vt:i4>5</vt:i4>
      </vt:variant>
      <vt:variant>
        <vt:lpwstr/>
      </vt:variant>
      <vt:variant>
        <vt:lpwstr>_Toc137039569</vt:lpwstr>
      </vt:variant>
      <vt:variant>
        <vt:i4>1769520</vt:i4>
      </vt:variant>
      <vt:variant>
        <vt:i4>3277</vt:i4>
      </vt:variant>
      <vt:variant>
        <vt:i4>0</vt:i4>
      </vt:variant>
      <vt:variant>
        <vt:i4>5</vt:i4>
      </vt:variant>
      <vt:variant>
        <vt:lpwstr/>
      </vt:variant>
      <vt:variant>
        <vt:lpwstr>_Toc137039568</vt:lpwstr>
      </vt:variant>
      <vt:variant>
        <vt:i4>1769520</vt:i4>
      </vt:variant>
      <vt:variant>
        <vt:i4>3271</vt:i4>
      </vt:variant>
      <vt:variant>
        <vt:i4>0</vt:i4>
      </vt:variant>
      <vt:variant>
        <vt:i4>5</vt:i4>
      </vt:variant>
      <vt:variant>
        <vt:lpwstr/>
      </vt:variant>
      <vt:variant>
        <vt:lpwstr>_Toc137039567</vt:lpwstr>
      </vt:variant>
      <vt:variant>
        <vt:i4>1769520</vt:i4>
      </vt:variant>
      <vt:variant>
        <vt:i4>3265</vt:i4>
      </vt:variant>
      <vt:variant>
        <vt:i4>0</vt:i4>
      </vt:variant>
      <vt:variant>
        <vt:i4>5</vt:i4>
      </vt:variant>
      <vt:variant>
        <vt:lpwstr/>
      </vt:variant>
      <vt:variant>
        <vt:lpwstr>_Toc137039566</vt:lpwstr>
      </vt:variant>
      <vt:variant>
        <vt:i4>1769520</vt:i4>
      </vt:variant>
      <vt:variant>
        <vt:i4>3259</vt:i4>
      </vt:variant>
      <vt:variant>
        <vt:i4>0</vt:i4>
      </vt:variant>
      <vt:variant>
        <vt:i4>5</vt:i4>
      </vt:variant>
      <vt:variant>
        <vt:lpwstr/>
      </vt:variant>
      <vt:variant>
        <vt:lpwstr>_Toc137039565</vt:lpwstr>
      </vt:variant>
      <vt:variant>
        <vt:i4>1769520</vt:i4>
      </vt:variant>
      <vt:variant>
        <vt:i4>3253</vt:i4>
      </vt:variant>
      <vt:variant>
        <vt:i4>0</vt:i4>
      </vt:variant>
      <vt:variant>
        <vt:i4>5</vt:i4>
      </vt:variant>
      <vt:variant>
        <vt:lpwstr/>
      </vt:variant>
      <vt:variant>
        <vt:lpwstr>_Toc137039564</vt:lpwstr>
      </vt:variant>
      <vt:variant>
        <vt:i4>1769520</vt:i4>
      </vt:variant>
      <vt:variant>
        <vt:i4>3247</vt:i4>
      </vt:variant>
      <vt:variant>
        <vt:i4>0</vt:i4>
      </vt:variant>
      <vt:variant>
        <vt:i4>5</vt:i4>
      </vt:variant>
      <vt:variant>
        <vt:lpwstr/>
      </vt:variant>
      <vt:variant>
        <vt:lpwstr>_Toc137039563</vt:lpwstr>
      </vt:variant>
      <vt:variant>
        <vt:i4>1769520</vt:i4>
      </vt:variant>
      <vt:variant>
        <vt:i4>3241</vt:i4>
      </vt:variant>
      <vt:variant>
        <vt:i4>0</vt:i4>
      </vt:variant>
      <vt:variant>
        <vt:i4>5</vt:i4>
      </vt:variant>
      <vt:variant>
        <vt:lpwstr/>
      </vt:variant>
      <vt:variant>
        <vt:lpwstr>_Toc137039562</vt:lpwstr>
      </vt:variant>
      <vt:variant>
        <vt:i4>1769520</vt:i4>
      </vt:variant>
      <vt:variant>
        <vt:i4>3235</vt:i4>
      </vt:variant>
      <vt:variant>
        <vt:i4>0</vt:i4>
      </vt:variant>
      <vt:variant>
        <vt:i4>5</vt:i4>
      </vt:variant>
      <vt:variant>
        <vt:lpwstr/>
      </vt:variant>
      <vt:variant>
        <vt:lpwstr>_Toc137039561</vt:lpwstr>
      </vt:variant>
      <vt:variant>
        <vt:i4>1769520</vt:i4>
      </vt:variant>
      <vt:variant>
        <vt:i4>3229</vt:i4>
      </vt:variant>
      <vt:variant>
        <vt:i4>0</vt:i4>
      </vt:variant>
      <vt:variant>
        <vt:i4>5</vt:i4>
      </vt:variant>
      <vt:variant>
        <vt:lpwstr/>
      </vt:variant>
      <vt:variant>
        <vt:lpwstr>_Toc137039560</vt:lpwstr>
      </vt:variant>
      <vt:variant>
        <vt:i4>1572912</vt:i4>
      </vt:variant>
      <vt:variant>
        <vt:i4>3223</vt:i4>
      </vt:variant>
      <vt:variant>
        <vt:i4>0</vt:i4>
      </vt:variant>
      <vt:variant>
        <vt:i4>5</vt:i4>
      </vt:variant>
      <vt:variant>
        <vt:lpwstr/>
      </vt:variant>
      <vt:variant>
        <vt:lpwstr>_Toc137039559</vt:lpwstr>
      </vt:variant>
      <vt:variant>
        <vt:i4>1572912</vt:i4>
      </vt:variant>
      <vt:variant>
        <vt:i4>3217</vt:i4>
      </vt:variant>
      <vt:variant>
        <vt:i4>0</vt:i4>
      </vt:variant>
      <vt:variant>
        <vt:i4>5</vt:i4>
      </vt:variant>
      <vt:variant>
        <vt:lpwstr/>
      </vt:variant>
      <vt:variant>
        <vt:lpwstr>_Toc137039558</vt:lpwstr>
      </vt:variant>
      <vt:variant>
        <vt:i4>1572912</vt:i4>
      </vt:variant>
      <vt:variant>
        <vt:i4>3211</vt:i4>
      </vt:variant>
      <vt:variant>
        <vt:i4>0</vt:i4>
      </vt:variant>
      <vt:variant>
        <vt:i4>5</vt:i4>
      </vt:variant>
      <vt:variant>
        <vt:lpwstr/>
      </vt:variant>
      <vt:variant>
        <vt:lpwstr>_Toc137039557</vt:lpwstr>
      </vt:variant>
      <vt:variant>
        <vt:i4>1572912</vt:i4>
      </vt:variant>
      <vt:variant>
        <vt:i4>3205</vt:i4>
      </vt:variant>
      <vt:variant>
        <vt:i4>0</vt:i4>
      </vt:variant>
      <vt:variant>
        <vt:i4>5</vt:i4>
      </vt:variant>
      <vt:variant>
        <vt:lpwstr/>
      </vt:variant>
      <vt:variant>
        <vt:lpwstr>_Toc137039556</vt:lpwstr>
      </vt:variant>
      <vt:variant>
        <vt:i4>1572912</vt:i4>
      </vt:variant>
      <vt:variant>
        <vt:i4>3199</vt:i4>
      </vt:variant>
      <vt:variant>
        <vt:i4>0</vt:i4>
      </vt:variant>
      <vt:variant>
        <vt:i4>5</vt:i4>
      </vt:variant>
      <vt:variant>
        <vt:lpwstr/>
      </vt:variant>
      <vt:variant>
        <vt:lpwstr>_Toc137039555</vt:lpwstr>
      </vt:variant>
      <vt:variant>
        <vt:i4>1572912</vt:i4>
      </vt:variant>
      <vt:variant>
        <vt:i4>3193</vt:i4>
      </vt:variant>
      <vt:variant>
        <vt:i4>0</vt:i4>
      </vt:variant>
      <vt:variant>
        <vt:i4>5</vt:i4>
      </vt:variant>
      <vt:variant>
        <vt:lpwstr/>
      </vt:variant>
      <vt:variant>
        <vt:lpwstr>_Toc137039554</vt:lpwstr>
      </vt:variant>
      <vt:variant>
        <vt:i4>1572912</vt:i4>
      </vt:variant>
      <vt:variant>
        <vt:i4>3187</vt:i4>
      </vt:variant>
      <vt:variant>
        <vt:i4>0</vt:i4>
      </vt:variant>
      <vt:variant>
        <vt:i4>5</vt:i4>
      </vt:variant>
      <vt:variant>
        <vt:lpwstr/>
      </vt:variant>
      <vt:variant>
        <vt:lpwstr>_Toc137039553</vt:lpwstr>
      </vt:variant>
      <vt:variant>
        <vt:i4>1572912</vt:i4>
      </vt:variant>
      <vt:variant>
        <vt:i4>3181</vt:i4>
      </vt:variant>
      <vt:variant>
        <vt:i4>0</vt:i4>
      </vt:variant>
      <vt:variant>
        <vt:i4>5</vt:i4>
      </vt:variant>
      <vt:variant>
        <vt:lpwstr/>
      </vt:variant>
      <vt:variant>
        <vt:lpwstr>_Toc137039552</vt:lpwstr>
      </vt:variant>
      <vt:variant>
        <vt:i4>1572912</vt:i4>
      </vt:variant>
      <vt:variant>
        <vt:i4>3175</vt:i4>
      </vt:variant>
      <vt:variant>
        <vt:i4>0</vt:i4>
      </vt:variant>
      <vt:variant>
        <vt:i4>5</vt:i4>
      </vt:variant>
      <vt:variant>
        <vt:lpwstr/>
      </vt:variant>
      <vt:variant>
        <vt:lpwstr>_Toc137039551</vt:lpwstr>
      </vt:variant>
      <vt:variant>
        <vt:i4>1572912</vt:i4>
      </vt:variant>
      <vt:variant>
        <vt:i4>3169</vt:i4>
      </vt:variant>
      <vt:variant>
        <vt:i4>0</vt:i4>
      </vt:variant>
      <vt:variant>
        <vt:i4>5</vt:i4>
      </vt:variant>
      <vt:variant>
        <vt:lpwstr/>
      </vt:variant>
      <vt:variant>
        <vt:lpwstr>_Toc137039550</vt:lpwstr>
      </vt:variant>
      <vt:variant>
        <vt:i4>1638448</vt:i4>
      </vt:variant>
      <vt:variant>
        <vt:i4>3163</vt:i4>
      </vt:variant>
      <vt:variant>
        <vt:i4>0</vt:i4>
      </vt:variant>
      <vt:variant>
        <vt:i4>5</vt:i4>
      </vt:variant>
      <vt:variant>
        <vt:lpwstr/>
      </vt:variant>
      <vt:variant>
        <vt:lpwstr>_Toc137039549</vt:lpwstr>
      </vt:variant>
      <vt:variant>
        <vt:i4>1638448</vt:i4>
      </vt:variant>
      <vt:variant>
        <vt:i4>3157</vt:i4>
      </vt:variant>
      <vt:variant>
        <vt:i4>0</vt:i4>
      </vt:variant>
      <vt:variant>
        <vt:i4>5</vt:i4>
      </vt:variant>
      <vt:variant>
        <vt:lpwstr/>
      </vt:variant>
      <vt:variant>
        <vt:lpwstr>_Toc137039548</vt:lpwstr>
      </vt:variant>
      <vt:variant>
        <vt:i4>1638448</vt:i4>
      </vt:variant>
      <vt:variant>
        <vt:i4>3151</vt:i4>
      </vt:variant>
      <vt:variant>
        <vt:i4>0</vt:i4>
      </vt:variant>
      <vt:variant>
        <vt:i4>5</vt:i4>
      </vt:variant>
      <vt:variant>
        <vt:lpwstr/>
      </vt:variant>
      <vt:variant>
        <vt:lpwstr>_Toc137039547</vt:lpwstr>
      </vt:variant>
      <vt:variant>
        <vt:i4>1638448</vt:i4>
      </vt:variant>
      <vt:variant>
        <vt:i4>3145</vt:i4>
      </vt:variant>
      <vt:variant>
        <vt:i4>0</vt:i4>
      </vt:variant>
      <vt:variant>
        <vt:i4>5</vt:i4>
      </vt:variant>
      <vt:variant>
        <vt:lpwstr/>
      </vt:variant>
      <vt:variant>
        <vt:lpwstr>_Toc137039546</vt:lpwstr>
      </vt:variant>
      <vt:variant>
        <vt:i4>1638448</vt:i4>
      </vt:variant>
      <vt:variant>
        <vt:i4>3139</vt:i4>
      </vt:variant>
      <vt:variant>
        <vt:i4>0</vt:i4>
      </vt:variant>
      <vt:variant>
        <vt:i4>5</vt:i4>
      </vt:variant>
      <vt:variant>
        <vt:lpwstr/>
      </vt:variant>
      <vt:variant>
        <vt:lpwstr>_Toc137039545</vt:lpwstr>
      </vt:variant>
      <vt:variant>
        <vt:i4>1638448</vt:i4>
      </vt:variant>
      <vt:variant>
        <vt:i4>3133</vt:i4>
      </vt:variant>
      <vt:variant>
        <vt:i4>0</vt:i4>
      </vt:variant>
      <vt:variant>
        <vt:i4>5</vt:i4>
      </vt:variant>
      <vt:variant>
        <vt:lpwstr/>
      </vt:variant>
      <vt:variant>
        <vt:lpwstr>_Toc137039544</vt:lpwstr>
      </vt:variant>
      <vt:variant>
        <vt:i4>1638448</vt:i4>
      </vt:variant>
      <vt:variant>
        <vt:i4>3127</vt:i4>
      </vt:variant>
      <vt:variant>
        <vt:i4>0</vt:i4>
      </vt:variant>
      <vt:variant>
        <vt:i4>5</vt:i4>
      </vt:variant>
      <vt:variant>
        <vt:lpwstr/>
      </vt:variant>
      <vt:variant>
        <vt:lpwstr>_Toc137039543</vt:lpwstr>
      </vt:variant>
      <vt:variant>
        <vt:i4>1638448</vt:i4>
      </vt:variant>
      <vt:variant>
        <vt:i4>3121</vt:i4>
      </vt:variant>
      <vt:variant>
        <vt:i4>0</vt:i4>
      </vt:variant>
      <vt:variant>
        <vt:i4>5</vt:i4>
      </vt:variant>
      <vt:variant>
        <vt:lpwstr/>
      </vt:variant>
      <vt:variant>
        <vt:lpwstr>_Toc137039542</vt:lpwstr>
      </vt:variant>
      <vt:variant>
        <vt:i4>1638448</vt:i4>
      </vt:variant>
      <vt:variant>
        <vt:i4>3115</vt:i4>
      </vt:variant>
      <vt:variant>
        <vt:i4>0</vt:i4>
      </vt:variant>
      <vt:variant>
        <vt:i4>5</vt:i4>
      </vt:variant>
      <vt:variant>
        <vt:lpwstr/>
      </vt:variant>
      <vt:variant>
        <vt:lpwstr>_Toc137039541</vt:lpwstr>
      </vt:variant>
      <vt:variant>
        <vt:i4>1638448</vt:i4>
      </vt:variant>
      <vt:variant>
        <vt:i4>3109</vt:i4>
      </vt:variant>
      <vt:variant>
        <vt:i4>0</vt:i4>
      </vt:variant>
      <vt:variant>
        <vt:i4>5</vt:i4>
      </vt:variant>
      <vt:variant>
        <vt:lpwstr/>
      </vt:variant>
      <vt:variant>
        <vt:lpwstr>_Toc137039540</vt:lpwstr>
      </vt:variant>
      <vt:variant>
        <vt:i4>1966128</vt:i4>
      </vt:variant>
      <vt:variant>
        <vt:i4>3103</vt:i4>
      </vt:variant>
      <vt:variant>
        <vt:i4>0</vt:i4>
      </vt:variant>
      <vt:variant>
        <vt:i4>5</vt:i4>
      </vt:variant>
      <vt:variant>
        <vt:lpwstr/>
      </vt:variant>
      <vt:variant>
        <vt:lpwstr>_Toc137039539</vt:lpwstr>
      </vt:variant>
      <vt:variant>
        <vt:i4>1966128</vt:i4>
      </vt:variant>
      <vt:variant>
        <vt:i4>3097</vt:i4>
      </vt:variant>
      <vt:variant>
        <vt:i4>0</vt:i4>
      </vt:variant>
      <vt:variant>
        <vt:i4>5</vt:i4>
      </vt:variant>
      <vt:variant>
        <vt:lpwstr/>
      </vt:variant>
      <vt:variant>
        <vt:lpwstr>_Toc137039538</vt:lpwstr>
      </vt:variant>
      <vt:variant>
        <vt:i4>1966128</vt:i4>
      </vt:variant>
      <vt:variant>
        <vt:i4>3091</vt:i4>
      </vt:variant>
      <vt:variant>
        <vt:i4>0</vt:i4>
      </vt:variant>
      <vt:variant>
        <vt:i4>5</vt:i4>
      </vt:variant>
      <vt:variant>
        <vt:lpwstr/>
      </vt:variant>
      <vt:variant>
        <vt:lpwstr>_Toc137039537</vt:lpwstr>
      </vt:variant>
      <vt:variant>
        <vt:i4>1966128</vt:i4>
      </vt:variant>
      <vt:variant>
        <vt:i4>3085</vt:i4>
      </vt:variant>
      <vt:variant>
        <vt:i4>0</vt:i4>
      </vt:variant>
      <vt:variant>
        <vt:i4>5</vt:i4>
      </vt:variant>
      <vt:variant>
        <vt:lpwstr/>
      </vt:variant>
      <vt:variant>
        <vt:lpwstr>_Toc137039536</vt:lpwstr>
      </vt:variant>
      <vt:variant>
        <vt:i4>1966128</vt:i4>
      </vt:variant>
      <vt:variant>
        <vt:i4>3079</vt:i4>
      </vt:variant>
      <vt:variant>
        <vt:i4>0</vt:i4>
      </vt:variant>
      <vt:variant>
        <vt:i4>5</vt:i4>
      </vt:variant>
      <vt:variant>
        <vt:lpwstr/>
      </vt:variant>
      <vt:variant>
        <vt:lpwstr>_Toc137039535</vt:lpwstr>
      </vt:variant>
      <vt:variant>
        <vt:i4>1966128</vt:i4>
      </vt:variant>
      <vt:variant>
        <vt:i4>3073</vt:i4>
      </vt:variant>
      <vt:variant>
        <vt:i4>0</vt:i4>
      </vt:variant>
      <vt:variant>
        <vt:i4>5</vt:i4>
      </vt:variant>
      <vt:variant>
        <vt:lpwstr/>
      </vt:variant>
      <vt:variant>
        <vt:lpwstr>_Toc137039534</vt:lpwstr>
      </vt:variant>
      <vt:variant>
        <vt:i4>1966128</vt:i4>
      </vt:variant>
      <vt:variant>
        <vt:i4>3067</vt:i4>
      </vt:variant>
      <vt:variant>
        <vt:i4>0</vt:i4>
      </vt:variant>
      <vt:variant>
        <vt:i4>5</vt:i4>
      </vt:variant>
      <vt:variant>
        <vt:lpwstr/>
      </vt:variant>
      <vt:variant>
        <vt:lpwstr>_Toc137039533</vt:lpwstr>
      </vt:variant>
      <vt:variant>
        <vt:i4>1966128</vt:i4>
      </vt:variant>
      <vt:variant>
        <vt:i4>3061</vt:i4>
      </vt:variant>
      <vt:variant>
        <vt:i4>0</vt:i4>
      </vt:variant>
      <vt:variant>
        <vt:i4>5</vt:i4>
      </vt:variant>
      <vt:variant>
        <vt:lpwstr/>
      </vt:variant>
      <vt:variant>
        <vt:lpwstr>_Toc137039532</vt:lpwstr>
      </vt:variant>
      <vt:variant>
        <vt:i4>1966128</vt:i4>
      </vt:variant>
      <vt:variant>
        <vt:i4>3055</vt:i4>
      </vt:variant>
      <vt:variant>
        <vt:i4>0</vt:i4>
      </vt:variant>
      <vt:variant>
        <vt:i4>5</vt:i4>
      </vt:variant>
      <vt:variant>
        <vt:lpwstr/>
      </vt:variant>
      <vt:variant>
        <vt:lpwstr>_Toc137039531</vt:lpwstr>
      </vt:variant>
      <vt:variant>
        <vt:i4>1966128</vt:i4>
      </vt:variant>
      <vt:variant>
        <vt:i4>3049</vt:i4>
      </vt:variant>
      <vt:variant>
        <vt:i4>0</vt:i4>
      </vt:variant>
      <vt:variant>
        <vt:i4>5</vt:i4>
      </vt:variant>
      <vt:variant>
        <vt:lpwstr/>
      </vt:variant>
      <vt:variant>
        <vt:lpwstr>_Toc137039530</vt:lpwstr>
      </vt:variant>
      <vt:variant>
        <vt:i4>2031664</vt:i4>
      </vt:variant>
      <vt:variant>
        <vt:i4>3040</vt:i4>
      </vt:variant>
      <vt:variant>
        <vt:i4>0</vt:i4>
      </vt:variant>
      <vt:variant>
        <vt:i4>5</vt:i4>
      </vt:variant>
      <vt:variant>
        <vt:lpwstr/>
      </vt:variant>
      <vt:variant>
        <vt:lpwstr>_Toc137039529</vt:lpwstr>
      </vt:variant>
      <vt:variant>
        <vt:i4>2031664</vt:i4>
      </vt:variant>
      <vt:variant>
        <vt:i4>3034</vt:i4>
      </vt:variant>
      <vt:variant>
        <vt:i4>0</vt:i4>
      </vt:variant>
      <vt:variant>
        <vt:i4>5</vt:i4>
      </vt:variant>
      <vt:variant>
        <vt:lpwstr/>
      </vt:variant>
      <vt:variant>
        <vt:lpwstr>_Toc137039528</vt:lpwstr>
      </vt:variant>
      <vt:variant>
        <vt:i4>2031664</vt:i4>
      </vt:variant>
      <vt:variant>
        <vt:i4>3028</vt:i4>
      </vt:variant>
      <vt:variant>
        <vt:i4>0</vt:i4>
      </vt:variant>
      <vt:variant>
        <vt:i4>5</vt:i4>
      </vt:variant>
      <vt:variant>
        <vt:lpwstr/>
      </vt:variant>
      <vt:variant>
        <vt:lpwstr>_Toc137039527</vt:lpwstr>
      </vt:variant>
      <vt:variant>
        <vt:i4>2031664</vt:i4>
      </vt:variant>
      <vt:variant>
        <vt:i4>3022</vt:i4>
      </vt:variant>
      <vt:variant>
        <vt:i4>0</vt:i4>
      </vt:variant>
      <vt:variant>
        <vt:i4>5</vt:i4>
      </vt:variant>
      <vt:variant>
        <vt:lpwstr/>
      </vt:variant>
      <vt:variant>
        <vt:lpwstr>_Toc137039526</vt:lpwstr>
      </vt:variant>
      <vt:variant>
        <vt:i4>2031664</vt:i4>
      </vt:variant>
      <vt:variant>
        <vt:i4>3016</vt:i4>
      </vt:variant>
      <vt:variant>
        <vt:i4>0</vt:i4>
      </vt:variant>
      <vt:variant>
        <vt:i4>5</vt:i4>
      </vt:variant>
      <vt:variant>
        <vt:lpwstr/>
      </vt:variant>
      <vt:variant>
        <vt:lpwstr>_Toc137039525</vt:lpwstr>
      </vt:variant>
      <vt:variant>
        <vt:i4>2031664</vt:i4>
      </vt:variant>
      <vt:variant>
        <vt:i4>3010</vt:i4>
      </vt:variant>
      <vt:variant>
        <vt:i4>0</vt:i4>
      </vt:variant>
      <vt:variant>
        <vt:i4>5</vt:i4>
      </vt:variant>
      <vt:variant>
        <vt:lpwstr/>
      </vt:variant>
      <vt:variant>
        <vt:lpwstr>_Toc137039524</vt:lpwstr>
      </vt:variant>
      <vt:variant>
        <vt:i4>2031664</vt:i4>
      </vt:variant>
      <vt:variant>
        <vt:i4>3004</vt:i4>
      </vt:variant>
      <vt:variant>
        <vt:i4>0</vt:i4>
      </vt:variant>
      <vt:variant>
        <vt:i4>5</vt:i4>
      </vt:variant>
      <vt:variant>
        <vt:lpwstr/>
      </vt:variant>
      <vt:variant>
        <vt:lpwstr>_Toc137039523</vt:lpwstr>
      </vt:variant>
      <vt:variant>
        <vt:i4>2031664</vt:i4>
      </vt:variant>
      <vt:variant>
        <vt:i4>2998</vt:i4>
      </vt:variant>
      <vt:variant>
        <vt:i4>0</vt:i4>
      </vt:variant>
      <vt:variant>
        <vt:i4>5</vt:i4>
      </vt:variant>
      <vt:variant>
        <vt:lpwstr/>
      </vt:variant>
      <vt:variant>
        <vt:lpwstr>_Toc137039522</vt:lpwstr>
      </vt:variant>
      <vt:variant>
        <vt:i4>2031664</vt:i4>
      </vt:variant>
      <vt:variant>
        <vt:i4>2992</vt:i4>
      </vt:variant>
      <vt:variant>
        <vt:i4>0</vt:i4>
      </vt:variant>
      <vt:variant>
        <vt:i4>5</vt:i4>
      </vt:variant>
      <vt:variant>
        <vt:lpwstr/>
      </vt:variant>
      <vt:variant>
        <vt:lpwstr>_Toc137039521</vt:lpwstr>
      </vt:variant>
      <vt:variant>
        <vt:i4>2031664</vt:i4>
      </vt:variant>
      <vt:variant>
        <vt:i4>2986</vt:i4>
      </vt:variant>
      <vt:variant>
        <vt:i4>0</vt:i4>
      </vt:variant>
      <vt:variant>
        <vt:i4>5</vt:i4>
      </vt:variant>
      <vt:variant>
        <vt:lpwstr/>
      </vt:variant>
      <vt:variant>
        <vt:lpwstr>_Toc137039520</vt:lpwstr>
      </vt:variant>
      <vt:variant>
        <vt:i4>1835056</vt:i4>
      </vt:variant>
      <vt:variant>
        <vt:i4>2980</vt:i4>
      </vt:variant>
      <vt:variant>
        <vt:i4>0</vt:i4>
      </vt:variant>
      <vt:variant>
        <vt:i4>5</vt:i4>
      </vt:variant>
      <vt:variant>
        <vt:lpwstr/>
      </vt:variant>
      <vt:variant>
        <vt:lpwstr>_Toc137039519</vt:lpwstr>
      </vt:variant>
      <vt:variant>
        <vt:i4>1835056</vt:i4>
      </vt:variant>
      <vt:variant>
        <vt:i4>2974</vt:i4>
      </vt:variant>
      <vt:variant>
        <vt:i4>0</vt:i4>
      </vt:variant>
      <vt:variant>
        <vt:i4>5</vt:i4>
      </vt:variant>
      <vt:variant>
        <vt:lpwstr/>
      </vt:variant>
      <vt:variant>
        <vt:lpwstr>_Toc137039518</vt:lpwstr>
      </vt:variant>
      <vt:variant>
        <vt:i4>1835056</vt:i4>
      </vt:variant>
      <vt:variant>
        <vt:i4>2968</vt:i4>
      </vt:variant>
      <vt:variant>
        <vt:i4>0</vt:i4>
      </vt:variant>
      <vt:variant>
        <vt:i4>5</vt:i4>
      </vt:variant>
      <vt:variant>
        <vt:lpwstr/>
      </vt:variant>
      <vt:variant>
        <vt:lpwstr>_Toc137039517</vt:lpwstr>
      </vt:variant>
      <vt:variant>
        <vt:i4>1835056</vt:i4>
      </vt:variant>
      <vt:variant>
        <vt:i4>2962</vt:i4>
      </vt:variant>
      <vt:variant>
        <vt:i4>0</vt:i4>
      </vt:variant>
      <vt:variant>
        <vt:i4>5</vt:i4>
      </vt:variant>
      <vt:variant>
        <vt:lpwstr/>
      </vt:variant>
      <vt:variant>
        <vt:lpwstr>_Toc137039516</vt:lpwstr>
      </vt:variant>
      <vt:variant>
        <vt:i4>1835056</vt:i4>
      </vt:variant>
      <vt:variant>
        <vt:i4>2956</vt:i4>
      </vt:variant>
      <vt:variant>
        <vt:i4>0</vt:i4>
      </vt:variant>
      <vt:variant>
        <vt:i4>5</vt:i4>
      </vt:variant>
      <vt:variant>
        <vt:lpwstr/>
      </vt:variant>
      <vt:variant>
        <vt:lpwstr>_Toc137039515</vt:lpwstr>
      </vt:variant>
      <vt:variant>
        <vt:i4>1835056</vt:i4>
      </vt:variant>
      <vt:variant>
        <vt:i4>2950</vt:i4>
      </vt:variant>
      <vt:variant>
        <vt:i4>0</vt:i4>
      </vt:variant>
      <vt:variant>
        <vt:i4>5</vt:i4>
      </vt:variant>
      <vt:variant>
        <vt:lpwstr/>
      </vt:variant>
      <vt:variant>
        <vt:lpwstr>_Toc137039514</vt:lpwstr>
      </vt:variant>
      <vt:variant>
        <vt:i4>1835056</vt:i4>
      </vt:variant>
      <vt:variant>
        <vt:i4>2944</vt:i4>
      </vt:variant>
      <vt:variant>
        <vt:i4>0</vt:i4>
      </vt:variant>
      <vt:variant>
        <vt:i4>5</vt:i4>
      </vt:variant>
      <vt:variant>
        <vt:lpwstr/>
      </vt:variant>
      <vt:variant>
        <vt:lpwstr>_Toc137039513</vt:lpwstr>
      </vt:variant>
      <vt:variant>
        <vt:i4>1835056</vt:i4>
      </vt:variant>
      <vt:variant>
        <vt:i4>2938</vt:i4>
      </vt:variant>
      <vt:variant>
        <vt:i4>0</vt:i4>
      </vt:variant>
      <vt:variant>
        <vt:i4>5</vt:i4>
      </vt:variant>
      <vt:variant>
        <vt:lpwstr/>
      </vt:variant>
      <vt:variant>
        <vt:lpwstr>_Toc137039512</vt:lpwstr>
      </vt:variant>
      <vt:variant>
        <vt:i4>1835056</vt:i4>
      </vt:variant>
      <vt:variant>
        <vt:i4>2932</vt:i4>
      </vt:variant>
      <vt:variant>
        <vt:i4>0</vt:i4>
      </vt:variant>
      <vt:variant>
        <vt:i4>5</vt:i4>
      </vt:variant>
      <vt:variant>
        <vt:lpwstr/>
      </vt:variant>
      <vt:variant>
        <vt:lpwstr>_Toc137039511</vt:lpwstr>
      </vt:variant>
      <vt:variant>
        <vt:i4>1835056</vt:i4>
      </vt:variant>
      <vt:variant>
        <vt:i4>2926</vt:i4>
      </vt:variant>
      <vt:variant>
        <vt:i4>0</vt:i4>
      </vt:variant>
      <vt:variant>
        <vt:i4>5</vt:i4>
      </vt:variant>
      <vt:variant>
        <vt:lpwstr/>
      </vt:variant>
      <vt:variant>
        <vt:lpwstr>_Toc137039510</vt:lpwstr>
      </vt:variant>
      <vt:variant>
        <vt:i4>1900592</vt:i4>
      </vt:variant>
      <vt:variant>
        <vt:i4>2920</vt:i4>
      </vt:variant>
      <vt:variant>
        <vt:i4>0</vt:i4>
      </vt:variant>
      <vt:variant>
        <vt:i4>5</vt:i4>
      </vt:variant>
      <vt:variant>
        <vt:lpwstr/>
      </vt:variant>
      <vt:variant>
        <vt:lpwstr>_Toc137039509</vt:lpwstr>
      </vt:variant>
      <vt:variant>
        <vt:i4>1900592</vt:i4>
      </vt:variant>
      <vt:variant>
        <vt:i4>2914</vt:i4>
      </vt:variant>
      <vt:variant>
        <vt:i4>0</vt:i4>
      </vt:variant>
      <vt:variant>
        <vt:i4>5</vt:i4>
      </vt:variant>
      <vt:variant>
        <vt:lpwstr/>
      </vt:variant>
      <vt:variant>
        <vt:lpwstr>_Toc137039508</vt:lpwstr>
      </vt:variant>
      <vt:variant>
        <vt:i4>1900592</vt:i4>
      </vt:variant>
      <vt:variant>
        <vt:i4>2908</vt:i4>
      </vt:variant>
      <vt:variant>
        <vt:i4>0</vt:i4>
      </vt:variant>
      <vt:variant>
        <vt:i4>5</vt:i4>
      </vt:variant>
      <vt:variant>
        <vt:lpwstr/>
      </vt:variant>
      <vt:variant>
        <vt:lpwstr>_Toc137039507</vt:lpwstr>
      </vt:variant>
      <vt:variant>
        <vt:i4>1900592</vt:i4>
      </vt:variant>
      <vt:variant>
        <vt:i4>2902</vt:i4>
      </vt:variant>
      <vt:variant>
        <vt:i4>0</vt:i4>
      </vt:variant>
      <vt:variant>
        <vt:i4>5</vt:i4>
      </vt:variant>
      <vt:variant>
        <vt:lpwstr/>
      </vt:variant>
      <vt:variant>
        <vt:lpwstr>_Toc137039506</vt:lpwstr>
      </vt:variant>
      <vt:variant>
        <vt:i4>1900592</vt:i4>
      </vt:variant>
      <vt:variant>
        <vt:i4>2896</vt:i4>
      </vt:variant>
      <vt:variant>
        <vt:i4>0</vt:i4>
      </vt:variant>
      <vt:variant>
        <vt:i4>5</vt:i4>
      </vt:variant>
      <vt:variant>
        <vt:lpwstr/>
      </vt:variant>
      <vt:variant>
        <vt:lpwstr>_Toc137039505</vt:lpwstr>
      </vt:variant>
      <vt:variant>
        <vt:i4>1900592</vt:i4>
      </vt:variant>
      <vt:variant>
        <vt:i4>2890</vt:i4>
      </vt:variant>
      <vt:variant>
        <vt:i4>0</vt:i4>
      </vt:variant>
      <vt:variant>
        <vt:i4>5</vt:i4>
      </vt:variant>
      <vt:variant>
        <vt:lpwstr/>
      </vt:variant>
      <vt:variant>
        <vt:lpwstr>_Toc137039504</vt:lpwstr>
      </vt:variant>
      <vt:variant>
        <vt:i4>1900592</vt:i4>
      </vt:variant>
      <vt:variant>
        <vt:i4>2884</vt:i4>
      </vt:variant>
      <vt:variant>
        <vt:i4>0</vt:i4>
      </vt:variant>
      <vt:variant>
        <vt:i4>5</vt:i4>
      </vt:variant>
      <vt:variant>
        <vt:lpwstr/>
      </vt:variant>
      <vt:variant>
        <vt:lpwstr>_Toc137039503</vt:lpwstr>
      </vt:variant>
      <vt:variant>
        <vt:i4>1900592</vt:i4>
      </vt:variant>
      <vt:variant>
        <vt:i4>2878</vt:i4>
      </vt:variant>
      <vt:variant>
        <vt:i4>0</vt:i4>
      </vt:variant>
      <vt:variant>
        <vt:i4>5</vt:i4>
      </vt:variant>
      <vt:variant>
        <vt:lpwstr/>
      </vt:variant>
      <vt:variant>
        <vt:lpwstr>_Toc137039502</vt:lpwstr>
      </vt:variant>
      <vt:variant>
        <vt:i4>1900592</vt:i4>
      </vt:variant>
      <vt:variant>
        <vt:i4>2872</vt:i4>
      </vt:variant>
      <vt:variant>
        <vt:i4>0</vt:i4>
      </vt:variant>
      <vt:variant>
        <vt:i4>5</vt:i4>
      </vt:variant>
      <vt:variant>
        <vt:lpwstr/>
      </vt:variant>
      <vt:variant>
        <vt:lpwstr>_Toc137039501</vt:lpwstr>
      </vt:variant>
      <vt:variant>
        <vt:i4>1900592</vt:i4>
      </vt:variant>
      <vt:variant>
        <vt:i4>2866</vt:i4>
      </vt:variant>
      <vt:variant>
        <vt:i4>0</vt:i4>
      </vt:variant>
      <vt:variant>
        <vt:i4>5</vt:i4>
      </vt:variant>
      <vt:variant>
        <vt:lpwstr/>
      </vt:variant>
      <vt:variant>
        <vt:lpwstr>_Toc137039500</vt:lpwstr>
      </vt:variant>
      <vt:variant>
        <vt:i4>1310769</vt:i4>
      </vt:variant>
      <vt:variant>
        <vt:i4>2860</vt:i4>
      </vt:variant>
      <vt:variant>
        <vt:i4>0</vt:i4>
      </vt:variant>
      <vt:variant>
        <vt:i4>5</vt:i4>
      </vt:variant>
      <vt:variant>
        <vt:lpwstr/>
      </vt:variant>
      <vt:variant>
        <vt:lpwstr>_Toc137039499</vt:lpwstr>
      </vt:variant>
      <vt:variant>
        <vt:i4>1310769</vt:i4>
      </vt:variant>
      <vt:variant>
        <vt:i4>2854</vt:i4>
      </vt:variant>
      <vt:variant>
        <vt:i4>0</vt:i4>
      </vt:variant>
      <vt:variant>
        <vt:i4>5</vt:i4>
      </vt:variant>
      <vt:variant>
        <vt:lpwstr/>
      </vt:variant>
      <vt:variant>
        <vt:lpwstr>_Toc137039498</vt:lpwstr>
      </vt:variant>
      <vt:variant>
        <vt:i4>1310769</vt:i4>
      </vt:variant>
      <vt:variant>
        <vt:i4>2848</vt:i4>
      </vt:variant>
      <vt:variant>
        <vt:i4>0</vt:i4>
      </vt:variant>
      <vt:variant>
        <vt:i4>5</vt:i4>
      </vt:variant>
      <vt:variant>
        <vt:lpwstr/>
      </vt:variant>
      <vt:variant>
        <vt:lpwstr>_Toc137039497</vt:lpwstr>
      </vt:variant>
      <vt:variant>
        <vt:i4>1310769</vt:i4>
      </vt:variant>
      <vt:variant>
        <vt:i4>2842</vt:i4>
      </vt:variant>
      <vt:variant>
        <vt:i4>0</vt:i4>
      </vt:variant>
      <vt:variant>
        <vt:i4>5</vt:i4>
      </vt:variant>
      <vt:variant>
        <vt:lpwstr/>
      </vt:variant>
      <vt:variant>
        <vt:lpwstr>_Toc137039496</vt:lpwstr>
      </vt:variant>
      <vt:variant>
        <vt:i4>1310769</vt:i4>
      </vt:variant>
      <vt:variant>
        <vt:i4>2836</vt:i4>
      </vt:variant>
      <vt:variant>
        <vt:i4>0</vt:i4>
      </vt:variant>
      <vt:variant>
        <vt:i4>5</vt:i4>
      </vt:variant>
      <vt:variant>
        <vt:lpwstr/>
      </vt:variant>
      <vt:variant>
        <vt:lpwstr>_Toc137039495</vt:lpwstr>
      </vt:variant>
      <vt:variant>
        <vt:i4>1310769</vt:i4>
      </vt:variant>
      <vt:variant>
        <vt:i4>2830</vt:i4>
      </vt:variant>
      <vt:variant>
        <vt:i4>0</vt:i4>
      </vt:variant>
      <vt:variant>
        <vt:i4>5</vt:i4>
      </vt:variant>
      <vt:variant>
        <vt:lpwstr/>
      </vt:variant>
      <vt:variant>
        <vt:lpwstr>_Toc137039494</vt:lpwstr>
      </vt:variant>
      <vt:variant>
        <vt:i4>1310769</vt:i4>
      </vt:variant>
      <vt:variant>
        <vt:i4>2824</vt:i4>
      </vt:variant>
      <vt:variant>
        <vt:i4>0</vt:i4>
      </vt:variant>
      <vt:variant>
        <vt:i4>5</vt:i4>
      </vt:variant>
      <vt:variant>
        <vt:lpwstr/>
      </vt:variant>
      <vt:variant>
        <vt:lpwstr>_Toc137039493</vt:lpwstr>
      </vt:variant>
      <vt:variant>
        <vt:i4>1310769</vt:i4>
      </vt:variant>
      <vt:variant>
        <vt:i4>2818</vt:i4>
      </vt:variant>
      <vt:variant>
        <vt:i4>0</vt:i4>
      </vt:variant>
      <vt:variant>
        <vt:i4>5</vt:i4>
      </vt:variant>
      <vt:variant>
        <vt:lpwstr/>
      </vt:variant>
      <vt:variant>
        <vt:lpwstr>_Toc137039492</vt:lpwstr>
      </vt:variant>
      <vt:variant>
        <vt:i4>1310769</vt:i4>
      </vt:variant>
      <vt:variant>
        <vt:i4>2812</vt:i4>
      </vt:variant>
      <vt:variant>
        <vt:i4>0</vt:i4>
      </vt:variant>
      <vt:variant>
        <vt:i4>5</vt:i4>
      </vt:variant>
      <vt:variant>
        <vt:lpwstr/>
      </vt:variant>
      <vt:variant>
        <vt:lpwstr>_Toc137039491</vt:lpwstr>
      </vt:variant>
      <vt:variant>
        <vt:i4>1310769</vt:i4>
      </vt:variant>
      <vt:variant>
        <vt:i4>2806</vt:i4>
      </vt:variant>
      <vt:variant>
        <vt:i4>0</vt:i4>
      </vt:variant>
      <vt:variant>
        <vt:i4>5</vt:i4>
      </vt:variant>
      <vt:variant>
        <vt:lpwstr/>
      </vt:variant>
      <vt:variant>
        <vt:lpwstr>_Toc137039490</vt:lpwstr>
      </vt:variant>
      <vt:variant>
        <vt:i4>1376305</vt:i4>
      </vt:variant>
      <vt:variant>
        <vt:i4>2800</vt:i4>
      </vt:variant>
      <vt:variant>
        <vt:i4>0</vt:i4>
      </vt:variant>
      <vt:variant>
        <vt:i4>5</vt:i4>
      </vt:variant>
      <vt:variant>
        <vt:lpwstr/>
      </vt:variant>
      <vt:variant>
        <vt:lpwstr>_Toc137039489</vt:lpwstr>
      </vt:variant>
      <vt:variant>
        <vt:i4>1376305</vt:i4>
      </vt:variant>
      <vt:variant>
        <vt:i4>2794</vt:i4>
      </vt:variant>
      <vt:variant>
        <vt:i4>0</vt:i4>
      </vt:variant>
      <vt:variant>
        <vt:i4>5</vt:i4>
      </vt:variant>
      <vt:variant>
        <vt:lpwstr/>
      </vt:variant>
      <vt:variant>
        <vt:lpwstr>_Toc137039488</vt:lpwstr>
      </vt:variant>
      <vt:variant>
        <vt:i4>1376305</vt:i4>
      </vt:variant>
      <vt:variant>
        <vt:i4>2788</vt:i4>
      </vt:variant>
      <vt:variant>
        <vt:i4>0</vt:i4>
      </vt:variant>
      <vt:variant>
        <vt:i4>5</vt:i4>
      </vt:variant>
      <vt:variant>
        <vt:lpwstr/>
      </vt:variant>
      <vt:variant>
        <vt:lpwstr>_Toc137039487</vt:lpwstr>
      </vt:variant>
      <vt:variant>
        <vt:i4>1376305</vt:i4>
      </vt:variant>
      <vt:variant>
        <vt:i4>2782</vt:i4>
      </vt:variant>
      <vt:variant>
        <vt:i4>0</vt:i4>
      </vt:variant>
      <vt:variant>
        <vt:i4>5</vt:i4>
      </vt:variant>
      <vt:variant>
        <vt:lpwstr/>
      </vt:variant>
      <vt:variant>
        <vt:lpwstr>_Toc137039486</vt:lpwstr>
      </vt:variant>
      <vt:variant>
        <vt:i4>1376305</vt:i4>
      </vt:variant>
      <vt:variant>
        <vt:i4>2776</vt:i4>
      </vt:variant>
      <vt:variant>
        <vt:i4>0</vt:i4>
      </vt:variant>
      <vt:variant>
        <vt:i4>5</vt:i4>
      </vt:variant>
      <vt:variant>
        <vt:lpwstr/>
      </vt:variant>
      <vt:variant>
        <vt:lpwstr>_Toc137039485</vt:lpwstr>
      </vt:variant>
      <vt:variant>
        <vt:i4>1376305</vt:i4>
      </vt:variant>
      <vt:variant>
        <vt:i4>2770</vt:i4>
      </vt:variant>
      <vt:variant>
        <vt:i4>0</vt:i4>
      </vt:variant>
      <vt:variant>
        <vt:i4>5</vt:i4>
      </vt:variant>
      <vt:variant>
        <vt:lpwstr/>
      </vt:variant>
      <vt:variant>
        <vt:lpwstr>_Toc137039484</vt:lpwstr>
      </vt:variant>
      <vt:variant>
        <vt:i4>1376305</vt:i4>
      </vt:variant>
      <vt:variant>
        <vt:i4>2764</vt:i4>
      </vt:variant>
      <vt:variant>
        <vt:i4>0</vt:i4>
      </vt:variant>
      <vt:variant>
        <vt:i4>5</vt:i4>
      </vt:variant>
      <vt:variant>
        <vt:lpwstr/>
      </vt:variant>
      <vt:variant>
        <vt:lpwstr>_Toc137039483</vt:lpwstr>
      </vt:variant>
      <vt:variant>
        <vt:i4>1376305</vt:i4>
      </vt:variant>
      <vt:variant>
        <vt:i4>2758</vt:i4>
      </vt:variant>
      <vt:variant>
        <vt:i4>0</vt:i4>
      </vt:variant>
      <vt:variant>
        <vt:i4>5</vt:i4>
      </vt:variant>
      <vt:variant>
        <vt:lpwstr/>
      </vt:variant>
      <vt:variant>
        <vt:lpwstr>_Toc137039482</vt:lpwstr>
      </vt:variant>
      <vt:variant>
        <vt:i4>1376305</vt:i4>
      </vt:variant>
      <vt:variant>
        <vt:i4>2752</vt:i4>
      </vt:variant>
      <vt:variant>
        <vt:i4>0</vt:i4>
      </vt:variant>
      <vt:variant>
        <vt:i4>5</vt:i4>
      </vt:variant>
      <vt:variant>
        <vt:lpwstr/>
      </vt:variant>
      <vt:variant>
        <vt:lpwstr>_Toc137039481</vt:lpwstr>
      </vt:variant>
      <vt:variant>
        <vt:i4>1376305</vt:i4>
      </vt:variant>
      <vt:variant>
        <vt:i4>2746</vt:i4>
      </vt:variant>
      <vt:variant>
        <vt:i4>0</vt:i4>
      </vt:variant>
      <vt:variant>
        <vt:i4>5</vt:i4>
      </vt:variant>
      <vt:variant>
        <vt:lpwstr/>
      </vt:variant>
      <vt:variant>
        <vt:lpwstr>_Toc137039480</vt:lpwstr>
      </vt:variant>
      <vt:variant>
        <vt:i4>1703985</vt:i4>
      </vt:variant>
      <vt:variant>
        <vt:i4>2740</vt:i4>
      </vt:variant>
      <vt:variant>
        <vt:i4>0</vt:i4>
      </vt:variant>
      <vt:variant>
        <vt:i4>5</vt:i4>
      </vt:variant>
      <vt:variant>
        <vt:lpwstr/>
      </vt:variant>
      <vt:variant>
        <vt:lpwstr>_Toc137039479</vt:lpwstr>
      </vt:variant>
      <vt:variant>
        <vt:i4>1703985</vt:i4>
      </vt:variant>
      <vt:variant>
        <vt:i4>2734</vt:i4>
      </vt:variant>
      <vt:variant>
        <vt:i4>0</vt:i4>
      </vt:variant>
      <vt:variant>
        <vt:i4>5</vt:i4>
      </vt:variant>
      <vt:variant>
        <vt:lpwstr/>
      </vt:variant>
      <vt:variant>
        <vt:lpwstr>_Toc137039478</vt:lpwstr>
      </vt:variant>
      <vt:variant>
        <vt:i4>1703985</vt:i4>
      </vt:variant>
      <vt:variant>
        <vt:i4>2728</vt:i4>
      </vt:variant>
      <vt:variant>
        <vt:i4>0</vt:i4>
      </vt:variant>
      <vt:variant>
        <vt:i4>5</vt:i4>
      </vt:variant>
      <vt:variant>
        <vt:lpwstr/>
      </vt:variant>
      <vt:variant>
        <vt:lpwstr>_Toc137039477</vt:lpwstr>
      </vt:variant>
      <vt:variant>
        <vt:i4>1703985</vt:i4>
      </vt:variant>
      <vt:variant>
        <vt:i4>2722</vt:i4>
      </vt:variant>
      <vt:variant>
        <vt:i4>0</vt:i4>
      </vt:variant>
      <vt:variant>
        <vt:i4>5</vt:i4>
      </vt:variant>
      <vt:variant>
        <vt:lpwstr/>
      </vt:variant>
      <vt:variant>
        <vt:lpwstr>_Toc137039476</vt:lpwstr>
      </vt:variant>
      <vt:variant>
        <vt:i4>1703985</vt:i4>
      </vt:variant>
      <vt:variant>
        <vt:i4>2716</vt:i4>
      </vt:variant>
      <vt:variant>
        <vt:i4>0</vt:i4>
      </vt:variant>
      <vt:variant>
        <vt:i4>5</vt:i4>
      </vt:variant>
      <vt:variant>
        <vt:lpwstr/>
      </vt:variant>
      <vt:variant>
        <vt:lpwstr>_Toc137039475</vt:lpwstr>
      </vt:variant>
      <vt:variant>
        <vt:i4>1703985</vt:i4>
      </vt:variant>
      <vt:variant>
        <vt:i4>2710</vt:i4>
      </vt:variant>
      <vt:variant>
        <vt:i4>0</vt:i4>
      </vt:variant>
      <vt:variant>
        <vt:i4>5</vt:i4>
      </vt:variant>
      <vt:variant>
        <vt:lpwstr/>
      </vt:variant>
      <vt:variant>
        <vt:lpwstr>_Toc137039474</vt:lpwstr>
      </vt:variant>
      <vt:variant>
        <vt:i4>1703985</vt:i4>
      </vt:variant>
      <vt:variant>
        <vt:i4>2704</vt:i4>
      </vt:variant>
      <vt:variant>
        <vt:i4>0</vt:i4>
      </vt:variant>
      <vt:variant>
        <vt:i4>5</vt:i4>
      </vt:variant>
      <vt:variant>
        <vt:lpwstr/>
      </vt:variant>
      <vt:variant>
        <vt:lpwstr>_Toc137039473</vt:lpwstr>
      </vt:variant>
      <vt:variant>
        <vt:i4>1703985</vt:i4>
      </vt:variant>
      <vt:variant>
        <vt:i4>2698</vt:i4>
      </vt:variant>
      <vt:variant>
        <vt:i4>0</vt:i4>
      </vt:variant>
      <vt:variant>
        <vt:i4>5</vt:i4>
      </vt:variant>
      <vt:variant>
        <vt:lpwstr/>
      </vt:variant>
      <vt:variant>
        <vt:lpwstr>_Toc137039472</vt:lpwstr>
      </vt:variant>
      <vt:variant>
        <vt:i4>1703985</vt:i4>
      </vt:variant>
      <vt:variant>
        <vt:i4>2692</vt:i4>
      </vt:variant>
      <vt:variant>
        <vt:i4>0</vt:i4>
      </vt:variant>
      <vt:variant>
        <vt:i4>5</vt:i4>
      </vt:variant>
      <vt:variant>
        <vt:lpwstr/>
      </vt:variant>
      <vt:variant>
        <vt:lpwstr>_Toc137039471</vt:lpwstr>
      </vt:variant>
      <vt:variant>
        <vt:i4>1703985</vt:i4>
      </vt:variant>
      <vt:variant>
        <vt:i4>2686</vt:i4>
      </vt:variant>
      <vt:variant>
        <vt:i4>0</vt:i4>
      </vt:variant>
      <vt:variant>
        <vt:i4>5</vt:i4>
      </vt:variant>
      <vt:variant>
        <vt:lpwstr/>
      </vt:variant>
      <vt:variant>
        <vt:lpwstr>_Toc137039470</vt:lpwstr>
      </vt:variant>
      <vt:variant>
        <vt:i4>1769521</vt:i4>
      </vt:variant>
      <vt:variant>
        <vt:i4>2680</vt:i4>
      </vt:variant>
      <vt:variant>
        <vt:i4>0</vt:i4>
      </vt:variant>
      <vt:variant>
        <vt:i4>5</vt:i4>
      </vt:variant>
      <vt:variant>
        <vt:lpwstr/>
      </vt:variant>
      <vt:variant>
        <vt:lpwstr>_Toc137039469</vt:lpwstr>
      </vt:variant>
      <vt:variant>
        <vt:i4>1769521</vt:i4>
      </vt:variant>
      <vt:variant>
        <vt:i4>2674</vt:i4>
      </vt:variant>
      <vt:variant>
        <vt:i4>0</vt:i4>
      </vt:variant>
      <vt:variant>
        <vt:i4>5</vt:i4>
      </vt:variant>
      <vt:variant>
        <vt:lpwstr/>
      </vt:variant>
      <vt:variant>
        <vt:lpwstr>_Toc137039468</vt:lpwstr>
      </vt:variant>
      <vt:variant>
        <vt:i4>1769521</vt:i4>
      </vt:variant>
      <vt:variant>
        <vt:i4>2668</vt:i4>
      </vt:variant>
      <vt:variant>
        <vt:i4>0</vt:i4>
      </vt:variant>
      <vt:variant>
        <vt:i4>5</vt:i4>
      </vt:variant>
      <vt:variant>
        <vt:lpwstr/>
      </vt:variant>
      <vt:variant>
        <vt:lpwstr>_Toc137039467</vt:lpwstr>
      </vt:variant>
      <vt:variant>
        <vt:i4>1769521</vt:i4>
      </vt:variant>
      <vt:variant>
        <vt:i4>2662</vt:i4>
      </vt:variant>
      <vt:variant>
        <vt:i4>0</vt:i4>
      </vt:variant>
      <vt:variant>
        <vt:i4>5</vt:i4>
      </vt:variant>
      <vt:variant>
        <vt:lpwstr/>
      </vt:variant>
      <vt:variant>
        <vt:lpwstr>_Toc137039466</vt:lpwstr>
      </vt:variant>
      <vt:variant>
        <vt:i4>1769521</vt:i4>
      </vt:variant>
      <vt:variant>
        <vt:i4>2656</vt:i4>
      </vt:variant>
      <vt:variant>
        <vt:i4>0</vt:i4>
      </vt:variant>
      <vt:variant>
        <vt:i4>5</vt:i4>
      </vt:variant>
      <vt:variant>
        <vt:lpwstr/>
      </vt:variant>
      <vt:variant>
        <vt:lpwstr>_Toc137039465</vt:lpwstr>
      </vt:variant>
      <vt:variant>
        <vt:i4>1769521</vt:i4>
      </vt:variant>
      <vt:variant>
        <vt:i4>2650</vt:i4>
      </vt:variant>
      <vt:variant>
        <vt:i4>0</vt:i4>
      </vt:variant>
      <vt:variant>
        <vt:i4>5</vt:i4>
      </vt:variant>
      <vt:variant>
        <vt:lpwstr/>
      </vt:variant>
      <vt:variant>
        <vt:lpwstr>_Toc137039464</vt:lpwstr>
      </vt:variant>
      <vt:variant>
        <vt:i4>1769521</vt:i4>
      </vt:variant>
      <vt:variant>
        <vt:i4>2644</vt:i4>
      </vt:variant>
      <vt:variant>
        <vt:i4>0</vt:i4>
      </vt:variant>
      <vt:variant>
        <vt:i4>5</vt:i4>
      </vt:variant>
      <vt:variant>
        <vt:lpwstr/>
      </vt:variant>
      <vt:variant>
        <vt:lpwstr>_Toc137039463</vt:lpwstr>
      </vt:variant>
      <vt:variant>
        <vt:i4>1769521</vt:i4>
      </vt:variant>
      <vt:variant>
        <vt:i4>2638</vt:i4>
      </vt:variant>
      <vt:variant>
        <vt:i4>0</vt:i4>
      </vt:variant>
      <vt:variant>
        <vt:i4>5</vt:i4>
      </vt:variant>
      <vt:variant>
        <vt:lpwstr/>
      </vt:variant>
      <vt:variant>
        <vt:lpwstr>_Toc137039462</vt:lpwstr>
      </vt:variant>
      <vt:variant>
        <vt:i4>1769521</vt:i4>
      </vt:variant>
      <vt:variant>
        <vt:i4>2632</vt:i4>
      </vt:variant>
      <vt:variant>
        <vt:i4>0</vt:i4>
      </vt:variant>
      <vt:variant>
        <vt:i4>5</vt:i4>
      </vt:variant>
      <vt:variant>
        <vt:lpwstr/>
      </vt:variant>
      <vt:variant>
        <vt:lpwstr>_Toc137039461</vt:lpwstr>
      </vt:variant>
      <vt:variant>
        <vt:i4>1769521</vt:i4>
      </vt:variant>
      <vt:variant>
        <vt:i4>2626</vt:i4>
      </vt:variant>
      <vt:variant>
        <vt:i4>0</vt:i4>
      </vt:variant>
      <vt:variant>
        <vt:i4>5</vt:i4>
      </vt:variant>
      <vt:variant>
        <vt:lpwstr/>
      </vt:variant>
      <vt:variant>
        <vt:lpwstr>_Toc137039460</vt:lpwstr>
      </vt:variant>
      <vt:variant>
        <vt:i4>1572913</vt:i4>
      </vt:variant>
      <vt:variant>
        <vt:i4>2620</vt:i4>
      </vt:variant>
      <vt:variant>
        <vt:i4>0</vt:i4>
      </vt:variant>
      <vt:variant>
        <vt:i4>5</vt:i4>
      </vt:variant>
      <vt:variant>
        <vt:lpwstr/>
      </vt:variant>
      <vt:variant>
        <vt:lpwstr>_Toc137039459</vt:lpwstr>
      </vt:variant>
      <vt:variant>
        <vt:i4>1572913</vt:i4>
      </vt:variant>
      <vt:variant>
        <vt:i4>2614</vt:i4>
      </vt:variant>
      <vt:variant>
        <vt:i4>0</vt:i4>
      </vt:variant>
      <vt:variant>
        <vt:i4>5</vt:i4>
      </vt:variant>
      <vt:variant>
        <vt:lpwstr/>
      </vt:variant>
      <vt:variant>
        <vt:lpwstr>_Toc137039458</vt:lpwstr>
      </vt:variant>
      <vt:variant>
        <vt:i4>1572913</vt:i4>
      </vt:variant>
      <vt:variant>
        <vt:i4>2608</vt:i4>
      </vt:variant>
      <vt:variant>
        <vt:i4>0</vt:i4>
      </vt:variant>
      <vt:variant>
        <vt:i4>5</vt:i4>
      </vt:variant>
      <vt:variant>
        <vt:lpwstr/>
      </vt:variant>
      <vt:variant>
        <vt:lpwstr>_Toc137039457</vt:lpwstr>
      </vt:variant>
      <vt:variant>
        <vt:i4>1572913</vt:i4>
      </vt:variant>
      <vt:variant>
        <vt:i4>2602</vt:i4>
      </vt:variant>
      <vt:variant>
        <vt:i4>0</vt:i4>
      </vt:variant>
      <vt:variant>
        <vt:i4>5</vt:i4>
      </vt:variant>
      <vt:variant>
        <vt:lpwstr/>
      </vt:variant>
      <vt:variant>
        <vt:lpwstr>_Toc137039456</vt:lpwstr>
      </vt:variant>
      <vt:variant>
        <vt:i4>1572913</vt:i4>
      </vt:variant>
      <vt:variant>
        <vt:i4>2596</vt:i4>
      </vt:variant>
      <vt:variant>
        <vt:i4>0</vt:i4>
      </vt:variant>
      <vt:variant>
        <vt:i4>5</vt:i4>
      </vt:variant>
      <vt:variant>
        <vt:lpwstr/>
      </vt:variant>
      <vt:variant>
        <vt:lpwstr>_Toc137039455</vt:lpwstr>
      </vt:variant>
      <vt:variant>
        <vt:i4>1572913</vt:i4>
      </vt:variant>
      <vt:variant>
        <vt:i4>2590</vt:i4>
      </vt:variant>
      <vt:variant>
        <vt:i4>0</vt:i4>
      </vt:variant>
      <vt:variant>
        <vt:i4>5</vt:i4>
      </vt:variant>
      <vt:variant>
        <vt:lpwstr/>
      </vt:variant>
      <vt:variant>
        <vt:lpwstr>_Toc137039454</vt:lpwstr>
      </vt:variant>
      <vt:variant>
        <vt:i4>1572913</vt:i4>
      </vt:variant>
      <vt:variant>
        <vt:i4>2584</vt:i4>
      </vt:variant>
      <vt:variant>
        <vt:i4>0</vt:i4>
      </vt:variant>
      <vt:variant>
        <vt:i4>5</vt:i4>
      </vt:variant>
      <vt:variant>
        <vt:lpwstr/>
      </vt:variant>
      <vt:variant>
        <vt:lpwstr>_Toc137039453</vt:lpwstr>
      </vt:variant>
      <vt:variant>
        <vt:i4>1572913</vt:i4>
      </vt:variant>
      <vt:variant>
        <vt:i4>2578</vt:i4>
      </vt:variant>
      <vt:variant>
        <vt:i4>0</vt:i4>
      </vt:variant>
      <vt:variant>
        <vt:i4>5</vt:i4>
      </vt:variant>
      <vt:variant>
        <vt:lpwstr/>
      </vt:variant>
      <vt:variant>
        <vt:lpwstr>_Toc137039452</vt:lpwstr>
      </vt:variant>
      <vt:variant>
        <vt:i4>1572913</vt:i4>
      </vt:variant>
      <vt:variant>
        <vt:i4>2572</vt:i4>
      </vt:variant>
      <vt:variant>
        <vt:i4>0</vt:i4>
      </vt:variant>
      <vt:variant>
        <vt:i4>5</vt:i4>
      </vt:variant>
      <vt:variant>
        <vt:lpwstr/>
      </vt:variant>
      <vt:variant>
        <vt:lpwstr>_Toc137039451</vt:lpwstr>
      </vt:variant>
      <vt:variant>
        <vt:i4>1572913</vt:i4>
      </vt:variant>
      <vt:variant>
        <vt:i4>2566</vt:i4>
      </vt:variant>
      <vt:variant>
        <vt:i4>0</vt:i4>
      </vt:variant>
      <vt:variant>
        <vt:i4>5</vt:i4>
      </vt:variant>
      <vt:variant>
        <vt:lpwstr/>
      </vt:variant>
      <vt:variant>
        <vt:lpwstr>_Toc137039450</vt:lpwstr>
      </vt:variant>
      <vt:variant>
        <vt:i4>1638449</vt:i4>
      </vt:variant>
      <vt:variant>
        <vt:i4>2560</vt:i4>
      </vt:variant>
      <vt:variant>
        <vt:i4>0</vt:i4>
      </vt:variant>
      <vt:variant>
        <vt:i4>5</vt:i4>
      </vt:variant>
      <vt:variant>
        <vt:lpwstr/>
      </vt:variant>
      <vt:variant>
        <vt:lpwstr>_Toc137039449</vt:lpwstr>
      </vt:variant>
      <vt:variant>
        <vt:i4>1638449</vt:i4>
      </vt:variant>
      <vt:variant>
        <vt:i4>2554</vt:i4>
      </vt:variant>
      <vt:variant>
        <vt:i4>0</vt:i4>
      </vt:variant>
      <vt:variant>
        <vt:i4>5</vt:i4>
      </vt:variant>
      <vt:variant>
        <vt:lpwstr/>
      </vt:variant>
      <vt:variant>
        <vt:lpwstr>_Toc137039448</vt:lpwstr>
      </vt:variant>
      <vt:variant>
        <vt:i4>1638449</vt:i4>
      </vt:variant>
      <vt:variant>
        <vt:i4>2548</vt:i4>
      </vt:variant>
      <vt:variant>
        <vt:i4>0</vt:i4>
      </vt:variant>
      <vt:variant>
        <vt:i4>5</vt:i4>
      </vt:variant>
      <vt:variant>
        <vt:lpwstr/>
      </vt:variant>
      <vt:variant>
        <vt:lpwstr>_Toc137039447</vt:lpwstr>
      </vt:variant>
      <vt:variant>
        <vt:i4>1638449</vt:i4>
      </vt:variant>
      <vt:variant>
        <vt:i4>2542</vt:i4>
      </vt:variant>
      <vt:variant>
        <vt:i4>0</vt:i4>
      </vt:variant>
      <vt:variant>
        <vt:i4>5</vt:i4>
      </vt:variant>
      <vt:variant>
        <vt:lpwstr/>
      </vt:variant>
      <vt:variant>
        <vt:lpwstr>_Toc137039446</vt:lpwstr>
      </vt:variant>
      <vt:variant>
        <vt:i4>1638449</vt:i4>
      </vt:variant>
      <vt:variant>
        <vt:i4>2536</vt:i4>
      </vt:variant>
      <vt:variant>
        <vt:i4>0</vt:i4>
      </vt:variant>
      <vt:variant>
        <vt:i4>5</vt:i4>
      </vt:variant>
      <vt:variant>
        <vt:lpwstr/>
      </vt:variant>
      <vt:variant>
        <vt:lpwstr>_Toc137039445</vt:lpwstr>
      </vt:variant>
      <vt:variant>
        <vt:i4>1638449</vt:i4>
      </vt:variant>
      <vt:variant>
        <vt:i4>2530</vt:i4>
      </vt:variant>
      <vt:variant>
        <vt:i4>0</vt:i4>
      </vt:variant>
      <vt:variant>
        <vt:i4>5</vt:i4>
      </vt:variant>
      <vt:variant>
        <vt:lpwstr/>
      </vt:variant>
      <vt:variant>
        <vt:lpwstr>_Toc137039444</vt:lpwstr>
      </vt:variant>
      <vt:variant>
        <vt:i4>1638449</vt:i4>
      </vt:variant>
      <vt:variant>
        <vt:i4>2524</vt:i4>
      </vt:variant>
      <vt:variant>
        <vt:i4>0</vt:i4>
      </vt:variant>
      <vt:variant>
        <vt:i4>5</vt:i4>
      </vt:variant>
      <vt:variant>
        <vt:lpwstr/>
      </vt:variant>
      <vt:variant>
        <vt:lpwstr>_Toc137039443</vt:lpwstr>
      </vt:variant>
      <vt:variant>
        <vt:i4>1638449</vt:i4>
      </vt:variant>
      <vt:variant>
        <vt:i4>2518</vt:i4>
      </vt:variant>
      <vt:variant>
        <vt:i4>0</vt:i4>
      </vt:variant>
      <vt:variant>
        <vt:i4>5</vt:i4>
      </vt:variant>
      <vt:variant>
        <vt:lpwstr/>
      </vt:variant>
      <vt:variant>
        <vt:lpwstr>_Toc137039442</vt:lpwstr>
      </vt:variant>
      <vt:variant>
        <vt:i4>1638449</vt:i4>
      </vt:variant>
      <vt:variant>
        <vt:i4>2512</vt:i4>
      </vt:variant>
      <vt:variant>
        <vt:i4>0</vt:i4>
      </vt:variant>
      <vt:variant>
        <vt:i4>5</vt:i4>
      </vt:variant>
      <vt:variant>
        <vt:lpwstr/>
      </vt:variant>
      <vt:variant>
        <vt:lpwstr>_Toc137039441</vt:lpwstr>
      </vt:variant>
      <vt:variant>
        <vt:i4>1638449</vt:i4>
      </vt:variant>
      <vt:variant>
        <vt:i4>2506</vt:i4>
      </vt:variant>
      <vt:variant>
        <vt:i4>0</vt:i4>
      </vt:variant>
      <vt:variant>
        <vt:i4>5</vt:i4>
      </vt:variant>
      <vt:variant>
        <vt:lpwstr/>
      </vt:variant>
      <vt:variant>
        <vt:lpwstr>_Toc137039440</vt:lpwstr>
      </vt:variant>
      <vt:variant>
        <vt:i4>1966129</vt:i4>
      </vt:variant>
      <vt:variant>
        <vt:i4>2500</vt:i4>
      </vt:variant>
      <vt:variant>
        <vt:i4>0</vt:i4>
      </vt:variant>
      <vt:variant>
        <vt:i4>5</vt:i4>
      </vt:variant>
      <vt:variant>
        <vt:lpwstr/>
      </vt:variant>
      <vt:variant>
        <vt:lpwstr>_Toc137039439</vt:lpwstr>
      </vt:variant>
      <vt:variant>
        <vt:i4>1966129</vt:i4>
      </vt:variant>
      <vt:variant>
        <vt:i4>2494</vt:i4>
      </vt:variant>
      <vt:variant>
        <vt:i4>0</vt:i4>
      </vt:variant>
      <vt:variant>
        <vt:i4>5</vt:i4>
      </vt:variant>
      <vt:variant>
        <vt:lpwstr/>
      </vt:variant>
      <vt:variant>
        <vt:lpwstr>_Toc137039438</vt:lpwstr>
      </vt:variant>
      <vt:variant>
        <vt:i4>1966129</vt:i4>
      </vt:variant>
      <vt:variant>
        <vt:i4>2488</vt:i4>
      </vt:variant>
      <vt:variant>
        <vt:i4>0</vt:i4>
      </vt:variant>
      <vt:variant>
        <vt:i4>5</vt:i4>
      </vt:variant>
      <vt:variant>
        <vt:lpwstr/>
      </vt:variant>
      <vt:variant>
        <vt:lpwstr>_Toc137039437</vt:lpwstr>
      </vt:variant>
      <vt:variant>
        <vt:i4>1966129</vt:i4>
      </vt:variant>
      <vt:variant>
        <vt:i4>2482</vt:i4>
      </vt:variant>
      <vt:variant>
        <vt:i4>0</vt:i4>
      </vt:variant>
      <vt:variant>
        <vt:i4>5</vt:i4>
      </vt:variant>
      <vt:variant>
        <vt:lpwstr/>
      </vt:variant>
      <vt:variant>
        <vt:lpwstr>_Toc137039436</vt:lpwstr>
      </vt:variant>
      <vt:variant>
        <vt:i4>1966129</vt:i4>
      </vt:variant>
      <vt:variant>
        <vt:i4>2476</vt:i4>
      </vt:variant>
      <vt:variant>
        <vt:i4>0</vt:i4>
      </vt:variant>
      <vt:variant>
        <vt:i4>5</vt:i4>
      </vt:variant>
      <vt:variant>
        <vt:lpwstr/>
      </vt:variant>
      <vt:variant>
        <vt:lpwstr>_Toc137039435</vt:lpwstr>
      </vt:variant>
      <vt:variant>
        <vt:i4>1966129</vt:i4>
      </vt:variant>
      <vt:variant>
        <vt:i4>2470</vt:i4>
      </vt:variant>
      <vt:variant>
        <vt:i4>0</vt:i4>
      </vt:variant>
      <vt:variant>
        <vt:i4>5</vt:i4>
      </vt:variant>
      <vt:variant>
        <vt:lpwstr/>
      </vt:variant>
      <vt:variant>
        <vt:lpwstr>_Toc137039434</vt:lpwstr>
      </vt:variant>
      <vt:variant>
        <vt:i4>1966129</vt:i4>
      </vt:variant>
      <vt:variant>
        <vt:i4>2464</vt:i4>
      </vt:variant>
      <vt:variant>
        <vt:i4>0</vt:i4>
      </vt:variant>
      <vt:variant>
        <vt:i4>5</vt:i4>
      </vt:variant>
      <vt:variant>
        <vt:lpwstr/>
      </vt:variant>
      <vt:variant>
        <vt:lpwstr>_Toc137039433</vt:lpwstr>
      </vt:variant>
      <vt:variant>
        <vt:i4>1966129</vt:i4>
      </vt:variant>
      <vt:variant>
        <vt:i4>2458</vt:i4>
      </vt:variant>
      <vt:variant>
        <vt:i4>0</vt:i4>
      </vt:variant>
      <vt:variant>
        <vt:i4>5</vt:i4>
      </vt:variant>
      <vt:variant>
        <vt:lpwstr/>
      </vt:variant>
      <vt:variant>
        <vt:lpwstr>_Toc137039432</vt:lpwstr>
      </vt:variant>
      <vt:variant>
        <vt:i4>1966129</vt:i4>
      </vt:variant>
      <vt:variant>
        <vt:i4>2452</vt:i4>
      </vt:variant>
      <vt:variant>
        <vt:i4>0</vt:i4>
      </vt:variant>
      <vt:variant>
        <vt:i4>5</vt:i4>
      </vt:variant>
      <vt:variant>
        <vt:lpwstr/>
      </vt:variant>
      <vt:variant>
        <vt:lpwstr>_Toc137039431</vt:lpwstr>
      </vt:variant>
      <vt:variant>
        <vt:i4>1966129</vt:i4>
      </vt:variant>
      <vt:variant>
        <vt:i4>2446</vt:i4>
      </vt:variant>
      <vt:variant>
        <vt:i4>0</vt:i4>
      </vt:variant>
      <vt:variant>
        <vt:i4>5</vt:i4>
      </vt:variant>
      <vt:variant>
        <vt:lpwstr/>
      </vt:variant>
      <vt:variant>
        <vt:lpwstr>_Toc137039430</vt:lpwstr>
      </vt:variant>
      <vt:variant>
        <vt:i4>2031665</vt:i4>
      </vt:variant>
      <vt:variant>
        <vt:i4>2440</vt:i4>
      </vt:variant>
      <vt:variant>
        <vt:i4>0</vt:i4>
      </vt:variant>
      <vt:variant>
        <vt:i4>5</vt:i4>
      </vt:variant>
      <vt:variant>
        <vt:lpwstr/>
      </vt:variant>
      <vt:variant>
        <vt:lpwstr>_Toc137039429</vt:lpwstr>
      </vt:variant>
      <vt:variant>
        <vt:i4>2031665</vt:i4>
      </vt:variant>
      <vt:variant>
        <vt:i4>2434</vt:i4>
      </vt:variant>
      <vt:variant>
        <vt:i4>0</vt:i4>
      </vt:variant>
      <vt:variant>
        <vt:i4>5</vt:i4>
      </vt:variant>
      <vt:variant>
        <vt:lpwstr/>
      </vt:variant>
      <vt:variant>
        <vt:lpwstr>_Toc137039428</vt:lpwstr>
      </vt:variant>
      <vt:variant>
        <vt:i4>2031665</vt:i4>
      </vt:variant>
      <vt:variant>
        <vt:i4>2428</vt:i4>
      </vt:variant>
      <vt:variant>
        <vt:i4>0</vt:i4>
      </vt:variant>
      <vt:variant>
        <vt:i4>5</vt:i4>
      </vt:variant>
      <vt:variant>
        <vt:lpwstr/>
      </vt:variant>
      <vt:variant>
        <vt:lpwstr>_Toc137039427</vt:lpwstr>
      </vt:variant>
      <vt:variant>
        <vt:i4>2031665</vt:i4>
      </vt:variant>
      <vt:variant>
        <vt:i4>2422</vt:i4>
      </vt:variant>
      <vt:variant>
        <vt:i4>0</vt:i4>
      </vt:variant>
      <vt:variant>
        <vt:i4>5</vt:i4>
      </vt:variant>
      <vt:variant>
        <vt:lpwstr/>
      </vt:variant>
      <vt:variant>
        <vt:lpwstr>_Toc137039426</vt:lpwstr>
      </vt:variant>
      <vt:variant>
        <vt:i4>2031665</vt:i4>
      </vt:variant>
      <vt:variant>
        <vt:i4>2416</vt:i4>
      </vt:variant>
      <vt:variant>
        <vt:i4>0</vt:i4>
      </vt:variant>
      <vt:variant>
        <vt:i4>5</vt:i4>
      </vt:variant>
      <vt:variant>
        <vt:lpwstr/>
      </vt:variant>
      <vt:variant>
        <vt:lpwstr>_Toc137039425</vt:lpwstr>
      </vt:variant>
      <vt:variant>
        <vt:i4>2031665</vt:i4>
      </vt:variant>
      <vt:variant>
        <vt:i4>2410</vt:i4>
      </vt:variant>
      <vt:variant>
        <vt:i4>0</vt:i4>
      </vt:variant>
      <vt:variant>
        <vt:i4>5</vt:i4>
      </vt:variant>
      <vt:variant>
        <vt:lpwstr/>
      </vt:variant>
      <vt:variant>
        <vt:lpwstr>_Toc137039424</vt:lpwstr>
      </vt:variant>
      <vt:variant>
        <vt:i4>2031665</vt:i4>
      </vt:variant>
      <vt:variant>
        <vt:i4>2404</vt:i4>
      </vt:variant>
      <vt:variant>
        <vt:i4>0</vt:i4>
      </vt:variant>
      <vt:variant>
        <vt:i4>5</vt:i4>
      </vt:variant>
      <vt:variant>
        <vt:lpwstr/>
      </vt:variant>
      <vt:variant>
        <vt:lpwstr>_Toc137039423</vt:lpwstr>
      </vt:variant>
      <vt:variant>
        <vt:i4>2031665</vt:i4>
      </vt:variant>
      <vt:variant>
        <vt:i4>2398</vt:i4>
      </vt:variant>
      <vt:variant>
        <vt:i4>0</vt:i4>
      </vt:variant>
      <vt:variant>
        <vt:i4>5</vt:i4>
      </vt:variant>
      <vt:variant>
        <vt:lpwstr/>
      </vt:variant>
      <vt:variant>
        <vt:lpwstr>_Toc137039422</vt:lpwstr>
      </vt:variant>
      <vt:variant>
        <vt:i4>2031665</vt:i4>
      </vt:variant>
      <vt:variant>
        <vt:i4>2392</vt:i4>
      </vt:variant>
      <vt:variant>
        <vt:i4>0</vt:i4>
      </vt:variant>
      <vt:variant>
        <vt:i4>5</vt:i4>
      </vt:variant>
      <vt:variant>
        <vt:lpwstr/>
      </vt:variant>
      <vt:variant>
        <vt:lpwstr>_Toc137039421</vt:lpwstr>
      </vt:variant>
      <vt:variant>
        <vt:i4>2031665</vt:i4>
      </vt:variant>
      <vt:variant>
        <vt:i4>2386</vt:i4>
      </vt:variant>
      <vt:variant>
        <vt:i4>0</vt:i4>
      </vt:variant>
      <vt:variant>
        <vt:i4>5</vt:i4>
      </vt:variant>
      <vt:variant>
        <vt:lpwstr/>
      </vt:variant>
      <vt:variant>
        <vt:lpwstr>_Toc137039420</vt:lpwstr>
      </vt:variant>
      <vt:variant>
        <vt:i4>1835057</vt:i4>
      </vt:variant>
      <vt:variant>
        <vt:i4>2380</vt:i4>
      </vt:variant>
      <vt:variant>
        <vt:i4>0</vt:i4>
      </vt:variant>
      <vt:variant>
        <vt:i4>5</vt:i4>
      </vt:variant>
      <vt:variant>
        <vt:lpwstr/>
      </vt:variant>
      <vt:variant>
        <vt:lpwstr>_Toc137039419</vt:lpwstr>
      </vt:variant>
      <vt:variant>
        <vt:i4>1835057</vt:i4>
      </vt:variant>
      <vt:variant>
        <vt:i4>2374</vt:i4>
      </vt:variant>
      <vt:variant>
        <vt:i4>0</vt:i4>
      </vt:variant>
      <vt:variant>
        <vt:i4>5</vt:i4>
      </vt:variant>
      <vt:variant>
        <vt:lpwstr/>
      </vt:variant>
      <vt:variant>
        <vt:lpwstr>_Toc137039418</vt:lpwstr>
      </vt:variant>
      <vt:variant>
        <vt:i4>1835057</vt:i4>
      </vt:variant>
      <vt:variant>
        <vt:i4>2368</vt:i4>
      </vt:variant>
      <vt:variant>
        <vt:i4>0</vt:i4>
      </vt:variant>
      <vt:variant>
        <vt:i4>5</vt:i4>
      </vt:variant>
      <vt:variant>
        <vt:lpwstr/>
      </vt:variant>
      <vt:variant>
        <vt:lpwstr>_Toc137039417</vt:lpwstr>
      </vt:variant>
      <vt:variant>
        <vt:i4>1835057</vt:i4>
      </vt:variant>
      <vt:variant>
        <vt:i4>2362</vt:i4>
      </vt:variant>
      <vt:variant>
        <vt:i4>0</vt:i4>
      </vt:variant>
      <vt:variant>
        <vt:i4>5</vt:i4>
      </vt:variant>
      <vt:variant>
        <vt:lpwstr/>
      </vt:variant>
      <vt:variant>
        <vt:lpwstr>_Toc137039416</vt:lpwstr>
      </vt:variant>
      <vt:variant>
        <vt:i4>1835057</vt:i4>
      </vt:variant>
      <vt:variant>
        <vt:i4>2356</vt:i4>
      </vt:variant>
      <vt:variant>
        <vt:i4>0</vt:i4>
      </vt:variant>
      <vt:variant>
        <vt:i4>5</vt:i4>
      </vt:variant>
      <vt:variant>
        <vt:lpwstr/>
      </vt:variant>
      <vt:variant>
        <vt:lpwstr>_Toc137039415</vt:lpwstr>
      </vt:variant>
      <vt:variant>
        <vt:i4>1835057</vt:i4>
      </vt:variant>
      <vt:variant>
        <vt:i4>2350</vt:i4>
      </vt:variant>
      <vt:variant>
        <vt:i4>0</vt:i4>
      </vt:variant>
      <vt:variant>
        <vt:i4>5</vt:i4>
      </vt:variant>
      <vt:variant>
        <vt:lpwstr/>
      </vt:variant>
      <vt:variant>
        <vt:lpwstr>_Toc137039414</vt:lpwstr>
      </vt:variant>
      <vt:variant>
        <vt:i4>1835057</vt:i4>
      </vt:variant>
      <vt:variant>
        <vt:i4>2344</vt:i4>
      </vt:variant>
      <vt:variant>
        <vt:i4>0</vt:i4>
      </vt:variant>
      <vt:variant>
        <vt:i4>5</vt:i4>
      </vt:variant>
      <vt:variant>
        <vt:lpwstr/>
      </vt:variant>
      <vt:variant>
        <vt:lpwstr>_Toc137039413</vt:lpwstr>
      </vt:variant>
      <vt:variant>
        <vt:i4>1835057</vt:i4>
      </vt:variant>
      <vt:variant>
        <vt:i4>2338</vt:i4>
      </vt:variant>
      <vt:variant>
        <vt:i4>0</vt:i4>
      </vt:variant>
      <vt:variant>
        <vt:i4>5</vt:i4>
      </vt:variant>
      <vt:variant>
        <vt:lpwstr/>
      </vt:variant>
      <vt:variant>
        <vt:lpwstr>_Toc137039412</vt:lpwstr>
      </vt:variant>
      <vt:variant>
        <vt:i4>1835057</vt:i4>
      </vt:variant>
      <vt:variant>
        <vt:i4>2332</vt:i4>
      </vt:variant>
      <vt:variant>
        <vt:i4>0</vt:i4>
      </vt:variant>
      <vt:variant>
        <vt:i4>5</vt:i4>
      </vt:variant>
      <vt:variant>
        <vt:lpwstr/>
      </vt:variant>
      <vt:variant>
        <vt:lpwstr>_Toc137039411</vt:lpwstr>
      </vt:variant>
      <vt:variant>
        <vt:i4>1835057</vt:i4>
      </vt:variant>
      <vt:variant>
        <vt:i4>2326</vt:i4>
      </vt:variant>
      <vt:variant>
        <vt:i4>0</vt:i4>
      </vt:variant>
      <vt:variant>
        <vt:i4>5</vt:i4>
      </vt:variant>
      <vt:variant>
        <vt:lpwstr/>
      </vt:variant>
      <vt:variant>
        <vt:lpwstr>_Toc137039410</vt:lpwstr>
      </vt:variant>
      <vt:variant>
        <vt:i4>1900593</vt:i4>
      </vt:variant>
      <vt:variant>
        <vt:i4>2320</vt:i4>
      </vt:variant>
      <vt:variant>
        <vt:i4>0</vt:i4>
      </vt:variant>
      <vt:variant>
        <vt:i4>5</vt:i4>
      </vt:variant>
      <vt:variant>
        <vt:lpwstr/>
      </vt:variant>
      <vt:variant>
        <vt:lpwstr>_Toc137039409</vt:lpwstr>
      </vt:variant>
      <vt:variant>
        <vt:i4>1900593</vt:i4>
      </vt:variant>
      <vt:variant>
        <vt:i4>2314</vt:i4>
      </vt:variant>
      <vt:variant>
        <vt:i4>0</vt:i4>
      </vt:variant>
      <vt:variant>
        <vt:i4>5</vt:i4>
      </vt:variant>
      <vt:variant>
        <vt:lpwstr/>
      </vt:variant>
      <vt:variant>
        <vt:lpwstr>_Toc137039408</vt:lpwstr>
      </vt:variant>
      <vt:variant>
        <vt:i4>1900593</vt:i4>
      </vt:variant>
      <vt:variant>
        <vt:i4>2308</vt:i4>
      </vt:variant>
      <vt:variant>
        <vt:i4>0</vt:i4>
      </vt:variant>
      <vt:variant>
        <vt:i4>5</vt:i4>
      </vt:variant>
      <vt:variant>
        <vt:lpwstr/>
      </vt:variant>
      <vt:variant>
        <vt:lpwstr>_Toc137039407</vt:lpwstr>
      </vt:variant>
      <vt:variant>
        <vt:i4>1900593</vt:i4>
      </vt:variant>
      <vt:variant>
        <vt:i4>2302</vt:i4>
      </vt:variant>
      <vt:variant>
        <vt:i4>0</vt:i4>
      </vt:variant>
      <vt:variant>
        <vt:i4>5</vt:i4>
      </vt:variant>
      <vt:variant>
        <vt:lpwstr/>
      </vt:variant>
      <vt:variant>
        <vt:lpwstr>_Toc137039406</vt:lpwstr>
      </vt:variant>
      <vt:variant>
        <vt:i4>1900593</vt:i4>
      </vt:variant>
      <vt:variant>
        <vt:i4>2296</vt:i4>
      </vt:variant>
      <vt:variant>
        <vt:i4>0</vt:i4>
      </vt:variant>
      <vt:variant>
        <vt:i4>5</vt:i4>
      </vt:variant>
      <vt:variant>
        <vt:lpwstr/>
      </vt:variant>
      <vt:variant>
        <vt:lpwstr>_Toc137039405</vt:lpwstr>
      </vt:variant>
      <vt:variant>
        <vt:i4>1900593</vt:i4>
      </vt:variant>
      <vt:variant>
        <vt:i4>2290</vt:i4>
      </vt:variant>
      <vt:variant>
        <vt:i4>0</vt:i4>
      </vt:variant>
      <vt:variant>
        <vt:i4>5</vt:i4>
      </vt:variant>
      <vt:variant>
        <vt:lpwstr/>
      </vt:variant>
      <vt:variant>
        <vt:lpwstr>_Toc137039404</vt:lpwstr>
      </vt:variant>
      <vt:variant>
        <vt:i4>1900593</vt:i4>
      </vt:variant>
      <vt:variant>
        <vt:i4>2284</vt:i4>
      </vt:variant>
      <vt:variant>
        <vt:i4>0</vt:i4>
      </vt:variant>
      <vt:variant>
        <vt:i4>5</vt:i4>
      </vt:variant>
      <vt:variant>
        <vt:lpwstr/>
      </vt:variant>
      <vt:variant>
        <vt:lpwstr>_Toc137039403</vt:lpwstr>
      </vt:variant>
      <vt:variant>
        <vt:i4>1900593</vt:i4>
      </vt:variant>
      <vt:variant>
        <vt:i4>2278</vt:i4>
      </vt:variant>
      <vt:variant>
        <vt:i4>0</vt:i4>
      </vt:variant>
      <vt:variant>
        <vt:i4>5</vt:i4>
      </vt:variant>
      <vt:variant>
        <vt:lpwstr/>
      </vt:variant>
      <vt:variant>
        <vt:lpwstr>_Toc137039402</vt:lpwstr>
      </vt:variant>
      <vt:variant>
        <vt:i4>1900593</vt:i4>
      </vt:variant>
      <vt:variant>
        <vt:i4>2272</vt:i4>
      </vt:variant>
      <vt:variant>
        <vt:i4>0</vt:i4>
      </vt:variant>
      <vt:variant>
        <vt:i4>5</vt:i4>
      </vt:variant>
      <vt:variant>
        <vt:lpwstr/>
      </vt:variant>
      <vt:variant>
        <vt:lpwstr>_Toc137039401</vt:lpwstr>
      </vt:variant>
      <vt:variant>
        <vt:i4>1900593</vt:i4>
      </vt:variant>
      <vt:variant>
        <vt:i4>2266</vt:i4>
      </vt:variant>
      <vt:variant>
        <vt:i4>0</vt:i4>
      </vt:variant>
      <vt:variant>
        <vt:i4>5</vt:i4>
      </vt:variant>
      <vt:variant>
        <vt:lpwstr/>
      </vt:variant>
      <vt:variant>
        <vt:lpwstr>_Toc137039400</vt:lpwstr>
      </vt:variant>
      <vt:variant>
        <vt:i4>1310774</vt:i4>
      </vt:variant>
      <vt:variant>
        <vt:i4>2260</vt:i4>
      </vt:variant>
      <vt:variant>
        <vt:i4>0</vt:i4>
      </vt:variant>
      <vt:variant>
        <vt:i4>5</vt:i4>
      </vt:variant>
      <vt:variant>
        <vt:lpwstr/>
      </vt:variant>
      <vt:variant>
        <vt:lpwstr>_Toc137039399</vt:lpwstr>
      </vt:variant>
      <vt:variant>
        <vt:i4>1310774</vt:i4>
      </vt:variant>
      <vt:variant>
        <vt:i4>2254</vt:i4>
      </vt:variant>
      <vt:variant>
        <vt:i4>0</vt:i4>
      </vt:variant>
      <vt:variant>
        <vt:i4>5</vt:i4>
      </vt:variant>
      <vt:variant>
        <vt:lpwstr/>
      </vt:variant>
      <vt:variant>
        <vt:lpwstr>_Toc137039398</vt:lpwstr>
      </vt:variant>
      <vt:variant>
        <vt:i4>1310774</vt:i4>
      </vt:variant>
      <vt:variant>
        <vt:i4>2248</vt:i4>
      </vt:variant>
      <vt:variant>
        <vt:i4>0</vt:i4>
      </vt:variant>
      <vt:variant>
        <vt:i4>5</vt:i4>
      </vt:variant>
      <vt:variant>
        <vt:lpwstr/>
      </vt:variant>
      <vt:variant>
        <vt:lpwstr>_Toc137039397</vt:lpwstr>
      </vt:variant>
      <vt:variant>
        <vt:i4>1310774</vt:i4>
      </vt:variant>
      <vt:variant>
        <vt:i4>2242</vt:i4>
      </vt:variant>
      <vt:variant>
        <vt:i4>0</vt:i4>
      </vt:variant>
      <vt:variant>
        <vt:i4>5</vt:i4>
      </vt:variant>
      <vt:variant>
        <vt:lpwstr/>
      </vt:variant>
      <vt:variant>
        <vt:lpwstr>_Toc137039396</vt:lpwstr>
      </vt:variant>
      <vt:variant>
        <vt:i4>1310774</vt:i4>
      </vt:variant>
      <vt:variant>
        <vt:i4>2236</vt:i4>
      </vt:variant>
      <vt:variant>
        <vt:i4>0</vt:i4>
      </vt:variant>
      <vt:variant>
        <vt:i4>5</vt:i4>
      </vt:variant>
      <vt:variant>
        <vt:lpwstr/>
      </vt:variant>
      <vt:variant>
        <vt:lpwstr>_Toc137039395</vt:lpwstr>
      </vt:variant>
      <vt:variant>
        <vt:i4>1310774</vt:i4>
      </vt:variant>
      <vt:variant>
        <vt:i4>2230</vt:i4>
      </vt:variant>
      <vt:variant>
        <vt:i4>0</vt:i4>
      </vt:variant>
      <vt:variant>
        <vt:i4>5</vt:i4>
      </vt:variant>
      <vt:variant>
        <vt:lpwstr/>
      </vt:variant>
      <vt:variant>
        <vt:lpwstr>_Toc137039394</vt:lpwstr>
      </vt:variant>
      <vt:variant>
        <vt:i4>1310774</vt:i4>
      </vt:variant>
      <vt:variant>
        <vt:i4>2224</vt:i4>
      </vt:variant>
      <vt:variant>
        <vt:i4>0</vt:i4>
      </vt:variant>
      <vt:variant>
        <vt:i4>5</vt:i4>
      </vt:variant>
      <vt:variant>
        <vt:lpwstr/>
      </vt:variant>
      <vt:variant>
        <vt:lpwstr>_Toc137039393</vt:lpwstr>
      </vt:variant>
      <vt:variant>
        <vt:i4>1310774</vt:i4>
      </vt:variant>
      <vt:variant>
        <vt:i4>2218</vt:i4>
      </vt:variant>
      <vt:variant>
        <vt:i4>0</vt:i4>
      </vt:variant>
      <vt:variant>
        <vt:i4>5</vt:i4>
      </vt:variant>
      <vt:variant>
        <vt:lpwstr/>
      </vt:variant>
      <vt:variant>
        <vt:lpwstr>_Toc137039392</vt:lpwstr>
      </vt:variant>
      <vt:variant>
        <vt:i4>1310774</vt:i4>
      </vt:variant>
      <vt:variant>
        <vt:i4>2212</vt:i4>
      </vt:variant>
      <vt:variant>
        <vt:i4>0</vt:i4>
      </vt:variant>
      <vt:variant>
        <vt:i4>5</vt:i4>
      </vt:variant>
      <vt:variant>
        <vt:lpwstr/>
      </vt:variant>
      <vt:variant>
        <vt:lpwstr>_Toc137039391</vt:lpwstr>
      </vt:variant>
      <vt:variant>
        <vt:i4>1310774</vt:i4>
      </vt:variant>
      <vt:variant>
        <vt:i4>2206</vt:i4>
      </vt:variant>
      <vt:variant>
        <vt:i4>0</vt:i4>
      </vt:variant>
      <vt:variant>
        <vt:i4>5</vt:i4>
      </vt:variant>
      <vt:variant>
        <vt:lpwstr/>
      </vt:variant>
      <vt:variant>
        <vt:lpwstr>_Toc137039390</vt:lpwstr>
      </vt:variant>
      <vt:variant>
        <vt:i4>4128826</vt:i4>
      </vt:variant>
      <vt:variant>
        <vt:i4>2198</vt:i4>
      </vt:variant>
      <vt:variant>
        <vt:i4>0</vt:i4>
      </vt:variant>
      <vt:variant>
        <vt:i4>5</vt:i4>
      </vt:variant>
      <vt:variant>
        <vt:lpwstr>https://www.un.org/africarenewal/magazine/december-2017-march-2018/protectionist-ban-imported-used-clothing</vt:lpwstr>
      </vt:variant>
      <vt:variant>
        <vt:lpwstr/>
      </vt:variant>
      <vt:variant>
        <vt:i4>5832708</vt:i4>
      </vt:variant>
      <vt:variant>
        <vt:i4>2195</vt:i4>
      </vt:variant>
      <vt:variant>
        <vt:i4>0</vt:i4>
      </vt:variant>
      <vt:variant>
        <vt:i4>5</vt:i4>
      </vt:variant>
      <vt:variant>
        <vt:lpwstr>https://theexchange.africa/industry-and-trade/africa-second-hand-clothes-imports-ban/</vt:lpwstr>
      </vt:variant>
      <vt:variant>
        <vt:lpwstr/>
      </vt:variant>
      <vt:variant>
        <vt:i4>3080233</vt:i4>
      </vt:variant>
      <vt:variant>
        <vt:i4>2192</vt:i4>
      </vt:variant>
      <vt:variant>
        <vt:i4>0</vt:i4>
      </vt:variant>
      <vt:variant>
        <vt:i4>5</vt:i4>
      </vt:variant>
      <vt:variant>
        <vt:lpwstr>https://theconversation.com/do-you-shop-for-second-hand-clothes-youre-likely-to-be-more-stylish-180028</vt:lpwstr>
      </vt:variant>
      <vt:variant>
        <vt:lpwstr/>
      </vt:variant>
      <vt:variant>
        <vt:i4>5767195</vt:i4>
      </vt:variant>
      <vt:variant>
        <vt:i4>2189</vt:i4>
      </vt:variant>
      <vt:variant>
        <vt:i4>0</vt:i4>
      </vt:variant>
      <vt:variant>
        <vt:i4>5</vt:i4>
      </vt:variant>
      <vt:variant>
        <vt:lpwstr>https://www.statista.com/statistics/417674/eu-european-union-textile-clothing-household-consumption/</vt:lpwstr>
      </vt:variant>
      <vt:variant>
        <vt:lpwstr/>
      </vt:variant>
      <vt:variant>
        <vt:i4>7864353</vt:i4>
      </vt:variant>
      <vt:variant>
        <vt:i4>2186</vt:i4>
      </vt:variant>
      <vt:variant>
        <vt:i4>0</vt:i4>
      </vt:variant>
      <vt:variant>
        <vt:i4>5</vt:i4>
      </vt:variant>
      <vt:variant>
        <vt:lpwstr>https://www.statista.com/forecasts/890785/e-commerce-revenue-in-europe-fashion-by-segments</vt:lpwstr>
      </vt:variant>
      <vt:variant>
        <vt:lpwstr/>
      </vt:variant>
      <vt:variant>
        <vt:i4>4915249</vt:i4>
      </vt:variant>
      <vt:variant>
        <vt:i4>2183</vt:i4>
      </vt:variant>
      <vt:variant>
        <vt:i4>0</vt:i4>
      </vt:variant>
      <vt:variant>
        <vt:i4>5</vt:i4>
      </vt:variant>
      <vt:variant>
        <vt:lpwstr>https://sswm.info/sites/default/files/reference_attachments/SHAKIH 2009 Water conservation in the textile industry.pdf</vt:lpwstr>
      </vt:variant>
      <vt:variant>
        <vt:lpwstr/>
      </vt:variant>
      <vt:variant>
        <vt:i4>7143531</vt:i4>
      </vt:variant>
      <vt:variant>
        <vt:i4>2180</vt:i4>
      </vt:variant>
      <vt:variant>
        <vt:i4>0</vt:i4>
      </vt:variant>
      <vt:variant>
        <vt:i4>5</vt:i4>
      </vt:variant>
      <vt:variant>
        <vt:lpwstr>https://www.sciencedirect.com/science/article/pii/B9781845699390500022</vt:lpwstr>
      </vt:variant>
      <vt:variant>
        <vt:lpwstr>section-cited-by</vt:lpwstr>
      </vt:variant>
      <vt:variant>
        <vt:i4>3604605</vt:i4>
      </vt:variant>
      <vt:variant>
        <vt:i4>2177</vt:i4>
      </vt:variant>
      <vt:variant>
        <vt:i4>0</vt:i4>
      </vt:variant>
      <vt:variant>
        <vt:i4>5</vt:i4>
      </vt:variant>
      <vt:variant>
        <vt:lpwstr>https://www.sciencedirect.com/science/article/pii/S0959652618305985</vt:lpwstr>
      </vt:variant>
      <vt:variant>
        <vt:lpwstr>bib21</vt:lpwstr>
      </vt:variant>
      <vt:variant>
        <vt:i4>2424930</vt:i4>
      </vt:variant>
      <vt:variant>
        <vt:i4>2174</vt:i4>
      </vt:variant>
      <vt:variant>
        <vt:i4>0</vt:i4>
      </vt:variant>
      <vt:variant>
        <vt:i4>5</vt:i4>
      </vt:variant>
      <vt:variant>
        <vt:lpwstr>https://www.textile.fr/actualite/recycle-plateforme-digitale-de-mise-en-relation-des-acteurs-du-recyclage-de-refashion</vt:lpwstr>
      </vt:variant>
      <vt:variant>
        <vt:lpwstr/>
      </vt:variant>
      <vt:variant>
        <vt:i4>3604518</vt:i4>
      </vt:variant>
      <vt:variant>
        <vt:i4>2171</vt:i4>
      </vt:variant>
      <vt:variant>
        <vt:i4>0</vt:i4>
      </vt:variant>
      <vt:variant>
        <vt:i4>5</vt:i4>
      </vt:variant>
      <vt:variant>
        <vt:lpwstr>https://refashion.fr/pro/en/press-releases</vt:lpwstr>
      </vt:variant>
      <vt:variant>
        <vt:lpwstr/>
      </vt:variant>
      <vt:variant>
        <vt:i4>8126513</vt:i4>
      </vt:variant>
      <vt:variant>
        <vt:i4>2168</vt:i4>
      </vt:variant>
      <vt:variant>
        <vt:i4>0</vt:i4>
      </vt:variant>
      <vt:variant>
        <vt:i4>5</vt:i4>
      </vt:variant>
      <vt:variant>
        <vt:lpwstr>https://www.recycling-magazine.com/2021/02/18/worlds-first-fully-automated-textile-sorting-plant-in-malmo/</vt:lpwstr>
      </vt:variant>
      <vt:variant>
        <vt:lpwstr/>
      </vt:variant>
      <vt:variant>
        <vt:i4>2424876</vt:i4>
      </vt:variant>
      <vt:variant>
        <vt:i4>2165</vt:i4>
      </vt:variant>
      <vt:variant>
        <vt:i4>0</vt:i4>
      </vt:variant>
      <vt:variant>
        <vt:i4>5</vt:i4>
      </vt:variant>
      <vt:variant>
        <vt:lpwstr>https://www.oecd.org/development-cooperation-learning/practices/dynamic/dcd-best-practices/89276a44/pdf/germany-supports-sustainable-textile-production.pdf</vt:lpwstr>
      </vt:variant>
      <vt:variant>
        <vt:lpwstr/>
      </vt:variant>
      <vt:variant>
        <vt:i4>6225950</vt:i4>
      </vt:variant>
      <vt:variant>
        <vt:i4>2162</vt:i4>
      </vt:variant>
      <vt:variant>
        <vt:i4>0</vt:i4>
      </vt:variant>
      <vt:variant>
        <vt:i4>5</vt:i4>
      </vt:variant>
      <vt:variant>
        <vt:lpwstr>https://www.nrdc.org/issues/encourage-textile-manufacturers-reduce-pollution</vt:lpwstr>
      </vt:variant>
      <vt:variant>
        <vt:lpwstr/>
      </vt:variant>
      <vt:variant>
        <vt:i4>6029315</vt:i4>
      </vt:variant>
      <vt:variant>
        <vt:i4>2159</vt:i4>
      </vt:variant>
      <vt:variant>
        <vt:i4>0</vt:i4>
      </vt:variant>
      <vt:variant>
        <vt:i4>5</vt:i4>
      </vt:variant>
      <vt:variant>
        <vt:lpwstr>https://www.worldatlas.com/articles/top-10-textile-importing-countries-in-the-world.html.</vt:lpwstr>
      </vt:variant>
      <vt:variant>
        <vt:lpwstr/>
      </vt:variant>
      <vt:variant>
        <vt:i4>7012476</vt:i4>
      </vt:variant>
      <vt:variant>
        <vt:i4>2156</vt:i4>
      </vt:variant>
      <vt:variant>
        <vt:i4>0</vt:i4>
      </vt:variant>
      <vt:variant>
        <vt:i4>5</vt:i4>
      </vt:variant>
      <vt:variant>
        <vt:lpwstr>https://www.mdpi.com/2071-1050/13/24/13732/pdf</vt:lpwstr>
      </vt:variant>
      <vt:variant>
        <vt:lpwstr/>
      </vt:variant>
      <vt:variant>
        <vt:i4>7143479</vt:i4>
      </vt:variant>
      <vt:variant>
        <vt:i4>2153</vt:i4>
      </vt:variant>
      <vt:variant>
        <vt:i4>0</vt:i4>
      </vt:variant>
      <vt:variant>
        <vt:i4>5</vt:i4>
      </vt:variant>
      <vt:variant>
        <vt:lpwstr>https://www.mckinsey.com/~/media/mckinsey/industries/retail/our insights/fashion on climate/fashion-on-climate-full-report.pdf</vt:lpwstr>
      </vt:variant>
      <vt:variant>
        <vt:lpwstr/>
      </vt:variant>
      <vt:variant>
        <vt:i4>5767171</vt:i4>
      </vt:variant>
      <vt:variant>
        <vt:i4>2150</vt:i4>
      </vt:variant>
      <vt:variant>
        <vt:i4>0</vt:i4>
      </vt:variant>
      <vt:variant>
        <vt:i4>5</vt:i4>
      </vt:variant>
      <vt:variant>
        <vt:lpwstr>https://greencitizen.com/blog/shoe-recycling/</vt:lpwstr>
      </vt:variant>
      <vt:variant>
        <vt:lpwstr/>
      </vt:variant>
      <vt:variant>
        <vt:i4>7864427</vt:i4>
      </vt:variant>
      <vt:variant>
        <vt:i4>2147</vt:i4>
      </vt:variant>
      <vt:variant>
        <vt:i4>0</vt:i4>
      </vt:variant>
      <vt:variant>
        <vt:i4>5</vt:i4>
      </vt:variant>
      <vt:variant>
        <vt:lpwstr>https://lesjoyeuxrecycleurs.com/news/tapis/</vt:lpwstr>
      </vt:variant>
      <vt:variant>
        <vt:lpwstr/>
      </vt:variant>
      <vt:variant>
        <vt:i4>458818</vt:i4>
      </vt:variant>
      <vt:variant>
        <vt:i4>2144</vt:i4>
      </vt:variant>
      <vt:variant>
        <vt:i4>0</vt:i4>
      </vt:variant>
      <vt:variant>
        <vt:i4>5</vt:i4>
      </vt:variant>
      <vt:variant>
        <vt:lpwstr>https://publications.jrc.ec.europa.eu/repository/handle/JRC125110</vt:lpwstr>
      </vt:variant>
      <vt:variant>
        <vt:lpwstr/>
      </vt:variant>
      <vt:variant>
        <vt:i4>8257595</vt:i4>
      </vt:variant>
      <vt:variant>
        <vt:i4>2141</vt:i4>
      </vt:variant>
      <vt:variant>
        <vt:i4>0</vt:i4>
      </vt:variant>
      <vt:variant>
        <vt:i4>5</vt:i4>
      </vt:variant>
      <vt:variant>
        <vt:lpwstr>https://doi.org/10.1016/j.jclepro.2020.122951.</vt:lpwstr>
      </vt:variant>
      <vt:variant>
        <vt:lpwstr/>
      </vt:variant>
      <vt:variant>
        <vt:i4>7667823</vt:i4>
      </vt:variant>
      <vt:variant>
        <vt:i4>2138</vt:i4>
      </vt:variant>
      <vt:variant>
        <vt:i4>0</vt:i4>
      </vt:variant>
      <vt:variant>
        <vt:i4>5</vt:i4>
      </vt:variant>
      <vt:variant>
        <vt:lpwstr>https://www.dailymail.co.uk/news/article-10450221/Dumped-Atacama-desert-mountain-discarded-cheap-clothes-West.html</vt:lpwstr>
      </vt:variant>
      <vt:variant>
        <vt:lpwstr/>
      </vt:variant>
      <vt:variant>
        <vt:i4>3211307</vt:i4>
      </vt:variant>
      <vt:variant>
        <vt:i4>2135</vt:i4>
      </vt:variant>
      <vt:variant>
        <vt:i4>0</vt:i4>
      </vt:variant>
      <vt:variant>
        <vt:i4>5</vt:i4>
      </vt:variant>
      <vt:variant>
        <vt:lpwstr>https://www.naturvardsverket.se/contentassets/be04327b5a874955a5402d4f663d1632/webinar-collaborative-study-chemicals-recycled-textiles-hm-ikea.pdf.</vt:lpwstr>
      </vt:variant>
      <vt:variant>
        <vt:lpwstr/>
      </vt:variant>
      <vt:variant>
        <vt:i4>4915219</vt:i4>
      </vt:variant>
      <vt:variant>
        <vt:i4>2132</vt:i4>
      </vt:variant>
      <vt:variant>
        <vt:i4>0</vt:i4>
      </vt:variant>
      <vt:variant>
        <vt:i4>5</vt:i4>
      </vt:variant>
      <vt:variant>
        <vt:lpwstr>https://www.nrdc.org/sites/default/files/cbd-to-scale-report.pdf</vt:lpwstr>
      </vt:variant>
      <vt:variant>
        <vt:lpwstr/>
      </vt:variant>
      <vt:variant>
        <vt:i4>4128808</vt:i4>
      </vt:variant>
      <vt:variant>
        <vt:i4>2129</vt:i4>
      </vt:variant>
      <vt:variant>
        <vt:i4>0</vt:i4>
      </vt:variant>
      <vt:variant>
        <vt:i4>5</vt:i4>
      </vt:variant>
      <vt:variant>
        <vt:lpwstr>https://www.greenpeace.org/static/planet4-international-stateless/2022/04/9f50d3de-greenpeace-germany-poisoned-fast-fashion-briefing-factsheet-april-2022.pdf.</vt:lpwstr>
      </vt:variant>
      <vt:variant>
        <vt:lpwstr/>
      </vt:variant>
      <vt:variant>
        <vt:i4>7995449</vt:i4>
      </vt:variant>
      <vt:variant>
        <vt:i4>2126</vt:i4>
      </vt:variant>
      <vt:variant>
        <vt:i4>0</vt:i4>
      </vt:variant>
      <vt:variant>
        <vt:i4>5</vt:i4>
      </vt:variant>
      <vt:variant>
        <vt:lpwstr>https://www.globalfashionagenda.com/publications-and-policy/pulse-of-the-industry/</vt:lpwstr>
      </vt:variant>
      <vt:variant>
        <vt:lpwstr/>
      </vt:variant>
      <vt:variant>
        <vt:i4>3604605</vt:i4>
      </vt:variant>
      <vt:variant>
        <vt:i4>2123</vt:i4>
      </vt:variant>
      <vt:variant>
        <vt:i4>0</vt:i4>
      </vt:variant>
      <vt:variant>
        <vt:i4>5</vt:i4>
      </vt:variant>
      <vt:variant>
        <vt:lpwstr>https://www.sciencedirect.com/science/article/pii/S0959652618305985</vt:lpwstr>
      </vt:variant>
      <vt:variant>
        <vt:lpwstr>bib21</vt:lpwstr>
      </vt:variant>
      <vt:variant>
        <vt:i4>2883687</vt:i4>
      </vt:variant>
      <vt:variant>
        <vt:i4>2120</vt:i4>
      </vt:variant>
      <vt:variant>
        <vt:i4>0</vt:i4>
      </vt:variant>
      <vt:variant>
        <vt:i4>5</vt:i4>
      </vt:variant>
      <vt:variant>
        <vt:lpwstr>https://doi.org/10.1007/s11367-010-0197-y.</vt:lpwstr>
      </vt:variant>
      <vt:variant>
        <vt:lpwstr/>
      </vt:variant>
      <vt:variant>
        <vt:i4>5701705</vt:i4>
      </vt:variant>
      <vt:variant>
        <vt:i4>2117</vt:i4>
      </vt:variant>
      <vt:variant>
        <vt:i4>0</vt:i4>
      </vt:variant>
      <vt:variant>
        <vt:i4>5</vt:i4>
      </vt:variant>
      <vt:variant>
        <vt:lpwstr>https://ec.europa.eu/eurostat/web/prodcom</vt:lpwstr>
      </vt:variant>
      <vt:variant>
        <vt:lpwstr/>
      </vt:variant>
      <vt:variant>
        <vt:i4>2162768</vt:i4>
      </vt:variant>
      <vt:variant>
        <vt:i4>2114</vt:i4>
      </vt:variant>
      <vt:variant>
        <vt:i4>0</vt:i4>
      </vt:variant>
      <vt:variant>
        <vt:i4>5</vt:i4>
      </vt:variant>
      <vt:variant>
        <vt:lpwstr>https://ec.europa.eu/eurostat/statistics-explained/index.php?title=E-commerce_statistics_for_individuals</vt:lpwstr>
      </vt:variant>
      <vt:variant>
        <vt:lpwstr/>
      </vt:variant>
      <vt:variant>
        <vt:i4>3801188</vt:i4>
      </vt:variant>
      <vt:variant>
        <vt:i4>2111</vt:i4>
      </vt:variant>
      <vt:variant>
        <vt:i4>0</vt:i4>
      </vt:variant>
      <vt:variant>
        <vt:i4>5</vt:i4>
      </vt:variant>
      <vt:variant>
        <vt:lpwstr>https://ec.europa.eu/eurostat/documents/342366/351806/Guidance-on-EWCStat-categories-2010.pdf/0e7cd3fc-c05c-47a7-818f-1c2421e55604.</vt:lpwstr>
      </vt:variant>
      <vt:variant>
        <vt:lpwstr/>
      </vt:variant>
      <vt:variant>
        <vt:i4>7078011</vt:i4>
      </vt:variant>
      <vt:variant>
        <vt:i4>2108</vt:i4>
      </vt:variant>
      <vt:variant>
        <vt:i4>0</vt:i4>
      </vt:variant>
      <vt:variant>
        <vt:i4>5</vt:i4>
      </vt:variant>
      <vt:variant>
        <vt:lpwstr>https://ec.europa.eu/eurostat/documents/342366/351811/Guidance+on+municipal+waste+data+collection/</vt:lpwstr>
      </vt:variant>
      <vt:variant>
        <vt:lpwstr/>
      </vt:variant>
      <vt:variant>
        <vt:i4>4194382</vt:i4>
      </vt:variant>
      <vt:variant>
        <vt:i4>2105</vt:i4>
      </vt:variant>
      <vt:variant>
        <vt:i4>0</vt:i4>
      </vt:variant>
      <vt:variant>
        <vt:i4>5</vt:i4>
      </vt:variant>
      <vt:variant>
        <vt:lpwstr>https://www.europarl.europa.eu/news/en/headlines/society/20201208STO93327/the-impact-of-textile-production-and-waste-on-the-environment-infographic.</vt:lpwstr>
      </vt:variant>
      <vt:variant>
        <vt:lpwstr/>
      </vt:variant>
      <vt:variant>
        <vt:i4>5898287</vt:i4>
      </vt:variant>
      <vt:variant>
        <vt:i4>2102</vt:i4>
      </vt:variant>
      <vt:variant>
        <vt:i4>0</vt:i4>
      </vt:variant>
      <vt:variant>
        <vt:i4>5</vt:i4>
      </vt:variant>
      <vt:variant>
        <vt:lpwstr>https://www.europarl.europa.eu/thinktank/en/document/EPRS_BRI(2019)633143.</vt:lpwstr>
      </vt:variant>
      <vt:variant>
        <vt:lpwstr/>
      </vt:variant>
      <vt:variant>
        <vt:i4>3080226</vt:i4>
      </vt:variant>
      <vt:variant>
        <vt:i4>2099</vt:i4>
      </vt:variant>
      <vt:variant>
        <vt:i4>0</vt:i4>
      </vt:variant>
      <vt:variant>
        <vt:i4>5</vt:i4>
      </vt:variant>
      <vt:variant>
        <vt:lpwstr>https://www.eea.europa.eu/themes/waste/waste-prevention</vt:lpwstr>
      </vt:variant>
      <vt:variant>
        <vt:lpwstr/>
      </vt:variant>
      <vt:variant>
        <vt:i4>3539070</vt:i4>
      </vt:variant>
      <vt:variant>
        <vt:i4>2096</vt:i4>
      </vt:variant>
      <vt:variant>
        <vt:i4>0</vt:i4>
      </vt:variant>
      <vt:variant>
        <vt:i4>5</vt:i4>
      </vt:variant>
      <vt:variant>
        <vt:lpwstr>https://www.eionet.europa.eu/etcs/etc-wmge/products/etc-wmge-reports/textiles-and-the-environment-in-a-circular-economy</vt:lpwstr>
      </vt:variant>
      <vt:variant>
        <vt:lpwstr/>
      </vt:variant>
      <vt:variant>
        <vt:i4>2752630</vt:i4>
      </vt:variant>
      <vt:variant>
        <vt:i4>2093</vt:i4>
      </vt:variant>
      <vt:variant>
        <vt:i4>0</vt:i4>
      </vt:variant>
      <vt:variant>
        <vt:i4>5</vt:i4>
      </vt:variant>
      <vt:variant>
        <vt:lpwstr>https://www.eea.europa.eu/data-and-maps/figures/the-use-of-primary-raw.</vt:lpwstr>
      </vt:variant>
      <vt:variant>
        <vt:lpwstr/>
      </vt:variant>
      <vt:variant>
        <vt:i4>4128803</vt:i4>
      </vt:variant>
      <vt:variant>
        <vt:i4>2090</vt:i4>
      </vt:variant>
      <vt:variant>
        <vt:i4>0</vt:i4>
      </vt:variant>
      <vt:variant>
        <vt:i4>5</vt:i4>
      </vt:variant>
      <vt:variant>
        <vt:lpwstr>https://www.eea.europa.eu/publications/textiles-in-europes-circular-economy</vt:lpwstr>
      </vt:variant>
      <vt:variant>
        <vt:lpwstr/>
      </vt:variant>
      <vt:variant>
        <vt:i4>2424890</vt:i4>
      </vt:variant>
      <vt:variant>
        <vt:i4>2087</vt:i4>
      </vt:variant>
      <vt:variant>
        <vt:i4>0</vt:i4>
      </vt:variant>
      <vt:variant>
        <vt:i4>5</vt:i4>
      </vt:variant>
      <vt:variant>
        <vt:lpwstr>https://www.eea.europa.eu/publications/textiles-and-the-environment-the</vt:lpwstr>
      </vt:variant>
      <vt:variant>
        <vt:lpwstr/>
      </vt:variant>
      <vt:variant>
        <vt:i4>7012375</vt:i4>
      </vt:variant>
      <vt:variant>
        <vt:i4>2084</vt:i4>
      </vt:variant>
      <vt:variant>
        <vt:i4>0</vt:i4>
      </vt:variant>
      <vt:variant>
        <vt:i4>5</vt:i4>
      </vt:variant>
      <vt:variant>
        <vt:lpwstr>https://www.eea.europa.eu/publications/progressing-towards-waste-prevention-in/at_download/file.</vt:lpwstr>
      </vt:variant>
      <vt:variant>
        <vt:lpwstr/>
      </vt:variant>
      <vt:variant>
        <vt:i4>458816</vt:i4>
      </vt:variant>
      <vt:variant>
        <vt:i4>2081</vt:i4>
      </vt:variant>
      <vt:variant>
        <vt:i4>0</vt:i4>
      </vt:variant>
      <vt:variant>
        <vt:i4>5</vt:i4>
      </vt:variant>
      <vt:variant>
        <vt:lpwstr>https://publications.jrc.ec.europa.eu/repository/handle/JRC111059</vt:lpwstr>
      </vt:variant>
      <vt:variant>
        <vt:lpwstr/>
      </vt:variant>
      <vt:variant>
        <vt:i4>2228260</vt:i4>
      </vt:variant>
      <vt:variant>
        <vt:i4>2078</vt:i4>
      </vt:variant>
      <vt:variant>
        <vt:i4>0</vt:i4>
      </vt:variant>
      <vt:variant>
        <vt:i4>5</vt:i4>
      </vt:variant>
      <vt:variant>
        <vt:lpwstr>https://data.europa.eu/doi/10.2760/858144.</vt:lpwstr>
      </vt:variant>
      <vt:variant>
        <vt:lpwstr/>
      </vt:variant>
      <vt:variant>
        <vt:i4>458770</vt:i4>
      </vt:variant>
      <vt:variant>
        <vt:i4>2075</vt:i4>
      </vt:variant>
      <vt:variant>
        <vt:i4>0</vt:i4>
      </vt:variant>
      <vt:variant>
        <vt:i4>5</vt:i4>
      </vt:variant>
      <vt:variant>
        <vt:lpwstr>https://data.europa.eu/doi/10.2873/23948.</vt:lpwstr>
      </vt:variant>
      <vt:variant>
        <vt:lpwstr/>
      </vt:variant>
      <vt:variant>
        <vt:i4>4194368</vt:i4>
      </vt:variant>
      <vt:variant>
        <vt:i4>2072</vt:i4>
      </vt:variant>
      <vt:variant>
        <vt:i4>0</vt:i4>
      </vt:variant>
      <vt:variant>
        <vt:i4>5</vt:i4>
      </vt:variant>
      <vt:variant>
        <vt:lpwstr>https://op.europa.eu/en/publication-detail/-/publication/edace3e3-e189-11e8-b690-01aa75ed71a1/language-en</vt:lpwstr>
      </vt:variant>
      <vt:variant>
        <vt:lpwstr/>
      </vt:variant>
      <vt:variant>
        <vt:i4>4128855</vt:i4>
      </vt:variant>
      <vt:variant>
        <vt:i4>2069</vt:i4>
      </vt:variant>
      <vt:variant>
        <vt:i4>0</vt:i4>
      </vt:variant>
      <vt:variant>
        <vt:i4>5</vt:i4>
      </vt:variant>
      <vt:variant>
        <vt:lpwstr>https://ec.europa.eu/environment/gpp/pdf/criteria/textiles_2017.pdf</vt:lpwstr>
      </vt:variant>
      <vt:variant>
        <vt:lpwstr/>
      </vt:variant>
      <vt:variant>
        <vt:i4>2687090</vt:i4>
      </vt:variant>
      <vt:variant>
        <vt:i4>2066</vt:i4>
      </vt:variant>
      <vt:variant>
        <vt:i4>0</vt:i4>
      </vt:variant>
      <vt:variant>
        <vt:i4>5</vt:i4>
      </vt:variant>
      <vt:variant>
        <vt:lpwstr>https://publications.jrc.ec.europa.eu/repository/handle/JRC125110.</vt:lpwstr>
      </vt:variant>
      <vt:variant>
        <vt:lpwstr/>
      </vt:variant>
      <vt:variant>
        <vt:i4>458816</vt:i4>
      </vt:variant>
      <vt:variant>
        <vt:i4>2063</vt:i4>
      </vt:variant>
      <vt:variant>
        <vt:i4>0</vt:i4>
      </vt:variant>
      <vt:variant>
        <vt:i4>5</vt:i4>
      </vt:variant>
      <vt:variant>
        <vt:lpwstr>https://publications.jrc.ec.europa.eu/repository/handle/JRC111059</vt:lpwstr>
      </vt:variant>
      <vt:variant>
        <vt:lpwstr/>
      </vt:variant>
      <vt:variant>
        <vt:i4>5898315</vt:i4>
      </vt:variant>
      <vt:variant>
        <vt:i4>2060</vt:i4>
      </vt:variant>
      <vt:variant>
        <vt:i4>0</vt:i4>
      </vt:variant>
      <vt:variant>
        <vt:i4>5</vt:i4>
      </vt:variant>
      <vt:variant>
        <vt:lpwstr>https://op.europa.eu/en/publication-detail/-/publication/739a1cca-6145-11ec-9c6c-01aa75ed71a1</vt:lpwstr>
      </vt:variant>
      <vt:variant>
        <vt:lpwstr/>
      </vt:variant>
      <vt:variant>
        <vt:i4>786450</vt:i4>
      </vt:variant>
      <vt:variant>
        <vt:i4>2057</vt:i4>
      </vt:variant>
      <vt:variant>
        <vt:i4>0</vt:i4>
      </vt:variant>
      <vt:variant>
        <vt:i4>5</vt:i4>
      </vt:variant>
      <vt:variant>
        <vt:lpwstr>https://data.europa.eu/doi/10.2779/14834</vt:lpwstr>
      </vt:variant>
      <vt:variant>
        <vt:lpwstr/>
      </vt:variant>
      <vt:variant>
        <vt:i4>7078002</vt:i4>
      </vt:variant>
      <vt:variant>
        <vt:i4>2054</vt:i4>
      </vt:variant>
      <vt:variant>
        <vt:i4>0</vt:i4>
      </vt:variant>
      <vt:variant>
        <vt:i4>5</vt:i4>
      </vt:variant>
      <vt:variant>
        <vt:lpwstr>https://euratex.eu/rehubs/</vt:lpwstr>
      </vt:variant>
      <vt:variant>
        <vt:lpwstr/>
      </vt:variant>
      <vt:variant>
        <vt:i4>2752628</vt:i4>
      </vt:variant>
      <vt:variant>
        <vt:i4>2051</vt:i4>
      </vt:variant>
      <vt:variant>
        <vt:i4>0</vt:i4>
      </vt:variant>
      <vt:variant>
        <vt:i4>5</vt:i4>
      </vt:variant>
      <vt:variant>
        <vt:lpwstr>https://ec.europa.eu/commission/presscorner/api/files/attachment/872168/Textiles Factsheet.pdf.pdf</vt:lpwstr>
      </vt:variant>
      <vt:variant>
        <vt:lpwstr/>
      </vt:variant>
      <vt:variant>
        <vt:i4>5832761</vt:i4>
      </vt:variant>
      <vt:variant>
        <vt:i4>2048</vt:i4>
      </vt:variant>
      <vt:variant>
        <vt:i4>0</vt:i4>
      </vt:variant>
      <vt:variant>
        <vt:i4>5</vt:i4>
      </vt:variant>
      <vt:variant>
        <vt:lpwstr>https://emf.thirdlight.com/link/circular-business-models-report/@/preview/1?o</vt:lpwstr>
      </vt:variant>
      <vt:variant>
        <vt:lpwstr/>
      </vt:variant>
      <vt:variant>
        <vt:i4>655438</vt:i4>
      </vt:variant>
      <vt:variant>
        <vt:i4>2045</vt:i4>
      </vt:variant>
      <vt:variant>
        <vt:i4>0</vt:i4>
      </vt:variant>
      <vt:variant>
        <vt:i4>5</vt:i4>
      </vt:variant>
      <vt:variant>
        <vt:lpwstr>https://ellenmacarthurfoundation.org/a-new-textiles-economy.</vt:lpwstr>
      </vt:variant>
      <vt:variant>
        <vt:lpwstr/>
      </vt:variant>
      <vt:variant>
        <vt:i4>3538987</vt:i4>
      </vt:variant>
      <vt:variant>
        <vt:i4>2042</vt:i4>
      </vt:variant>
      <vt:variant>
        <vt:i4>0</vt:i4>
      </vt:variant>
      <vt:variant>
        <vt:i4>5</vt:i4>
      </vt:variant>
      <vt:variant>
        <vt:lpwstr>http://www.ecap.eu.com/wp-content/uploads/2019/07/Guidance-for-Textiles-Collections.pdf</vt:lpwstr>
      </vt:variant>
      <vt:variant>
        <vt:lpwstr/>
      </vt:variant>
      <vt:variant>
        <vt:i4>1507347</vt:i4>
      </vt:variant>
      <vt:variant>
        <vt:i4>2039</vt:i4>
      </vt:variant>
      <vt:variant>
        <vt:i4>0</vt:i4>
      </vt:variant>
      <vt:variant>
        <vt:i4>5</vt:i4>
      </vt:variant>
      <vt:variant>
        <vt:lpwstr>http://www.ecap.eu.com/wp-content/uploads/2018/07/ECAP-Textile-collection-in-European-cities_full-report_with-summary.pdf</vt:lpwstr>
      </vt:variant>
      <vt:variant>
        <vt:lpwstr/>
      </vt:variant>
      <vt:variant>
        <vt:i4>4522053</vt:i4>
      </vt:variant>
      <vt:variant>
        <vt:i4>2036</vt:i4>
      </vt:variant>
      <vt:variant>
        <vt:i4>0</vt:i4>
      </vt:variant>
      <vt:variant>
        <vt:i4>5</vt:i4>
      </vt:variant>
      <vt:variant>
        <vt:lpwstr>https://www.cesme-book.eu/book/level-1-d/3.1-best-practices/3.1.2-humanita-textile-recycling</vt:lpwstr>
      </vt:variant>
      <vt:variant>
        <vt:lpwstr/>
      </vt:variant>
      <vt:variant>
        <vt:i4>1376298</vt:i4>
      </vt:variant>
      <vt:variant>
        <vt:i4>2033</vt:i4>
      </vt:variant>
      <vt:variant>
        <vt:i4>0</vt:i4>
      </vt:variant>
      <vt:variant>
        <vt:i4>5</vt:i4>
      </vt:variant>
      <vt:variant>
        <vt:lpwstr>https://www.collectors2020.eu/wp-content/uploads/2020/12/COLLECTORS-D4.6_Policy-recommendations-final.pdf</vt:lpwstr>
      </vt:variant>
      <vt:variant>
        <vt:lpwstr/>
      </vt:variant>
      <vt:variant>
        <vt:i4>2359299</vt:i4>
      </vt:variant>
      <vt:variant>
        <vt:i4>2030</vt:i4>
      </vt:variant>
      <vt:variant>
        <vt:i4>0</vt:i4>
      </vt:variant>
      <vt:variant>
        <vt:i4>5</vt:i4>
      </vt:variant>
      <vt:variant>
        <vt:lpwstr>https://www.collectors2020.eu/wp-content/uploads/2020/12/COLLECTORS_D4.5Guidelines-final.pdf</vt:lpwstr>
      </vt:variant>
      <vt:variant>
        <vt:lpwstr/>
      </vt:variant>
      <vt:variant>
        <vt:i4>3539029</vt:i4>
      </vt:variant>
      <vt:variant>
        <vt:i4>2027</vt:i4>
      </vt:variant>
      <vt:variant>
        <vt:i4>0</vt:i4>
      </vt:variant>
      <vt:variant>
        <vt:i4>5</vt:i4>
      </vt:variant>
      <vt:variant>
        <vt:lpwstr>https://food.ec.europa.eu/safety/food-waste/eu-actions-against-food-waste/eu-platform-food-losses-and-food-waste_en</vt:lpwstr>
      </vt:variant>
      <vt:variant>
        <vt:lpwstr/>
      </vt:variant>
      <vt:variant>
        <vt:i4>4390913</vt:i4>
      </vt:variant>
      <vt:variant>
        <vt:i4>2024</vt:i4>
      </vt:variant>
      <vt:variant>
        <vt:i4>0</vt:i4>
      </vt:variant>
      <vt:variant>
        <vt:i4>5</vt:i4>
      </vt:variant>
      <vt:variant>
        <vt:lpwstr>C:\Users\gassian\AppData\Local\Microsoft\Windows\INetCache\Content.Outlook\SMW0EYLO\European Consumer Food Waste Forum</vt:lpwstr>
      </vt:variant>
      <vt:variant>
        <vt:lpwstr/>
      </vt:variant>
      <vt:variant>
        <vt:i4>196663</vt:i4>
      </vt:variant>
      <vt:variant>
        <vt:i4>2021</vt:i4>
      </vt:variant>
      <vt:variant>
        <vt:i4>0</vt:i4>
      </vt:variant>
      <vt:variant>
        <vt:i4>5</vt:i4>
      </vt:variant>
      <vt:variant>
        <vt:lpwstr>https://eur-lex.europa.eu/legal-content/EN/TXT/?uri=uriserv%3AOJ.C_.2017.361.01.0001.01.ENG&amp;toc=OJ%3AC%3A2017%3A361%3ATOC</vt:lpwstr>
      </vt:variant>
      <vt:variant>
        <vt:lpwstr/>
      </vt:variant>
      <vt:variant>
        <vt:i4>5636199</vt:i4>
      </vt:variant>
      <vt:variant>
        <vt:i4>2018</vt:i4>
      </vt:variant>
      <vt:variant>
        <vt:i4>0</vt:i4>
      </vt:variant>
      <vt:variant>
        <vt:i4>5</vt:i4>
      </vt:variant>
      <vt:variant>
        <vt:lpwstr>https://food.ec.europa.eu/horizontal-topics/farm-fork-strategy/sustainable-food-processing/code-conduct_en</vt:lpwstr>
      </vt:variant>
      <vt:variant>
        <vt:lpwstr/>
      </vt:variant>
      <vt:variant>
        <vt:i4>3539029</vt:i4>
      </vt:variant>
      <vt:variant>
        <vt:i4>2015</vt:i4>
      </vt:variant>
      <vt:variant>
        <vt:i4>0</vt:i4>
      </vt:variant>
      <vt:variant>
        <vt:i4>5</vt:i4>
      </vt:variant>
      <vt:variant>
        <vt:lpwstr>https://food.ec.europa.eu/safety/food-waste/eu-actions-against-food-waste/eu-platform-food-losses-and-food-waste_en</vt:lpwstr>
      </vt:variant>
      <vt:variant>
        <vt:lpwstr/>
      </vt:variant>
      <vt:variant>
        <vt:i4>1179766</vt:i4>
      </vt:variant>
      <vt:variant>
        <vt:i4>2012</vt:i4>
      </vt:variant>
      <vt:variant>
        <vt:i4>0</vt:i4>
      </vt:variant>
      <vt:variant>
        <vt:i4>5</vt:i4>
      </vt:variant>
      <vt:variant>
        <vt:lpwstr>https://hadea.ec.europa.eu/news/fighting-food-waste-eu-new-call-proposals-help-stakeholders-take-action-2022-06-22_en</vt:lpwstr>
      </vt:variant>
      <vt:variant>
        <vt:lpwstr/>
      </vt:variant>
      <vt:variant>
        <vt:i4>7012408</vt:i4>
      </vt:variant>
      <vt:variant>
        <vt:i4>2009</vt:i4>
      </vt:variant>
      <vt:variant>
        <vt:i4>0</vt:i4>
      </vt:variant>
      <vt:variant>
        <vt:i4>5</vt:i4>
      </vt:variant>
      <vt:variant>
        <vt:lpwstr>https://www.legifrance.gouv.fr/contenu/Media/Files/autour-de-la-loi/legislatif-et-reglementaire/fiches-d-impact/fiches-d-impact-ordonnances/2019/fi_agrg1920827r_25_09_2019.pdf</vt:lpwstr>
      </vt:variant>
      <vt:variant>
        <vt:lpwstr/>
      </vt:variant>
      <vt:variant>
        <vt:i4>6619185</vt:i4>
      </vt:variant>
      <vt:variant>
        <vt:i4>2006</vt:i4>
      </vt:variant>
      <vt:variant>
        <vt:i4>0</vt:i4>
      </vt:variant>
      <vt:variant>
        <vt:i4>5</vt:i4>
      </vt:variant>
      <vt:variant>
        <vt:lpwstr>https://nowastenetwork.nl/?lang=en</vt:lpwstr>
      </vt:variant>
      <vt:variant>
        <vt:lpwstr/>
      </vt:variant>
      <vt:variant>
        <vt:i4>3997736</vt:i4>
      </vt:variant>
      <vt:variant>
        <vt:i4>2003</vt:i4>
      </vt:variant>
      <vt:variant>
        <vt:i4>0</vt:i4>
      </vt:variant>
      <vt:variant>
        <vt:i4>5</vt:i4>
      </vt:variant>
      <vt:variant>
        <vt:lpwstr>https://wrap.org.uk/taking-action/food-drink/initiatives/guardians-grub</vt:lpwstr>
      </vt:variant>
      <vt:variant>
        <vt:lpwstr>:~:text=Guardians%20of%20Grub%20is%20WRAP's,thrown%20away%20in%20their%20businesses.</vt:lpwstr>
      </vt:variant>
      <vt:variant>
        <vt:i4>7864369</vt:i4>
      </vt:variant>
      <vt:variant>
        <vt:i4>2000</vt:i4>
      </vt:variant>
      <vt:variant>
        <vt:i4>0</vt:i4>
      </vt:variant>
      <vt:variant>
        <vt:i4>5</vt:i4>
      </vt:variant>
      <vt:variant>
        <vt:lpwstr>https://champions123.org/publication/business-case-reducing-food-loss-and-waste</vt:lpwstr>
      </vt:variant>
      <vt:variant>
        <vt:lpwstr/>
      </vt:variant>
      <vt:variant>
        <vt:i4>2359336</vt:i4>
      </vt:variant>
      <vt:variant>
        <vt:i4>1997</vt:i4>
      </vt:variant>
      <vt:variant>
        <vt:i4>0</vt:i4>
      </vt:variant>
      <vt:variant>
        <vt:i4>5</vt:i4>
      </vt:variant>
      <vt:variant>
        <vt:lpwstr>https://champions123.org/publication/business-case-reducing-food-loss-and-waste-restaurants</vt:lpwstr>
      </vt:variant>
      <vt:variant>
        <vt:lpwstr/>
      </vt:variant>
      <vt:variant>
        <vt:i4>6226015</vt:i4>
      </vt:variant>
      <vt:variant>
        <vt:i4>1994</vt:i4>
      </vt:variant>
      <vt:variant>
        <vt:i4>0</vt:i4>
      </vt:variant>
      <vt:variant>
        <vt:i4>5</vt:i4>
      </vt:variant>
      <vt:variant>
        <vt:lpwstr>https://champions123.org/publication/business-case-reducing-food-loss-and-waste-catering</vt:lpwstr>
      </vt:variant>
      <vt:variant>
        <vt:lpwstr/>
      </vt:variant>
      <vt:variant>
        <vt:i4>2883620</vt:i4>
      </vt:variant>
      <vt:variant>
        <vt:i4>1991</vt:i4>
      </vt:variant>
      <vt:variant>
        <vt:i4>0</vt:i4>
      </vt:variant>
      <vt:variant>
        <vt:i4>5</vt:i4>
      </vt:variant>
      <vt:variant>
        <vt:lpwstr>https://champions123.org/publication/business-case-reducing-food-loss-and-waste-hotels</vt:lpwstr>
      </vt:variant>
      <vt:variant>
        <vt:lpwstr/>
      </vt:variant>
      <vt:variant>
        <vt:i4>7733368</vt:i4>
      </vt:variant>
      <vt:variant>
        <vt:i4>1988</vt:i4>
      </vt:variant>
      <vt:variant>
        <vt:i4>0</vt:i4>
      </vt:variant>
      <vt:variant>
        <vt:i4>5</vt:i4>
      </vt:variant>
      <vt:variant>
        <vt:lpwstr>https://champions123.org/sites/default/files/2020-07/the-business-case-reducing-food-loss-and-waste-restaurants.pdf</vt:lpwstr>
      </vt:variant>
      <vt:variant>
        <vt:lpwstr/>
      </vt:variant>
      <vt:variant>
        <vt:i4>3014735</vt:i4>
      </vt:variant>
      <vt:variant>
        <vt:i4>1985</vt:i4>
      </vt:variant>
      <vt:variant>
        <vt:i4>0</vt:i4>
      </vt:variant>
      <vt:variant>
        <vt:i4>5</vt:i4>
      </vt:variant>
      <vt:variant>
        <vt:lpwstr>https://ec.europa.eu/eurostat/statistics-explained/index.php?title=Glossary:Enterprise_size</vt:lpwstr>
      </vt:variant>
      <vt:variant>
        <vt:lpwstr/>
      </vt:variant>
      <vt:variant>
        <vt:i4>5832804</vt:i4>
      </vt:variant>
      <vt:variant>
        <vt:i4>1982</vt:i4>
      </vt:variant>
      <vt:variant>
        <vt:i4>0</vt:i4>
      </vt:variant>
      <vt:variant>
        <vt:i4>5</vt:i4>
      </vt:variant>
      <vt:variant>
        <vt:lpwstr>https://ec.europa.eu/eurostat/statistics-explained/index.php?title=File:T2a_Sectoral_analysis_of_key_indicators,_Accommodation_and_food_service_activities_(NACE_Section_I),_EU,_2019.png</vt:lpwstr>
      </vt:variant>
      <vt:variant>
        <vt:lpwstr/>
      </vt:variant>
      <vt:variant>
        <vt:i4>7471194</vt:i4>
      </vt:variant>
      <vt:variant>
        <vt:i4>1979</vt:i4>
      </vt:variant>
      <vt:variant>
        <vt:i4>0</vt:i4>
      </vt:variant>
      <vt:variant>
        <vt:i4>5</vt:i4>
      </vt:variant>
      <vt:variant>
        <vt:lpwstr>https://ec.europa.eu/eurostat/databrowser/view/SBS_SC_1B_SE_R2__custom_3996649/default/table?lang=en</vt:lpwstr>
      </vt:variant>
      <vt:variant>
        <vt:lpwstr/>
      </vt:variant>
      <vt:variant>
        <vt:i4>7471194</vt:i4>
      </vt:variant>
      <vt:variant>
        <vt:i4>1973</vt:i4>
      </vt:variant>
      <vt:variant>
        <vt:i4>0</vt:i4>
      </vt:variant>
      <vt:variant>
        <vt:i4>5</vt:i4>
      </vt:variant>
      <vt:variant>
        <vt:lpwstr>https://ec.europa.eu/eurostat/databrowser/view/SBS_SC_1B_SE_R2__custom_3996649/default/table?lang=en</vt:lpwstr>
      </vt:variant>
      <vt:variant>
        <vt:lpwstr/>
      </vt:variant>
      <vt:variant>
        <vt:i4>7864369</vt:i4>
      </vt:variant>
      <vt:variant>
        <vt:i4>1949</vt:i4>
      </vt:variant>
      <vt:variant>
        <vt:i4>0</vt:i4>
      </vt:variant>
      <vt:variant>
        <vt:i4>5</vt:i4>
      </vt:variant>
      <vt:variant>
        <vt:lpwstr>https://champions123.org/publication/business-case-reducing-food-loss-and-waste</vt:lpwstr>
      </vt:variant>
      <vt:variant>
        <vt:lpwstr/>
      </vt:variant>
      <vt:variant>
        <vt:i4>6226015</vt:i4>
      </vt:variant>
      <vt:variant>
        <vt:i4>1946</vt:i4>
      </vt:variant>
      <vt:variant>
        <vt:i4>0</vt:i4>
      </vt:variant>
      <vt:variant>
        <vt:i4>5</vt:i4>
      </vt:variant>
      <vt:variant>
        <vt:lpwstr>https://champions123.org/publication/business-case-reducing-food-loss-and-waste-catering</vt:lpwstr>
      </vt:variant>
      <vt:variant>
        <vt:lpwstr/>
      </vt:variant>
      <vt:variant>
        <vt:i4>2883620</vt:i4>
      </vt:variant>
      <vt:variant>
        <vt:i4>1943</vt:i4>
      </vt:variant>
      <vt:variant>
        <vt:i4>0</vt:i4>
      </vt:variant>
      <vt:variant>
        <vt:i4>5</vt:i4>
      </vt:variant>
      <vt:variant>
        <vt:lpwstr>https://champions123.org/publication/business-case-reducing-food-loss-and-waste-hotels</vt:lpwstr>
      </vt:variant>
      <vt:variant>
        <vt:lpwstr/>
      </vt:variant>
      <vt:variant>
        <vt:i4>7733368</vt:i4>
      </vt:variant>
      <vt:variant>
        <vt:i4>1940</vt:i4>
      </vt:variant>
      <vt:variant>
        <vt:i4>0</vt:i4>
      </vt:variant>
      <vt:variant>
        <vt:i4>5</vt:i4>
      </vt:variant>
      <vt:variant>
        <vt:lpwstr>https://champions123.org/sites/default/files/2020-07/the-business-case-reducing-food-loss-and-waste-restaurants.pdf</vt:lpwstr>
      </vt:variant>
      <vt:variant>
        <vt:lpwstr/>
      </vt:variant>
      <vt:variant>
        <vt:i4>1310746</vt:i4>
      </vt:variant>
      <vt:variant>
        <vt:i4>1913</vt:i4>
      </vt:variant>
      <vt:variant>
        <vt:i4>0</vt:i4>
      </vt:variant>
      <vt:variant>
        <vt:i4>5</vt:i4>
      </vt:variant>
      <vt:variant>
        <vt:lpwstr>https://www.cewep.eu/wp-content/uploads/2021/10/Landfill-taxes-and-restrictions-overview.pdf</vt:lpwstr>
      </vt:variant>
      <vt:variant>
        <vt:lpwstr/>
      </vt:variant>
      <vt:variant>
        <vt:i4>2031674</vt:i4>
      </vt:variant>
      <vt:variant>
        <vt:i4>1787</vt:i4>
      </vt:variant>
      <vt:variant>
        <vt:i4>0</vt:i4>
      </vt:variant>
      <vt:variant>
        <vt:i4>5</vt:i4>
      </vt:variant>
      <vt:variant>
        <vt:lpwstr>https://ec.europa.eu/eurostat/web/products-datasets/-/sbs_r_nuts06_r2</vt:lpwstr>
      </vt:variant>
      <vt:variant>
        <vt:lpwstr/>
      </vt:variant>
      <vt:variant>
        <vt:i4>3735657</vt:i4>
      </vt:variant>
      <vt:variant>
        <vt:i4>1784</vt:i4>
      </vt:variant>
      <vt:variant>
        <vt:i4>0</vt:i4>
      </vt:variant>
      <vt:variant>
        <vt:i4>5</vt:i4>
      </vt:variant>
      <vt:variant>
        <vt:lpwstr>https://ec.europa.eu/eurostat/web/products-datasets/-/nama_10r_3gva</vt:lpwstr>
      </vt:variant>
      <vt:variant>
        <vt:lpwstr/>
      </vt:variant>
      <vt:variant>
        <vt:i4>2031674</vt:i4>
      </vt:variant>
      <vt:variant>
        <vt:i4>1781</vt:i4>
      </vt:variant>
      <vt:variant>
        <vt:i4>0</vt:i4>
      </vt:variant>
      <vt:variant>
        <vt:i4>5</vt:i4>
      </vt:variant>
      <vt:variant>
        <vt:lpwstr>https://ec.europa.eu/eurostat/web/products-datasets/-/sbs_r_nuts06_r2</vt:lpwstr>
      </vt:variant>
      <vt:variant>
        <vt:lpwstr/>
      </vt:variant>
      <vt:variant>
        <vt:i4>3407977</vt:i4>
      </vt:variant>
      <vt:variant>
        <vt:i4>1778</vt:i4>
      </vt:variant>
      <vt:variant>
        <vt:i4>0</vt:i4>
      </vt:variant>
      <vt:variant>
        <vt:i4>5</vt:i4>
      </vt:variant>
      <vt:variant>
        <vt:lpwstr>https://ec.europa.eu/eurostat/web/products-datasets/-/nama_10r_3empers</vt:lpwstr>
      </vt:variant>
      <vt:variant>
        <vt:lpwstr/>
      </vt:variant>
      <vt:variant>
        <vt:i4>2555960</vt:i4>
      </vt:variant>
      <vt:variant>
        <vt:i4>1754</vt:i4>
      </vt:variant>
      <vt:variant>
        <vt:i4>0</vt:i4>
      </vt:variant>
      <vt:variant>
        <vt:i4>5</vt:i4>
      </vt:variant>
      <vt:variant>
        <vt:lpwstr>https://www.oecd.org/gov/pcsd/understanding-the-spillovers-and-transboundary-impacts-of-public-policies-862c0db7-en.htm</vt:lpwstr>
      </vt:variant>
      <vt:variant>
        <vt:lpwstr/>
      </vt:variant>
      <vt:variant>
        <vt:i4>5505126</vt:i4>
      </vt:variant>
      <vt:variant>
        <vt:i4>1751</vt:i4>
      </vt:variant>
      <vt:variant>
        <vt:i4>0</vt:i4>
      </vt:variant>
      <vt:variant>
        <vt:i4>5</vt:i4>
      </vt:variant>
      <vt:variant>
        <vt:lpwstr>https://environment.ec.europa.eu/system/files/2021-12/Commission Recommendation on the use of the Environmental Footprint methods_0.pdf</vt:lpwstr>
      </vt:variant>
      <vt:variant>
        <vt:lpwstr/>
      </vt:variant>
      <vt:variant>
        <vt:i4>5374030</vt:i4>
      </vt:variant>
      <vt:variant>
        <vt:i4>1742</vt:i4>
      </vt:variant>
      <vt:variant>
        <vt:i4>0</vt:i4>
      </vt:variant>
      <vt:variant>
        <vt:i4>5</vt:i4>
      </vt:variant>
      <vt:variant>
        <vt:lpwstr>https://www.magnet-model.eu/publication/</vt:lpwstr>
      </vt:variant>
      <vt:variant>
        <vt:lpwstr/>
      </vt:variant>
      <vt:variant>
        <vt:i4>2555960</vt:i4>
      </vt:variant>
      <vt:variant>
        <vt:i4>1739</vt:i4>
      </vt:variant>
      <vt:variant>
        <vt:i4>0</vt:i4>
      </vt:variant>
      <vt:variant>
        <vt:i4>5</vt:i4>
      </vt:variant>
      <vt:variant>
        <vt:lpwstr>https://www.oecd.org/gov/pcsd/understanding-the-spillovers-and-transboundary-impacts-of-public-policies-862c0db7-en.htm</vt:lpwstr>
      </vt:variant>
      <vt:variant>
        <vt:lpwstr/>
      </vt:variant>
      <vt:variant>
        <vt:i4>1245209</vt:i4>
      </vt:variant>
      <vt:variant>
        <vt:i4>1736</vt:i4>
      </vt:variant>
      <vt:variant>
        <vt:i4>0</vt:i4>
      </vt:variant>
      <vt:variant>
        <vt:i4>5</vt:i4>
      </vt:variant>
      <vt:variant>
        <vt:lpwstr>https://sdgs.un.org/publications/sdg-good-practices-2020</vt:lpwstr>
      </vt:variant>
      <vt:variant>
        <vt:lpwstr/>
      </vt:variant>
      <vt:variant>
        <vt:i4>65607</vt:i4>
      </vt:variant>
      <vt:variant>
        <vt:i4>1733</vt:i4>
      </vt:variant>
      <vt:variant>
        <vt:i4>0</vt:i4>
      </vt:variant>
      <vt:variant>
        <vt:i4>5</vt:i4>
      </vt:variant>
      <vt:variant>
        <vt:lpwstr>https://publications.jrc.ec.europa.eu/repository/handle/JRC122403</vt:lpwstr>
      </vt:variant>
      <vt:variant>
        <vt:lpwstr/>
      </vt:variant>
      <vt:variant>
        <vt:i4>65580</vt:i4>
      </vt:variant>
      <vt:variant>
        <vt:i4>1730</vt:i4>
      </vt:variant>
      <vt:variant>
        <vt:i4>0</vt:i4>
      </vt:variant>
      <vt:variant>
        <vt:i4>5</vt:i4>
      </vt:variant>
      <vt:variant>
        <vt:lpwstr>https://commission.europa.eu/system/files/2022-06/br_toolbox_-_nov_2021_-_chapter_3.pdf</vt:lpwstr>
      </vt:variant>
      <vt:variant>
        <vt:lpwstr/>
      </vt:variant>
      <vt:variant>
        <vt:i4>1966141</vt:i4>
      </vt:variant>
      <vt:variant>
        <vt:i4>1160</vt:i4>
      </vt:variant>
      <vt:variant>
        <vt:i4>0</vt:i4>
      </vt:variant>
      <vt:variant>
        <vt:i4>5</vt:i4>
      </vt:variant>
      <vt:variant>
        <vt:lpwstr/>
      </vt:variant>
      <vt:variant>
        <vt:lpwstr>_Toc137039836</vt:lpwstr>
      </vt:variant>
      <vt:variant>
        <vt:i4>1966141</vt:i4>
      </vt:variant>
      <vt:variant>
        <vt:i4>1154</vt:i4>
      </vt:variant>
      <vt:variant>
        <vt:i4>0</vt:i4>
      </vt:variant>
      <vt:variant>
        <vt:i4>5</vt:i4>
      </vt:variant>
      <vt:variant>
        <vt:lpwstr/>
      </vt:variant>
      <vt:variant>
        <vt:lpwstr>_Toc137039835</vt:lpwstr>
      </vt:variant>
      <vt:variant>
        <vt:i4>1966141</vt:i4>
      </vt:variant>
      <vt:variant>
        <vt:i4>1148</vt:i4>
      </vt:variant>
      <vt:variant>
        <vt:i4>0</vt:i4>
      </vt:variant>
      <vt:variant>
        <vt:i4>5</vt:i4>
      </vt:variant>
      <vt:variant>
        <vt:lpwstr/>
      </vt:variant>
      <vt:variant>
        <vt:lpwstr>_Toc137039834</vt:lpwstr>
      </vt:variant>
      <vt:variant>
        <vt:i4>1966141</vt:i4>
      </vt:variant>
      <vt:variant>
        <vt:i4>1142</vt:i4>
      </vt:variant>
      <vt:variant>
        <vt:i4>0</vt:i4>
      </vt:variant>
      <vt:variant>
        <vt:i4>5</vt:i4>
      </vt:variant>
      <vt:variant>
        <vt:lpwstr/>
      </vt:variant>
      <vt:variant>
        <vt:lpwstr>_Toc137039833</vt:lpwstr>
      </vt:variant>
      <vt:variant>
        <vt:i4>1966141</vt:i4>
      </vt:variant>
      <vt:variant>
        <vt:i4>1136</vt:i4>
      </vt:variant>
      <vt:variant>
        <vt:i4>0</vt:i4>
      </vt:variant>
      <vt:variant>
        <vt:i4>5</vt:i4>
      </vt:variant>
      <vt:variant>
        <vt:lpwstr/>
      </vt:variant>
      <vt:variant>
        <vt:lpwstr>_Toc137039832</vt:lpwstr>
      </vt:variant>
      <vt:variant>
        <vt:i4>1966141</vt:i4>
      </vt:variant>
      <vt:variant>
        <vt:i4>1130</vt:i4>
      </vt:variant>
      <vt:variant>
        <vt:i4>0</vt:i4>
      </vt:variant>
      <vt:variant>
        <vt:i4>5</vt:i4>
      </vt:variant>
      <vt:variant>
        <vt:lpwstr/>
      </vt:variant>
      <vt:variant>
        <vt:lpwstr>_Toc137039831</vt:lpwstr>
      </vt:variant>
      <vt:variant>
        <vt:i4>1966141</vt:i4>
      </vt:variant>
      <vt:variant>
        <vt:i4>1124</vt:i4>
      </vt:variant>
      <vt:variant>
        <vt:i4>0</vt:i4>
      </vt:variant>
      <vt:variant>
        <vt:i4>5</vt:i4>
      </vt:variant>
      <vt:variant>
        <vt:lpwstr/>
      </vt:variant>
      <vt:variant>
        <vt:lpwstr>_Toc137039830</vt:lpwstr>
      </vt:variant>
      <vt:variant>
        <vt:i4>2031677</vt:i4>
      </vt:variant>
      <vt:variant>
        <vt:i4>1118</vt:i4>
      </vt:variant>
      <vt:variant>
        <vt:i4>0</vt:i4>
      </vt:variant>
      <vt:variant>
        <vt:i4>5</vt:i4>
      </vt:variant>
      <vt:variant>
        <vt:lpwstr/>
      </vt:variant>
      <vt:variant>
        <vt:lpwstr>_Toc137039828</vt:lpwstr>
      </vt:variant>
      <vt:variant>
        <vt:i4>2031677</vt:i4>
      </vt:variant>
      <vt:variant>
        <vt:i4>1112</vt:i4>
      </vt:variant>
      <vt:variant>
        <vt:i4>0</vt:i4>
      </vt:variant>
      <vt:variant>
        <vt:i4>5</vt:i4>
      </vt:variant>
      <vt:variant>
        <vt:lpwstr/>
      </vt:variant>
      <vt:variant>
        <vt:lpwstr>_Toc137039827</vt:lpwstr>
      </vt:variant>
      <vt:variant>
        <vt:i4>2031677</vt:i4>
      </vt:variant>
      <vt:variant>
        <vt:i4>1106</vt:i4>
      </vt:variant>
      <vt:variant>
        <vt:i4>0</vt:i4>
      </vt:variant>
      <vt:variant>
        <vt:i4>5</vt:i4>
      </vt:variant>
      <vt:variant>
        <vt:lpwstr/>
      </vt:variant>
      <vt:variant>
        <vt:lpwstr>_Toc137039826</vt:lpwstr>
      </vt:variant>
      <vt:variant>
        <vt:i4>2031677</vt:i4>
      </vt:variant>
      <vt:variant>
        <vt:i4>1100</vt:i4>
      </vt:variant>
      <vt:variant>
        <vt:i4>0</vt:i4>
      </vt:variant>
      <vt:variant>
        <vt:i4>5</vt:i4>
      </vt:variant>
      <vt:variant>
        <vt:lpwstr/>
      </vt:variant>
      <vt:variant>
        <vt:lpwstr>_Toc137039825</vt:lpwstr>
      </vt:variant>
      <vt:variant>
        <vt:i4>2031677</vt:i4>
      </vt:variant>
      <vt:variant>
        <vt:i4>1094</vt:i4>
      </vt:variant>
      <vt:variant>
        <vt:i4>0</vt:i4>
      </vt:variant>
      <vt:variant>
        <vt:i4>5</vt:i4>
      </vt:variant>
      <vt:variant>
        <vt:lpwstr/>
      </vt:variant>
      <vt:variant>
        <vt:lpwstr>_Toc137039824</vt:lpwstr>
      </vt:variant>
      <vt:variant>
        <vt:i4>2031677</vt:i4>
      </vt:variant>
      <vt:variant>
        <vt:i4>1088</vt:i4>
      </vt:variant>
      <vt:variant>
        <vt:i4>0</vt:i4>
      </vt:variant>
      <vt:variant>
        <vt:i4>5</vt:i4>
      </vt:variant>
      <vt:variant>
        <vt:lpwstr/>
      </vt:variant>
      <vt:variant>
        <vt:lpwstr>_Toc137039823</vt:lpwstr>
      </vt:variant>
      <vt:variant>
        <vt:i4>2031677</vt:i4>
      </vt:variant>
      <vt:variant>
        <vt:i4>1082</vt:i4>
      </vt:variant>
      <vt:variant>
        <vt:i4>0</vt:i4>
      </vt:variant>
      <vt:variant>
        <vt:i4>5</vt:i4>
      </vt:variant>
      <vt:variant>
        <vt:lpwstr/>
      </vt:variant>
      <vt:variant>
        <vt:lpwstr>_Toc137039822</vt:lpwstr>
      </vt:variant>
      <vt:variant>
        <vt:i4>2031677</vt:i4>
      </vt:variant>
      <vt:variant>
        <vt:i4>1076</vt:i4>
      </vt:variant>
      <vt:variant>
        <vt:i4>0</vt:i4>
      </vt:variant>
      <vt:variant>
        <vt:i4>5</vt:i4>
      </vt:variant>
      <vt:variant>
        <vt:lpwstr/>
      </vt:variant>
      <vt:variant>
        <vt:lpwstr>_Toc137039821</vt:lpwstr>
      </vt:variant>
      <vt:variant>
        <vt:i4>2031677</vt:i4>
      </vt:variant>
      <vt:variant>
        <vt:i4>1070</vt:i4>
      </vt:variant>
      <vt:variant>
        <vt:i4>0</vt:i4>
      </vt:variant>
      <vt:variant>
        <vt:i4>5</vt:i4>
      </vt:variant>
      <vt:variant>
        <vt:lpwstr/>
      </vt:variant>
      <vt:variant>
        <vt:lpwstr>_Toc137039820</vt:lpwstr>
      </vt:variant>
      <vt:variant>
        <vt:i4>1835069</vt:i4>
      </vt:variant>
      <vt:variant>
        <vt:i4>1064</vt:i4>
      </vt:variant>
      <vt:variant>
        <vt:i4>0</vt:i4>
      </vt:variant>
      <vt:variant>
        <vt:i4>5</vt:i4>
      </vt:variant>
      <vt:variant>
        <vt:lpwstr/>
      </vt:variant>
      <vt:variant>
        <vt:lpwstr>_Toc137039819</vt:lpwstr>
      </vt:variant>
      <vt:variant>
        <vt:i4>1835069</vt:i4>
      </vt:variant>
      <vt:variant>
        <vt:i4>1058</vt:i4>
      </vt:variant>
      <vt:variant>
        <vt:i4>0</vt:i4>
      </vt:variant>
      <vt:variant>
        <vt:i4>5</vt:i4>
      </vt:variant>
      <vt:variant>
        <vt:lpwstr/>
      </vt:variant>
      <vt:variant>
        <vt:lpwstr>_Toc137039818</vt:lpwstr>
      </vt:variant>
      <vt:variant>
        <vt:i4>1835069</vt:i4>
      </vt:variant>
      <vt:variant>
        <vt:i4>1052</vt:i4>
      </vt:variant>
      <vt:variant>
        <vt:i4>0</vt:i4>
      </vt:variant>
      <vt:variant>
        <vt:i4>5</vt:i4>
      </vt:variant>
      <vt:variant>
        <vt:lpwstr/>
      </vt:variant>
      <vt:variant>
        <vt:lpwstr>_Toc137039817</vt:lpwstr>
      </vt:variant>
      <vt:variant>
        <vt:i4>1835069</vt:i4>
      </vt:variant>
      <vt:variant>
        <vt:i4>1046</vt:i4>
      </vt:variant>
      <vt:variant>
        <vt:i4>0</vt:i4>
      </vt:variant>
      <vt:variant>
        <vt:i4>5</vt:i4>
      </vt:variant>
      <vt:variant>
        <vt:lpwstr/>
      </vt:variant>
      <vt:variant>
        <vt:lpwstr>_Toc137039816</vt:lpwstr>
      </vt:variant>
      <vt:variant>
        <vt:i4>1835069</vt:i4>
      </vt:variant>
      <vt:variant>
        <vt:i4>1040</vt:i4>
      </vt:variant>
      <vt:variant>
        <vt:i4>0</vt:i4>
      </vt:variant>
      <vt:variant>
        <vt:i4>5</vt:i4>
      </vt:variant>
      <vt:variant>
        <vt:lpwstr/>
      </vt:variant>
      <vt:variant>
        <vt:lpwstr>_Toc137039815</vt:lpwstr>
      </vt:variant>
      <vt:variant>
        <vt:i4>1835069</vt:i4>
      </vt:variant>
      <vt:variant>
        <vt:i4>1034</vt:i4>
      </vt:variant>
      <vt:variant>
        <vt:i4>0</vt:i4>
      </vt:variant>
      <vt:variant>
        <vt:i4>5</vt:i4>
      </vt:variant>
      <vt:variant>
        <vt:lpwstr/>
      </vt:variant>
      <vt:variant>
        <vt:lpwstr>_Toc137039814</vt:lpwstr>
      </vt:variant>
      <vt:variant>
        <vt:i4>1835069</vt:i4>
      </vt:variant>
      <vt:variant>
        <vt:i4>1028</vt:i4>
      </vt:variant>
      <vt:variant>
        <vt:i4>0</vt:i4>
      </vt:variant>
      <vt:variant>
        <vt:i4>5</vt:i4>
      </vt:variant>
      <vt:variant>
        <vt:lpwstr/>
      </vt:variant>
      <vt:variant>
        <vt:lpwstr>_Toc137039813</vt:lpwstr>
      </vt:variant>
      <vt:variant>
        <vt:i4>1835069</vt:i4>
      </vt:variant>
      <vt:variant>
        <vt:i4>1022</vt:i4>
      </vt:variant>
      <vt:variant>
        <vt:i4>0</vt:i4>
      </vt:variant>
      <vt:variant>
        <vt:i4>5</vt:i4>
      </vt:variant>
      <vt:variant>
        <vt:lpwstr/>
      </vt:variant>
      <vt:variant>
        <vt:lpwstr>_Toc137039812</vt:lpwstr>
      </vt:variant>
      <vt:variant>
        <vt:i4>1835069</vt:i4>
      </vt:variant>
      <vt:variant>
        <vt:i4>1016</vt:i4>
      </vt:variant>
      <vt:variant>
        <vt:i4>0</vt:i4>
      </vt:variant>
      <vt:variant>
        <vt:i4>5</vt:i4>
      </vt:variant>
      <vt:variant>
        <vt:lpwstr/>
      </vt:variant>
      <vt:variant>
        <vt:lpwstr>_Toc137039811</vt:lpwstr>
      </vt:variant>
      <vt:variant>
        <vt:i4>1835069</vt:i4>
      </vt:variant>
      <vt:variant>
        <vt:i4>1010</vt:i4>
      </vt:variant>
      <vt:variant>
        <vt:i4>0</vt:i4>
      </vt:variant>
      <vt:variant>
        <vt:i4>5</vt:i4>
      </vt:variant>
      <vt:variant>
        <vt:lpwstr/>
      </vt:variant>
      <vt:variant>
        <vt:lpwstr>_Toc137039810</vt:lpwstr>
      </vt:variant>
      <vt:variant>
        <vt:i4>1900605</vt:i4>
      </vt:variant>
      <vt:variant>
        <vt:i4>1004</vt:i4>
      </vt:variant>
      <vt:variant>
        <vt:i4>0</vt:i4>
      </vt:variant>
      <vt:variant>
        <vt:i4>5</vt:i4>
      </vt:variant>
      <vt:variant>
        <vt:lpwstr/>
      </vt:variant>
      <vt:variant>
        <vt:lpwstr>_Toc137039809</vt:lpwstr>
      </vt:variant>
      <vt:variant>
        <vt:i4>1900605</vt:i4>
      </vt:variant>
      <vt:variant>
        <vt:i4>998</vt:i4>
      </vt:variant>
      <vt:variant>
        <vt:i4>0</vt:i4>
      </vt:variant>
      <vt:variant>
        <vt:i4>5</vt:i4>
      </vt:variant>
      <vt:variant>
        <vt:lpwstr/>
      </vt:variant>
      <vt:variant>
        <vt:lpwstr>_Toc137039808</vt:lpwstr>
      </vt:variant>
      <vt:variant>
        <vt:i4>1900605</vt:i4>
      </vt:variant>
      <vt:variant>
        <vt:i4>992</vt:i4>
      </vt:variant>
      <vt:variant>
        <vt:i4>0</vt:i4>
      </vt:variant>
      <vt:variant>
        <vt:i4>5</vt:i4>
      </vt:variant>
      <vt:variant>
        <vt:lpwstr/>
      </vt:variant>
      <vt:variant>
        <vt:lpwstr>_Toc137039807</vt:lpwstr>
      </vt:variant>
      <vt:variant>
        <vt:i4>1900605</vt:i4>
      </vt:variant>
      <vt:variant>
        <vt:i4>986</vt:i4>
      </vt:variant>
      <vt:variant>
        <vt:i4>0</vt:i4>
      </vt:variant>
      <vt:variant>
        <vt:i4>5</vt:i4>
      </vt:variant>
      <vt:variant>
        <vt:lpwstr/>
      </vt:variant>
      <vt:variant>
        <vt:lpwstr>_Toc137039806</vt:lpwstr>
      </vt:variant>
      <vt:variant>
        <vt:i4>1900605</vt:i4>
      </vt:variant>
      <vt:variant>
        <vt:i4>980</vt:i4>
      </vt:variant>
      <vt:variant>
        <vt:i4>0</vt:i4>
      </vt:variant>
      <vt:variant>
        <vt:i4>5</vt:i4>
      </vt:variant>
      <vt:variant>
        <vt:lpwstr/>
      </vt:variant>
      <vt:variant>
        <vt:lpwstr>_Toc137039805</vt:lpwstr>
      </vt:variant>
      <vt:variant>
        <vt:i4>1900605</vt:i4>
      </vt:variant>
      <vt:variant>
        <vt:i4>974</vt:i4>
      </vt:variant>
      <vt:variant>
        <vt:i4>0</vt:i4>
      </vt:variant>
      <vt:variant>
        <vt:i4>5</vt:i4>
      </vt:variant>
      <vt:variant>
        <vt:lpwstr/>
      </vt:variant>
      <vt:variant>
        <vt:lpwstr>_Toc137039804</vt:lpwstr>
      </vt:variant>
      <vt:variant>
        <vt:i4>1900605</vt:i4>
      </vt:variant>
      <vt:variant>
        <vt:i4>968</vt:i4>
      </vt:variant>
      <vt:variant>
        <vt:i4>0</vt:i4>
      </vt:variant>
      <vt:variant>
        <vt:i4>5</vt:i4>
      </vt:variant>
      <vt:variant>
        <vt:lpwstr/>
      </vt:variant>
      <vt:variant>
        <vt:lpwstr>_Toc137039803</vt:lpwstr>
      </vt:variant>
      <vt:variant>
        <vt:i4>1900605</vt:i4>
      </vt:variant>
      <vt:variant>
        <vt:i4>962</vt:i4>
      </vt:variant>
      <vt:variant>
        <vt:i4>0</vt:i4>
      </vt:variant>
      <vt:variant>
        <vt:i4>5</vt:i4>
      </vt:variant>
      <vt:variant>
        <vt:lpwstr/>
      </vt:variant>
      <vt:variant>
        <vt:lpwstr>_Toc137039802</vt:lpwstr>
      </vt:variant>
      <vt:variant>
        <vt:i4>1900605</vt:i4>
      </vt:variant>
      <vt:variant>
        <vt:i4>956</vt:i4>
      </vt:variant>
      <vt:variant>
        <vt:i4>0</vt:i4>
      </vt:variant>
      <vt:variant>
        <vt:i4>5</vt:i4>
      </vt:variant>
      <vt:variant>
        <vt:lpwstr/>
      </vt:variant>
      <vt:variant>
        <vt:lpwstr>_Toc137039801</vt:lpwstr>
      </vt:variant>
      <vt:variant>
        <vt:i4>1900605</vt:i4>
      </vt:variant>
      <vt:variant>
        <vt:i4>950</vt:i4>
      </vt:variant>
      <vt:variant>
        <vt:i4>0</vt:i4>
      </vt:variant>
      <vt:variant>
        <vt:i4>5</vt:i4>
      </vt:variant>
      <vt:variant>
        <vt:lpwstr/>
      </vt:variant>
      <vt:variant>
        <vt:lpwstr>_Toc137039800</vt:lpwstr>
      </vt:variant>
      <vt:variant>
        <vt:i4>1310770</vt:i4>
      </vt:variant>
      <vt:variant>
        <vt:i4>944</vt:i4>
      </vt:variant>
      <vt:variant>
        <vt:i4>0</vt:i4>
      </vt:variant>
      <vt:variant>
        <vt:i4>5</vt:i4>
      </vt:variant>
      <vt:variant>
        <vt:lpwstr/>
      </vt:variant>
      <vt:variant>
        <vt:lpwstr>_Toc137039799</vt:lpwstr>
      </vt:variant>
      <vt:variant>
        <vt:i4>1310770</vt:i4>
      </vt:variant>
      <vt:variant>
        <vt:i4>938</vt:i4>
      </vt:variant>
      <vt:variant>
        <vt:i4>0</vt:i4>
      </vt:variant>
      <vt:variant>
        <vt:i4>5</vt:i4>
      </vt:variant>
      <vt:variant>
        <vt:lpwstr/>
      </vt:variant>
      <vt:variant>
        <vt:lpwstr>_Toc137039798</vt:lpwstr>
      </vt:variant>
      <vt:variant>
        <vt:i4>1310770</vt:i4>
      </vt:variant>
      <vt:variant>
        <vt:i4>932</vt:i4>
      </vt:variant>
      <vt:variant>
        <vt:i4>0</vt:i4>
      </vt:variant>
      <vt:variant>
        <vt:i4>5</vt:i4>
      </vt:variant>
      <vt:variant>
        <vt:lpwstr/>
      </vt:variant>
      <vt:variant>
        <vt:lpwstr>_Toc137039797</vt:lpwstr>
      </vt:variant>
      <vt:variant>
        <vt:i4>1310770</vt:i4>
      </vt:variant>
      <vt:variant>
        <vt:i4>926</vt:i4>
      </vt:variant>
      <vt:variant>
        <vt:i4>0</vt:i4>
      </vt:variant>
      <vt:variant>
        <vt:i4>5</vt:i4>
      </vt:variant>
      <vt:variant>
        <vt:lpwstr/>
      </vt:variant>
      <vt:variant>
        <vt:lpwstr>_Toc137039796</vt:lpwstr>
      </vt:variant>
      <vt:variant>
        <vt:i4>1310770</vt:i4>
      </vt:variant>
      <vt:variant>
        <vt:i4>920</vt:i4>
      </vt:variant>
      <vt:variant>
        <vt:i4>0</vt:i4>
      </vt:variant>
      <vt:variant>
        <vt:i4>5</vt:i4>
      </vt:variant>
      <vt:variant>
        <vt:lpwstr/>
      </vt:variant>
      <vt:variant>
        <vt:lpwstr>_Toc137039795</vt:lpwstr>
      </vt:variant>
      <vt:variant>
        <vt:i4>1310770</vt:i4>
      </vt:variant>
      <vt:variant>
        <vt:i4>914</vt:i4>
      </vt:variant>
      <vt:variant>
        <vt:i4>0</vt:i4>
      </vt:variant>
      <vt:variant>
        <vt:i4>5</vt:i4>
      </vt:variant>
      <vt:variant>
        <vt:lpwstr/>
      </vt:variant>
      <vt:variant>
        <vt:lpwstr>_Toc137039794</vt:lpwstr>
      </vt:variant>
      <vt:variant>
        <vt:i4>1310770</vt:i4>
      </vt:variant>
      <vt:variant>
        <vt:i4>908</vt:i4>
      </vt:variant>
      <vt:variant>
        <vt:i4>0</vt:i4>
      </vt:variant>
      <vt:variant>
        <vt:i4>5</vt:i4>
      </vt:variant>
      <vt:variant>
        <vt:lpwstr/>
      </vt:variant>
      <vt:variant>
        <vt:lpwstr>_Toc137039793</vt:lpwstr>
      </vt:variant>
      <vt:variant>
        <vt:i4>1310770</vt:i4>
      </vt:variant>
      <vt:variant>
        <vt:i4>902</vt:i4>
      </vt:variant>
      <vt:variant>
        <vt:i4>0</vt:i4>
      </vt:variant>
      <vt:variant>
        <vt:i4>5</vt:i4>
      </vt:variant>
      <vt:variant>
        <vt:lpwstr/>
      </vt:variant>
      <vt:variant>
        <vt:lpwstr>_Toc137039792</vt:lpwstr>
      </vt:variant>
      <vt:variant>
        <vt:i4>1310770</vt:i4>
      </vt:variant>
      <vt:variant>
        <vt:i4>896</vt:i4>
      </vt:variant>
      <vt:variant>
        <vt:i4>0</vt:i4>
      </vt:variant>
      <vt:variant>
        <vt:i4>5</vt:i4>
      </vt:variant>
      <vt:variant>
        <vt:lpwstr/>
      </vt:variant>
      <vt:variant>
        <vt:lpwstr>_Toc137039791</vt:lpwstr>
      </vt:variant>
      <vt:variant>
        <vt:i4>1310770</vt:i4>
      </vt:variant>
      <vt:variant>
        <vt:i4>890</vt:i4>
      </vt:variant>
      <vt:variant>
        <vt:i4>0</vt:i4>
      </vt:variant>
      <vt:variant>
        <vt:i4>5</vt:i4>
      </vt:variant>
      <vt:variant>
        <vt:lpwstr/>
      </vt:variant>
      <vt:variant>
        <vt:lpwstr>_Toc137039790</vt:lpwstr>
      </vt:variant>
      <vt:variant>
        <vt:i4>1376306</vt:i4>
      </vt:variant>
      <vt:variant>
        <vt:i4>884</vt:i4>
      </vt:variant>
      <vt:variant>
        <vt:i4>0</vt:i4>
      </vt:variant>
      <vt:variant>
        <vt:i4>5</vt:i4>
      </vt:variant>
      <vt:variant>
        <vt:lpwstr/>
      </vt:variant>
      <vt:variant>
        <vt:lpwstr>_Toc137039789</vt:lpwstr>
      </vt:variant>
      <vt:variant>
        <vt:i4>1376306</vt:i4>
      </vt:variant>
      <vt:variant>
        <vt:i4>878</vt:i4>
      </vt:variant>
      <vt:variant>
        <vt:i4>0</vt:i4>
      </vt:variant>
      <vt:variant>
        <vt:i4>5</vt:i4>
      </vt:variant>
      <vt:variant>
        <vt:lpwstr/>
      </vt:variant>
      <vt:variant>
        <vt:lpwstr>_Toc137039788</vt:lpwstr>
      </vt:variant>
      <vt:variant>
        <vt:i4>1376306</vt:i4>
      </vt:variant>
      <vt:variant>
        <vt:i4>872</vt:i4>
      </vt:variant>
      <vt:variant>
        <vt:i4>0</vt:i4>
      </vt:variant>
      <vt:variant>
        <vt:i4>5</vt:i4>
      </vt:variant>
      <vt:variant>
        <vt:lpwstr/>
      </vt:variant>
      <vt:variant>
        <vt:lpwstr>_Toc137039787</vt:lpwstr>
      </vt:variant>
      <vt:variant>
        <vt:i4>1376306</vt:i4>
      </vt:variant>
      <vt:variant>
        <vt:i4>866</vt:i4>
      </vt:variant>
      <vt:variant>
        <vt:i4>0</vt:i4>
      </vt:variant>
      <vt:variant>
        <vt:i4>5</vt:i4>
      </vt:variant>
      <vt:variant>
        <vt:lpwstr/>
      </vt:variant>
      <vt:variant>
        <vt:lpwstr>_Toc137039786</vt:lpwstr>
      </vt:variant>
      <vt:variant>
        <vt:i4>1376306</vt:i4>
      </vt:variant>
      <vt:variant>
        <vt:i4>860</vt:i4>
      </vt:variant>
      <vt:variant>
        <vt:i4>0</vt:i4>
      </vt:variant>
      <vt:variant>
        <vt:i4>5</vt:i4>
      </vt:variant>
      <vt:variant>
        <vt:lpwstr/>
      </vt:variant>
      <vt:variant>
        <vt:lpwstr>_Toc137039785</vt:lpwstr>
      </vt:variant>
      <vt:variant>
        <vt:i4>1376306</vt:i4>
      </vt:variant>
      <vt:variant>
        <vt:i4>854</vt:i4>
      </vt:variant>
      <vt:variant>
        <vt:i4>0</vt:i4>
      </vt:variant>
      <vt:variant>
        <vt:i4>5</vt:i4>
      </vt:variant>
      <vt:variant>
        <vt:lpwstr/>
      </vt:variant>
      <vt:variant>
        <vt:lpwstr>_Toc137039784</vt:lpwstr>
      </vt:variant>
      <vt:variant>
        <vt:i4>1376306</vt:i4>
      </vt:variant>
      <vt:variant>
        <vt:i4>848</vt:i4>
      </vt:variant>
      <vt:variant>
        <vt:i4>0</vt:i4>
      </vt:variant>
      <vt:variant>
        <vt:i4>5</vt:i4>
      </vt:variant>
      <vt:variant>
        <vt:lpwstr/>
      </vt:variant>
      <vt:variant>
        <vt:lpwstr>_Toc137039783</vt:lpwstr>
      </vt:variant>
      <vt:variant>
        <vt:i4>1376306</vt:i4>
      </vt:variant>
      <vt:variant>
        <vt:i4>842</vt:i4>
      </vt:variant>
      <vt:variant>
        <vt:i4>0</vt:i4>
      </vt:variant>
      <vt:variant>
        <vt:i4>5</vt:i4>
      </vt:variant>
      <vt:variant>
        <vt:lpwstr/>
      </vt:variant>
      <vt:variant>
        <vt:lpwstr>_Toc137039782</vt:lpwstr>
      </vt:variant>
      <vt:variant>
        <vt:i4>1376306</vt:i4>
      </vt:variant>
      <vt:variant>
        <vt:i4>836</vt:i4>
      </vt:variant>
      <vt:variant>
        <vt:i4>0</vt:i4>
      </vt:variant>
      <vt:variant>
        <vt:i4>5</vt:i4>
      </vt:variant>
      <vt:variant>
        <vt:lpwstr/>
      </vt:variant>
      <vt:variant>
        <vt:lpwstr>_Toc137039781</vt:lpwstr>
      </vt:variant>
      <vt:variant>
        <vt:i4>1376306</vt:i4>
      </vt:variant>
      <vt:variant>
        <vt:i4>830</vt:i4>
      </vt:variant>
      <vt:variant>
        <vt:i4>0</vt:i4>
      </vt:variant>
      <vt:variant>
        <vt:i4>5</vt:i4>
      </vt:variant>
      <vt:variant>
        <vt:lpwstr/>
      </vt:variant>
      <vt:variant>
        <vt:lpwstr>_Toc137039780</vt:lpwstr>
      </vt:variant>
      <vt:variant>
        <vt:i4>1703986</vt:i4>
      </vt:variant>
      <vt:variant>
        <vt:i4>824</vt:i4>
      </vt:variant>
      <vt:variant>
        <vt:i4>0</vt:i4>
      </vt:variant>
      <vt:variant>
        <vt:i4>5</vt:i4>
      </vt:variant>
      <vt:variant>
        <vt:lpwstr/>
      </vt:variant>
      <vt:variant>
        <vt:lpwstr>_Toc137039779</vt:lpwstr>
      </vt:variant>
      <vt:variant>
        <vt:i4>1703986</vt:i4>
      </vt:variant>
      <vt:variant>
        <vt:i4>818</vt:i4>
      </vt:variant>
      <vt:variant>
        <vt:i4>0</vt:i4>
      </vt:variant>
      <vt:variant>
        <vt:i4>5</vt:i4>
      </vt:variant>
      <vt:variant>
        <vt:lpwstr/>
      </vt:variant>
      <vt:variant>
        <vt:lpwstr>_Toc137039778</vt:lpwstr>
      </vt:variant>
      <vt:variant>
        <vt:i4>1703986</vt:i4>
      </vt:variant>
      <vt:variant>
        <vt:i4>812</vt:i4>
      </vt:variant>
      <vt:variant>
        <vt:i4>0</vt:i4>
      </vt:variant>
      <vt:variant>
        <vt:i4>5</vt:i4>
      </vt:variant>
      <vt:variant>
        <vt:lpwstr/>
      </vt:variant>
      <vt:variant>
        <vt:lpwstr>_Toc137039777</vt:lpwstr>
      </vt:variant>
      <vt:variant>
        <vt:i4>1703986</vt:i4>
      </vt:variant>
      <vt:variant>
        <vt:i4>806</vt:i4>
      </vt:variant>
      <vt:variant>
        <vt:i4>0</vt:i4>
      </vt:variant>
      <vt:variant>
        <vt:i4>5</vt:i4>
      </vt:variant>
      <vt:variant>
        <vt:lpwstr/>
      </vt:variant>
      <vt:variant>
        <vt:lpwstr>_Toc137039776</vt:lpwstr>
      </vt:variant>
      <vt:variant>
        <vt:i4>1703986</vt:i4>
      </vt:variant>
      <vt:variant>
        <vt:i4>800</vt:i4>
      </vt:variant>
      <vt:variant>
        <vt:i4>0</vt:i4>
      </vt:variant>
      <vt:variant>
        <vt:i4>5</vt:i4>
      </vt:variant>
      <vt:variant>
        <vt:lpwstr/>
      </vt:variant>
      <vt:variant>
        <vt:lpwstr>_Toc137039775</vt:lpwstr>
      </vt:variant>
      <vt:variant>
        <vt:i4>1703986</vt:i4>
      </vt:variant>
      <vt:variant>
        <vt:i4>794</vt:i4>
      </vt:variant>
      <vt:variant>
        <vt:i4>0</vt:i4>
      </vt:variant>
      <vt:variant>
        <vt:i4>5</vt:i4>
      </vt:variant>
      <vt:variant>
        <vt:lpwstr/>
      </vt:variant>
      <vt:variant>
        <vt:lpwstr>_Toc137039774</vt:lpwstr>
      </vt:variant>
      <vt:variant>
        <vt:i4>1703986</vt:i4>
      </vt:variant>
      <vt:variant>
        <vt:i4>788</vt:i4>
      </vt:variant>
      <vt:variant>
        <vt:i4>0</vt:i4>
      </vt:variant>
      <vt:variant>
        <vt:i4>5</vt:i4>
      </vt:variant>
      <vt:variant>
        <vt:lpwstr/>
      </vt:variant>
      <vt:variant>
        <vt:lpwstr>_Toc137039773</vt:lpwstr>
      </vt:variant>
      <vt:variant>
        <vt:i4>1703986</vt:i4>
      </vt:variant>
      <vt:variant>
        <vt:i4>782</vt:i4>
      </vt:variant>
      <vt:variant>
        <vt:i4>0</vt:i4>
      </vt:variant>
      <vt:variant>
        <vt:i4>5</vt:i4>
      </vt:variant>
      <vt:variant>
        <vt:lpwstr/>
      </vt:variant>
      <vt:variant>
        <vt:lpwstr>_Toc137039772</vt:lpwstr>
      </vt:variant>
      <vt:variant>
        <vt:i4>1703986</vt:i4>
      </vt:variant>
      <vt:variant>
        <vt:i4>776</vt:i4>
      </vt:variant>
      <vt:variant>
        <vt:i4>0</vt:i4>
      </vt:variant>
      <vt:variant>
        <vt:i4>5</vt:i4>
      </vt:variant>
      <vt:variant>
        <vt:lpwstr/>
      </vt:variant>
      <vt:variant>
        <vt:lpwstr>_Toc137039771</vt:lpwstr>
      </vt:variant>
      <vt:variant>
        <vt:i4>1703986</vt:i4>
      </vt:variant>
      <vt:variant>
        <vt:i4>770</vt:i4>
      </vt:variant>
      <vt:variant>
        <vt:i4>0</vt:i4>
      </vt:variant>
      <vt:variant>
        <vt:i4>5</vt:i4>
      </vt:variant>
      <vt:variant>
        <vt:lpwstr/>
      </vt:variant>
      <vt:variant>
        <vt:lpwstr>_Toc137039770</vt:lpwstr>
      </vt:variant>
      <vt:variant>
        <vt:i4>1769522</vt:i4>
      </vt:variant>
      <vt:variant>
        <vt:i4>764</vt:i4>
      </vt:variant>
      <vt:variant>
        <vt:i4>0</vt:i4>
      </vt:variant>
      <vt:variant>
        <vt:i4>5</vt:i4>
      </vt:variant>
      <vt:variant>
        <vt:lpwstr/>
      </vt:variant>
      <vt:variant>
        <vt:lpwstr>_Toc137039769</vt:lpwstr>
      </vt:variant>
      <vt:variant>
        <vt:i4>1769522</vt:i4>
      </vt:variant>
      <vt:variant>
        <vt:i4>758</vt:i4>
      </vt:variant>
      <vt:variant>
        <vt:i4>0</vt:i4>
      </vt:variant>
      <vt:variant>
        <vt:i4>5</vt:i4>
      </vt:variant>
      <vt:variant>
        <vt:lpwstr/>
      </vt:variant>
      <vt:variant>
        <vt:lpwstr>_Toc137039768</vt:lpwstr>
      </vt:variant>
      <vt:variant>
        <vt:i4>1769522</vt:i4>
      </vt:variant>
      <vt:variant>
        <vt:i4>752</vt:i4>
      </vt:variant>
      <vt:variant>
        <vt:i4>0</vt:i4>
      </vt:variant>
      <vt:variant>
        <vt:i4>5</vt:i4>
      </vt:variant>
      <vt:variant>
        <vt:lpwstr/>
      </vt:variant>
      <vt:variant>
        <vt:lpwstr>_Toc137039767</vt:lpwstr>
      </vt:variant>
      <vt:variant>
        <vt:i4>1769522</vt:i4>
      </vt:variant>
      <vt:variant>
        <vt:i4>746</vt:i4>
      </vt:variant>
      <vt:variant>
        <vt:i4>0</vt:i4>
      </vt:variant>
      <vt:variant>
        <vt:i4>5</vt:i4>
      </vt:variant>
      <vt:variant>
        <vt:lpwstr/>
      </vt:variant>
      <vt:variant>
        <vt:lpwstr>_Toc137039766</vt:lpwstr>
      </vt:variant>
      <vt:variant>
        <vt:i4>1769522</vt:i4>
      </vt:variant>
      <vt:variant>
        <vt:i4>740</vt:i4>
      </vt:variant>
      <vt:variant>
        <vt:i4>0</vt:i4>
      </vt:variant>
      <vt:variant>
        <vt:i4>5</vt:i4>
      </vt:variant>
      <vt:variant>
        <vt:lpwstr/>
      </vt:variant>
      <vt:variant>
        <vt:lpwstr>_Toc137039765</vt:lpwstr>
      </vt:variant>
      <vt:variant>
        <vt:i4>1769522</vt:i4>
      </vt:variant>
      <vt:variant>
        <vt:i4>734</vt:i4>
      </vt:variant>
      <vt:variant>
        <vt:i4>0</vt:i4>
      </vt:variant>
      <vt:variant>
        <vt:i4>5</vt:i4>
      </vt:variant>
      <vt:variant>
        <vt:lpwstr/>
      </vt:variant>
      <vt:variant>
        <vt:lpwstr>_Toc137039764</vt:lpwstr>
      </vt:variant>
      <vt:variant>
        <vt:i4>1769522</vt:i4>
      </vt:variant>
      <vt:variant>
        <vt:i4>728</vt:i4>
      </vt:variant>
      <vt:variant>
        <vt:i4>0</vt:i4>
      </vt:variant>
      <vt:variant>
        <vt:i4>5</vt:i4>
      </vt:variant>
      <vt:variant>
        <vt:lpwstr/>
      </vt:variant>
      <vt:variant>
        <vt:lpwstr>_Toc137039763</vt:lpwstr>
      </vt:variant>
      <vt:variant>
        <vt:i4>1769522</vt:i4>
      </vt:variant>
      <vt:variant>
        <vt:i4>722</vt:i4>
      </vt:variant>
      <vt:variant>
        <vt:i4>0</vt:i4>
      </vt:variant>
      <vt:variant>
        <vt:i4>5</vt:i4>
      </vt:variant>
      <vt:variant>
        <vt:lpwstr/>
      </vt:variant>
      <vt:variant>
        <vt:lpwstr>_Toc137039762</vt:lpwstr>
      </vt:variant>
      <vt:variant>
        <vt:i4>1769522</vt:i4>
      </vt:variant>
      <vt:variant>
        <vt:i4>716</vt:i4>
      </vt:variant>
      <vt:variant>
        <vt:i4>0</vt:i4>
      </vt:variant>
      <vt:variant>
        <vt:i4>5</vt:i4>
      </vt:variant>
      <vt:variant>
        <vt:lpwstr/>
      </vt:variant>
      <vt:variant>
        <vt:lpwstr>_Toc137039761</vt:lpwstr>
      </vt:variant>
      <vt:variant>
        <vt:i4>1769522</vt:i4>
      </vt:variant>
      <vt:variant>
        <vt:i4>710</vt:i4>
      </vt:variant>
      <vt:variant>
        <vt:i4>0</vt:i4>
      </vt:variant>
      <vt:variant>
        <vt:i4>5</vt:i4>
      </vt:variant>
      <vt:variant>
        <vt:lpwstr/>
      </vt:variant>
      <vt:variant>
        <vt:lpwstr>_Toc137039760</vt:lpwstr>
      </vt:variant>
      <vt:variant>
        <vt:i4>1572914</vt:i4>
      </vt:variant>
      <vt:variant>
        <vt:i4>704</vt:i4>
      </vt:variant>
      <vt:variant>
        <vt:i4>0</vt:i4>
      </vt:variant>
      <vt:variant>
        <vt:i4>5</vt:i4>
      </vt:variant>
      <vt:variant>
        <vt:lpwstr/>
      </vt:variant>
      <vt:variant>
        <vt:lpwstr>_Toc137039759</vt:lpwstr>
      </vt:variant>
      <vt:variant>
        <vt:i4>1572914</vt:i4>
      </vt:variant>
      <vt:variant>
        <vt:i4>698</vt:i4>
      </vt:variant>
      <vt:variant>
        <vt:i4>0</vt:i4>
      </vt:variant>
      <vt:variant>
        <vt:i4>5</vt:i4>
      </vt:variant>
      <vt:variant>
        <vt:lpwstr/>
      </vt:variant>
      <vt:variant>
        <vt:lpwstr>_Toc137039758</vt:lpwstr>
      </vt:variant>
      <vt:variant>
        <vt:i4>1572914</vt:i4>
      </vt:variant>
      <vt:variant>
        <vt:i4>692</vt:i4>
      </vt:variant>
      <vt:variant>
        <vt:i4>0</vt:i4>
      </vt:variant>
      <vt:variant>
        <vt:i4>5</vt:i4>
      </vt:variant>
      <vt:variant>
        <vt:lpwstr/>
      </vt:variant>
      <vt:variant>
        <vt:lpwstr>_Toc137039757</vt:lpwstr>
      </vt:variant>
      <vt:variant>
        <vt:i4>1572914</vt:i4>
      </vt:variant>
      <vt:variant>
        <vt:i4>686</vt:i4>
      </vt:variant>
      <vt:variant>
        <vt:i4>0</vt:i4>
      </vt:variant>
      <vt:variant>
        <vt:i4>5</vt:i4>
      </vt:variant>
      <vt:variant>
        <vt:lpwstr/>
      </vt:variant>
      <vt:variant>
        <vt:lpwstr>_Toc137039756</vt:lpwstr>
      </vt:variant>
      <vt:variant>
        <vt:i4>1572914</vt:i4>
      </vt:variant>
      <vt:variant>
        <vt:i4>680</vt:i4>
      </vt:variant>
      <vt:variant>
        <vt:i4>0</vt:i4>
      </vt:variant>
      <vt:variant>
        <vt:i4>5</vt:i4>
      </vt:variant>
      <vt:variant>
        <vt:lpwstr/>
      </vt:variant>
      <vt:variant>
        <vt:lpwstr>_Toc137039755</vt:lpwstr>
      </vt:variant>
      <vt:variant>
        <vt:i4>1572914</vt:i4>
      </vt:variant>
      <vt:variant>
        <vt:i4>674</vt:i4>
      </vt:variant>
      <vt:variant>
        <vt:i4>0</vt:i4>
      </vt:variant>
      <vt:variant>
        <vt:i4>5</vt:i4>
      </vt:variant>
      <vt:variant>
        <vt:lpwstr/>
      </vt:variant>
      <vt:variant>
        <vt:lpwstr>_Toc137039754</vt:lpwstr>
      </vt:variant>
      <vt:variant>
        <vt:i4>1572914</vt:i4>
      </vt:variant>
      <vt:variant>
        <vt:i4>668</vt:i4>
      </vt:variant>
      <vt:variant>
        <vt:i4>0</vt:i4>
      </vt:variant>
      <vt:variant>
        <vt:i4>5</vt:i4>
      </vt:variant>
      <vt:variant>
        <vt:lpwstr/>
      </vt:variant>
      <vt:variant>
        <vt:lpwstr>_Toc137039753</vt:lpwstr>
      </vt:variant>
      <vt:variant>
        <vt:i4>1572914</vt:i4>
      </vt:variant>
      <vt:variant>
        <vt:i4>662</vt:i4>
      </vt:variant>
      <vt:variant>
        <vt:i4>0</vt:i4>
      </vt:variant>
      <vt:variant>
        <vt:i4>5</vt:i4>
      </vt:variant>
      <vt:variant>
        <vt:lpwstr/>
      </vt:variant>
      <vt:variant>
        <vt:lpwstr>_Toc137039752</vt:lpwstr>
      </vt:variant>
      <vt:variant>
        <vt:i4>1572914</vt:i4>
      </vt:variant>
      <vt:variant>
        <vt:i4>656</vt:i4>
      </vt:variant>
      <vt:variant>
        <vt:i4>0</vt:i4>
      </vt:variant>
      <vt:variant>
        <vt:i4>5</vt:i4>
      </vt:variant>
      <vt:variant>
        <vt:lpwstr/>
      </vt:variant>
      <vt:variant>
        <vt:lpwstr>_Toc137039751</vt:lpwstr>
      </vt:variant>
      <vt:variant>
        <vt:i4>1572914</vt:i4>
      </vt:variant>
      <vt:variant>
        <vt:i4>650</vt:i4>
      </vt:variant>
      <vt:variant>
        <vt:i4>0</vt:i4>
      </vt:variant>
      <vt:variant>
        <vt:i4>5</vt:i4>
      </vt:variant>
      <vt:variant>
        <vt:lpwstr/>
      </vt:variant>
      <vt:variant>
        <vt:lpwstr>_Toc137039750</vt:lpwstr>
      </vt:variant>
      <vt:variant>
        <vt:i4>1638450</vt:i4>
      </vt:variant>
      <vt:variant>
        <vt:i4>644</vt:i4>
      </vt:variant>
      <vt:variant>
        <vt:i4>0</vt:i4>
      </vt:variant>
      <vt:variant>
        <vt:i4>5</vt:i4>
      </vt:variant>
      <vt:variant>
        <vt:lpwstr/>
      </vt:variant>
      <vt:variant>
        <vt:lpwstr>_Toc137039749</vt:lpwstr>
      </vt:variant>
      <vt:variant>
        <vt:i4>1638450</vt:i4>
      </vt:variant>
      <vt:variant>
        <vt:i4>638</vt:i4>
      </vt:variant>
      <vt:variant>
        <vt:i4>0</vt:i4>
      </vt:variant>
      <vt:variant>
        <vt:i4>5</vt:i4>
      </vt:variant>
      <vt:variant>
        <vt:lpwstr/>
      </vt:variant>
      <vt:variant>
        <vt:lpwstr>_Toc137039748</vt:lpwstr>
      </vt:variant>
      <vt:variant>
        <vt:i4>1638450</vt:i4>
      </vt:variant>
      <vt:variant>
        <vt:i4>632</vt:i4>
      </vt:variant>
      <vt:variant>
        <vt:i4>0</vt:i4>
      </vt:variant>
      <vt:variant>
        <vt:i4>5</vt:i4>
      </vt:variant>
      <vt:variant>
        <vt:lpwstr/>
      </vt:variant>
      <vt:variant>
        <vt:lpwstr>_Toc137039747</vt:lpwstr>
      </vt:variant>
      <vt:variant>
        <vt:i4>1638450</vt:i4>
      </vt:variant>
      <vt:variant>
        <vt:i4>626</vt:i4>
      </vt:variant>
      <vt:variant>
        <vt:i4>0</vt:i4>
      </vt:variant>
      <vt:variant>
        <vt:i4>5</vt:i4>
      </vt:variant>
      <vt:variant>
        <vt:lpwstr/>
      </vt:variant>
      <vt:variant>
        <vt:lpwstr>_Toc137039746</vt:lpwstr>
      </vt:variant>
      <vt:variant>
        <vt:i4>1638450</vt:i4>
      </vt:variant>
      <vt:variant>
        <vt:i4>620</vt:i4>
      </vt:variant>
      <vt:variant>
        <vt:i4>0</vt:i4>
      </vt:variant>
      <vt:variant>
        <vt:i4>5</vt:i4>
      </vt:variant>
      <vt:variant>
        <vt:lpwstr/>
      </vt:variant>
      <vt:variant>
        <vt:lpwstr>_Toc137039745</vt:lpwstr>
      </vt:variant>
      <vt:variant>
        <vt:i4>1638450</vt:i4>
      </vt:variant>
      <vt:variant>
        <vt:i4>614</vt:i4>
      </vt:variant>
      <vt:variant>
        <vt:i4>0</vt:i4>
      </vt:variant>
      <vt:variant>
        <vt:i4>5</vt:i4>
      </vt:variant>
      <vt:variant>
        <vt:lpwstr/>
      </vt:variant>
      <vt:variant>
        <vt:lpwstr>_Toc137039744</vt:lpwstr>
      </vt:variant>
      <vt:variant>
        <vt:i4>1638450</vt:i4>
      </vt:variant>
      <vt:variant>
        <vt:i4>608</vt:i4>
      </vt:variant>
      <vt:variant>
        <vt:i4>0</vt:i4>
      </vt:variant>
      <vt:variant>
        <vt:i4>5</vt:i4>
      </vt:variant>
      <vt:variant>
        <vt:lpwstr/>
      </vt:variant>
      <vt:variant>
        <vt:lpwstr>_Toc137039743</vt:lpwstr>
      </vt:variant>
      <vt:variant>
        <vt:i4>1638450</vt:i4>
      </vt:variant>
      <vt:variant>
        <vt:i4>602</vt:i4>
      </vt:variant>
      <vt:variant>
        <vt:i4>0</vt:i4>
      </vt:variant>
      <vt:variant>
        <vt:i4>5</vt:i4>
      </vt:variant>
      <vt:variant>
        <vt:lpwstr/>
      </vt:variant>
      <vt:variant>
        <vt:lpwstr>_Toc137039742</vt:lpwstr>
      </vt:variant>
      <vt:variant>
        <vt:i4>1638450</vt:i4>
      </vt:variant>
      <vt:variant>
        <vt:i4>596</vt:i4>
      </vt:variant>
      <vt:variant>
        <vt:i4>0</vt:i4>
      </vt:variant>
      <vt:variant>
        <vt:i4>5</vt:i4>
      </vt:variant>
      <vt:variant>
        <vt:lpwstr/>
      </vt:variant>
      <vt:variant>
        <vt:lpwstr>_Toc137039741</vt:lpwstr>
      </vt:variant>
      <vt:variant>
        <vt:i4>1638450</vt:i4>
      </vt:variant>
      <vt:variant>
        <vt:i4>590</vt:i4>
      </vt:variant>
      <vt:variant>
        <vt:i4>0</vt:i4>
      </vt:variant>
      <vt:variant>
        <vt:i4>5</vt:i4>
      </vt:variant>
      <vt:variant>
        <vt:lpwstr/>
      </vt:variant>
      <vt:variant>
        <vt:lpwstr>_Toc137039740</vt:lpwstr>
      </vt:variant>
      <vt:variant>
        <vt:i4>1966130</vt:i4>
      </vt:variant>
      <vt:variant>
        <vt:i4>584</vt:i4>
      </vt:variant>
      <vt:variant>
        <vt:i4>0</vt:i4>
      </vt:variant>
      <vt:variant>
        <vt:i4>5</vt:i4>
      </vt:variant>
      <vt:variant>
        <vt:lpwstr/>
      </vt:variant>
      <vt:variant>
        <vt:lpwstr>_Toc137039739</vt:lpwstr>
      </vt:variant>
      <vt:variant>
        <vt:i4>1966130</vt:i4>
      </vt:variant>
      <vt:variant>
        <vt:i4>578</vt:i4>
      </vt:variant>
      <vt:variant>
        <vt:i4>0</vt:i4>
      </vt:variant>
      <vt:variant>
        <vt:i4>5</vt:i4>
      </vt:variant>
      <vt:variant>
        <vt:lpwstr/>
      </vt:variant>
      <vt:variant>
        <vt:lpwstr>_Toc137039738</vt:lpwstr>
      </vt:variant>
      <vt:variant>
        <vt:i4>1966130</vt:i4>
      </vt:variant>
      <vt:variant>
        <vt:i4>572</vt:i4>
      </vt:variant>
      <vt:variant>
        <vt:i4>0</vt:i4>
      </vt:variant>
      <vt:variant>
        <vt:i4>5</vt:i4>
      </vt:variant>
      <vt:variant>
        <vt:lpwstr/>
      </vt:variant>
      <vt:variant>
        <vt:lpwstr>_Toc137039737</vt:lpwstr>
      </vt:variant>
      <vt:variant>
        <vt:i4>1966130</vt:i4>
      </vt:variant>
      <vt:variant>
        <vt:i4>566</vt:i4>
      </vt:variant>
      <vt:variant>
        <vt:i4>0</vt:i4>
      </vt:variant>
      <vt:variant>
        <vt:i4>5</vt:i4>
      </vt:variant>
      <vt:variant>
        <vt:lpwstr/>
      </vt:variant>
      <vt:variant>
        <vt:lpwstr>_Toc137039736</vt:lpwstr>
      </vt:variant>
      <vt:variant>
        <vt:i4>1966130</vt:i4>
      </vt:variant>
      <vt:variant>
        <vt:i4>560</vt:i4>
      </vt:variant>
      <vt:variant>
        <vt:i4>0</vt:i4>
      </vt:variant>
      <vt:variant>
        <vt:i4>5</vt:i4>
      </vt:variant>
      <vt:variant>
        <vt:lpwstr/>
      </vt:variant>
      <vt:variant>
        <vt:lpwstr>_Toc137039735</vt:lpwstr>
      </vt:variant>
      <vt:variant>
        <vt:i4>1966130</vt:i4>
      </vt:variant>
      <vt:variant>
        <vt:i4>554</vt:i4>
      </vt:variant>
      <vt:variant>
        <vt:i4>0</vt:i4>
      </vt:variant>
      <vt:variant>
        <vt:i4>5</vt:i4>
      </vt:variant>
      <vt:variant>
        <vt:lpwstr/>
      </vt:variant>
      <vt:variant>
        <vt:lpwstr>_Toc137039734</vt:lpwstr>
      </vt:variant>
      <vt:variant>
        <vt:i4>1966130</vt:i4>
      </vt:variant>
      <vt:variant>
        <vt:i4>548</vt:i4>
      </vt:variant>
      <vt:variant>
        <vt:i4>0</vt:i4>
      </vt:variant>
      <vt:variant>
        <vt:i4>5</vt:i4>
      </vt:variant>
      <vt:variant>
        <vt:lpwstr/>
      </vt:variant>
      <vt:variant>
        <vt:lpwstr>_Toc137039733</vt:lpwstr>
      </vt:variant>
      <vt:variant>
        <vt:i4>1966130</vt:i4>
      </vt:variant>
      <vt:variant>
        <vt:i4>542</vt:i4>
      </vt:variant>
      <vt:variant>
        <vt:i4>0</vt:i4>
      </vt:variant>
      <vt:variant>
        <vt:i4>5</vt:i4>
      </vt:variant>
      <vt:variant>
        <vt:lpwstr/>
      </vt:variant>
      <vt:variant>
        <vt:lpwstr>_Toc137039732</vt:lpwstr>
      </vt:variant>
      <vt:variant>
        <vt:i4>1966130</vt:i4>
      </vt:variant>
      <vt:variant>
        <vt:i4>536</vt:i4>
      </vt:variant>
      <vt:variant>
        <vt:i4>0</vt:i4>
      </vt:variant>
      <vt:variant>
        <vt:i4>5</vt:i4>
      </vt:variant>
      <vt:variant>
        <vt:lpwstr/>
      </vt:variant>
      <vt:variant>
        <vt:lpwstr>_Toc137039731</vt:lpwstr>
      </vt:variant>
      <vt:variant>
        <vt:i4>1966130</vt:i4>
      </vt:variant>
      <vt:variant>
        <vt:i4>530</vt:i4>
      </vt:variant>
      <vt:variant>
        <vt:i4>0</vt:i4>
      </vt:variant>
      <vt:variant>
        <vt:i4>5</vt:i4>
      </vt:variant>
      <vt:variant>
        <vt:lpwstr/>
      </vt:variant>
      <vt:variant>
        <vt:lpwstr>_Toc137039730</vt:lpwstr>
      </vt:variant>
      <vt:variant>
        <vt:i4>2031666</vt:i4>
      </vt:variant>
      <vt:variant>
        <vt:i4>524</vt:i4>
      </vt:variant>
      <vt:variant>
        <vt:i4>0</vt:i4>
      </vt:variant>
      <vt:variant>
        <vt:i4>5</vt:i4>
      </vt:variant>
      <vt:variant>
        <vt:lpwstr/>
      </vt:variant>
      <vt:variant>
        <vt:lpwstr>_Toc137039729</vt:lpwstr>
      </vt:variant>
      <vt:variant>
        <vt:i4>2031666</vt:i4>
      </vt:variant>
      <vt:variant>
        <vt:i4>518</vt:i4>
      </vt:variant>
      <vt:variant>
        <vt:i4>0</vt:i4>
      </vt:variant>
      <vt:variant>
        <vt:i4>5</vt:i4>
      </vt:variant>
      <vt:variant>
        <vt:lpwstr/>
      </vt:variant>
      <vt:variant>
        <vt:lpwstr>_Toc137039728</vt:lpwstr>
      </vt:variant>
      <vt:variant>
        <vt:i4>2031666</vt:i4>
      </vt:variant>
      <vt:variant>
        <vt:i4>512</vt:i4>
      </vt:variant>
      <vt:variant>
        <vt:i4>0</vt:i4>
      </vt:variant>
      <vt:variant>
        <vt:i4>5</vt:i4>
      </vt:variant>
      <vt:variant>
        <vt:lpwstr/>
      </vt:variant>
      <vt:variant>
        <vt:lpwstr>_Toc137039727</vt:lpwstr>
      </vt:variant>
      <vt:variant>
        <vt:i4>2031666</vt:i4>
      </vt:variant>
      <vt:variant>
        <vt:i4>506</vt:i4>
      </vt:variant>
      <vt:variant>
        <vt:i4>0</vt:i4>
      </vt:variant>
      <vt:variant>
        <vt:i4>5</vt:i4>
      </vt:variant>
      <vt:variant>
        <vt:lpwstr/>
      </vt:variant>
      <vt:variant>
        <vt:lpwstr>_Toc137039726</vt:lpwstr>
      </vt:variant>
      <vt:variant>
        <vt:i4>2031666</vt:i4>
      </vt:variant>
      <vt:variant>
        <vt:i4>500</vt:i4>
      </vt:variant>
      <vt:variant>
        <vt:i4>0</vt:i4>
      </vt:variant>
      <vt:variant>
        <vt:i4>5</vt:i4>
      </vt:variant>
      <vt:variant>
        <vt:lpwstr/>
      </vt:variant>
      <vt:variant>
        <vt:lpwstr>_Toc137039725</vt:lpwstr>
      </vt:variant>
      <vt:variant>
        <vt:i4>2031666</vt:i4>
      </vt:variant>
      <vt:variant>
        <vt:i4>494</vt:i4>
      </vt:variant>
      <vt:variant>
        <vt:i4>0</vt:i4>
      </vt:variant>
      <vt:variant>
        <vt:i4>5</vt:i4>
      </vt:variant>
      <vt:variant>
        <vt:lpwstr/>
      </vt:variant>
      <vt:variant>
        <vt:lpwstr>_Toc137039724</vt:lpwstr>
      </vt:variant>
      <vt:variant>
        <vt:i4>2031666</vt:i4>
      </vt:variant>
      <vt:variant>
        <vt:i4>488</vt:i4>
      </vt:variant>
      <vt:variant>
        <vt:i4>0</vt:i4>
      </vt:variant>
      <vt:variant>
        <vt:i4>5</vt:i4>
      </vt:variant>
      <vt:variant>
        <vt:lpwstr/>
      </vt:variant>
      <vt:variant>
        <vt:lpwstr>_Toc137039723</vt:lpwstr>
      </vt:variant>
      <vt:variant>
        <vt:i4>2031666</vt:i4>
      </vt:variant>
      <vt:variant>
        <vt:i4>482</vt:i4>
      </vt:variant>
      <vt:variant>
        <vt:i4>0</vt:i4>
      </vt:variant>
      <vt:variant>
        <vt:i4>5</vt:i4>
      </vt:variant>
      <vt:variant>
        <vt:lpwstr/>
      </vt:variant>
      <vt:variant>
        <vt:lpwstr>_Toc137039722</vt:lpwstr>
      </vt:variant>
      <vt:variant>
        <vt:i4>2031666</vt:i4>
      </vt:variant>
      <vt:variant>
        <vt:i4>476</vt:i4>
      </vt:variant>
      <vt:variant>
        <vt:i4>0</vt:i4>
      </vt:variant>
      <vt:variant>
        <vt:i4>5</vt:i4>
      </vt:variant>
      <vt:variant>
        <vt:lpwstr/>
      </vt:variant>
      <vt:variant>
        <vt:lpwstr>_Toc137039721</vt:lpwstr>
      </vt:variant>
      <vt:variant>
        <vt:i4>2031666</vt:i4>
      </vt:variant>
      <vt:variant>
        <vt:i4>470</vt:i4>
      </vt:variant>
      <vt:variant>
        <vt:i4>0</vt:i4>
      </vt:variant>
      <vt:variant>
        <vt:i4>5</vt:i4>
      </vt:variant>
      <vt:variant>
        <vt:lpwstr/>
      </vt:variant>
      <vt:variant>
        <vt:lpwstr>_Toc137039720</vt:lpwstr>
      </vt:variant>
      <vt:variant>
        <vt:i4>1835058</vt:i4>
      </vt:variant>
      <vt:variant>
        <vt:i4>464</vt:i4>
      </vt:variant>
      <vt:variant>
        <vt:i4>0</vt:i4>
      </vt:variant>
      <vt:variant>
        <vt:i4>5</vt:i4>
      </vt:variant>
      <vt:variant>
        <vt:lpwstr/>
      </vt:variant>
      <vt:variant>
        <vt:lpwstr>_Toc137039719</vt:lpwstr>
      </vt:variant>
      <vt:variant>
        <vt:i4>1835058</vt:i4>
      </vt:variant>
      <vt:variant>
        <vt:i4>458</vt:i4>
      </vt:variant>
      <vt:variant>
        <vt:i4>0</vt:i4>
      </vt:variant>
      <vt:variant>
        <vt:i4>5</vt:i4>
      </vt:variant>
      <vt:variant>
        <vt:lpwstr/>
      </vt:variant>
      <vt:variant>
        <vt:lpwstr>_Toc137039718</vt:lpwstr>
      </vt:variant>
      <vt:variant>
        <vt:i4>1835058</vt:i4>
      </vt:variant>
      <vt:variant>
        <vt:i4>452</vt:i4>
      </vt:variant>
      <vt:variant>
        <vt:i4>0</vt:i4>
      </vt:variant>
      <vt:variant>
        <vt:i4>5</vt:i4>
      </vt:variant>
      <vt:variant>
        <vt:lpwstr/>
      </vt:variant>
      <vt:variant>
        <vt:lpwstr>_Toc137039717</vt:lpwstr>
      </vt:variant>
      <vt:variant>
        <vt:i4>1835058</vt:i4>
      </vt:variant>
      <vt:variant>
        <vt:i4>446</vt:i4>
      </vt:variant>
      <vt:variant>
        <vt:i4>0</vt:i4>
      </vt:variant>
      <vt:variant>
        <vt:i4>5</vt:i4>
      </vt:variant>
      <vt:variant>
        <vt:lpwstr/>
      </vt:variant>
      <vt:variant>
        <vt:lpwstr>_Toc137039716</vt:lpwstr>
      </vt:variant>
      <vt:variant>
        <vt:i4>1835058</vt:i4>
      </vt:variant>
      <vt:variant>
        <vt:i4>440</vt:i4>
      </vt:variant>
      <vt:variant>
        <vt:i4>0</vt:i4>
      </vt:variant>
      <vt:variant>
        <vt:i4>5</vt:i4>
      </vt:variant>
      <vt:variant>
        <vt:lpwstr/>
      </vt:variant>
      <vt:variant>
        <vt:lpwstr>_Toc137039715</vt:lpwstr>
      </vt:variant>
      <vt:variant>
        <vt:i4>1835058</vt:i4>
      </vt:variant>
      <vt:variant>
        <vt:i4>434</vt:i4>
      </vt:variant>
      <vt:variant>
        <vt:i4>0</vt:i4>
      </vt:variant>
      <vt:variant>
        <vt:i4>5</vt:i4>
      </vt:variant>
      <vt:variant>
        <vt:lpwstr/>
      </vt:variant>
      <vt:variant>
        <vt:lpwstr>_Toc137039714</vt:lpwstr>
      </vt:variant>
      <vt:variant>
        <vt:i4>1835058</vt:i4>
      </vt:variant>
      <vt:variant>
        <vt:i4>428</vt:i4>
      </vt:variant>
      <vt:variant>
        <vt:i4>0</vt:i4>
      </vt:variant>
      <vt:variant>
        <vt:i4>5</vt:i4>
      </vt:variant>
      <vt:variant>
        <vt:lpwstr/>
      </vt:variant>
      <vt:variant>
        <vt:lpwstr>_Toc137039713</vt:lpwstr>
      </vt:variant>
      <vt:variant>
        <vt:i4>1835058</vt:i4>
      </vt:variant>
      <vt:variant>
        <vt:i4>422</vt:i4>
      </vt:variant>
      <vt:variant>
        <vt:i4>0</vt:i4>
      </vt:variant>
      <vt:variant>
        <vt:i4>5</vt:i4>
      </vt:variant>
      <vt:variant>
        <vt:lpwstr/>
      </vt:variant>
      <vt:variant>
        <vt:lpwstr>_Toc137039712</vt:lpwstr>
      </vt:variant>
      <vt:variant>
        <vt:i4>1835058</vt:i4>
      </vt:variant>
      <vt:variant>
        <vt:i4>416</vt:i4>
      </vt:variant>
      <vt:variant>
        <vt:i4>0</vt:i4>
      </vt:variant>
      <vt:variant>
        <vt:i4>5</vt:i4>
      </vt:variant>
      <vt:variant>
        <vt:lpwstr/>
      </vt:variant>
      <vt:variant>
        <vt:lpwstr>_Toc137039711</vt:lpwstr>
      </vt:variant>
      <vt:variant>
        <vt:i4>1835058</vt:i4>
      </vt:variant>
      <vt:variant>
        <vt:i4>410</vt:i4>
      </vt:variant>
      <vt:variant>
        <vt:i4>0</vt:i4>
      </vt:variant>
      <vt:variant>
        <vt:i4>5</vt:i4>
      </vt:variant>
      <vt:variant>
        <vt:lpwstr/>
      </vt:variant>
      <vt:variant>
        <vt:lpwstr>_Toc137039710</vt:lpwstr>
      </vt:variant>
      <vt:variant>
        <vt:i4>1900594</vt:i4>
      </vt:variant>
      <vt:variant>
        <vt:i4>404</vt:i4>
      </vt:variant>
      <vt:variant>
        <vt:i4>0</vt:i4>
      </vt:variant>
      <vt:variant>
        <vt:i4>5</vt:i4>
      </vt:variant>
      <vt:variant>
        <vt:lpwstr/>
      </vt:variant>
      <vt:variant>
        <vt:lpwstr>_Toc137039709</vt:lpwstr>
      </vt:variant>
      <vt:variant>
        <vt:i4>1900594</vt:i4>
      </vt:variant>
      <vt:variant>
        <vt:i4>398</vt:i4>
      </vt:variant>
      <vt:variant>
        <vt:i4>0</vt:i4>
      </vt:variant>
      <vt:variant>
        <vt:i4>5</vt:i4>
      </vt:variant>
      <vt:variant>
        <vt:lpwstr/>
      </vt:variant>
      <vt:variant>
        <vt:lpwstr>_Toc137039708</vt:lpwstr>
      </vt:variant>
      <vt:variant>
        <vt:i4>1900594</vt:i4>
      </vt:variant>
      <vt:variant>
        <vt:i4>392</vt:i4>
      </vt:variant>
      <vt:variant>
        <vt:i4>0</vt:i4>
      </vt:variant>
      <vt:variant>
        <vt:i4>5</vt:i4>
      </vt:variant>
      <vt:variant>
        <vt:lpwstr/>
      </vt:variant>
      <vt:variant>
        <vt:lpwstr>_Toc137039707</vt:lpwstr>
      </vt:variant>
      <vt:variant>
        <vt:i4>1900594</vt:i4>
      </vt:variant>
      <vt:variant>
        <vt:i4>386</vt:i4>
      </vt:variant>
      <vt:variant>
        <vt:i4>0</vt:i4>
      </vt:variant>
      <vt:variant>
        <vt:i4>5</vt:i4>
      </vt:variant>
      <vt:variant>
        <vt:lpwstr/>
      </vt:variant>
      <vt:variant>
        <vt:lpwstr>_Toc137039706</vt:lpwstr>
      </vt:variant>
      <vt:variant>
        <vt:i4>1900594</vt:i4>
      </vt:variant>
      <vt:variant>
        <vt:i4>380</vt:i4>
      </vt:variant>
      <vt:variant>
        <vt:i4>0</vt:i4>
      </vt:variant>
      <vt:variant>
        <vt:i4>5</vt:i4>
      </vt:variant>
      <vt:variant>
        <vt:lpwstr/>
      </vt:variant>
      <vt:variant>
        <vt:lpwstr>_Toc137039705</vt:lpwstr>
      </vt:variant>
      <vt:variant>
        <vt:i4>1900594</vt:i4>
      </vt:variant>
      <vt:variant>
        <vt:i4>374</vt:i4>
      </vt:variant>
      <vt:variant>
        <vt:i4>0</vt:i4>
      </vt:variant>
      <vt:variant>
        <vt:i4>5</vt:i4>
      </vt:variant>
      <vt:variant>
        <vt:lpwstr/>
      </vt:variant>
      <vt:variant>
        <vt:lpwstr>_Toc137039704</vt:lpwstr>
      </vt:variant>
      <vt:variant>
        <vt:i4>1900594</vt:i4>
      </vt:variant>
      <vt:variant>
        <vt:i4>368</vt:i4>
      </vt:variant>
      <vt:variant>
        <vt:i4>0</vt:i4>
      </vt:variant>
      <vt:variant>
        <vt:i4>5</vt:i4>
      </vt:variant>
      <vt:variant>
        <vt:lpwstr/>
      </vt:variant>
      <vt:variant>
        <vt:lpwstr>_Toc137039703</vt:lpwstr>
      </vt:variant>
      <vt:variant>
        <vt:i4>1900594</vt:i4>
      </vt:variant>
      <vt:variant>
        <vt:i4>362</vt:i4>
      </vt:variant>
      <vt:variant>
        <vt:i4>0</vt:i4>
      </vt:variant>
      <vt:variant>
        <vt:i4>5</vt:i4>
      </vt:variant>
      <vt:variant>
        <vt:lpwstr/>
      </vt:variant>
      <vt:variant>
        <vt:lpwstr>_Toc137039702</vt:lpwstr>
      </vt:variant>
      <vt:variant>
        <vt:i4>1900594</vt:i4>
      </vt:variant>
      <vt:variant>
        <vt:i4>356</vt:i4>
      </vt:variant>
      <vt:variant>
        <vt:i4>0</vt:i4>
      </vt:variant>
      <vt:variant>
        <vt:i4>5</vt:i4>
      </vt:variant>
      <vt:variant>
        <vt:lpwstr/>
      </vt:variant>
      <vt:variant>
        <vt:lpwstr>_Toc137039701</vt:lpwstr>
      </vt:variant>
      <vt:variant>
        <vt:i4>1900594</vt:i4>
      </vt:variant>
      <vt:variant>
        <vt:i4>350</vt:i4>
      </vt:variant>
      <vt:variant>
        <vt:i4>0</vt:i4>
      </vt:variant>
      <vt:variant>
        <vt:i4>5</vt:i4>
      </vt:variant>
      <vt:variant>
        <vt:lpwstr/>
      </vt:variant>
      <vt:variant>
        <vt:lpwstr>_Toc137039700</vt:lpwstr>
      </vt:variant>
      <vt:variant>
        <vt:i4>1310771</vt:i4>
      </vt:variant>
      <vt:variant>
        <vt:i4>344</vt:i4>
      </vt:variant>
      <vt:variant>
        <vt:i4>0</vt:i4>
      </vt:variant>
      <vt:variant>
        <vt:i4>5</vt:i4>
      </vt:variant>
      <vt:variant>
        <vt:lpwstr/>
      </vt:variant>
      <vt:variant>
        <vt:lpwstr>_Toc137039699</vt:lpwstr>
      </vt:variant>
      <vt:variant>
        <vt:i4>1310771</vt:i4>
      </vt:variant>
      <vt:variant>
        <vt:i4>338</vt:i4>
      </vt:variant>
      <vt:variant>
        <vt:i4>0</vt:i4>
      </vt:variant>
      <vt:variant>
        <vt:i4>5</vt:i4>
      </vt:variant>
      <vt:variant>
        <vt:lpwstr/>
      </vt:variant>
      <vt:variant>
        <vt:lpwstr>_Toc137039698</vt:lpwstr>
      </vt:variant>
      <vt:variant>
        <vt:i4>1310771</vt:i4>
      </vt:variant>
      <vt:variant>
        <vt:i4>332</vt:i4>
      </vt:variant>
      <vt:variant>
        <vt:i4>0</vt:i4>
      </vt:variant>
      <vt:variant>
        <vt:i4>5</vt:i4>
      </vt:variant>
      <vt:variant>
        <vt:lpwstr/>
      </vt:variant>
      <vt:variant>
        <vt:lpwstr>_Toc137039697</vt:lpwstr>
      </vt:variant>
      <vt:variant>
        <vt:i4>1310771</vt:i4>
      </vt:variant>
      <vt:variant>
        <vt:i4>326</vt:i4>
      </vt:variant>
      <vt:variant>
        <vt:i4>0</vt:i4>
      </vt:variant>
      <vt:variant>
        <vt:i4>5</vt:i4>
      </vt:variant>
      <vt:variant>
        <vt:lpwstr/>
      </vt:variant>
      <vt:variant>
        <vt:lpwstr>_Toc137039696</vt:lpwstr>
      </vt:variant>
      <vt:variant>
        <vt:i4>1310771</vt:i4>
      </vt:variant>
      <vt:variant>
        <vt:i4>320</vt:i4>
      </vt:variant>
      <vt:variant>
        <vt:i4>0</vt:i4>
      </vt:variant>
      <vt:variant>
        <vt:i4>5</vt:i4>
      </vt:variant>
      <vt:variant>
        <vt:lpwstr/>
      </vt:variant>
      <vt:variant>
        <vt:lpwstr>_Toc137039695</vt:lpwstr>
      </vt:variant>
      <vt:variant>
        <vt:i4>1310771</vt:i4>
      </vt:variant>
      <vt:variant>
        <vt:i4>314</vt:i4>
      </vt:variant>
      <vt:variant>
        <vt:i4>0</vt:i4>
      </vt:variant>
      <vt:variant>
        <vt:i4>5</vt:i4>
      </vt:variant>
      <vt:variant>
        <vt:lpwstr/>
      </vt:variant>
      <vt:variant>
        <vt:lpwstr>_Toc137039694</vt:lpwstr>
      </vt:variant>
      <vt:variant>
        <vt:i4>1310771</vt:i4>
      </vt:variant>
      <vt:variant>
        <vt:i4>308</vt:i4>
      </vt:variant>
      <vt:variant>
        <vt:i4>0</vt:i4>
      </vt:variant>
      <vt:variant>
        <vt:i4>5</vt:i4>
      </vt:variant>
      <vt:variant>
        <vt:lpwstr/>
      </vt:variant>
      <vt:variant>
        <vt:lpwstr>_Toc137039693</vt:lpwstr>
      </vt:variant>
      <vt:variant>
        <vt:i4>1310771</vt:i4>
      </vt:variant>
      <vt:variant>
        <vt:i4>302</vt:i4>
      </vt:variant>
      <vt:variant>
        <vt:i4>0</vt:i4>
      </vt:variant>
      <vt:variant>
        <vt:i4>5</vt:i4>
      </vt:variant>
      <vt:variant>
        <vt:lpwstr/>
      </vt:variant>
      <vt:variant>
        <vt:lpwstr>_Toc137039692</vt:lpwstr>
      </vt:variant>
      <vt:variant>
        <vt:i4>1310771</vt:i4>
      </vt:variant>
      <vt:variant>
        <vt:i4>296</vt:i4>
      </vt:variant>
      <vt:variant>
        <vt:i4>0</vt:i4>
      </vt:variant>
      <vt:variant>
        <vt:i4>5</vt:i4>
      </vt:variant>
      <vt:variant>
        <vt:lpwstr/>
      </vt:variant>
      <vt:variant>
        <vt:lpwstr>_Toc137039691</vt:lpwstr>
      </vt:variant>
      <vt:variant>
        <vt:i4>1310771</vt:i4>
      </vt:variant>
      <vt:variant>
        <vt:i4>290</vt:i4>
      </vt:variant>
      <vt:variant>
        <vt:i4>0</vt:i4>
      </vt:variant>
      <vt:variant>
        <vt:i4>5</vt:i4>
      </vt:variant>
      <vt:variant>
        <vt:lpwstr/>
      </vt:variant>
      <vt:variant>
        <vt:lpwstr>_Toc137039690</vt:lpwstr>
      </vt:variant>
      <vt:variant>
        <vt:i4>1376307</vt:i4>
      </vt:variant>
      <vt:variant>
        <vt:i4>284</vt:i4>
      </vt:variant>
      <vt:variant>
        <vt:i4>0</vt:i4>
      </vt:variant>
      <vt:variant>
        <vt:i4>5</vt:i4>
      </vt:variant>
      <vt:variant>
        <vt:lpwstr/>
      </vt:variant>
      <vt:variant>
        <vt:lpwstr>_Toc137039689</vt:lpwstr>
      </vt:variant>
      <vt:variant>
        <vt:i4>1376307</vt:i4>
      </vt:variant>
      <vt:variant>
        <vt:i4>278</vt:i4>
      </vt:variant>
      <vt:variant>
        <vt:i4>0</vt:i4>
      </vt:variant>
      <vt:variant>
        <vt:i4>5</vt:i4>
      </vt:variant>
      <vt:variant>
        <vt:lpwstr/>
      </vt:variant>
      <vt:variant>
        <vt:lpwstr>_Toc137039688</vt:lpwstr>
      </vt:variant>
      <vt:variant>
        <vt:i4>1376307</vt:i4>
      </vt:variant>
      <vt:variant>
        <vt:i4>272</vt:i4>
      </vt:variant>
      <vt:variant>
        <vt:i4>0</vt:i4>
      </vt:variant>
      <vt:variant>
        <vt:i4>5</vt:i4>
      </vt:variant>
      <vt:variant>
        <vt:lpwstr/>
      </vt:variant>
      <vt:variant>
        <vt:lpwstr>_Toc137039687</vt:lpwstr>
      </vt:variant>
      <vt:variant>
        <vt:i4>1376307</vt:i4>
      </vt:variant>
      <vt:variant>
        <vt:i4>266</vt:i4>
      </vt:variant>
      <vt:variant>
        <vt:i4>0</vt:i4>
      </vt:variant>
      <vt:variant>
        <vt:i4>5</vt:i4>
      </vt:variant>
      <vt:variant>
        <vt:lpwstr/>
      </vt:variant>
      <vt:variant>
        <vt:lpwstr>_Toc137039686</vt:lpwstr>
      </vt:variant>
      <vt:variant>
        <vt:i4>1376307</vt:i4>
      </vt:variant>
      <vt:variant>
        <vt:i4>260</vt:i4>
      </vt:variant>
      <vt:variant>
        <vt:i4>0</vt:i4>
      </vt:variant>
      <vt:variant>
        <vt:i4>5</vt:i4>
      </vt:variant>
      <vt:variant>
        <vt:lpwstr/>
      </vt:variant>
      <vt:variant>
        <vt:lpwstr>_Toc137039685</vt:lpwstr>
      </vt:variant>
      <vt:variant>
        <vt:i4>1376307</vt:i4>
      </vt:variant>
      <vt:variant>
        <vt:i4>254</vt:i4>
      </vt:variant>
      <vt:variant>
        <vt:i4>0</vt:i4>
      </vt:variant>
      <vt:variant>
        <vt:i4>5</vt:i4>
      </vt:variant>
      <vt:variant>
        <vt:lpwstr/>
      </vt:variant>
      <vt:variant>
        <vt:lpwstr>_Toc137039684</vt:lpwstr>
      </vt:variant>
      <vt:variant>
        <vt:i4>1376307</vt:i4>
      </vt:variant>
      <vt:variant>
        <vt:i4>248</vt:i4>
      </vt:variant>
      <vt:variant>
        <vt:i4>0</vt:i4>
      </vt:variant>
      <vt:variant>
        <vt:i4>5</vt:i4>
      </vt:variant>
      <vt:variant>
        <vt:lpwstr/>
      </vt:variant>
      <vt:variant>
        <vt:lpwstr>_Toc137039683</vt:lpwstr>
      </vt:variant>
      <vt:variant>
        <vt:i4>1376307</vt:i4>
      </vt:variant>
      <vt:variant>
        <vt:i4>242</vt:i4>
      </vt:variant>
      <vt:variant>
        <vt:i4>0</vt:i4>
      </vt:variant>
      <vt:variant>
        <vt:i4>5</vt:i4>
      </vt:variant>
      <vt:variant>
        <vt:lpwstr/>
      </vt:variant>
      <vt:variant>
        <vt:lpwstr>_Toc137039682</vt:lpwstr>
      </vt:variant>
      <vt:variant>
        <vt:i4>1376307</vt:i4>
      </vt:variant>
      <vt:variant>
        <vt:i4>236</vt:i4>
      </vt:variant>
      <vt:variant>
        <vt:i4>0</vt:i4>
      </vt:variant>
      <vt:variant>
        <vt:i4>5</vt:i4>
      </vt:variant>
      <vt:variant>
        <vt:lpwstr/>
      </vt:variant>
      <vt:variant>
        <vt:lpwstr>_Toc137039681</vt:lpwstr>
      </vt:variant>
      <vt:variant>
        <vt:i4>1376307</vt:i4>
      </vt:variant>
      <vt:variant>
        <vt:i4>230</vt:i4>
      </vt:variant>
      <vt:variant>
        <vt:i4>0</vt:i4>
      </vt:variant>
      <vt:variant>
        <vt:i4>5</vt:i4>
      </vt:variant>
      <vt:variant>
        <vt:lpwstr/>
      </vt:variant>
      <vt:variant>
        <vt:lpwstr>_Toc137039680</vt:lpwstr>
      </vt:variant>
      <vt:variant>
        <vt:i4>1703987</vt:i4>
      </vt:variant>
      <vt:variant>
        <vt:i4>224</vt:i4>
      </vt:variant>
      <vt:variant>
        <vt:i4>0</vt:i4>
      </vt:variant>
      <vt:variant>
        <vt:i4>5</vt:i4>
      </vt:variant>
      <vt:variant>
        <vt:lpwstr/>
      </vt:variant>
      <vt:variant>
        <vt:lpwstr>_Toc137039679</vt:lpwstr>
      </vt:variant>
      <vt:variant>
        <vt:i4>1703987</vt:i4>
      </vt:variant>
      <vt:variant>
        <vt:i4>218</vt:i4>
      </vt:variant>
      <vt:variant>
        <vt:i4>0</vt:i4>
      </vt:variant>
      <vt:variant>
        <vt:i4>5</vt:i4>
      </vt:variant>
      <vt:variant>
        <vt:lpwstr/>
      </vt:variant>
      <vt:variant>
        <vt:lpwstr>_Toc137039678</vt:lpwstr>
      </vt:variant>
      <vt:variant>
        <vt:i4>1703987</vt:i4>
      </vt:variant>
      <vt:variant>
        <vt:i4>212</vt:i4>
      </vt:variant>
      <vt:variant>
        <vt:i4>0</vt:i4>
      </vt:variant>
      <vt:variant>
        <vt:i4>5</vt:i4>
      </vt:variant>
      <vt:variant>
        <vt:lpwstr/>
      </vt:variant>
      <vt:variant>
        <vt:lpwstr>_Toc137039677</vt:lpwstr>
      </vt:variant>
      <vt:variant>
        <vt:i4>1703987</vt:i4>
      </vt:variant>
      <vt:variant>
        <vt:i4>206</vt:i4>
      </vt:variant>
      <vt:variant>
        <vt:i4>0</vt:i4>
      </vt:variant>
      <vt:variant>
        <vt:i4>5</vt:i4>
      </vt:variant>
      <vt:variant>
        <vt:lpwstr/>
      </vt:variant>
      <vt:variant>
        <vt:lpwstr>_Toc137039676</vt:lpwstr>
      </vt:variant>
      <vt:variant>
        <vt:i4>1703987</vt:i4>
      </vt:variant>
      <vt:variant>
        <vt:i4>200</vt:i4>
      </vt:variant>
      <vt:variant>
        <vt:i4>0</vt:i4>
      </vt:variant>
      <vt:variant>
        <vt:i4>5</vt:i4>
      </vt:variant>
      <vt:variant>
        <vt:lpwstr/>
      </vt:variant>
      <vt:variant>
        <vt:lpwstr>_Toc137039675</vt:lpwstr>
      </vt:variant>
      <vt:variant>
        <vt:i4>1703987</vt:i4>
      </vt:variant>
      <vt:variant>
        <vt:i4>194</vt:i4>
      </vt:variant>
      <vt:variant>
        <vt:i4>0</vt:i4>
      </vt:variant>
      <vt:variant>
        <vt:i4>5</vt:i4>
      </vt:variant>
      <vt:variant>
        <vt:lpwstr/>
      </vt:variant>
      <vt:variant>
        <vt:lpwstr>_Toc137039674</vt:lpwstr>
      </vt:variant>
      <vt:variant>
        <vt:i4>1703987</vt:i4>
      </vt:variant>
      <vt:variant>
        <vt:i4>188</vt:i4>
      </vt:variant>
      <vt:variant>
        <vt:i4>0</vt:i4>
      </vt:variant>
      <vt:variant>
        <vt:i4>5</vt:i4>
      </vt:variant>
      <vt:variant>
        <vt:lpwstr/>
      </vt:variant>
      <vt:variant>
        <vt:lpwstr>_Toc137039673</vt:lpwstr>
      </vt:variant>
      <vt:variant>
        <vt:i4>1703987</vt:i4>
      </vt:variant>
      <vt:variant>
        <vt:i4>182</vt:i4>
      </vt:variant>
      <vt:variant>
        <vt:i4>0</vt:i4>
      </vt:variant>
      <vt:variant>
        <vt:i4>5</vt:i4>
      </vt:variant>
      <vt:variant>
        <vt:lpwstr/>
      </vt:variant>
      <vt:variant>
        <vt:lpwstr>_Toc137039672</vt:lpwstr>
      </vt:variant>
      <vt:variant>
        <vt:i4>1703987</vt:i4>
      </vt:variant>
      <vt:variant>
        <vt:i4>176</vt:i4>
      </vt:variant>
      <vt:variant>
        <vt:i4>0</vt:i4>
      </vt:variant>
      <vt:variant>
        <vt:i4>5</vt:i4>
      </vt:variant>
      <vt:variant>
        <vt:lpwstr/>
      </vt:variant>
      <vt:variant>
        <vt:lpwstr>_Toc137039671</vt:lpwstr>
      </vt:variant>
      <vt:variant>
        <vt:i4>1703987</vt:i4>
      </vt:variant>
      <vt:variant>
        <vt:i4>170</vt:i4>
      </vt:variant>
      <vt:variant>
        <vt:i4>0</vt:i4>
      </vt:variant>
      <vt:variant>
        <vt:i4>5</vt:i4>
      </vt:variant>
      <vt:variant>
        <vt:lpwstr/>
      </vt:variant>
      <vt:variant>
        <vt:lpwstr>_Toc137039670</vt:lpwstr>
      </vt:variant>
      <vt:variant>
        <vt:i4>1769523</vt:i4>
      </vt:variant>
      <vt:variant>
        <vt:i4>164</vt:i4>
      </vt:variant>
      <vt:variant>
        <vt:i4>0</vt:i4>
      </vt:variant>
      <vt:variant>
        <vt:i4>5</vt:i4>
      </vt:variant>
      <vt:variant>
        <vt:lpwstr/>
      </vt:variant>
      <vt:variant>
        <vt:lpwstr>_Toc137039669</vt:lpwstr>
      </vt:variant>
      <vt:variant>
        <vt:i4>1769523</vt:i4>
      </vt:variant>
      <vt:variant>
        <vt:i4>158</vt:i4>
      </vt:variant>
      <vt:variant>
        <vt:i4>0</vt:i4>
      </vt:variant>
      <vt:variant>
        <vt:i4>5</vt:i4>
      </vt:variant>
      <vt:variant>
        <vt:lpwstr/>
      </vt:variant>
      <vt:variant>
        <vt:lpwstr>_Toc137039668</vt:lpwstr>
      </vt:variant>
      <vt:variant>
        <vt:i4>1769523</vt:i4>
      </vt:variant>
      <vt:variant>
        <vt:i4>152</vt:i4>
      </vt:variant>
      <vt:variant>
        <vt:i4>0</vt:i4>
      </vt:variant>
      <vt:variant>
        <vt:i4>5</vt:i4>
      </vt:variant>
      <vt:variant>
        <vt:lpwstr/>
      </vt:variant>
      <vt:variant>
        <vt:lpwstr>_Toc137039667</vt:lpwstr>
      </vt:variant>
      <vt:variant>
        <vt:i4>1769523</vt:i4>
      </vt:variant>
      <vt:variant>
        <vt:i4>146</vt:i4>
      </vt:variant>
      <vt:variant>
        <vt:i4>0</vt:i4>
      </vt:variant>
      <vt:variant>
        <vt:i4>5</vt:i4>
      </vt:variant>
      <vt:variant>
        <vt:lpwstr/>
      </vt:variant>
      <vt:variant>
        <vt:lpwstr>_Toc137039666</vt:lpwstr>
      </vt:variant>
      <vt:variant>
        <vt:i4>1769523</vt:i4>
      </vt:variant>
      <vt:variant>
        <vt:i4>140</vt:i4>
      </vt:variant>
      <vt:variant>
        <vt:i4>0</vt:i4>
      </vt:variant>
      <vt:variant>
        <vt:i4>5</vt:i4>
      </vt:variant>
      <vt:variant>
        <vt:lpwstr/>
      </vt:variant>
      <vt:variant>
        <vt:lpwstr>_Toc137039665</vt:lpwstr>
      </vt:variant>
      <vt:variant>
        <vt:i4>1769523</vt:i4>
      </vt:variant>
      <vt:variant>
        <vt:i4>134</vt:i4>
      </vt:variant>
      <vt:variant>
        <vt:i4>0</vt:i4>
      </vt:variant>
      <vt:variant>
        <vt:i4>5</vt:i4>
      </vt:variant>
      <vt:variant>
        <vt:lpwstr/>
      </vt:variant>
      <vt:variant>
        <vt:lpwstr>_Toc137039664</vt:lpwstr>
      </vt:variant>
      <vt:variant>
        <vt:i4>1769523</vt:i4>
      </vt:variant>
      <vt:variant>
        <vt:i4>128</vt:i4>
      </vt:variant>
      <vt:variant>
        <vt:i4>0</vt:i4>
      </vt:variant>
      <vt:variant>
        <vt:i4>5</vt:i4>
      </vt:variant>
      <vt:variant>
        <vt:lpwstr/>
      </vt:variant>
      <vt:variant>
        <vt:lpwstr>_Toc137039663</vt:lpwstr>
      </vt:variant>
      <vt:variant>
        <vt:i4>1769523</vt:i4>
      </vt:variant>
      <vt:variant>
        <vt:i4>122</vt:i4>
      </vt:variant>
      <vt:variant>
        <vt:i4>0</vt:i4>
      </vt:variant>
      <vt:variant>
        <vt:i4>5</vt:i4>
      </vt:variant>
      <vt:variant>
        <vt:lpwstr/>
      </vt:variant>
      <vt:variant>
        <vt:lpwstr>_Toc137039662</vt:lpwstr>
      </vt:variant>
      <vt:variant>
        <vt:i4>1769523</vt:i4>
      </vt:variant>
      <vt:variant>
        <vt:i4>116</vt:i4>
      </vt:variant>
      <vt:variant>
        <vt:i4>0</vt:i4>
      </vt:variant>
      <vt:variant>
        <vt:i4>5</vt:i4>
      </vt:variant>
      <vt:variant>
        <vt:lpwstr/>
      </vt:variant>
      <vt:variant>
        <vt:lpwstr>_Toc137039661</vt:lpwstr>
      </vt:variant>
      <vt:variant>
        <vt:i4>1769523</vt:i4>
      </vt:variant>
      <vt:variant>
        <vt:i4>110</vt:i4>
      </vt:variant>
      <vt:variant>
        <vt:i4>0</vt:i4>
      </vt:variant>
      <vt:variant>
        <vt:i4>5</vt:i4>
      </vt:variant>
      <vt:variant>
        <vt:lpwstr/>
      </vt:variant>
      <vt:variant>
        <vt:lpwstr>_Toc137039660</vt:lpwstr>
      </vt:variant>
      <vt:variant>
        <vt:i4>1572915</vt:i4>
      </vt:variant>
      <vt:variant>
        <vt:i4>104</vt:i4>
      </vt:variant>
      <vt:variant>
        <vt:i4>0</vt:i4>
      </vt:variant>
      <vt:variant>
        <vt:i4>5</vt:i4>
      </vt:variant>
      <vt:variant>
        <vt:lpwstr/>
      </vt:variant>
      <vt:variant>
        <vt:lpwstr>_Toc137039659</vt:lpwstr>
      </vt:variant>
      <vt:variant>
        <vt:i4>1572915</vt:i4>
      </vt:variant>
      <vt:variant>
        <vt:i4>98</vt:i4>
      </vt:variant>
      <vt:variant>
        <vt:i4>0</vt:i4>
      </vt:variant>
      <vt:variant>
        <vt:i4>5</vt:i4>
      </vt:variant>
      <vt:variant>
        <vt:lpwstr/>
      </vt:variant>
      <vt:variant>
        <vt:lpwstr>_Toc137039658</vt:lpwstr>
      </vt:variant>
      <vt:variant>
        <vt:i4>1572915</vt:i4>
      </vt:variant>
      <vt:variant>
        <vt:i4>92</vt:i4>
      </vt:variant>
      <vt:variant>
        <vt:i4>0</vt:i4>
      </vt:variant>
      <vt:variant>
        <vt:i4>5</vt:i4>
      </vt:variant>
      <vt:variant>
        <vt:lpwstr/>
      </vt:variant>
      <vt:variant>
        <vt:lpwstr>_Toc137039657</vt:lpwstr>
      </vt:variant>
      <vt:variant>
        <vt:i4>1572915</vt:i4>
      </vt:variant>
      <vt:variant>
        <vt:i4>86</vt:i4>
      </vt:variant>
      <vt:variant>
        <vt:i4>0</vt:i4>
      </vt:variant>
      <vt:variant>
        <vt:i4>5</vt:i4>
      </vt:variant>
      <vt:variant>
        <vt:lpwstr/>
      </vt:variant>
      <vt:variant>
        <vt:lpwstr>_Toc137039656</vt:lpwstr>
      </vt:variant>
      <vt:variant>
        <vt:i4>1572915</vt:i4>
      </vt:variant>
      <vt:variant>
        <vt:i4>80</vt:i4>
      </vt:variant>
      <vt:variant>
        <vt:i4>0</vt:i4>
      </vt:variant>
      <vt:variant>
        <vt:i4>5</vt:i4>
      </vt:variant>
      <vt:variant>
        <vt:lpwstr/>
      </vt:variant>
      <vt:variant>
        <vt:lpwstr>_Toc137039655</vt:lpwstr>
      </vt:variant>
      <vt:variant>
        <vt:i4>1572915</vt:i4>
      </vt:variant>
      <vt:variant>
        <vt:i4>74</vt:i4>
      </vt:variant>
      <vt:variant>
        <vt:i4>0</vt:i4>
      </vt:variant>
      <vt:variant>
        <vt:i4>5</vt:i4>
      </vt:variant>
      <vt:variant>
        <vt:lpwstr/>
      </vt:variant>
      <vt:variant>
        <vt:lpwstr>_Toc137039654</vt:lpwstr>
      </vt:variant>
      <vt:variant>
        <vt:i4>1572915</vt:i4>
      </vt:variant>
      <vt:variant>
        <vt:i4>68</vt:i4>
      </vt:variant>
      <vt:variant>
        <vt:i4>0</vt:i4>
      </vt:variant>
      <vt:variant>
        <vt:i4>5</vt:i4>
      </vt:variant>
      <vt:variant>
        <vt:lpwstr/>
      </vt:variant>
      <vt:variant>
        <vt:lpwstr>_Toc137039653</vt:lpwstr>
      </vt:variant>
      <vt:variant>
        <vt:i4>1572915</vt:i4>
      </vt:variant>
      <vt:variant>
        <vt:i4>62</vt:i4>
      </vt:variant>
      <vt:variant>
        <vt:i4>0</vt:i4>
      </vt:variant>
      <vt:variant>
        <vt:i4>5</vt:i4>
      </vt:variant>
      <vt:variant>
        <vt:lpwstr/>
      </vt:variant>
      <vt:variant>
        <vt:lpwstr>_Toc137039652</vt:lpwstr>
      </vt:variant>
      <vt:variant>
        <vt:i4>1572915</vt:i4>
      </vt:variant>
      <vt:variant>
        <vt:i4>56</vt:i4>
      </vt:variant>
      <vt:variant>
        <vt:i4>0</vt:i4>
      </vt:variant>
      <vt:variant>
        <vt:i4>5</vt:i4>
      </vt:variant>
      <vt:variant>
        <vt:lpwstr/>
      </vt:variant>
      <vt:variant>
        <vt:lpwstr>_Toc137039651</vt:lpwstr>
      </vt:variant>
      <vt:variant>
        <vt:i4>1572915</vt:i4>
      </vt:variant>
      <vt:variant>
        <vt:i4>50</vt:i4>
      </vt:variant>
      <vt:variant>
        <vt:i4>0</vt:i4>
      </vt:variant>
      <vt:variant>
        <vt:i4>5</vt:i4>
      </vt:variant>
      <vt:variant>
        <vt:lpwstr/>
      </vt:variant>
      <vt:variant>
        <vt:lpwstr>_Toc137039650</vt:lpwstr>
      </vt:variant>
      <vt:variant>
        <vt:i4>1638451</vt:i4>
      </vt:variant>
      <vt:variant>
        <vt:i4>44</vt:i4>
      </vt:variant>
      <vt:variant>
        <vt:i4>0</vt:i4>
      </vt:variant>
      <vt:variant>
        <vt:i4>5</vt:i4>
      </vt:variant>
      <vt:variant>
        <vt:lpwstr/>
      </vt:variant>
      <vt:variant>
        <vt:lpwstr>_Toc137039649</vt:lpwstr>
      </vt:variant>
      <vt:variant>
        <vt:i4>1638451</vt:i4>
      </vt:variant>
      <vt:variant>
        <vt:i4>38</vt:i4>
      </vt:variant>
      <vt:variant>
        <vt:i4>0</vt:i4>
      </vt:variant>
      <vt:variant>
        <vt:i4>5</vt:i4>
      </vt:variant>
      <vt:variant>
        <vt:lpwstr/>
      </vt:variant>
      <vt:variant>
        <vt:lpwstr>_Toc137039648</vt:lpwstr>
      </vt:variant>
      <vt:variant>
        <vt:i4>1638451</vt:i4>
      </vt:variant>
      <vt:variant>
        <vt:i4>32</vt:i4>
      </vt:variant>
      <vt:variant>
        <vt:i4>0</vt:i4>
      </vt:variant>
      <vt:variant>
        <vt:i4>5</vt:i4>
      </vt:variant>
      <vt:variant>
        <vt:lpwstr/>
      </vt:variant>
      <vt:variant>
        <vt:lpwstr>_Toc137039647</vt:lpwstr>
      </vt:variant>
      <vt:variant>
        <vt:i4>1638451</vt:i4>
      </vt:variant>
      <vt:variant>
        <vt:i4>26</vt:i4>
      </vt:variant>
      <vt:variant>
        <vt:i4>0</vt:i4>
      </vt:variant>
      <vt:variant>
        <vt:i4>5</vt:i4>
      </vt:variant>
      <vt:variant>
        <vt:lpwstr/>
      </vt:variant>
      <vt:variant>
        <vt:lpwstr>_Toc137039646</vt:lpwstr>
      </vt:variant>
      <vt:variant>
        <vt:i4>1638451</vt:i4>
      </vt:variant>
      <vt:variant>
        <vt:i4>20</vt:i4>
      </vt:variant>
      <vt:variant>
        <vt:i4>0</vt:i4>
      </vt:variant>
      <vt:variant>
        <vt:i4>5</vt:i4>
      </vt:variant>
      <vt:variant>
        <vt:lpwstr/>
      </vt:variant>
      <vt:variant>
        <vt:lpwstr>_Toc137039645</vt:lpwstr>
      </vt:variant>
      <vt:variant>
        <vt:i4>1638451</vt:i4>
      </vt:variant>
      <vt:variant>
        <vt:i4>14</vt:i4>
      </vt:variant>
      <vt:variant>
        <vt:i4>0</vt:i4>
      </vt:variant>
      <vt:variant>
        <vt:i4>5</vt:i4>
      </vt:variant>
      <vt:variant>
        <vt:lpwstr/>
      </vt:variant>
      <vt:variant>
        <vt:lpwstr>_Toc137039644</vt:lpwstr>
      </vt:variant>
      <vt:variant>
        <vt:i4>1638451</vt:i4>
      </vt:variant>
      <vt:variant>
        <vt:i4>8</vt:i4>
      </vt:variant>
      <vt:variant>
        <vt:i4>0</vt:i4>
      </vt:variant>
      <vt:variant>
        <vt:i4>5</vt:i4>
      </vt:variant>
      <vt:variant>
        <vt:lpwstr/>
      </vt:variant>
      <vt:variant>
        <vt:lpwstr>_Toc137039643</vt:lpwstr>
      </vt:variant>
      <vt:variant>
        <vt:i4>1638451</vt:i4>
      </vt:variant>
      <vt:variant>
        <vt:i4>2</vt:i4>
      </vt:variant>
      <vt:variant>
        <vt:i4>0</vt:i4>
      </vt:variant>
      <vt:variant>
        <vt:i4>5</vt:i4>
      </vt:variant>
      <vt:variant>
        <vt:lpwstr/>
      </vt:variant>
      <vt:variant>
        <vt:lpwstr>_Toc137039642</vt:lpwstr>
      </vt:variant>
      <vt:variant>
        <vt:i4>3735564</vt:i4>
      </vt:variant>
      <vt:variant>
        <vt:i4>96</vt:i4>
      </vt:variant>
      <vt:variant>
        <vt:i4>0</vt:i4>
      </vt:variant>
      <vt:variant>
        <vt:i4>5</vt:i4>
      </vt:variant>
      <vt:variant>
        <vt:lpwstr>https://knowledge4policy.ec.europa.eu/projects-activities/european-consumer-food-waste-forum_en</vt:lpwstr>
      </vt:variant>
      <vt:variant>
        <vt:lpwstr/>
      </vt:variant>
      <vt:variant>
        <vt:i4>131171</vt:i4>
      </vt:variant>
      <vt:variant>
        <vt:i4>93</vt:i4>
      </vt:variant>
      <vt:variant>
        <vt:i4>0</vt:i4>
      </vt:variant>
      <vt:variant>
        <vt:i4>5</vt:i4>
      </vt:variant>
      <vt:variant>
        <vt:lpwstr>https://food.ec.europa.eu/system/files/2023-02/flw_eu-actions_fwrt_20230210_recom-cit_0.pdf</vt:lpwstr>
      </vt:variant>
      <vt:variant>
        <vt:lpwstr/>
      </vt:variant>
      <vt:variant>
        <vt:i4>7012408</vt:i4>
      </vt:variant>
      <vt:variant>
        <vt:i4>90</vt:i4>
      </vt:variant>
      <vt:variant>
        <vt:i4>0</vt:i4>
      </vt:variant>
      <vt:variant>
        <vt:i4>5</vt:i4>
      </vt:variant>
      <vt:variant>
        <vt:lpwstr>https://www.legifrance.gouv.fr/contenu/Media/Files/autour-de-la-loi/legislatif-et-reglementaire/fiches-d-impact/fiches-d-impact-ordonnances/2019/fi_agrg1920827r_25_09_2019.pdf</vt:lpwstr>
      </vt:variant>
      <vt:variant>
        <vt:lpwstr/>
      </vt:variant>
      <vt:variant>
        <vt:i4>3014739</vt:i4>
      </vt:variant>
      <vt:variant>
        <vt:i4>87</vt:i4>
      </vt:variant>
      <vt:variant>
        <vt:i4>0</vt:i4>
      </vt:variant>
      <vt:variant>
        <vt:i4>5</vt:i4>
      </vt:variant>
      <vt:variant>
        <vt:lpwstr>https://www.actu-environnement.com/ae/dictionnaire_environnement/definition/ordonnance.php4</vt:lpwstr>
      </vt:variant>
      <vt:variant>
        <vt:lpwstr/>
      </vt:variant>
      <vt:variant>
        <vt:i4>6094964</vt:i4>
      </vt:variant>
      <vt:variant>
        <vt:i4>84</vt:i4>
      </vt:variant>
      <vt:variant>
        <vt:i4>0</vt:i4>
      </vt:variant>
      <vt:variant>
        <vt:i4>5</vt:i4>
      </vt:variant>
      <vt:variant>
        <vt:lpwstr>https://wrap.org.uk/sites/default/files/2022-12/WRAP_Food_Waste_Reduction_Roadmap_Progress_Report_2022.pdf</vt:lpwstr>
      </vt:variant>
      <vt:variant>
        <vt:lpwstr/>
      </vt:variant>
      <vt:variant>
        <vt:i4>196682</vt:i4>
      </vt:variant>
      <vt:variant>
        <vt:i4>81</vt:i4>
      </vt:variant>
      <vt:variant>
        <vt:i4>0</vt:i4>
      </vt:variant>
      <vt:variant>
        <vt:i4>5</vt:i4>
      </vt:variant>
      <vt:variant>
        <vt:lpwstr>https://publications.jrc.ec.europa.eu/repository/handle/JRC128984</vt:lpwstr>
      </vt:variant>
      <vt:variant>
        <vt:lpwstr/>
      </vt:variant>
      <vt:variant>
        <vt:i4>8060980</vt:i4>
      </vt:variant>
      <vt:variant>
        <vt:i4>75</vt:i4>
      </vt:variant>
      <vt:variant>
        <vt:i4>0</vt:i4>
      </vt:variant>
      <vt:variant>
        <vt:i4>5</vt:i4>
      </vt:variant>
      <vt:variant>
        <vt:lpwstr>https://eplca.jrc.ec.europa.eu/sustainableConsumption.html</vt:lpwstr>
      </vt:variant>
      <vt:variant>
        <vt:lpwstr/>
      </vt:variant>
      <vt:variant>
        <vt:i4>3735660</vt:i4>
      </vt:variant>
      <vt:variant>
        <vt:i4>72</vt:i4>
      </vt:variant>
      <vt:variant>
        <vt:i4>0</vt:i4>
      </vt:variant>
      <vt:variant>
        <vt:i4>5</vt:i4>
      </vt:variant>
      <vt:variant>
        <vt:lpwstr>https://edgar.jrc.ec.europa.eu/</vt:lpwstr>
      </vt:variant>
      <vt:variant>
        <vt:lpwstr/>
      </vt:variant>
      <vt:variant>
        <vt:i4>4522053</vt:i4>
      </vt:variant>
      <vt:variant>
        <vt:i4>69</vt:i4>
      </vt:variant>
      <vt:variant>
        <vt:i4>0</vt:i4>
      </vt:variant>
      <vt:variant>
        <vt:i4>5</vt:i4>
      </vt:variant>
      <vt:variant>
        <vt:lpwstr>https://www.cesme-book.eu/book/level-1-d/3.1-best-practices/3.1.2-humanita-textile-recycling</vt:lpwstr>
      </vt:variant>
      <vt:variant>
        <vt:lpwstr/>
      </vt:variant>
      <vt:variant>
        <vt:i4>4456476</vt:i4>
      </vt:variant>
      <vt:variant>
        <vt:i4>66</vt:i4>
      </vt:variant>
      <vt:variant>
        <vt:i4>0</vt:i4>
      </vt:variant>
      <vt:variant>
        <vt:i4>5</vt:i4>
      </vt:variant>
      <vt:variant>
        <vt:lpwstr>https://ctc-cork.ie/wp-content/uploads/2022/03/Research_Report_405.pdf</vt:lpwstr>
      </vt:variant>
      <vt:variant>
        <vt:lpwstr/>
      </vt:variant>
      <vt:variant>
        <vt:i4>2752543</vt:i4>
      </vt:variant>
      <vt:variant>
        <vt:i4>63</vt:i4>
      </vt:variant>
      <vt:variant>
        <vt:i4>0</vt:i4>
      </vt:variant>
      <vt:variant>
        <vt:i4>5</vt:i4>
      </vt:variant>
      <vt:variant>
        <vt:lpwstr>https://www.researchgate.net/publication/350823032_Measuring_reuse_in_Flanders_The_first_reuse_mapping_study</vt:lpwstr>
      </vt:variant>
      <vt:variant>
        <vt:lpwstr/>
      </vt:variant>
      <vt:variant>
        <vt:i4>524318</vt:i4>
      </vt:variant>
      <vt:variant>
        <vt:i4>60</vt:i4>
      </vt:variant>
      <vt:variant>
        <vt:i4>0</vt:i4>
      </vt:variant>
      <vt:variant>
        <vt:i4>5</vt:i4>
      </vt:variant>
      <vt:variant>
        <vt:lpwstr>https://eeb.org/library/driving-a-circular-economy-for-textiles-through-epr/</vt:lpwstr>
      </vt:variant>
      <vt:variant>
        <vt:lpwstr/>
      </vt:variant>
      <vt:variant>
        <vt:i4>2752580</vt:i4>
      </vt:variant>
      <vt:variant>
        <vt:i4>57</vt:i4>
      </vt:variant>
      <vt:variant>
        <vt:i4>0</vt:i4>
      </vt:variant>
      <vt:variant>
        <vt:i4>5</vt:i4>
      </vt:variant>
      <vt:variant>
        <vt:lpwstr>https://ec.europa.eu/info/law/better-regulation/have-your-say/initiatives/13682-New-product-priorities-for-Ecodesign-for-Sustainable-Products_en</vt:lpwstr>
      </vt:variant>
      <vt:variant>
        <vt:lpwstr/>
      </vt:variant>
      <vt:variant>
        <vt:i4>8323184</vt:i4>
      </vt:variant>
      <vt:variant>
        <vt:i4>54</vt:i4>
      </vt:variant>
      <vt:variant>
        <vt:i4>0</vt:i4>
      </vt:variant>
      <vt:variant>
        <vt:i4>5</vt:i4>
      </vt:variant>
      <vt:variant>
        <vt:lpwstr>https://cmsmedtech.com/how-to-choose-an-ec-rep/</vt:lpwstr>
      </vt:variant>
      <vt:variant>
        <vt:lpwstr/>
      </vt:variant>
      <vt:variant>
        <vt:i4>3145765</vt:i4>
      </vt:variant>
      <vt:variant>
        <vt:i4>51</vt:i4>
      </vt:variant>
      <vt:variant>
        <vt:i4>0</vt:i4>
      </vt:variant>
      <vt:variant>
        <vt:i4>5</vt:i4>
      </vt:variant>
      <vt:variant>
        <vt:lpwstr>https://www.productip.com/</vt:lpwstr>
      </vt:variant>
      <vt:variant>
        <vt:lpwstr>home</vt:lpwstr>
      </vt:variant>
      <vt:variant>
        <vt:i4>3932207</vt:i4>
      </vt:variant>
      <vt:variant>
        <vt:i4>48</vt:i4>
      </vt:variant>
      <vt:variant>
        <vt:i4>0</vt:i4>
      </vt:variant>
      <vt:variant>
        <vt:i4>5</vt:i4>
      </vt:variant>
      <vt:variant>
        <vt:lpwstr>https://www.innovationintextiles.com/rehubs-seeks-67-billion-for-bold-plan/</vt:lpwstr>
      </vt:variant>
      <vt:variant>
        <vt:lpwstr/>
      </vt:variant>
      <vt:variant>
        <vt:i4>2949139</vt:i4>
      </vt:variant>
      <vt:variant>
        <vt:i4>45</vt:i4>
      </vt:variant>
      <vt:variant>
        <vt:i4>0</vt:i4>
      </vt:variant>
      <vt:variant>
        <vt:i4>5</vt:i4>
      </vt:variant>
      <vt:variant>
        <vt:lpwstr>https://www.oecd-ilibrary.org/environment/global-plastics-outlook_de747aef-en</vt:lpwstr>
      </vt:variant>
      <vt:variant>
        <vt:lpwstr/>
      </vt:variant>
      <vt:variant>
        <vt:i4>5505092</vt:i4>
      </vt:variant>
      <vt:variant>
        <vt:i4>42</vt:i4>
      </vt:variant>
      <vt:variant>
        <vt:i4>0</vt:i4>
      </vt:variant>
      <vt:variant>
        <vt:i4>5</vt:i4>
      </vt:variant>
      <vt:variant>
        <vt:lpwstr>https://www.textilemountainfilm.com/</vt:lpwstr>
      </vt:variant>
      <vt:variant>
        <vt:lpwstr/>
      </vt:variant>
      <vt:variant>
        <vt:i4>131144</vt:i4>
      </vt:variant>
      <vt:variant>
        <vt:i4>39</vt:i4>
      </vt:variant>
      <vt:variant>
        <vt:i4>0</vt:i4>
      </vt:variant>
      <vt:variant>
        <vt:i4>5</vt:i4>
      </vt:variant>
      <vt:variant>
        <vt:lpwstr>https://www.plasticsoupfoundation.org/en/2022/03/the-massive-dumping-of-discarded-clothing-in-ghana-and-chile-must-stop/</vt:lpwstr>
      </vt:variant>
      <vt:variant>
        <vt:lpwstr/>
      </vt:variant>
      <vt:variant>
        <vt:i4>1507406</vt:i4>
      </vt:variant>
      <vt:variant>
        <vt:i4>36</vt:i4>
      </vt:variant>
      <vt:variant>
        <vt:i4>0</vt:i4>
      </vt:variant>
      <vt:variant>
        <vt:i4>5</vt:i4>
      </vt:variant>
      <vt:variant>
        <vt:lpwstr>https://www.greenpeace.org/international/story/53333/how-fast-fashion-is-using-global-south-as-dumping-ground-for-textile-waste/</vt:lpwstr>
      </vt:variant>
      <vt:variant>
        <vt:lpwstr/>
      </vt:variant>
      <vt:variant>
        <vt:i4>2621476</vt:i4>
      </vt:variant>
      <vt:variant>
        <vt:i4>27</vt:i4>
      </vt:variant>
      <vt:variant>
        <vt:i4>0</vt:i4>
      </vt:variant>
      <vt:variant>
        <vt:i4>5</vt:i4>
      </vt:variant>
      <vt:variant>
        <vt:lpwstr>https://www.sciencedirect.com/science/article/abs/pii/S0956053X08003322</vt:lpwstr>
      </vt:variant>
      <vt:variant>
        <vt:lpwstr/>
      </vt:variant>
      <vt:variant>
        <vt:i4>6946936</vt:i4>
      </vt:variant>
      <vt:variant>
        <vt:i4>24</vt:i4>
      </vt:variant>
      <vt:variant>
        <vt:i4>0</vt:i4>
      </vt:variant>
      <vt:variant>
        <vt:i4>5</vt:i4>
      </vt:variant>
      <vt:variant>
        <vt:lpwstr>https://www.sciencedirect.com/science/article/pii/S1364815214001728</vt:lpwstr>
      </vt:variant>
      <vt:variant>
        <vt:lpwstr/>
      </vt:variant>
      <vt:variant>
        <vt:i4>2949139</vt:i4>
      </vt:variant>
      <vt:variant>
        <vt:i4>21</vt:i4>
      </vt:variant>
      <vt:variant>
        <vt:i4>0</vt:i4>
      </vt:variant>
      <vt:variant>
        <vt:i4>5</vt:i4>
      </vt:variant>
      <vt:variant>
        <vt:lpwstr>https://www.oecd-ilibrary.org/environment/global-plastics-outlook_de747aef-en</vt:lpwstr>
      </vt:variant>
      <vt:variant>
        <vt:lpwstr/>
      </vt:variant>
      <vt:variant>
        <vt:i4>5505092</vt:i4>
      </vt:variant>
      <vt:variant>
        <vt:i4>18</vt:i4>
      </vt:variant>
      <vt:variant>
        <vt:i4>0</vt:i4>
      </vt:variant>
      <vt:variant>
        <vt:i4>5</vt:i4>
      </vt:variant>
      <vt:variant>
        <vt:lpwstr>https://www.textilemountainfilm.com/</vt:lpwstr>
      </vt:variant>
      <vt:variant>
        <vt:lpwstr/>
      </vt:variant>
      <vt:variant>
        <vt:i4>131144</vt:i4>
      </vt:variant>
      <vt:variant>
        <vt:i4>15</vt:i4>
      </vt:variant>
      <vt:variant>
        <vt:i4>0</vt:i4>
      </vt:variant>
      <vt:variant>
        <vt:i4>5</vt:i4>
      </vt:variant>
      <vt:variant>
        <vt:lpwstr>https://www.plasticsoupfoundation.org/en/2022/03/the-massive-dumping-of-discarded-clothing-in-ghana-and-chile-must-stop/</vt:lpwstr>
      </vt:variant>
      <vt:variant>
        <vt:lpwstr/>
      </vt:variant>
      <vt:variant>
        <vt:i4>1507406</vt:i4>
      </vt:variant>
      <vt:variant>
        <vt:i4>12</vt:i4>
      </vt:variant>
      <vt:variant>
        <vt:i4>0</vt:i4>
      </vt:variant>
      <vt:variant>
        <vt:i4>5</vt:i4>
      </vt:variant>
      <vt:variant>
        <vt:lpwstr>https://www.greenpeace.org/international/story/53333/how-fast-fashion-is-using-global-south-as-dumping-ground-for-textile-waste/</vt:lpwstr>
      </vt:variant>
      <vt:variant>
        <vt:lpwstr/>
      </vt:variant>
      <vt:variant>
        <vt:i4>1310746</vt:i4>
      </vt:variant>
      <vt:variant>
        <vt:i4>6</vt:i4>
      </vt:variant>
      <vt:variant>
        <vt:i4>0</vt:i4>
      </vt:variant>
      <vt:variant>
        <vt:i4>5</vt:i4>
      </vt:variant>
      <vt:variant>
        <vt:lpwstr>https://www.cewep.eu/wp-content/uploads/2021/10/Landfill-taxes-and-restrictions-overview.pdf</vt:lpwstr>
      </vt:variant>
      <vt:variant>
        <vt:lpwstr/>
      </vt:variant>
      <vt:variant>
        <vt:i4>5373962</vt:i4>
      </vt:variant>
      <vt:variant>
        <vt:i4>3</vt:i4>
      </vt:variant>
      <vt:variant>
        <vt:i4>0</vt:i4>
      </vt:variant>
      <vt:variant>
        <vt:i4>5</vt:i4>
      </vt:variant>
      <vt:variant>
        <vt:lpwstr>https://www.hamburg.com/publicservice/info/11927315/</vt:lpwstr>
      </vt:variant>
      <vt:variant>
        <vt:lpwstr/>
      </vt:variant>
      <vt:variant>
        <vt:i4>8192096</vt:i4>
      </vt:variant>
      <vt:variant>
        <vt:i4>0</vt:i4>
      </vt:variant>
      <vt:variant>
        <vt:i4>0</vt:i4>
      </vt:variant>
      <vt:variant>
        <vt:i4>5</vt:i4>
      </vt:variant>
      <vt:variant>
        <vt:lpwstr>https://ens.dk/en/our-responsibilities/waste/danish-national-waste-register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LIPOVEC Brina Sara</dc:creator>
  <cp:keywords/>
  <dc:description/>
  <cp:lastModifiedBy>LIPOVEC Brina Sara</cp:lastModifiedBy>
  <cp:revision>3</cp:revision>
  <cp:lastPrinted>2023-07-02T22:25:00Z</cp:lastPrinted>
  <dcterms:created xsi:type="dcterms:W3CDTF">2023-07-07T09:47:00Z</dcterms:created>
  <dcterms:modified xsi:type="dcterms:W3CDTF">2023-07-07T09:48:00Z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4</vt:lpwstr>
  </property>
  <property fmtid="{D5CDD505-2E9C-101B-9397-08002B2CF9AE}" pid="3" name="Total parts">
    <vt:lpwstr>4</vt:lpwstr>
  </property>
  <property fmtid="{D5CDD505-2E9C-101B-9397-08002B2CF9AE}" pid="4" name="DocStatus">
    <vt:lpwstr>Green</vt:lpwstr>
  </property>
  <property fmtid="{D5CDD505-2E9C-101B-9397-08002B2CF9AE}" pid="5" name="CPTemplateID">
    <vt:lpwstr>CP-026</vt:lpwstr>
  </property>
  <property fmtid="{D5CDD505-2E9C-101B-9397-08002B2CF9AE}" pid="6" name="Created using">
    <vt:lpwstr>DocuWrite 4.8.2, Build 20230330</vt:lpwstr>
  </property>
  <property fmtid="{D5CDD505-2E9C-101B-9397-08002B2CF9AE}" pid="7" name="MSIP_Label_6bd9ddd1-4d20-43f6-abfa-fc3c07406f94_Enabled">
    <vt:lpwstr>true</vt:lpwstr>
  </property>
  <property fmtid="{D5CDD505-2E9C-101B-9397-08002B2CF9AE}" pid="8" name="MSIP_Label_6bd9ddd1-4d20-43f6-abfa-fc3c07406f94_SetDate">
    <vt:lpwstr>2022-05-17T18:43:31Z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e72a401c-2fae-4693-a1eb-ffd767e9c862</vt:lpwstr>
  </property>
  <property fmtid="{D5CDD505-2E9C-101B-9397-08002B2CF9AE}" pid="13" name="MSIP_Label_6bd9ddd1-4d20-43f6-abfa-fc3c07406f94_ContentBits">
    <vt:lpwstr>0</vt:lpwstr>
  </property>
  <property fmtid="{D5CDD505-2E9C-101B-9397-08002B2CF9AE}" pid="14" name="ContentTypeId">
    <vt:lpwstr>0x010100221397B36352C447984A37DFD72D0E64</vt:lpwstr>
  </property>
  <property fmtid="{D5CDD505-2E9C-101B-9397-08002B2CF9AE}" pid="15" name="Last edited using">
    <vt:lpwstr>DocuWrite 4.8.2, Build 20230330</vt:lpwstr>
  </property>
  <property fmtid="{D5CDD505-2E9C-101B-9397-08002B2CF9AE}" pid="16" name="Level of sensitivity">
    <vt:lpwstr>Standard treatment</vt:lpwstr>
  </property>
  <property fmtid="{D5CDD505-2E9C-101B-9397-08002B2CF9AE}" pid="17" name="MSIP_Label_af60b174-6478-47f9-866e-33f097bb6603_Enabled">
    <vt:lpwstr>true</vt:lpwstr>
  </property>
  <property fmtid="{D5CDD505-2E9C-101B-9397-08002B2CF9AE}" pid="18" name="MSIP_Label_af60b174-6478-47f9-866e-33f097bb6603_SetDate">
    <vt:lpwstr>2023-07-07T09:47:38Z</vt:lpwstr>
  </property>
  <property fmtid="{D5CDD505-2E9C-101B-9397-08002B2CF9AE}" pid="19" name="MSIP_Label_af60b174-6478-47f9-866e-33f097bb6603_Method">
    <vt:lpwstr>Privileged</vt:lpwstr>
  </property>
  <property fmtid="{D5CDD505-2E9C-101B-9397-08002B2CF9AE}" pid="20" name="MSIP_Label_af60b174-6478-47f9-866e-33f097bb6603_Name">
    <vt:lpwstr>GSCEU - PUBLIC Label</vt:lpwstr>
  </property>
  <property fmtid="{D5CDD505-2E9C-101B-9397-08002B2CF9AE}" pid="21" name="MSIP_Label_af60b174-6478-47f9-866e-33f097bb6603_SiteId">
    <vt:lpwstr>03ad1c97-0a4d-4e82-8f93-27291a6a0767</vt:lpwstr>
  </property>
  <property fmtid="{D5CDD505-2E9C-101B-9397-08002B2CF9AE}" pid="22" name="MSIP_Label_af60b174-6478-47f9-866e-33f097bb6603_ActionId">
    <vt:lpwstr>476cfc9d-e295-42de-afb9-50007a4f5847</vt:lpwstr>
  </property>
  <property fmtid="{D5CDD505-2E9C-101B-9397-08002B2CF9AE}" pid="23" name="MSIP_Label_af60b174-6478-47f9-866e-33f097bb6603_ContentBits">
    <vt:lpwstr>0</vt:lpwstr>
  </property>
</Properties>
</file>